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3E81B005" w:rsidR="00DD3D9E" w:rsidRPr="00B4388F" w:rsidRDefault="00BD0427">
      <w:pPr>
        <w:pStyle w:val="Els-Title"/>
        <w:rPr>
          <w:color w:val="000000" w:themeColor="text1"/>
        </w:rPr>
      </w:pPr>
      <w:r>
        <w:rPr>
          <w:color w:val="000000" w:themeColor="text1"/>
        </w:rPr>
        <w:t>Dynamic Modeling and Validation of an Industrial Vacuum Thermodeasphalting Column for the Regeneration of U</w:t>
      </w:r>
      <w:r w:rsidR="007A26D4" w:rsidRPr="007A26D4">
        <w:rPr>
          <w:color w:val="000000" w:themeColor="text1"/>
        </w:rPr>
        <w:t xml:space="preserve">sed </w:t>
      </w:r>
      <w:r>
        <w:rPr>
          <w:color w:val="000000" w:themeColor="text1"/>
        </w:rPr>
        <w:t>O</w:t>
      </w:r>
      <w:r w:rsidR="007A26D4">
        <w:rPr>
          <w:color w:val="000000" w:themeColor="text1"/>
        </w:rPr>
        <w:t>il</w:t>
      </w:r>
    </w:p>
    <w:p w14:paraId="144DE680" w14:textId="78196061" w:rsidR="00DD3D9E" w:rsidRPr="007A26D4" w:rsidRDefault="00301A57">
      <w:pPr>
        <w:pStyle w:val="Els-Author"/>
        <w:rPr>
          <w:lang w:val="it-IT"/>
        </w:rPr>
      </w:pPr>
      <w:r w:rsidRPr="007A26D4">
        <w:rPr>
          <w:lang w:val="it-IT"/>
        </w:rPr>
        <w:t>Francesco Negri</w:t>
      </w:r>
      <w:r w:rsidRPr="007A26D4">
        <w:rPr>
          <w:vertAlign w:val="superscript"/>
          <w:lang w:val="it-IT"/>
        </w:rPr>
        <w:t>a,b</w:t>
      </w:r>
      <w:r w:rsidRPr="007A26D4">
        <w:rPr>
          <w:lang w:val="it-IT"/>
        </w:rPr>
        <w:t xml:space="preserve">, </w:t>
      </w:r>
      <w:r w:rsidR="00872333">
        <w:rPr>
          <w:lang w:val="it-IT"/>
        </w:rPr>
        <w:t>Kristiano Prift</w:t>
      </w:r>
      <w:r w:rsidRPr="007A26D4">
        <w:rPr>
          <w:lang w:val="it-IT"/>
        </w:rPr>
        <w:t>i</w:t>
      </w:r>
      <w:r w:rsidRPr="007A26D4">
        <w:rPr>
          <w:vertAlign w:val="superscript"/>
          <w:lang w:val="it-IT"/>
        </w:rPr>
        <w:t>b</w:t>
      </w:r>
      <w:r w:rsidRPr="007A26D4">
        <w:rPr>
          <w:lang w:val="it-IT"/>
        </w:rPr>
        <w:t xml:space="preserve">, </w:t>
      </w:r>
      <w:r w:rsidR="00872333">
        <w:rPr>
          <w:lang w:val="it-IT"/>
        </w:rPr>
        <w:t>Simone Caspani</w:t>
      </w:r>
      <w:r w:rsidR="00872333" w:rsidRPr="00872333">
        <w:rPr>
          <w:vertAlign w:val="superscript"/>
          <w:lang w:val="it-IT"/>
        </w:rPr>
        <w:t>b</w:t>
      </w:r>
      <w:r w:rsidR="00872333">
        <w:rPr>
          <w:lang w:val="it-IT"/>
        </w:rPr>
        <w:t xml:space="preserve">, </w:t>
      </w:r>
      <w:r w:rsidRPr="007A26D4">
        <w:rPr>
          <w:lang w:val="it-IT"/>
        </w:rPr>
        <w:t>Francesco Gallo</w:t>
      </w:r>
      <w:r w:rsidRPr="007A26D4">
        <w:rPr>
          <w:vertAlign w:val="superscript"/>
          <w:lang w:val="it-IT"/>
        </w:rPr>
        <w:t>a</w:t>
      </w:r>
      <w:r w:rsidRPr="007A26D4">
        <w:rPr>
          <w:lang w:val="it-IT"/>
        </w:rPr>
        <w:t>, Flavio Manenti</w:t>
      </w:r>
      <w:r w:rsidRPr="007A26D4">
        <w:rPr>
          <w:vertAlign w:val="superscript"/>
          <w:lang w:val="it-IT"/>
        </w:rPr>
        <w:t>b,*</w:t>
      </w:r>
    </w:p>
    <w:p w14:paraId="144DE681" w14:textId="16F0E7E3" w:rsidR="00DD3D9E" w:rsidRPr="00301A57" w:rsidRDefault="00301A57">
      <w:pPr>
        <w:pStyle w:val="Els-Affiliation"/>
        <w:rPr>
          <w:lang w:val="it-IT"/>
        </w:rPr>
      </w:pPr>
      <w:r w:rsidRPr="00301A57">
        <w:rPr>
          <w:vertAlign w:val="superscript"/>
          <w:lang w:val="it-IT"/>
        </w:rPr>
        <w:t>a</w:t>
      </w:r>
      <w:r w:rsidRPr="00301A57">
        <w:rPr>
          <w:lang w:val="it-IT"/>
        </w:rPr>
        <w:t>Itelyum Regeneration S.p.A., Via Tavernelle 19, Pieve Fissiraga 26854, Lodi, Italy</w:t>
      </w:r>
    </w:p>
    <w:p w14:paraId="144DE682" w14:textId="7F5504EC" w:rsidR="00DD3D9E" w:rsidRPr="00301A57" w:rsidRDefault="00301A57">
      <w:pPr>
        <w:pStyle w:val="Els-Affiliation"/>
        <w:rPr>
          <w:lang w:val="it-IT"/>
        </w:rPr>
      </w:pPr>
      <w:r w:rsidRPr="00301A57">
        <w:rPr>
          <w:vertAlign w:val="superscript"/>
          <w:lang w:val="it-IT"/>
        </w:rPr>
        <w:t>b</w:t>
      </w:r>
      <w:r w:rsidRPr="00301A57">
        <w:rPr>
          <w:lang w:val="it-IT"/>
        </w:rPr>
        <w:t>P</w:t>
      </w:r>
      <w:r>
        <w:rPr>
          <w:lang w:val="it-IT"/>
        </w:rPr>
        <w:t xml:space="preserve">olitecnico </w:t>
      </w:r>
      <w:r w:rsidRPr="00301A57">
        <w:rPr>
          <w:lang w:val="it-IT"/>
        </w:rPr>
        <w:t>di Milano, CMIC Dept. “Giulio Natta”, Piazza Leonardo da Vinci 32, Milan 20133, Italy</w:t>
      </w:r>
    </w:p>
    <w:p w14:paraId="144DE683" w14:textId="417BAC51" w:rsidR="008D2649" w:rsidRPr="00F53287" w:rsidRDefault="00301A57" w:rsidP="008D2649">
      <w:pPr>
        <w:pStyle w:val="Els-Affiliation"/>
        <w:spacing w:after="120"/>
        <w:rPr>
          <w:lang w:val="en-US"/>
        </w:rPr>
      </w:pPr>
      <w:r w:rsidRPr="00F53287">
        <w:rPr>
          <w:lang w:val="en-US"/>
        </w:rPr>
        <w:t>*flavio.manenti@polimi.it</w:t>
      </w:r>
    </w:p>
    <w:p w14:paraId="144DE684" w14:textId="6EAFE605" w:rsidR="008D2649" w:rsidRPr="00816586" w:rsidRDefault="008D2649" w:rsidP="008D2649">
      <w:pPr>
        <w:pStyle w:val="Els-Abstract"/>
      </w:pPr>
      <w:r w:rsidRPr="00816586">
        <w:t>Abstract</w:t>
      </w:r>
    </w:p>
    <w:p w14:paraId="144DE686" w14:textId="18C48D28" w:rsidR="008D2649" w:rsidRPr="00BA1356" w:rsidRDefault="006E7100" w:rsidP="00110BA5">
      <w:pPr>
        <w:pStyle w:val="Els-body-text"/>
        <w:spacing w:after="120"/>
      </w:pPr>
      <w:r>
        <w:t>Dynamic process simulat</w:t>
      </w:r>
      <w:r w:rsidR="00F82261">
        <w:t xml:space="preserve">ion is a valuable </w:t>
      </w:r>
      <w:r w:rsidR="00E653E6">
        <w:t>strategy</w:t>
      </w:r>
      <w:r w:rsidR="00F82261">
        <w:t xml:space="preserve"> to enhance </w:t>
      </w:r>
      <w:r w:rsidR="00E653E6">
        <w:t>the reliability of transient operations in chemical plants.</w:t>
      </w:r>
      <w:r w:rsidR="00DF0FFD">
        <w:t xml:space="preserve"> </w:t>
      </w:r>
      <w:r w:rsidR="00F55763">
        <w:t xml:space="preserve">Deviations from normal operating conditions may be necessary to </w:t>
      </w:r>
      <w:r w:rsidR="00FB79F8">
        <w:t xml:space="preserve">perform corrective actions against any </w:t>
      </w:r>
      <w:r w:rsidR="00BA5791">
        <w:t xml:space="preserve">external </w:t>
      </w:r>
      <w:r w:rsidR="00FB79F8">
        <w:t xml:space="preserve">disturbance that may alter </w:t>
      </w:r>
      <w:r w:rsidR="00BA5791">
        <w:t xml:space="preserve">the performance of some </w:t>
      </w:r>
      <w:r w:rsidR="00FB79F8">
        <w:t xml:space="preserve">process units. </w:t>
      </w:r>
      <w:r w:rsidR="000470FE">
        <w:t>Moreover, some standard plant operations are intrinsically transient in nature, such as start-up and shut-down</w:t>
      </w:r>
      <w:r w:rsidR="00547A0C">
        <w:t xml:space="preserve"> procedures</w:t>
      </w:r>
      <w:r w:rsidR="000470FE">
        <w:t>.</w:t>
      </w:r>
      <w:r w:rsidR="00DB71EE">
        <w:t xml:space="preserve"> </w:t>
      </w:r>
      <w:r w:rsidR="00B87818">
        <w:t>Used oil</w:t>
      </w:r>
      <w:r w:rsidR="0009729A">
        <w:t xml:space="preserve"> waste</w:t>
      </w:r>
      <w:r w:rsidR="00B87818">
        <w:t xml:space="preserve"> </w:t>
      </w:r>
      <w:r w:rsidR="00141FE5">
        <w:t>re-refining</w:t>
      </w:r>
      <w:r w:rsidR="00B87818">
        <w:t xml:space="preserve"> industry is beginning to explore this strategy, which could lead to successful outcomes</w:t>
      </w:r>
      <w:r w:rsidR="00141FE5">
        <w:t>, similarly to what has been observed in the crude oil refining industry</w:t>
      </w:r>
      <w:r w:rsidR="00B87818">
        <w:t xml:space="preserve">. This work proposes </w:t>
      </w:r>
      <w:r w:rsidR="00AE0710">
        <w:t xml:space="preserve">a </w:t>
      </w:r>
      <w:r w:rsidR="004F012C">
        <w:t xml:space="preserve">modeling approach for the dynamic simulation of a thermodeasphalting column for the regeneration of used oil, currently operative in the Itelyum Regeneration re-refining </w:t>
      </w:r>
      <w:r w:rsidR="00732937">
        <w:t>facility in Pieve Fissiraga</w:t>
      </w:r>
      <w:r w:rsidR="004F012C">
        <w:t>.</w:t>
      </w:r>
      <w:r w:rsidR="00732937">
        <w:t xml:space="preserve"> The modeling</w:t>
      </w:r>
      <w:r w:rsidR="00F60E40">
        <w:t xml:space="preserve"> </w:t>
      </w:r>
      <w:r w:rsidR="005C2C96">
        <w:t>strategy</w:t>
      </w:r>
      <w:r w:rsidR="00F60E40">
        <w:t xml:space="preserve"> introduces a discretization of the column</w:t>
      </w:r>
      <w:r w:rsidR="00A9079A">
        <w:t xml:space="preserve"> sections</w:t>
      </w:r>
      <w:r w:rsidR="00B44414">
        <w:t xml:space="preserve">, </w:t>
      </w:r>
      <w:r w:rsidR="00E17C80">
        <w:t xml:space="preserve">a reasoned choice of appropriate thermodynamic </w:t>
      </w:r>
      <w:r w:rsidR="003C064D">
        <w:t>methods</w:t>
      </w:r>
      <w:r w:rsidR="00E17C80">
        <w:t xml:space="preserve">, </w:t>
      </w:r>
      <w:r w:rsidR="003C064D">
        <w:t>and the calculation of the main equilibrium and transport parameters necessary to solve mass, energy, and momentum balances on the col</w:t>
      </w:r>
      <w:r w:rsidR="0073743F">
        <w:t xml:space="preserve">umn sections. The model </w:t>
      </w:r>
      <w:r w:rsidR="00CD1C60">
        <w:t xml:space="preserve">is validated with </w:t>
      </w:r>
      <w:r w:rsidR="0073743F">
        <w:t>experimental data,</w:t>
      </w:r>
      <w:r w:rsidR="00CD1C60">
        <w:t xml:space="preserve"> showing good agreement</w:t>
      </w:r>
      <w:r w:rsidR="0073743F">
        <w:t xml:space="preserve"> </w:t>
      </w:r>
      <w:r w:rsidR="00E21631">
        <w:t xml:space="preserve">regarding both </w:t>
      </w:r>
      <w:r w:rsidR="0073743F">
        <w:t xml:space="preserve">manipulated and controlled variables, </w:t>
      </w:r>
      <w:r w:rsidR="0038630F">
        <w:t xml:space="preserve">thus becoming a valuable tool for the aprioristic evaluation of critical transient </w:t>
      </w:r>
      <w:r w:rsidR="008B0FD6">
        <w:t>operations</w:t>
      </w:r>
      <w:r w:rsidR="0038630F">
        <w:t xml:space="preserve"> such as start-up, shut-down, and accidents simulation.</w:t>
      </w:r>
    </w:p>
    <w:p w14:paraId="144DE687" w14:textId="09320EEC" w:rsidR="008D2649" w:rsidRDefault="008D2649" w:rsidP="008D2649">
      <w:pPr>
        <w:pStyle w:val="Els-body-text"/>
        <w:spacing w:after="120"/>
        <w:rPr>
          <w:lang w:val="en-GB"/>
        </w:rPr>
      </w:pPr>
      <w:r>
        <w:rPr>
          <w:b/>
          <w:bCs/>
          <w:lang w:val="en-GB"/>
        </w:rPr>
        <w:t>Keywords</w:t>
      </w:r>
      <w:r>
        <w:rPr>
          <w:lang w:val="en-GB"/>
        </w:rPr>
        <w:t xml:space="preserve">: </w:t>
      </w:r>
      <w:r w:rsidR="00943A33" w:rsidRPr="00943A33">
        <w:rPr>
          <w:lang w:val="en-GB"/>
        </w:rPr>
        <w:t>AVEVA Dynamic Simulation, Dynamic modelling, Revivoil, Thermodeasphalting, Used oil</w:t>
      </w:r>
      <w:r>
        <w:rPr>
          <w:lang w:val="en-GB"/>
        </w:rPr>
        <w:t>.</w:t>
      </w:r>
    </w:p>
    <w:p w14:paraId="144DE689" w14:textId="1CE8AFBA" w:rsidR="008D2649" w:rsidRDefault="008562DC" w:rsidP="008D2649">
      <w:pPr>
        <w:pStyle w:val="Els-1storder-head"/>
      </w:pPr>
      <w:r>
        <w:t>Introduction</w:t>
      </w:r>
    </w:p>
    <w:p w14:paraId="2BB9F3D8" w14:textId="542B7DC2" w:rsidR="00E57E79" w:rsidRPr="00E57E79" w:rsidRDefault="00067E8B" w:rsidP="00E57E79">
      <w:pPr>
        <w:pStyle w:val="Els-body-text"/>
      </w:pPr>
      <w:r>
        <w:t>Historically, the complexity of operations in chemical plants was governed by relying</w:t>
      </w:r>
      <w:r w:rsidR="000B074A">
        <w:t xml:space="preserve"> on steady-state simulation tools, which are representative of normal operations</w:t>
      </w:r>
      <w:r w:rsidR="00C45646">
        <w:t xml:space="preserve">. </w:t>
      </w:r>
      <w:r w:rsidR="009D4FFF">
        <w:t xml:space="preserve">However, transient operations are also critical for the correct </w:t>
      </w:r>
      <w:r w:rsidR="0020320E">
        <w:t xml:space="preserve">conduction of a chemical plant, they </w:t>
      </w:r>
      <w:r w:rsidR="00455992">
        <w:t>occur in</w:t>
      </w:r>
      <w:r w:rsidR="00660504">
        <w:t xml:space="preserve"> extremely delicate </w:t>
      </w:r>
      <w:r w:rsidR="0020320E">
        <w:t>timeframes during which</w:t>
      </w:r>
      <w:r w:rsidR="00660504">
        <w:t xml:space="preserve"> the change from a stable, steady-state condition to a new one </w:t>
      </w:r>
      <w:r w:rsidR="0020320E">
        <w:t xml:space="preserve">may lead to </w:t>
      </w:r>
      <w:r w:rsidR="00055401">
        <w:t>problematic events.</w:t>
      </w:r>
      <w:r w:rsidR="00E93617">
        <w:t xml:space="preserve"> Management of these transient timeframes that may occur during normal operations is a research topic that </w:t>
      </w:r>
      <w:r w:rsidR="00B83DCB">
        <w:t>identifies</w:t>
      </w:r>
      <w:r w:rsidR="00E93617">
        <w:t xml:space="preserve"> dynamic process simulation suites </w:t>
      </w:r>
      <w:r w:rsidR="000408A9">
        <w:t xml:space="preserve">as the main tool to </w:t>
      </w:r>
      <w:r w:rsidR="00D334AF">
        <w:t>assist</w:t>
      </w:r>
      <w:r w:rsidR="000408A9">
        <w:t xml:space="preserve"> plant personnel </w:t>
      </w:r>
      <w:r w:rsidR="000408A9">
        <w:fldChar w:fldCharType="begin"/>
      </w:r>
      <w:r w:rsidR="000408A9">
        <w:instrText xml:space="preserve"> ADDIN ZOTERO_ITEM CSL_CITATION {"citationID":"smsKtqHf","properties":{"formattedCitation":"(Srinivasan et al., 2005)","plainCitation":"(Srinivasan et al., 2005)","noteIndex":0},"citationItems":[{"id":407,"uris":["http://zotero.org/users/11115034/items/CXNRMQHK"],"itemData":{"id":407,"type":"article-journal","abstract":"Chemical processes operate at a multitude of steady states and frequently undergo transitions between them. Alarm management, fault diagnosis, and other automation systems are however, usually configured assuming a single state of operation. When the plant moves out of that state, these applications signal false alarms even when a desired change is occurring. In this paper, we propose a framework that would enable these applications to be state-conscious and reconfigure themselves to remain relevant in any process state. Process states are demarcated into modes and transitions corresponding to quasi-steady state and transient operations, respectively. Modes are characterized using variable ranges and transitions using key variables and their trends. A trend analysis-based approach for locating and characterizing the modes and transitions in historical data is proposed. A supervisory system that tracks the state of the process units online is also developed. The application to two case studies - startup and grade change transitions in a pilot scale distillation column and startup and shutdown of a refinery catalytic cracking unit simulation - is reported. The benefits of the framework are illustrated through dynamic state-specific alarm reconfiguration during a startup. © 2004 Elsevier Ltd. All rights reserved.","archive":"Scopus","container-title":"Computers and Chemical Engineering","DOI":"10.1016/j.compchemeng.2004.09.024","ISSN":"0098-1354","issue":"2","language":"English","page":"305-322","source":"Scopus","title":"A framework for managing transitions in chemical plants","volume":"29","author":[{"family":"Srinivasan","given":"R."},{"family":"Viswanathan","given":"P."},{"family":"Vedam","given":"H."},{"family":"Nochur","given":"A."}],"issued":{"date-parts":[["2005"]]}}}],"schema":"https://github.com/citation-style-language/schema/raw/master/csl-citation.json"} </w:instrText>
      </w:r>
      <w:r w:rsidR="000408A9">
        <w:fldChar w:fldCharType="separate"/>
      </w:r>
      <w:r w:rsidR="000408A9" w:rsidRPr="000408A9">
        <w:t>(Srinivasan et al., 2005)</w:t>
      </w:r>
      <w:r w:rsidR="000408A9">
        <w:fldChar w:fldCharType="end"/>
      </w:r>
      <w:r w:rsidR="000408A9">
        <w:t xml:space="preserve">. </w:t>
      </w:r>
      <w:r w:rsidR="006E756C">
        <w:t>The domain of cru</w:t>
      </w:r>
      <w:r w:rsidR="003B34BC">
        <w:t>de oil refining</w:t>
      </w:r>
      <w:r w:rsidR="006E756C">
        <w:t xml:space="preserve"> has shown significant advancements in dynamic simulation, including case studies regarding typical unit operations such as </w:t>
      </w:r>
      <w:r w:rsidR="004C0A90">
        <w:t xml:space="preserve">crude oil </w:t>
      </w:r>
      <w:r w:rsidR="006E756C">
        <w:t xml:space="preserve">atmospheric </w:t>
      </w:r>
      <w:r w:rsidR="004C0A90">
        <w:t xml:space="preserve">distillation </w:t>
      </w:r>
      <w:r w:rsidR="004C0A90">
        <w:fldChar w:fldCharType="begin"/>
      </w:r>
      <w:r w:rsidR="004C0A90">
        <w:instrText xml:space="preserve"> ADDIN ZOTERO_ITEM CSL_CITATION {"citationID":"3Wmr9WC4","properties":{"formattedCitation":"(Sotelo et al., 2019)","plainCitation":"(Sotelo et al., 2019)","noteIndex":0},"citationItems":[{"id":410,"uris":["http://zotero.org/users/11115034/items/ESWYPWUJ"],"itemData":{"id":410,"type":"article-journal","abstract":"Petroleum subproducts are obtained in a crude oil distillation plant. Here, due to the chemical properties of the crude oil, a series of complex reactions occurs, and measurements are not always feasible. This poses a challenge to analyse the outcome of the process under real operating conditions. To overcome these difficulties, this paper presents an unpublished modelling and dynamic simulation of a complete distillation plant using Aspen HYSYS® environment. The process involves four major stages: Preflash, atmospheric, stabilizer and vacuum, in which condensers, reboilers, heat exchangers, distillation columns and side strippers are designed based on a deep literature review. Moreover, considering that actual refinery plants work with fixed yields set by plant operators, the present work proposes a control strategy that continuously estimates and obtains stable distillate flows of kerosene, diesel and atmospheric gas oil. The simulation results show the comparison of the modelling parameters with actual data and the performance of the crude oil distillation plant under the implemented control system. © 2019, DAAAM International Vienna. All rights reserved.","archive":"Scopus","container-title":"International Journal of Simulation Modelling","DOI":"10.2507/IJSIMM18(2)465","ISSN":"1726-4529","issue":"2","language":"English","page":"229-241","source":"Scopus","title":"Dynamic simulation of a crude oil distillation plant using Aspen-Hysys®","volume":"18","author":[{"family":"Sotelo","given":"D."},{"family":"Favela-Contreras","given":"A."},{"family":"Lozoya","given":"C."},{"family":"Beltran-Carbajal","given":"F."},{"family":"Dieck-Assad","given":"G."},{"family":"Sotelo","given":"C."}],"issued":{"date-parts":[["2019"]]}}}],"schema":"https://github.com/citation-style-language/schema/raw/master/csl-citation.json"} </w:instrText>
      </w:r>
      <w:r w:rsidR="004C0A90">
        <w:fldChar w:fldCharType="separate"/>
      </w:r>
      <w:r w:rsidR="004C0A90" w:rsidRPr="004C0A90">
        <w:t>(Sotelo et al., 2019)</w:t>
      </w:r>
      <w:r w:rsidR="004C0A90">
        <w:fldChar w:fldCharType="end"/>
      </w:r>
      <w:r w:rsidR="004C0A90">
        <w:t xml:space="preserve">, and </w:t>
      </w:r>
      <w:r w:rsidR="006E756C">
        <w:t xml:space="preserve">hydrogen purification </w:t>
      </w:r>
      <w:r w:rsidR="00185C4D">
        <w:t>through</w:t>
      </w:r>
      <w:r w:rsidR="006E756C">
        <w:t xml:space="preserve"> PSA systems </w:t>
      </w:r>
      <w:r w:rsidR="006E756C">
        <w:fldChar w:fldCharType="begin"/>
      </w:r>
      <w:r w:rsidR="006E756C">
        <w:instrText xml:space="preserve"> ADDIN ZOTERO_ITEM CSL_CITATION {"citationID":"0XXQGzI2","properties":{"formattedCitation":"(Agarwal et al., 2009)","plainCitation":"(Agarwal et al., 2009)","noteIndex":0},"citationItems":[{"id":417,"uris":["http://zotero.org/users/11115034/items/HA6FMRML"],"itemData":{"id":417,"type":"article-journal","abstract":"Over the past three decades, pressure swing adsorption (PSA) processes have been widely used as energyefficient gas separation techniques, especially for high purity hydrogen purification from refinery gases. Models for PSA processes are multiple instances of partial differential equations (PDEs) in time and space with periodic boundary conditions that link the processing steps together. The solution of this coupled stiff PDE system is governed by steep fronts moving with time. As a result, the optimization of such systems represents a significant computational challenge to current differential algebraic equation (DAE) optimization techniques and nonlinear programming algorithms. Model reduction is one approach to generate cost-efficient low-order models which can be used as surrogate models in the optimization problems. This study develops a reducedorder model (ROM) based on proper orthogonal decomposition (POD), which is a low-dimensional approximation to a dynamic PDE-based model. The proposed method leads to a DAE system of significantly lower order, thus replacing the one obtained from spatial discretization and making the optimization problem computationally efficient. The method has been applied to the dynamic coupled PDE-based model of a twobed four-step PSA process for separation of hydrogen from methane. Separate ROMs have been developed for each operating step with different POD modes for each of them. A significant reduction in the order of the number of states has been achieved. The reduced-order model has been successfully used to maximize hydrogen recovery by manipulating operating pressures, step times and feed and regeneration velocities, while meeting product purity and tight bounds on these parameters. Current results indicate the proposed ROM methodology as a promising surrogate modeling technique for cost-effective optimization purposes. © 2009 American Chemical Society.","archive":"Scopus","container-title":"Industrial and Engineering Chemistry Research","DOI":"10.1021/ie071416p","ISSN":"0888-5885","issue":"5","language":"English","page":"2327-2343","source":"Scopus","title":"Simulation and optimization of pressure swing adsorption systems using reduced-order modeling","volume":"48","author":[{"family":"Agarwal","given":"A."},{"family":"Biegler","given":"L.T."},{"family":"Zitney","given":"S.E."}],"issued":{"date-parts":[["2009"]]}}}],"schema":"https://github.com/citation-style-language/schema/raw/master/csl-citation.json"} </w:instrText>
      </w:r>
      <w:r w:rsidR="006E756C">
        <w:fldChar w:fldCharType="separate"/>
      </w:r>
      <w:r w:rsidR="006E756C" w:rsidRPr="006E756C">
        <w:t>(Agarwal et al., 2009)</w:t>
      </w:r>
      <w:r w:rsidR="006E756C">
        <w:fldChar w:fldCharType="end"/>
      </w:r>
      <w:r w:rsidR="0068003B">
        <w:t>, but also alternative applications such as</w:t>
      </w:r>
      <w:r w:rsidR="009430BD">
        <w:t xml:space="preserve"> fouling monitoring </w:t>
      </w:r>
      <w:r w:rsidR="009430BD">
        <w:fldChar w:fldCharType="begin"/>
      </w:r>
      <w:r w:rsidR="009430BD">
        <w:instrText xml:space="preserve"> ADDIN ZOTERO_ITEM CSL_CITATION {"citationID":"haeIKiVA","properties":{"formattedCitation":"(D\\uc0\\u237{}az-Bejarano et al., 2015)","plainCitation":"(Díaz-Bejarano et al., 2015)","noteIndex":0},"citationItems":[{"id":423,"uris":["http://zotero.org/users/11115034/items/HRU8YUWS"],"itemData":{"id":423,"type":"article-journal","abstract":"Monitoring of pre-heat trains in oil refineries is a crucial activity to assess the gradual decay in performance of heat transfer equipment due to fouling. It is also important to assist in operational decisions with respect to fouling mitigation options and cleaning strategies. In this paper, a novel graphical representation of time varying operational data is proposed to monitor crude oil fouling. This dynamic thermo-hydraulic plot, named the TH-λ plot, simultaneously captures both thermal and hydraulic performance and presents it in a way easily interpreted by field engineers. Its features and applications are demonstrated here for typical situations using data generated using an advanced dynamic simulation model for shell-and-tube heat exchanger undergoing fouling. The results show that consideration of thermal and hydraulic effects, together with process dynamics, is essential to adequately monitor performance, detect changes in fouling behaviour and properly interpret available data. They also show this is achievable using only measurements of inlet and outlet streams to heat exchangers. © 2015 Elsevier B.V.","archive":"Scopus","container-title":"Computer Aided Chemical Engineering","DOI":"10.1016/B978-0-444-63577-8.50120-0","ISSN":"1570-7946","language":"English","page":"1649-1654","source":"Scopus","title":"Detection of changes in fouling behavior by simultaneous monitoring of thermal and hydraulic performance of refinery heat exchangers","volume":"37","author":[{"family":"Díaz-Bejarano","given":"E."},{"family":"Coletti","given":"F."},{"family":"Macchietto","given":"S."}],"issued":{"date-parts":[["2015"]]}}}],"schema":"https://github.com/citation-style-language/schema/raw/master/csl-citation.json"} </w:instrText>
      </w:r>
      <w:r w:rsidR="009430BD">
        <w:fldChar w:fldCharType="separate"/>
      </w:r>
      <w:r w:rsidR="009430BD" w:rsidRPr="009430BD">
        <w:rPr>
          <w:szCs w:val="24"/>
        </w:rPr>
        <w:t>(Díaz-Bejarano et al., 2015)</w:t>
      </w:r>
      <w:r w:rsidR="009430BD">
        <w:fldChar w:fldCharType="end"/>
      </w:r>
      <w:r w:rsidR="009430BD">
        <w:t xml:space="preserve"> and</w:t>
      </w:r>
      <w:r w:rsidR="0068003B">
        <w:t xml:space="preserve"> </w:t>
      </w:r>
      <w:r w:rsidR="009919B1">
        <w:t>personnel</w:t>
      </w:r>
      <w:r w:rsidR="0068003B">
        <w:t xml:space="preserve"> training </w:t>
      </w:r>
      <w:r w:rsidR="0068003B">
        <w:fldChar w:fldCharType="begin"/>
      </w:r>
      <w:r w:rsidR="0068003B">
        <w:instrText xml:space="preserve"> ADDIN ZOTERO_ITEM CSL_CITATION {"citationID":"MYuxqMM3","properties":{"formattedCitation":"(Vasconcelos et al., 2005)","plainCitation":"(Vasconcelos et al., 2005)","noteIndex":0},"citationItems":[{"id":420,"uris":["http://zotero.org/users/11115034/items/RJU4ULI2"],"itemData":{"id":420,"type":"article-journal","abstract":"The simulation of chemical processes is an important tool for solving problems in Computer Aided Process Engineering (CAPE) and the use of commercial simulators is essential for this task. In this work, the intention is to create a virtual environment for industrial process and data representations for operator and engineer training. The applications focus on the separation process dynamic and control. The first case is an azeotropic distillation process. It was used an industrial plant data to illustrate the importance of reliable thermodynamic data to the process simulation. The system studied is the ethanol/water separation using cyclohexane as mass separating agent. As the second case, it was used a refinery data to simulate the debutanizer column of a fluid catalytic cracking unit in order to make this complex problem understandable, well represented and easily reproducible in a simulation framework. In this case, optimization, regulatory control, PID tuning and model predictive control were considered. The energy consumption was minimized using the SQP method. Simulations were performed using HYSYS. Plant process simulator. © 2005 Elsevier B.V. All rights reserved.","archive":"Scopus","container-title":"Computer Aided Chemical Engineering","DOI":"10.1016/S1570-7946(05)80216-0","ISSN":"1570-7946","issue":"C","language":"English","page":"565-570","source":"Scopus","title":"Dynamic models towards operator and engineer training: Virtual environment","title-short":"Dynamic models towards operator and engineer training","volume":"20","author":[{"family":"Vasconcelos","given":"C.J.G."},{"family":"Filho","given":"R.M."},{"family":"Spandri","given":"R."},{"family":"Wolf-Maciel","given":"M.R."}],"issued":{"date-parts":[["2005"]]}}}],"schema":"https://github.com/citation-style-language/schema/raw/master/csl-citation.json"} </w:instrText>
      </w:r>
      <w:r w:rsidR="0068003B">
        <w:fldChar w:fldCharType="separate"/>
      </w:r>
      <w:r w:rsidR="0068003B" w:rsidRPr="0068003B">
        <w:t>(Vasconcelos et al., 2005)</w:t>
      </w:r>
      <w:r w:rsidR="0068003B">
        <w:fldChar w:fldCharType="end"/>
      </w:r>
      <w:r w:rsidR="006E756C">
        <w:t xml:space="preserve">. </w:t>
      </w:r>
      <w:r w:rsidR="00185C4D">
        <w:t xml:space="preserve">The domain of used oil waste re-refining, which has a large </w:t>
      </w:r>
      <w:r w:rsidR="00185C4D">
        <w:lastRenderedPageBreak/>
        <w:t xml:space="preserve">number of technologies already available and operating on the market </w:t>
      </w:r>
      <w:r w:rsidR="00185C4D">
        <w:fldChar w:fldCharType="begin"/>
      </w:r>
      <w:r w:rsidR="00185C4D">
        <w:instrText xml:space="preserve"> ADDIN ZOTERO_ITEM CSL_CITATION {"citationID":"aOGtPfyM","properties":{"formattedCitation":"(Kupareva et al., 2013)","plainCitation":"(Kupareva et al., 2013)","noteIndex":0},"citationItems":[{"id":354,"uris":["http://zotero.org/users/11115034/items/E2TBHIXN"],"itemData":{"id":354,"type":"article-journal","abstract":"The European oil rerefining industry is comprised of 28 plants treating waste oil, which represent one-third in volume of the total European market for lubricants. The biggest European rerefineries with capacity greater than 40 000 tons/year apply various technologies for recycling of used oils from different sources. Used oil recycling technology has undergone significant changes over the past decade. With the newly developed rerefining technologies it is possible to produce higher quality base oil compared with the traditional and old acid clay methods. Currently in Europe the following re-refining methods are widely used: solvent extraction (N-methyl-2-pyrrolidone (Germany), Interline process (United Kingdom, Spain)); combined vacuum distillation and solvent extraction (Vaxon process (Denmark, Spain); hydroprocessing (Hylube process (Germany)); combined thin film evaporation and hydrofinishing (CEP process (Finland)); combined thermal de-asphalting and hydrofinishing (Revivoil process (Italy, Poland, and Spain)). The majority of applied technologies in Europe is appropriate for rerefining of synthetic lubricating oils, which currently are replacing the conventional mineral lube oils due to their enhanced performance characteristics. However, for the rerefining technologies applying alkaline treatment (CEP, Vaxon) and hydrofinishing step (Cyclon, Snamprogetti, Revivoil) the amount of synthetic or semi-synthetic oils based on esters in the feedstock should be eliminated, since these oils are less stable under alkali and hydrofinishing conditions. © 2013 Society of Chemical Industry.","archive":"Scopus","container-title":"Journal of Chemical Technology and Biotechnology","DOI":"10.1002/jctb.4137","ISSN":"1097-4660","issue":"10","language":"English","page":"1780-1793","source":"Scopus","title":"Technology for rerefining used lube oils applied in Europe: A review","title-short":"Technology for rerefining used lube oils applied in Europe","volume":"88","author":[{"family":"Kupareva","given":"A."},{"family":"Mäki-Arvela","given":"P."},{"family":"Murzin","given":"D.Y."}],"issued":{"date-parts":[["2013"]]}}}],"schema":"https://github.com/citation-style-language/schema/raw/master/csl-citation.json"} </w:instrText>
      </w:r>
      <w:r w:rsidR="00185C4D">
        <w:fldChar w:fldCharType="separate"/>
      </w:r>
      <w:r w:rsidR="00185C4D" w:rsidRPr="00185C4D">
        <w:t>(Kupareva et al., 2013)</w:t>
      </w:r>
      <w:r w:rsidR="00185C4D">
        <w:fldChar w:fldCharType="end"/>
      </w:r>
      <w:r w:rsidR="00185C4D">
        <w:t>, is much less developed</w:t>
      </w:r>
      <w:r w:rsidR="000D00FD">
        <w:t xml:space="preserve"> in this sense</w:t>
      </w:r>
      <w:r w:rsidR="00185C4D">
        <w:t xml:space="preserve">, showing only preliminary approaches centered around the dynamic validation of </w:t>
      </w:r>
      <w:r w:rsidR="004C0A90">
        <w:t>controller</w:t>
      </w:r>
      <w:r w:rsidR="00185C4D">
        <w:t>s</w:t>
      </w:r>
      <w:r w:rsidR="004C0A90">
        <w:t xml:space="preserve"> response </w:t>
      </w:r>
      <w:r w:rsidR="00185C4D">
        <w:fldChar w:fldCharType="begin"/>
      </w:r>
      <w:r w:rsidR="00185C4D">
        <w:instrText xml:space="preserve"> ADDIN ZOTERO_ITEM CSL_CITATION {"citationID":"YlSMqpj1","properties":{"formattedCitation":"(Haura et al., 2017)","plainCitation":"(Haura et al., 2017)","noteIndex":0},"citationItems":[{"id":414,"uris":["http://zotero.org/users/11115034/items/6PYHKRJR"],"itemData":{"id":414,"type":"article-journal","abstract":"The purposes of this research are to make a steady state and dynamic process simulations and to analyse process dynamics as well as to calculate the performance of 1DOF IMC on re-refinery used oil distillation column control. The controller for this research is IMC (Internal Model Control), a model based controller. IMC structure used in this research is one degree of freedom-IMC, a type of controller that gives a very good response for set point change (servo problem). First step in this work is to set steady state and dynamic process simulations. Secondly, a simulation on 1DOF IMC controller having a set point change in tray temperature was carried out using software Simulink. Responses of 1DOF IMC on enriching temperature and stripping temperature show that the controller can give good responses for set point change. The integral absolute error (IAE) for 1DOF IMC for a set point change in the enriching temperature are 68.5 for enriching temperature response and 13.59 for stripping temperature response. For a set point change of stripping temperature are 68.12 for enriching temperature response and 35.48 for stripping temperature response respectively. Copyright © 2017, AIDIC Servizi S.r.l..","archive":"Scopus","container-title":"Chemical Engineering Transactions","DOI":"10.3303/CET1756246","ISSN":"2283-9216","language":"English","note":"ISBN: 9788895608471","page":"1471-1476","source":"Scopus","title":"Re-refinery used oil vacuum distillation column control by using internal model control","volume":"56","author":[{"family":"Haura","given":"A.L."},{"family":"Ma'mun","given":"K.Q."},{"family":"Sutikno","given":"J.P."},{"family":"Handogo","given":"R."}],"issued":{"date-parts":[["2017"]]}}}],"schema":"https://github.com/citation-style-language/schema/raw/master/csl-citation.json"} </w:instrText>
      </w:r>
      <w:r w:rsidR="00185C4D">
        <w:fldChar w:fldCharType="separate"/>
      </w:r>
      <w:r w:rsidR="00185C4D" w:rsidRPr="00185C4D">
        <w:t>(Haura et al., 2017)</w:t>
      </w:r>
      <w:r w:rsidR="00185C4D">
        <w:fldChar w:fldCharType="end"/>
      </w:r>
      <w:r w:rsidR="00185C4D">
        <w:t>. This paper introduces a new, important step in the domain of dynamic modeling within the used oil re-refining industry, by developing a methodology for the modeling and validation of a thermodeasphalting column, key process component of the Revivoil® process that is currently run in the Itelyum Regeneration re-refining facility</w:t>
      </w:r>
      <w:r w:rsidR="00683B45">
        <w:t xml:space="preserve"> </w:t>
      </w:r>
      <w:r w:rsidR="00683B45">
        <w:fldChar w:fldCharType="begin"/>
      </w:r>
      <w:r w:rsidR="00683B45">
        <w:instrText xml:space="preserve"> ADDIN ZOTERO_ITEM CSL_CITATION {"citationID":"y7HJd1Ny","properties":{"formattedCitation":"(Gallo, 2016)","plainCitation":"(Gallo, 2016)","noteIndex":0},"citationItems":[{"id":255,"uris":["http://zotero.org/users/11115034/items/KIPY3TMV"],"itemData":{"id":255,"type":"patent","abstract":"No abstract found. Please consult other publications of this patent family in \"Available in\", if displayed above.","call-number":"ITUB20151298A","issue":"ITUB20151298A·2015-05-28","number":"ITUB20151298A1","title":"Procedimento di rigenerazione di olii usati","author":[{"family":"Gallo","given":"Francesco"}],"issued":{"date-parts":[["2016",11,28]]},"submitted":{"date-parts":[["2015",5,28]]}}}],"schema":"https://github.com/citation-style-language/schema/raw/master/csl-citation.json"} </w:instrText>
      </w:r>
      <w:r w:rsidR="00683B45">
        <w:fldChar w:fldCharType="separate"/>
      </w:r>
      <w:r w:rsidR="00683B45" w:rsidRPr="00683B45">
        <w:t>(Gallo, 2016)</w:t>
      </w:r>
      <w:r w:rsidR="00683B45">
        <w:fldChar w:fldCharType="end"/>
      </w:r>
      <w:r w:rsidR="00185C4D">
        <w:t>.</w:t>
      </w:r>
    </w:p>
    <w:p w14:paraId="144DE699" w14:textId="0B0FAAD4" w:rsidR="008D2649" w:rsidRDefault="002F5808" w:rsidP="008D2649">
      <w:pPr>
        <w:pStyle w:val="Els-1storder-head"/>
      </w:pPr>
      <w:r>
        <w:t>Materials and Methods</w:t>
      </w:r>
    </w:p>
    <w:p w14:paraId="123284D4" w14:textId="6CA62787" w:rsidR="000A4F00" w:rsidRDefault="00FF57EC" w:rsidP="00E86716">
      <w:pPr>
        <w:pStyle w:val="Els-body-text"/>
        <w:spacing w:after="120"/>
      </w:pPr>
      <w:r>
        <w:t xml:space="preserve">The thermodeasphalting (TDA) section of </w:t>
      </w:r>
      <w:r w:rsidR="003C697F">
        <w:t>the Revivoil® process</w:t>
      </w:r>
      <w:r>
        <w:t xml:space="preserve"> is a crucial</w:t>
      </w:r>
      <w:r w:rsidR="007C616A">
        <w:t xml:space="preserve"> </w:t>
      </w:r>
      <w:r>
        <w:t xml:space="preserve">step for the proper regeneration of used oil. </w:t>
      </w:r>
      <w:r w:rsidR="00FA7C9F">
        <w:t>T</w:t>
      </w:r>
      <w:r w:rsidR="003C697F">
        <w:t xml:space="preserve">he TDA section performs the separation of </w:t>
      </w:r>
      <w:r w:rsidR="00C97E55">
        <w:t xml:space="preserve">dehydrated used oil into </w:t>
      </w:r>
      <w:r w:rsidR="0097424A">
        <w:t>semi-finished</w:t>
      </w:r>
      <w:r w:rsidR="007F3A58">
        <w:t xml:space="preserve"> base</w:t>
      </w:r>
      <w:r w:rsidR="0097424A">
        <w:t xml:space="preserve"> lube oil cuts, those being spindle, light, and heavy lubricant fractions (SLF, LLF, HLF, respectively). </w:t>
      </w:r>
      <w:r w:rsidR="004F545C">
        <w:t>Vacuum gasoil (VGO) and bitumen (VISCOFLEX) are also produced as byproducts</w:t>
      </w:r>
      <w:r w:rsidR="00E8752B">
        <w:t xml:space="preserve"> </w:t>
      </w:r>
      <w:r w:rsidR="00E8752B">
        <w:fldChar w:fldCharType="begin"/>
      </w:r>
      <w:r w:rsidR="00E8752B">
        <w:instrText xml:space="preserve"> ADDIN ZOTERO_ITEM CSL_CITATION {"citationID":"TFqKWf3Z","properties":{"formattedCitation":"(Gallo, 2016)","plainCitation":"(Gallo, 2016)","noteIndex":0},"citationItems":[{"id":255,"uris":["http://zotero.org/users/11115034/items/KIPY3TMV"],"itemData":{"id":255,"type":"patent","abstract":"No abstract found. Please consult other publications of this patent family in \"Available in\", if displayed above.","call-number":"ITUB20151298A","issue":"ITUB20151298A·2015-05-28","number":"ITUB20151298A1","title":"Procedimento di rigenerazione di olii usati","author":[{"family":"Gallo","given":"Francesco"}],"issued":{"date-parts":[["2016",11,28]]},"submitted":{"date-parts":[["2015",5,28]]}}}],"schema":"https://github.com/citation-style-language/schema/raw/master/csl-citation.json"} </w:instrText>
      </w:r>
      <w:r w:rsidR="00E8752B">
        <w:fldChar w:fldCharType="separate"/>
      </w:r>
      <w:r w:rsidR="00E8752B" w:rsidRPr="00E8752B">
        <w:t>(Gallo, 2016)</w:t>
      </w:r>
      <w:r w:rsidR="00E8752B">
        <w:fldChar w:fldCharType="end"/>
      </w:r>
      <w:r w:rsidR="004F545C">
        <w:t xml:space="preserve">. </w:t>
      </w:r>
      <w:r w:rsidR="00BE77CC">
        <w:t>The T-401 vacuum column o</w:t>
      </w:r>
      <w:r w:rsidR="004F545C">
        <w:t xml:space="preserve">f the section </w:t>
      </w:r>
      <w:r w:rsidR="005032CC">
        <w:t xml:space="preserve">is a packed column </w:t>
      </w:r>
      <w:r w:rsidR="00F3550E">
        <w:t>that is internally divided in</w:t>
      </w:r>
      <w:r w:rsidR="00DE2B86">
        <w:t>to</w:t>
      </w:r>
      <w:r w:rsidR="005032CC">
        <w:t xml:space="preserve"> sectors, each </w:t>
      </w:r>
      <w:r w:rsidR="008B5402">
        <w:t xml:space="preserve">one </w:t>
      </w:r>
      <w:r w:rsidR="005032CC">
        <w:t>dedicated to the separation of adjacent cuts.</w:t>
      </w:r>
      <w:r w:rsidR="00BC7EE1">
        <w:t xml:space="preserve"> It is possible to identify five different sections</w:t>
      </w:r>
      <w:r w:rsidR="002B1775">
        <w:t>, each one having a liquid collection device at the bottom</w:t>
      </w:r>
      <w:r w:rsidR="00BC7EE1">
        <w:t>.</w:t>
      </w:r>
      <w:r w:rsidR="00613624">
        <w:t xml:space="preserve"> Each section has </w:t>
      </w:r>
      <w:r w:rsidR="00CB17BC">
        <w:t>one or multiple</w:t>
      </w:r>
      <w:r w:rsidR="00613624">
        <w:t xml:space="preserve"> bed</w:t>
      </w:r>
      <w:r w:rsidR="00CB17BC">
        <w:t>s</w:t>
      </w:r>
      <w:r w:rsidR="00613624">
        <w:t xml:space="preserve"> composed of several types of structured packing, </w:t>
      </w:r>
      <w:r w:rsidR="00382A29">
        <w:t>being of</w:t>
      </w:r>
      <w:r w:rsidR="00613624">
        <w:t xml:space="preserve"> different type</w:t>
      </w:r>
      <w:r w:rsidR="00C32DF3">
        <w:t xml:space="preserve"> and height</w:t>
      </w:r>
      <w:r w:rsidR="00AF4BCD">
        <w:t xml:space="preserve">. The authors of this work propose a </w:t>
      </w:r>
      <w:r w:rsidR="00AC18F7">
        <w:t xml:space="preserve">modeling approach </w:t>
      </w:r>
      <w:r w:rsidR="009B4BC9">
        <w:t>for the dynamic simulation of the</w:t>
      </w:r>
      <w:r w:rsidR="00AC18F7">
        <w:t xml:space="preserve"> T-401 column </w:t>
      </w:r>
      <w:r w:rsidR="005507DF">
        <w:t xml:space="preserve">that describes </w:t>
      </w:r>
      <w:r w:rsidR="009B4BC9">
        <w:t>it</w:t>
      </w:r>
      <w:r w:rsidR="005507DF">
        <w:t xml:space="preserve"> as a </w:t>
      </w:r>
      <w:r w:rsidR="009B4BC9">
        <w:t xml:space="preserve">discrete </w:t>
      </w:r>
      <w:r w:rsidR="00B44BFF">
        <w:t>ensemble of five distinct sections, each one interconnec</w:t>
      </w:r>
      <w:r w:rsidR="006A5E03">
        <w:t>ted with the two adjacent ones and representing the real sections into which the column is divided.</w:t>
      </w:r>
      <w:r w:rsidR="002B1775">
        <w:t xml:space="preserve"> </w:t>
      </w:r>
      <w:r w:rsidR="00667CCB">
        <w:t xml:space="preserve">The software chosen for the dynamic modeling is AVEVA Dynamic Simulation </w:t>
      </w:r>
      <w:r w:rsidR="00667CCB">
        <w:fldChar w:fldCharType="begin"/>
      </w:r>
      <w:r w:rsidR="00667CCB">
        <w:instrText xml:space="preserve"> ADDIN ZOTERO_ITEM CSL_CITATION {"citationID":"QWRNSW1M","properties":{"formattedCitation":"(AVEVA, 2023)","plainCitation":"(AVEVA, 2023)","noteIndex":0},"citationItems":[{"id":347,"uris":["http://zotero.org/users/11115034/items/UTMVTBCT"],"itemData":{"id":347,"type":"webpage","abstract":"DYNSIM Dynamic Simulation is a comprehensive, dynamic process simulator that enables users to meet and beat the dynamic challenges of designing and operating a modern process plant safely and profitably.","title":"DYNSIM Dynamic Simulation - Setting New Standards for Rigor, Robustness, and Ease of Use","URL":"https://www.aveva.com/en/products/dynamic-simulation/","author":[{"literal":"AVEVA"}],"accessed":{"date-parts":[["2023",9,30]]},"issued":{"date-parts":[["2023"]]}}}],"schema":"https://github.com/citation-style-language/schema/raw/master/csl-citation.json"} </w:instrText>
      </w:r>
      <w:r w:rsidR="00667CCB">
        <w:fldChar w:fldCharType="separate"/>
      </w:r>
      <w:r w:rsidR="00667CCB" w:rsidRPr="00667CCB">
        <w:t>(AVEVA, 2023)</w:t>
      </w:r>
      <w:r w:rsidR="00667CCB">
        <w:fldChar w:fldCharType="end"/>
      </w:r>
      <w:r w:rsidR="009C0A21">
        <w:t xml:space="preserve">. The modeling strategy can be implemented in the software </w:t>
      </w:r>
      <w:r w:rsidR="005829C7">
        <w:t xml:space="preserve">by building each section </w:t>
      </w:r>
      <w:r w:rsidR="00A74DF9">
        <w:t xml:space="preserve">as a discrete </w:t>
      </w:r>
      <w:r w:rsidR="001C7405">
        <w:t>entity</w:t>
      </w:r>
      <w:r w:rsidR="00A74DF9">
        <w:t xml:space="preserve"> </w:t>
      </w:r>
      <w:r w:rsidR="00C554BE">
        <w:t>having</w:t>
      </w:r>
      <w:r w:rsidR="008C739B">
        <w:t xml:space="preserve"> three components: a sump to represent the liquid collection system, pack equilibrium stages to model structured packing, and vertical tubes to represent the empty space above each section in which vapor and liquid flow towards adjacent sections.</w:t>
      </w:r>
      <w:r w:rsidR="00AC6A4F">
        <w:t xml:space="preserve"> The conceptual representation of this modelin</w:t>
      </w:r>
      <w:r w:rsidR="00A47B09">
        <w:t>g appro</w:t>
      </w:r>
      <w:r w:rsidR="00643F89">
        <w:t xml:space="preserve">ach is shown in Figure 1 with </w:t>
      </w:r>
      <w:r w:rsidR="00A47B09">
        <w:t>simplified</w:t>
      </w:r>
      <w:r w:rsidR="00643F89">
        <w:t xml:space="preserve"> diagrams</w:t>
      </w:r>
      <w:r w:rsidR="00A35214">
        <w:t>.</w:t>
      </w:r>
      <w:r w:rsidR="00E86716">
        <w:t xml:space="preserve"> </w:t>
      </w:r>
    </w:p>
    <w:p w14:paraId="7F823C12" w14:textId="77777777" w:rsidR="006F05DB" w:rsidRDefault="006F05DB" w:rsidP="006F05DB">
      <w:pPr>
        <w:pStyle w:val="Els-body-text"/>
        <w:keepNext/>
      </w:pPr>
      <w:r>
        <w:rPr>
          <w:noProof/>
          <w:lang w:val="it-IT" w:eastAsia="it-IT"/>
        </w:rPr>
        <w:drawing>
          <wp:inline distT="0" distB="0" distL="0" distR="0" wp14:anchorId="30FAFC34" wp14:editId="16C21E69">
            <wp:extent cx="4499610" cy="27965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DA_DYNA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2796540"/>
                    </a:xfrm>
                    <a:prstGeom prst="rect">
                      <a:avLst/>
                    </a:prstGeom>
                  </pic:spPr>
                </pic:pic>
              </a:graphicData>
            </a:graphic>
          </wp:inline>
        </w:drawing>
      </w:r>
    </w:p>
    <w:p w14:paraId="46A09EC5" w14:textId="74B65CCF" w:rsidR="00146249" w:rsidRDefault="006F05DB" w:rsidP="00146249">
      <w:pPr>
        <w:pStyle w:val="Didascalia"/>
        <w:jc w:val="both"/>
      </w:pPr>
      <w:r w:rsidRPr="006F05DB">
        <w:rPr>
          <w:b/>
        </w:rPr>
        <w:t xml:space="preserve">Figure </w:t>
      </w:r>
      <w:r w:rsidRPr="006F05DB">
        <w:rPr>
          <w:b/>
        </w:rPr>
        <w:fldChar w:fldCharType="begin"/>
      </w:r>
      <w:r w:rsidRPr="006F05DB">
        <w:rPr>
          <w:b/>
        </w:rPr>
        <w:instrText xml:space="preserve"> SEQ Figure \* ARABIC </w:instrText>
      </w:r>
      <w:r w:rsidRPr="006F05DB">
        <w:rPr>
          <w:b/>
        </w:rPr>
        <w:fldChar w:fldCharType="separate"/>
      </w:r>
      <w:r w:rsidR="000359B2">
        <w:rPr>
          <w:b/>
          <w:noProof/>
        </w:rPr>
        <w:t>1</w:t>
      </w:r>
      <w:r w:rsidRPr="006F05DB">
        <w:rPr>
          <w:b/>
        </w:rPr>
        <w:fldChar w:fldCharType="end"/>
      </w:r>
      <w:r w:rsidRPr="006F05DB">
        <w:rPr>
          <w:b/>
        </w:rPr>
        <w:t>.</w:t>
      </w:r>
      <w:r w:rsidR="00D10B2C">
        <w:t xml:space="preserve"> Simplified schemes for T-401 column (left), discrete modeling approach (m</w:t>
      </w:r>
      <w:r w:rsidR="00313E9D">
        <w:t>iddle), and detail of the fundamental simulation block</w:t>
      </w:r>
      <w:r w:rsidR="005E68F9">
        <w:t xml:space="preserve"> (right)</w:t>
      </w:r>
    </w:p>
    <w:p w14:paraId="09B246B4" w14:textId="1B3AFFCC" w:rsidR="002C12A6" w:rsidRDefault="00DE7442" w:rsidP="009E628E">
      <w:pPr>
        <w:pStyle w:val="Els-body-text"/>
      </w:pPr>
      <w:r>
        <w:lastRenderedPageBreak/>
        <w:t>Input data required for the dynamic simulation of T-401</w:t>
      </w:r>
      <w:r w:rsidR="00F42562">
        <w:t xml:space="preserve"> </w:t>
      </w:r>
      <w:r w:rsidR="0043007A">
        <w:t>include</w:t>
      </w:r>
      <w:r w:rsidR="00E00969">
        <w:t xml:space="preserve"> two different </w:t>
      </w:r>
      <w:r w:rsidR="002A7225">
        <w:t xml:space="preserve">types, the first being thermodynamic data </w:t>
      </w:r>
      <w:r w:rsidR="009E628E">
        <w:t xml:space="preserve">and the second one being </w:t>
      </w:r>
      <w:r w:rsidR="004B5150">
        <w:t xml:space="preserve">design and </w:t>
      </w:r>
      <w:r w:rsidR="00916334">
        <w:t>operative data of the equipment to be simulated</w:t>
      </w:r>
      <w:r w:rsidR="00C24474">
        <w:t>.</w:t>
      </w:r>
      <w:r w:rsidR="007630DF">
        <w:t xml:space="preserve"> </w:t>
      </w:r>
      <w:r w:rsidR="00443BB0">
        <w:t>Some data require preliminary information about the column to be available, such as temperature</w:t>
      </w:r>
      <w:r w:rsidR="00390C72">
        <w:t xml:space="preserve"> </w:t>
      </w:r>
      <w:r w:rsidR="008D68AD">
        <w:t>and</w:t>
      </w:r>
      <w:r w:rsidR="00390C72">
        <w:t xml:space="preserve"> pressure</w:t>
      </w:r>
      <w:r w:rsidR="00443BB0">
        <w:t xml:space="preserve"> profiles. While some of </w:t>
      </w:r>
      <w:r w:rsidR="00BB3316">
        <w:t>the</w:t>
      </w:r>
      <w:bookmarkStart w:id="0" w:name="_GoBack"/>
      <w:bookmarkEnd w:id="0"/>
      <w:r w:rsidR="00BB3316">
        <w:t xml:space="preserve">se </w:t>
      </w:r>
      <w:r w:rsidR="00443BB0">
        <w:t>data can be retrieved directly from field instrumentation, this is not true for all the required entries. To overcome this limitation, the authors have considered an already functioning steady-state simulation developed in Aspen HYSYS® software</w:t>
      </w:r>
      <w:r w:rsidR="00630D42">
        <w:t xml:space="preserve"> </w:t>
      </w:r>
      <w:r w:rsidR="00630D42">
        <w:fldChar w:fldCharType="begin"/>
      </w:r>
      <w:r w:rsidR="00630D42">
        <w:instrText xml:space="preserve"> ADDIN ZOTERO_ITEM CSL_CITATION {"citationID":"Vgn8BNQo","properties":{"formattedCitation":"(AspenTech, 2023)","plainCitation":"(AspenTech, 2023)","noteIndex":0},"citationItems":[{"id":398,"uris":["http://zotero.org/users/11115034/items/GL5A3CUD"],"itemData":{"id":398,"type":"webpage","abstract":"Maximize safety, sustainability and profits by optimizing the entire site in one environment using industry-validated simulation and time-saving workflows with AspenTech.","language":"en","title":"Aspen HYSYS | Process Simulation Software | AspenTech","URL":"https://www.aspentech.com/en/products/engineering/aspen-hysys","author":[{"literal":"AspenTech"}],"accessed":{"date-parts":[["2023",11,29]]},"issued":{"date-parts":[["2023"]]}}}],"schema":"https://github.com/citation-style-language/schema/raw/master/csl-citation.json"} </w:instrText>
      </w:r>
      <w:r w:rsidR="00630D42">
        <w:fldChar w:fldCharType="separate"/>
      </w:r>
      <w:r w:rsidR="00630D42" w:rsidRPr="00630D42">
        <w:t>(AspenTech, 2023)</w:t>
      </w:r>
      <w:r w:rsidR="00630D42">
        <w:fldChar w:fldCharType="end"/>
      </w:r>
      <w:r w:rsidR="00443BB0">
        <w:t xml:space="preserve"> </w:t>
      </w:r>
      <w:r w:rsidR="005B5002">
        <w:t xml:space="preserve">as the source of the missing data, since this simulation is currently used in the plant with good agreement with experimental data. </w:t>
      </w:r>
      <w:r w:rsidR="004E73E4">
        <w:t xml:space="preserve">Thermodynamic data include ASTM D1160 curves </w:t>
      </w:r>
      <w:r w:rsidR="0030255B">
        <w:t>considered at the atmospheric equivalent temperature (AET),</w:t>
      </w:r>
      <w:r w:rsidR="00DF3C7D">
        <w:t xml:space="preserve"> available as sets of experimental</w:t>
      </w:r>
      <w:r w:rsidR="00200E66">
        <w:t xml:space="preserve"> laboratory</w:t>
      </w:r>
      <w:r w:rsidR="00DF3C7D">
        <w:t xml:space="preserve"> data</w:t>
      </w:r>
      <w:r w:rsidR="0038468B">
        <w:t>, which are converted by the simulation software into 31 pseudo-</w:t>
      </w:r>
      <w:r w:rsidR="00AE07ED">
        <w:t xml:space="preserve">components </w:t>
      </w:r>
      <w:r w:rsidR="0038468B">
        <w:t xml:space="preserve">to simulate </w:t>
      </w:r>
      <w:r w:rsidR="00FC4948">
        <w:t xml:space="preserve">correctly </w:t>
      </w:r>
      <w:r w:rsidR="0038468B">
        <w:t>the real mixture</w:t>
      </w:r>
      <w:r w:rsidR="00E86545">
        <w:t>s</w:t>
      </w:r>
      <w:r w:rsidR="0030255B">
        <w:t>.</w:t>
      </w:r>
      <w:r w:rsidR="00426F30">
        <w:t xml:space="preserve"> </w:t>
      </w:r>
      <w:r w:rsidR="005B5002">
        <w:t>Th</w:t>
      </w:r>
      <w:r w:rsidR="00CD66AA">
        <w:t>e Peng-Robinson cubic equation of state</w:t>
      </w:r>
      <w:r w:rsidR="00E86545">
        <w:t xml:space="preserve"> is used</w:t>
      </w:r>
      <w:r w:rsidR="00CD66AA">
        <w:t xml:space="preserve"> to describe almost all of</w:t>
      </w:r>
      <w:r w:rsidR="00363AD2">
        <w:t xml:space="preserve"> the properties of the mixture</w:t>
      </w:r>
      <w:r w:rsidR="008C075F">
        <w:t>s</w:t>
      </w:r>
      <w:r w:rsidR="00462887">
        <w:t xml:space="preserve"> </w:t>
      </w:r>
      <w:r w:rsidR="00462887">
        <w:fldChar w:fldCharType="begin"/>
      </w:r>
      <w:r w:rsidR="00462887">
        <w:instrText xml:space="preserve"> ADDIN ZOTERO_ITEM CSL_CITATION {"citationID":"kqSPgsDw","properties":{"formattedCitation":"(Peng and Robinson, 1976)","plainCitation":"(Peng and Robinson, 1976)","noteIndex":0},"citationItems":[{"id":394,"uris":["http://zotero.org/users/11115034/items/TNMD3SL4"],"itemData":{"id":394,"type":"article-journal","abstract":"The development of a new two-constant equation of state in which the attractive pressure term of the semiempirical van der Waals equation has been modified is outlined. Examples of the use of the equation for predicting the vapor pressure and volumetric behavior of single-component systems, and the phase behavior and volumetric behavior of binary, ternary, and multicomponent systems are given. The proposed equation combines simplicity and accuracy. It performs as well as or better than the Soave-Redlich-Kwong equation in all cases tested and shows its greatest advantages in the prediction of liquid phase densities. © 1976, American Chemical Society. All rights reserved.","archive":"Scopus","container-title":"Industrial and Engineering Chemistry Fundamentals","DOI":"10.1021/i160057a011","ISSN":"0196-4313","issue":"1","language":"English","page":"59-64","source":"Scopus","title":"A New Two-Constant Equation of State","volume":"15","author":[{"family":"Peng","given":"D.-Y."},{"family":"Robinson","given":"D.B."}],"issued":{"date-parts":[["1976"]]}}}],"schema":"https://github.com/citation-style-language/schema/raw/master/csl-citation.json"} </w:instrText>
      </w:r>
      <w:r w:rsidR="00462887">
        <w:fldChar w:fldCharType="separate"/>
      </w:r>
      <w:r w:rsidR="00462887" w:rsidRPr="00462887">
        <w:t>(Peng and Robinson, 1976)</w:t>
      </w:r>
      <w:r w:rsidR="00462887">
        <w:fldChar w:fldCharType="end"/>
      </w:r>
      <w:r w:rsidR="00363AD2">
        <w:t xml:space="preserve">. Some </w:t>
      </w:r>
      <w:r w:rsidR="00CD66AA">
        <w:t xml:space="preserve">exception </w:t>
      </w:r>
      <w:r w:rsidR="00363AD2">
        <w:t xml:space="preserve">with their alternative methods are </w:t>
      </w:r>
      <w:r w:rsidR="00CD66AA">
        <w:t>liquid density</w:t>
      </w:r>
      <w:r w:rsidR="00363AD2">
        <w:t xml:space="preserve">, calculated using Rackett method, </w:t>
      </w:r>
      <w:r w:rsidR="00CD66AA">
        <w:t>molecular weight, critical pressure,</w:t>
      </w:r>
      <w:r w:rsidR="00CE302E">
        <w:t xml:space="preserve"> critical</w:t>
      </w:r>
      <w:r w:rsidR="00CD66AA">
        <w:t xml:space="preserve"> temperature, </w:t>
      </w:r>
      <w:r w:rsidR="00363AD2">
        <w:t xml:space="preserve">and </w:t>
      </w:r>
      <w:r w:rsidR="00CD66AA">
        <w:t>acentric factor,</w:t>
      </w:r>
      <w:r w:rsidR="00385CFC">
        <w:t xml:space="preserve"> all</w:t>
      </w:r>
      <w:r w:rsidR="00CD66AA">
        <w:t xml:space="preserve"> </w:t>
      </w:r>
      <w:r w:rsidR="00363AD2">
        <w:t xml:space="preserve">calculated using both the standard and the extended </w:t>
      </w:r>
      <w:proofErr w:type="spellStart"/>
      <w:r w:rsidR="00363AD2">
        <w:t>Twu</w:t>
      </w:r>
      <w:proofErr w:type="spellEnd"/>
      <w:r w:rsidR="00363AD2">
        <w:t xml:space="preserve"> method, </w:t>
      </w:r>
      <w:r w:rsidR="00CD66AA">
        <w:t>and liquid viscosity</w:t>
      </w:r>
      <w:r w:rsidR="00363AD2">
        <w:t xml:space="preserve">, calculated </w:t>
      </w:r>
      <w:r w:rsidR="00610CA2">
        <w:t>using the Bergmann-Sutton method.</w:t>
      </w:r>
      <w:r w:rsidR="00916454">
        <w:t xml:space="preserve"> </w:t>
      </w:r>
      <w:r w:rsidR="001A61C6">
        <w:t xml:space="preserve">AVEVA Dynamic Simulation also requires data to solve mass, energy, and momentum balances for each discrete section in which the column is divided. </w:t>
      </w:r>
      <w:r w:rsidR="00A0142B">
        <w:t>Mass balance</w:t>
      </w:r>
      <w:r w:rsidR="00627082">
        <w:t>s</w:t>
      </w:r>
      <w:r w:rsidR="00A0142B">
        <w:t xml:space="preserve"> can be solved by assigning a certain number of ideal equilibrium stages to each packed section</w:t>
      </w:r>
      <w:r w:rsidR="00594DC1">
        <w:t>,</w:t>
      </w:r>
      <w:r w:rsidR="00323108">
        <w:t xml:space="preserve"> also referred to as Equivalent Theoretical Plates (ETP)</w:t>
      </w:r>
      <w:r w:rsidR="006A1061">
        <w:t xml:space="preserve">, </w:t>
      </w:r>
      <w:r w:rsidR="00594DC1">
        <w:t>value</w:t>
      </w:r>
      <w:r w:rsidR="006A1061">
        <w:t>s</w:t>
      </w:r>
      <w:r w:rsidR="00594DC1">
        <w:t xml:space="preserve"> </w:t>
      </w:r>
      <w:r w:rsidR="00580429">
        <w:t xml:space="preserve">that </w:t>
      </w:r>
      <w:r w:rsidR="00594DC1">
        <w:t xml:space="preserve">can be obtained from the Aspen HYSYS® simulation. </w:t>
      </w:r>
      <w:r w:rsidR="00627082">
        <w:t>E</w:t>
      </w:r>
      <w:r w:rsidR="008176F2">
        <w:t>nergy balance</w:t>
      </w:r>
      <w:r w:rsidR="00627082">
        <w:t>s</w:t>
      </w:r>
      <w:r w:rsidR="008176F2">
        <w:t xml:space="preserve"> can be solved by </w:t>
      </w:r>
      <w:r w:rsidR="00D735D2">
        <w:t>calculating</w:t>
      </w:r>
      <w:r w:rsidR="008176F2">
        <w:t xml:space="preserve"> both the external (h</w:t>
      </w:r>
      <w:r w:rsidR="008176F2" w:rsidRPr="008176F2">
        <w:rPr>
          <w:vertAlign w:val="subscript"/>
        </w:rPr>
        <w:t>e</w:t>
      </w:r>
      <w:r w:rsidR="008176F2">
        <w:t>) and the internal (h</w:t>
      </w:r>
      <w:r w:rsidR="008176F2" w:rsidRPr="008176F2">
        <w:rPr>
          <w:vertAlign w:val="subscript"/>
        </w:rPr>
        <w:t>i</w:t>
      </w:r>
      <w:r w:rsidR="008176F2">
        <w:t>) liminal heat transfer coefficient</w:t>
      </w:r>
      <w:r w:rsidR="00F81D4B">
        <w:t>s. The h</w:t>
      </w:r>
      <w:r w:rsidR="00F81D4B" w:rsidRPr="00F81D4B">
        <w:rPr>
          <w:vertAlign w:val="subscript"/>
        </w:rPr>
        <w:t>e</w:t>
      </w:r>
      <w:r w:rsidR="00F81D4B">
        <w:t xml:space="preserve"> parameter is calculated </w:t>
      </w:r>
      <w:r w:rsidR="00CA127E">
        <w:t xml:space="preserve">by considering natural convection </w:t>
      </w:r>
      <w:r w:rsidR="00D0674D">
        <w:t>from the metal</w:t>
      </w:r>
      <w:r w:rsidR="009F133F">
        <w:t xml:space="preserve"> surface to the environment accordin</w:t>
      </w:r>
      <w:r w:rsidR="0041700C">
        <w:t xml:space="preserve">g to Eq. (1), where </w:t>
      </w:r>
      <w:proofErr w:type="spellStart"/>
      <w:r w:rsidR="0041700C">
        <w:t>k</w:t>
      </w:r>
      <w:r w:rsidR="0041700C" w:rsidRPr="00E13AAD">
        <w:rPr>
          <w:vertAlign w:val="subscript"/>
        </w:rPr>
        <w:t>air</w:t>
      </w:r>
      <w:proofErr w:type="spellEnd"/>
      <w:r w:rsidR="0041700C">
        <w:t xml:space="preserve"> is the thermal conductivity of air, H is the height of t</w:t>
      </w:r>
      <w:r w:rsidR="00E13AAD">
        <w:t>he packed section, Ra is the Ray</w:t>
      </w:r>
      <w:r w:rsidR="0041700C">
        <w:t>leigh number</w:t>
      </w:r>
      <w:r w:rsidR="00B34DE0">
        <w:t xml:space="preserve"> </w:t>
      </w:r>
      <w:r w:rsidR="00B34DE0">
        <w:fldChar w:fldCharType="begin"/>
      </w:r>
      <w:r w:rsidR="00353735">
        <w:instrText xml:space="preserve"> ADDIN ZOTERO_ITEM CSL_CITATION {"citationID":"QA5qiLin","properties":{"formattedCitation":"(Bird et al., 2007)","plainCitation":"(Bird et al., 2007)","noteIndex":0},"citationItems":[{"id":393,"uris":["http://zotero.org/users/11115034/items/3EFEG9DE"],"itemData":{"id":393,"type":"book","edition":"2nd","event-place":"New York","publisher":"Wiley","publisher-place":"New York","title":"Transport Phenomena","author":[{"family":"Bird","given":"R. B."},{"family":"Stewart","given":"W. E."},{"family":"Lightfoot","given":"E. N."}],"issued":{"date-parts":[["2007"]]}}}],"schema":"https://github.com/citation-style-language/schema/raw/master/csl-citation.json"} </w:instrText>
      </w:r>
      <w:r w:rsidR="00B34DE0">
        <w:fldChar w:fldCharType="separate"/>
      </w:r>
      <w:r w:rsidR="00212A2D" w:rsidRPr="00212A2D">
        <w:t>(Bird et al., 2007)</w:t>
      </w:r>
      <w:r w:rsidR="00B34DE0">
        <w:fldChar w:fldCharType="end"/>
      </w:r>
      <w:r w:rsidR="0041700C">
        <w:t>.</w:t>
      </w:r>
    </w:p>
    <w:tbl>
      <w:tblPr>
        <w:tblW w:w="0" w:type="auto"/>
        <w:tblLook w:val="04A0" w:firstRow="1" w:lastRow="0" w:firstColumn="1" w:lastColumn="0" w:noHBand="0" w:noVBand="1"/>
      </w:tblPr>
      <w:tblGrid>
        <w:gridCol w:w="6124"/>
        <w:gridCol w:w="963"/>
      </w:tblGrid>
      <w:tr w:rsidR="00E03BE5" w:rsidRPr="00A94774" w14:paraId="455CAF56" w14:textId="77777777" w:rsidTr="00131A55">
        <w:tc>
          <w:tcPr>
            <w:tcW w:w="6317" w:type="dxa"/>
            <w:shd w:val="clear" w:color="auto" w:fill="auto"/>
            <w:vAlign w:val="center"/>
          </w:tcPr>
          <w:p w14:paraId="29EDA9C7" w14:textId="692423C2" w:rsidR="00E03BE5" w:rsidRPr="00032772" w:rsidRDefault="001075CE" w:rsidP="00F82515">
            <w:pPr>
              <w:pStyle w:val="Els-body-text"/>
              <w:spacing w:before="120" w:after="120" w:line="264" w:lineRule="auto"/>
              <w:rPr>
                <w:lang w:val="it-IT"/>
              </w:rPr>
            </w:pPr>
            <m:oMathPara>
              <m:oMathParaPr>
                <m:jc m:val="left"/>
              </m:oMathParaPr>
              <m:oMath>
                <m:sSub>
                  <m:sSubPr>
                    <m:ctrlPr>
                      <w:rPr>
                        <w:rFonts w:ascii="Cambria Math" w:hAnsi="Cambria Math"/>
                        <w:i/>
                        <w:lang w:val="it-IT"/>
                      </w:rPr>
                    </m:ctrlPr>
                  </m:sSubPr>
                  <m:e>
                    <m:r>
                      <m:rPr>
                        <m:nor/>
                      </m:rPr>
                      <w:rPr>
                        <w:lang w:val="it-IT"/>
                      </w:rPr>
                      <m:t>h</m:t>
                    </m:r>
                  </m:e>
                  <m:sub>
                    <m:r>
                      <m:rPr>
                        <m:nor/>
                      </m:rPr>
                      <w:rPr>
                        <w:lang w:val="it-IT"/>
                      </w:rPr>
                      <m:t>e</m:t>
                    </m:r>
                  </m:sub>
                </m:sSub>
                <m:r>
                  <m:rPr>
                    <m:nor/>
                  </m:rPr>
                  <w:rPr>
                    <w:rFonts w:ascii="Cambria Math"/>
                    <w:lang w:val="it-IT"/>
                  </w:rPr>
                  <m:t xml:space="preserve"> </m:t>
                </m:r>
                <m:r>
                  <m:rPr>
                    <m:nor/>
                  </m:rPr>
                  <w:rPr>
                    <w:lang w:val="it-IT"/>
                  </w:rPr>
                  <m:t>=</m:t>
                </m:r>
                <m:r>
                  <m:rPr>
                    <m:nor/>
                  </m:rPr>
                  <w:rPr>
                    <w:rFonts w:ascii="Cambria Math"/>
                    <w:lang w:val="it-IT"/>
                  </w:rPr>
                  <m:t xml:space="preserve"> </m:t>
                </m:r>
                <m:r>
                  <m:rPr>
                    <m:nor/>
                  </m:rPr>
                  <w:rPr>
                    <w:lang w:val="it-IT"/>
                  </w:rPr>
                  <m:t>0.13∙</m:t>
                </m:r>
                <m:f>
                  <m:fPr>
                    <m:ctrlPr>
                      <w:rPr>
                        <w:rFonts w:ascii="Cambria Math" w:hAnsi="Cambria Math"/>
                        <w:i/>
                        <w:lang w:val="it-IT"/>
                      </w:rPr>
                    </m:ctrlPr>
                  </m:fPr>
                  <m:num>
                    <m:sSub>
                      <m:sSubPr>
                        <m:ctrlPr>
                          <w:rPr>
                            <w:rFonts w:ascii="Cambria Math" w:hAnsi="Cambria Math"/>
                            <w:i/>
                            <w:lang w:val="it-IT"/>
                          </w:rPr>
                        </m:ctrlPr>
                      </m:sSubPr>
                      <m:e>
                        <m:r>
                          <m:rPr>
                            <m:nor/>
                          </m:rPr>
                          <w:rPr>
                            <w:lang w:val="it-IT"/>
                          </w:rPr>
                          <m:t>k</m:t>
                        </m:r>
                      </m:e>
                      <m:sub>
                        <m:r>
                          <m:rPr>
                            <m:nor/>
                          </m:rPr>
                          <w:rPr>
                            <w:lang w:val="it-IT"/>
                          </w:rPr>
                          <m:t>air</m:t>
                        </m:r>
                      </m:sub>
                    </m:sSub>
                  </m:num>
                  <m:den>
                    <m:r>
                      <m:rPr>
                        <m:nor/>
                      </m:rPr>
                      <w:rPr>
                        <w:lang w:val="it-IT"/>
                      </w:rPr>
                      <m:t>H</m:t>
                    </m:r>
                  </m:den>
                </m:f>
                <m:r>
                  <m:rPr>
                    <m:nor/>
                  </m:rPr>
                  <w:rPr>
                    <w:lang w:val="it-IT"/>
                  </w:rPr>
                  <m:t>∙</m:t>
                </m:r>
                <m:sSup>
                  <m:sSupPr>
                    <m:ctrlPr>
                      <w:rPr>
                        <w:rFonts w:ascii="Cambria Math" w:hAnsi="Cambria Math"/>
                        <w:i/>
                        <w:lang w:val="it-IT"/>
                      </w:rPr>
                    </m:ctrlPr>
                  </m:sSupPr>
                  <m:e>
                    <m:r>
                      <m:rPr>
                        <m:nor/>
                      </m:rPr>
                      <w:rPr>
                        <w:lang w:val="it-IT"/>
                      </w:rPr>
                      <m:t>Ra</m:t>
                    </m:r>
                  </m:e>
                  <m:sup>
                    <m:f>
                      <m:fPr>
                        <m:ctrlPr>
                          <w:rPr>
                            <w:rFonts w:ascii="Cambria Math" w:hAnsi="Cambria Math"/>
                            <w:i/>
                            <w:lang w:val="it-IT"/>
                          </w:rPr>
                        </m:ctrlPr>
                      </m:fPr>
                      <m:num>
                        <m:r>
                          <m:rPr>
                            <m:nor/>
                          </m:rPr>
                          <w:rPr>
                            <w:lang w:val="it-IT"/>
                          </w:rPr>
                          <m:t>1</m:t>
                        </m:r>
                      </m:num>
                      <m:den>
                        <m:r>
                          <m:rPr>
                            <m:nor/>
                          </m:rPr>
                          <w:rPr>
                            <w:lang w:val="it-IT"/>
                          </w:rPr>
                          <m:t>3</m:t>
                        </m:r>
                      </m:den>
                    </m:f>
                  </m:sup>
                </m:sSup>
              </m:oMath>
            </m:oMathPara>
          </w:p>
        </w:tc>
        <w:tc>
          <w:tcPr>
            <w:tcW w:w="985" w:type="dxa"/>
            <w:shd w:val="clear" w:color="auto" w:fill="auto"/>
            <w:vAlign w:val="center"/>
          </w:tcPr>
          <w:p w14:paraId="1D97030C" w14:textId="77777777" w:rsidR="00E03BE5" w:rsidRPr="00A94774" w:rsidRDefault="00E03BE5" w:rsidP="00131A55">
            <w:pPr>
              <w:pStyle w:val="Els-body-text"/>
              <w:spacing w:before="120" w:after="120" w:line="264" w:lineRule="auto"/>
              <w:jc w:val="right"/>
              <w:rPr>
                <w:lang w:val="en-GB"/>
              </w:rPr>
            </w:pPr>
            <w:r w:rsidRPr="00A94774">
              <w:rPr>
                <w:lang w:val="en-GB"/>
              </w:rPr>
              <w:t>(1)</w:t>
            </w:r>
          </w:p>
        </w:tc>
      </w:tr>
    </w:tbl>
    <w:p w14:paraId="7D099301" w14:textId="7F33F5A6" w:rsidR="009F133F" w:rsidRDefault="00100E70" w:rsidP="009E628E">
      <w:pPr>
        <w:pStyle w:val="Els-body-text"/>
      </w:pPr>
      <w:r>
        <w:t>The h</w:t>
      </w:r>
      <w:r w:rsidRPr="00100E70">
        <w:rPr>
          <w:vertAlign w:val="subscript"/>
        </w:rPr>
        <w:t>i</w:t>
      </w:r>
      <w:r>
        <w:t xml:space="preserve"> parameter is calculated using Carpenter-Colburn’s expression, which describes a forced vapor flowrate in counter curren</w:t>
      </w:r>
      <w:r w:rsidR="00E22810">
        <w:t>t with a descending li</w:t>
      </w:r>
      <w:r w:rsidR="007930D6">
        <w:t>quid film, according to Eq. (2)</w:t>
      </w:r>
      <w:r w:rsidR="00F27F58">
        <w:t>,</w:t>
      </w:r>
      <w:r w:rsidR="00E22810">
        <w:t xml:space="preserve"> where </w:t>
      </w:r>
      <w:r w:rsidR="007930D6">
        <w:t>all the parameters are referred to the vapor, G is the mass velocity, f is the friction coefficient, C</w:t>
      </w:r>
      <w:r w:rsidR="007930D6" w:rsidRPr="00042B50">
        <w:rPr>
          <w:vertAlign w:val="subscript"/>
        </w:rPr>
        <w:t>p</w:t>
      </w:r>
      <w:r w:rsidR="007930D6">
        <w:t xml:space="preserve"> is the specific heat, k is the thermal conductivity, μ is the dynamic viscosity, and v is the superficial velocity </w:t>
      </w:r>
      <w:r w:rsidR="00516176">
        <w:fldChar w:fldCharType="begin"/>
      </w:r>
      <w:r w:rsidR="00516176">
        <w:instrText xml:space="preserve"> ADDIN ZOTERO_ITEM CSL_CITATION {"citationID":"3QvOd0EV","properties":{"formattedCitation":"(Green and Southard, 2019)","plainCitation":"(Green and Southard, 2019)","noteIndex":0},"citationItems":[{"id":397,"uris":["http://zotero.org/users/11115034/items/YPCIRR85"],"itemData":{"id":397,"type":"book","abstract":"The gold standard for chemical engineering information—from the fundamentals to the state of the art. This industry-standard resource, first published in 1934, has equipped generations of engineers and chemists with vital information, data, and insights. Thoroughly revised to reflect the latest technological advances and processes, Perry's Chemical Engineers' Handbook, Ninth Edition, is indispensable for unsurpassed coverage of every aspect of chemical engineering. New features include coverage of bioreactions and bioprocessing, a practical presentation of thermodynamics fundamentals, and new and updated chemical property data. A must-have for students and professionals in every stage of their careers, Perry's provides all the technical details you'll need in a well-organized format: You'll find comprehensive material on chemical processes, reactor modeling, biological processes, biochemical and membrane separation, process and chemical plant safety, and much more. This fully updated edition covers: • Unit Conversion Factors and Symbols • Physical and Chemical Data (including prediction and correlation of physical properties) • Mathematics (including differential and integral calculus, statistics , optimization) • Thermodynamics • Heat and Mass Transfer • Fluid and Particle Dynamics • Reaction Kinetics • Process Control and Instrumentation • Process Economics • Transport and Storage of Fluids • Heat-Transfer Operations and Equipment • Psychrometry, Evaporative Cooling, and Solids Drying • Distillation • Gas Absorption and Gas-Liquid System Design • Liquid-Liquid Extraction Operations and Equipment • Adsorption and Ion Exchange • Gas-Solid Operations and Equipment • Liquid-Solid Operations and Equipment • Solid-Solid Operations and Equipment • Chemical Reactors • Bio-based Reactions and Processing • Waste Management (including air, wastewater, and solid waste management) • Process Safety (including inherently safer design) • Energy Resources, Conversion, and Utilization • Materials of Construction","edition":"9th Edition","event-place":"New York","ISBN":"978-0-07-183408-7","language":"en","publisher":"McGraw-Hill Education","publisher-place":"New York","title":"Perry's Chemical Engineers' Handbook","URL":"https://www.accessengineeringlibrary.com/content/book/9780071834087","editor":[{"family":"Green","given":"Don W."},{"family":"Southard","given":"Marylee Z."}],"issued":{"date-parts":[["2019"]]}}}],"schema":"https://github.com/citation-style-language/schema/raw/master/csl-citation.json"} </w:instrText>
      </w:r>
      <w:r w:rsidR="00516176">
        <w:fldChar w:fldCharType="separate"/>
      </w:r>
      <w:r w:rsidR="00516176" w:rsidRPr="00516176">
        <w:t>(Green and Southard, 2019)</w:t>
      </w:r>
      <w:r w:rsidR="00516176">
        <w:fldChar w:fldCharType="end"/>
      </w:r>
      <w:r w:rsidR="00E22810">
        <w:t>.</w:t>
      </w:r>
    </w:p>
    <w:tbl>
      <w:tblPr>
        <w:tblW w:w="0" w:type="auto"/>
        <w:tblLook w:val="04A0" w:firstRow="1" w:lastRow="0" w:firstColumn="1" w:lastColumn="0" w:noHBand="0" w:noVBand="1"/>
      </w:tblPr>
      <w:tblGrid>
        <w:gridCol w:w="6126"/>
        <w:gridCol w:w="961"/>
      </w:tblGrid>
      <w:tr w:rsidR="007930D6" w:rsidRPr="00A94774" w14:paraId="388000F9" w14:textId="77777777" w:rsidTr="00131A55">
        <w:tc>
          <w:tcPr>
            <w:tcW w:w="6317" w:type="dxa"/>
            <w:shd w:val="clear" w:color="auto" w:fill="auto"/>
            <w:vAlign w:val="center"/>
          </w:tcPr>
          <w:p w14:paraId="66E184B7" w14:textId="1870DE58" w:rsidR="007930D6" w:rsidRPr="00DE276C" w:rsidRDefault="001075CE" w:rsidP="006E0917">
            <w:pPr>
              <w:pStyle w:val="Els-body-text"/>
              <w:spacing w:before="120" w:after="120" w:line="264" w:lineRule="auto"/>
            </w:pPr>
            <m:oMathPara>
              <m:oMathParaPr>
                <m:jc m:val="left"/>
              </m:oMathParaPr>
              <m:oMath>
                <m:sSub>
                  <m:sSubPr>
                    <m:ctrlPr>
                      <w:rPr>
                        <w:rFonts w:ascii="Cambria Math" w:hAnsi="Cambria Math"/>
                        <w:i/>
                        <w:lang w:val="it-IT"/>
                      </w:rPr>
                    </m:ctrlPr>
                  </m:sSubPr>
                  <m:e>
                    <m:r>
                      <m:rPr>
                        <m:nor/>
                      </m:rPr>
                      <m:t>h</m:t>
                    </m:r>
                  </m:e>
                  <m:sub>
                    <m:r>
                      <m:rPr>
                        <m:nor/>
                      </m:rPr>
                      <m:t>i</m:t>
                    </m:r>
                  </m:sub>
                </m:sSub>
                <m:r>
                  <m:rPr>
                    <m:nor/>
                  </m:rPr>
                  <m:t xml:space="preserve"> = 0.065 ∙G∙ </m:t>
                </m:r>
                <m:rad>
                  <m:radPr>
                    <m:degHide m:val="1"/>
                    <m:ctrlPr>
                      <w:rPr>
                        <w:rFonts w:ascii="Cambria Math" w:hAnsi="Cambria Math"/>
                        <w:i/>
                        <w:lang w:val="it-IT"/>
                      </w:rPr>
                    </m:ctrlPr>
                  </m:radPr>
                  <m:deg/>
                  <m:e>
                    <m:r>
                      <m:rPr>
                        <m:nor/>
                      </m:rPr>
                      <w:rPr>
                        <w:lang w:val="it-IT"/>
                      </w:rPr>
                      <m:t>f∙</m:t>
                    </m:r>
                    <m:f>
                      <m:fPr>
                        <m:ctrlPr>
                          <w:rPr>
                            <w:rFonts w:ascii="Cambria Math" w:hAnsi="Cambria Math"/>
                            <w:i/>
                            <w:lang w:val="it-IT"/>
                          </w:rPr>
                        </m:ctrlPr>
                      </m:fPr>
                      <m:num>
                        <m:sSub>
                          <m:sSubPr>
                            <m:ctrlPr>
                              <w:rPr>
                                <w:rFonts w:ascii="Cambria Math" w:hAnsi="Cambria Math"/>
                                <w:i/>
                                <w:lang w:val="it-IT"/>
                              </w:rPr>
                            </m:ctrlPr>
                          </m:sSubPr>
                          <m:e>
                            <m:r>
                              <m:rPr>
                                <m:nor/>
                              </m:rPr>
                              <w:rPr>
                                <w:lang w:val="it-IT"/>
                              </w:rPr>
                              <m:t>C</m:t>
                            </m:r>
                          </m:e>
                          <m:sub>
                            <m:r>
                              <m:rPr>
                                <m:nor/>
                              </m:rPr>
                              <w:rPr>
                                <w:lang w:val="it-IT"/>
                              </w:rPr>
                              <m:t>p</m:t>
                            </m:r>
                          </m:sub>
                        </m:sSub>
                        <m:r>
                          <m:rPr>
                            <m:nor/>
                          </m:rPr>
                          <w:rPr>
                            <w:lang w:val="it-IT"/>
                          </w:rPr>
                          <m:t>∙k</m:t>
                        </m:r>
                      </m:num>
                      <m:den>
                        <m:r>
                          <m:rPr>
                            <m:nor/>
                          </m:rPr>
                          <w:rPr>
                            <w:lang w:val="it-IT"/>
                          </w:rPr>
                          <m:t>2∙</m:t>
                        </m:r>
                        <m:r>
                          <m:rPr>
                            <m:nor/>
                          </m:rPr>
                          <m:t>μ</m:t>
                        </m:r>
                        <m:r>
                          <m:rPr>
                            <m:nor/>
                          </m:rPr>
                          <w:rPr>
                            <w:lang w:val="it-IT"/>
                          </w:rPr>
                          <m:t>∙v</m:t>
                        </m:r>
                      </m:den>
                    </m:f>
                  </m:e>
                </m:rad>
              </m:oMath>
            </m:oMathPara>
          </w:p>
        </w:tc>
        <w:tc>
          <w:tcPr>
            <w:tcW w:w="985" w:type="dxa"/>
            <w:shd w:val="clear" w:color="auto" w:fill="auto"/>
            <w:vAlign w:val="center"/>
          </w:tcPr>
          <w:p w14:paraId="74AD5418" w14:textId="7C26245B" w:rsidR="007930D6" w:rsidRPr="00A94774" w:rsidRDefault="007930D6" w:rsidP="00131A55">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6BCE5D63" w14:textId="57E644B5" w:rsidR="007930D6" w:rsidRDefault="00B04BD2" w:rsidP="009E628E">
      <w:pPr>
        <w:pStyle w:val="Els-body-text"/>
      </w:pPr>
      <w:r>
        <w:t>M</w:t>
      </w:r>
      <w:r w:rsidR="00836760">
        <w:t>omentum balance</w:t>
      </w:r>
      <w:r>
        <w:t>s</w:t>
      </w:r>
      <w:r w:rsidR="00836760">
        <w:t xml:space="preserve"> can be solved by </w:t>
      </w:r>
      <w:r w:rsidR="005E4A51">
        <w:t>calculating pack flow rate</w:t>
      </w:r>
      <w:r w:rsidR="00F27F58">
        <w:t xml:space="preserve"> conductance</w:t>
      </w:r>
      <w:r w:rsidR="00F31618">
        <w:t xml:space="preserve"> (K)</w:t>
      </w:r>
      <w:r w:rsidR="00F27F58">
        <w:t xml:space="preserve">, which describes how easily the vapor can flow through a certain packed section, according to Eq. (3), where </w:t>
      </w:r>
      <w:r w:rsidR="00627097">
        <w:t xml:space="preserve">all the physical parameters refer to the vapor and the geometrical ones refer to the packed sections, v is the </w:t>
      </w:r>
      <w:r w:rsidR="007F033E">
        <w:t xml:space="preserve">superficial </w:t>
      </w:r>
      <w:r w:rsidR="00627097">
        <w:t xml:space="preserve">velocity, f is the friction coefficient, </w:t>
      </w:r>
      <w:r w:rsidR="00627097">
        <w:rPr>
          <w:rFonts w:ascii="Arial" w:hAnsi="Arial" w:cs="Arial"/>
        </w:rPr>
        <w:t>ε</w:t>
      </w:r>
      <w:r w:rsidR="00627097">
        <w:t xml:space="preserve"> is the void fraction, </w:t>
      </w:r>
      <w:r w:rsidR="00627097">
        <w:rPr>
          <w:rFonts w:ascii="Arial" w:hAnsi="Arial" w:cs="Arial"/>
        </w:rPr>
        <w:t>ρ</w:t>
      </w:r>
      <w:r w:rsidR="00627097">
        <w:t xml:space="preserve"> is the density, H is the height, </w:t>
      </w:r>
      <w:r w:rsidR="00627097">
        <w:rPr>
          <w:rFonts w:ascii="Arial" w:hAnsi="Arial" w:cs="Arial"/>
        </w:rPr>
        <w:t>Δ</w:t>
      </w:r>
      <w:r w:rsidR="00627097">
        <w:t xml:space="preserve">P is the pressure drop, and </w:t>
      </w:r>
      <w:proofErr w:type="spellStart"/>
      <w:r w:rsidR="00627097">
        <w:t>D</w:t>
      </w:r>
      <w:r w:rsidR="00627097" w:rsidRPr="00627097">
        <w:rPr>
          <w:vertAlign w:val="subscript"/>
        </w:rPr>
        <w:t>eq</w:t>
      </w:r>
      <w:proofErr w:type="spellEnd"/>
      <w:r w:rsidR="00627097">
        <w:t xml:space="preserve"> is the characteristic dimension.</w:t>
      </w:r>
    </w:p>
    <w:tbl>
      <w:tblPr>
        <w:tblW w:w="0" w:type="auto"/>
        <w:tblLook w:val="04A0" w:firstRow="1" w:lastRow="0" w:firstColumn="1" w:lastColumn="0" w:noHBand="0" w:noVBand="1"/>
      </w:tblPr>
      <w:tblGrid>
        <w:gridCol w:w="6127"/>
        <w:gridCol w:w="960"/>
      </w:tblGrid>
      <w:tr w:rsidR="007D0683" w:rsidRPr="00A94774" w14:paraId="7592B6BA" w14:textId="77777777" w:rsidTr="00131A55">
        <w:tc>
          <w:tcPr>
            <w:tcW w:w="6317" w:type="dxa"/>
            <w:shd w:val="clear" w:color="auto" w:fill="auto"/>
            <w:vAlign w:val="center"/>
          </w:tcPr>
          <w:p w14:paraId="467CD51F" w14:textId="19C115EB" w:rsidR="007D0683" w:rsidRPr="00470891" w:rsidRDefault="00470891" w:rsidP="00141043">
            <w:pPr>
              <w:pStyle w:val="Els-body-text"/>
              <w:spacing w:before="120" w:after="120" w:line="264" w:lineRule="auto"/>
            </w:pPr>
            <m:oMathPara>
              <m:oMathParaPr>
                <m:jc m:val="left"/>
              </m:oMathParaPr>
              <m:oMath>
                <m:r>
                  <m:rPr>
                    <m:nor/>
                  </m:rPr>
                  <m:t xml:space="preserve">K = v∙ </m:t>
                </m:r>
                <m:rad>
                  <m:radPr>
                    <m:degHide m:val="1"/>
                    <m:ctrlPr>
                      <w:rPr>
                        <w:rFonts w:ascii="Cambria Math" w:hAnsi="Cambria Math"/>
                        <w:lang w:val="it-IT"/>
                      </w:rPr>
                    </m:ctrlPr>
                  </m:radPr>
                  <m:deg/>
                  <m:e>
                    <m:f>
                      <m:fPr>
                        <m:ctrlPr>
                          <w:rPr>
                            <w:rFonts w:ascii="Cambria Math" w:hAnsi="Cambria Math"/>
                            <w:i/>
                          </w:rPr>
                        </m:ctrlPr>
                      </m:fPr>
                      <m:num>
                        <m:r>
                          <m:rPr>
                            <m:nor/>
                          </m:rPr>
                          <m:t>3</m:t>
                        </m:r>
                      </m:num>
                      <m:den>
                        <m:r>
                          <m:rPr>
                            <m:nor/>
                          </m:rPr>
                          <m:t>4</m:t>
                        </m:r>
                      </m:den>
                    </m:f>
                    <m:r>
                      <m:rPr>
                        <m:nor/>
                      </m:rPr>
                      <m:t>∙</m:t>
                    </m:r>
                    <m:f>
                      <m:fPr>
                        <m:ctrlPr>
                          <w:rPr>
                            <w:rFonts w:ascii="Cambria Math" w:hAnsi="Cambria Math"/>
                            <w:lang w:val="it-IT"/>
                          </w:rPr>
                        </m:ctrlPr>
                      </m:fPr>
                      <m:num>
                        <m:r>
                          <m:rPr>
                            <m:nor/>
                          </m:rPr>
                          <m:t>f∙</m:t>
                        </m:r>
                        <m:f>
                          <m:fPr>
                            <m:ctrlPr>
                              <w:rPr>
                                <w:rFonts w:ascii="Cambria Math" w:hAnsi="Cambria Math"/>
                                <w:i/>
                              </w:rPr>
                            </m:ctrlPr>
                          </m:fPr>
                          <m:num>
                            <m:r>
                              <m:rPr>
                                <m:nor/>
                              </m:rPr>
                              <m:t>1-ε</m:t>
                            </m:r>
                          </m:num>
                          <m:den>
                            <m:sSup>
                              <m:sSupPr>
                                <m:ctrlPr>
                                  <w:rPr>
                                    <w:rFonts w:ascii="Cambria Math" w:hAnsi="Cambria Math"/>
                                  </w:rPr>
                                </m:ctrlPr>
                              </m:sSupPr>
                              <m:e>
                                <m:r>
                                  <m:rPr>
                                    <m:nor/>
                                  </m:rPr>
                                  <m:t>ε</m:t>
                                </m:r>
                              </m:e>
                              <m:sup>
                                <m:r>
                                  <m:rPr>
                                    <m:nor/>
                                  </m:rPr>
                                  <m:t>4.65</m:t>
                                </m:r>
                              </m:sup>
                            </m:sSup>
                          </m:den>
                        </m:f>
                        <m:r>
                          <m:rPr>
                            <m:nor/>
                          </m:rPr>
                          <m:t>∙ρ∙H</m:t>
                        </m:r>
                      </m:num>
                      <m:den>
                        <m:r>
                          <m:rPr>
                            <m:nor/>
                          </m:rPr>
                          <m:t>1000∙ΔP⸱</m:t>
                        </m:r>
                        <m:sSub>
                          <m:sSubPr>
                            <m:ctrlPr>
                              <w:rPr>
                                <w:rFonts w:ascii="Cambria Math" w:hAnsi="Cambria Math"/>
                                <w:i/>
                              </w:rPr>
                            </m:ctrlPr>
                          </m:sSubPr>
                          <m:e>
                            <m:r>
                              <m:rPr>
                                <m:nor/>
                              </m:rPr>
                              <m:t>D</m:t>
                            </m:r>
                          </m:e>
                          <m:sub>
                            <m:r>
                              <m:rPr>
                                <m:nor/>
                              </m:rPr>
                              <m:t>eq</m:t>
                            </m:r>
                          </m:sub>
                        </m:sSub>
                      </m:den>
                    </m:f>
                  </m:e>
                </m:rad>
              </m:oMath>
            </m:oMathPara>
          </w:p>
        </w:tc>
        <w:tc>
          <w:tcPr>
            <w:tcW w:w="985" w:type="dxa"/>
            <w:shd w:val="clear" w:color="auto" w:fill="auto"/>
            <w:vAlign w:val="center"/>
          </w:tcPr>
          <w:p w14:paraId="3E08E053" w14:textId="6BE04007" w:rsidR="007D0683" w:rsidRPr="00A94774" w:rsidRDefault="007D0683" w:rsidP="00131A55">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31AC8C46" w14:textId="5B003636" w:rsidR="001D0402" w:rsidRDefault="00E00C69" w:rsidP="003A5548">
      <w:pPr>
        <w:pStyle w:val="Els-body-text"/>
      </w:pPr>
      <w:r>
        <w:lastRenderedPageBreak/>
        <w:t xml:space="preserve">The parameters introduced previously allow to solve the balances on the column, thus solving the main body of the T-401. </w:t>
      </w:r>
      <w:r w:rsidR="00AE2BF1">
        <w:t xml:space="preserve">Ancillary units such as pumps, heat exchangers, pipes, and valves are </w:t>
      </w:r>
      <w:r w:rsidR="00572D6A">
        <w:t>modeled by selecting the appropriate type among the list available in the simulation software, and introducing design and operations data from P&amp;ID</w:t>
      </w:r>
      <w:r w:rsidR="00973C6A">
        <w:t>s</w:t>
      </w:r>
      <w:r w:rsidR="00572D6A">
        <w:t xml:space="preserve">. </w:t>
      </w:r>
      <w:r w:rsidR="001038E8">
        <w:t>Controller parameters are directly t</w:t>
      </w:r>
      <w:r w:rsidR="00C93E20">
        <w:t>aken from the control room DCS.</w:t>
      </w:r>
      <w:r w:rsidR="00D016EC">
        <w:t xml:space="preserve"> Numerical values calculated for the main parameters of the T-401 column balances</w:t>
      </w:r>
      <w:r w:rsidR="008344A1">
        <w:t xml:space="preserve"> are reported in Table 1, where each section is named after the product exiting from </w:t>
      </w:r>
      <w:r w:rsidR="00AA7559">
        <w:t>the corresponding</w:t>
      </w:r>
      <w:r w:rsidR="008344A1">
        <w:t xml:space="preserve"> bottom sump.</w:t>
      </w:r>
    </w:p>
    <w:p w14:paraId="5BC467BD" w14:textId="4ED528AB" w:rsidR="00140A32" w:rsidRDefault="00140A32" w:rsidP="00140A32">
      <w:pPr>
        <w:pStyle w:val="Didascalia"/>
        <w:keepNext/>
      </w:pPr>
      <w:r w:rsidRPr="00140A32">
        <w:rPr>
          <w:b/>
        </w:rPr>
        <w:t xml:space="preserve">Table </w:t>
      </w:r>
      <w:r w:rsidRPr="00140A32">
        <w:rPr>
          <w:b/>
        </w:rPr>
        <w:fldChar w:fldCharType="begin"/>
      </w:r>
      <w:r w:rsidRPr="00140A32">
        <w:rPr>
          <w:b/>
        </w:rPr>
        <w:instrText xml:space="preserve"> SEQ Table \* ARABIC </w:instrText>
      </w:r>
      <w:r w:rsidRPr="00140A32">
        <w:rPr>
          <w:b/>
        </w:rPr>
        <w:fldChar w:fldCharType="separate"/>
      </w:r>
      <w:r w:rsidR="000359B2">
        <w:rPr>
          <w:b/>
          <w:noProof/>
        </w:rPr>
        <w:t>1</w:t>
      </w:r>
      <w:r w:rsidRPr="00140A32">
        <w:rPr>
          <w:b/>
        </w:rPr>
        <w:fldChar w:fldCharType="end"/>
      </w:r>
      <w:r w:rsidRPr="00140A32">
        <w:rPr>
          <w:b/>
        </w:rPr>
        <w:t>.</w:t>
      </w:r>
      <w:r>
        <w:t xml:space="preserve"> Main parameters for mass, energy, and momentum balances for T-401</w:t>
      </w:r>
    </w:p>
    <w:tbl>
      <w:tblPr>
        <w:tblStyle w:val="Tabellasemplice-2"/>
        <w:tblW w:w="0" w:type="auto"/>
        <w:tblLook w:val="04A0" w:firstRow="1" w:lastRow="0" w:firstColumn="1" w:lastColumn="0" w:noHBand="0" w:noVBand="1"/>
      </w:tblPr>
      <w:tblGrid>
        <w:gridCol w:w="1415"/>
        <w:gridCol w:w="1415"/>
        <w:gridCol w:w="1415"/>
        <w:gridCol w:w="1415"/>
        <w:gridCol w:w="1416"/>
      </w:tblGrid>
      <w:tr w:rsidR="00BD62B6" w14:paraId="72EF8DCC" w14:textId="77777777" w:rsidTr="00BD62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29D8037D" w14:textId="0D66E246" w:rsidR="00BD62B6" w:rsidRDefault="00D36151" w:rsidP="00F47E0B">
            <w:pPr>
              <w:pStyle w:val="Els-body-text"/>
              <w:spacing w:after="40"/>
              <w:jc w:val="center"/>
            </w:pPr>
            <w:r>
              <w:t>Packed section</w:t>
            </w:r>
          </w:p>
        </w:tc>
        <w:tc>
          <w:tcPr>
            <w:tcW w:w="1415" w:type="dxa"/>
          </w:tcPr>
          <w:p w14:paraId="5F0AA009" w14:textId="53595AFD" w:rsidR="00BD62B6" w:rsidRDefault="008344A1" w:rsidP="00F47E0B">
            <w:pPr>
              <w:pStyle w:val="Els-body-text"/>
              <w:spacing w:after="40"/>
              <w:jc w:val="center"/>
              <w:cnfStyle w:val="100000000000" w:firstRow="1" w:lastRow="0" w:firstColumn="0" w:lastColumn="0" w:oddVBand="0" w:evenVBand="0" w:oddHBand="0" w:evenHBand="0" w:firstRowFirstColumn="0" w:firstRowLastColumn="0" w:lastRowFirstColumn="0" w:lastRowLastColumn="0"/>
            </w:pPr>
            <w:r>
              <w:t>ETP</w:t>
            </w:r>
            <w:r w:rsidR="00F47E0B">
              <w:t xml:space="preserve"> </w:t>
            </w:r>
            <w:r w:rsidR="00F47E0B">
              <w:br/>
              <w:t>[n.]</w:t>
            </w:r>
          </w:p>
        </w:tc>
        <w:tc>
          <w:tcPr>
            <w:tcW w:w="1415" w:type="dxa"/>
          </w:tcPr>
          <w:p w14:paraId="35AA5A01" w14:textId="260472C1" w:rsidR="00BD62B6" w:rsidRDefault="00F47E0B" w:rsidP="00F47E0B">
            <w:pPr>
              <w:pStyle w:val="Els-body-text"/>
              <w:spacing w:after="40"/>
              <w:jc w:val="center"/>
              <w:cnfStyle w:val="100000000000" w:firstRow="1" w:lastRow="0" w:firstColumn="0" w:lastColumn="0" w:oddVBand="0" w:evenVBand="0" w:oddHBand="0" w:evenHBand="0" w:firstRowFirstColumn="0" w:firstRowLastColumn="0" w:lastRowFirstColumn="0" w:lastRowLastColumn="0"/>
            </w:pPr>
            <w:r>
              <w:t>h</w:t>
            </w:r>
            <w:r w:rsidR="008344A1" w:rsidRPr="00F57BA4">
              <w:rPr>
                <w:vertAlign w:val="subscript"/>
              </w:rPr>
              <w:t>e</w:t>
            </w:r>
            <w:r>
              <w:t xml:space="preserve"> </w:t>
            </w:r>
            <w:r>
              <w:br/>
              <w:t>[W/m</w:t>
            </w:r>
            <w:r w:rsidRPr="00F47E0B">
              <w:rPr>
                <w:vertAlign w:val="superscript"/>
              </w:rPr>
              <w:t>2</w:t>
            </w:r>
            <w:r>
              <w:t>/K]</w:t>
            </w:r>
          </w:p>
        </w:tc>
        <w:tc>
          <w:tcPr>
            <w:tcW w:w="1415" w:type="dxa"/>
          </w:tcPr>
          <w:p w14:paraId="634B9EF2" w14:textId="5CD206DB" w:rsidR="00BD62B6" w:rsidRDefault="008B328C" w:rsidP="00F47E0B">
            <w:pPr>
              <w:pStyle w:val="Els-body-text"/>
              <w:spacing w:after="40"/>
              <w:jc w:val="center"/>
              <w:cnfStyle w:val="100000000000" w:firstRow="1" w:lastRow="0" w:firstColumn="0" w:lastColumn="0" w:oddVBand="0" w:evenVBand="0" w:oddHBand="0" w:evenHBand="0" w:firstRowFirstColumn="0" w:firstRowLastColumn="0" w:lastRowFirstColumn="0" w:lastRowLastColumn="0"/>
            </w:pPr>
            <w:r>
              <w:t>h</w:t>
            </w:r>
            <w:r w:rsidR="008344A1" w:rsidRPr="00F57BA4">
              <w:rPr>
                <w:vertAlign w:val="subscript"/>
              </w:rPr>
              <w:t>i</w:t>
            </w:r>
            <w:r w:rsidR="00F47E0B">
              <w:br/>
              <w:t>[W/m</w:t>
            </w:r>
            <w:r w:rsidR="00F47E0B" w:rsidRPr="00F47E0B">
              <w:rPr>
                <w:vertAlign w:val="superscript"/>
              </w:rPr>
              <w:t>2</w:t>
            </w:r>
            <w:r w:rsidR="00F47E0B">
              <w:t>/K]</w:t>
            </w:r>
          </w:p>
        </w:tc>
        <w:tc>
          <w:tcPr>
            <w:tcW w:w="1416" w:type="dxa"/>
          </w:tcPr>
          <w:p w14:paraId="671D87CC" w14:textId="04389CA9" w:rsidR="00BD62B6" w:rsidRDefault="008344A1" w:rsidP="00F47E0B">
            <w:pPr>
              <w:pStyle w:val="Els-body-text"/>
              <w:spacing w:after="40"/>
              <w:jc w:val="center"/>
              <w:cnfStyle w:val="100000000000" w:firstRow="1" w:lastRow="0" w:firstColumn="0" w:lastColumn="0" w:oddVBand="0" w:evenVBand="0" w:oddHBand="0" w:evenHBand="0" w:firstRowFirstColumn="0" w:firstRowLastColumn="0" w:lastRowFirstColumn="0" w:lastRowLastColumn="0"/>
            </w:pPr>
            <w:r>
              <w:t>K</w:t>
            </w:r>
            <w:r w:rsidR="00F47E0B">
              <w:br/>
              <w:t>[-]</w:t>
            </w:r>
          </w:p>
        </w:tc>
      </w:tr>
      <w:tr w:rsidR="00BD62B6" w14:paraId="13C02CA9" w14:textId="77777777" w:rsidTr="00BD6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6B1FD281" w14:textId="0EF6F8D1" w:rsidR="00BD62B6" w:rsidRPr="00D45B07" w:rsidRDefault="008344A1" w:rsidP="00F47E0B">
            <w:pPr>
              <w:pStyle w:val="Els-body-text"/>
              <w:spacing w:after="40"/>
              <w:jc w:val="center"/>
              <w:rPr>
                <w:b w:val="0"/>
              </w:rPr>
            </w:pPr>
            <w:r w:rsidRPr="00D45B07">
              <w:rPr>
                <w:b w:val="0"/>
              </w:rPr>
              <w:t xml:space="preserve">VISCOFLEX </w:t>
            </w:r>
          </w:p>
        </w:tc>
        <w:tc>
          <w:tcPr>
            <w:tcW w:w="1415" w:type="dxa"/>
          </w:tcPr>
          <w:p w14:paraId="3EDB8165" w14:textId="52862A74" w:rsidR="00BD62B6" w:rsidRDefault="00533476"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3.00</w:t>
            </w:r>
          </w:p>
        </w:tc>
        <w:tc>
          <w:tcPr>
            <w:tcW w:w="1415" w:type="dxa"/>
          </w:tcPr>
          <w:p w14:paraId="05FFD424" w14:textId="31350B62" w:rsidR="00BD62B6" w:rsidRDefault="008B328C"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9.2</w:t>
            </w:r>
          </w:p>
        </w:tc>
        <w:tc>
          <w:tcPr>
            <w:tcW w:w="1415" w:type="dxa"/>
          </w:tcPr>
          <w:p w14:paraId="427A1164" w14:textId="7F50DF0A" w:rsidR="00BD62B6" w:rsidRDefault="008B328C"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19.9</w:t>
            </w:r>
          </w:p>
        </w:tc>
        <w:tc>
          <w:tcPr>
            <w:tcW w:w="1416" w:type="dxa"/>
          </w:tcPr>
          <w:p w14:paraId="5FF9F887" w14:textId="4B4F36B9" w:rsidR="00BD62B6" w:rsidRDefault="008B328C"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0.2632</w:t>
            </w:r>
          </w:p>
        </w:tc>
      </w:tr>
      <w:tr w:rsidR="00BD62B6" w14:paraId="363AC9DA" w14:textId="77777777" w:rsidTr="00BD62B6">
        <w:tc>
          <w:tcPr>
            <w:cnfStyle w:val="001000000000" w:firstRow="0" w:lastRow="0" w:firstColumn="1" w:lastColumn="0" w:oddVBand="0" w:evenVBand="0" w:oddHBand="0" w:evenHBand="0" w:firstRowFirstColumn="0" w:firstRowLastColumn="0" w:lastRowFirstColumn="0" w:lastRowLastColumn="0"/>
            <w:tcW w:w="1415" w:type="dxa"/>
          </w:tcPr>
          <w:p w14:paraId="4E7E0C29" w14:textId="780FB957" w:rsidR="00BD62B6" w:rsidRPr="00D45B07" w:rsidRDefault="008344A1" w:rsidP="00F47E0B">
            <w:pPr>
              <w:pStyle w:val="Els-body-text"/>
              <w:spacing w:after="40"/>
              <w:jc w:val="center"/>
              <w:rPr>
                <w:b w:val="0"/>
              </w:rPr>
            </w:pPr>
            <w:r w:rsidRPr="00D45B07">
              <w:rPr>
                <w:b w:val="0"/>
              </w:rPr>
              <w:t>HLF</w:t>
            </w:r>
          </w:p>
        </w:tc>
        <w:tc>
          <w:tcPr>
            <w:tcW w:w="1415" w:type="dxa"/>
          </w:tcPr>
          <w:p w14:paraId="54A566A5" w14:textId="54FCB590" w:rsidR="00BD62B6" w:rsidRDefault="00533476" w:rsidP="00F47E0B">
            <w:pPr>
              <w:pStyle w:val="Els-body-text"/>
              <w:spacing w:after="40"/>
              <w:jc w:val="center"/>
              <w:cnfStyle w:val="000000000000" w:firstRow="0" w:lastRow="0" w:firstColumn="0" w:lastColumn="0" w:oddVBand="0" w:evenVBand="0" w:oddHBand="0" w:evenHBand="0" w:firstRowFirstColumn="0" w:firstRowLastColumn="0" w:lastRowFirstColumn="0" w:lastRowLastColumn="0"/>
            </w:pPr>
            <w:r>
              <w:t>1.00</w:t>
            </w:r>
          </w:p>
        </w:tc>
        <w:tc>
          <w:tcPr>
            <w:tcW w:w="1415" w:type="dxa"/>
          </w:tcPr>
          <w:p w14:paraId="685FBB67" w14:textId="50F0D985" w:rsidR="00BD62B6" w:rsidRDefault="008B328C" w:rsidP="00F47E0B">
            <w:pPr>
              <w:pStyle w:val="Els-body-text"/>
              <w:spacing w:after="40"/>
              <w:jc w:val="center"/>
              <w:cnfStyle w:val="000000000000" w:firstRow="0" w:lastRow="0" w:firstColumn="0" w:lastColumn="0" w:oddVBand="0" w:evenVBand="0" w:oddHBand="0" w:evenHBand="0" w:firstRowFirstColumn="0" w:firstRowLastColumn="0" w:lastRowFirstColumn="0" w:lastRowLastColumn="0"/>
            </w:pPr>
            <w:r>
              <w:t>9.1</w:t>
            </w:r>
          </w:p>
        </w:tc>
        <w:tc>
          <w:tcPr>
            <w:tcW w:w="1415" w:type="dxa"/>
          </w:tcPr>
          <w:p w14:paraId="3BA55B19" w14:textId="6CEDA47B" w:rsidR="00BD62B6" w:rsidRDefault="008B328C" w:rsidP="00F47E0B">
            <w:pPr>
              <w:pStyle w:val="Els-body-text"/>
              <w:spacing w:after="40"/>
              <w:jc w:val="center"/>
              <w:cnfStyle w:val="000000000000" w:firstRow="0" w:lastRow="0" w:firstColumn="0" w:lastColumn="0" w:oddVBand="0" w:evenVBand="0" w:oddHBand="0" w:evenHBand="0" w:firstRowFirstColumn="0" w:firstRowLastColumn="0" w:lastRowFirstColumn="0" w:lastRowLastColumn="0"/>
            </w:pPr>
            <w:r>
              <w:t>24.1</w:t>
            </w:r>
          </w:p>
        </w:tc>
        <w:tc>
          <w:tcPr>
            <w:tcW w:w="1416" w:type="dxa"/>
          </w:tcPr>
          <w:p w14:paraId="51A4B183" w14:textId="156D3882" w:rsidR="00BD62B6" w:rsidRDefault="008B328C" w:rsidP="00F47E0B">
            <w:pPr>
              <w:pStyle w:val="Els-body-text"/>
              <w:spacing w:after="40"/>
              <w:jc w:val="center"/>
              <w:cnfStyle w:val="000000000000" w:firstRow="0" w:lastRow="0" w:firstColumn="0" w:lastColumn="0" w:oddVBand="0" w:evenVBand="0" w:oddHBand="0" w:evenHBand="0" w:firstRowFirstColumn="0" w:firstRowLastColumn="0" w:lastRowFirstColumn="0" w:lastRowLastColumn="0"/>
            </w:pPr>
            <w:r>
              <w:t>0.8532</w:t>
            </w:r>
          </w:p>
        </w:tc>
      </w:tr>
      <w:tr w:rsidR="00BD62B6" w14:paraId="261FFDAA" w14:textId="77777777" w:rsidTr="00BD6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085E932E" w14:textId="0FA5C512" w:rsidR="00BD62B6" w:rsidRPr="00D45B07" w:rsidRDefault="008344A1" w:rsidP="00F47E0B">
            <w:pPr>
              <w:pStyle w:val="Els-body-text"/>
              <w:spacing w:after="40"/>
              <w:jc w:val="center"/>
              <w:rPr>
                <w:b w:val="0"/>
              </w:rPr>
            </w:pPr>
            <w:r w:rsidRPr="00D45B07">
              <w:rPr>
                <w:b w:val="0"/>
              </w:rPr>
              <w:t>LLF</w:t>
            </w:r>
          </w:p>
        </w:tc>
        <w:tc>
          <w:tcPr>
            <w:tcW w:w="1415" w:type="dxa"/>
          </w:tcPr>
          <w:p w14:paraId="2F40FD2A" w14:textId="2E44FB06" w:rsidR="00BD62B6" w:rsidRDefault="00533476"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3.78</w:t>
            </w:r>
          </w:p>
        </w:tc>
        <w:tc>
          <w:tcPr>
            <w:tcW w:w="1415" w:type="dxa"/>
          </w:tcPr>
          <w:p w14:paraId="6B3D0999" w14:textId="3A8036ED" w:rsidR="00BD62B6" w:rsidRDefault="008B328C"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8.7</w:t>
            </w:r>
          </w:p>
        </w:tc>
        <w:tc>
          <w:tcPr>
            <w:tcW w:w="1415" w:type="dxa"/>
          </w:tcPr>
          <w:p w14:paraId="1FA62E84" w14:textId="38EE46C1" w:rsidR="00BD62B6" w:rsidRDefault="008B328C"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28.7</w:t>
            </w:r>
          </w:p>
        </w:tc>
        <w:tc>
          <w:tcPr>
            <w:tcW w:w="1416" w:type="dxa"/>
          </w:tcPr>
          <w:p w14:paraId="45534236" w14:textId="4472B12A" w:rsidR="00BD62B6" w:rsidRDefault="008B328C"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1.8844</w:t>
            </w:r>
          </w:p>
        </w:tc>
      </w:tr>
      <w:tr w:rsidR="00BD62B6" w14:paraId="2701E619" w14:textId="77777777" w:rsidTr="00BD62B6">
        <w:tc>
          <w:tcPr>
            <w:cnfStyle w:val="001000000000" w:firstRow="0" w:lastRow="0" w:firstColumn="1" w:lastColumn="0" w:oddVBand="0" w:evenVBand="0" w:oddHBand="0" w:evenHBand="0" w:firstRowFirstColumn="0" w:firstRowLastColumn="0" w:lastRowFirstColumn="0" w:lastRowLastColumn="0"/>
            <w:tcW w:w="1415" w:type="dxa"/>
          </w:tcPr>
          <w:p w14:paraId="345339C0" w14:textId="709F7E9C" w:rsidR="00BD62B6" w:rsidRPr="00D45B07" w:rsidRDefault="008344A1" w:rsidP="00F47E0B">
            <w:pPr>
              <w:pStyle w:val="Els-body-text"/>
              <w:spacing w:after="40"/>
              <w:jc w:val="center"/>
              <w:rPr>
                <w:b w:val="0"/>
              </w:rPr>
            </w:pPr>
            <w:r w:rsidRPr="00D45B07">
              <w:rPr>
                <w:b w:val="0"/>
              </w:rPr>
              <w:t>SLF</w:t>
            </w:r>
          </w:p>
        </w:tc>
        <w:tc>
          <w:tcPr>
            <w:tcW w:w="1415" w:type="dxa"/>
          </w:tcPr>
          <w:p w14:paraId="77DB502A" w14:textId="76FD97D3" w:rsidR="00BD62B6" w:rsidRDefault="00533476" w:rsidP="00F47E0B">
            <w:pPr>
              <w:pStyle w:val="Els-body-text"/>
              <w:spacing w:after="40"/>
              <w:jc w:val="center"/>
              <w:cnfStyle w:val="000000000000" w:firstRow="0" w:lastRow="0" w:firstColumn="0" w:lastColumn="0" w:oddVBand="0" w:evenVBand="0" w:oddHBand="0" w:evenHBand="0" w:firstRowFirstColumn="0" w:firstRowLastColumn="0" w:lastRowFirstColumn="0" w:lastRowLastColumn="0"/>
            </w:pPr>
            <w:r>
              <w:t>6.12</w:t>
            </w:r>
          </w:p>
        </w:tc>
        <w:tc>
          <w:tcPr>
            <w:tcW w:w="1415" w:type="dxa"/>
          </w:tcPr>
          <w:p w14:paraId="339F5E29" w14:textId="0ADB5B78" w:rsidR="00BD62B6" w:rsidRDefault="008B328C" w:rsidP="00F47E0B">
            <w:pPr>
              <w:pStyle w:val="Els-body-text"/>
              <w:spacing w:after="40"/>
              <w:jc w:val="center"/>
              <w:cnfStyle w:val="000000000000" w:firstRow="0" w:lastRow="0" w:firstColumn="0" w:lastColumn="0" w:oddVBand="0" w:evenVBand="0" w:oddHBand="0" w:evenHBand="0" w:firstRowFirstColumn="0" w:firstRowLastColumn="0" w:lastRowFirstColumn="0" w:lastRowLastColumn="0"/>
            </w:pPr>
            <w:r>
              <w:t>7.4</w:t>
            </w:r>
          </w:p>
        </w:tc>
        <w:tc>
          <w:tcPr>
            <w:tcW w:w="1415" w:type="dxa"/>
          </w:tcPr>
          <w:p w14:paraId="03EC0AF6" w14:textId="225FF6D6" w:rsidR="00BD62B6" w:rsidRDefault="008B328C" w:rsidP="00F47E0B">
            <w:pPr>
              <w:pStyle w:val="Els-body-text"/>
              <w:spacing w:after="40"/>
              <w:jc w:val="center"/>
              <w:cnfStyle w:val="000000000000" w:firstRow="0" w:lastRow="0" w:firstColumn="0" w:lastColumn="0" w:oddVBand="0" w:evenVBand="0" w:oddHBand="0" w:evenHBand="0" w:firstRowFirstColumn="0" w:firstRowLastColumn="0" w:lastRowFirstColumn="0" w:lastRowLastColumn="0"/>
            </w:pPr>
            <w:r>
              <w:t>23.9</w:t>
            </w:r>
          </w:p>
        </w:tc>
        <w:tc>
          <w:tcPr>
            <w:tcW w:w="1416" w:type="dxa"/>
          </w:tcPr>
          <w:p w14:paraId="116D3E76" w14:textId="1E9B0525" w:rsidR="00BD62B6" w:rsidRDefault="008B328C" w:rsidP="00F47E0B">
            <w:pPr>
              <w:pStyle w:val="Els-body-text"/>
              <w:spacing w:after="40"/>
              <w:jc w:val="center"/>
              <w:cnfStyle w:val="000000000000" w:firstRow="0" w:lastRow="0" w:firstColumn="0" w:lastColumn="0" w:oddVBand="0" w:evenVBand="0" w:oddHBand="0" w:evenHBand="0" w:firstRowFirstColumn="0" w:firstRowLastColumn="0" w:lastRowFirstColumn="0" w:lastRowLastColumn="0"/>
            </w:pPr>
            <w:r>
              <w:t>2.3815</w:t>
            </w:r>
          </w:p>
        </w:tc>
      </w:tr>
      <w:tr w:rsidR="00BD62B6" w14:paraId="7113B434" w14:textId="77777777" w:rsidTr="00BD6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0EE50D86" w14:textId="1071876B" w:rsidR="00BD62B6" w:rsidRPr="00D45B07" w:rsidRDefault="008344A1" w:rsidP="00F47E0B">
            <w:pPr>
              <w:pStyle w:val="Els-body-text"/>
              <w:spacing w:after="40"/>
              <w:jc w:val="center"/>
              <w:rPr>
                <w:b w:val="0"/>
              </w:rPr>
            </w:pPr>
            <w:r w:rsidRPr="00D45B07">
              <w:rPr>
                <w:b w:val="0"/>
              </w:rPr>
              <w:t>VGO</w:t>
            </w:r>
          </w:p>
        </w:tc>
        <w:tc>
          <w:tcPr>
            <w:tcW w:w="1415" w:type="dxa"/>
          </w:tcPr>
          <w:p w14:paraId="04448940" w14:textId="77C39068" w:rsidR="00BD62B6" w:rsidRDefault="00533476"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4.00</w:t>
            </w:r>
          </w:p>
        </w:tc>
        <w:tc>
          <w:tcPr>
            <w:tcW w:w="1415" w:type="dxa"/>
          </w:tcPr>
          <w:p w14:paraId="54521F3C" w14:textId="6EE5C9BC" w:rsidR="00BD62B6" w:rsidRDefault="008B328C"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4.6</w:t>
            </w:r>
          </w:p>
        </w:tc>
        <w:tc>
          <w:tcPr>
            <w:tcW w:w="1415" w:type="dxa"/>
          </w:tcPr>
          <w:p w14:paraId="6D852978" w14:textId="2F792EFA" w:rsidR="00BD62B6" w:rsidRDefault="008B328C"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14.8</w:t>
            </w:r>
          </w:p>
        </w:tc>
        <w:tc>
          <w:tcPr>
            <w:tcW w:w="1416" w:type="dxa"/>
          </w:tcPr>
          <w:p w14:paraId="2894D748" w14:textId="2780F3B8" w:rsidR="00BD62B6" w:rsidRDefault="008B328C" w:rsidP="00F47E0B">
            <w:pPr>
              <w:pStyle w:val="Els-body-text"/>
              <w:spacing w:after="40"/>
              <w:jc w:val="center"/>
              <w:cnfStyle w:val="000000100000" w:firstRow="0" w:lastRow="0" w:firstColumn="0" w:lastColumn="0" w:oddVBand="0" w:evenVBand="0" w:oddHBand="1" w:evenHBand="0" w:firstRowFirstColumn="0" w:firstRowLastColumn="0" w:lastRowFirstColumn="0" w:lastRowLastColumn="0"/>
            </w:pPr>
            <w:r>
              <w:t>3.1358</w:t>
            </w:r>
          </w:p>
        </w:tc>
      </w:tr>
    </w:tbl>
    <w:p w14:paraId="144DE6A1" w14:textId="43DAA280" w:rsidR="008D2649" w:rsidRPr="00A94774" w:rsidRDefault="002F5808" w:rsidP="008D2649">
      <w:pPr>
        <w:pStyle w:val="Els-1storder-head"/>
        <w:spacing w:after="120"/>
        <w:rPr>
          <w:lang w:val="en-GB"/>
        </w:rPr>
      </w:pPr>
      <w:r>
        <w:rPr>
          <w:lang w:val="en-GB"/>
        </w:rPr>
        <w:t>Results and Discussion</w:t>
      </w:r>
    </w:p>
    <w:p w14:paraId="222AA5B3" w14:textId="024384B8" w:rsidR="00A94801" w:rsidRDefault="00741B21" w:rsidP="00A94801">
      <w:pPr>
        <w:pStyle w:val="Els-body-text"/>
      </w:pPr>
      <w:r>
        <w:t xml:space="preserve">The </w:t>
      </w:r>
      <w:r w:rsidR="009F3594">
        <w:t>detailed view of the LLF se</w:t>
      </w:r>
      <w:r w:rsidR="00B8564D">
        <w:t>ction is shown in Figure 2 as a case study</w:t>
      </w:r>
      <w:r w:rsidR="009F3594">
        <w:t xml:space="preserve">. It is possible to notice the discrete modeling approach as introduced previously, with the combination of sump, packed section, and tubes. </w:t>
      </w:r>
      <w:r w:rsidR="00CA1B89">
        <w:t xml:space="preserve">The LLF pack includes controllers, recirculation pump, and a split between the LLF product sent to storage and the LLF reflux that is used in the adjacent HLF section below. It is also possible to notice the </w:t>
      </w:r>
      <w:r w:rsidR="0087496A">
        <w:t>SLF flow</w:t>
      </w:r>
      <w:r w:rsidR="003608A4">
        <w:t xml:space="preserve">rates exiting from the corresponding </w:t>
      </w:r>
      <w:r w:rsidR="0087496A">
        <w:t>section above, which is similarly divided into product to be stored, and a reflux to be fed to the LLF section.</w:t>
      </w:r>
      <w:r w:rsidR="002E5E60">
        <w:t xml:space="preserve"> This kind of topology is common among vacuum-based</w:t>
      </w:r>
      <w:r w:rsidR="009F5D32">
        <w:t>, used oil</w:t>
      </w:r>
      <w:r w:rsidR="002E5E60">
        <w:t xml:space="preserve"> re-refining technologies </w:t>
      </w:r>
      <w:r w:rsidR="003608A4">
        <w:fldChar w:fldCharType="begin"/>
      </w:r>
      <w:r w:rsidR="003608A4">
        <w:instrText xml:space="preserve"> ADDIN ZOTERO_ITEM CSL_CITATION {"citationID":"hPSXwF6a","properties":{"formattedCitation":"(Kupareva et al., 2013)","plainCitation":"(Kupareva et al., 2013)","noteIndex":0},"citationItems":[{"id":354,"uris":["http://zotero.org/users/11115034/items/E2TBHIXN"],"itemData":{"id":354,"type":"article-journal","abstract":"The European oil rerefining industry is comprised of 28 plants treating waste oil, which represent one-third in volume of the total European market for lubricants. The biggest European rerefineries with capacity greater than 40 000 tons/year apply various technologies for recycling of used oils from different sources. Used oil recycling technology has undergone significant changes over the past decade. With the newly developed rerefining technologies it is possible to produce higher quality base oil compared with the traditional and old acid clay methods. Currently in Europe the following re-refining methods are widely used: solvent extraction (N-methyl-2-pyrrolidone (Germany), Interline process (United Kingdom, Spain)); combined vacuum distillation and solvent extraction (Vaxon process (Denmark, Spain); hydroprocessing (Hylube process (Germany)); combined thin film evaporation and hydrofinishing (CEP process (Finland)); combined thermal de-asphalting and hydrofinishing (Revivoil process (Italy, Poland, and Spain)). The majority of applied technologies in Europe is appropriate for rerefining of synthetic lubricating oils, which currently are replacing the conventional mineral lube oils due to their enhanced performance characteristics. However, for the rerefining technologies applying alkaline treatment (CEP, Vaxon) and hydrofinishing step (Cyclon, Snamprogetti, Revivoil) the amount of synthetic or semi-synthetic oils based on esters in the feedstock should be eliminated, since these oils are less stable under alkali and hydrofinishing conditions. © 2013 Society of Chemical Industry.","archive":"Scopus","container-title":"Journal of Chemical Technology and Biotechnology","DOI":"10.1002/jctb.4137","ISSN":"1097-4660","issue":"10","language":"English","page":"1780-1793","source":"Scopus","title":"Technology for rerefining used lube oils applied in Europe: A review","title-short":"Technology for rerefining used lube oils applied in Europe","volume":"88","author":[{"family":"Kupareva","given":"A."},{"family":"Mäki-Arvela","given":"P."},{"family":"Murzin","given":"D.Y."}],"issued":{"date-parts":[["2013"]]}}}],"schema":"https://github.com/citation-style-language/schema/raw/master/csl-citation.json"} </w:instrText>
      </w:r>
      <w:r w:rsidR="003608A4">
        <w:fldChar w:fldCharType="separate"/>
      </w:r>
      <w:r w:rsidR="003608A4" w:rsidRPr="003608A4">
        <w:t>(Kupareva et al., 2013)</w:t>
      </w:r>
      <w:r w:rsidR="003608A4">
        <w:fldChar w:fldCharType="end"/>
      </w:r>
      <w:r w:rsidR="003608A4">
        <w:t>.</w:t>
      </w:r>
    </w:p>
    <w:p w14:paraId="243A7C98" w14:textId="77777777" w:rsidR="00741B21" w:rsidRDefault="00741B21" w:rsidP="00741B21">
      <w:pPr>
        <w:pStyle w:val="Els-body-text"/>
        <w:keepNext/>
      </w:pPr>
      <w:r w:rsidRPr="00741B21">
        <w:rPr>
          <w:noProof/>
          <w:lang w:val="it-IT" w:eastAsia="it-IT"/>
        </w:rPr>
        <w:drawing>
          <wp:inline distT="0" distB="0" distL="0" distR="0" wp14:anchorId="29B71796" wp14:editId="6EFA96B6">
            <wp:extent cx="4499610" cy="28809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9610" cy="2880995"/>
                    </a:xfrm>
                    <a:prstGeom prst="rect">
                      <a:avLst/>
                    </a:prstGeom>
                  </pic:spPr>
                </pic:pic>
              </a:graphicData>
            </a:graphic>
          </wp:inline>
        </w:drawing>
      </w:r>
    </w:p>
    <w:p w14:paraId="2CA7FACE" w14:textId="6F3562C4" w:rsidR="000A6971" w:rsidRDefault="00741B21" w:rsidP="000A6971">
      <w:pPr>
        <w:pStyle w:val="Didascalia"/>
        <w:jc w:val="both"/>
      </w:pPr>
      <w:r w:rsidRPr="00741B21">
        <w:rPr>
          <w:b/>
        </w:rPr>
        <w:t xml:space="preserve">Figure </w:t>
      </w:r>
      <w:r w:rsidRPr="00741B21">
        <w:rPr>
          <w:b/>
        </w:rPr>
        <w:fldChar w:fldCharType="begin"/>
      </w:r>
      <w:r w:rsidRPr="00741B21">
        <w:rPr>
          <w:b/>
        </w:rPr>
        <w:instrText xml:space="preserve"> SEQ Figure \* ARABIC </w:instrText>
      </w:r>
      <w:r w:rsidRPr="00741B21">
        <w:rPr>
          <w:b/>
        </w:rPr>
        <w:fldChar w:fldCharType="separate"/>
      </w:r>
      <w:r w:rsidR="000359B2">
        <w:rPr>
          <w:b/>
          <w:noProof/>
        </w:rPr>
        <w:t>2</w:t>
      </w:r>
      <w:r w:rsidRPr="00741B21">
        <w:rPr>
          <w:b/>
        </w:rPr>
        <w:fldChar w:fldCharType="end"/>
      </w:r>
      <w:r w:rsidRPr="00741B21">
        <w:rPr>
          <w:b/>
        </w:rPr>
        <w:t>.</w:t>
      </w:r>
      <w:r w:rsidR="00542686">
        <w:t xml:space="preserve"> Detail of the </w:t>
      </w:r>
      <w:r w:rsidR="0011139A">
        <w:t>LLF</w:t>
      </w:r>
      <w:r w:rsidR="00542686">
        <w:t xml:space="preserve"> section including </w:t>
      </w:r>
      <w:r w:rsidR="0011139A">
        <w:t>SLF</w:t>
      </w:r>
      <w:r w:rsidR="00542686">
        <w:t xml:space="preserve"> reflux from the </w:t>
      </w:r>
      <w:r w:rsidR="0011139A">
        <w:t xml:space="preserve">adjacent </w:t>
      </w:r>
      <w:r w:rsidR="00542686">
        <w:t>top section</w:t>
      </w:r>
    </w:p>
    <w:p w14:paraId="1074CC3C" w14:textId="383EEFDD" w:rsidR="009763F9" w:rsidRDefault="003D74CB" w:rsidP="000A6971">
      <w:pPr>
        <w:pStyle w:val="Els-body-text"/>
      </w:pPr>
      <w:r>
        <w:lastRenderedPageBreak/>
        <w:t>It is possibl</w:t>
      </w:r>
      <w:r w:rsidR="00192B7A">
        <w:t>e to analyze the performance of</w:t>
      </w:r>
      <w:r>
        <w:t xml:space="preserve"> simulated section</w:t>
      </w:r>
      <w:r w:rsidR="00192B7A">
        <w:t>s</w:t>
      </w:r>
      <w:r>
        <w:t xml:space="preserve"> by con</w:t>
      </w:r>
      <w:r w:rsidR="00D77FF4">
        <w:t xml:space="preserve">sidering a transient operation that was </w:t>
      </w:r>
      <w:r w:rsidR="00694B69">
        <w:t xml:space="preserve">executed by plant operators, in which the feedstock to the TDA column </w:t>
      </w:r>
      <w:r w:rsidR="00473EBB">
        <w:t xml:space="preserve">was increased </w:t>
      </w:r>
      <w:r w:rsidR="00A02D84">
        <w:t>by</w:t>
      </w:r>
      <w:r w:rsidR="00473EBB">
        <w:t xml:space="preserve"> 20%. </w:t>
      </w:r>
      <w:r w:rsidR="008727B5">
        <w:t xml:space="preserve">The </w:t>
      </w:r>
      <w:r w:rsidR="00A03C7B">
        <w:t xml:space="preserve">chosen </w:t>
      </w:r>
      <w:r w:rsidR="005858BF">
        <w:t xml:space="preserve">indicator </w:t>
      </w:r>
      <w:r w:rsidR="009763F9">
        <w:t xml:space="preserve">will be the </w:t>
      </w:r>
      <w:r w:rsidR="00575C23">
        <w:t xml:space="preserve">normalized </w:t>
      </w:r>
      <w:r w:rsidR="009763F9">
        <w:t xml:space="preserve">deviation of appropriate </w:t>
      </w:r>
      <w:r w:rsidR="00B5056B">
        <w:t>variables</w:t>
      </w:r>
      <w:r w:rsidR="009763F9">
        <w:t xml:space="preserve"> from their initial value </w:t>
      </w:r>
      <w:r w:rsidR="005D153D">
        <w:t>(δ)</w:t>
      </w:r>
      <w:r w:rsidR="009763F9">
        <w:t>, defined as in Eq. (4)</w:t>
      </w:r>
      <w:r w:rsidR="005D153D">
        <w:t xml:space="preserve">, where </w:t>
      </w:r>
      <w:r w:rsidR="00B5056B">
        <w:t>x</w:t>
      </w:r>
      <w:r w:rsidR="005D153D">
        <w:t xml:space="preserve">(t) </w:t>
      </w:r>
      <w:r w:rsidR="00B5056B">
        <w:t>and x</w:t>
      </w:r>
      <w:r w:rsidR="005D153D" w:rsidRPr="005D153D">
        <w:rPr>
          <w:vertAlign w:val="superscript"/>
        </w:rPr>
        <w:t>0</w:t>
      </w:r>
      <w:r w:rsidR="005D153D">
        <w:t xml:space="preserve"> are the </w:t>
      </w:r>
      <w:r w:rsidR="00B5056B">
        <w:t>variables</w:t>
      </w:r>
      <w:r w:rsidR="005D153D">
        <w:t xml:space="preserve"> as a function of time and the corresponding initial value, respectively</w:t>
      </w:r>
      <w:r w:rsidR="009763F9">
        <w:t>.</w:t>
      </w:r>
    </w:p>
    <w:tbl>
      <w:tblPr>
        <w:tblW w:w="0" w:type="auto"/>
        <w:tblLook w:val="04A0" w:firstRow="1" w:lastRow="0" w:firstColumn="1" w:lastColumn="0" w:noHBand="0" w:noVBand="1"/>
      </w:tblPr>
      <w:tblGrid>
        <w:gridCol w:w="6123"/>
        <w:gridCol w:w="964"/>
      </w:tblGrid>
      <w:tr w:rsidR="009763F9" w:rsidRPr="00A94774" w14:paraId="74148155" w14:textId="77777777" w:rsidTr="005B4623">
        <w:tc>
          <w:tcPr>
            <w:tcW w:w="6317" w:type="dxa"/>
            <w:shd w:val="clear" w:color="auto" w:fill="auto"/>
            <w:vAlign w:val="center"/>
          </w:tcPr>
          <w:p w14:paraId="2505103E" w14:textId="55D0ABA2" w:rsidR="009763F9" w:rsidRPr="00575C23" w:rsidRDefault="00575C23" w:rsidP="005D153D">
            <w:pPr>
              <w:pStyle w:val="Els-body-text"/>
              <w:spacing w:before="120" w:after="120" w:line="264" w:lineRule="auto"/>
            </w:pPr>
            <m:oMathPara>
              <m:oMathParaPr>
                <m:jc m:val="left"/>
              </m:oMathParaPr>
              <m:oMath>
                <m:r>
                  <m:rPr>
                    <m:nor/>
                  </m:rPr>
                  <m:t xml:space="preserve">δ(t) =  </m:t>
                </m:r>
                <m:f>
                  <m:fPr>
                    <m:ctrlPr>
                      <w:rPr>
                        <w:rFonts w:ascii="Cambria Math" w:hAnsi="Cambria Math"/>
                        <w:i/>
                      </w:rPr>
                    </m:ctrlPr>
                  </m:fPr>
                  <m:num>
                    <m:r>
                      <m:rPr>
                        <m:nor/>
                      </m:rPr>
                      <m:t>x</m:t>
                    </m:r>
                    <m:d>
                      <m:dPr>
                        <m:ctrlPr>
                          <w:rPr>
                            <w:rFonts w:ascii="Cambria Math" w:hAnsi="Cambria Math"/>
                            <w:i/>
                          </w:rPr>
                        </m:ctrlPr>
                      </m:dPr>
                      <m:e>
                        <m:r>
                          <m:rPr>
                            <m:nor/>
                          </m:rPr>
                          <m:t>t</m:t>
                        </m:r>
                      </m:e>
                    </m:d>
                    <m:r>
                      <m:rPr>
                        <m:nor/>
                      </m:rPr>
                      <m:t>-</m:t>
                    </m:r>
                    <m:sSup>
                      <m:sSupPr>
                        <m:ctrlPr>
                          <w:rPr>
                            <w:rFonts w:ascii="Cambria Math" w:hAnsi="Cambria Math"/>
                            <w:i/>
                          </w:rPr>
                        </m:ctrlPr>
                      </m:sSupPr>
                      <m:e>
                        <m:r>
                          <m:rPr>
                            <m:nor/>
                          </m:rPr>
                          <m:t>x</m:t>
                        </m:r>
                      </m:e>
                      <m:sup>
                        <m:r>
                          <m:rPr>
                            <m:nor/>
                          </m:rPr>
                          <m:t>0</m:t>
                        </m:r>
                      </m:sup>
                    </m:sSup>
                  </m:num>
                  <m:den>
                    <m:sSup>
                      <m:sSupPr>
                        <m:ctrlPr>
                          <w:rPr>
                            <w:rFonts w:ascii="Cambria Math" w:hAnsi="Cambria Math"/>
                            <w:i/>
                          </w:rPr>
                        </m:ctrlPr>
                      </m:sSupPr>
                      <m:e>
                        <m:r>
                          <m:rPr>
                            <m:nor/>
                          </m:rPr>
                          <m:t>x</m:t>
                        </m:r>
                      </m:e>
                      <m:sup>
                        <m:r>
                          <m:rPr>
                            <m:nor/>
                          </m:rPr>
                          <m:t>0</m:t>
                        </m:r>
                      </m:sup>
                    </m:sSup>
                  </m:den>
                </m:f>
              </m:oMath>
            </m:oMathPara>
          </w:p>
        </w:tc>
        <w:tc>
          <w:tcPr>
            <w:tcW w:w="985" w:type="dxa"/>
            <w:shd w:val="clear" w:color="auto" w:fill="auto"/>
            <w:vAlign w:val="center"/>
          </w:tcPr>
          <w:p w14:paraId="4E4CD1AC" w14:textId="78B97584" w:rsidR="009763F9" w:rsidRPr="00A94774" w:rsidRDefault="009763F9" w:rsidP="005B4623">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bl>
    <w:p w14:paraId="670AD11C" w14:textId="4A471BC6" w:rsidR="009763F9" w:rsidRDefault="001427A0" w:rsidP="000A6971">
      <w:pPr>
        <w:pStyle w:val="Els-body-text"/>
      </w:pPr>
      <w:r>
        <w:t xml:space="preserve">The first parameter to be analyzed is the responsiveness of the simulated control loops, </w:t>
      </w:r>
      <w:r w:rsidR="00B96C1E">
        <w:t>which refer</w:t>
      </w:r>
      <w:r w:rsidR="003C63C8">
        <w:t>s</w:t>
      </w:r>
      <w:r w:rsidR="00B96C1E">
        <w:t xml:space="preserve"> to manipulated variables that are determined by the user in the simulation</w:t>
      </w:r>
      <w:r w:rsidR="005F3CAE">
        <w:t xml:space="preserve">. </w:t>
      </w:r>
      <w:r w:rsidR="000B5F5C">
        <w:t>The SLF reflux to the LLF pack is shown in Figure 3 for this purpose. There is good agreement between simulation and experimental values.</w:t>
      </w:r>
    </w:p>
    <w:p w14:paraId="2C27FB14" w14:textId="77777777" w:rsidR="00D24B9B" w:rsidRDefault="00D24B9B" w:rsidP="00D24B9B">
      <w:pPr>
        <w:pStyle w:val="Els-body-text"/>
        <w:keepNext/>
      </w:pPr>
      <w:r w:rsidRPr="00D24B9B">
        <w:rPr>
          <w:noProof/>
          <w:lang w:val="it-IT" w:eastAsia="it-IT"/>
        </w:rPr>
        <w:drawing>
          <wp:inline distT="0" distB="0" distL="0" distR="0" wp14:anchorId="76D75246" wp14:editId="325930F0">
            <wp:extent cx="4499610" cy="21602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9610" cy="2160270"/>
                    </a:xfrm>
                    <a:prstGeom prst="rect">
                      <a:avLst/>
                    </a:prstGeom>
                  </pic:spPr>
                </pic:pic>
              </a:graphicData>
            </a:graphic>
          </wp:inline>
        </w:drawing>
      </w:r>
    </w:p>
    <w:p w14:paraId="0B235EC5" w14:textId="374D2C3D" w:rsidR="000B5F5C" w:rsidRDefault="00D24B9B" w:rsidP="00D24B9B">
      <w:pPr>
        <w:pStyle w:val="Didascalia"/>
        <w:jc w:val="both"/>
      </w:pPr>
      <w:r w:rsidRPr="00D24B9B">
        <w:rPr>
          <w:b/>
        </w:rPr>
        <w:t xml:space="preserve">Figure </w:t>
      </w:r>
      <w:r w:rsidRPr="00D24B9B">
        <w:rPr>
          <w:b/>
        </w:rPr>
        <w:fldChar w:fldCharType="begin"/>
      </w:r>
      <w:r w:rsidRPr="00D24B9B">
        <w:rPr>
          <w:b/>
        </w:rPr>
        <w:instrText xml:space="preserve"> SEQ Figure \* ARABIC </w:instrText>
      </w:r>
      <w:r w:rsidRPr="00D24B9B">
        <w:rPr>
          <w:b/>
        </w:rPr>
        <w:fldChar w:fldCharType="separate"/>
      </w:r>
      <w:r w:rsidR="000359B2">
        <w:rPr>
          <w:b/>
          <w:noProof/>
        </w:rPr>
        <w:t>3</w:t>
      </w:r>
      <w:r w:rsidRPr="00D24B9B">
        <w:rPr>
          <w:b/>
        </w:rPr>
        <w:fldChar w:fldCharType="end"/>
      </w:r>
      <w:r w:rsidRPr="00D24B9B">
        <w:rPr>
          <w:b/>
        </w:rPr>
        <w:t>.</w:t>
      </w:r>
      <w:r>
        <w:t xml:space="preserve"> Comparison between DCS and simulation for SLF flowrate, manipulated variable</w:t>
      </w:r>
    </w:p>
    <w:p w14:paraId="36385533" w14:textId="5DA6F671" w:rsidR="00724FF7" w:rsidRDefault="00724FF7" w:rsidP="00724FF7">
      <w:pPr>
        <w:pStyle w:val="Els-body-text"/>
      </w:pPr>
      <w:r>
        <w:t>The second parameter to be analyzed is the dynamic evolution in time of the controlled variables, that are not determined by the user and that are automatically calculated by the software. The LLF liquid sump temperature is shown in Figure 4 for this purpose. There is good agreement between simulation and experimental values.</w:t>
      </w:r>
      <w:r w:rsidR="00E93DBD">
        <w:t xml:space="preserve"> Results similar to what is shown in Figures 3 and 4 </w:t>
      </w:r>
      <w:r w:rsidR="00391D91">
        <w:t>are</w:t>
      </w:r>
      <w:r w:rsidR="00E93DBD">
        <w:t xml:space="preserve"> obtained for all the simulated column sections.</w:t>
      </w:r>
    </w:p>
    <w:p w14:paraId="599D9EC6" w14:textId="77777777" w:rsidR="00AB27C9" w:rsidRDefault="00AB27C9" w:rsidP="00AB27C9">
      <w:pPr>
        <w:pStyle w:val="Els-body-text"/>
        <w:keepNext/>
      </w:pPr>
      <w:r w:rsidRPr="00AB27C9">
        <w:rPr>
          <w:noProof/>
          <w:lang w:val="it-IT" w:eastAsia="it-IT"/>
        </w:rPr>
        <w:drawing>
          <wp:inline distT="0" distB="0" distL="0" distR="0" wp14:anchorId="6E7BCD5F" wp14:editId="54CD2A10">
            <wp:extent cx="4499610" cy="20396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99610" cy="2039620"/>
                    </a:xfrm>
                    <a:prstGeom prst="rect">
                      <a:avLst/>
                    </a:prstGeom>
                  </pic:spPr>
                </pic:pic>
              </a:graphicData>
            </a:graphic>
          </wp:inline>
        </w:drawing>
      </w:r>
    </w:p>
    <w:p w14:paraId="0481BB2F" w14:textId="3DD3007A" w:rsidR="00E93DBD" w:rsidRPr="00E93DBD" w:rsidRDefault="00AB27C9" w:rsidP="00E93DBD">
      <w:pPr>
        <w:pStyle w:val="Didascalia"/>
        <w:jc w:val="both"/>
      </w:pPr>
      <w:r w:rsidRPr="00A902D7">
        <w:rPr>
          <w:b/>
        </w:rPr>
        <w:t xml:space="preserve">Figure </w:t>
      </w:r>
      <w:r w:rsidRPr="00A902D7">
        <w:rPr>
          <w:b/>
        </w:rPr>
        <w:fldChar w:fldCharType="begin"/>
      </w:r>
      <w:r w:rsidRPr="00A902D7">
        <w:rPr>
          <w:b/>
        </w:rPr>
        <w:instrText xml:space="preserve"> SEQ Figure \* ARABIC </w:instrText>
      </w:r>
      <w:r w:rsidRPr="00A902D7">
        <w:rPr>
          <w:b/>
        </w:rPr>
        <w:fldChar w:fldCharType="separate"/>
      </w:r>
      <w:r w:rsidR="000359B2">
        <w:rPr>
          <w:b/>
          <w:noProof/>
        </w:rPr>
        <w:t>4</w:t>
      </w:r>
      <w:r w:rsidRPr="00A902D7">
        <w:rPr>
          <w:b/>
        </w:rPr>
        <w:fldChar w:fldCharType="end"/>
      </w:r>
      <w:r w:rsidR="00A902D7" w:rsidRPr="00A902D7">
        <w:rPr>
          <w:b/>
        </w:rPr>
        <w:t>.</w:t>
      </w:r>
      <w:r w:rsidR="00A902D7">
        <w:t xml:space="preserve"> Comparison between DCS and simulation for LLF sump temperature, controlled variable</w:t>
      </w:r>
    </w:p>
    <w:p w14:paraId="144DE6BA" w14:textId="572B2143" w:rsidR="008D2649" w:rsidRPr="00A94774" w:rsidRDefault="008D2649" w:rsidP="008D2649">
      <w:pPr>
        <w:pStyle w:val="Els-1storder-head"/>
        <w:spacing w:after="120"/>
        <w:rPr>
          <w:lang w:val="en-GB"/>
        </w:rPr>
      </w:pPr>
      <w:r w:rsidRPr="00A94774">
        <w:rPr>
          <w:lang w:val="en-GB"/>
        </w:rPr>
        <w:lastRenderedPageBreak/>
        <w:t>Conclusions</w:t>
      </w:r>
    </w:p>
    <w:p w14:paraId="6E0771BA" w14:textId="0EDDEBB7" w:rsidR="0090632F" w:rsidRPr="00CF65E1" w:rsidRDefault="00267283" w:rsidP="0015495E">
      <w:pPr>
        <w:pStyle w:val="Els-body-text"/>
        <w:spacing w:after="120"/>
        <w:rPr>
          <w:lang w:val="en-GB"/>
        </w:rPr>
      </w:pPr>
      <w:r>
        <w:rPr>
          <w:lang w:val="en-GB"/>
        </w:rPr>
        <w:t xml:space="preserve">This work introduced a methodology to </w:t>
      </w:r>
      <w:r w:rsidR="00BD00DA">
        <w:rPr>
          <w:lang w:val="en-GB"/>
        </w:rPr>
        <w:t xml:space="preserve">build a dynamic process simulation for the thermodeasphalting </w:t>
      </w:r>
      <w:r w:rsidR="00CD4119">
        <w:rPr>
          <w:lang w:val="en-GB"/>
        </w:rPr>
        <w:t xml:space="preserve">T-401 </w:t>
      </w:r>
      <w:r w:rsidR="00BD00DA">
        <w:rPr>
          <w:lang w:val="en-GB"/>
        </w:rPr>
        <w:t xml:space="preserve">column </w:t>
      </w:r>
      <w:r w:rsidR="00AA6038">
        <w:rPr>
          <w:lang w:val="en-GB"/>
        </w:rPr>
        <w:t xml:space="preserve">currently operating in the Itelyum Regeneration re-refining facility located in Pieve Fissiraga, Lodi, Italy. </w:t>
      </w:r>
      <w:r w:rsidR="008F295D">
        <w:rPr>
          <w:lang w:val="en-GB"/>
        </w:rPr>
        <w:t xml:space="preserve">A discrete, equation-based modelling approach was followed, introducing appropriate thermodynamic methods and showing the main results for equilibrium and transport parameters. </w:t>
      </w:r>
      <w:r w:rsidR="00774A23">
        <w:rPr>
          <w:lang w:val="en-GB"/>
        </w:rPr>
        <w:t xml:space="preserve">Validation of the model has been carried out by comparing the output from the simulation with real plant data from the DCS. Good </w:t>
      </w:r>
      <w:r w:rsidR="002762D2">
        <w:rPr>
          <w:lang w:val="en-GB"/>
        </w:rPr>
        <w:t>agreement</w:t>
      </w:r>
      <w:r w:rsidR="00774A23">
        <w:rPr>
          <w:lang w:val="en-GB"/>
        </w:rPr>
        <w:t xml:space="preserve"> between </w:t>
      </w:r>
      <w:r w:rsidR="00B5056B">
        <w:rPr>
          <w:lang w:val="en-GB"/>
        </w:rPr>
        <w:t xml:space="preserve">simulated time-dependent profiles and </w:t>
      </w:r>
      <w:r w:rsidR="002762D2">
        <w:rPr>
          <w:lang w:val="en-GB"/>
        </w:rPr>
        <w:t xml:space="preserve">real DCS data is shown both for manipulated and controlled variables. The case of the LLF pack is shown here as a meaningful example, in which the evolution in time of the SLF reflux and the LLF sump temperature are shown. The dynamic simulation is a reliable tool that can be used for the aprioristic study and evaluation of transient operations such as start-up, shut-down, or even the simulation of accidents </w:t>
      </w:r>
      <w:r w:rsidR="00A51EF0">
        <w:rPr>
          <w:lang w:val="en-GB"/>
        </w:rPr>
        <w:t>caused by</w:t>
      </w:r>
      <w:r w:rsidR="002762D2">
        <w:rPr>
          <w:lang w:val="en-GB"/>
        </w:rPr>
        <w:t xml:space="preserve"> equipment failure.</w:t>
      </w:r>
    </w:p>
    <w:p w14:paraId="144DE6BF" w14:textId="608D0AD6" w:rsidR="008D2649" w:rsidRPr="00E22810" w:rsidRDefault="008D2649" w:rsidP="008D2649">
      <w:pPr>
        <w:pStyle w:val="Els-reference-head"/>
      </w:pPr>
      <w:r w:rsidRPr="00E22810">
        <w:t>References</w:t>
      </w:r>
    </w:p>
    <w:p w14:paraId="2DF959BC" w14:textId="77777777" w:rsidR="00630D42" w:rsidRPr="00630D42" w:rsidRDefault="00A956EF" w:rsidP="00630D42">
      <w:pPr>
        <w:pStyle w:val="Bibliografia"/>
        <w:rPr>
          <w:sz w:val="18"/>
        </w:rPr>
      </w:pPr>
      <w:r>
        <w:rPr>
          <w:lang w:val="en-US"/>
        </w:rPr>
        <w:fldChar w:fldCharType="begin"/>
      </w:r>
      <w:r w:rsidR="008512E0">
        <w:rPr>
          <w:lang w:val="en-US"/>
        </w:rPr>
        <w:instrText xml:space="preserve"> ADDIN ZOTERO_BIBL {"uncited":[],"omitted":[],"custom":[]} CSL_BIBLIOGRAPHY </w:instrText>
      </w:r>
      <w:r>
        <w:rPr>
          <w:lang w:val="en-US"/>
        </w:rPr>
        <w:fldChar w:fldCharType="separate"/>
      </w:r>
      <w:r w:rsidR="00630D42" w:rsidRPr="00630D42">
        <w:rPr>
          <w:sz w:val="18"/>
        </w:rPr>
        <w:t>A. Agarwal, L.T. Biegler, S.E. Zitney, 2009. Simulation and optimization of pressure swing adsorption systems using reduced-order modeling. Industrial and Engineering Chemistry Research 48, 2327–2343.</w:t>
      </w:r>
    </w:p>
    <w:p w14:paraId="51F43BF7" w14:textId="61CE37C2" w:rsidR="00630D42" w:rsidRPr="00630D42" w:rsidRDefault="00630D42" w:rsidP="00630D42">
      <w:pPr>
        <w:pStyle w:val="Bibliografia"/>
        <w:rPr>
          <w:sz w:val="18"/>
        </w:rPr>
      </w:pPr>
      <w:r w:rsidRPr="00630D42">
        <w:rPr>
          <w:sz w:val="18"/>
        </w:rPr>
        <w:t>AspenTech, 2023. Aspen HYSYS | Process Simulati</w:t>
      </w:r>
      <w:r w:rsidR="003B485F">
        <w:rPr>
          <w:sz w:val="18"/>
        </w:rPr>
        <w:t>on Software | AspenTech</w:t>
      </w:r>
      <w:r w:rsidRPr="00630D42">
        <w:rPr>
          <w:sz w:val="18"/>
        </w:rPr>
        <w:t>.</w:t>
      </w:r>
      <w:r w:rsidR="003B485F">
        <w:rPr>
          <w:sz w:val="18"/>
        </w:rPr>
        <w:t xml:space="preserve"> </w:t>
      </w:r>
      <w:r w:rsidR="003B485F" w:rsidRPr="003B485F">
        <w:rPr>
          <w:sz w:val="18"/>
        </w:rPr>
        <w:t>https://www.aspentech.com/en/products/engineering/aspen-hysys</w:t>
      </w:r>
      <w:r w:rsidR="003B485F">
        <w:rPr>
          <w:sz w:val="18"/>
        </w:rPr>
        <w:t>.</w:t>
      </w:r>
    </w:p>
    <w:p w14:paraId="21AD5530" w14:textId="051EF34F" w:rsidR="00630D42" w:rsidRPr="00630D42" w:rsidRDefault="00630D42" w:rsidP="00630D42">
      <w:pPr>
        <w:pStyle w:val="Bibliografia"/>
        <w:rPr>
          <w:sz w:val="18"/>
        </w:rPr>
      </w:pPr>
      <w:r w:rsidRPr="00630D42">
        <w:rPr>
          <w:sz w:val="18"/>
        </w:rPr>
        <w:t>AVEVA, 2023. DYNSIM Dynamic Simulation - Setting New Standards for Rigor, Robustness,</w:t>
      </w:r>
      <w:r w:rsidR="003B485F">
        <w:rPr>
          <w:sz w:val="18"/>
        </w:rPr>
        <w:t xml:space="preserve"> and Ease of Use. </w:t>
      </w:r>
      <w:r w:rsidR="003B485F" w:rsidRPr="003B485F">
        <w:rPr>
          <w:sz w:val="18"/>
        </w:rPr>
        <w:t>https://www.aveva.com/en/products/dynamic-simulation/</w:t>
      </w:r>
    </w:p>
    <w:p w14:paraId="11A9DFD7" w14:textId="77777777" w:rsidR="00630D42" w:rsidRPr="00630D42" w:rsidRDefault="00630D42" w:rsidP="00630D42">
      <w:pPr>
        <w:pStyle w:val="Bibliografia"/>
        <w:rPr>
          <w:sz w:val="18"/>
        </w:rPr>
      </w:pPr>
      <w:r w:rsidRPr="00630D42">
        <w:rPr>
          <w:sz w:val="18"/>
        </w:rPr>
        <w:t>R.B. Bird, W.E. Stewart, E.N. Lightfoot, 2007. Transport Phenomena, 2nd ed. Wiley, New York.</w:t>
      </w:r>
    </w:p>
    <w:p w14:paraId="3CFD06EF" w14:textId="77777777" w:rsidR="00630D42" w:rsidRPr="00630D42" w:rsidRDefault="00630D42" w:rsidP="00630D42">
      <w:pPr>
        <w:pStyle w:val="Bibliografia"/>
        <w:rPr>
          <w:sz w:val="18"/>
          <w:lang w:val="it-IT"/>
        </w:rPr>
      </w:pPr>
      <w:r w:rsidRPr="00630D42">
        <w:rPr>
          <w:sz w:val="18"/>
          <w:lang w:val="it-IT"/>
        </w:rPr>
        <w:t xml:space="preserve">E. Díaz-Bejarano, F. Coletti, S. Macchietto, 2015. </w:t>
      </w:r>
      <w:r w:rsidRPr="00630D42">
        <w:rPr>
          <w:sz w:val="18"/>
        </w:rPr>
        <w:t xml:space="preserve">Detection of changes in fouling behavior by simultaneous monitoring of thermal and hydraulic performance of refinery heat exchangers. </w:t>
      </w:r>
      <w:r w:rsidRPr="00630D42">
        <w:rPr>
          <w:sz w:val="18"/>
          <w:lang w:val="it-IT"/>
        </w:rPr>
        <w:t>Computer Aided Chemical Engineering 37, 1649–1654.</w:t>
      </w:r>
    </w:p>
    <w:p w14:paraId="51FFD1C5" w14:textId="77777777" w:rsidR="00630D42" w:rsidRPr="00630D42" w:rsidRDefault="00630D42" w:rsidP="00630D42">
      <w:pPr>
        <w:pStyle w:val="Bibliografia"/>
        <w:rPr>
          <w:sz w:val="18"/>
        </w:rPr>
      </w:pPr>
      <w:r w:rsidRPr="00630D42">
        <w:rPr>
          <w:sz w:val="18"/>
          <w:lang w:val="it-IT"/>
        </w:rPr>
        <w:t xml:space="preserve">F. Gallo, 2016. Procedimento di rigenerazione di olii usati. </w:t>
      </w:r>
      <w:r w:rsidRPr="00630D42">
        <w:rPr>
          <w:sz w:val="18"/>
        </w:rPr>
        <w:t>ITUB20151298A1.</w:t>
      </w:r>
    </w:p>
    <w:p w14:paraId="5E1F4F53" w14:textId="77777777" w:rsidR="00630D42" w:rsidRPr="00630D42" w:rsidRDefault="00630D42" w:rsidP="00630D42">
      <w:pPr>
        <w:pStyle w:val="Bibliografia"/>
        <w:rPr>
          <w:sz w:val="18"/>
        </w:rPr>
      </w:pPr>
      <w:r w:rsidRPr="00630D42">
        <w:rPr>
          <w:sz w:val="18"/>
        </w:rPr>
        <w:t>D.W. Green, M.Z. Southard (Eds.), 2019. Perry’s Chemical Engineers’ Handbook, 9th Edition. ed. McGraw-Hill Education, New York.</w:t>
      </w:r>
    </w:p>
    <w:p w14:paraId="72331E68" w14:textId="77777777" w:rsidR="00630D42" w:rsidRPr="00630D42" w:rsidRDefault="00630D42" w:rsidP="00630D42">
      <w:pPr>
        <w:pStyle w:val="Bibliografia"/>
        <w:rPr>
          <w:sz w:val="18"/>
        </w:rPr>
      </w:pPr>
      <w:r w:rsidRPr="00630D42">
        <w:rPr>
          <w:sz w:val="18"/>
        </w:rPr>
        <w:t>A.L. Haura, K.Q. Ma’mun, J.P. Sutikno, R. Handogo, 2017. Re-refinery used oil vacuum distillation column control by using internal model control. Chemical Engineering Transactions 56, 1471–1476.</w:t>
      </w:r>
    </w:p>
    <w:p w14:paraId="2E227444" w14:textId="77777777" w:rsidR="00630D42" w:rsidRPr="00630D42" w:rsidRDefault="00630D42" w:rsidP="00630D42">
      <w:pPr>
        <w:pStyle w:val="Bibliografia"/>
        <w:rPr>
          <w:sz w:val="18"/>
        </w:rPr>
      </w:pPr>
      <w:r w:rsidRPr="00630D42">
        <w:rPr>
          <w:sz w:val="18"/>
        </w:rPr>
        <w:t>A. Kupareva, P. Mäki-Arvela, D.Y. Murzin, 2013. Technology for rerefining used lube oils applied in Europe: A review. Journal of Chemical Technology and Biotechnology 88, 1780–1793.</w:t>
      </w:r>
    </w:p>
    <w:p w14:paraId="7AD33189" w14:textId="77777777" w:rsidR="00630D42" w:rsidRPr="00630D42" w:rsidRDefault="00630D42" w:rsidP="00630D42">
      <w:pPr>
        <w:pStyle w:val="Bibliografia"/>
        <w:rPr>
          <w:sz w:val="18"/>
        </w:rPr>
      </w:pPr>
      <w:r w:rsidRPr="00630D42">
        <w:rPr>
          <w:sz w:val="18"/>
        </w:rPr>
        <w:t>D.-Y. Peng, D.B. Robinson, 1976. A New Two-Constant Equation of State. Industrial and Engineering Chemistry Fundamentals 15, 59–64.</w:t>
      </w:r>
    </w:p>
    <w:p w14:paraId="132056FF" w14:textId="77777777" w:rsidR="00630D42" w:rsidRPr="00630D42" w:rsidRDefault="00630D42" w:rsidP="00630D42">
      <w:pPr>
        <w:pStyle w:val="Bibliografia"/>
        <w:rPr>
          <w:sz w:val="18"/>
        </w:rPr>
      </w:pPr>
      <w:r w:rsidRPr="00630D42">
        <w:rPr>
          <w:sz w:val="18"/>
        </w:rPr>
        <w:t>D. Sotelo, A. Favela-Contreras, C. Lozoya, F. Beltran-Carbajal, G. Dieck-Assad, C. Sotelo, 2019. Dynamic simulation of a crude oil distillation plant using Aspen-Hysys®. International Journal of Simulation Modelling 18, 229–241.</w:t>
      </w:r>
    </w:p>
    <w:p w14:paraId="5AB642C9" w14:textId="77777777" w:rsidR="00630D42" w:rsidRPr="00630D42" w:rsidRDefault="00630D42" w:rsidP="00630D42">
      <w:pPr>
        <w:pStyle w:val="Bibliografia"/>
        <w:rPr>
          <w:sz w:val="18"/>
        </w:rPr>
      </w:pPr>
      <w:r w:rsidRPr="00630D42">
        <w:rPr>
          <w:sz w:val="18"/>
        </w:rPr>
        <w:t>R. Srinivasan, P. Viswanathan, H. Vedam, A. Nochur, 2005. A framework for managing transitions in chemical plants. Computers and Chemical Engineering 29, 305–322.</w:t>
      </w:r>
    </w:p>
    <w:p w14:paraId="1D2D042B" w14:textId="77777777" w:rsidR="00630D42" w:rsidRPr="00630D42" w:rsidRDefault="00630D42" w:rsidP="00630D42">
      <w:pPr>
        <w:pStyle w:val="Bibliografia"/>
        <w:rPr>
          <w:sz w:val="18"/>
        </w:rPr>
      </w:pPr>
      <w:r w:rsidRPr="00630D42">
        <w:rPr>
          <w:sz w:val="18"/>
        </w:rPr>
        <w:t>C.J.G. Vasconcelos, R.M. Filho, R. Spandri, M.R. Wolf-Maciel, 2005. Dynamic models towards operator and engineer training: Virtual environment. Computer Aided Chemical Engineering 20, 565–570.</w:t>
      </w:r>
    </w:p>
    <w:p w14:paraId="144DE6C3" w14:textId="6D193459" w:rsidR="008D2649" w:rsidRDefault="00A956EF" w:rsidP="00854C18">
      <w:pPr>
        <w:pStyle w:val="Els-referenceno-number"/>
        <w:ind w:left="0" w:firstLine="0"/>
        <w:rPr>
          <w:lang w:val="en-US"/>
        </w:rPr>
      </w:pPr>
      <w:r>
        <w:rPr>
          <w:lang w:val="en-US"/>
        </w:rPr>
        <w:fldChar w:fldCharType="end"/>
      </w: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F7761" w14:textId="77777777" w:rsidR="001075CE" w:rsidRDefault="001075CE">
      <w:r>
        <w:separator/>
      </w:r>
    </w:p>
  </w:endnote>
  <w:endnote w:type="continuationSeparator" w:id="0">
    <w:p w14:paraId="5877D567" w14:textId="77777777" w:rsidR="001075CE" w:rsidRDefault="0010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6C82A" w14:textId="77777777" w:rsidR="001075CE" w:rsidRDefault="001075CE">
      <w:r>
        <w:separator/>
      </w:r>
    </w:p>
  </w:footnote>
  <w:footnote w:type="continuationSeparator" w:id="0">
    <w:p w14:paraId="7D9A928B" w14:textId="77777777" w:rsidR="001075CE" w:rsidRDefault="001075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4CAC" w14:textId="71AA6E48" w:rsidR="00717195" w:rsidRDefault="00717195" w:rsidP="00717195">
    <w:pPr>
      <w:pStyle w:val="Intestazione"/>
      <w:tabs>
        <w:tab w:val="clear" w:pos="7200"/>
        <w:tab w:val="right" w:pos="7088"/>
      </w:tabs>
    </w:pPr>
    <w:r>
      <w:rPr>
        <w:rStyle w:val="Numeropagina"/>
      </w:rPr>
      <w:tab/>
    </w:r>
    <w:r>
      <w:rPr>
        <w:rStyle w:val="Numeropagina"/>
        <w:i/>
      </w:rPr>
      <w:tab/>
    </w:r>
    <w:r>
      <w:rPr>
        <w:i/>
      </w:rPr>
      <w:t>F. Negri et al.</w:t>
    </w:r>
  </w:p>
  <w:p w14:paraId="144DE6C9" w14:textId="250802DB" w:rsidR="00DD3D9E" w:rsidRPr="00717195" w:rsidRDefault="00DD3D9E" w:rsidP="0071719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162E3CDB" w:rsidR="00DD3D9E" w:rsidRPr="001D4FA7" w:rsidRDefault="001D4FA7" w:rsidP="001D4FA7">
    <w:pPr>
      <w:pStyle w:val="Intestazione"/>
      <w:rPr>
        <w:i/>
      </w:rPr>
    </w:pPr>
    <w:r>
      <w:rPr>
        <w:i/>
      </w:rPr>
      <w:t>D</w:t>
    </w:r>
    <w:r w:rsidRPr="001D4FA7">
      <w:rPr>
        <w:i/>
      </w:rPr>
      <w:t>ynamic Modeling and Validation of an Industrial Vacuum Thermodeasphalting Column for the Regeneration of Used</w:t>
    </w:r>
    <w:r>
      <w:rPr>
        <w:i/>
      </w:rPr>
      <w:t xml:space="preserve"> Oil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34ECC846"/>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0008D"/>
    <w:rsid w:val="000033BA"/>
    <w:rsid w:val="00003E8F"/>
    <w:rsid w:val="00010770"/>
    <w:rsid w:val="0001086B"/>
    <w:rsid w:val="00021CE5"/>
    <w:rsid w:val="000266D0"/>
    <w:rsid w:val="00027F8C"/>
    <w:rsid w:val="000303D2"/>
    <w:rsid w:val="00032772"/>
    <w:rsid w:val="000334FD"/>
    <w:rsid w:val="00035095"/>
    <w:rsid w:val="000359B2"/>
    <w:rsid w:val="00036122"/>
    <w:rsid w:val="00036830"/>
    <w:rsid w:val="00040017"/>
    <w:rsid w:val="000408A9"/>
    <w:rsid w:val="000427C7"/>
    <w:rsid w:val="00042B50"/>
    <w:rsid w:val="000470FE"/>
    <w:rsid w:val="00052645"/>
    <w:rsid w:val="00055008"/>
    <w:rsid w:val="00055401"/>
    <w:rsid w:val="0005564E"/>
    <w:rsid w:val="00057057"/>
    <w:rsid w:val="00057BCC"/>
    <w:rsid w:val="00060117"/>
    <w:rsid w:val="0006232B"/>
    <w:rsid w:val="00064CD3"/>
    <w:rsid w:val="00065D1C"/>
    <w:rsid w:val="00067E8B"/>
    <w:rsid w:val="000712D4"/>
    <w:rsid w:val="00071BCD"/>
    <w:rsid w:val="000815F3"/>
    <w:rsid w:val="00087F7F"/>
    <w:rsid w:val="00091E02"/>
    <w:rsid w:val="00093570"/>
    <w:rsid w:val="00093C49"/>
    <w:rsid w:val="000958D8"/>
    <w:rsid w:val="0009729A"/>
    <w:rsid w:val="000A4AD1"/>
    <w:rsid w:val="000A4F00"/>
    <w:rsid w:val="000A6971"/>
    <w:rsid w:val="000B074A"/>
    <w:rsid w:val="000B09BF"/>
    <w:rsid w:val="000B13CA"/>
    <w:rsid w:val="000B5F5C"/>
    <w:rsid w:val="000C1141"/>
    <w:rsid w:val="000C68C9"/>
    <w:rsid w:val="000D00FD"/>
    <w:rsid w:val="000D0CDB"/>
    <w:rsid w:val="000D13A2"/>
    <w:rsid w:val="000D2CA0"/>
    <w:rsid w:val="000D2D56"/>
    <w:rsid w:val="000D3D9B"/>
    <w:rsid w:val="000D61F2"/>
    <w:rsid w:val="000D76A0"/>
    <w:rsid w:val="000E02C5"/>
    <w:rsid w:val="000F37C2"/>
    <w:rsid w:val="000F4E20"/>
    <w:rsid w:val="00100E70"/>
    <w:rsid w:val="001019CF"/>
    <w:rsid w:val="00101A88"/>
    <w:rsid w:val="001038E8"/>
    <w:rsid w:val="001075CE"/>
    <w:rsid w:val="00110BA5"/>
    <w:rsid w:val="0011139A"/>
    <w:rsid w:val="0011240F"/>
    <w:rsid w:val="00117928"/>
    <w:rsid w:val="00121670"/>
    <w:rsid w:val="00122C1B"/>
    <w:rsid w:val="00125B01"/>
    <w:rsid w:val="00125D89"/>
    <w:rsid w:val="001359B0"/>
    <w:rsid w:val="00140A32"/>
    <w:rsid w:val="00140F33"/>
    <w:rsid w:val="00141043"/>
    <w:rsid w:val="00141FE5"/>
    <w:rsid w:val="001425D6"/>
    <w:rsid w:val="001427A0"/>
    <w:rsid w:val="00143C7E"/>
    <w:rsid w:val="001451C1"/>
    <w:rsid w:val="00146249"/>
    <w:rsid w:val="00147C8A"/>
    <w:rsid w:val="00147ED2"/>
    <w:rsid w:val="00150915"/>
    <w:rsid w:val="0015495E"/>
    <w:rsid w:val="00154F14"/>
    <w:rsid w:val="00155975"/>
    <w:rsid w:val="0016032F"/>
    <w:rsid w:val="00161162"/>
    <w:rsid w:val="001633D8"/>
    <w:rsid w:val="00165A82"/>
    <w:rsid w:val="001677CB"/>
    <w:rsid w:val="00181C1B"/>
    <w:rsid w:val="00183165"/>
    <w:rsid w:val="00185C4D"/>
    <w:rsid w:val="00186E33"/>
    <w:rsid w:val="001878A1"/>
    <w:rsid w:val="001879F6"/>
    <w:rsid w:val="00187EAE"/>
    <w:rsid w:val="00192B7A"/>
    <w:rsid w:val="00192DAE"/>
    <w:rsid w:val="00193384"/>
    <w:rsid w:val="001A0577"/>
    <w:rsid w:val="001A61C6"/>
    <w:rsid w:val="001A720E"/>
    <w:rsid w:val="001B71C3"/>
    <w:rsid w:val="001B7DFF"/>
    <w:rsid w:val="001C0148"/>
    <w:rsid w:val="001C3A95"/>
    <w:rsid w:val="001C3B0F"/>
    <w:rsid w:val="001C7405"/>
    <w:rsid w:val="001C757E"/>
    <w:rsid w:val="001C7A84"/>
    <w:rsid w:val="001D0402"/>
    <w:rsid w:val="001D4FA7"/>
    <w:rsid w:val="001D5ABA"/>
    <w:rsid w:val="001E4557"/>
    <w:rsid w:val="001E5FEA"/>
    <w:rsid w:val="001F0728"/>
    <w:rsid w:val="001F1959"/>
    <w:rsid w:val="001F2F58"/>
    <w:rsid w:val="001F6A90"/>
    <w:rsid w:val="00200AE6"/>
    <w:rsid w:val="00200E66"/>
    <w:rsid w:val="00201387"/>
    <w:rsid w:val="0020318D"/>
    <w:rsid w:val="0020320E"/>
    <w:rsid w:val="0020390F"/>
    <w:rsid w:val="002078F8"/>
    <w:rsid w:val="00211F49"/>
    <w:rsid w:val="00212A2D"/>
    <w:rsid w:val="00225041"/>
    <w:rsid w:val="0023443F"/>
    <w:rsid w:val="00235B46"/>
    <w:rsid w:val="00240C73"/>
    <w:rsid w:val="0024147F"/>
    <w:rsid w:val="00241643"/>
    <w:rsid w:val="00243CD1"/>
    <w:rsid w:val="00246EA2"/>
    <w:rsid w:val="00247E78"/>
    <w:rsid w:val="00252CFE"/>
    <w:rsid w:val="00253001"/>
    <w:rsid w:val="00254666"/>
    <w:rsid w:val="00256316"/>
    <w:rsid w:val="002619BC"/>
    <w:rsid w:val="00264180"/>
    <w:rsid w:val="00264926"/>
    <w:rsid w:val="002669EE"/>
    <w:rsid w:val="00267283"/>
    <w:rsid w:val="002762D2"/>
    <w:rsid w:val="00286A3A"/>
    <w:rsid w:val="00290D8B"/>
    <w:rsid w:val="00295DF8"/>
    <w:rsid w:val="00296D9D"/>
    <w:rsid w:val="002A32D7"/>
    <w:rsid w:val="002A7225"/>
    <w:rsid w:val="002B0135"/>
    <w:rsid w:val="002B1775"/>
    <w:rsid w:val="002B1874"/>
    <w:rsid w:val="002B314B"/>
    <w:rsid w:val="002C0ED8"/>
    <w:rsid w:val="002C12A6"/>
    <w:rsid w:val="002C224A"/>
    <w:rsid w:val="002C77D7"/>
    <w:rsid w:val="002D5914"/>
    <w:rsid w:val="002D698A"/>
    <w:rsid w:val="002E25BF"/>
    <w:rsid w:val="002E5CF2"/>
    <w:rsid w:val="002E5E60"/>
    <w:rsid w:val="002E60F8"/>
    <w:rsid w:val="002F1CC9"/>
    <w:rsid w:val="002F51F4"/>
    <w:rsid w:val="002F5808"/>
    <w:rsid w:val="002F63D0"/>
    <w:rsid w:val="002F7C5A"/>
    <w:rsid w:val="00301A57"/>
    <w:rsid w:val="0030255B"/>
    <w:rsid w:val="003103F8"/>
    <w:rsid w:val="0031053F"/>
    <w:rsid w:val="00310BC6"/>
    <w:rsid w:val="00311C5A"/>
    <w:rsid w:val="00313E9D"/>
    <w:rsid w:val="003178EA"/>
    <w:rsid w:val="00323108"/>
    <w:rsid w:val="00324A46"/>
    <w:rsid w:val="00331CDD"/>
    <w:rsid w:val="00337161"/>
    <w:rsid w:val="00337957"/>
    <w:rsid w:val="0034541B"/>
    <w:rsid w:val="00347B3C"/>
    <w:rsid w:val="00350901"/>
    <w:rsid w:val="003536AA"/>
    <w:rsid w:val="00353735"/>
    <w:rsid w:val="003558C1"/>
    <w:rsid w:val="003608A4"/>
    <w:rsid w:val="0036218E"/>
    <w:rsid w:val="00362C63"/>
    <w:rsid w:val="00363AD2"/>
    <w:rsid w:val="00376142"/>
    <w:rsid w:val="00382A29"/>
    <w:rsid w:val="00383702"/>
    <w:rsid w:val="0038468B"/>
    <w:rsid w:val="00385CFC"/>
    <w:rsid w:val="0038630F"/>
    <w:rsid w:val="0038710D"/>
    <w:rsid w:val="003874CA"/>
    <w:rsid w:val="00387EC5"/>
    <w:rsid w:val="00390C72"/>
    <w:rsid w:val="00391D91"/>
    <w:rsid w:val="003936A3"/>
    <w:rsid w:val="003936BC"/>
    <w:rsid w:val="003940D0"/>
    <w:rsid w:val="003968F3"/>
    <w:rsid w:val="003A44EB"/>
    <w:rsid w:val="003A5548"/>
    <w:rsid w:val="003B2702"/>
    <w:rsid w:val="003B34BC"/>
    <w:rsid w:val="003B485F"/>
    <w:rsid w:val="003B525B"/>
    <w:rsid w:val="003B7F4E"/>
    <w:rsid w:val="003C064D"/>
    <w:rsid w:val="003C63C8"/>
    <w:rsid w:val="003C697F"/>
    <w:rsid w:val="003C7C03"/>
    <w:rsid w:val="003C7E8F"/>
    <w:rsid w:val="003D08BF"/>
    <w:rsid w:val="003D09BF"/>
    <w:rsid w:val="003D1582"/>
    <w:rsid w:val="003D4C03"/>
    <w:rsid w:val="003D7163"/>
    <w:rsid w:val="003D71D1"/>
    <w:rsid w:val="003D74CB"/>
    <w:rsid w:val="003D7E4C"/>
    <w:rsid w:val="003E091E"/>
    <w:rsid w:val="003E2F0F"/>
    <w:rsid w:val="003E41C2"/>
    <w:rsid w:val="003E6CED"/>
    <w:rsid w:val="00400BF5"/>
    <w:rsid w:val="00407F6D"/>
    <w:rsid w:val="00410903"/>
    <w:rsid w:val="004126BB"/>
    <w:rsid w:val="0041700C"/>
    <w:rsid w:val="004179CE"/>
    <w:rsid w:val="00424EA8"/>
    <w:rsid w:val="00426F30"/>
    <w:rsid w:val="0043007A"/>
    <w:rsid w:val="00437A99"/>
    <w:rsid w:val="00442395"/>
    <w:rsid w:val="004432EA"/>
    <w:rsid w:val="00443ACD"/>
    <w:rsid w:val="00443BB0"/>
    <w:rsid w:val="00444FAF"/>
    <w:rsid w:val="00445D68"/>
    <w:rsid w:val="00447C2D"/>
    <w:rsid w:val="00453156"/>
    <w:rsid w:val="00455992"/>
    <w:rsid w:val="00460BC8"/>
    <w:rsid w:val="00462887"/>
    <w:rsid w:val="00470891"/>
    <w:rsid w:val="0047263B"/>
    <w:rsid w:val="00473D7B"/>
    <w:rsid w:val="00473EBB"/>
    <w:rsid w:val="00474CAA"/>
    <w:rsid w:val="00477494"/>
    <w:rsid w:val="00481C22"/>
    <w:rsid w:val="00485E30"/>
    <w:rsid w:val="00485F30"/>
    <w:rsid w:val="00487401"/>
    <w:rsid w:val="00492DE8"/>
    <w:rsid w:val="00493FE7"/>
    <w:rsid w:val="00494D90"/>
    <w:rsid w:val="0049772C"/>
    <w:rsid w:val="004A0FDF"/>
    <w:rsid w:val="004A152E"/>
    <w:rsid w:val="004A1C17"/>
    <w:rsid w:val="004B5150"/>
    <w:rsid w:val="004B7B03"/>
    <w:rsid w:val="004C0A90"/>
    <w:rsid w:val="004C34BB"/>
    <w:rsid w:val="004C600D"/>
    <w:rsid w:val="004C6AB2"/>
    <w:rsid w:val="004C70B6"/>
    <w:rsid w:val="004C7515"/>
    <w:rsid w:val="004D026F"/>
    <w:rsid w:val="004D3EC8"/>
    <w:rsid w:val="004D6893"/>
    <w:rsid w:val="004E0960"/>
    <w:rsid w:val="004E726B"/>
    <w:rsid w:val="004E73E4"/>
    <w:rsid w:val="004F012C"/>
    <w:rsid w:val="004F545C"/>
    <w:rsid w:val="00501102"/>
    <w:rsid w:val="005032CC"/>
    <w:rsid w:val="00505F3A"/>
    <w:rsid w:val="00506435"/>
    <w:rsid w:val="00507384"/>
    <w:rsid w:val="00510A04"/>
    <w:rsid w:val="00510CAF"/>
    <w:rsid w:val="0051263D"/>
    <w:rsid w:val="0051488C"/>
    <w:rsid w:val="00516176"/>
    <w:rsid w:val="005167B5"/>
    <w:rsid w:val="0052091C"/>
    <w:rsid w:val="00521057"/>
    <w:rsid w:val="00521E38"/>
    <w:rsid w:val="005222F7"/>
    <w:rsid w:val="00522ADC"/>
    <w:rsid w:val="00522F2B"/>
    <w:rsid w:val="00523B2A"/>
    <w:rsid w:val="00530414"/>
    <w:rsid w:val="00533476"/>
    <w:rsid w:val="00535227"/>
    <w:rsid w:val="0053649A"/>
    <w:rsid w:val="00541C9A"/>
    <w:rsid w:val="00542686"/>
    <w:rsid w:val="00542DD4"/>
    <w:rsid w:val="00543612"/>
    <w:rsid w:val="00543817"/>
    <w:rsid w:val="00547A0C"/>
    <w:rsid w:val="005507DF"/>
    <w:rsid w:val="00552359"/>
    <w:rsid w:val="00552EEB"/>
    <w:rsid w:val="0055363D"/>
    <w:rsid w:val="00554626"/>
    <w:rsid w:val="0055546F"/>
    <w:rsid w:val="0055565F"/>
    <w:rsid w:val="00561DC7"/>
    <w:rsid w:val="00561FC3"/>
    <w:rsid w:val="00563EE6"/>
    <w:rsid w:val="0056518E"/>
    <w:rsid w:val="00572D6A"/>
    <w:rsid w:val="00573EA0"/>
    <w:rsid w:val="00575C23"/>
    <w:rsid w:val="00575ED7"/>
    <w:rsid w:val="0058001A"/>
    <w:rsid w:val="00580429"/>
    <w:rsid w:val="005829C7"/>
    <w:rsid w:val="005858BF"/>
    <w:rsid w:val="00590D86"/>
    <w:rsid w:val="00590E41"/>
    <w:rsid w:val="0059160D"/>
    <w:rsid w:val="00591978"/>
    <w:rsid w:val="00593354"/>
    <w:rsid w:val="00594DC1"/>
    <w:rsid w:val="0059606B"/>
    <w:rsid w:val="00597355"/>
    <w:rsid w:val="005B1B31"/>
    <w:rsid w:val="005B5002"/>
    <w:rsid w:val="005B5A3C"/>
    <w:rsid w:val="005B7501"/>
    <w:rsid w:val="005C158A"/>
    <w:rsid w:val="005C2C96"/>
    <w:rsid w:val="005C77CB"/>
    <w:rsid w:val="005D153D"/>
    <w:rsid w:val="005D1B5C"/>
    <w:rsid w:val="005D317E"/>
    <w:rsid w:val="005E3493"/>
    <w:rsid w:val="005E4A51"/>
    <w:rsid w:val="005E5283"/>
    <w:rsid w:val="005E68F9"/>
    <w:rsid w:val="005F10DE"/>
    <w:rsid w:val="005F2B20"/>
    <w:rsid w:val="005F2E89"/>
    <w:rsid w:val="005F3CAE"/>
    <w:rsid w:val="005F5DA5"/>
    <w:rsid w:val="005F74A3"/>
    <w:rsid w:val="00601577"/>
    <w:rsid w:val="006023C4"/>
    <w:rsid w:val="006074CC"/>
    <w:rsid w:val="00610CA2"/>
    <w:rsid w:val="00611EFD"/>
    <w:rsid w:val="00613624"/>
    <w:rsid w:val="00620B70"/>
    <w:rsid w:val="00621194"/>
    <w:rsid w:val="006241FA"/>
    <w:rsid w:val="00626381"/>
    <w:rsid w:val="00627082"/>
    <w:rsid w:val="00627097"/>
    <w:rsid w:val="00630D42"/>
    <w:rsid w:val="006411F4"/>
    <w:rsid w:val="006421A2"/>
    <w:rsid w:val="006436AC"/>
    <w:rsid w:val="00643F89"/>
    <w:rsid w:val="0064533A"/>
    <w:rsid w:val="006470AC"/>
    <w:rsid w:val="00647809"/>
    <w:rsid w:val="006518AB"/>
    <w:rsid w:val="006544DC"/>
    <w:rsid w:val="006569AF"/>
    <w:rsid w:val="006573BF"/>
    <w:rsid w:val="00660504"/>
    <w:rsid w:val="00661194"/>
    <w:rsid w:val="006657E0"/>
    <w:rsid w:val="00667CCB"/>
    <w:rsid w:val="0068003B"/>
    <w:rsid w:val="00683B45"/>
    <w:rsid w:val="00683F9E"/>
    <w:rsid w:val="006900EA"/>
    <w:rsid w:val="00693662"/>
    <w:rsid w:val="00694B69"/>
    <w:rsid w:val="006967AA"/>
    <w:rsid w:val="006A1061"/>
    <w:rsid w:val="006A2567"/>
    <w:rsid w:val="006A4581"/>
    <w:rsid w:val="006A5E03"/>
    <w:rsid w:val="006A69BF"/>
    <w:rsid w:val="006A7033"/>
    <w:rsid w:val="006C0666"/>
    <w:rsid w:val="006C1C2B"/>
    <w:rsid w:val="006C3612"/>
    <w:rsid w:val="006C4ABA"/>
    <w:rsid w:val="006D6724"/>
    <w:rsid w:val="006D6BB4"/>
    <w:rsid w:val="006E0917"/>
    <w:rsid w:val="006E1AF6"/>
    <w:rsid w:val="006E2130"/>
    <w:rsid w:val="006E3ECE"/>
    <w:rsid w:val="006E7100"/>
    <w:rsid w:val="006E756C"/>
    <w:rsid w:val="006F05DB"/>
    <w:rsid w:val="006F1CBF"/>
    <w:rsid w:val="006F65B1"/>
    <w:rsid w:val="006F7CC8"/>
    <w:rsid w:val="007048B5"/>
    <w:rsid w:val="007059B2"/>
    <w:rsid w:val="00707AA1"/>
    <w:rsid w:val="007102C0"/>
    <w:rsid w:val="007107B0"/>
    <w:rsid w:val="00710E33"/>
    <w:rsid w:val="00710F0B"/>
    <w:rsid w:val="00711DF4"/>
    <w:rsid w:val="00712CA6"/>
    <w:rsid w:val="00712F44"/>
    <w:rsid w:val="007170A8"/>
    <w:rsid w:val="00717195"/>
    <w:rsid w:val="00724374"/>
    <w:rsid w:val="00724FF7"/>
    <w:rsid w:val="00726773"/>
    <w:rsid w:val="00727BA4"/>
    <w:rsid w:val="00732758"/>
    <w:rsid w:val="00732937"/>
    <w:rsid w:val="007336B6"/>
    <w:rsid w:val="0073743F"/>
    <w:rsid w:val="00740293"/>
    <w:rsid w:val="00741B21"/>
    <w:rsid w:val="00746C07"/>
    <w:rsid w:val="00753104"/>
    <w:rsid w:val="00753168"/>
    <w:rsid w:val="00754FF8"/>
    <w:rsid w:val="007630DF"/>
    <w:rsid w:val="007650D0"/>
    <w:rsid w:val="00770D60"/>
    <w:rsid w:val="00774A23"/>
    <w:rsid w:val="00774A7E"/>
    <w:rsid w:val="00775AA6"/>
    <w:rsid w:val="00776018"/>
    <w:rsid w:val="007772FD"/>
    <w:rsid w:val="007914D4"/>
    <w:rsid w:val="0079269C"/>
    <w:rsid w:val="00792AA3"/>
    <w:rsid w:val="007930D6"/>
    <w:rsid w:val="007A26D4"/>
    <w:rsid w:val="007B07E9"/>
    <w:rsid w:val="007B5ADD"/>
    <w:rsid w:val="007C36DE"/>
    <w:rsid w:val="007C616A"/>
    <w:rsid w:val="007C6CD2"/>
    <w:rsid w:val="007C6F1B"/>
    <w:rsid w:val="007C72A7"/>
    <w:rsid w:val="007D0683"/>
    <w:rsid w:val="007D0E66"/>
    <w:rsid w:val="007D3D82"/>
    <w:rsid w:val="007D5502"/>
    <w:rsid w:val="007D70A1"/>
    <w:rsid w:val="007D7AE9"/>
    <w:rsid w:val="007E185F"/>
    <w:rsid w:val="007E7045"/>
    <w:rsid w:val="007F033E"/>
    <w:rsid w:val="007F3A58"/>
    <w:rsid w:val="007F66CE"/>
    <w:rsid w:val="007F7F45"/>
    <w:rsid w:val="0080659E"/>
    <w:rsid w:val="008132E8"/>
    <w:rsid w:val="00816586"/>
    <w:rsid w:val="008176F2"/>
    <w:rsid w:val="008205C0"/>
    <w:rsid w:val="008216E3"/>
    <w:rsid w:val="00821D11"/>
    <w:rsid w:val="00823407"/>
    <w:rsid w:val="00825ED1"/>
    <w:rsid w:val="008340A9"/>
    <w:rsid w:val="008344A1"/>
    <w:rsid w:val="00836195"/>
    <w:rsid w:val="00836760"/>
    <w:rsid w:val="00836A99"/>
    <w:rsid w:val="008505C4"/>
    <w:rsid w:val="008512E0"/>
    <w:rsid w:val="008522E7"/>
    <w:rsid w:val="00854C18"/>
    <w:rsid w:val="008562DC"/>
    <w:rsid w:val="008605E6"/>
    <w:rsid w:val="00863047"/>
    <w:rsid w:val="00866AA0"/>
    <w:rsid w:val="00872333"/>
    <w:rsid w:val="008727B5"/>
    <w:rsid w:val="0087496A"/>
    <w:rsid w:val="0087649E"/>
    <w:rsid w:val="008769EC"/>
    <w:rsid w:val="00876A52"/>
    <w:rsid w:val="008801D8"/>
    <w:rsid w:val="00880CAF"/>
    <w:rsid w:val="00881360"/>
    <w:rsid w:val="008814F8"/>
    <w:rsid w:val="00882A58"/>
    <w:rsid w:val="00887C69"/>
    <w:rsid w:val="00892ABF"/>
    <w:rsid w:val="008971F2"/>
    <w:rsid w:val="008A29DA"/>
    <w:rsid w:val="008A43F5"/>
    <w:rsid w:val="008A7CCC"/>
    <w:rsid w:val="008B0184"/>
    <w:rsid w:val="008B0FD6"/>
    <w:rsid w:val="008B328C"/>
    <w:rsid w:val="008B35AB"/>
    <w:rsid w:val="008B5402"/>
    <w:rsid w:val="008B7B36"/>
    <w:rsid w:val="008C075F"/>
    <w:rsid w:val="008C2F46"/>
    <w:rsid w:val="008C5D02"/>
    <w:rsid w:val="008C739B"/>
    <w:rsid w:val="008C7792"/>
    <w:rsid w:val="008D0B0B"/>
    <w:rsid w:val="008D15F9"/>
    <w:rsid w:val="008D2649"/>
    <w:rsid w:val="008D48D4"/>
    <w:rsid w:val="008D68AD"/>
    <w:rsid w:val="008E084D"/>
    <w:rsid w:val="008E14A7"/>
    <w:rsid w:val="008E1AC5"/>
    <w:rsid w:val="008E3B9A"/>
    <w:rsid w:val="008E6A69"/>
    <w:rsid w:val="008F295D"/>
    <w:rsid w:val="008F3A8A"/>
    <w:rsid w:val="00900F5D"/>
    <w:rsid w:val="009032A7"/>
    <w:rsid w:val="0090417D"/>
    <w:rsid w:val="0090568D"/>
    <w:rsid w:val="0090632F"/>
    <w:rsid w:val="009071EA"/>
    <w:rsid w:val="009119A9"/>
    <w:rsid w:val="009125C9"/>
    <w:rsid w:val="00913879"/>
    <w:rsid w:val="00916334"/>
    <w:rsid w:val="00916454"/>
    <w:rsid w:val="00917661"/>
    <w:rsid w:val="009226EC"/>
    <w:rsid w:val="009231FE"/>
    <w:rsid w:val="009255BD"/>
    <w:rsid w:val="00930126"/>
    <w:rsid w:val="009341F7"/>
    <w:rsid w:val="00934D76"/>
    <w:rsid w:val="009430BD"/>
    <w:rsid w:val="00943A33"/>
    <w:rsid w:val="00945089"/>
    <w:rsid w:val="00951A8B"/>
    <w:rsid w:val="00952F65"/>
    <w:rsid w:val="009534AC"/>
    <w:rsid w:val="009630B8"/>
    <w:rsid w:val="00964CA3"/>
    <w:rsid w:val="009673AF"/>
    <w:rsid w:val="00970E5D"/>
    <w:rsid w:val="00973C6A"/>
    <w:rsid w:val="00973F7B"/>
    <w:rsid w:val="0097424A"/>
    <w:rsid w:val="009763F9"/>
    <w:rsid w:val="0097701C"/>
    <w:rsid w:val="00980A65"/>
    <w:rsid w:val="00984783"/>
    <w:rsid w:val="0098531C"/>
    <w:rsid w:val="009855EE"/>
    <w:rsid w:val="009856F4"/>
    <w:rsid w:val="00990FB4"/>
    <w:rsid w:val="009910C5"/>
    <w:rsid w:val="009919B1"/>
    <w:rsid w:val="00991C36"/>
    <w:rsid w:val="00995EB4"/>
    <w:rsid w:val="009A16CB"/>
    <w:rsid w:val="009B4BC9"/>
    <w:rsid w:val="009B4BE2"/>
    <w:rsid w:val="009B5EA2"/>
    <w:rsid w:val="009C0A21"/>
    <w:rsid w:val="009C2AFB"/>
    <w:rsid w:val="009C2B99"/>
    <w:rsid w:val="009C62D9"/>
    <w:rsid w:val="009D3A2D"/>
    <w:rsid w:val="009D4FFF"/>
    <w:rsid w:val="009E2310"/>
    <w:rsid w:val="009E628E"/>
    <w:rsid w:val="009E6703"/>
    <w:rsid w:val="009F133F"/>
    <w:rsid w:val="009F1E95"/>
    <w:rsid w:val="009F3594"/>
    <w:rsid w:val="009F4FBD"/>
    <w:rsid w:val="009F5D32"/>
    <w:rsid w:val="009F7D8B"/>
    <w:rsid w:val="00A0142B"/>
    <w:rsid w:val="00A02D84"/>
    <w:rsid w:val="00A03C7B"/>
    <w:rsid w:val="00A07E19"/>
    <w:rsid w:val="00A12334"/>
    <w:rsid w:val="00A211A0"/>
    <w:rsid w:val="00A25CEC"/>
    <w:rsid w:val="00A25E70"/>
    <w:rsid w:val="00A26B8D"/>
    <w:rsid w:val="00A270CE"/>
    <w:rsid w:val="00A32688"/>
    <w:rsid w:val="00A33765"/>
    <w:rsid w:val="00A35214"/>
    <w:rsid w:val="00A416B8"/>
    <w:rsid w:val="00A46231"/>
    <w:rsid w:val="00A47B09"/>
    <w:rsid w:val="00A510B8"/>
    <w:rsid w:val="00A51EF0"/>
    <w:rsid w:val="00A60FE7"/>
    <w:rsid w:val="00A63269"/>
    <w:rsid w:val="00A65A9D"/>
    <w:rsid w:val="00A71322"/>
    <w:rsid w:val="00A715CF"/>
    <w:rsid w:val="00A72A5E"/>
    <w:rsid w:val="00A73147"/>
    <w:rsid w:val="00A73B93"/>
    <w:rsid w:val="00A745E5"/>
    <w:rsid w:val="00A748BE"/>
    <w:rsid w:val="00A74DF9"/>
    <w:rsid w:val="00A82237"/>
    <w:rsid w:val="00A8336C"/>
    <w:rsid w:val="00A84DA6"/>
    <w:rsid w:val="00A902D7"/>
    <w:rsid w:val="00A90697"/>
    <w:rsid w:val="00A9079A"/>
    <w:rsid w:val="00A92377"/>
    <w:rsid w:val="00A94801"/>
    <w:rsid w:val="00A956EF"/>
    <w:rsid w:val="00A9579F"/>
    <w:rsid w:val="00A96915"/>
    <w:rsid w:val="00A9700D"/>
    <w:rsid w:val="00AA1F91"/>
    <w:rsid w:val="00AA2F60"/>
    <w:rsid w:val="00AA4DF4"/>
    <w:rsid w:val="00AA6038"/>
    <w:rsid w:val="00AA7559"/>
    <w:rsid w:val="00AB1408"/>
    <w:rsid w:val="00AB27C9"/>
    <w:rsid w:val="00AB29ED"/>
    <w:rsid w:val="00AC18F7"/>
    <w:rsid w:val="00AC1C4E"/>
    <w:rsid w:val="00AC3A55"/>
    <w:rsid w:val="00AC4F27"/>
    <w:rsid w:val="00AC6A4F"/>
    <w:rsid w:val="00AD3224"/>
    <w:rsid w:val="00AD5527"/>
    <w:rsid w:val="00AD5632"/>
    <w:rsid w:val="00AE0710"/>
    <w:rsid w:val="00AE07ED"/>
    <w:rsid w:val="00AE2BF1"/>
    <w:rsid w:val="00AE45AA"/>
    <w:rsid w:val="00AE4BD8"/>
    <w:rsid w:val="00AE5235"/>
    <w:rsid w:val="00AF0D4C"/>
    <w:rsid w:val="00AF45E7"/>
    <w:rsid w:val="00AF4BCD"/>
    <w:rsid w:val="00AF69B8"/>
    <w:rsid w:val="00AF7E80"/>
    <w:rsid w:val="00B004B5"/>
    <w:rsid w:val="00B04AD4"/>
    <w:rsid w:val="00B04BD2"/>
    <w:rsid w:val="00B06753"/>
    <w:rsid w:val="00B1163F"/>
    <w:rsid w:val="00B1219A"/>
    <w:rsid w:val="00B14C27"/>
    <w:rsid w:val="00B31E1B"/>
    <w:rsid w:val="00B34DE0"/>
    <w:rsid w:val="00B355C0"/>
    <w:rsid w:val="00B4388F"/>
    <w:rsid w:val="00B442BC"/>
    <w:rsid w:val="00B44414"/>
    <w:rsid w:val="00B44BFF"/>
    <w:rsid w:val="00B46E4C"/>
    <w:rsid w:val="00B4720D"/>
    <w:rsid w:val="00B5056B"/>
    <w:rsid w:val="00B62EF8"/>
    <w:rsid w:val="00B63237"/>
    <w:rsid w:val="00B65174"/>
    <w:rsid w:val="00B65DC0"/>
    <w:rsid w:val="00B6649C"/>
    <w:rsid w:val="00B67555"/>
    <w:rsid w:val="00B675AE"/>
    <w:rsid w:val="00B73351"/>
    <w:rsid w:val="00B751B6"/>
    <w:rsid w:val="00B77FE4"/>
    <w:rsid w:val="00B805F0"/>
    <w:rsid w:val="00B83224"/>
    <w:rsid w:val="00B83A3C"/>
    <w:rsid w:val="00B83A41"/>
    <w:rsid w:val="00B83DCB"/>
    <w:rsid w:val="00B8564D"/>
    <w:rsid w:val="00B87004"/>
    <w:rsid w:val="00B87818"/>
    <w:rsid w:val="00B9017C"/>
    <w:rsid w:val="00B92976"/>
    <w:rsid w:val="00B937CA"/>
    <w:rsid w:val="00B940A2"/>
    <w:rsid w:val="00B96C1E"/>
    <w:rsid w:val="00BA115C"/>
    <w:rsid w:val="00BA1356"/>
    <w:rsid w:val="00BA1E13"/>
    <w:rsid w:val="00BA5791"/>
    <w:rsid w:val="00BA57F8"/>
    <w:rsid w:val="00BB0CBF"/>
    <w:rsid w:val="00BB3316"/>
    <w:rsid w:val="00BB49A6"/>
    <w:rsid w:val="00BC0A38"/>
    <w:rsid w:val="00BC2058"/>
    <w:rsid w:val="00BC23D7"/>
    <w:rsid w:val="00BC6BB6"/>
    <w:rsid w:val="00BC7535"/>
    <w:rsid w:val="00BC7EE1"/>
    <w:rsid w:val="00BD00DA"/>
    <w:rsid w:val="00BD0109"/>
    <w:rsid w:val="00BD0427"/>
    <w:rsid w:val="00BD4036"/>
    <w:rsid w:val="00BD62B6"/>
    <w:rsid w:val="00BE25D2"/>
    <w:rsid w:val="00BE5728"/>
    <w:rsid w:val="00BE77CC"/>
    <w:rsid w:val="00BF3106"/>
    <w:rsid w:val="00BF6A82"/>
    <w:rsid w:val="00C04CBF"/>
    <w:rsid w:val="00C10B1A"/>
    <w:rsid w:val="00C14FBE"/>
    <w:rsid w:val="00C24474"/>
    <w:rsid w:val="00C25AFD"/>
    <w:rsid w:val="00C307EE"/>
    <w:rsid w:val="00C32215"/>
    <w:rsid w:val="00C32DF3"/>
    <w:rsid w:val="00C35A62"/>
    <w:rsid w:val="00C36669"/>
    <w:rsid w:val="00C373A1"/>
    <w:rsid w:val="00C424D0"/>
    <w:rsid w:val="00C45646"/>
    <w:rsid w:val="00C46E06"/>
    <w:rsid w:val="00C51179"/>
    <w:rsid w:val="00C51C3C"/>
    <w:rsid w:val="00C554BE"/>
    <w:rsid w:val="00C565BD"/>
    <w:rsid w:val="00C6182A"/>
    <w:rsid w:val="00C634AE"/>
    <w:rsid w:val="00C63E2F"/>
    <w:rsid w:val="00C708EF"/>
    <w:rsid w:val="00C70C98"/>
    <w:rsid w:val="00C70F92"/>
    <w:rsid w:val="00C71345"/>
    <w:rsid w:val="00C75AE4"/>
    <w:rsid w:val="00C772F1"/>
    <w:rsid w:val="00C83527"/>
    <w:rsid w:val="00C921C4"/>
    <w:rsid w:val="00C93E20"/>
    <w:rsid w:val="00C960DC"/>
    <w:rsid w:val="00C97E55"/>
    <w:rsid w:val="00CA09E1"/>
    <w:rsid w:val="00CA127E"/>
    <w:rsid w:val="00CA1B89"/>
    <w:rsid w:val="00CA3737"/>
    <w:rsid w:val="00CA397C"/>
    <w:rsid w:val="00CA451F"/>
    <w:rsid w:val="00CA5BAE"/>
    <w:rsid w:val="00CB17BC"/>
    <w:rsid w:val="00CB3F69"/>
    <w:rsid w:val="00CC24E0"/>
    <w:rsid w:val="00CC4278"/>
    <w:rsid w:val="00CC5177"/>
    <w:rsid w:val="00CC6A30"/>
    <w:rsid w:val="00CD1C60"/>
    <w:rsid w:val="00CD4119"/>
    <w:rsid w:val="00CD66AA"/>
    <w:rsid w:val="00CE0839"/>
    <w:rsid w:val="00CE1EB2"/>
    <w:rsid w:val="00CE302E"/>
    <w:rsid w:val="00CE4915"/>
    <w:rsid w:val="00CF3822"/>
    <w:rsid w:val="00CF6907"/>
    <w:rsid w:val="00CF7311"/>
    <w:rsid w:val="00D016EC"/>
    <w:rsid w:val="00D02A6C"/>
    <w:rsid w:val="00D02C75"/>
    <w:rsid w:val="00D0361A"/>
    <w:rsid w:val="00D06051"/>
    <w:rsid w:val="00D0674D"/>
    <w:rsid w:val="00D10246"/>
    <w:rsid w:val="00D10B2C"/>
    <w:rsid w:val="00D10E22"/>
    <w:rsid w:val="00D13419"/>
    <w:rsid w:val="00D13D2C"/>
    <w:rsid w:val="00D15037"/>
    <w:rsid w:val="00D2080E"/>
    <w:rsid w:val="00D217E7"/>
    <w:rsid w:val="00D24B9B"/>
    <w:rsid w:val="00D27C2B"/>
    <w:rsid w:val="00D310A3"/>
    <w:rsid w:val="00D334AF"/>
    <w:rsid w:val="00D36151"/>
    <w:rsid w:val="00D3760A"/>
    <w:rsid w:val="00D37FA9"/>
    <w:rsid w:val="00D41637"/>
    <w:rsid w:val="00D41C62"/>
    <w:rsid w:val="00D45B07"/>
    <w:rsid w:val="00D53620"/>
    <w:rsid w:val="00D536A1"/>
    <w:rsid w:val="00D63E11"/>
    <w:rsid w:val="00D706CD"/>
    <w:rsid w:val="00D71916"/>
    <w:rsid w:val="00D735D2"/>
    <w:rsid w:val="00D73FF6"/>
    <w:rsid w:val="00D74C27"/>
    <w:rsid w:val="00D77537"/>
    <w:rsid w:val="00D77FF4"/>
    <w:rsid w:val="00D808DF"/>
    <w:rsid w:val="00D80D65"/>
    <w:rsid w:val="00D83D81"/>
    <w:rsid w:val="00D945FF"/>
    <w:rsid w:val="00D96C1D"/>
    <w:rsid w:val="00DB71EE"/>
    <w:rsid w:val="00DC0DF1"/>
    <w:rsid w:val="00DC2F94"/>
    <w:rsid w:val="00DC5526"/>
    <w:rsid w:val="00DC571E"/>
    <w:rsid w:val="00DD0785"/>
    <w:rsid w:val="00DD1D2B"/>
    <w:rsid w:val="00DD3D9E"/>
    <w:rsid w:val="00DD4BB7"/>
    <w:rsid w:val="00DD5A96"/>
    <w:rsid w:val="00DD616B"/>
    <w:rsid w:val="00DD7908"/>
    <w:rsid w:val="00DE0C45"/>
    <w:rsid w:val="00DE17FD"/>
    <w:rsid w:val="00DE276C"/>
    <w:rsid w:val="00DE2843"/>
    <w:rsid w:val="00DE2B86"/>
    <w:rsid w:val="00DE3106"/>
    <w:rsid w:val="00DE7442"/>
    <w:rsid w:val="00DF0FFD"/>
    <w:rsid w:val="00DF3C7D"/>
    <w:rsid w:val="00DF3EAC"/>
    <w:rsid w:val="00DF5A75"/>
    <w:rsid w:val="00DF6A43"/>
    <w:rsid w:val="00DF7605"/>
    <w:rsid w:val="00E00969"/>
    <w:rsid w:val="00E00C69"/>
    <w:rsid w:val="00E026D8"/>
    <w:rsid w:val="00E03BE5"/>
    <w:rsid w:val="00E12F59"/>
    <w:rsid w:val="00E13AAD"/>
    <w:rsid w:val="00E17C09"/>
    <w:rsid w:val="00E17C80"/>
    <w:rsid w:val="00E21631"/>
    <w:rsid w:val="00E22810"/>
    <w:rsid w:val="00E23CCD"/>
    <w:rsid w:val="00E34C6D"/>
    <w:rsid w:val="00E36017"/>
    <w:rsid w:val="00E40F6C"/>
    <w:rsid w:val="00E423B0"/>
    <w:rsid w:val="00E44DDE"/>
    <w:rsid w:val="00E536C9"/>
    <w:rsid w:val="00E566F7"/>
    <w:rsid w:val="00E56E24"/>
    <w:rsid w:val="00E57E79"/>
    <w:rsid w:val="00E621A9"/>
    <w:rsid w:val="00E653E6"/>
    <w:rsid w:val="00E728C9"/>
    <w:rsid w:val="00E80F56"/>
    <w:rsid w:val="00E82297"/>
    <w:rsid w:val="00E85AD5"/>
    <w:rsid w:val="00E86545"/>
    <w:rsid w:val="00E86716"/>
    <w:rsid w:val="00E87409"/>
    <w:rsid w:val="00E8752B"/>
    <w:rsid w:val="00E900D2"/>
    <w:rsid w:val="00E93602"/>
    <w:rsid w:val="00E93617"/>
    <w:rsid w:val="00E93DBD"/>
    <w:rsid w:val="00EA04E6"/>
    <w:rsid w:val="00EA092A"/>
    <w:rsid w:val="00EA124A"/>
    <w:rsid w:val="00EA284A"/>
    <w:rsid w:val="00EA39AF"/>
    <w:rsid w:val="00EA6EC3"/>
    <w:rsid w:val="00EA7BBB"/>
    <w:rsid w:val="00EB4C62"/>
    <w:rsid w:val="00EB5BB4"/>
    <w:rsid w:val="00EC19F5"/>
    <w:rsid w:val="00ED1B87"/>
    <w:rsid w:val="00ED297A"/>
    <w:rsid w:val="00ED341C"/>
    <w:rsid w:val="00ED781C"/>
    <w:rsid w:val="00EE04A2"/>
    <w:rsid w:val="00EE1CA7"/>
    <w:rsid w:val="00EF38DB"/>
    <w:rsid w:val="00EF39FD"/>
    <w:rsid w:val="00EF40F0"/>
    <w:rsid w:val="00EF5170"/>
    <w:rsid w:val="00EF7335"/>
    <w:rsid w:val="00F01126"/>
    <w:rsid w:val="00F057F8"/>
    <w:rsid w:val="00F06842"/>
    <w:rsid w:val="00F107FD"/>
    <w:rsid w:val="00F121CE"/>
    <w:rsid w:val="00F16860"/>
    <w:rsid w:val="00F26E8D"/>
    <w:rsid w:val="00F27F58"/>
    <w:rsid w:val="00F31618"/>
    <w:rsid w:val="00F3550E"/>
    <w:rsid w:val="00F40CAD"/>
    <w:rsid w:val="00F41835"/>
    <w:rsid w:val="00F42562"/>
    <w:rsid w:val="00F4580F"/>
    <w:rsid w:val="00F47E0B"/>
    <w:rsid w:val="00F50655"/>
    <w:rsid w:val="00F52C2A"/>
    <w:rsid w:val="00F53287"/>
    <w:rsid w:val="00F55763"/>
    <w:rsid w:val="00F55BF5"/>
    <w:rsid w:val="00F567A9"/>
    <w:rsid w:val="00F57BA4"/>
    <w:rsid w:val="00F60E40"/>
    <w:rsid w:val="00F62C47"/>
    <w:rsid w:val="00F646AE"/>
    <w:rsid w:val="00F72F52"/>
    <w:rsid w:val="00F75ADF"/>
    <w:rsid w:val="00F815D5"/>
    <w:rsid w:val="00F817FC"/>
    <w:rsid w:val="00F81D4B"/>
    <w:rsid w:val="00F82261"/>
    <w:rsid w:val="00F82515"/>
    <w:rsid w:val="00F87448"/>
    <w:rsid w:val="00F92AB9"/>
    <w:rsid w:val="00F932C3"/>
    <w:rsid w:val="00F968D5"/>
    <w:rsid w:val="00F97F4C"/>
    <w:rsid w:val="00FA23F3"/>
    <w:rsid w:val="00FA7C9F"/>
    <w:rsid w:val="00FB291F"/>
    <w:rsid w:val="00FB3721"/>
    <w:rsid w:val="00FB64A8"/>
    <w:rsid w:val="00FB79F8"/>
    <w:rsid w:val="00FC1906"/>
    <w:rsid w:val="00FC3B32"/>
    <w:rsid w:val="00FC4948"/>
    <w:rsid w:val="00FC4986"/>
    <w:rsid w:val="00FD015F"/>
    <w:rsid w:val="00FD352D"/>
    <w:rsid w:val="00FD35CE"/>
    <w:rsid w:val="00FE52D8"/>
    <w:rsid w:val="00FE5B5E"/>
    <w:rsid w:val="00FE752B"/>
    <w:rsid w:val="00FE7879"/>
    <w:rsid w:val="00FF57EC"/>
    <w:rsid w:val="00FF5A6B"/>
    <w:rsid w:val="00FF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85064421-EFA6-4AE7-95BF-3DF3421A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Bibliografia">
    <w:name w:val="Bibliography"/>
    <w:basedOn w:val="Normale"/>
    <w:next w:val="Normale"/>
    <w:uiPriority w:val="37"/>
    <w:unhideWhenUsed/>
    <w:rsid w:val="00A956EF"/>
    <w:pPr>
      <w:ind w:left="720" w:hanging="720"/>
    </w:pPr>
  </w:style>
  <w:style w:type="character" w:styleId="Testosegnaposto">
    <w:name w:val="Placeholder Text"/>
    <w:basedOn w:val="Carpredefinitoparagrafo"/>
    <w:uiPriority w:val="99"/>
    <w:semiHidden/>
    <w:rsid w:val="0059160D"/>
    <w:rPr>
      <w:color w:val="808080"/>
    </w:rPr>
  </w:style>
  <w:style w:type="table" w:styleId="Grigliatabella">
    <w:name w:val="Table Grid"/>
    <w:basedOn w:val="Tabellanormale"/>
    <w:rsid w:val="00B11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BD62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e">
    <w:name w:val="Revision"/>
    <w:hidden/>
    <w:uiPriority w:val="99"/>
    <w:semiHidden/>
    <w:rsid w:val="00BB331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A745-421D-43AE-B29D-EF0E1077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10</TotalTime>
  <Pages>6</Pages>
  <Words>6280</Words>
  <Characters>35796</Characters>
  <Application>Microsoft Office Word</Application>
  <DocSecurity>0</DocSecurity>
  <Lines>298</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Francesco Negri</cp:lastModifiedBy>
  <cp:revision>5</cp:revision>
  <cp:lastPrinted>2023-11-29T14:38:00Z</cp:lastPrinted>
  <dcterms:created xsi:type="dcterms:W3CDTF">2023-12-04T21:00:00Z</dcterms:created>
  <dcterms:modified xsi:type="dcterms:W3CDTF">2023-12-06T13:56:00Z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zotero-version="6.0.19"&gt;&lt;session id="hNHMoaPl"/&gt;&lt;style id="ESCAPE33" hasBibliography="1" bibliographyStyleHasBeenSet="1"/&gt;&lt;prefs&gt;&lt;pref name="fieldType" value="Field"/&gt;&lt;/prefs&gt;&lt;/data&gt;</vt:lpwstr>
  </property>
</Properties>
</file>