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76A187F7" w:rsidR="00DD3D9E" w:rsidRPr="00B4388F" w:rsidRDefault="005035F2">
      <w:pPr>
        <w:pStyle w:val="Els-Title"/>
        <w:rPr>
          <w:color w:val="000000" w:themeColor="text1"/>
        </w:rPr>
      </w:pPr>
      <w:r w:rsidRPr="493E0FCE">
        <w:rPr>
          <w:color w:val="000000" w:themeColor="text1"/>
        </w:rPr>
        <w:t>A simulation-based approach for energy</w:t>
      </w:r>
      <w:r w:rsidR="732183F3" w:rsidRPr="493E0FCE">
        <w:rPr>
          <w:color w:val="000000" w:themeColor="text1"/>
        </w:rPr>
        <w:t>-</w:t>
      </w:r>
      <w:r w:rsidRPr="493E0FCE">
        <w:rPr>
          <w:color w:val="000000" w:themeColor="text1"/>
        </w:rPr>
        <w:t>flexible scheduling of integrated energy process systems</w:t>
      </w:r>
    </w:p>
    <w:p w14:paraId="3B08F236" w14:textId="446A8DF5" w:rsidR="000241EE" w:rsidRPr="00F80429" w:rsidRDefault="000241EE" w:rsidP="000241EE">
      <w:pPr>
        <w:pStyle w:val="Els-Author"/>
        <w:rPr>
          <w:lang w:val="en-NZ"/>
        </w:rPr>
      </w:pPr>
      <w:r w:rsidRPr="00F80429">
        <w:rPr>
          <w:lang w:val="en-NZ"/>
        </w:rPr>
        <w:t>R. Michael Kalpagé</w:t>
      </w:r>
      <w:r w:rsidRPr="00106A6E">
        <w:rPr>
          <w:vertAlign w:val="superscript"/>
          <w:lang w:val="en-NZ"/>
        </w:rPr>
        <w:t xml:space="preserve"> </w:t>
      </w:r>
      <w:r w:rsidRPr="00F80429">
        <w:rPr>
          <w:vertAlign w:val="superscript"/>
          <w:lang w:val="en-NZ"/>
        </w:rPr>
        <w:t>a</w:t>
      </w:r>
      <w:r w:rsidR="006A15B4">
        <w:rPr>
          <w:vertAlign w:val="superscript"/>
          <w:lang w:val="en-NZ"/>
        </w:rPr>
        <w:t>*</w:t>
      </w:r>
      <w:r w:rsidRPr="00F80429">
        <w:rPr>
          <w:lang w:val="en-NZ"/>
        </w:rPr>
        <w:t>, Wei Yu</w:t>
      </w:r>
      <w:r w:rsidRPr="00F80429">
        <w:rPr>
          <w:vertAlign w:val="superscript"/>
          <w:lang w:val="en-NZ"/>
        </w:rPr>
        <w:t>a</w:t>
      </w:r>
      <w:r w:rsidRPr="00F80429">
        <w:rPr>
          <w:lang w:val="en-NZ"/>
        </w:rPr>
        <w:t>, Martin Atkins</w:t>
      </w:r>
      <w:r w:rsidRPr="00F80429">
        <w:rPr>
          <w:vertAlign w:val="superscript"/>
          <w:lang w:val="en-NZ"/>
        </w:rPr>
        <w:t>b</w:t>
      </w:r>
      <w:r w:rsidRPr="00F80429">
        <w:rPr>
          <w:lang w:val="en-NZ"/>
        </w:rPr>
        <w:t>, Brent Young</w:t>
      </w:r>
      <w:r w:rsidRPr="00F80429">
        <w:rPr>
          <w:vertAlign w:val="superscript"/>
          <w:lang w:val="en-NZ"/>
        </w:rPr>
        <w:t>a</w:t>
      </w:r>
    </w:p>
    <w:p w14:paraId="6140D370" w14:textId="77777777" w:rsidR="000241EE" w:rsidRPr="00F80429" w:rsidRDefault="000241EE" w:rsidP="000241EE">
      <w:pPr>
        <w:pStyle w:val="Els-Affiliation"/>
        <w:rPr>
          <w:lang w:val="en-NZ"/>
        </w:rPr>
      </w:pPr>
      <w:r w:rsidRPr="00F80429">
        <w:rPr>
          <w:vertAlign w:val="superscript"/>
          <w:lang w:val="en-NZ"/>
        </w:rPr>
        <w:t>a</w:t>
      </w:r>
      <w:r w:rsidRPr="00F80429">
        <w:rPr>
          <w:lang w:val="en-NZ"/>
        </w:rPr>
        <w:t>Department of Chemical and Materials Engineering, The University of Auckland, 22 Symonds Street, Auckland 1010, New Zealand</w:t>
      </w:r>
    </w:p>
    <w:p w14:paraId="0EFC5704" w14:textId="77777777" w:rsidR="000241EE" w:rsidRPr="00F80429" w:rsidRDefault="000241EE" w:rsidP="000241EE">
      <w:pPr>
        <w:pStyle w:val="Els-Affiliation"/>
        <w:rPr>
          <w:lang w:val="en-NZ"/>
        </w:rPr>
      </w:pPr>
      <w:r w:rsidRPr="00F80429">
        <w:rPr>
          <w:vertAlign w:val="superscript"/>
          <w:lang w:val="en-NZ"/>
        </w:rPr>
        <w:t>b</w:t>
      </w:r>
      <w:r w:rsidRPr="00F80429">
        <w:rPr>
          <w:lang w:val="en-NZ"/>
        </w:rPr>
        <w:t xml:space="preserve"> Energy Systems Integration Group, School of Engineering, University of Waikato,</w:t>
      </w:r>
    </w:p>
    <w:p w14:paraId="01A2FA71" w14:textId="77777777" w:rsidR="000241EE" w:rsidRPr="00F80429" w:rsidRDefault="000241EE" w:rsidP="000241EE">
      <w:pPr>
        <w:pStyle w:val="Els-Affiliation"/>
        <w:rPr>
          <w:lang w:val="en-NZ"/>
        </w:rPr>
      </w:pPr>
      <w:r w:rsidRPr="00F80429">
        <w:rPr>
          <w:lang w:val="en-NZ"/>
        </w:rPr>
        <w:t>Hamilton 3216, New Zealand</w:t>
      </w:r>
    </w:p>
    <w:p w14:paraId="646E6730" w14:textId="3BE3C776" w:rsidR="000241EE" w:rsidRPr="00F80429" w:rsidRDefault="000241EE" w:rsidP="000241EE">
      <w:pPr>
        <w:pStyle w:val="Els-Affiliation"/>
        <w:rPr>
          <w:lang w:val="en-NZ"/>
        </w:rPr>
      </w:pPr>
      <w:r>
        <w:rPr>
          <w:lang w:val="en-NZ"/>
        </w:rPr>
        <w:t>rkal282@aucklanduni.ac.nz</w:t>
      </w:r>
    </w:p>
    <w:p w14:paraId="144DE684" w14:textId="77777777" w:rsidR="008D2649" w:rsidRDefault="008D2649" w:rsidP="008D2649">
      <w:pPr>
        <w:pStyle w:val="Els-Abstract"/>
      </w:pPr>
      <w:r>
        <w:t>Abstract</w:t>
      </w:r>
    </w:p>
    <w:p w14:paraId="6EF1315F" w14:textId="52020F18" w:rsidR="001A3ECB" w:rsidRDefault="001728A0" w:rsidP="003471DF">
      <w:pPr>
        <w:pStyle w:val="Els-body-text"/>
        <w:spacing w:after="120"/>
        <w:rPr>
          <w:lang w:val="en-GB"/>
        </w:rPr>
      </w:pPr>
      <w:r w:rsidRPr="493E0FCE">
        <w:rPr>
          <w:lang w:val="en-GB"/>
        </w:rPr>
        <w:t>The shift towards green process engineering poses the challenge of adopting sustainable practices, notably in the context of intermittent renewable energy sources, while still meeting operational needs</w:t>
      </w:r>
      <w:r w:rsidRPr="000D217B">
        <w:rPr>
          <w:lang w:val="en-GB"/>
        </w:rPr>
        <w:t xml:space="preserve">. </w:t>
      </w:r>
      <w:r w:rsidR="0092227D" w:rsidRPr="000D217B">
        <w:rPr>
          <w:lang w:val="en-GB"/>
        </w:rPr>
        <w:t xml:space="preserve">To </w:t>
      </w:r>
      <w:r w:rsidR="71DE8DE0" w:rsidRPr="000D217B">
        <w:rPr>
          <w:lang w:val="en-GB"/>
        </w:rPr>
        <w:t xml:space="preserve">meet </w:t>
      </w:r>
      <w:r w:rsidR="0092227D" w:rsidRPr="000D217B">
        <w:rPr>
          <w:lang w:val="en-GB"/>
        </w:rPr>
        <w:t>this challenge, hybrid</w:t>
      </w:r>
      <w:r w:rsidR="0092227D" w:rsidRPr="493E0FCE">
        <w:rPr>
          <w:lang w:val="en-GB"/>
        </w:rPr>
        <w:t xml:space="preserve"> utility systems </w:t>
      </w:r>
      <w:r w:rsidR="00246532" w:rsidRPr="493E0FCE">
        <w:rPr>
          <w:lang w:val="en-GB"/>
        </w:rPr>
        <w:t>are potential solution</w:t>
      </w:r>
      <w:r w:rsidR="15B849ED" w:rsidRPr="493E0FCE">
        <w:rPr>
          <w:lang w:val="en-GB"/>
        </w:rPr>
        <w:t>s</w:t>
      </w:r>
      <w:r w:rsidR="0092227D" w:rsidRPr="493E0FCE">
        <w:rPr>
          <w:lang w:val="en-GB"/>
        </w:rPr>
        <w:t xml:space="preserve"> </w:t>
      </w:r>
      <w:r w:rsidR="763A2903" w:rsidRPr="493E0FCE">
        <w:rPr>
          <w:lang w:val="en-GB"/>
        </w:rPr>
        <w:t xml:space="preserve">that are </w:t>
      </w:r>
      <w:r w:rsidR="0F51B389" w:rsidRPr="493E0FCE">
        <w:rPr>
          <w:lang w:val="en-GB"/>
        </w:rPr>
        <w:t xml:space="preserve">expected </w:t>
      </w:r>
      <w:r w:rsidR="0092227D" w:rsidRPr="493E0FCE">
        <w:rPr>
          <w:lang w:val="en-GB"/>
        </w:rPr>
        <w:t xml:space="preserve">to be more effective together than their individual components, ensuring reliability </w:t>
      </w:r>
      <w:r w:rsidR="00246532" w:rsidRPr="493E0FCE">
        <w:rPr>
          <w:lang w:val="en-GB"/>
        </w:rPr>
        <w:t xml:space="preserve">while </w:t>
      </w:r>
      <w:r w:rsidR="00FC20E6" w:rsidRPr="493E0FCE">
        <w:rPr>
          <w:lang w:val="en-GB"/>
        </w:rPr>
        <w:t>advantageously engaging</w:t>
      </w:r>
      <w:r w:rsidR="00CF0FE1" w:rsidRPr="493E0FCE">
        <w:rPr>
          <w:lang w:val="en-GB"/>
        </w:rPr>
        <w:t xml:space="preserve"> in demand response</w:t>
      </w:r>
      <w:r w:rsidR="00FC20E6" w:rsidRPr="493E0FCE">
        <w:rPr>
          <w:lang w:val="en-GB"/>
        </w:rPr>
        <w:t>.</w:t>
      </w:r>
      <w:r w:rsidR="00DB3B5D" w:rsidRPr="493E0FCE">
        <w:rPr>
          <w:lang w:val="en-GB"/>
        </w:rPr>
        <w:t xml:space="preserve"> This paper proposes a</w:t>
      </w:r>
      <w:r w:rsidR="00B81955" w:rsidRPr="493E0FCE">
        <w:rPr>
          <w:lang w:val="en-GB"/>
        </w:rPr>
        <w:t xml:space="preserve"> </w:t>
      </w:r>
      <w:r w:rsidR="00FD0D6A" w:rsidRPr="493E0FCE">
        <w:rPr>
          <w:lang w:val="en-GB"/>
        </w:rPr>
        <w:t>simulation-based</w:t>
      </w:r>
      <w:r w:rsidR="00B81955" w:rsidRPr="493E0FCE">
        <w:rPr>
          <w:lang w:val="en-GB"/>
        </w:rPr>
        <w:t xml:space="preserve"> </w:t>
      </w:r>
      <w:r w:rsidR="488A2D80" w:rsidRPr="493E0FCE">
        <w:rPr>
          <w:lang w:val="en-GB"/>
        </w:rPr>
        <w:t xml:space="preserve">scheduling </w:t>
      </w:r>
      <w:r w:rsidR="00B81955" w:rsidRPr="493E0FCE">
        <w:rPr>
          <w:lang w:val="en-GB"/>
        </w:rPr>
        <w:t>approac</w:t>
      </w:r>
      <w:r w:rsidR="00B90431" w:rsidRPr="493E0FCE">
        <w:rPr>
          <w:lang w:val="en-GB"/>
        </w:rPr>
        <w:t xml:space="preserve">h, </w:t>
      </w:r>
      <w:r w:rsidR="00397F0D" w:rsidRPr="493E0FCE">
        <w:rPr>
          <w:lang w:val="en-GB"/>
        </w:rPr>
        <w:t>with intent for</w:t>
      </w:r>
      <w:r w:rsidR="00B90431" w:rsidRPr="493E0FCE">
        <w:rPr>
          <w:lang w:val="en-GB"/>
        </w:rPr>
        <w:t xml:space="preserve"> further develop</w:t>
      </w:r>
      <w:r w:rsidR="00397F0D" w:rsidRPr="493E0FCE">
        <w:rPr>
          <w:lang w:val="en-GB"/>
        </w:rPr>
        <w:t>ment</w:t>
      </w:r>
      <w:r w:rsidR="00B90431" w:rsidRPr="493E0FCE">
        <w:rPr>
          <w:lang w:val="en-GB"/>
        </w:rPr>
        <w:t xml:space="preserve"> into a digital twin, </w:t>
      </w:r>
      <w:r w:rsidR="00041B37">
        <w:rPr>
          <w:lang w:val="en-GB"/>
        </w:rPr>
        <w:t>with application to different</w:t>
      </w:r>
      <w:r w:rsidR="00B81955" w:rsidRPr="493E0FCE">
        <w:rPr>
          <w:lang w:val="en-GB"/>
        </w:rPr>
        <w:t xml:space="preserve"> </w:t>
      </w:r>
      <w:r w:rsidR="00041B37">
        <w:rPr>
          <w:lang w:val="en-GB"/>
        </w:rPr>
        <w:t xml:space="preserve">asset lifecycle </w:t>
      </w:r>
      <w:r w:rsidR="00730AAA">
        <w:rPr>
          <w:lang w:val="en-GB"/>
        </w:rPr>
        <w:t>stages</w:t>
      </w:r>
      <w:r w:rsidR="00940479" w:rsidRPr="493E0FCE">
        <w:rPr>
          <w:lang w:val="en-GB"/>
        </w:rPr>
        <w:t>.</w:t>
      </w:r>
      <w:r w:rsidR="00B81955" w:rsidRPr="493E0FCE">
        <w:rPr>
          <w:lang w:val="en-GB"/>
        </w:rPr>
        <w:t xml:space="preserve"> </w:t>
      </w:r>
      <w:r w:rsidR="00397F0D" w:rsidRPr="493E0FCE">
        <w:rPr>
          <w:lang w:val="en-GB"/>
        </w:rPr>
        <w:t xml:space="preserve">Non-uniform configurations were found to </w:t>
      </w:r>
      <w:r w:rsidR="0072185A" w:rsidRPr="493E0FCE">
        <w:rPr>
          <w:lang w:val="en-GB"/>
        </w:rPr>
        <w:t>be more appropriate</w:t>
      </w:r>
      <w:r w:rsidR="004A2539" w:rsidRPr="493E0FCE">
        <w:rPr>
          <w:lang w:val="en-GB"/>
        </w:rPr>
        <w:t xml:space="preserve"> for design and retrofit</w:t>
      </w:r>
      <w:r w:rsidR="00FE12E4" w:rsidRPr="493E0FCE">
        <w:rPr>
          <w:lang w:val="en-GB"/>
        </w:rPr>
        <w:t xml:space="preserve"> purposes</w:t>
      </w:r>
      <w:r w:rsidR="002B2727" w:rsidRPr="493E0FCE">
        <w:rPr>
          <w:lang w:val="en-GB"/>
        </w:rPr>
        <w:t>, with optimal</w:t>
      </w:r>
      <w:r w:rsidR="000177DE" w:rsidRPr="493E0FCE">
        <w:rPr>
          <w:lang w:val="en-GB"/>
        </w:rPr>
        <w:t xml:space="preserve"> </w:t>
      </w:r>
      <w:r w:rsidR="002B2727" w:rsidRPr="493E0FCE">
        <w:rPr>
          <w:lang w:val="en-GB"/>
        </w:rPr>
        <w:t>sizing determined</w:t>
      </w:r>
      <w:r w:rsidR="00FE12E4" w:rsidRPr="493E0FCE">
        <w:rPr>
          <w:lang w:val="en-GB"/>
        </w:rPr>
        <w:t xml:space="preserve">. Demand response regimes that </w:t>
      </w:r>
      <w:r w:rsidR="006C7891" w:rsidRPr="493E0FCE">
        <w:rPr>
          <w:lang w:val="en-GB"/>
        </w:rPr>
        <w:t>aligned with</w:t>
      </w:r>
      <w:r w:rsidR="00C7280C" w:rsidRPr="493E0FCE">
        <w:rPr>
          <w:lang w:val="en-GB"/>
        </w:rPr>
        <w:t xml:space="preserve"> the energy cost ratio demonstrated superior performance.</w:t>
      </w:r>
      <w:r w:rsidR="00313B8B" w:rsidRPr="493E0FCE">
        <w:rPr>
          <w:lang w:val="en-GB"/>
        </w:rPr>
        <w:t xml:space="preserve"> </w:t>
      </w:r>
      <w:r w:rsidR="001A3ECB" w:rsidRPr="493E0FCE">
        <w:rPr>
          <w:lang w:val="en-GB"/>
        </w:rPr>
        <w:t>The proposed approach</w:t>
      </w:r>
      <w:r w:rsidR="002B2727" w:rsidRPr="493E0FCE">
        <w:rPr>
          <w:lang w:val="en-GB"/>
        </w:rPr>
        <w:t xml:space="preserve"> can be further extended </w:t>
      </w:r>
      <w:r w:rsidR="000177DE" w:rsidRPr="493E0FCE">
        <w:rPr>
          <w:lang w:val="en-GB"/>
        </w:rPr>
        <w:t xml:space="preserve">to explore more energy flexible components such as </w:t>
      </w:r>
      <w:r w:rsidR="00EF19EC" w:rsidRPr="493E0FCE">
        <w:rPr>
          <w:lang w:val="en-GB"/>
        </w:rPr>
        <w:t>energy storage and on-site generation</w:t>
      </w:r>
      <w:r w:rsidR="002B2727" w:rsidRPr="493E0FCE">
        <w:rPr>
          <w:lang w:val="en-GB"/>
        </w:rPr>
        <w:t xml:space="preserve">. </w:t>
      </w:r>
    </w:p>
    <w:p w14:paraId="144DE687" w14:textId="2C77946D" w:rsidR="008D2649" w:rsidRDefault="008D2649" w:rsidP="008D2649">
      <w:pPr>
        <w:pStyle w:val="Els-body-text"/>
        <w:spacing w:after="120"/>
        <w:rPr>
          <w:lang w:val="en-GB"/>
        </w:rPr>
      </w:pPr>
      <w:r>
        <w:rPr>
          <w:b/>
          <w:bCs/>
          <w:lang w:val="en-GB"/>
        </w:rPr>
        <w:t>Keywords</w:t>
      </w:r>
      <w:r>
        <w:rPr>
          <w:lang w:val="en-GB"/>
        </w:rPr>
        <w:t xml:space="preserve">: </w:t>
      </w:r>
      <w:r w:rsidR="00F649D7">
        <w:rPr>
          <w:lang w:val="en-GB"/>
        </w:rPr>
        <w:t xml:space="preserve">digital simulation, </w:t>
      </w:r>
      <w:r w:rsidR="00D76069">
        <w:rPr>
          <w:lang w:val="en-GB"/>
        </w:rPr>
        <w:t>demand response, energy flexibility, integrated energy systems</w:t>
      </w:r>
      <w:r w:rsidR="004539E9">
        <w:rPr>
          <w:lang w:val="en-GB"/>
        </w:rPr>
        <w:t xml:space="preserve">, </w:t>
      </w:r>
      <w:r w:rsidR="00AB44CF">
        <w:rPr>
          <w:lang w:val="en-GB"/>
        </w:rPr>
        <w:t>renewable energy</w:t>
      </w:r>
    </w:p>
    <w:p w14:paraId="144DE689" w14:textId="33262E6B" w:rsidR="008D2649" w:rsidRDefault="007D2E15" w:rsidP="001356B2">
      <w:pPr>
        <w:pStyle w:val="Els-1storder-head"/>
        <w:spacing w:after="0"/>
      </w:pPr>
      <w:r>
        <w:t>Background</w:t>
      </w:r>
    </w:p>
    <w:p w14:paraId="32AA86EB" w14:textId="19643332" w:rsidR="009920A4" w:rsidRPr="00BF48D4" w:rsidRDefault="000F757F" w:rsidP="001356B2">
      <w:pPr>
        <w:pStyle w:val="Els-body-text"/>
        <w:spacing w:before="240"/>
        <w:rPr>
          <w:b/>
          <w:bCs/>
          <w:lang w:val="en-NZ"/>
        </w:rPr>
      </w:pPr>
      <w:r w:rsidRPr="493E0FCE">
        <w:rPr>
          <w:lang w:val="en-NZ"/>
        </w:rPr>
        <w:t>To address climate change and achieve decarbonization, transitioning the industrial sector toward integration with renewable energy sources is essential</w:t>
      </w:r>
      <w:r w:rsidR="5AC3C582" w:rsidRPr="493E0FCE">
        <w:rPr>
          <w:lang w:val="en-NZ"/>
        </w:rPr>
        <w:t xml:space="preserve">, especially </w:t>
      </w:r>
      <w:r w:rsidR="51A6F981" w:rsidRPr="493E0FCE">
        <w:rPr>
          <w:lang w:val="en-NZ"/>
        </w:rPr>
        <w:t xml:space="preserve">for </w:t>
      </w:r>
      <w:r w:rsidR="5AC3C582" w:rsidRPr="493E0FCE">
        <w:rPr>
          <w:lang w:val="en-NZ"/>
        </w:rPr>
        <w:t>process heat generation</w:t>
      </w:r>
      <w:r w:rsidRPr="493E0FCE">
        <w:rPr>
          <w:lang w:val="en-NZ"/>
        </w:rPr>
        <w:t>.</w:t>
      </w:r>
      <w:r w:rsidR="002D5CFA" w:rsidRPr="493E0FCE">
        <w:rPr>
          <w:lang w:val="en-NZ"/>
        </w:rPr>
        <w:t xml:space="preserve"> New Zealand’s </w:t>
      </w:r>
      <w:r w:rsidR="263BC7F5" w:rsidRPr="493E0FCE">
        <w:rPr>
          <w:lang w:val="en-NZ"/>
        </w:rPr>
        <w:t xml:space="preserve">(NZ’s) </w:t>
      </w:r>
      <w:r w:rsidR="002D5CFA" w:rsidRPr="493E0FCE">
        <w:rPr>
          <w:lang w:val="en-NZ"/>
        </w:rPr>
        <w:t xml:space="preserve">grid is </w:t>
      </w:r>
      <w:r w:rsidR="00B93060">
        <w:t>already significantly integrated with renewable energy sources, incentivising electrification as a sustainable approach.</w:t>
      </w:r>
      <w:r w:rsidR="00615D49">
        <w:t xml:space="preserve"> However, renewable energy sources suffer from intermittency, </w:t>
      </w:r>
      <w:r w:rsidR="00410073">
        <w:t xml:space="preserve">thus </w:t>
      </w:r>
      <w:r w:rsidR="00AD50D6">
        <w:t>increasing</w:t>
      </w:r>
      <w:r w:rsidR="00615D49">
        <w:t xml:space="preserve"> variability of grid supply. </w:t>
      </w:r>
      <w:r w:rsidR="00550D56">
        <w:t>Industrial processes</w:t>
      </w:r>
      <w:r w:rsidR="054B6ED1">
        <w:t xml:space="preserve"> </w:t>
      </w:r>
      <w:r w:rsidR="00550D56">
        <w:t xml:space="preserve">require continuous heat </w:t>
      </w:r>
      <w:r w:rsidR="00973750">
        <w:t>and secure</w:t>
      </w:r>
      <w:r w:rsidR="00550D56">
        <w:t xml:space="preserve"> energy supply</w:t>
      </w:r>
      <w:r w:rsidR="00973750">
        <w:t>,</w:t>
      </w:r>
      <w:r w:rsidR="395F6B82">
        <w:t xml:space="preserve"> especially in sectors like dairy processing</w:t>
      </w:r>
      <w:r w:rsidR="00550D56">
        <w:t>.</w:t>
      </w:r>
      <w:r w:rsidR="00E1546F">
        <w:t xml:space="preserve"> Hybrid utility systems</w:t>
      </w:r>
      <w:r w:rsidR="1F4B0EF6">
        <w:t xml:space="preserve"> present a promising solution</w:t>
      </w:r>
      <w:r w:rsidR="00E1546F">
        <w:t xml:space="preserve">, combining </w:t>
      </w:r>
      <w:r w:rsidR="55DB449E">
        <w:t xml:space="preserve">energy </w:t>
      </w:r>
      <w:r w:rsidR="00E1546F">
        <w:t>sources like electric and biomass boilers in smart plants</w:t>
      </w:r>
      <w:r w:rsidR="00CE4527">
        <w:t xml:space="preserve">. </w:t>
      </w:r>
      <w:r w:rsidR="00AB44CF">
        <w:t>Biomass boilers provide stability to the overall energy system and electr</w:t>
      </w:r>
      <w:r w:rsidR="00B37500">
        <w:t>ic</w:t>
      </w:r>
      <w:r w:rsidR="00AB44CF">
        <w:t xml:space="preserve"> boilers allow sites to participate in demand </w:t>
      </w:r>
      <w:r w:rsidR="00A71718">
        <w:t>response.</w:t>
      </w:r>
      <w:r w:rsidR="0001590B">
        <w:t xml:space="preserve"> </w:t>
      </w:r>
      <w:r w:rsidR="00BF48D4">
        <w:t>Greater energy flexibility</w:t>
      </w:r>
      <w:r w:rsidR="00796F91">
        <w:t xml:space="preserve"> can also be achieved through storage integration and </w:t>
      </w:r>
      <w:r w:rsidR="00913601">
        <w:t>production shifting</w:t>
      </w:r>
      <w:r w:rsidR="00BF48D4">
        <w:t xml:space="preserve"> </w:t>
      </w:r>
      <w:r w:rsidRPr="493E0FCE">
        <w:rPr>
          <w:b/>
          <w:bCs/>
        </w:rPr>
        <w:fldChar w:fldCharType="begin" w:fldLock="1"/>
      </w:r>
      <w:r w:rsidRPr="493E0FCE">
        <w:rPr>
          <w:b/>
          <w:bCs/>
        </w:rPr>
        <w:instrText>ADDIN CSL_CITATION {"citationItems":[{"id":"ITEM-1","itemData":{"DOI":"10.1016/j.procir.2020.12.001","ISBN":"22128271 (ISSN)","abstract":"Energy flexibility plays a crucial role in the current energy transition, as it can contribute to a stabilization of the grid. The integration of electricity from renewable energy sources leads to large fluctuations in power supply, compromising the reliability of supply and the grid stability. Employing surplus of variable renewable energy (VRE) to cover the industrial demand can on one hand reduce the need for grid upgrade on a long term. On the other hand, integrating VRE can contribute to fulfill decarbonisation targets in the industrial sector. As a consequence, the share of renewable energy in the total energy consumption can be increased. This paper aims at assessing the role of VRE integration in the process industry as a mean to leverage energy flexibility. The assessment consists of a scenario-based evaluation, complemented by a simulation model, able to quantify the reduction of specific CO2emissions. The developed approach is demonstrated within a case study in the paper industry. © 2021 Elsevier B.V.. All rights reserved.","author":[{"dropping-particle":"","family":"Pierri","given":"E","non-dropping-particle":"","parse-names":false,"suffix":""},{"dropping-particle":"","family":"Hellkamp","given":"D","non-dropping-particle":"","parse-names":false,"suffix":""},{"dropping-particle":"","family":"Thiede","given":"S","non-dropping-particle":"","parse-names":false,"suffix":""},{"dropping-particle":"","family":"Herrmann","given":"C","non-dropping-particle":"","parse-names":false,"suffix":""}],"editor":[{"dropping-particle":"","family":"K.S.","given":"Sangwan","non-dropping-particle":"","parse-names":false,"suffix":""},{"dropping-particle":"","family":"C.","given":"Herrmann","non-dropping-particle":"","parse-names":false,"suffix":""}],"id":"ITEM-1","issued":{"date-parts":[["2021"]]},"language":"English","note":"Cited By :1\n\nExport Date: 7 September 2021\n\nCorrespondence Address: Pierri, E.; Institute of Machine Tools and Production Technology (IWF), Langer Kamp 19b, Germany; email: erika.pierri@tu-braunschweig.de","page":"7-12","publisher":"Elsevier B.V.","publisher-place":"Institute of Machine Tools and Production Technology (IWF), Chair of Sustainable Manufacturing and Life Cycle Engineering, Technische Universität Braunschweig, Langer Kamp 19b, Braunschweig, 38106, Germany","title":"Enhancing Energy Flexibility through the Integration of Variable Renewable Energy in the Process Industry","type":"paper-conference","volume":"98"},"uris":["http://www.mendeley.com/documents/?uuid=a3ef4330-1476-4eb3-aa2d-2bbfa1318c21"]}],"mendeley":{"formattedCitation":"(Pierri et al., 2021)","plainTextFormattedCitation":"(Pierri et al., 2021)"},"properties":{"noteIndex":0},"schema":"https://github.com/citation-style-language/schema/raw/master/csl-citation.json"}</w:instrText>
      </w:r>
      <w:r w:rsidRPr="493E0FCE">
        <w:rPr>
          <w:b/>
          <w:bCs/>
        </w:rPr>
        <w:fldChar w:fldCharType="separate"/>
      </w:r>
      <w:r w:rsidR="00BF48D4" w:rsidRPr="493E0FCE">
        <w:rPr>
          <w:noProof/>
        </w:rPr>
        <w:t xml:space="preserve">(Pierri </w:t>
      </w:r>
      <w:r w:rsidR="00BF48D4" w:rsidRPr="00A71718">
        <w:rPr>
          <w:i/>
          <w:iCs/>
          <w:noProof/>
        </w:rPr>
        <w:t>et al</w:t>
      </w:r>
      <w:r w:rsidR="00BF48D4" w:rsidRPr="493E0FCE">
        <w:rPr>
          <w:noProof/>
        </w:rPr>
        <w:t>., 2021)</w:t>
      </w:r>
      <w:r w:rsidR="645B15B8" w:rsidRPr="493E0FCE">
        <w:rPr>
          <w:noProof/>
        </w:rPr>
        <w:t>.</w:t>
      </w:r>
      <w:r w:rsidRPr="493E0FCE">
        <w:rPr>
          <w:b/>
          <w:bCs/>
        </w:rPr>
        <w:fldChar w:fldCharType="end"/>
      </w:r>
    </w:p>
    <w:p w14:paraId="242BCC9D" w14:textId="4CB6F97F" w:rsidR="001356B2" w:rsidRPr="0001590B" w:rsidRDefault="001356B2" w:rsidP="001356B2">
      <w:pPr>
        <w:pStyle w:val="Els-body-text"/>
        <w:spacing w:before="240"/>
        <w:rPr>
          <w:b/>
          <w:bCs/>
        </w:rPr>
      </w:pPr>
      <w:r>
        <w:t xml:space="preserve">Given the investment required and potential changes to operational strategy, digital methods such as simulation and digital twins </w:t>
      </w:r>
      <w:r w:rsidR="3D4266C0">
        <w:t>are an</w:t>
      </w:r>
      <w:r>
        <w:t xml:space="preserve"> appropriate approach to exploring potential solutions. These methods allow for virtual testing of hypothetical scenarios to de-risk changes</w:t>
      </w:r>
      <w:r w:rsidR="66E0E248">
        <w:t xml:space="preserve"> </w:t>
      </w:r>
      <w:r w:rsidR="00E9079F">
        <w:t>at</w:t>
      </w:r>
      <w:r w:rsidR="66E0E248">
        <w:t xml:space="preserve"> </w:t>
      </w:r>
      <w:r w:rsidR="005D20AB">
        <w:t>low cost</w:t>
      </w:r>
      <w:r>
        <w:t>.</w:t>
      </w:r>
      <w:r w:rsidR="00683871">
        <w:t xml:space="preserve"> The majority of research in demand response has focused on mathematical </w:t>
      </w:r>
      <w:r w:rsidR="00E9079F">
        <w:t>programming</w:t>
      </w:r>
      <w:r w:rsidR="00683871">
        <w:t xml:space="preserve"> methods</w:t>
      </w:r>
      <w:r w:rsidR="00E36B4F">
        <w:t xml:space="preserve">, which have been noted to be </w:t>
      </w:r>
      <w:r w:rsidR="0084102C">
        <w:t>challenging for</w:t>
      </w:r>
      <w:r w:rsidR="00E36B4F">
        <w:t xml:space="preserve"> industry adoption</w:t>
      </w:r>
      <w:r w:rsidR="0001590B">
        <w:t xml:space="preserve"> </w:t>
      </w:r>
      <w:r>
        <w:fldChar w:fldCharType="begin" w:fldLock="1"/>
      </w:r>
      <w:r>
        <w:instrText>ADDIN CSL_CITATION {"citationItems":[{"id":"ITEM-1","itemData":{"DOI":"10.1016/j.procir.2019.03.051","ISBN":"22128271 (ISSN)","abstract":"Due to an increasing use of renewable energy sources like wind and solar power, electricity generation becomes more volatile depending largely on weather conditions. This leads to fluctuating energy costs and gives new opportunities for cost savings to industry. Thus new ways of energy-oriented production planning will be necessary, without violating production related goals. The scope of this paper is the comparison of simulation-based and optimization-based production planning. Both approaches are compared in a case study with real data from an energy-intensive production. Evaluation criteria, for example computational effort, quality of planning and acceptance, are used to measure their operational capability. © 2019 The Authors. Published by Elsevier Ltd.","author":[{"dropping-particle":"","family":"Bank","given":"L","non-dropping-particle":"","parse-names":false,"suffix":""},{"dropping-particle":"","family":"Rösch","given":"M","non-dropping-particle":"","parse-names":false,"suffix":""},{"dropping-particle":"","family":"Unterberger","given":"E","non-dropping-particle":"","parse-names":false,"suffix":""},{"dropping-particle":"","family":"Roth","given":"S","non-dropping-particle":"","parse-names":false,"suffix":""},{"dropping-particle":"","family":"Rohrer","given":"A","non-dropping-particle":"","parse-names":false,"suffix":""},{"dropping-particle":"","family":"Köberlein","given":"J","non-dropping-particle":"","parse-names":false,"suffix":""},{"dropping-particle":"","family":"Braunreuther","given":"S","non-dropping-particle":"","parse-names":false,"suffix":""},{"dropping-particle":"","family":"Schilp","given":"J","non-dropping-particle":"","parse-names":false,"suffix":""}],"editor":[{"dropping-particle":"","family":"P.","given":"Butala","non-dropping-particle":"","parse-names":false,"suffix":""},{"dropping-particle":"","family":"E.","given":"Govekar","non-dropping-particle":"","parse-names":false,"suffix":""},{"dropping-particle":"","family":"R.","given":"Vrabic","non-dropping-particle":"","parse-names":false,"suffix":""}],"id":"ITEM-1","issued":{"date-parts":[["2019"]]},"language":"English","note":"Cited By :6\n\nExport Date: 7 September 2021\n\nCorrespondence Address: Bank, L.; Fraunhofer IGCV, Provinostr. 52, Germany; email: lukas.bank@igcv.fraunhofer.de","page":"294-299","publisher":"Elsevier B.V.","publisher-place":"Fraunhofer IGCV, Fraunhofer Research Institution for Casting, Composite and Processing Technology IGCV, Provinostr. 52, Augsburg, 86153, Germany","title":"Comparison of simulation-based and optimization-based energy flexible production planning","type":"paper-conference","volume":"81"},"uris":["http://www.mendeley.com/documents/?uuid=d5e94a70-9c4b-4417-8cbd-b4ef169dea2f"]},{"id":"ITEM-2","itemData":{"DOI":"10.1109/ICIT46573.2021.9453652","ISBN":"9781728157306 (ISBN)","abstract":"It is vital to conduct the evaluation of industrial energy flexibility potential to provide knowledge to relevant market players about the energy potential with economic gain through unlocking flexibility. This paper applies a scoping review methodology and presents the findings for uncovering industrial energy flexibility. The scoping review was conducted in the last quarter of 2019, and 855 publications were found through related databases. Through a systematic quantitative and qualitative review, 26 essential publications fulfill the criteria. The result indicates that the field of evaluating the potential of industrial energy flexibility is matured with an increasing research interest. Meanwhile, the results reveal a tendency to focus on evaluating the potentials in a single process within the industrial facility. Furthermore, the result indicates that optimization is the main evaluation method. Based on the scoping review analysis and results, it was found that there is a gap between the evaluation of energy flexibility and the impact on the production flow. Hence, there is a need to focus on solutions that promote a holistic view of the production flow. Through holistic solutions, it is possible to access to which extent introducing energy flexibility measures may propagate through the production system. This can be achieved through simulation-based solutions that also promote solution validation. © 2021 IEEE.","author":[{"dropping-particle":"","family":"Howard","given":"D A","non-dropping-particle":"","parse-names":false,"suffix":""},{"dropping-particle":"","family":"Ma","given":"Z","non-dropping-particle":"","parse-names":false,"suffix":""},{"dropping-particle":"","family":"Jorgensen","given":"B N","non-dropping-particle":"","parse-names":false,"suffix":""}],"id":"ITEM-2","issued":{"date-parts":[["2021"]]},"language":"English","note":"Export Date: 7 September 2021\n\nCODEN: 85RSA","page":"1074-1079","publisher":"Institute of Electrical and Electronics Engineers Inc.","publisher-place":"University of Southern Denmark, Maersk Mc-Kinney Moller Institute, Odense, Denmark","title":"Evaluation of Industrial Energy Flexibility Potential: A Scoping Review","type":"paper-conference","volume":"2021-March"},"uris":["http://www.mendeley.com/documents/?uuid=b892e7c3-b7ba-49d1-b468-9fc1a2c279c2"]}],"mendeley":{"formattedCitation":"(Bank et al., 2019; Howard et al., 2021)","plainTextFormattedCitation":"(Bank et al., 2019; Howard et al., 2021)","previouslyFormattedCitation":"(Bank et al., 2019; Howard et al., 2021)"},"properties":{"noteIndex":0},"schema":"https://github.com/citation-style-language/schema/raw/master/csl-citation.json"}</w:instrText>
      </w:r>
      <w:r>
        <w:fldChar w:fldCharType="separate"/>
      </w:r>
      <w:r w:rsidR="00344684" w:rsidRPr="493E0FCE">
        <w:rPr>
          <w:noProof/>
        </w:rPr>
        <w:t xml:space="preserve">(Bank </w:t>
      </w:r>
      <w:r w:rsidR="00344684" w:rsidRPr="00A71718">
        <w:rPr>
          <w:i/>
          <w:iCs/>
          <w:noProof/>
        </w:rPr>
        <w:t>et al</w:t>
      </w:r>
      <w:r w:rsidR="00344684" w:rsidRPr="493E0FCE">
        <w:rPr>
          <w:noProof/>
        </w:rPr>
        <w:t xml:space="preserve">., 2019; Howard </w:t>
      </w:r>
      <w:r w:rsidR="00344684" w:rsidRPr="00A71718">
        <w:rPr>
          <w:i/>
          <w:iCs/>
          <w:noProof/>
        </w:rPr>
        <w:t>et al</w:t>
      </w:r>
      <w:r w:rsidR="00344684" w:rsidRPr="493E0FCE">
        <w:rPr>
          <w:noProof/>
        </w:rPr>
        <w:t>., 2021)</w:t>
      </w:r>
      <w:r>
        <w:fldChar w:fldCharType="end"/>
      </w:r>
      <w:r w:rsidR="0001590B">
        <w:t>.</w:t>
      </w:r>
      <w:r>
        <w:t xml:space="preserve"> </w:t>
      </w:r>
      <w:r w:rsidR="0001590B">
        <w:t xml:space="preserve">Simulation and </w:t>
      </w:r>
      <w:r w:rsidR="003D6F03">
        <w:t>digital twin</w:t>
      </w:r>
      <w:r w:rsidR="0001590B">
        <w:t xml:space="preserve"> </w:t>
      </w:r>
      <w:r w:rsidR="0001590B" w:rsidRPr="00AC7933">
        <w:lastRenderedPageBreak/>
        <w:t>approaches</w:t>
      </w:r>
      <w:r w:rsidR="003D6F03" w:rsidRPr="00AC7933">
        <w:t xml:space="preserve"> provide </w:t>
      </w:r>
      <w:r w:rsidR="00DC52B1" w:rsidRPr="00AC7933">
        <w:t>alternatives focused on operability</w:t>
      </w:r>
      <w:r w:rsidR="00385FC6" w:rsidRPr="00AC7933">
        <w:t>, thought to be more conducive to practical application.</w:t>
      </w:r>
    </w:p>
    <w:p w14:paraId="3A27F8DA" w14:textId="44829B5F" w:rsidR="007B2A2C" w:rsidRDefault="001356B2" w:rsidP="001356B2">
      <w:pPr>
        <w:pStyle w:val="Els-body-text"/>
        <w:spacing w:before="240"/>
      </w:pPr>
      <w:r>
        <w:t xml:space="preserve">This paper presents a </w:t>
      </w:r>
      <w:r w:rsidR="008520E7">
        <w:t xml:space="preserve">novel </w:t>
      </w:r>
      <w:r>
        <w:t>simulation-based approach for energy flexible scheduling of multi-energy process systems, with a focus on biomass-electricity hybrid utility systems.</w:t>
      </w:r>
      <w:r w:rsidR="00243A80">
        <w:t xml:space="preserve"> </w:t>
      </w:r>
      <w:r w:rsidR="00F9403F" w:rsidRPr="00F9403F">
        <w:t>Research on biomass-electric energy systems is also lacking.</w:t>
      </w:r>
      <w:r>
        <w:t xml:space="preserve"> A model of the system is developed with scenario-based evaluation conducted for applications to design, retrofit and operations. Case studies considered are dairy processing plants in </w:t>
      </w:r>
      <w:r w:rsidR="34259ABF">
        <w:t>NZ</w:t>
      </w:r>
      <w:r>
        <w:t xml:space="preserve"> of </w:t>
      </w:r>
      <w:r w:rsidR="00353AE6">
        <w:t>various magnitudes of energy demand</w:t>
      </w:r>
      <w:r>
        <w:t xml:space="preserve">. </w:t>
      </w:r>
    </w:p>
    <w:p w14:paraId="144DE699" w14:textId="5012717A" w:rsidR="008D2649" w:rsidRDefault="007D2E15" w:rsidP="008D2649">
      <w:pPr>
        <w:pStyle w:val="Els-1storder-head"/>
      </w:pPr>
      <w:r>
        <w:t>Approach</w:t>
      </w:r>
    </w:p>
    <w:p w14:paraId="144DE69A" w14:textId="04B7974C" w:rsidR="008D2649" w:rsidRDefault="00BE4B4A" w:rsidP="008D2649">
      <w:pPr>
        <w:pStyle w:val="Els-2ndorder-head"/>
      </w:pPr>
      <w:r>
        <w:t>Hybrid utility system</w:t>
      </w:r>
    </w:p>
    <w:p w14:paraId="0685CF95" w14:textId="39B0521A" w:rsidR="002772DF" w:rsidRDefault="002772DF" w:rsidP="002772DF">
      <w:pPr>
        <w:jc w:val="both"/>
      </w:pPr>
      <w:r>
        <w:t>The chosen system consists of an electric boiler (</w:t>
      </w:r>
      <w:r w:rsidRPr="00712FBA">
        <w:t>EB) and a biomass boiler (BB</w:t>
      </w:r>
      <w:r w:rsidRPr="00F012FC">
        <w:t xml:space="preserve">), working in tandem to produce steam to meet the site’s required demand. </w:t>
      </w:r>
      <w:r w:rsidR="00162591" w:rsidRPr="00F012FC">
        <w:t>A</w:t>
      </w:r>
      <w:r w:rsidRPr="00F012FC">
        <w:t xml:space="preserve"> uniform steam demand is considered throughout this work</w:t>
      </w:r>
      <w:r w:rsidR="00162591" w:rsidRPr="00F012FC">
        <w:t xml:space="preserve">, but non-uniform steam demands can be </w:t>
      </w:r>
      <w:r w:rsidR="00F012FC" w:rsidRPr="00F012FC">
        <w:t>managed</w:t>
      </w:r>
      <w:r w:rsidRPr="00F012FC">
        <w:t>.  The key boiler parameters are outlined in Table 1.</w:t>
      </w:r>
      <w:r w:rsidR="0479BC35" w:rsidRPr="00F012FC">
        <w:t xml:space="preserve"> </w:t>
      </w:r>
      <w:r w:rsidRPr="00F012FC">
        <w:t xml:space="preserve"> The boilers are not allowed to tur</w:t>
      </w:r>
      <w:r w:rsidRPr="00712FBA">
        <w:t>n off, to avoid concerns associated with start</w:t>
      </w:r>
      <w:r w:rsidR="34A9CCE1" w:rsidRPr="00712FBA">
        <w:t>-</w:t>
      </w:r>
      <w:r w:rsidRPr="00712FBA">
        <w:t>up (e.g., cold starts). It has</w:t>
      </w:r>
      <w:r>
        <w:t xml:space="preserve"> also been noted that in practice, biomass boilers should not operate below 40% of their maximum duty</w:t>
      </w:r>
      <w:r w:rsidR="009C0411">
        <w:t xml:space="preserve"> </w:t>
      </w:r>
      <w:r>
        <w:fldChar w:fldCharType="begin" w:fldLock="1"/>
      </w:r>
      <w:r>
        <w:instrText>ADDIN CSL_CITATION {"citationItems":[{"id":"ITEM-1","itemData":{"DOI":"10.1016/j.prime.2021.100023","ISSN":"27726711","abstract":"The rapid growth of intermittent renewable energy for electricity production brings a huge challenge to keep the balance between supply and demand in power systems, which further raises the need of flexibility. It has been well recognized that combined heat and power plants (CHPs) can play an important role in the provision of flexibility, due to their ability to switch the production between electricity and heat. However, there still lacks a comprehensive review about the flexibility provided by individual technologies involved in CHPs, which hinders the exploration of the capability of CHPs. In addition, new technologies and technology couplings have been proposed and adopted to further improve the flexibility in CHPs. This review aims to characterize the flexibility features of technologies that have been adopted or can be adopted by CHPs. Ramp rate, operation range, and power capacity are selected as key performance indicators for assessing technologies for providing flexibility services. Based on the collected result, suggestions are provided regarding the selection of technologies to enhance the flexibility provided by CHPs.","author":[{"dropping-particle":"","family":"Salman","given":"Chaudhary Awais","non-dropping-particle":"","parse-names":false,"suffix":""},{"dropping-particle":"","family":"Li","given":"Hailong","non-dropping-particle":"","parse-names":false,"suffix":""},{"dropping-particle":"","family":"Li","given":"Peng","non-dropping-particle":"","parse-names":false,"suffix":""},{"dropping-particle":"","family":"Yan","given":"Jinyue","non-dropping-particle":"","parse-names":false,"suffix":""}],"container-title":"e-Prime - Advances in Electrical Engineering, Electronics and Energy","id":"ITEM-1","issue":"August","issued":{"date-parts":[["2021"]]},"page":"100023","publisher":"Elsevier Ltd","title":"Improve the flexibility provided by combined heat and power plants (CHPs) – a review of potential technologies","type":"article-journal","volume":"1"},"uris":["http://www.mendeley.com/documents/?uuid=40b5a725-6c1d-4a80-ac39-ca98bf3b69e7"]}],"mendeley":{"formattedCitation":"(Salman et al., 2021)","plainTextFormattedCitation":"(Salman et al., 2021)","previouslyFormattedCitation":"(Salman et al., 2021)"},"properties":{"noteIndex":0},"schema":"https://github.com/citation-style-language/schema/raw/master/csl-citation.json"}</w:instrText>
      </w:r>
      <w:r>
        <w:fldChar w:fldCharType="separate"/>
      </w:r>
      <w:r w:rsidR="009C0411" w:rsidRPr="493E0FCE">
        <w:rPr>
          <w:noProof/>
        </w:rPr>
        <w:t xml:space="preserve">(Salman </w:t>
      </w:r>
      <w:r w:rsidR="009C0411" w:rsidRPr="00CC577F">
        <w:rPr>
          <w:i/>
          <w:iCs/>
          <w:noProof/>
        </w:rPr>
        <w:t>et al</w:t>
      </w:r>
      <w:r w:rsidR="009C0411" w:rsidRPr="493E0FCE">
        <w:rPr>
          <w:noProof/>
        </w:rPr>
        <w:t>., 2021)</w:t>
      </w:r>
      <w:r>
        <w:fldChar w:fldCharType="end"/>
      </w:r>
      <w:r>
        <w:t>, hence the minimum operating limit specified.</w:t>
      </w:r>
      <w:r w:rsidR="00AF6982">
        <w:t xml:space="preserve"> </w:t>
      </w:r>
      <w:r>
        <w:t xml:space="preserve">The scheduler is responsible for determining the set points for the boilers’ duties, based on the system’s state and various demand response regimes. </w:t>
      </w:r>
      <w:r w:rsidR="007D73AF">
        <w:t>In this paper, h</w:t>
      </w:r>
      <w:r>
        <w:t xml:space="preserve">istorical data of wholesale electricity prices </w:t>
      </w:r>
      <w:r w:rsidR="00676DD3">
        <w:t>is</w:t>
      </w:r>
      <w:r>
        <w:t xml:space="preserve"> provided to the scheduler to aid in decision making</w:t>
      </w:r>
      <w:r w:rsidR="007D73AF">
        <w:t>, as opposed to inclusion of a forecasting model</w:t>
      </w:r>
      <w:r w:rsidR="00B01060">
        <w:t>.</w:t>
      </w:r>
      <w:r>
        <w:t xml:space="preserve"> The price of biomass is assumed to be a fixed value</w:t>
      </w:r>
      <w:r w:rsidR="006625DE">
        <w:t xml:space="preserve"> due to stability</w:t>
      </w:r>
      <w:r>
        <w:t>.</w:t>
      </w:r>
    </w:p>
    <w:p w14:paraId="6FA0BFA2" w14:textId="09ED4880" w:rsidR="004B1E9D" w:rsidRDefault="00FE395C" w:rsidP="004B1E9D">
      <w:pPr>
        <w:pStyle w:val="Caption"/>
        <w:jc w:val="center"/>
      </w:pPr>
      <w:r>
        <w:rPr>
          <w:noProof/>
          <w:sz w:val="16"/>
          <w:szCs w:val="16"/>
          <w:lang w:val="en-GB"/>
        </w:rPr>
        <w:drawing>
          <wp:inline distT="0" distB="0" distL="0" distR="0" wp14:anchorId="6F030E65" wp14:editId="18D99E2F">
            <wp:extent cx="3423513" cy="1412694"/>
            <wp:effectExtent l="0" t="0" r="5715" b="0"/>
            <wp:docPr id="1520341493" name="Picture 1520341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341493" name="Picture 152034149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52814" cy="1424785"/>
                    </a:xfrm>
                    <a:prstGeom prst="rect">
                      <a:avLst/>
                    </a:prstGeom>
                  </pic:spPr>
                </pic:pic>
              </a:graphicData>
            </a:graphic>
          </wp:inline>
        </w:drawing>
      </w:r>
    </w:p>
    <w:p w14:paraId="04E4A9AF" w14:textId="2C9B782F" w:rsidR="004B1E9D" w:rsidRPr="002506C3" w:rsidRDefault="004B1E9D" w:rsidP="004B1E9D">
      <w:pPr>
        <w:pStyle w:val="Caption"/>
        <w:jc w:val="center"/>
      </w:pPr>
      <w:r>
        <w:t xml:space="preserve"> Figure </w:t>
      </w:r>
      <w:r w:rsidRPr="493E0FCE">
        <w:fldChar w:fldCharType="begin"/>
      </w:r>
      <w:r>
        <w:instrText xml:space="preserve"> SEQ Figure \* ARABIC </w:instrText>
      </w:r>
      <w:r w:rsidRPr="493E0FCE">
        <w:fldChar w:fldCharType="separate"/>
      </w:r>
      <w:r w:rsidR="0061244E" w:rsidRPr="493E0FCE">
        <w:rPr>
          <w:noProof/>
        </w:rPr>
        <w:t>1</w:t>
      </w:r>
      <w:r w:rsidRPr="493E0FCE">
        <w:rPr>
          <w:noProof/>
        </w:rPr>
        <w:fldChar w:fldCharType="end"/>
      </w:r>
      <w:r>
        <w:t xml:space="preserve"> </w:t>
      </w:r>
      <w:r w:rsidR="001F4CDB">
        <w:t>–</w:t>
      </w:r>
      <w:r>
        <w:t xml:space="preserve"> </w:t>
      </w:r>
      <w:r w:rsidR="001F4CDB">
        <w:t xml:space="preserve">Hybrid </w:t>
      </w:r>
      <w:r w:rsidR="00C15F86">
        <w:t>utility s</w:t>
      </w:r>
      <w:r>
        <w:t>ystem diagram</w:t>
      </w:r>
    </w:p>
    <w:p w14:paraId="7E021627" w14:textId="133FD958" w:rsidR="004B1E9D" w:rsidRDefault="004B1E9D" w:rsidP="00962606">
      <w:pPr>
        <w:spacing w:line="259" w:lineRule="auto"/>
        <w:jc w:val="both"/>
      </w:pPr>
      <w:r>
        <w:t xml:space="preserve">A multiple steady state approach is taken, meaning that the system </w:t>
      </w:r>
      <w:r w:rsidRPr="00974DF7">
        <w:t>variables, such as duty, change instantly at each time step</w:t>
      </w:r>
      <w:r w:rsidRPr="00977600">
        <w:t>, thus not being a ‘true’ dynamic model. This was chosen to align with process scheduling, where set points of process variables are determined for the system to be driven towards by process control</w:t>
      </w:r>
      <w:r w:rsidR="000C4F68" w:rsidRPr="00977600">
        <w:t xml:space="preserve"> </w:t>
      </w:r>
      <w:r w:rsidRPr="00977600">
        <w:fldChar w:fldCharType="begin" w:fldLock="1"/>
      </w:r>
      <w:r w:rsidRPr="00977600">
        <w:instrText>ADDIN CSL_CITATION {"citationItems":[{"id":"ITEM-1","itemData":{"DOI":"10.1002/aic.17741","ISSN":"15475905","abstract":"Increasingly volatile electricity prices make simultaneous scheduling optimization desirable for production processes and their energy systems. Simultaneous scheduling needs to account for both process dynamics and binary on/off-decisions in the energy system leading to challenging mixed-integer dynamic optimization problems. We propose an efficient scheduling formulation consisting of three parts: a linear scale-bridging model for the closed-loop process output dynamics, a data-driven model for the process energy demand, and a mixed-integer linear model for the energy system. Process dynamics is discretized by collocation yielding a mixed-integer linear programming (MILP) formulation. We apply the scheduling method to three case studies: a multiproduct reactor, a single-product reactor, and a single-product distillation column, demonstrating the applicability to multiple input multiple output processes. For the first two case studies, we can compare our approach to nonlinear optimization and capture 82% and 95% of the improvement. The MILP formulation achieves optimization runtimes sufficiently fast for real-time scheduling.","author":[{"dropping-particle":"","family":"Baader","given":"Florian Joseph","non-dropping-particle":"","parse-names":false,"suffix":""},{"dropping-particle":"","family":"Bardow","given":"André","non-dropping-particle":"","parse-names":false,"suffix":""},{"dropping-particle":"","family":"Dahmen","given":"Manuel","non-dropping-particle":"","parse-names":false,"suffix":""}],"container-title":"AIChE Journal","id":"ITEM-1","issue":"8","issued":{"date-parts":[["2022"]]},"page":"1-19","title":"Simultaneous mixed-integer dynamic scheduling of processes and their energy systems","type":"article-journal","volume":"68"},"uris":["http://www.mendeley.com/documents/?uuid=72d51dca-dbe9-4b20-af0c-5225e4988041"]}],"mendeley":{"formattedCitation":"(Baader et al., 2022)","plainTextFormattedCitation":"(Baader et al., 2022)","previouslyFormattedCitation":"(Baader et al., 2022)"},"properties":{"noteIndex":0},"schema":"https://github.com/citation-style-language/schema/raw/master/csl-citation.json"}</w:instrText>
      </w:r>
      <w:r w:rsidRPr="00977600">
        <w:fldChar w:fldCharType="separate"/>
      </w:r>
      <w:r w:rsidR="00C65C20" w:rsidRPr="00977600">
        <w:rPr>
          <w:noProof/>
        </w:rPr>
        <w:t xml:space="preserve">(Baader </w:t>
      </w:r>
      <w:r w:rsidR="00C65C20" w:rsidRPr="00977600">
        <w:rPr>
          <w:i/>
          <w:iCs/>
          <w:noProof/>
        </w:rPr>
        <w:t>et al</w:t>
      </w:r>
      <w:r w:rsidR="00C65C20" w:rsidRPr="00977600">
        <w:rPr>
          <w:noProof/>
        </w:rPr>
        <w:t>., 2022)</w:t>
      </w:r>
      <w:r w:rsidRPr="00977600">
        <w:fldChar w:fldCharType="end"/>
      </w:r>
      <w:r w:rsidRPr="00977600">
        <w:t>. The exclusion of boiler start-up also satisfies this approach. A temporal fidelity of 30</w:t>
      </w:r>
      <w:r w:rsidR="33719151" w:rsidRPr="00977600">
        <w:t>-</w:t>
      </w:r>
      <w:r w:rsidRPr="00977600">
        <w:t xml:space="preserve">minute time steps </w:t>
      </w:r>
      <w:r w:rsidR="77F8DAC4" w:rsidRPr="00977600">
        <w:t>wa</w:t>
      </w:r>
      <w:r w:rsidRPr="00977600">
        <w:t xml:space="preserve">s chosen </w:t>
      </w:r>
      <w:r w:rsidR="005B012A" w:rsidRPr="00977600">
        <w:t>as it is</w:t>
      </w:r>
      <w:r w:rsidRPr="00977600">
        <w:t xml:space="preserve"> thought to be more practical, ruling out rapid changes in duty</w:t>
      </w:r>
      <w:r>
        <w:t>, and be more conducive to implementation in industrial practice.</w:t>
      </w:r>
    </w:p>
    <w:p w14:paraId="2DBBFFD5" w14:textId="77777777" w:rsidR="00260EFA" w:rsidRDefault="00260EFA" w:rsidP="00962606">
      <w:pPr>
        <w:spacing w:line="259" w:lineRule="auto"/>
        <w:jc w:val="both"/>
      </w:pPr>
    </w:p>
    <w:p w14:paraId="13ACBDA4" w14:textId="628EC8C4" w:rsidR="004B1E9D" w:rsidRDefault="004B1E9D" w:rsidP="004B1E9D">
      <w:pPr>
        <w:pStyle w:val="Caption"/>
        <w:keepNext/>
      </w:pPr>
      <w:r>
        <w:t xml:space="preserve">Table </w:t>
      </w:r>
      <w:r>
        <w:fldChar w:fldCharType="begin"/>
      </w:r>
      <w:r>
        <w:instrText xml:space="preserve"> SEQ Table \* ARABIC </w:instrText>
      </w:r>
      <w:r>
        <w:fldChar w:fldCharType="separate"/>
      </w:r>
      <w:r w:rsidR="00A913A3">
        <w:rPr>
          <w:noProof/>
        </w:rPr>
        <w:t>1</w:t>
      </w:r>
      <w:r>
        <w:fldChar w:fldCharType="end"/>
      </w:r>
      <w:r>
        <w:t xml:space="preserve"> </w:t>
      </w:r>
      <w:r w:rsidR="00B01060">
        <w:t>–</w:t>
      </w:r>
      <w:r>
        <w:t xml:space="preserve"> </w:t>
      </w:r>
      <w:r w:rsidR="00B01060">
        <w:t>Key b</w:t>
      </w:r>
      <w:r>
        <w:t>oiler parameters</w:t>
      </w:r>
      <w:r w:rsidR="00C52CD6">
        <w:t xml:space="preserve"> for simulation</w:t>
      </w:r>
    </w:p>
    <w:tbl>
      <w:tblPr>
        <w:tblStyle w:val="TableGrid"/>
        <w:tblW w:w="7077" w:type="dxa"/>
        <w:tblLook w:val="04A0" w:firstRow="1" w:lastRow="0" w:firstColumn="1" w:lastColumn="0" w:noHBand="0" w:noVBand="1"/>
      </w:tblPr>
      <w:tblGrid>
        <w:gridCol w:w="3114"/>
        <w:gridCol w:w="1984"/>
        <w:gridCol w:w="1979"/>
      </w:tblGrid>
      <w:tr w:rsidR="001F6334" w14:paraId="00685D93" w14:textId="77777777" w:rsidTr="006903A3">
        <w:tc>
          <w:tcPr>
            <w:tcW w:w="3114" w:type="dxa"/>
            <w:tcBorders>
              <w:top w:val="single" w:sz="4" w:space="0" w:color="000000" w:themeColor="text1"/>
              <w:left w:val="single" w:sz="4" w:space="0" w:color="FFFFFF" w:themeColor="background1"/>
              <w:right w:val="single" w:sz="4" w:space="0" w:color="FFFFFF" w:themeColor="background1"/>
            </w:tcBorders>
          </w:tcPr>
          <w:p w14:paraId="64F3F0A7" w14:textId="77777777" w:rsidR="004B1E9D" w:rsidRPr="00F376F1" w:rsidRDefault="004B1E9D" w:rsidP="001B027B">
            <w:pPr>
              <w:jc w:val="both"/>
              <w:rPr>
                <w:rFonts w:ascii="Times New Roman" w:hAnsi="Times New Roman" w:cs="Times New Roman"/>
                <w:sz w:val="20"/>
                <w:szCs w:val="20"/>
              </w:rPr>
            </w:pPr>
          </w:p>
        </w:tc>
        <w:tc>
          <w:tcPr>
            <w:tcW w:w="1984" w:type="dxa"/>
            <w:tcBorders>
              <w:top w:val="single" w:sz="4" w:space="0" w:color="000000" w:themeColor="text1"/>
              <w:left w:val="single" w:sz="4" w:space="0" w:color="FFFFFF" w:themeColor="background1"/>
              <w:right w:val="single" w:sz="4" w:space="0" w:color="FFFFFF" w:themeColor="background1"/>
            </w:tcBorders>
          </w:tcPr>
          <w:p w14:paraId="7D6419B8" w14:textId="056C4E49" w:rsidR="004B1E9D" w:rsidRPr="00F376F1" w:rsidRDefault="004B1E9D" w:rsidP="001B027B">
            <w:pPr>
              <w:jc w:val="both"/>
              <w:rPr>
                <w:rFonts w:ascii="Times New Roman" w:hAnsi="Times New Roman" w:cs="Times New Roman"/>
                <w:b/>
                <w:bCs/>
                <w:sz w:val="20"/>
                <w:szCs w:val="20"/>
              </w:rPr>
            </w:pPr>
            <w:r w:rsidRPr="00F376F1">
              <w:rPr>
                <w:rFonts w:ascii="Times New Roman" w:hAnsi="Times New Roman" w:cs="Times New Roman"/>
                <w:b/>
                <w:bCs/>
                <w:sz w:val="20"/>
                <w:szCs w:val="20"/>
              </w:rPr>
              <w:t xml:space="preserve">Biomass </w:t>
            </w:r>
            <w:r w:rsidRPr="0F62F3E1">
              <w:rPr>
                <w:rFonts w:ascii="Times New Roman" w:hAnsi="Times New Roman" w:cs="Times New Roman"/>
                <w:b/>
                <w:bCs/>
                <w:sz w:val="20"/>
                <w:szCs w:val="20"/>
              </w:rPr>
              <w:t>boiler</w:t>
            </w:r>
            <w:r w:rsidR="49DF28B0" w:rsidRPr="0F62F3E1">
              <w:rPr>
                <w:rFonts w:ascii="Times New Roman" w:hAnsi="Times New Roman" w:cs="Times New Roman"/>
                <w:b/>
                <w:bCs/>
                <w:sz w:val="20"/>
                <w:szCs w:val="20"/>
              </w:rPr>
              <w:t xml:space="preserve"> (BB)</w:t>
            </w:r>
          </w:p>
        </w:tc>
        <w:tc>
          <w:tcPr>
            <w:tcW w:w="1979" w:type="dxa"/>
            <w:tcBorders>
              <w:top w:val="single" w:sz="4" w:space="0" w:color="000000" w:themeColor="text1"/>
              <w:left w:val="single" w:sz="4" w:space="0" w:color="FFFFFF" w:themeColor="background1"/>
              <w:right w:val="single" w:sz="4" w:space="0" w:color="FFFFFF" w:themeColor="background1"/>
            </w:tcBorders>
          </w:tcPr>
          <w:p w14:paraId="043BACFF" w14:textId="3F2B0260" w:rsidR="004B1E9D" w:rsidRPr="00F376F1" w:rsidRDefault="004B1E9D" w:rsidP="001B027B">
            <w:pPr>
              <w:jc w:val="both"/>
              <w:rPr>
                <w:rFonts w:ascii="Times New Roman" w:hAnsi="Times New Roman" w:cs="Times New Roman"/>
                <w:b/>
                <w:bCs/>
                <w:sz w:val="20"/>
                <w:szCs w:val="20"/>
              </w:rPr>
            </w:pPr>
            <w:r w:rsidRPr="00F376F1">
              <w:rPr>
                <w:rFonts w:ascii="Times New Roman" w:hAnsi="Times New Roman" w:cs="Times New Roman"/>
                <w:b/>
                <w:bCs/>
                <w:sz w:val="20"/>
                <w:szCs w:val="20"/>
              </w:rPr>
              <w:t xml:space="preserve">Electric </w:t>
            </w:r>
            <w:r w:rsidRPr="0F62F3E1">
              <w:rPr>
                <w:rFonts w:ascii="Times New Roman" w:hAnsi="Times New Roman" w:cs="Times New Roman"/>
                <w:b/>
                <w:bCs/>
                <w:sz w:val="20"/>
                <w:szCs w:val="20"/>
              </w:rPr>
              <w:t>boiler</w:t>
            </w:r>
            <w:r w:rsidR="5CD7FC95" w:rsidRPr="0F62F3E1">
              <w:rPr>
                <w:rFonts w:ascii="Times New Roman" w:hAnsi="Times New Roman" w:cs="Times New Roman"/>
                <w:b/>
                <w:bCs/>
                <w:sz w:val="20"/>
                <w:szCs w:val="20"/>
              </w:rPr>
              <w:t xml:space="preserve"> (EB)</w:t>
            </w:r>
          </w:p>
        </w:tc>
      </w:tr>
      <w:tr w:rsidR="001F6334" w14:paraId="0F4D567B" w14:textId="77777777" w:rsidTr="006903A3">
        <w:tc>
          <w:tcPr>
            <w:tcW w:w="3114" w:type="dxa"/>
            <w:tcBorders>
              <w:left w:val="single" w:sz="4" w:space="0" w:color="FFFFFF" w:themeColor="background1"/>
              <w:bottom w:val="single" w:sz="4" w:space="0" w:color="FFFFFF" w:themeColor="background1"/>
              <w:right w:val="single" w:sz="4" w:space="0" w:color="FFFFFF" w:themeColor="background1"/>
            </w:tcBorders>
          </w:tcPr>
          <w:p w14:paraId="3EDA86F3" w14:textId="548CB61A" w:rsidR="004B1E9D" w:rsidRPr="00F376F1" w:rsidRDefault="004B1E9D" w:rsidP="001B027B">
            <w:pPr>
              <w:jc w:val="both"/>
              <w:rPr>
                <w:rFonts w:ascii="Times New Roman" w:hAnsi="Times New Roman" w:cs="Times New Roman"/>
                <w:b/>
                <w:bCs/>
                <w:sz w:val="20"/>
                <w:szCs w:val="20"/>
              </w:rPr>
            </w:pPr>
            <w:r w:rsidRPr="00F376F1">
              <w:rPr>
                <w:rFonts w:ascii="Times New Roman" w:hAnsi="Times New Roman" w:cs="Times New Roman"/>
                <w:b/>
                <w:bCs/>
                <w:sz w:val="20"/>
                <w:szCs w:val="20"/>
              </w:rPr>
              <w:t>Thermal efficiency</w:t>
            </w:r>
            <w:r w:rsidR="00FB3ACC">
              <w:rPr>
                <w:rFonts w:ascii="Times New Roman" w:hAnsi="Times New Roman" w:cs="Times New Roman"/>
                <w:b/>
                <w:bCs/>
                <w:sz w:val="20"/>
                <w:szCs w:val="20"/>
              </w:rPr>
              <w:t xml:space="preserve"> </w:t>
            </w:r>
            <w:r w:rsidR="002514C3">
              <w:rPr>
                <w:b/>
                <w:bCs/>
              </w:rPr>
              <w:fldChar w:fldCharType="begin" w:fldLock="1"/>
            </w:r>
            <w:r w:rsidR="00095E6A">
              <w:rPr>
                <w:rFonts w:ascii="Times New Roman" w:hAnsi="Times New Roman" w:cs="Times New Roman"/>
                <w:b/>
                <w:bCs/>
                <w:sz w:val="20"/>
                <w:szCs w:val="20"/>
              </w:rPr>
              <w:instrText>ADDIN CSL_CITATION {"citationItems":[{"id":"ITEM-1","itemData":{"author":[{"dropping-particle":"","family":"EECA","given":"","non-dropping-particle":"","parse-names":false,"suffix":""}],"id":"ITEM-1","issued":{"date-parts":[["2019"]]},"title":"Electrode and Electric Resistance Steam Generators and Hot Water Heaters for low carbon process heating","type":"article-journal"},"uris":["http://www.mendeley.com/documents/?uuid=737b74a4-7cc3-43ef-b0a3-54d03b979005"]}],"mendeley":{"formattedCitation":"(EECA, 2019)","plainTextFormattedCitation":"(EECA, 2019)","previouslyFormattedCitation":"(EECA, 2019)"},"properties":{"noteIndex":0},"schema":"https://github.com/citation-style-language/schema/raw/master/csl-citation.json"}</w:instrText>
            </w:r>
            <w:r w:rsidR="002514C3">
              <w:rPr>
                <w:b/>
                <w:bCs/>
              </w:rPr>
              <w:fldChar w:fldCharType="separate"/>
            </w:r>
            <w:r w:rsidR="002514C3" w:rsidRPr="002514C3">
              <w:rPr>
                <w:rFonts w:ascii="Times New Roman" w:hAnsi="Times New Roman" w:cs="Times New Roman"/>
                <w:bCs/>
                <w:noProof/>
                <w:sz w:val="20"/>
                <w:szCs w:val="20"/>
              </w:rPr>
              <w:t>(EECA, 2019)</w:t>
            </w:r>
            <w:r w:rsidR="002514C3">
              <w:rPr>
                <w:b/>
                <w:bCs/>
              </w:rPr>
              <w:fldChar w:fldCharType="end"/>
            </w:r>
          </w:p>
        </w:tc>
        <w:tc>
          <w:tcPr>
            <w:tcW w:w="1984" w:type="dxa"/>
            <w:tcBorders>
              <w:left w:val="single" w:sz="4" w:space="0" w:color="FFFFFF" w:themeColor="background1"/>
              <w:bottom w:val="single" w:sz="4" w:space="0" w:color="FFFFFF" w:themeColor="background1"/>
              <w:right w:val="single" w:sz="4" w:space="0" w:color="FFFFFF" w:themeColor="background1"/>
            </w:tcBorders>
          </w:tcPr>
          <w:p w14:paraId="6077FB1C" w14:textId="77777777" w:rsidR="004B1E9D" w:rsidRPr="00F376F1" w:rsidRDefault="004B1E9D" w:rsidP="006903A3">
            <w:pPr>
              <w:jc w:val="center"/>
              <w:rPr>
                <w:rFonts w:ascii="Times New Roman" w:hAnsi="Times New Roman" w:cs="Times New Roman"/>
                <w:sz w:val="20"/>
                <w:szCs w:val="20"/>
              </w:rPr>
            </w:pPr>
            <w:r w:rsidRPr="00F376F1">
              <w:rPr>
                <w:rFonts w:ascii="Times New Roman" w:hAnsi="Times New Roman" w:cs="Times New Roman"/>
                <w:sz w:val="20"/>
                <w:szCs w:val="20"/>
              </w:rPr>
              <w:t>90%</w:t>
            </w:r>
          </w:p>
        </w:tc>
        <w:tc>
          <w:tcPr>
            <w:tcW w:w="1979" w:type="dxa"/>
            <w:tcBorders>
              <w:left w:val="single" w:sz="4" w:space="0" w:color="FFFFFF" w:themeColor="background1"/>
              <w:bottom w:val="single" w:sz="4" w:space="0" w:color="FFFFFF" w:themeColor="background1"/>
              <w:right w:val="single" w:sz="4" w:space="0" w:color="FFFFFF" w:themeColor="background1"/>
            </w:tcBorders>
          </w:tcPr>
          <w:p w14:paraId="75E9396F" w14:textId="77777777" w:rsidR="004B1E9D" w:rsidRPr="00F376F1" w:rsidRDefault="004B1E9D" w:rsidP="006903A3">
            <w:pPr>
              <w:jc w:val="center"/>
              <w:rPr>
                <w:rFonts w:ascii="Times New Roman" w:hAnsi="Times New Roman" w:cs="Times New Roman"/>
                <w:sz w:val="20"/>
                <w:szCs w:val="20"/>
              </w:rPr>
            </w:pPr>
            <w:r w:rsidRPr="00F376F1">
              <w:rPr>
                <w:rFonts w:ascii="Times New Roman" w:hAnsi="Times New Roman" w:cs="Times New Roman"/>
                <w:sz w:val="20"/>
                <w:szCs w:val="20"/>
              </w:rPr>
              <w:t>98%</w:t>
            </w:r>
          </w:p>
        </w:tc>
      </w:tr>
      <w:tr w:rsidR="001F6334" w14:paraId="3F909DF3" w14:textId="77777777" w:rsidTr="006903A3">
        <w:tc>
          <w:tcPr>
            <w:tcW w:w="3114"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14:paraId="24FB699A" w14:textId="2E37A6C5" w:rsidR="004B1E9D" w:rsidRPr="00F376F1" w:rsidRDefault="00EB4924" w:rsidP="001B027B">
            <w:pPr>
              <w:jc w:val="both"/>
              <w:rPr>
                <w:rFonts w:ascii="Times New Roman" w:hAnsi="Times New Roman" w:cs="Times New Roman"/>
                <w:b/>
                <w:bCs/>
                <w:sz w:val="20"/>
                <w:szCs w:val="20"/>
              </w:rPr>
            </w:pPr>
            <w:r>
              <w:rPr>
                <w:rFonts w:ascii="Times New Roman" w:hAnsi="Times New Roman" w:cs="Times New Roman"/>
                <w:b/>
                <w:bCs/>
                <w:sz w:val="20"/>
                <w:szCs w:val="20"/>
              </w:rPr>
              <w:t>Allowable duty operating range</w:t>
            </w:r>
          </w:p>
        </w:tc>
        <w:tc>
          <w:tcPr>
            <w:tcW w:w="1984"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14:paraId="5C0F0645" w14:textId="77777777" w:rsidR="004B1E9D" w:rsidRPr="00F376F1" w:rsidRDefault="004B1E9D" w:rsidP="006903A3">
            <w:pPr>
              <w:jc w:val="center"/>
              <w:rPr>
                <w:rFonts w:ascii="Times New Roman" w:hAnsi="Times New Roman" w:cs="Times New Roman"/>
                <w:sz w:val="20"/>
                <w:szCs w:val="20"/>
              </w:rPr>
            </w:pPr>
            <w:r w:rsidRPr="00F376F1">
              <w:rPr>
                <w:rFonts w:ascii="Times New Roman" w:hAnsi="Times New Roman" w:cs="Times New Roman"/>
                <w:sz w:val="20"/>
                <w:szCs w:val="20"/>
              </w:rPr>
              <w:t>40% to 100%</w:t>
            </w:r>
          </w:p>
        </w:tc>
        <w:tc>
          <w:tcPr>
            <w:tcW w:w="1979"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14:paraId="4770704A" w14:textId="77777777" w:rsidR="004B1E9D" w:rsidRPr="00F376F1" w:rsidRDefault="004B1E9D" w:rsidP="006903A3">
            <w:pPr>
              <w:jc w:val="center"/>
              <w:rPr>
                <w:rFonts w:ascii="Times New Roman" w:hAnsi="Times New Roman" w:cs="Times New Roman"/>
                <w:sz w:val="20"/>
                <w:szCs w:val="20"/>
              </w:rPr>
            </w:pPr>
            <w:r w:rsidRPr="00F376F1">
              <w:rPr>
                <w:rFonts w:ascii="Times New Roman" w:hAnsi="Times New Roman" w:cs="Times New Roman"/>
                <w:sz w:val="20"/>
                <w:szCs w:val="20"/>
              </w:rPr>
              <w:t>10% to 100%</w:t>
            </w:r>
          </w:p>
        </w:tc>
      </w:tr>
    </w:tbl>
    <w:p w14:paraId="01C6F674" w14:textId="765D4D2D" w:rsidR="00597B8D" w:rsidRDefault="001F6334" w:rsidP="004B1E9D">
      <w:pPr>
        <w:spacing w:before="240"/>
        <w:jc w:val="both"/>
      </w:pPr>
      <w:bookmarkStart w:id="0" w:name="System_configurations"/>
      <w:r>
        <w:lastRenderedPageBreak/>
        <w:t xml:space="preserve">Two types of system configurations were considered. The first is where the BB and EB are equivalent in size, which shall be referred to as uniform configurations. The second, termed non-uniform configurations, </w:t>
      </w:r>
      <w:r w:rsidR="7542A527">
        <w:t>are</w:t>
      </w:r>
      <w:r>
        <w:t xml:space="preserve"> where the BB is sized so that it can meet the full site demand by itself (accounting for efficiency), and the size of the EB is a free variable. The non-uniform configuration is thought to be more practical for industry, providing a greater level of certainty on energy supply given the volatility of grid supply. </w:t>
      </w:r>
    </w:p>
    <w:bookmarkEnd w:id="0"/>
    <w:p w14:paraId="0CDF72E6" w14:textId="050136BC" w:rsidR="007D25A4" w:rsidRDefault="004B1E9D" w:rsidP="004B1E9D">
      <w:pPr>
        <w:spacing w:before="240"/>
        <w:jc w:val="both"/>
      </w:pPr>
      <w:r>
        <w:t xml:space="preserve">This system is digitally modelled in Python, with the CoolProp package used for thermodynamics. The model is further </w:t>
      </w:r>
      <w:r w:rsidR="3C5A924C">
        <w:t xml:space="preserve">verified </w:t>
      </w:r>
      <w:r>
        <w:t xml:space="preserve">using </w:t>
      </w:r>
      <w:r w:rsidR="6F6040E5">
        <w:t xml:space="preserve">an </w:t>
      </w:r>
      <w:r>
        <w:t>Aspen HYSYS</w:t>
      </w:r>
      <w:r w:rsidR="11C0D792">
        <w:t xml:space="preserve"> simulation of the system</w:t>
      </w:r>
      <w:r>
        <w:t>.</w:t>
      </w:r>
    </w:p>
    <w:p w14:paraId="144DE69D" w14:textId="245BA7EE" w:rsidR="008D2649" w:rsidRDefault="003D2B6C" w:rsidP="008D2649">
      <w:pPr>
        <w:pStyle w:val="Els-2ndorder-head"/>
      </w:pPr>
      <w:r>
        <w:t>Simulation framework</w:t>
      </w:r>
    </w:p>
    <w:p w14:paraId="2DA5AE72" w14:textId="1CCA23BA" w:rsidR="00256490" w:rsidRPr="00256490" w:rsidRDefault="00634ADF" w:rsidP="00256490">
      <w:pPr>
        <w:spacing w:after="240"/>
        <w:jc w:val="both"/>
      </w:pPr>
      <w:r>
        <w:t xml:space="preserve">A modular structure </w:t>
      </w:r>
      <w:r w:rsidR="191C6134">
        <w:t>wa</w:t>
      </w:r>
      <w:r>
        <w:t>s adopted with the simulation model and the algorithm constructed as independent entities.</w:t>
      </w:r>
      <w:r w:rsidRPr="493E0FCE">
        <w:rPr>
          <w:b/>
          <w:bCs/>
          <w:i/>
          <w:iCs/>
        </w:rPr>
        <w:t xml:space="preserve"> </w:t>
      </w:r>
      <w:r>
        <w:t xml:space="preserve">Firstly, the unit operations and material stream conditions </w:t>
      </w:r>
      <w:r w:rsidR="2E7CEFF3">
        <w:t>we</w:t>
      </w:r>
      <w:r>
        <w:t xml:space="preserve">re defined using object-oriented </w:t>
      </w:r>
      <w:r w:rsidRPr="00F012FC">
        <w:t xml:space="preserve">programming. The look-ahead window and time period of the simulation </w:t>
      </w:r>
      <w:r w:rsidR="1A7F198C" w:rsidRPr="00F012FC">
        <w:t>we</w:t>
      </w:r>
      <w:r w:rsidRPr="00F012FC">
        <w:t xml:space="preserve">re then specified, with values of 30 minutes and the </w:t>
      </w:r>
      <w:r w:rsidR="00A014F3" w:rsidRPr="00F012FC">
        <w:t>historical data</w:t>
      </w:r>
      <w:r w:rsidRPr="00F012FC">
        <w:t xml:space="preserve"> of 2022 being used for the main results of this paper. The steam demand and the system </w:t>
      </w:r>
      <w:r w:rsidR="04B7CE73" w:rsidRPr="00F012FC">
        <w:t xml:space="preserve">configuration </w:t>
      </w:r>
      <w:r w:rsidRPr="00F012FC">
        <w:t>specifications (</w:t>
      </w:r>
      <w:r w:rsidR="0012620C" w:rsidRPr="00F012FC">
        <w:t xml:space="preserve">i.e., </w:t>
      </w:r>
      <w:r w:rsidRPr="00F012FC">
        <w:t>unit op</w:t>
      </w:r>
      <w:r w:rsidR="0012620C" w:rsidRPr="00F012FC">
        <w:t>erations</w:t>
      </w:r>
      <w:r w:rsidRPr="00F012FC">
        <w:t>, materials streams) are passed to the simulation as parameters.</w:t>
      </w:r>
    </w:p>
    <w:p w14:paraId="45934136" w14:textId="5DE9C39B" w:rsidR="00634ADF" w:rsidRDefault="00FE2020" w:rsidP="00634ADF">
      <w:pPr>
        <w:keepNext/>
        <w:jc w:val="center"/>
      </w:pPr>
      <w:r>
        <w:rPr>
          <w:noProof/>
          <w:sz w:val="16"/>
          <w:szCs w:val="16"/>
        </w:rPr>
        <w:drawing>
          <wp:inline distT="0" distB="0" distL="0" distR="0" wp14:anchorId="6C01F70F" wp14:editId="778E0E65">
            <wp:extent cx="4490114" cy="1932029"/>
            <wp:effectExtent l="0" t="0" r="5715" b="0"/>
            <wp:docPr id="746273908" name="Picture 746273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273908" name="Picture 746273908"/>
                    <pic:cNvPicPr/>
                  </pic:nvPicPr>
                  <pic:blipFill>
                    <a:blip r:embed="rId12">
                      <a:extLst>
                        <a:ext uri="{28A0092B-C50C-407E-A947-70E740481C1C}">
                          <a14:useLocalDpi xmlns:a14="http://schemas.microsoft.com/office/drawing/2010/main" val="0"/>
                        </a:ext>
                      </a:extLst>
                    </a:blip>
                    <a:stretch>
                      <a:fillRect/>
                    </a:stretch>
                  </pic:blipFill>
                  <pic:spPr>
                    <a:xfrm>
                      <a:off x="0" y="0"/>
                      <a:ext cx="4500472" cy="1936486"/>
                    </a:xfrm>
                    <a:prstGeom prst="rect">
                      <a:avLst/>
                    </a:prstGeom>
                  </pic:spPr>
                </pic:pic>
              </a:graphicData>
            </a:graphic>
          </wp:inline>
        </w:drawing>
      </w:r>
    </w:p>
    <w:p w14:paraId="3D3989BC" w14:textId="1E117C6C" w:rsidR="00634ADF" w:rsidRDefault="00634ADF" w:rsidP="00634ADF">
      <w:pPr>
        <w:pStyle w:val="Caption"/>
        <w:jc w:val="center"/>
      </w:pPr>
      <w:r>
        <w:t xml:space="preserve">Figure </w:t>
      </w:r>
      <w:r w:rsidRPr="493E0FCE">
        <w:fldChar w:fldCharType="begin"/>
      </w:r>
      <w:r>
        <w:instrText xml:space="preserve"> SEQ Figure \* ARABIC </w:instrText>
      </w:r>
      <w:r w:rsidRPr="493E0FCE">
        <w:fldChar w:fldCharType="separate"/>
      </w:r>
      <w:r w:rsidR="0061244E" w:rsidRPr="493E0FCE">
        <w:rPr>
          <w:noProof/>
        </w:rPr>
        <w:t>2</w:t>
      </w:r>
      <w:r w:rsidRPr="493E0FCE">
        <w:rPr>
          <w:noProof/>
        </w:rPr>
        <w:fldChar w:fldCharType="end"/>
      </w:r>
      <w:r>
        <w:t xml:space="preserve"> </w:t>
      </w:r>
      <w:r w:rsidR="00612A95">
        <w:t>–</w:t>
      </w:r>
      <w:r>
        <w:t xml:space="preserve"> </w:t>
      </w:r>
      <w:r w:rsidR="00612A95">
        <w:t>Modular s</w:t>
      </w:r>
      <w:r>
        <w:t>imulation framework</w:t>
      </w:r>
      <w:r w:rsidR="00FE2020">
        <w:t xml:space="preserve"> with se</w:t>
      </w:r>
      <w:r w:rsidR="005A60C2">
        <w:t>quence indicated in brackets</w:t>
      </w:r>
    </w:p>
    <w:p w14:paraId="6365D852" w14:textId="4F7130D2" w:rsidR="00634ADF" w:rsidRDefault="00634ADF" w:rsidP="00634ADF">
      <w:pPr>
        <w:jc w:val="both"/>
      </w:pPr>
      <w:r>
        <w:t xml:space="preserve">The </w:t>
      </w:r>
      <w:r w:rsidRPr="00F012FC">
        <w:t xml:space="preserve">algorithm </w:t>
      </w:r>
      <w:r w:rsidR="78F305EE" w:rsidRPr="00F012FC">
        <w:t>wa</w:t>
      </w:r>
      <w:r w:rsidRPr="00F012FC">
        <w:t xml:space="preserve">s called at every time step, to emulate application in live operation, as opposed to determining a longer-term schedule all at once. The scheduling algorithm takes into consideration the system state at the current time step, and the price data for the time step dictated by the look-ahead window. The future duties of the EB and BB for the next time step </w:t>
      </w:r>
      <w:r w:rsidR="7161F32C" w:rsidRPr="00F012FC">
        <w:t>we</w:t>
      </w:r>
      <w:r w:rsidRPr="00F012FC">
        <w:t>re determined by the following</w:t>
      </w:r>
      <w:r>
        <w:t xml:space="preserve"> demand response regime specified: </w:t>
      </w:r>
    </w:p>
    <w:p w14:paraId="3C9E1521" w14:textId="77777777" w:rsidR="00B332AE" w:rsidRPr="00B332AE" w:rsidRDefault="00B332AE" w:rsidP="00634ADF">
      <w:pPr>
        <w:jc w:val="both"/>
        <w:rPr>
          <w:sz w:val="12"/>
          <w:szCs w:val="12"/>
        </w:rPr>
      </w:pPr>
    </w:p>
    <w:p w14:paraId="5528B8A0" w14:textId="77777777" w:rsidR="00634ADF" w:rsidRPr="008B6D74" w:rsidRDefault="00634ADF" w:rsidP="00634ADF">
      <w:pPr>
        <w:jc w:val="both"/>
        <w:rPr>
          <w:sz w:val="2"/>
          <w:szCs w:val="2"/>
        </w:rPr>
      </w:pPr>
    </w:p>
    <w:p w14:paraId="242DAEF9" w14:textId="0C9F4364" w:rsidR="00634ADF" w:rsidRDefault="00B560C2" w:rsidP="493E0FCE">
      <w:pPr>
        <w:jc w:val="both"/>
        <w:rPr>
          <w:rFonts w:eastAsiaTheme="minorEastAsia"/>
        </w:rPr>
      </w:pPr>
      <w:r>
        <w:rPr>
          <w:iCs/>
        </w:rPr>
        <w:t xml:space="preserve">  </w:t>
      </w:r>
      <m:oMath>
        <m:sSub>
          <m:sSubPr>
            <m:ctrlPr>
              <w:rPr>
                <w:rFonts w:ascii="Cambria Math" w:eastAsiaTheme="minorEastAsia" w:hAnsi="Cambria Math"/>
                <w:i/>
                <w:iCs/>
              </w:rPr>
            </m:ctrlPr>
          </m:sSubPr>
          <m:e>
            <m:r>
              <w:rPr>
                <w:rFonts w:ascii="Cambria Math" w:eastAsiaTheme="minorEastAsia" w:hAnsi="Cambria Math"/>
              </w:rPr>
              <m:t>EB duty</m:t>
            </m:r>
          </m:e>
          <m:sub>
            <m:r>
              <w:rPr>
                <w:rFonts w:ascii="Cambria Math" w:eastAsiaTheme="minorEastAsia" w:hAnsi="Cambria Math"/>
              </w:rPr>
              <m:t>t+1</m:t>
            </m:r>
          </m:sub>
        </m:sSub>
        <m:r>
          <w:rPr>
            <w:rFonts w:ascii="Cambria Math" w:eastAsiaTheme="minorEastAsia" w:hAnsi="Cambria Math"/>
          </w:rPr>
          <m:t>=</m:t>
        </m:r>
        <m:sSub>
          <m:sSubPr>
            <m:ctrlPr>
              <w:rPr>
                <w:rFonts w:ascii="Cambria Math" w:eastAsiaTheme="minorEastAsia" w:hAnsi="Cambria Math"/>
                <w:i/>
                <w:iCs/>
              </w:rPr>
            </m:ctrlPr>
          </m:sSubPr>
          <m:e>
            <m:r>
              <w:rPr>
                <w:rFonts w:ascii="Cambria Math" w:eastAsiaTheme="minorEastAsia" w:hAnsi="Cambria Math"/>
              </w:rPr>
              <m:t>EB duty</m:t>
            </m:r>
          </m:e>
          <m:sub>
            <m:r>
              <w:rPr>
                <w:rFonts w:ascii="Cambria Math" w:eastAsiaTheme="minorEastAsia" w:hAnsi="Cambria Math"/>
              </w:rPr>
              <m:t>t</m:t>
            </m:r>
          </m:sub>
        </m:sSub>
        <m:r>
          <w:rPr>
            <w:rFonts w:ascii="Cambria Math" w:eastAsiaTheme="minorEastAsia" w:hAnsi="Cambria Math"/>
          </w:rPr>
          <m:t xml:space="preserve"> ±α</m:t>
        </m:r>
        <m:sSub>
          <m:sSubPr>
            <m:ctrlPr>
              <w:rPr>
                <w:rFonts w:ascii="Cambria Math" w:eastAsiaTheme="minorEastAsia" w:hAnsi="Cambria Math"/>
                <w:i/>
                <w:iCs/>
              </w:rPr>
            </m:ctrlPr>
          </m:sSubPr>
          <m:e>
            <m:r>
              <w:rPr>
                <w:rFonts w:ascii="Cambria Math" w:eastAsiaTheme="minorEastAsia" w:hAnsi="Cambria Math"/>
              </w:rPr>
              <m:t>EB duty</m:t>
            </m:r>
          </m:e>
          <m:sub>
            <m:r>
              <w:rPr>
                <w:rFonts w:ascii="Cambria Math" w:eastAsiaTheme="minorEastAsia" w:hAnsi="Cambria Math"/>
              </w:rPr>
              <m:t>max</m:t>
            </m:r>
          </m:sub>
        </m:sSub>
      </m:oMath>
      <w:r w:rsidR="00634ADF">
        <w:rPr>
          <w:rFonts w:eastAsiaTheme="minorEastAsia"/>
          <w:iCs/>
        </w:rPr>
        <w:tab/>
      </w:r>
      <w:r w:rsidR="00634ADF">
        <w:rPr>
          <w:rFonts w:eastAsiaTheme="minorEastAsia"/>
          <w:iCs/>
        </w:rPr>
        <w:tab/>
      </w:r>
      <w:r w:rsidR="00634ADF">
        <w:rPr>
          <w:rFonts w:eastAsiaTheme="minorEastAsia"/>
          <w:iCs/>
        </w:rPr>
        <w:tab/>
      </w:r>
      <w:r w:rsidR="00634ADF">
        <w:rPr>
          <w:rFonts w:eastAsiaTheme="minorEastAsia"/>
          <w:iCs/>
        </w:rPr>
        <w:tab/>
      </w:r>
      <w:r w:rsidR="00634ADF">
        <w:rPr>
          <w:rFonts w:eastAsiaTheme="minorEastAsia"/>
          <w:iCs/>
        </w:rPr>
        <w:tab/>
      </w:r>
      <w:r w:rsidRPr="493E0FCE">
        <w:rPr>
          <w:rFonts w:eastAsiaTheme="minorEastAsia"/>
        </w:rPr>
        <w:t xml:space="preserve">       </w:t>
      </w:r>
      <w:r w:rsidR="00634ADF" w:rsidRPr="493E0FCE">
        <w:rPr>
          <w:rFonts w:eastAsiaTheme="minorEastAsia"/>
        </w:rPr>
        <w:t>(1)</w:t>
      </w:r>
    </w:p>
    <w:p w14:paraId="0E9EC839" w14:textId="77777777" w:rsidR="00B332AE" w:rsidRPr="00B332AE" w:rsidRDefault="00B332AE" w:rsidP="00634ADF">
      <w:pPr>
        <w:jc w:val="both"/>
        <w:rPr>
          <w:rFonts w:eastAsiaTheme="minorEastAsia"/>
          <w:iCs/>
          <w:sz w:val="12"/>
          <w:szCs w:val="12"/>
        </w:rPr>
      </w:pPr>
    </w:p>
    <w:p w14:paraId="74954204" w14:textId="7A40A7CF" w:rsidR="00B332AE" w:rsidRDefault="00B560C2" w:rsidP="00B560C2">
      <w:pPr>
        <w:jc w:val="both"/>
        <w:rPr>
          <w:rFonts w:eastAsiaTheme="minorEastAsia"/>
          <w:iCs/>
        </w:rPr>
      </w:pPr>
      <m:oMath>
        <m:r>
          <w:rPr>
            <w:rFonts w:ascii="Cambria Math" w:eastAsiaTheme="minorEastAsia" w:hAnsi="Cambria Math"/>
          </w:rPr>
          <m:t xml:space="preserve">  </m:t>
        </m:r>
        <m:sSub>
          <m:sSubPr>
            <m:ctrlPr>
              <w:rPr>
                <w:rFonts w:ascii="Cambria Math" w:hAnsi="Cambria Math"/>
                <w:i/>
                <w:iCs/>
              </w:rPr>
            </m:ctrlPr>
          </m:sSubPr>
          <m:e>
            <m:r>
              <w:rPr>
                <w:rFonts w:ascii="Cambria Math" w:hAnsi="Cambria Math"/>
              </w:rPr>
              <m:t>EB duty</m:t>
            </m:r>
          </m:e>
          <m:sub>
            <m:r>
              <w:rPr>
                <w:rFonts w:ascii="Cambria Math" w:hAnsi="Cambria Math"/>
              </w:rPr>
              <m:t>t+1</m:t>
            </m:r>
          </m:sub>
        </m:sSub>
        <m:r>
          <w:rPr>
            <w:rFonts w:ascii="Cambria Math" w:hAnsi="Cambria Math"/>
          </w:rPr>
          <m:t>=(1-β</m:t>
        </m:r>
        <m:f>
          <m:fPr>
            <m:ctrlPr>
              <w:rPr>
                <w:rFonts w:ascii="Cambria Math" w:hAnsi="Cambria Math"/>
                <w:i/>
                <w:iCs/>
              </w:rPr>
            </m:ctrlPr>
          </m:fPr>
          <m:num>
            <m:r>
              <w:rPr>
                <w:rFonts w:ascii="Cambria Math" w:hAnsi="Cambria Math"/>
              </w:rPr>
              <m:t>Future electricity price</m:t>
            </m:r>
          </m:num>
          <m:den>
            <m:r>
              <w:rPr>
                <w:rFonts w:ascii="Cambria Math" w:hAnsi="Cambria Math"/>
              </w:rPr>
              <m:t>Biomass price</m:t>
            </m:r>
          </m:den>
        </m:f>
        <m:r>
          <w:rPr>
            <w:rFonts w:ascii="Cambria Math" w:hAnsi="Cambria Math"/>
          </w:rPr>
          <m:t>+β)</m:t>
        </m:r>
        <m:sSub>
          <m:sSubPr>
            <m:ctrlPr>
              <w:rPr>
                <w:rFonts w:ascii="Cambria Math" w:hAnsi="Cambria Math"/>
                <w:i/>
                <w:iCs/>
              </w:rPr>
            </m:ctrlPr>
          </m:sSubPr>
          <m:e>
            <m:r>
              <w:rPr>
                <w:rFonts w:ascii="Cambria Math" w:hAnsi="Cambria Math"/>
              </w:rPr>
              <m:t>EB duty</m:t>
            </m:r>
          </m:e>
          <m:sub>
            <m:r>
              <w:rPr>
                <w:rFonts w:ascii="Cambria Math" w:hAnsi="Cambria Math"/>
              </w:rPr>
              <m:t>t</m:t>
            </m:r>
          </m:sub>
        </m:sSub>
      </m:oMath>
      <w:r w:rsidR="00634ADF">
        <w:rPr>
          <w:rFonts w:eastAsiaTheme="minorEastAsia"/>
          <w:iCs/>
        </w:rPr>
        <w:tab/>
      </w:r>
      <w:r w:rsidR="00634ADF">
        <w:rPr>
          <w:rFonts w:eastAsiaTheme="minorEastAsia"/>
          <w:iCs/>
        </w:rPr>
        <w:tab/>
      </w:r>
      <w:r w:rsidR="00634ADF">
        <w:rPr>
          <w:rFonts w:eastAsiaTheme="minorEastAsia"/>
          <w:iCs/>
        </w:rPr>
        <w:tab/>
      </w:r>
      <w:r>
        <w:rPr>
          <w:rFonts w:eastAsiaTheme="minorEastAsia"/>
          <w:iCs/>
        </w:rPr>
        <w:t xml:space="preserve">       </w:t>
      </w:r>
      <w:r w:rsidR="00634ADF">
        <w:rPr>
          <w:rFonts w:eastAsiaTheme="minorEastAsia"/>
          <w:iCs/>
        </w:rPr>
        <w:t>(2)</w:t>
      </w:r>
    </w:p>
    <w:p w14:paraId="11F88CC4" w14:textId="77777777" w:rsidR="00B332AE" w:rsidRPr="00B332AE" w:rsidRDefault="00B332AE" w:rsidP="00B560C2">
      <w:pPr>
        <w:jc w:val="both"/>
        <w:rPr>
          <w:rFonts w:eastAsiaTheme="minorEastAsia"/>
          <w:iCs/>
          <w:sz w:val="12"/>
          <w:szCs w:val="12"/>
        </w:rPr>
      </w:pPr>
    </w:p>
    <w:p w14:paraId="59DCC123" w14:textId="5502C46F" w:rsidR="00213F4C" w:rsidRDefault="00B560C2" w:rsidP="493E0FCE">
      <w:pPr>
        <w:jc w:val="both"/>
        <w:rPr>
          <w:rFonts w:eastAsiaTheme="minorEastAsia"/>
        </w:rPr>
      </w:pPr>
      <m:oMath>
        <m:r>
          <w:rPr>
            <w:rFonts w:ascii="Cambria Math" w:hAnsi="Cambria Math"/>
          </w:rPr>
          <m:t xml:space="preserve">  </m:t>
        </m:r>
        <m:sSub>
          <m:sSubPr>
            <m:ctrlPr>
              <w:rPr>
                <w:rFonts w:ascii="Cambria Math" w:hAnsi="Cambria Math"/>
                <w:i/>
                <w:iCs/>
              </w:rPr>
            </m:ctrlPr>
          </m:sSubPr>
          <m:e>
            <m:r>
              <w:rPr>
                <w:rFonts w:ascii="Cambria Math" w:hAnsi="Cambria Math"/>
              </w:rPr>
              <m:t>EB duty</m:t>
            </m:r>
          </m:e>
          <m:sub>
            <m:r>
              <w:rPr>
                <w:rFonts w:ascii="Cambria Math" w:hAnsi="Cambria Math"/>
              </w:rPr>
              <m:t>t+1</m:t>
            </m:r>
          </m:sub>
        </m:sSub>
        <m:r>
          <w:rPr>
            <w:rFonts w:ascii="Cambria Math" w:hAnsi="Cambria Math"/>
          </w:rPr>
          <m:t>=(</m:t>
        </m:r>
        <m:f>
          <m:fPr>
            <m:ctrlPr>
              <w:rPr>
                <w:rFonts w:ascii="Cambria Math" w:hAnsi="Cambria Math"/>
                <w:i/>
                <w:iCs/>
              </w:rPr>
            </m:ctrlPr>
          </m:fPr>
          <m:num>
            <m:r>
              <w:rPr>
                <w:rFonts w:ascii="Cambria Math" w:hAnsi="Cambria Math"/>
              </w:rPr>
              <m:t>Biomass price</m:t>
            </m:r>
          </m:num>
          <m:den>
            <m:r>
              <w:rPr>
                <w:rFonts w:ascii="Cambria Math" w:hAnsi="Cambria Math"/>
              </w:rPr>
              <m:t>Future electric price</m:t>
            </m:r>
          </m:den>
        </m:f>
        <m:sSup>
          <m:sSupPr>
            <m:ctrlPr>
              <w:rPr>
                <w:rFonts w:ascii="Cambria Math" w:hAnsi="Cambria Math"/>
                <w:i/>
                <w:iCs/>
              </w:rPr>
            </m:ctrlPr>
          </m:sSupPr>
          <m:e>
            <m:r>
              <w:rPr>
                <w:rFonts w:ascii="Cambria Math" w:hAnsi="Cambria Math"/>
              </w:rPr>
              <m:t>)</m:t>
            </m:r>
          </m:e>
          <m:sup>
            <m:r>
              <w:rPr>
                <w:rFonts w:ascii="Cambria Math" w:hAnsi="Cambria Math"/>
              </w:rPr>
              <m:t>γ</m:t>
            </m:r>
          </m:sup>
        </m:sSup>
        <m:sSub>
          <m:sSubPr>
            <m:ctrlPr>
              <w:rPr>
                <w:rFonts w:ascii="Cambria Math" w:hAnsi="Cambria Math"/>
                <w:i/>
                <w:iCs/>
              </w:rPr>
            </m:ctrlPr>
          </m:sSubPr>
          <m:e>
            <m:r>
              <w:rPr>
                <w:rFonts w:ascii="Cambria Math" w:hAnsi="Cambria Math"/>
              </w:rPr>
              <m:t>EB duty</m:t>
            </m:r>
          </m:e>
          <m:sub>
            <m:r>
              <w:rPr>
                <w:rFonts w:ascii="Cambria Math" w:hAnsi="Cambria Math"/>
              </w:rPr>
              <m:t>t</m:t>
            </m:r>
          </m:sub>
        </m:sSub>
      </m:oMath>
      <w:r w:rsidR="00634ADF">
        <w:rPr>
          <w:rFonts w:eastAsiaTheme="minorEastAsia"/>
          <w:iCs/>
        </w:rPr>
        <w:tab/>
      </w:r>
      <w:r w:rsidR="00634ADF">
        <w:rPr>
          <w:rFonts w:eastAsiaTheme="minorEastAsia"/>
          <w:iCs/>
        </w:rPr>
        <w:tab/>
      </w:r>
      <w:r w:rsidRPr="493E0FCE">
        <w:rPr>
          <w:rFonts w:eastAsiaTheme="minorEastAsia"/>
        </w:rPr>
        <w:t xml:space="preserve">        </w:t>
      </w:r>
      <w:r w:rsidR="00634ADF">
        <w:rPr>
          <w:rFonts w:eastAsiaTheme="minorEastAsia"/>
          <w:iCs/>
        </w:rPr>
        <w:tab/>
      </w:r>
      <w:r w:rsidR="00634ADF">
        <w:rPr>
          <w:rFonts w:eastAsiaTheme="minorEastAsia"/>
          <w:iCs/>
        </w:rPr>
        <w:tab/>
      </w:r>
      <w:r w:rsidRPr="493E0FCE">
        <w:rPr>
          <w:rFonts w:eastAsiaTheme="minorEastAsia"/>
        </w:rPr>
        <w:t xml:space="preserve">       </w:t>
      </w:r>
      <w:r w:rsidR="00634ADF" w:rsidRPr="493E0FCE">
        <w:rPr>
          <w:rFonts w:eastAsiaTheme="minorEastAsia"/>
        </w:rPr>
        <w:t>(3)</w:t>
      </w:r>
    </w:p>
    <w:p w14:paraId="134E5055" w14:textId="77777777" w:rsidR="00B332AE" w:rsidRPr="00B332AE" w:rsidRDefault="00B332AE" w:rsidP="00B332AE">
      <w:pPr>
        <w:rPr>
          <w:sz w:val="12"/>
          <w:szCs w:val="12"/>
        </w:rPr>
      </w:pPr>
    </w:p>
    <w:p w14:paraId="66824A8D" w14:textId="4CC61C38" w:rsidR="00BD712E" w:rsidRDefault="00634ADF" w:rsidP="493E0FCE">
      <w:pPr>
        <w:jc w:val="both"/>
        <w:rPr>
          <w:rFonts w:eastAsiaTheme="minorEastAsia"/>
        </w:rPr>
      </w:pPr>
      <w:r>
        <w:t>Eq</w:t>
      </w:r>
      <w:r w:rsidR="00383F27">
        <w:t xml:space="preserve">. </w:t>
      </w:r>
      <w:r>
        <w:t>(1) represents a regime where the duty changes by a fixed percentage of the maximum duty of the specified EB</w:t>
      </w:r>
      <w:r w:rsidRPr="493E0FCE">
        <w:rPr>
          <w:i/>
          <w:iCs/>
        </w:rPr>
        <w:t xml:space="preserve">,  </w:t>
      </w:r>
      <m:oMath>
        <m:sSub>
          <m:sSubPr>
            <m:ctrlPr>
              <w:rPr>
                <w:rFonts w:ascii="Cambria Math" w:eastAsiaTheme="minorEastAsia" w:hAnsi="Cambria Math"/>
                <w:i/>
                <w:iCs/>
              </w:rPr>
            </m:ctrlPr>
          </m:sSubPr>
          <m:e>
            <m:r>
              <w:rPr>
                <w:rFonts w:ascii="Cambria Math" w:eastAsiaTheme="minorEastAsia" w:hAnsi="Cambria Math"/>
              </w:rPr>
              <m:t>EB duty</m:t>
            </m:r>
          </m:e>
          <m:sub>
            <m:r>
              <w:rPr>
                <w:rFonts w:ascii="Cambria Math" w:eastAsiaTheme="minorEastAsia" w:hAnsi="Cambria Math"/>
              </w:rPr>
              <m:t>max</m:t>
            </m:r>
          </m:sub>
        </m:sSub>
      </m:oMath>
      <w:r w:rsidRPr="00CA686D">
        <w:rPr>
          <w:rFonts w:eastAsiaTheme="minorEastAsia"/>
        </w:rPr>
        <w:t>, with an increase in duty corresponding to the electricity price being lower than the biomass price</w:t>
      </w:r>
      <w:r w:rsidR="332145BA" w:rsidRPr="00CA686D">
        <w:rPr>
          <w:rFonts w:eastAsiaTheme="minorEastAsia"/>
        </w:rPr>
        <w:t xml:space="preserve"> and vice versa.</w:t>
      </w:r>
      <w:r w:rsidR="1273B853" w:rsidRPr="00CA686D">
        <w:rPr>
          <w:rFonts w:eastAsiaTheme="minorEastAsia"/>
        </w:rPr>
        <w:t xml:space="preserve"> </w:t>
      </w:r>
      <w:r w:rsidRPr="00CA686D">
        <w:rPr>
          <w:rFonts w:eastAsiaTheme="minorEastAsia"/>
        </w:rPr>
        <w:t>Eq</w:t>
      </w:r>
      <w:r w:rsidR="00383F27" w:rsidRPr="00CA686D">
        <w:rPr>
          <w:rFonts w:eastAsiaTheme="minorEastAsia"/>
        </w:rPr>
        <w:t>.</w:t>
      </w:r>
      <w:r w:rsidRPr="00CA686D">
        <w:rPr>
          <w:rFonts w:eastAsiaTheme="minorEastAsia"/>
        </w:rPr>
        <w:t xml:space="preserve"> (2</w:t>
      </w:r>
      <w:r w:rsidRPr="493E0FCE">
        <w:rPr>
          <w:rFonts w:eastAsiaTheme="minorEastAsia"/>
        </w:rPr>
        <w:t xml:space="preserve">) and (3) represent regimes where the magnitude of the duty change depends on the ratio of the </w:t>
      </w:r>
      <w:r w:rsidRPr="493E0FCE">
        <w:rPr>
          <w:rFonts w:eastAsiaTheme="minorEastAsia"/>
        </w:rPr>
        <w:lastRenderedPageBreak/>
        <w:t xml:space="preserve">biomass </w:t>
      </w:r>
      <w:r w:rsidRPr="00F012FC">
        <w:rPr>
          <w:rFonts w:eastAsiaTheme="minorEastAsia"/>
        </w:rPr>
        <w:t xml:space="preserve">price and electricity price. </w:t>
      </w:r>
      <w:r w:rsidR="4C38ED2C" w:rsidRPr="00F012FC">
        <w:t>The</w:t>
      </w:r>
      <w:r w:rsidRPr="00F012FC">
        <w:t xml:space="preserve"> regimes of Eq</w:t>
      </w:r>
      <w:r w:rsidR="00383F27" w:rsidRPr="00F012FC">
        <w:t>.</w:t>
      </w:r>
      <w:r w:rsidRPr="00F012FC">
        <w:t xml:space="preserve"> (1) to (3) </w:t>
      </w:r>
      <w:r w:rsidR="4F64C536" w:rsidRPr="00F012FC">
        <w:t xml:space="preserve">are </w:t>
      </w:r>
      <w:r w:rsidRPr="00F012FC">
        <w:t xml:space="preserve">referred to as Fixed, Varying A and Varying B. </w:t>
      </w:r>
      <w:r w:rsidRPr="00F012FC">
        <w:rPr>
          <w:rFonts w:eastAsiaTheme="minorEastAsia"/>
        </w:rPr>
        <w:t>The parameter</w:t>
      </w:r>
      <w:r w:rsidR="00185C11" w:rsidRPr="00F012FC">
        <w:rPr>
          <w:rFonts w:eastAsiaTheme="minorEastAsia"/>
        </w:rPr>
        <w:t>s</w:t>
      </w:r>
      <w:r w:rsidRPr="00F012FC">
        <w:rPr>
          <w:rFonts w:eastAsiaTheme="minorEastAsia"/>
        </w:rPr>
        <w:t xml:space="preserve"> </w:t>
      </w:r>
      <w:r w:rsidR="00696759" w:rsidRPr="00F012FC">
        <w:rPr>
          <w:rFonts w:ascii="Cambria Math" w:eastAsiaTheme="minorEastAsia" w:hAnsi="Cambria Math"/>
        </w:rPr>
        <w:t>𝛼</w:t>
      </w:r>
      <w:r w:rsidR="00696759" w:rsidRPr="00F012FC">
        <w:rPr>
          <w:rFonts w:eastAsiaTheme="minorEastAsia"/>
        </w:rPr>
        <w:t xml:space="preserve">, </w:t>
      </w:r>
      <w:r w:rsidR="00696759" w:rsidRPr="00F012FC">
        <w:rPr>
          <w:rFonts w:ascii="Cambria Math" w:eastAsiaTheme="minorEastAsia" w:hAnsi="Cambria Math"/>
          <w:i/>
          <w:iCs/>
        </w:rPr>
        <w:t>β</w:t>
      </w:r>
      <w:r w:rsidR="00696759" w:rsidRPr="00F012FC">
        <w:rPr>
          <w:rFonts w:eastAsiaTheme="minorEastAsia"/>
        </w:rPr>
        <w:t xml:space="preserve"> </w:t>
      </w:r>
      <w:r w:rsidR="00032793" w:rsidRPr="00F012FC">
        <w:rPr>
          <w:rFonts w:eastAsiaTheme="minorEastAsia"/>
        </w:rPr>
        <w:t xml:space="preserve">and </w:t>
      </w:r>
      <w:r w:rsidR="00032793" w:rsidRPr="00F012FC">
        <w:rPr>
          <w:rFonts w:ascii="Cambria Math" w:eastAsiaTheme="minorEastAsia" w:hAnsi="Cambria Math"/>
          <w:i/>
          <w:iCs/>
        </w:rPr>
        <w:t xml:space="preserve">𝛾 </w:t>
      </w:r>
      <w:r w:rsidRPr="00F012FC">
        <w:rPr>
          <w:rFonts w:eastAsiaTheme="minorEastAsia"/>
        </w:rPr>
        <w:t xml:space="preserve">denote </w:t>
      </w:r>
      <w:r w:rsidR="00032793" w:rsidRPr="00F012FC">
        <w:rPr>
          <w:rFonts w:eastAsiaTheme="minorEastAsia"/>
        </w:rPr>
        <w:t>tuning</w:t>
      </w:r>
      <w:r w:rsidRPr="00F012FC">
        <w:rPr>
          <w:rFonts w:eastAsiaTheme="minorEastAsia"/>
        </w:rPr>
        <w:t xml:space="preserve"> factor</w:t>
      </w:r>
      <w:r w:rsidR="00032793" w:rsidRPr="00F012FC">
        <w:rPr>
          <w:rFonts w:eastAsiaTheme="minorEastAsia"/>
        </w:rPr>
        <w:t>s to adjust the sensitivity of the duty changes to future price changes</w:t>
      </w:r>
      <w:r w:rsidRPr="00F012FC">
        <w:rPr>
          <w:rFonts w:eastAsiaTheme="minorEastAsia"/>
        </w:rPr>
        <w:t>, with different ranges</w:t>
      </w:r>
      <w:r w:rsidR="00AA3904" w:rsidRPr="00F012FC">
        <w:rPr>
          <w:rFonts w:eastAsiaTheme="minorEastAsia"/>
        </w:rPr>
        <w:t xml:space="preserve"> for each regime’s parameter</w:t>
      </w:r>
      <w:r w:rsidRPr="00F012FC">
        <w:rPr>
          <w:rFonts w:eastAsiaTheme="minorEastAsia"/>
        </w:rPr>
        <w:t xml:space="preserve"> (</w:t>
      </w:r>
      <m:oMath>
        <m:r>
          <w:rPr>
            <w:rFonts w:ascii="Cambria Math" w:hAnsi="Cambria Math"/>
          </w:rPr>
          <m:t>0.1≤α≤0.4,  0.25≤β≤2, 0.1≤γ≤2)</m:t>
        </m:r>
      </m:oMath>
      <w:r w:rsidRPr="00F012FC">
        <w:rPr>
          <w:rFonts w:eastAsiaTheme="minorEastAsia"/>
        </w:rPr>
        <w:t xml:space="preserve">. </w:t>
      </w:r>
      <w:r w:rsidR="0010072C" w:rsidRPr="00F012FC">
        <w:rPr>
          <w:rFonts w:eastAsiaTheme="minorEastAsia"/>
        </w:rPr>
        <w:t xml:space="preserve">A price tolerance </w:t>
      </w:r>
      <w:r w:rsidR="5934359F" w:rsidRPr="00F012FC">
        <w:rPr>
          <w:rFonts w:eastAsiaTheme="minorEastAsia"/>
        </w:rPr>
        <w:t>wa</w:t>
      </w:r>
      <w:r w:rsidR="0010072C" w:rsidRPr="00F012FC">
        <w:rPr>
          <w:rFonts w:eastAsiaTheme="minorEastAsia"/>
        </w:rPr>
        <w:t>s also implemented, with a default value of ± $1/MWh.</w:t>
      </w:r>
    </w:p>
    <w:p w14:paraId="423A175E" w14:textId="3FFA589E" w:rsidR="003D2B6C" w:rsidRDefault="00D51C65" w:rsidP="006D6609">
      <w:pPr>
        <w:spacing w:before="240"/>
        <w:jc w:val="both"/>
      </w:pPr>
      <w:r w:rsidRPr="493E0FCE">
        <w:rPr>
          <w:rFonts w:eastAsiaTheme="minorEastAsia"/>
        </w:rPr>
        <w:t xml:space="preserve">The duties </w:t>
      </w:r>
      <w:r w:rsidR="782CC14F" w:rsidRPr="493E0FCE">
        <w:rPr>
          <w:rFonts w:eastAsiaTheme="minorEastAsia"/>
        </w:rPr>
        <w:t xml:space="preserve">were </w:t>
      </w:r>
      <w:r w:rsidRPr="493E0FCE">
        <w:rPr>
          <w:rFonts w:eastAsiaTheme="minorEastAsia"/>
        </w:rPr>
        <w:t xml:space="preserve">passed to the simulation, where the constraints </w:t>
      </w:r>
      <w:r w:rsidR="39B7AB1A" w:rsidRPr="493E0FCE">
        <w:rPr>
          <w:rFonts w:eastAsiaTheme="minorEastAsia"/>
        </w:rPr>
        <w:t xml:space="preserve">were </w:t>
      </w:r>
      <w:r w:rsidRPr="493E0FCE">
        <w:rPr>
          <w:rFonts w:eastAsiaTheme="minorEastAsia"/>
        </w:rPr>
        <w:t xml:space="preserve">checked before implementing the changes to the system. The evaluation criteria </w:t>
      </w:r>
      <w:r w:rsidR="51DF2836" w:rsidRPr="493E0FCE">
        <w:rPr>
          <w:rFonts w:eastAsiaTheme="minorEastAsia"/>
        </w:rPr>
        <w:t xml:space="preserve">were </w:t>
      </w:r>
      <w:r w:rsidRPr="493E0FCE">
        <w:rPr>
          <w:rFonts w:eastAsiaTheme="minorEastAsia"/>
        </w:rPr>
        <w:t xml:space="preserve">then calculated, with these being returned at the end of each simulation run. The average run time for a simulation period of one year </w:t>
      </w:r>
      <w:r w:rsidR="1CD235B0" w:rsidRPr="493E0FCE">
        <w:rPr>
          <w:rFonts w:eastAsiaTheme="minorEastAsia"/>
        </w:rPr>
        <w:t xml:space="preserve">was </w:t>
      </w:r>
      <w:r w:rsidR="24221577" w:rsidRPr="493E0FCE">
        <w:rPr>
          <w:rFonts w:eastAsiaTheme="minorEastAsia"/>
        </w:rPr>
        <w:t xml:space="preserve">of the order of 2 </w:t>
      </w:r>
      <w:r w:rsidRPr="493E0FCE">
        <w:rPr>
          <w:rFonts w:eastAsiaTheme="minorEastAsia"/>
        </w:rPr>
        <w:t>seconds</w:t>
      </w:r>
      <w:r w:rsidR="069C17CA" w:rsidRPr="493E0FCE">
        <w:rPr>
          <w:rFonts w:eastAsiaTheme="minorEastAsia"/>
        </w:rPr>
        <w:t xml:space="preserve"> on a desktop PC</w:t>
      </w:r>
      <w:r w:rsidRPr="493E0FCE">
        <w:rPr>
          <w:rFonts w:eastAsiaTheme="minorEastAsia"/>
        </w:rPr>
        <w:t xml:space="preserve">. Simulations </w:t>
      </w:r>
      <w:r w:rsidR="3E2BF856" w:rsidRPr="493E0FCE">
        <w:rPr>
          <w:rFonts w:eastAsiaTheme="minorEastAsia"/>
        </w:rPr>
        <w:t xml:space="preserve">were </w:t>
      </w:r>
      <w:r w:rsidRPr="493E0FCE">
        <w:rPr>
          <w:rFonts w:eastAsiaTheme="minorEastAsia"/>
        </w:rPr>
        <w:t>run individually for each permutation/various combinations of size and configuration of hybrid system. A baseline system of approximately 15 MW of steam demand was chosen based on a real-life dairy plant, with other systems also considered based on industrial cases</w:t>
      </w:r>
      <w:r w:rsidR="00683B05">
        <w:t>.</w:t>
      </w:r>
    </w:p>
    <w:p w14:paraId="4B6C4924" w14:textId="0D3DC5E3" w:rsidR="003D2B6C" w:rsidRDefault="003D2B6C" w:rsidP="003D2B6C">
      <w:pPr>
        <w:pStyle w:val="Els-1storder-head"/>
      </w:pPr>
      <w:r>
        <w:t>Results and discussion</w:t>
      </w:r>
    </w:p>
    <w:p w14:paraId="143ED5C1" w14:textId="6DDABBFC" w:rsidR="003D2B6C" w:rsidRDefault="00E41205" w:rsidP="003D2B6C">
      <w:pPr>
        <w:pStyle w:val="Els-2ndorder-head"/>
      </w:pPr>
      <w:r>
        <w:t>Application to d</w:t>
      </w:r>
      <w:r w:rsidR="003D2B6C">
        <w:t>esign and retrofit</w:t>
      </w:r>
    </w:p>
    <w:p w14:paraId="6C9E561A" w14:textId="6CA33021" w:rsidR="001A6067" w:rsidRDefault="00C27979" w:rsidP="00F81B68">
      <w:pPr>
        <w:pStyle w:val="Els-2ndorder-head"/>
        <w:numPr>
          <w:ilvl w:val="2"/>
          <w:numId w:val="0"/>
        </w:numPr>
        <w:jc w:val="center"/>
      </w:pPr>
      <w:r>
        <w:rPr>
          <w:noProof/>
        </w:rPr>
        <w:drawing>
          <wp:inline distT="0" distB="0" distL="0" distR="0" wp14:anchorId="4B7A420C" wp14:editId="349D2BF9">
            <wp:extent cx="4152131" cy="2194560"/>
            <wp:effectExtent l="0" t="0" r="1270" b="0"/>
            <wp:docPr id="1414654545" name="Picture 1414654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654545" name="Picture 141465454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72953" cy="2205565"/>
                    </a:xfrm>
                    <a:prstGeom prst="rect">
                      <a:avLst/>
                    </a:prstGeom>
                    <a:ln>
                      <a:noFill/>
                    </a:ln>
                  </pic:spPr>
                </pic:pic>
              </a:graphicData>
            </a:graphic>
          </wp:inline>
        </w:drawing>
      </w:r>
    </w:p>
    <w:p w14:paraId="2C7982C2" w14:textId="0E752BF7" w:rsidR="006D6609" w:rsidRDefault="001A6067" w:rsidP="00320B48">
      <w:pPr>
        <w:pStyle w:val="Caption"/>
        <w:jc w:val="center"/>
      </w:pPr>
      <w:r>
        <w:t xml:space="preserve">Figure </w:t>
      </w:r>
      <w:r>
        <w:fldChar w:fldCharType="begin"/>
      </w:r>
      <w:r>
        <w:instrText xml:space="preserve"> SEQ Figure \* ARABIC </w:instrText>
      </w:r>
      <w:r>
        <w:fldChar w:fldCharType="separate"/>
      </w:r>
      <w:r w:rsidR="0061244E" w:rsidRPr="493E0FCE">
        <w:rPr>
          <w:noProof/>
        </w:rPr>
        <w:t>3</w:t>
      </w:r>
      <w:r>
        <w:fldChar w:fldCharType="end"/>
      </w:r>
      <w:r>
        <w:t xml:space="preserve"> - Energy consumption costs of different system configurations and sizing for a 15 MW steam demand</w:t>
      </w:r>
      <w:r w:rsidR="00FD77DF">
        <w:t xml:space="preserve"> site</w:t>
      </w:r>
      <w:r w:rsidR="004A5B04">
        <w:t xml:space="preserve"> using a ‘Fixed </w:t>
      </w:r>
      <w:r w:rsidR="004A5B04" w:rsidRPr="493E0FCE">
        <w:rPr>
          <w:rFonts w:ascii="Cambria Math" w:hAnsi="Cambria Math"/>
        </w:rPr>
        <w:t>𝛼</w:t>
      </w:r>
      <w:r w:rsidR="004A5B04">
        <w:t xml:space="preserve"> = 0.1’ demand response scheme</w:t>
      </w:r>
    </w:p>
    <w:p w14:paraId="77799956" w14:textId="210D5F7F" w:rsidR="00FD4EB1" w:rsidRDefault="00DF72E1" w:rsidP="00E11C3A">
      <w:pPr>
        <w:spacing w:before="240"/>
        <w:jc w:val="both"/>
      </w:pPr>
      <w:r>
        <w:t xml:space="preserve">As shown by Figure 1, both configuration series appear convex over the range considered. The decline towards the minima is due to the increased size of the EB, allowing for greater energy flexibility and more steam produced from the EB. The subsequent increase in costs with increasing boiler size is due to the increasing minimum boiler duties, since the lower limit is a percentage of the maximum duty. The gradient is less steep for non-uniform configurations, since the BB size remains constant and thus only the increase in EB size has an effect. </w:t>
      </w:r>
    </w:p>
    <w:p w14:paraId="31A79987" w14:textId="6DD5CD9E" w:rsidR="00DF72E1" w:rsidRDefault="00DF72E1" w:rsidP="00E11C3A">
      <w:pPr>
        <w:spacing w:before="240"/>
        <w:jc w:val="both"/>
      </w:pPr>
      <w:r>
        <w:t xml:space="preserve">The costs of a system with only a </w:t>
      </w:r>
      <w:r w:rsidR="001B6F11">
        <w:t>BB act</w:t>
      </w:r>
      <w:r>
        <w:t xml:space="preserve"> as a reference</w:t>
      </w:r>
      <w:r w:rsidR="4F9D8290">
        <w:t>,</w:t>
      </w:r>
      <w:r>
        <w:t xml:space="preserve"> indicating the savings from the hybrid system configurations. The minimal/optimal uniform configuration achieves a greater reduction in energy consumption costs compared to that of the non-uniform configuration (14.13% and 13.27% respectively relative to the BB-only system). However, the optimal uniform configuration for the 7 MW and 40 MW sites performed worse than their non-uniform counterparts (Figure 4). </w:t>
      </w:r>
    </w:p>
    <w:p w14:paraId="7070ED77" w14:textId="7A956F6E" w:rsidR="00CE2AF6" w:rsidRPr="000A3399" w:rsidRDefault="00DF72E1" w:rsidP="00E11C3A">
      <w:pPr>
        <w:spacing w:before="240"/>
        <w:jc w:val="both"/>
      </w:pPr>
      <w:r>
        <w:lastRenderedPageBreak/>
        <w:t>With sites that are currently retrofitting existing boilers to run on biomass, the non-uniform configuration displays the value in adding on a smaller EB. In a complete greenfield design, the non-uniform configuration should be more practical</w:t>
      </w:r>
      <w:r w:rsidR="5E2C9836">
        <w:t>.</w:t>
      </w:r>
      <w:r>
        <w:t xml:space="preserve"> </w:t>
      </w:r>
      <w:r w:rsidR="502EF743">
        <w:t>This is because</w:t>
      </w:r>
      <w:r>
        <w:t xml:space="preserve"> the BB can provide a secure base load, while the EB advantageously performs demand response. Implementation of energy storage could </w:t>
      </w:r>
      <w:r w:rsidR="0A21EC5E">
        <w:t xml:space="preserve">also </w:t>
      </w:r>
      <w:r>
        <w:t xml:space="preserve">reduce the size of the boilers, aiding with exploitation of low electricity costs. </w:t>
      </w:r>
    </w:p>
    <w:p w14:paraId="088E5348" w14:textId="7E439CB0" w:rsidR="00CE2AF6" w:rsidRDefault="00E11C3A" w:rsidP="00A273DC">
      <w:pPr>
        <w:pStyle w:val="Els-body-text"/>
        <w:spacing w:before="240" w:after="240"/>
      </w:pPr>
      <w:r w:rsidRPr="00E11C3A">
        <w:t xml:space="preserve">Two other sites were selected with different demand magnitudes to </w:t>
      </w:r>
      <w:r w:rsidR="008625C5">
        <w:t xml:space="preserve">the </w:t>
      </w:r>
      <w:r w:rsidRPr="00E11C3A">
        <w:t>base case site: 7 MW and 40 MW. The shape of the curves was found to be roughly the same across different site demands. Energy savings were found to increase with site demand, as shown in Figure 4. The non-uniform configuration was found to perform better at the largest demand considered, with negligible differences in performance at the smallest demand.</w:t>
      </w:r>
    </w:p>
    <w:p w14:paraId="589C9ED5" w14:textId="1A4F9589" w:rsidR="009C3423" w:rsidRDefault="001155E1" w:rsidP="009C3423">
      <w:pPr>
        <w:pStyle w:val="Els-body-text"/>
        <w:keepNext/>
        <w:jc w:val="center"/>
      </w:pPr>
      <w:r>
        <w:rPr>
          <w:noProof/>
          <w:sz w:val="16"/>
          <w:szCs w:val="16"/>
        </w:rPr>
        <w:drawing>
          <wp:inline distT="0" distB="0" distL="0" distR="0" wp14:anchorId="7A2876EB" wp14:editId="2F317AD0">
            <wp:extent cx="3556461" cy="1724025"/>
            <wp:effectExtent l="0" t="0" r="6350" b="0"/>
            <wp:docPr id="952179404" name="Picture 952179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179404" name="Picture 95217940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82388" cy="1736594"/>
                    </a:xfrm>
                    <a:prstGeom prst="rect">
                      <a:avLst/>
                    </a:prstGeom>
                    <a:ln w="6350">
                      <a:noFill/>
                    </a:ln>
                  </pic:spPr>
                </pic:pic>
              </a:graphicData>
            </a:graphic>
          </wp:inline>
        </w:drawing>
      </w:r>
    </w:p>
    <w:p w14:paraId="0B59CB98" w14:textId="1B87660A" w:rsidR="00F23E58" w:rsidRPr="006D6609" w:rsidRDefault="001A4CB8" w:rsidP="00656638">
      <w:pPr>
        <w:pStyle w:val="Caption"/>
        <w:jc w:val="center"/>
      </w:pPr>
      <w:r>
        <w:t xml:space="preserve">Figure </w:t>
      </w:r>
      <w:r>
        <w:fldChar w:fldCharType="begin"/>
      </w:r>
      <w:r>
        <w:instrText xml:space="preserve"> SEQ Figure \* ARABIC </w:instrText>
      </w:r>
      <w:r>
        <w:fldChar w:fldCharType="separate"/>
      </w:r>
      <w:r w:rsidR="0061244E">
        <w:rPr>
          <w:noProof/>
        </w:rPr>
        <w:t>4</w:t>
      </w:r>
      <w:r>
        <w:fldChar w:fldCharType="end"/>
      </w:r>
      <w:r>
        <w:t xml:space="preserve"> - </w:t>
      </w:r>
      <w:r w:rsidR="009D52E0" w:rsidRPr="009D52E0">
        <w:t xml:space="preserve">The energy savings of optimal configurations, compared with an only BB system, across different site </w:t>
      </w:r>
      <w:r w:rsidR="00F012FC" w:rsidRPr="009D52E0">
        <w:t>demands</w:t>
      </w:r>
    </w:p>
    <w:p w14:paraId="6D2FC06F" w14:textId="77896AFF" w:rsidR="0061244E" w:rsidRPr="0061244E" w:rsidRDefault="00CF36DA" w:rsidP="00CF36DA">
      <w:pPr>
        <w:pStyle w:val="Els-2ndorder-head"/>
      </w:pPr>
      <w:r>
        <w:t>Application to o</w:t>
      </w:r>
      <w:r w:rsidR="00AB284F">
        <w:t>perations</w:t>
      </w:r>
    </w:p>
    <w:p w14:paraId="1430CFB7" w14:textId="36620EFE" w:rsidR="008B040A" w:rsidRPr="00F012FC" w:rsidRDefault="00CC3CDF" w:rsidP="00CF36DA">
      <w:pPr>
        <w:jc w:val="both"/>
      </w:pPr>
      <w:r>
        <w:t xml:space="preserve">Due to the </w:t>
      </w:r>
      <w:r w:rsidRPr="00F012FC">
        <w:t>points above, demand response regimes were examined with respect to non-uniform configurations only</w:t>
      </w:r>
      <w:r w:rsidR="00655C4C" w:rsidRPr="00F012FC">
        <w:t>. Table 2</w:t>
      </w:r>
      <w:r w:rsidRPr="00F012FC">
        <w:t xml:space="preserve"> shows a selection of schemes considered. Overall, the best performing regime was the ‘Varying B’ regime, with performance being similar across </w:t>
      </w:r>
      <w:r w:rsidR="00655C4C" w:rsidRPr="00F012FC">
        <w:rPr>
          <w:rFonts w:ascii="Cambria Math" w:hAnsi="Cambria Math" w:cs="Cambria Math"/>
        </w:rPr>
        <w:t>𝛾</w:t>
      </w:r>
      <w:r w:rsidRPr="00F012FC">
        <w:t xml:space="preserve"> values. Taking the ‘Fixed </w:t>
      </w:r>
      <w:r w:rsidRPr="00F012FC">
        <w:rPr>
          <w:rFonts w:ascii="Cambria Math" w:hAnsi="Cambria Math" w:cs="Cambria Math"/>
        </w:rPr>
        <w:t>𝛼</w:t>
      </w:r>
      <w:r w:rsidRPr="00F012FC">
        <w:t xml:space="preserve"> = 0.1’ scheme as a benchmark, the optimal configuration for the ‘Varying B’ regime reduced annual costs by approximately 0.75% ($88,500). The ‘Fixed </w:t>
      </w:r>
      <w:r w:rsidRPr="00F012FC">
        <w:rPr>
          <w:rFonts w:ascii="Cambria Math" w:hAnsi="Cambria Math" w:cs="Cambria Math"/>
        </w:rPr>
        <w:t>𝛼</w:t>
      </w:r>
      <w:r w:rsidRPr="00F012FC">
        <w:t xml:space="preserve"> = 0.3’ scheme also performed well (reducing costs by 0.71%), with greater divergence from the ‘Varying B’ schemes with larger EB sizes. The ‘Varying A' schemes were found to perform worse than the benchmark scheme</w:t>
      </w:r>
      <w:r w:rsidR="00600C42" w:rsidRPr="00F012FC">
        <w:t xml:space="preserve">. </w:t>
      </w:r>
      <w:r w:rsidRPr="00F012FC">
        <w:t>The ‘Varying B’ regime was found to perform best across all siz</w:t>
      </w:r>
      <w:r w:rsidR="00526D3D" w:rsidRPr="00F012FC">
        <w:t>es</w:t>
      </w:r>
      <w:r w:rsidR="00431965" w:rsidRPr="00F012FC">
        <w:t xml:space="preserve">, likely due to </w:t>
      </w:r>
      <w:r w:rsidR="005E64B6" w:rsidRPr="00F012FC">
        <w:t xml:space="preserve">the </w:t>
      </w:r>
      <w:r w:rsidR="00826B09" w:rsidRPr="00F012FC">
        <w:t xml:space="preserve">magnitude of demand response </w:t>
      </w:r>
      <w:r w:rsidR="00481F57" w:rsidRPr="00F012FC">
        <w:t xml:space="preserve">adjusting for </w:t>
      </w:r>
      <w:r w:rsidR="00585711" w:rsidRPr="00F012FC">
        <w:t>future price</w:t>
      </w:r>
      <w:r w:rsidR="005F7B38" w:rsidRPr="00F012FC">
        <w:t xml:space="preserve">, as opposed to being </w:t>
      </w:r>
      <w:r w:rsidR="009E6EFC" w:rsidRPr="00F012FC">
        <w:t>constant</w:t>
      </w:r>
      <w:r w:rsidR="00751F74" w:rsidRPr="00F012FC">
        <w:t xml:space="preserve">. However, this is dependent on the accuracy of the </w:t>
      </w:r>
      <w:r w:rsidR="00AA15D9" w:rsidRPr="00F012FC">
        <w:t>future price value and price volatility, thus</w:t>
      </w:r>
      <w:r w:rsidRPr="00F012FC">
        <w:t xml:space="preserve"> more extensive investigation should be undertaken.</w:t>
      </w:r>
      <w:r w:rsidR="008B040A" w:rsidRPr="00F012FC">
        <w:t xml:space="preserve"> </w:t>
      </w:r>
    </w:p>
    <w:p w14:paraId="5D5EEB2C" w14:textId="2A5CE288" w:rsidR="00FB3CC4" w:rsidRPr="00526D3D" w:rsidRDefault="008B040A" w:rsidP="008B040A">
      <w:pPr>
        <w:spacing w:before="240" w:after="240"/>
        <w:jc w:val="both"/>
        <w:rPr>
          <w:rFonts w:ascii="Cambria Math" w:hAnsi="Cambria Math"/>
        </w:rPr>
      </w:pPr>
      <w:r w:rsidRPr="00F012FC">
        <w:t xml:space="preserve">With respect to </w:t>
      </w:r>
      <w:r w:rsidR="00C26294" w:rsidRPr="00F012FC">
        <w:rPr>
          <w:rFonts w:ascii="Cambria Math" w:hAnsi="Cambria Math" w:cs="Cambria Math"/>
        </w:rPr>
        <w:t>tuning factors</w:t>
      </w:r>
      <w:r w:rsidRPr="00F012FC">
        <w:t>,</w:t>
      </w:r>
      <w:r w:rsidR="006A71D8" w:rsidRPr="00F012FC">
        <w:t xml:space="preserve"> </w:t>
      </w:r>
      <w:r w:rsidR="00EC4FA2" w:rsidRPr="00F012FC">
        <w:rPr>
          <w:rFonts w:ascii="Cambria Math" w:hAnsi="Cambria Math"/>
        </w:rPr>
        <w:t xml:space="preserve">non-linear relationships were found between </w:t>
      </w:r>
      <w:r w:rsidR="007472C6" w:rsidRPr="00F012FC">
        <w:rPr>
          <w:rFonts w:ascii="Cambria Math" w:hAnsi="Cambria Math"/>
        </w:rPr>
        <w:t>their values and performance.</w:t>
      </w:r>
      <w:r w:rsidR="00FF3D9F" w:rsidRPr="00F012FC">
        <w:rPr>
          <w:rFonts w:ascii="Cambria Math" w:hAnsi="Cambria Math"/>
        </w:rPr>
        <w:t xml:space="preserve"> The value </w:t>
      </w:r>
      <w:r w:rsidR="00065FA8" w:rsidRPr="00F012FC">
        <w:rPr>
          <w:rFonts w:ascii="Cambria Math" w:hAnsi="Cambria Math"/>
        </w:rPr>
        <w:t xml:space="preserve">of </w:t>
      </w:r>
      <w:r w:rsidR="00065FA8" w:rsidRPr="00F012FC">
        <w:rPr>
          <w:rFonts w:ascii="Cambria Math" w:hAnsi="Cambria Math"/>
          <w:i/>
          <w:iCs/>
        </w:rPr>
        <w:t>𝛾</w:t>
      </w:r>
      <w:r w:rsidR="00D25265" w:rsidRPr="00F012FC">
        <w:rPr>
          <w:rFonts w:ascii="Cambria Math" w:hAnsi="Cambria Math"/>
          <w:i/>
          <w:iCs/>
        </w:rPr>
        <w:t xml:space="preserve"> </w:t>
      </w:r>
      <w:r w:rsidR="00D25265" w:rsidRPr="00F012FC">
        <w:rPr>
          <w:rFonts w:ascii="Cambria Math" w:hAnsi="Cambria Math"/>
        </w:rPr>
        <w:t>appeared to have a negligible effect on the performance of the ‘Varying B’ regime</w:t>
      </w:r>
      <w:r w:rsidR="00065FA8" w:rsidRPr="00F012FC">
        <w:rPr>
          <w:rFonts w:ascii="Cambria Math" w:hAnsi="Cambria Math"/>
        </w:rPr>
        <w:t xml:space="preserve">, as opposed to the value of </w:t>
      </w:r>
      <w:r w:rsidR="00065FA8" w:rsidRPr="00F012FC">
        <w:rPr>
          <w:rFonts w:ascii="Cambria Math" w:hAnsi="Cambria Math"/>
          <w:i/>
          <w:iCs/>
        </w:rPr>
        <w:t>𝛼</w:t>
      </w:r>
      <w:r w:rsidR="001A3C45" w:rsidRPr="00F012FC">
        <w:rPr>
          <w:rFonts w:ascii="Cambria Math" w:hAnsi="Cambria Math"/>
          <w:i/>
          <w:iCs/>
        </w:rPr>
        <w:t xml:space="preserve"> </w:t>
      </w:r>
      <w:r w:rsidR="001A3C45" w:rsidRPr="00F012FC">
        <w:rPr>
          <w:rFonts w:ascii="Cambria Math" w:hAnsi="Cambria Math"/>
        </w:rPr>
        <w:t>and</w:t>
      </w:r>
      <w:r w:rsidR="000D217B" w:rsidRPr="00F012FC">
        <w:rPr>
          <w:rFonts w:ascii="Cambria Math" w:hAnsi="Cambria Math"/>
        </w:rPr>
        <w:t xml:space="preserve"> the ‘Fixed’ regime</w:t>
      </w:r>
      <w:r w:rsidR="007818A8" w:rsidRPr="00F012FC">
        <w:rPr>
          <w:rFonts w:ascii="Cambria Math" w:hAnsi="Cambria Math"/>
          <w:i/>
          <w:iCs/>
        </w:rPr>
        <w:t xml:space="preserve">. </w:t>
      </w:r>
      <w:r w:rsidR="00065FA8" w:rsidRPr="00F012FC">
        <w:rPr>
          <w:rFonts w:ascii="Cambria Math" w:hAnsi="Cambria Math"/>
        </w:rPr>
        <w:t xml:space="preserve"> </w:t>
      </w:r>
      <w:r w:rsidR="000C7DD6" w:rsidRPr="00F012FC">
        <w:rPr>
          <w:rFonts w:ascii="Cambria Math" w:hAnsi="Cambria Math"/>
        </w:rPr>
        <w:t>This is likely due to t</w:t>
      </w:r>
      <w:r w:rsidR="006B386B" w:rsidRPr="00F012FC">
        <w:rPr>
          <w:rFonts w:ascii="Cambria Math" w:hAnsi="Cambria Math"/>
        </w:rPr>
        <w:t>he</w:t>
      </w:r>
      <w:r w:rsidR="007B3F07" w:rsidRPr="00F012FC">
        <w:rPr>
          <w:rFonts w:ascii="Cambria Math" w:hAnsi="Cambria Math"/>
        </w:rPr>
        <w:t xml:space="preserve"> influence of the price ratio</w:t>
      </w:r>
      <w:r w:rsidR="00595E2B" w:rsidRPr="00F012FC">
        <w:rPr>
          <w:rFonts w:ascii="Cambria Math" w:hAnsi="Cambria Math"/>
        </w:rPr>
        <w:t xml:space="preserve"> </w:t>
      </w:r>
      <w:r w:rsidR="003434A4" w:rsidRPr="00F012FC">
        <w:rPr>
          <w:rFonts w:ascii="Cambria Math" w:hAnsi="Cambria Math"/>
        </w:rPr>
        <w:t xml:space="preserve">dwarfing the tuning factor </w:t>
      </w:r>
      <w:r w:rsidR="00914DC6" w:rsidRPr="00F012FC">
        <w:rPr>
          <w:rFonts w:ascii="Cambria Math" w:hAnsi="Cambria Math"/>
        </w:rPr>
        <w:t xml:space="preserve">effects </w:t>
      </w:r>
      <w:r w:rsidR="003434A4" w:rsidRPr="00F012FC">
        <w:rPr>
          <w:rFonts w:ascii="Cambria Math" w:hAnsi="Cambria Math"/>
        </w:rPr>
        <w:t xml:space="preserve">and/or the </w:t>
      </w:r>
      <w:r w:rsidR="00BF2F1D" w:rsidRPr="00F012FC">
        <w:rPr>
          <w:rFonts w:ascii="Cambria Math" w:hAnsi="Cambria Math"/>
        </w:rPr>
        <w:t xml:space="preserve">simulation constraints bounding the </w:t>
      </w:r>
      <w:r w:rsidR="00526D3D" w:rsidRPr="00F012FC">
        <w:rPr>
          <w:rFonts w:ascii="Cambria Math" w:hAnsi="Cambria Math"/>
        </w:rPr>
        <w:t xml:space="preserve">effects of ‘Varying B’ more than the ‘Fixed’ regime. </w:t>
      </w:r>
      <w:r w:rsidR="00FB3CC4" w:rsidRPr="00F012FC">
        <w:rPr>
          <w:rFonts w:ascii="Cambria Math" w:hAnsi="Cambria Math"/>
        </w:rPr>
        <w:t xml:space="preserve">More extreme </w:t>
      </w:r>
      <w:r w:rsidR="00FB3CC4" w:rsidRPr="00F012FC">
        <w:rPr>
          <w:rFonts w:ascii="Cambria Math" w:hAnsi="Cambria Math"/>
          <w:i/>
          <w:iCs/>
        </w:rPr>
        <w:t>𝛾</w:t>
      </w:r>
      <w:r w:rsidR="00FB3CC4" w:rsidRPr="00F012FC">
        <w:rPr>
          <w:rFonts w:ascii="Cambria Math" w:hAnsi="Cambria Math"/>
        </w:rPr>
        <w:t xml:space="preserve"> values should be examined to further improve the performance of ‘Varying B’ schemes.</w:t>
      </w:r>
    </w:p>
    <w:p w14:paraId="20FD1352" w14:textId="4668ADF0" w:rsidR="00A913A3" w:rsidRDefault="00A913A3" w:rsidP="00A913A3">
      <w:pPr>
        <w:pStyle w:val="Caption"/>
        <w:keepNext/>
      </w:pPr>
      <w:r>
        <w:lastRenderedPageBreak/>
        <w:t xml:space="preserve">Table </w:t>
      </w:r>
      <w:r>
        <w:fldChar w:fldCharType="begin"/>
      </w:r>
      <w:r>
        <w:instrText xml:space="preserve"> SEQ Table \* ARABIC </w:instrText>
      </w:r>
      <w:r>
        <w:fldChar w:fldCharType="separate"/>
      </w:r>
      <w:r>
        <w:rPr>
          <w:noProof/>
        </w:rPr>
        <w:t>2</w:t>
      </w:r>
      <w:r>
        <w:fldChar w:fldCharType="end"/>
      </w:r>
      <w:r>
        <w:t xml:space="preserve"> - Comparison of demand response regimes and tuning </w:t>
      </w:r>
      <w:r w:rsidR="004907F5">
        <w:t>factor</w:t>
      </w:r>
      <w:r w:rsidR="008E01FF">
        <w:t xml:space="preserve"> </w:t>
      </w:r>
      <w:r>
        <w:t>values</w:t>
      </w:r>
    </w:p>
    <w:tbl>
      <w:tblPr>
        <w:tblStyle w:val="TableGrid"/>
        <w:tblW w:w="7077" w:type="dxa"/>
        <w:tblLook w:val="04A0" w:firstRow="1" w:lastRow="0" w:firstColumn="1" w:lastColumn="0" w:noHBand="0" w:noVBand="1"/>
      </w:tblPr>
      <w:tblGrid>
        <w:gridCol w:w="1838"/>
        <w:gridCol w:w="1559"/>
        <w:gridCol w:w="3680"/>
      </w:tblGrid>
      <w:tr w:rsidR="008B040A" w14:paraId="3FA87308" w14:textId="77777777" w:rsidTr="004053DD">
        <w:tc>
          <w:tcPr>
            <w:tcW w:w="1838" w:type="dxa"/>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tcPr>
          <w:p w14:paraId="3CEA3B52" w14:textId="3317660F" w:rsidR="008B040A" w:rsidRPr="001A58DA" w:rsidRDefault="001A58DA" w:rsidP="004053DD">
            <w:pPr>
              <w:rPr>
                <w:rFonts w:ascii="Times New Roman" w:hAnsi="Times New Roman" w:cs="Times New Roman"/>
                <w:b/>
                <w:bCs/>
                <w:sz w:val="20"/>
                <w:szCs w:val="20"/>
              </w:rPr>
            </w:pPr>
            <w:r>
              <w:rPr>
                <w:rFonts w:ascii="Times New Roman" w:hAnsi="Times New Roman" w:cs="Times New Roman"/>
                <w:b/>
                <w:bCs/>
                <w:sz w:val="20"/>
                <w:szCs w:val="20"/>
              </w:rPr>
              <w:t>Demand response regime</w:t>
            </w:r>
          </w:p>
        </w:tc>
        <w:tc>
          <w:tcPr>
            <w:tcW w:w="1559" w:type="dxa"/>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tcPr>
          <w:p w14:paraId="00F28CA3" w14:textId="519F160B" w:rsidR="008B040A" w:rsidRPr="001A58DA" w:rsidRDefault="00105DED" w:rsidP="004053DD">
            <w:pPr>
              <w:rPr>
                <w:rFonts w:ascii="Times New Roman" w:hAnsi="Times New Roman" w:cs="Times New Roman"/>
                <w:b/>
                <w:bCs/>
                <w:sz w:val="20"/>
                <w:szCs w:val="20"/>
              </w:rPr>
            </w:pPr>
            <w:r>
              <w:rPr>
                <w:rFonts w:ascii="Times New Roman" w:hAnsi="Times New Roman" w:cs="Times New Roman"/>
                <w:b/>
                <w:bCs/>
                <w:sz w:val="20"/>
                <w:szCs w:val="20"/>
              </w:rPr>
              <w:t>Tuning factor</w:t>
            </w:r>
            <w:r w:rsidR="001A58DA">
              <w:rPr>
                <w:rFonts w:ascii="Times New Roman" w:hAnsi="Times New Roman" w:cs="Times New Roman"/>
                <w:b/>
                <w:bCs/>
                <w:sz w:val="20"/>
                <w:szCs w:val="20"/>
              </w:rPr>
              <w:t xml:space="preserve"> value</w:t>
            </w:r>
          </w:p>
        </w:tc>
        <w:tc>
          <w:tcPr>
            <w:tcW w:w="3680" w:type="dxa"/>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tcPr>
          <w:p w14:paraId="740A0681" w14:textId="7459F62A" w:rsidR="008B040A" w:rsidRPr="00593FE0" w:rsidRDefault="001A58DA" w:rsidP="001C03E3">
            <w:pPr>
              <w:jc w:val="both"/>
              <w:rPr>
                <w:rFonts w:ascii="Times New Roman" w:hAnsi="Times New Roman" w:cs="Times New Roman"/>
                <w:b/>
                <w:bCs/>
                <w:sz w:val="20"/>
                <w:szCs w:val="20"/>
              </w:rPr>
            </w:pPr>
            <w:r>
              <w:rPr>
                <w:rFonts w:ascii="Times New Roman" w:hAnsi="Times New Roman" w:cs="Times New Roman"/>
                <w:b/>
                <w:bCs/>
                <w:sz w:val="20"/>
                <w:szCs w:val="20"/>
              </w:rPr>
              <w:t>Total annual energy costs of optimal non-uniform system configuration</w:t>
            </w:r>
          </w:p>
        </w:tc>
      </w:tr>
      <w:tr w:rsidR="00593FE0" w14:paraId="5D03AD0A" w14:textId="77777777" w:rsidTr="00277734">
        <w:trPr>
          <w:trHeight w:val="50"/>
        </w:trPr>
        <w:tc>
          <w:tcPr>
            <w:tcW w:w="1838" w:type="dxa"/>
            <w:vMerge w:val="restart"/>
            <w:tcBorders>
              <w:left w:val="nil"/>
              <w:bottom w:val="nil"/>
              <w:right w:val="nil"/>
            </w:tcBorders>
            <w:shd w:val="clear" w:color="auto" w:fill="auto"/>
            <w:vAlign w:val="center"/>
          </w:tcPr>
          <w:p w14:paraId="3C51DC23" w14:textId="7CA0919A" w:rsidR="00593FE0" w:rsidRPr="00593FE0" w:rsidRDefault="00593FE0" w:rsidP="00593FE0">
            <w:pPr>
              <w:rPr>
                <w:rFonts w:ascii="Times New Roman" w:hAnsi="Times New Roman" w:cs="Times New Roman"/>
                <w:sz w:val="20"/>
                <w:szCs w:val="20"/>
              </w:rPr>
            </w:pPr>
            <w:r w:rsidRPr="00593FE0">
              <w:rPr>
                <w:rFonts w:ascii="Times New Roman" w:hAnsi="Times New Roman" w:cs="Times New Roman"/>
                <w:sz w:val="20"/>
                <w:szCs w:val="20"/>
              </w:rPr>
              <w:t>Fixed</w:t>
            </w:r>
          </w:p>
        </w:tc>
        <w:tc>
          <w:tcPr>
            <w:tcW w:w="1559" w:type="dxa"/>
            <w:tcBorders>
              <w:left w:val="nil"/>
              <w:bottom w:val="nil"/>
              <w:right w:val="nil"/>
            </w:tcBorders>
            <w:shd w:val="clear" w:color="auto" w:fill="auto"/>
            <w:vAlign w:val="center"/>
          </w:tcPr>
          <w:p w14:paraId="2B770993" w14:textId="63B6F22B" w:rsidR="00593FE0" w:rsidRPr="00593FE0" w:rsidRDefault="00766646" w:rsidP="001A58DA">
            <w:pPr>
              <w:rPr>
                <w:rFonts w:ascii="Times New Roman" w:hAnsi="Times New Roman" w:cs="Times New Roman"/>
                <w:sz w:val="20"/>
                <w:szCs w:val="20"/>
              </w:rPr>
            </w:pPr>
            <w:r w:rsidRPr="00766646">
              <w:rPr>
                <w:rFonts w:ascii="Cambria Math" w:hAnsi="Cambria Math" w:cs="Times New Roman"/>
                <w:i/>
                <w:iCs/>
                <w:sz w:val="20"/>
                <w:szCs w:val="20"/>
              </w:rPr>
              <w:t>𝛼</w:t>
            </w:r>
            <w:r>
              <w:rPr>
                <w:rFonts w:ascii="Cambria Math" w:hAnsi="Cambria Math" w:cs="Times New Roman"/>
                <w:i/>
                <w:iCs/>
                <w:sz w:val="20"/>
                <w:szCs w:val="20"/>
              </w:rPr>
              <w:t xml:space="preserve"> </w:t>
            </w:r>
            <w:r w:rsidR="00A74419">
              <w:rPr>
                <w:rFonts w:ascii="Times New Roman" w:hAnsi="Times New Roman" w:cs="Times New Roman"/>
                <w:sz w:val="20"/>
                <w:szCs w:val="20"/>
              </w:rPr>
              <w:t>= 0.1</w:t>
            </w:r>
          </w:p>
        </w:tc>
        <w:tc>
          <w:tcPr>
            <w:tcW w:w="3680" w:type="dxa"/>
            <w:tcBorders>
              <w:left w:val="nil"/>
              <w:bottom w:val="nil"/>
              <w:right w:val="single" w:sz="4" w:space="0" w:color="FFFFFF" w:themeColor="background1"/>
            </w:tcBorders>
            <w:shd w:val="clear" w:color="auto" w:fill="auto"/>
            <w:vAlign w:val="center"/>
          </w:tcPr>
          <w:p w14:paraId="10B72499" w14:textId="63D12F63" w:rsidR="00593FE0" w:rsidRPr="00593FE0" w:rsidRDefault="00FE7B69" w:rsidP="00277734">
            <w:pPr>
              <w:jc w:val="center"/>
              <w:rPr>
                <w:rFonts w:ascii="Times New Roman" w:hAnsi="Times New Roman" w:cs="Times New Roman"/>
                <w:sz w:val="20"/>
                <w:szCs w:val="20"/>
              </w:rPr>
            </w:pPr>
            <w:r>
              <w:rPr>
                <w:rFonts w:ascii="Times New Roman" w:hAnsi="Times New Roman" w:cs="Times New Roman"/>
                <w:sz w:val="20"/>
                <w:szCs w:val="20"/>
              </w:rPr>
              <w:t>$</w:t>
            </w:r>
            <w:r w:rsidR="00FB721B">
              <w:rPr>
                <w:rFonts w:ascii="Times New Roman" w:hAnsi="Times New Roman" w:cs="Times New Roman"/>
                <w:sz w:val="20"/>
                <w:szCs w:val="20"/>
              </w:rPr>
              <w:t>11,526,656</w:t>
            </w:r>
          </w:p>
        </w:tc>
      </w:tr>
      <w:tr w:rsidR="00593FE0" w14:paraId="1F3B7C16" w14:textId="77777777" w:rsidTr="00277734">
        <w:trPr>
          <w:trHeight w:val="50"/>
        </w:trPr>
        <w:tc>
          <w:tcPr>
            <w:tcW w:w="1838" w:type="dxa"/>
            <w:vMerge/>
            <w:tcBorders>
              <w:top w:val="nil"/>
              <w:left w:val="nil"/>
              <w:bottom w:val="nil"/>
              <w:right w:val="nil"/>
            </w:tcBorders>
            <w:shd w:val="clear" w:color="auto" w:fill="auto"/>
            <w:vAlign w:val="center"/>
          </w:tcPr>
          <w:p w14:paraId="169AFE54" w14:textId="77777777" w:rsidR="00593FE0" w:rsidRPr="00593FE0" w:rsidRDefault="00593FE0" w:rsidP="00593FE0">
            <w:pPr>
              <w:rPr>
                <w:rFonts w:ascii="Times New Roman" w:hAnsi="Times New Roman" w:cs="Times New Roman"/>
                <w:sz w:val="20"/>
                <w:szCs w:val="20"/>
              </w:rPr>
            </w:pPr>
          </w:p>
        </w:tc>
        <w:tc>
          <w:tcPr>
            <w:tcW w:w="1559" w:type="dxa"/>
            <w:tcBorders>
              <w:top w:val="nil"/>
              <w:left w:val="nil"/>
              <w:bottom w:val="nil"/>
              <w:right w:val="nil"/>
            </w:tcBorders>
            <w:shd w:val="clear" w:color="auto" w:fill="auto"/>
            <w:vAlign w:val="center"/>
          </w:tcPr>
          <w:p w14:paraId="531B8B58" w14:textId="098ACA16" w:rsidR="00593FE0" w:rsidRPr="00593FE0" w:rsidRDefault="00766646" w:rsidP="001A58DA">
            <w:pPr>
              <w:rPr>
                <w:rFonts w:ascii="Times New Roman" w:hAnsi="Times New Roman" w:cs="Times New Roman"/>
                <w:sz w:val="20"/>
                <w:szCs w:val="20"/>
              </w:rPr>
            </w:pPr>
            <w:r w:rsidRPr="00766646">
              <w:rPr>
                <w:rFonts w:ascii="Cambria Math" w:hAnsi="Cambria Math" w:cs="Times New Roman"/>
                <w:i/>
                <w:iCs/>
                <w:sz w:val="20"/>
                <w:szCs w:val="20"/>
              </w:rPr>
              <w:t>𝛼</w:t>
            </w:r>
            <w:r w:rsidR="00A74419" w:rsidRPr="00766646">
              <w:rPr>
                <w:rFonts w:ascii="Times New Roman" w:hAnsi="Times New Roman" w:cs="Times New Roman"/>
                <w:i/>
                <w:iCs/>
                <w:sz w:val="20"/>
                <w:szCs w:val="20"/>
              </w:rPr>
              <w:t xml:space="preserve"> </w:t>
            </w:r>
            <w:r w:rsidR="00A74419">
              <w:rPr>
                <w:rFonts w:ascii="Times New Roman" w:hAnsi="Times New Roman" w:cs="Times New Roman"/>
                <w:sz w:val="20"/>
                <w:szCs w:val="20"/>
              </w:rPr>
              <w:t>= 0.3</w:t>
            </w:r>
          </w:p>
        </w:tc>
        <w:tc>
          <w:tcPr>
            <w:tcW w:w="3680" w:type="dxa"/>
            <w:tcBorders>
              <w:top w:val="nil"/>
              <w:left w:val="nil"/>
              <w:bottom w:val="nil"/>
              <w:right w:val="single" w:sz="4" w:space="0" w:color="FFFFFF" w:themeColor="background1"/>
            </w:tcBorders>
            <w:shd w:val="clear" w:color="auto" w:fill="auto"/>
            <w:vAlign w:val="center"/>
          </w:tcPr>
          <w:p w14:paraId="62BD9CF6" w14:textId="05D85BE8" w:rsidR="00593FE0" w:rsidRPr="00593FE0" w:rsidRDefault="00FE7B69" w:rsidP="00277734">
            <w:pPr>
              <w:jc w:val="center"/>
              <w:rPr>
                <w:rFonts w:ascii="Times New Roman" w:hAnsi="Times New Roman" w:cs="Times New Roman"/>
                <w:sz w:val="20"/>
                <w:szCs w:val="20"/>
              </w:rPr>
            </w:pPr>
            <w:r>
              <w:rPr>
                <w:rFonts w:ascii="Times New Roman" w:hAnsi="Times New Roman" w:cs="Times New Roman"/>
                <w:sz w:val="20"/>
                <w:szCs w:val="20"/>
              </w:rPr>
              <w:t>$11,444.895</w:t>
            </w:r>
          </w:p>
        </w:tc>
      </w:tr>
      <w:tr w:rsidR="00593FE0" w14:paraId="2D40EE3A" w14:textId="77777777" w:rsidTr="00277734">
        <w:trPr>
          <w:trHeight w:val="50"/>
        </w:trPr>
        <w:tc>
          <w:tcPr>
            <w:tcW w:w="1838" w:type="dxa"/>
            <w:vMerge w:val="restart"/>
            <w:tcBorders>
              <w:top w:val="nil"/>
              <w:left w:val="nil"/>
              <w:bottom w:val="nil"/>
              <w:right w:val="nil"/>
            </w:tcBorders>
            <w:shd w:val="clear" w:color="auto" w:fill="auto"/>
            <w:vAlign w:val="center"/>
          </w:tcPr>
          <w:p w14:paraId="1671EE7A" w14:textId="65D45487" w:rsidR="00593FE0" w:rsidRPr="00593FE0" w:rsidRDefault="00593FE0" w:rsidP="00593FE0">
            <w:pPr>
              <w:rPr>
                <w:rFonts w:ascii="Times New Roman" w:hAnsi="Times New Roman" w:cs="Times New Roman"/>
                <w:sz w:val="20"/>
                <w:szCs w:val="20"/>
              </w:rPr>
            </w:pPr>
            <w:r w:rsidRPr="00593FE0">
              <w:rPr>
                <w:rFonts w:ascii="Times New Roman" w:hAnsi="Times New Roman" w:cs="Times New Roman"/>
                <w:sz w:val="20"/>
                <w:szCs w:val="20"/>
              </w:rPr>
              <w:t>Varying</w:t>
            </w:r>
            <w:r w:rsidR="00766646">
              <w:rPr>
                <w:rFonts w:ascii="Times New Roman" w:hAnsi="Times New Roman" w:cs="Times New Roman"/>
                <w:sz w:val="20"/>
                <w:szCs w:val="20"/>
              </w:rPr>
              <w:t xml:space="preserve"> A</w:t>
            </w:r>
          </w:p>
        </w:tc>
        <w:tc>
          <w:tcPr>
            <w:tcW w:w="1559" w:type="dxa"/>
            <w:tcBorders>
              <w:top w:val="nil"/>
              <w:left w:val="nil"/>
              <w:bottom w:val="nil"/>
              <w:right w:val="nil"/>
            </w:tcBorders>
            <w:shd w:val="clear" w:color="auto" w:fill="auto"/>
            <w:vAlign w:val="center"/>
          </w:tcPr>
          <w:p w14:paraId="2BD67E03" w14:textId="5F926200" w:rsidR="00A74419" w:rsidRPr="00593FE0" w:rsidRDefault="00766646" w:rsidP="001A58DA">
            <w:pPr>
              <w:rPr>
                <w:rFonts w:ascii="Times New Roman" w:hAnsi="Times New Roman" w:cs="Times New Roman"/>
                <w:sz w:val="20"/>
                <w:szCs w:val="20"/>
              </w:rPr>
            </w:pPr>
            <w:r w:rsidRPr="00766646">
              <w:rPr>
                <w:rFonts w:ascii="Cambria Math" w:hAnsi="Cambria Math" w:cs="Times New Roman"/>
                <w:i/>
                <w:iCs/>
                <w:sz w:val="20"/>
                <w:szCs w:val="20"/>
              </w:rPr>
              <w:t>β</w:t>
            </w:r>
            <w:r w:rsidR="00A74419">
              <w:rPr>
                <w:rFonts w:ascii="Times New Roman" w:hAnsi="Times New Roman" w:cs="Times New Roman"/>
                <w:sz w:val="20"/>
                <w:szCs w:val="20"/>
              </w:rPr>
              <w:t xml:space="preserve"> = 0.5</w:t>
            </w:r>
          </w:p>
        </w:tc>
        <w:tc>
          <w:tcPr>
            <w:tcW w:w="3680" w:type="dxa"/>
            <w:tcBorders>
              <w:top w:val="nil"/>
              <w:left w:val="nil"/>
              <w:bottom w:val="nil"/>
              <w:right w:val="single" w:sz="4" w:space="0" w:color="FFFFFF" w:themeColor="background1"/>
            </w:tcBorders>
            <w:shd w:val="clear" w:color="auto" w:fill="auto"/>
            <w:vAlign w:val="center"/>
          </w:tcPr>
          <w:p w14:paraId="5EACFBB3" w14:textId="66DDE64A" w:rsidR="00593FE0" w:rsidRPr="00593FE0" w:rsidRDefault="00EB4744" w:rsidP="00277734">
            <w:pPr>
              <w:jc w:val="center"/>
              <w:rPr>
                <w:rFonts w:ascii="Times New Roman" w:hAnsi="Times New Roman" w:cs="Times New Roman"/>
                <w:sz w:val="20"/>
                <w:szCs w:val="20"/>
              </w:rPr>
            </w:pPr>
            <w:r>
              <w:rPr>
                <w:rFonts w:ascii="Times New Roman" w:hAnsi="Times New Roman" w:cs="Times New Roman"/>
                <w:sz w:val="20"/>
                <w:szCs w:val="20"/>
              </w:rPr>
              <w:t>$11,585,552</w:t>
            </w:r>
          </w:p>
        </w:tc>
      </w:tr>
      <w:tr w:rsidR="00593FE0" w14:paraId="0579C44E" w14:textId="77777777" w:rsidTr="00277734">
        <w:trPr>
          <w:trHeight w:val="50"/>
        </w:trPr>
        <w:tc>
          <w:tcPr>
            <w:tcW w:w="1838" w:type="dxa"/>
            <w:vMerge/>
            <w:tcBorders>
              <w:top w:val="nil"/>
              <w:left w:val="nil"/>
              <w:bottom w:val="nil"/>
              <w:right w:val="nil"/>
            </w:tcBorders>
            <w:shd w:val="clear" w:color="auto" w:fill="auto"/>
          </w:tcPr>
          <w:p w14:paraId="0EEA6624" w14:textId="77777777" w:rsidR="00593FE0" w:rsidRPr="00593FE0" w:rsidRDefault="00593FE0" w:rsidP="001C03E3">
            <w:pPr>
              <w:jc w:val="both"/>
              <w:rPr>
                <w:rFonts w:ascii="Times New Roman" w:hAnsi="Times New Roman" w:cs="Times New Roman"/>
                <w:sz w:val="20"/>
                <w:szCs w:val="20"/>
              </w:rPr>
            </w:pPr>
          </w:p>
        </w:tc>
        <w:tc>
          <w:tcPr>
            <w:tcW w:w="1559" w:type="dxa"/>
            <w:tcBorders>
              <w:top w:val="nil"/>
              <w:left w:val="nil"/>
              <w:bottom w:val="nil"/>
              <w:right w:val="nil"/>
            </w:tcBorders>
            <w:shd w:val="clear" w:color="auto" w:fill="auto"/>
            <w:vAlign w:val="center"/>
          </w:tcPr>
          <w:p w14:paraId="515D23DB" w14:textId="37DE9103" w:rsidR="00593FE0" w:rsidRPr="00593FE0" w:rsidRDefault="00766646" w:rsidP="001A58DA">
            <w:pPr>
              <w:rPr>
                <w:rFonts w:ascii="Times New Roman" w:hAnsi="Times New Roman" w:cs="Times New Roman"/>
                <w:sz w:val="20"/>
                <w:szCs w:val="20"/>
              </w:rPr>
            </w:pPr>
            <w:r w:rsidRPr="00766646">
              <w:rPr>
                <w:rFonts w:ascii="Cambria Math" w:hAnsi="Cambria Math" w:cs="Times New Roman"/>
                <w:i/>
                <w:iCs/>
                <w:sz w:val="20"/>
                <w:szCs w:val="20"/>
              </w:rPr>
              <w:t>β</w:t>
            </w:r>
            <w:r w:rsidR="00A74419">
              <w:rPr>
                <w:rFonts w:ascii="Times New Roman" w:hAnsi="Times New Roman" w:cs="Times New Roman"/>
                <w:sz w:val="20"/>
                <w:szCs w:val="20"/>
              </w:rPr>
              <w:t xml:space="preserve"> = 1</w:t>
            </w:r>
          </w:p>
        </w:tc>
        <w:tc>
          <w:tcPr>
            <w:tcW w:w="3680" w:type="dxa"/>
            <w:tcBorders>
              <w:top w:val="nil"/>
              <w:left w:val="nil"/>
              <w:bottom w:val="nil"/>
              <w:right w:val="single" w:sz="4" w:space="0" w:color="FFFFFF" w:themeColor="background1"/>
            </w:tcBorders>
            <w:shd w:val="clear" w:color="auto" w:fill="auto"/>
            <w:vAlign w:val="center"/>
          </w:tcPr>
          <w:p w14:paraId="7D356BE9" w14:textId="69DDE5B1" w:rsidR="00593FE0" w:rsidRPr="00593FE0" w:rsidRDefault="00E8008F" w:rsidP="00277734">
            <w:pPr>
              <w:jc w:val="center"/>
              <w:rPr>
                <w:rFonts w:ascii="Times New Roman" w:hAnsi="Times New Roman" w:cs="Times New Roman"/>
                <w:sz w:val="20"/>
                <w:szCs w:val="20"/>
              </w:rPr>
            </w:pPr>
            <w:r>
              <w:rPr>
                <w:rFonts w:ascii="Times New Roman" w:hAnsi="Times New Roman" w:cs="Times New Roman"/>
                <w:sz w:val="20"/>
                <w:szCs w:val="20"/>
              </w:rPr>
              <w:t>$11.541</w:t>
            </w:r>
            <w:r w:rsidR="002B0EAD">
              <w:rPr>
                <w:rFonts w:ascii="Times New Roman" w:hAnsi="Times New Roman" w:cs="Times New Roman"/>
                <w:sz w:val="20"/>
                <w:szCs w:val="20"/>
              </w:rPr>
              <w:t>,</w:t>
            </w:r>
            <w:r>
              <w:rPr>
                <w:rFonts w:ascii="Times New Roman" w:hAnsi="Times New Roman" w:cs="Times New Roman"/>
                <w:sz w:val="20"/>
                <w:szCs w:val="20"/>
              </w:rPr>
              <w:t>16</w:t>
            </w:r>
            <w:r w:rsidR="002B0EAD">
              <w:rPr>
                <w:rFonts w:ascii="Times New Roman" w:hAnsi="Times New Roman" w:cs="Times New Roman"/>
                <w:sz w:val="20"/>
                <w:szCs w:val="20"/>
              </w:rPr>
              <w:t>2</w:t>
            </w:r>
          </w:p>
        </w:tc>
      </w:tr>
      <w:tr w:rsidR="00593FE0" w14:paraId="032B1A06" w14:textId="77777777" w:rsidTr="00277734">
        <w:trPr>
          <w:trHeight w:val="119"/>
        </w:trPr>
        <w:tc>
          <w:tcPr>
            <w:tcW w:w="1838" w:type="dxa"/>
            <w:vMerge w:val="restart"/>
            <w:tcBorders>
              <w:top w:val="nil"/>
              <w:left w:val="nil"/>
              <w:bottom w:val="nil"/>
              <w:right w:val="nil"/>
            </w:tcBorders>
            <w:shd w:val="clear" w:color="auto" w:fill="auto"/>
            <w:vAlign w:val="center"/>
          </w:tcPr>
          <w:p w14:paraId="1B1B3D14" w14:textId="44EFB937" w:rsidR="00593FE0" w:rsidRPr="00593FE0" w:rsidRDefault="00593FE0" w:rsidP="00593FE0">
            <w:pPr>
              <w:rPr>
                <w:rFonts w:ascii="Times New Roman" w:hAnsi="Times New Roman" w:cs="Times New Roman"/>
                <w:sz w:val="20"/>
                <w:szCs w:val="20"/>
              </w:rPr>
            </w:pPr>
            <w:r w:rsidRPr="00593FE0">
              <w:rPr>
                <w:rFonts w:ascii="Times New Roman" w:hAnsi="Times New Roman" w:cs="Times New Roman"/>
                <w:sz w:val="20"/>
                <w:szCs w:val="20"/>
              </w:rPr>
              <w:t>Varying</w:t>
            </w:r>
            <w:r w:rsidR="00766646">
              <w:rPr>
                <w:rFonts w:ascii="Times New Roman" w:hAnsi="Times New Roman" w:cs="Times New Roman"/>
                <w:sz w:val="20"/>
                <w:szCs w:val="20"/>
              </w:rPr>
              <w:t xml:space="preserve"> B</w:t>
            </w:r>
          </w:p>
        </w:tc>
        <w:tc>
          <w:tcPr>
            <w:tcW w:w="1559" w:type="dxa"/>
            <w:tcBorders>
              <w:top w:val="nil"/>
              <w:left w:val="nil"/>
              <w:bottom w:val="nil"/>
              <w:right w:val="nil"/>
            </w:tcBorders>
            <w:shd w:val="clear" w:color="auto" w:fill="auto"/>
            <w:vAlign w:val="center"/>
          </w:tcPr>
          <w:p w14:paraId="7F02E208" w14:textId="0406DA01" w:rsidR="00593FE0" w:rsidRPr="00593FE0" w:rsidRDefault="00766646" w:rsidP="001A58DA">
            <w:pPr>
              <w:rPr>
                <w:rFonts w:ascii="Times New Roman" w:hAnsi="Times New Roman" w:cs="Times New Roman"/>
                <w:sz w:val="20"/>
                <w:szCs w:val="20"/>
              </w:rPr>
            </w:pPr>
            <w:r w:rsidRPr="00766646">
              <w:rPr>
                <w:rFonts w:ascii="Cambria Math" w:hAnsi="Cambria Math" w:cs="Times New Roman"/>
                <w:i/>
                <w:iCs/>
                <w:sz w:val="20"/>
                <w:szCs w:val="20"/>
              </w:rPr>
              <w:t>𝛾</w:t>
            </w:r>
            <w:r>
              <w:rPr>
                <w:rFonts w:ascii="Times New Roman" w:hAnsi="Times New Roman" w:cs="Times New Roman"/>
                <w:sz w:val="20"/>
                <w:szCs w:val="20"/>
              </w:rPr>
              <w:t xml:space="preserve"> </w:t>
            </w:r>
            <w:r w:rsidR="00A74419">
              <w:rPr>
                <w:rFonts w:ascii="Times New Roman" w:hAnsi="Times New Roman" w:cs="Times New Roman"/>
                <w:sz w:val="20"/>
                <w:szCs w:val="20"/>
              </w:rPr>
              <w:t>= 0.5</w:t>
            </w:r>
          </w:p>
        </w:tc>
        <w:tc>
          <w:tcPr>
            <w:tcW w:w="3680" w:type="dxa"/>
            <w:tcBorders>
              <w:top w:val="nil"/>
              <w:left w:val="nil"/>
              <w:bottom w:val="nil"/>
              <w:right w:val="single" w:sz="4" w:space="0" w:color="FFFFFF" w:themeColor="background1"/>
            </w:tcBorders>
            <w:shd w:val="clear" w:color="auto" w:fill="auto"/>
            <w:vAlign w:val="center"/>
          </w:tcPr>
          <w:p w14:paraId="2CA64ED5" w14:textId="06025453" w:rsidR="00593FE0" w:rsidRPr="00593FE0" w:rsidRDefault="009B02DD" w:rsidP="00277734">
            <w:pPr>
              <w:jc w:val="center"/>
              <w:rPr>
                <w:rFonts w:ascii="Times New Roman" w:hAnsi="Times New Roman" w:cs="Times New Roman"/>
                <w:sz w:val="20"/>
                <w:szCs w:val="20"/>
              </w:rPr>
            </w:pPr>
            <w:r>
              <w:rPr>
                <w:rFonts w:ascii="Times New Roman" w:hAnsi="Times New Roman" w:cs="Times New Roman"/>
                <w:sz w:val="20"/>
                <w:szCs w:val="20"/>
              </w:rPr>
              <w:t>$11,4</w:t>
            </w:r>
            <w:r w:rsidR="00E8008F">
              <w:rPr>
                <w:rFonts w:ascii="Times New Roman" w:hAnsi="Times New Roman" w:cs="Times New Roman"/>
                <w:sz w:val="20"/>
                <w:szCs w:val="20"/>
              </w:rPr>
              <w:t>50</w:t>
            </w:r>
            <w:r w:rsidR="002B0EAD">
              <w:rPr>
                <w:rFonts w:ascii="Times New Roman" w:hAnsi="Times New Roman" w:cs="Times New Roman"/>
                <w:sz w:val="20"/>
                <w:szCs w:val="20"/>
              </w:rPr>
              <w:t>,</w:t>
            </w:r>
            <w:r w:rsidR="00E8008F">
              <w:rPr>
                <w:rFonts w:ascii="Times New Roman" w:hAnsi="Times New Roman" w:cs="Times New Roman"/>
                <w:sz w:val="20"/>
                <w:szCs w:val="20"/>
              </w:rPr>
              <w:t>747</w:t>
            </w:r>
          </w:p>
        </w:tc>
      </w:tr>
      <w:tr w:rsidR="00593FE0" w14:paraId="5A5FE434" w14:textId="77777777" w:rsidTr="00277734">
        <w:tc>
          <w:tcPr>
            <w:tcW w:w="1838" w:type="dxa"/>
            <w:vMerge/>
            <w:tcBorders>
              <w:top w:val="nil"/>
              <w:left w:val="nil"/>
              <w:bottom w:val="single" w:sz="4" w:space="0" w:color="000000" w:themeColor="text1"/>
              <w:right w:val="nil"/>
            </w:tcBorders>
            <w:shd w:val="clear" w:color="auto" w:fill="auto"/>
          </w:tcPr>
          <w:p w14:paraId="71123FF5" w14:textId="6F574FF8" w:rsidR="00593FE0" w:rsidRPr="00593FE0" w:rsidRDefault="00593FE0" w:rsidP="001C03E3">
            <w:pPr>
              <w:jc w:val="both"/>
              <w:rPr>
                <w:rFonts w:ascii="Times New Roman" w:hAnsi="Times New Roman" w:cs="Times New Roman"/>
                <w:b/>
                <w:bCs/>
                <w:sz w:val="20"/>
                <w:szCs w:val="20"/>
              </w:rPr>
            </w:pPr>
          </w:p>
        </w:tc>
        <w:tc>
          <w:tcPr>
            <w:tcW w:w="1559" w:type="dxa"/>
            <w:tcBorders>
              <w:top w:val="nil"/>
              <w:left w:val="nil"/>
              <w:bottom w:val="single" w:sz="4" w:space="0" w:color="000000" w:themeColor="text1"/>
              <w:right w:val="nil"/>
            </w:tcBorders>
            <w:shd w:val="clear" w:color="auto" w:fill="auto"/>
            <w:vAlign w:val="center"/>
          </w:tcPr>
          <w:p w14:paraId="642C8659" w14:textId="33B4BC0C" w:rsidR="00593FE0" w:rsidRPr="00593FE0" w:rsidRDefault="00766646" w:rsidP="001A58DA">
            <w:pPr>
              <w:rPr>
                <w:rFonts w:ascii="Times New Roman" w:hAnsi="Times New Roman" w:cs="Times New Roman"/>
                <w:sz w:val="20"/>
                <w:szCs w:val="20"/>
              </w:rPr>
            </w:pPr>
            <w:r w:rsidRPr="00766646">
              <w:rPr>
                <w:rFonts w:ascii="Cambria Math" w:hAnsi="Cambria Math" w:cs="Times New Roman"/>
                <w:i/>
                <w:iCs/>
                <w:sz w:val="20"/>
                <w:szCs w:val="20"/>
              </w:rPr>
              <w:t>𝛾</w:t>
            </w:r>
            <w:r w:rsidR="00A74419">
              <w:rPr>
                <w:rFonts w:ascii="Times New Roman" w:hAnsi="Times New Roman" w:cs="Times New Roman"/>
                <w:sz w:val="20"/>
                <w:szCs w:val="20"/>
              </w:rPr>
              <w:t xml:space="preserve"> = 1</w:t>
            </w:r>
          </w:p>
        </w:tc>
        <w:tc>
          <w:tcPr>
            <w:tcW w:w="3680" w:type="dxa"/>
            <w:tcBorders>
              <w:top w:val="nil"/>
              <w:left w:val="nil"/>
              <w:bottom w:val="single" w:sz="4" w:space="0" w:color="000000" w:themeColor="text1"/>
              <w:right w:val="single" w:sz="4" w:space="0" w:color="FFFFFF" w:themeColor="background1"/>
            </w:tcBorders>
            <w:shd w:val="clear" w:color="auto" w:fill="auto"/>
            <w:vAlign w:val="center"/>
          </w:tcPr>
          <w:p w14:paraId="1B2AF759" w14:textId="4B507D26" w:rsidR="00593FE0" w:rsidRPr="00593FE0" w:rsidRDefault="00BD5E9A" w:rsidP="00277734">
            <w:pPr>
              <w:jc w:val="center"/>
              <w:rPr>
                <w:rFonts w:ascii="Times New Roman" w:hAnsi="Times New Roman" w:cs="Times New Roman"/>
                <w:sz w:val="20"/>
                <w:szCs w:val="20"/>
              </w:rPr>
            </w:pPr>
            <w:r>
              <w:rPr>
                <w:rFonts w:ascii="Times New Roman" w:hAnsi="Times New Roman" w:cs="Times New Roman"/>
                <w:sz w:val="20"/>
                <w:szCs w:val="20"/>
              </w:rPr>
              <w:t>$11,438</w:t>
            </w:r>
            <w:r w:rsidR="002B0EAD">
              <w:rPr>
                <w:rFonts w:ascii="Times New Roman" w:hAnsi="Times New Roman" w:cs="Times New Roman"/>
                <w:sz w:val="20"/>
                <w:szCs w:val="20"/>
              </w:rPr>
              <w:t>,</w:t>
            </w:r>
            <w:r>
              <w:rPr>
                <w:rFonts w:ascii="Times New Roman" w:hAnsi="Times New Roman" w:cs="Times New Roman"/>
                <w:sz w:val="20"/>
                <w:szCs w:val="20"/>
              </w:rPr>
              <w:t>154</w:t>
            </w:r>
          </w:p>
        </w:tc>
      </w:tr>
    </w:tbl>
    <w:p w14:paraId="5117D110" w14:textId="00B3F2C3" w:rsidR="00233923" w:rsidRDefault="00233923" w:rsidP="00233923">
      <w:pPr>
        <w:pStyle w:val="Els-1storder-head"/>
      </w:pPr>
      <w:r>
        <w:t>Conclusion</w:t>
      </w:r>
      <w:r w:rsidR="28194428">
        <w:t>s</w:t>
      </w:r>
    </w:p>
    <w:p w14:paraId="6559649D" w14:textId="029DEC54" w:rsidR="00CA03EA" w:rsidRDefault="00FE6EE5" w:rsidP="00233923">
      <w:pPr>
        <w:pStyle w:val="Els-body-text"/>
      </w:pPr>
      <w:r>
        <w:t>Hybrid utility systems</w:t>
      </w:r>
      <w:r w:rsidR="00BE06A4">
        <w:t xml:space="preserve"> </w:t>
      </w:r>
      <w:r w:rsidR="00F73A47">
        <w:t xml:space="preserve">show great potential for the transition towards </w:t>
      </w:r>
      <w:r w:rsidR="00E3179C">
        <w:t>decarbon</w:t>
      </w:r>
      <w:r w:rsidR="00F768F6">
        <w:t>is</w:t>
      </w:r>
      <w:r w:rsidR="00E3179C">
        <w:t>ation</w:t>
      </w:r>
      <w:r w:rsidR="00815836">
        <w:t xml:space="preserve">, </w:t>
      </w:r>
      <w:r w:rsidR="005F2B0F">
        <w:t xml:space="preserve">especially when </w:t>
      </w:r>
      <w:r w:rsidR="00BE06A4">
        <w:t>engaging in demand response</w:t>
      </w:r>
      <w:r w:rsidR="00815836">
        <w:t xml:space="preserve">. </w:t>
      </w:r>
      <w:r w:rsidR="005D2F72">
        <w:t>A s</w:t>
      </w:r>
      <w:r w:rsidR="0001054F">
        <w:t>imulation-based approach is propose</w:t>
      </w:r>
      <w:r w:rsidR="00C06607">
        <w:t>d</w:t>
      </w:r>
      <w:r w:rsidR="002640A0">
        <w:t xml:space="preserve"> to evaluate applications</w:t>
      </w:r>
      <w:r w:rsidR="00815836">
        <w:t xml:space="preserve"> of these systems</w:t>
      </w:r>
      <w:r w:rsidR="002640A0">
        <w:t xml:space="preserve"> for design, retrofit and </w:t>
      </w:r>
      <w:r w:rsidR="00247121">
        <w:t>operations.</w:t>
      </w:r>
      <w:r w:rsidR="00E3179C">
        <w:t xml:space="preserve"> Non-uniform </w:t>
      </w:r>
      <w:r w:rsidR="005F2B0F">
        <w:t xml:space="preserve">system configurations were found to be </w:t>
      </w:r>
      <w:r w:rsidR="004219A5">
        <w:t>more appropriate</w:t>
      </w:r>
      <w:r w:rsidR="00AD4A87">
        <w:t xml:space="preserve"> for application. D</w:t>
      </w:r>
      <w:r w:rsidR="002C6104">
        <w:t xml:space="preserve">emand response schemes </w:t>
      </w:r>
      <w:r w:rsidR="00751F74">
        <w:t xml:space="preserve">with magnitudes proportional to the energy cost ratio were found to </w:t>
      </w:r>
      <w:r w:rsidR="00BD077C">
        <w:t xml:space="preserve">perform best. </w:t>
      </w:r>
      <w:r w:rsidR="003733B4">
        <w:t>The proposed approach is thought</w:t>
      </w:r>
      <w:r w:rsidR="000024D3">
        <w:t xml:space="preserve"> to be conducive for industry adoption, </w:t>
      </w:r>
      <w:r w:rsidR="00AD4A87">
        <w:t xml:space="preserve">with </w:t>
      </w:r>
      <w:r w:rsidR="00860DA1">
        <w:t>further development into a digital twin.</w:t>
      </w:r>
    </w:p>
    <w:p w14:paraId="39C08BE2" w14:textId="6533E58B" w:rsidR="0083589B" w:rsidRDefault="0083589B" w:rsidP="00233923">
      <w:pPr>
        <w:pStyle w:val="Els-body-text"/>
      </w:pPr>
    </w:p>
    <w:p w14:paraId="32E3B71A" w14:textId="00B9A767" w:rsidR="0083589B" w:rsidRDefault="0053369D" w:rsidP="00B140D1">
      <w:pPr>
        <w:jc w:val="both"/>
      </w:pPr>
      <w:r>
        <w:t>Work is currently underway to examine the</w:t>
      </w:r>
      <w:r w:rsidR="00276AC9">
        <w:t xml:space="preserve"> integration</w:t>
      </w:r>
      <w:r>
        <w:t xml:space="preserve"> of energy storage (both electrical and thermal) and on-site renewable generation. which </w:t>
      </w:r>
      <w:r w:rsidR="00F13CF7">
        <w:t>would increase the energy flexibility of the overall system.</w:t>
      </w:r>
      <w:r w:rsidR="00276AC9">
        <w:t xml:space="preserve"> </w:t>
      </w:r>
      <w:r w:rsidR="00745E32">
        <w:t xml:space="preserve">Techno-economic assessment, as well as </w:t>
      </w:r>
      <w:r w:rsidR="00177F20">
        <w:t>environmental assessment and operability considerations should be incorporated into the methodology for a more holistic evaluation.</w:t>
      </w:r>
      <w:r w:rsidR="00085735" w:rsidRPr="00085735">
        <w:t xml:space="preserve"> </w:t>
      </w:r>
    </w:p>
    <w:p w14:paraId="50D5020B" w14:textId="2FAE50E9" w:rsidR="00D032CB" w:rsidRDefault="00D032CB" w:rsidP="00D032CB">
      <w:pPr>
        <w:pStyle w:val="Els-reference-head"/>
      </w:pPr>
      <w:r>
        <w:t>Acknowledgment</w:t>
      </w:r>
    </w:p>
    <w:p w14:paraId="7D9826DC" w14:textId="33E1DDFE" w:rsidR="00233923" w:rsidRPr="00233923" w:rsidRDefault="00CB4871" w:rsidP="00233923">
      <w:pPr>
        <w:pStyle w:val="Els-body-text"/>
      </w:pPr>
      <w:r w:rsidRPr="00CB4871">
        <w:t>This research has been supported by the programme “Ahuora: Delivering sustainable industry through smart process heat decarbonisation”, an Advanced Energy Technology Platform, funded by the New Zealand Ministry of Business, Innovation and Employment.</w:t>
      </w:r>
    </w:p>
    <w:p w14:paraId="144DE6BF" w14:textId="608D0AD6" w:rsidR="008D2649" w:rsidRDefault="008D2649" w:rsidP="008D2649">
      <w:pPr>
        <w:pStyle w:val="Els-reference-head"/>
      </w:pPr>
      <w:r>
        <w:t>References</w:t>
      </w:r>
    </w:p>
    <w:p w14:paraId="05F2390A" w14:textId="73AE47CD" w:rsidR="00BF48D4" w:rsidRPr="00BF48D4" w:rsidRDefault="009C0411" w:rsidP="00BF48D4">
      <w:pPr>
        <w:widowControl w:val="0"/>
        <w:autoSpaceDE w:val="0"/>
        <w:autoSpaceDN w:val="0"/>
        <w:adjustRightInd w:val="0"/>
        <w:ind w:left="480" w:hanging="480"/>
        <w:rPr>
          <w:noProof/>
          <w:sz w:val="18"/>
          <w:szCs w:val="24"/>
        </w:rPr>
      </w:pPr>
      <w:r>
        <w:rPr>
          <w:lang w:val="en-US"/>
        </w:rPr>
        <w:fldChar w:fldCharType="begin" w:fldLock="1"/>
      </w:r>
      <w:r>
        <w:rPr>
          <w:lang w:val="en-US"/>
        </w:rPr>
        <w:instrText xml:space="preserve">ADDIN Mendeley Bibliography CSL_BIBLIOGRAPHY </w:instrText>
      </w:r>
      <w:r>
        <w:rPr>
          <w:lang w:val="en-US"/>
        </w:rPr>
        <w:fldChar w:fldCharType="separate"/>
      </w:r>
      <w:r w:rsidR="00BF48D4" w:rsidRPr="00BF48D4">
        <w:rPr>
          <w:noProof/>
          <w:sz w:val="18"/>
          <w:szCs w:val="24"/>
        </w:rPr>
        <w:t xml:space="preserve">Baader, F. J., Bardow, A., &amp; Dahmen, M. (2022). </w:t>
      </w:r>
      <w:r w:rsidR="00BF48D4" w:rsidRPr="00BF48D4">
        <w:rPr>
          <w:i/>
          <w:iCs/>
          <w:noProof/>
          <w:sz w:val="18"/>
          <w:szCs w:val="24"/>
        </w:rPr>
        <w:t>Simultaneous mixed-integer dynamic scheduling of processes and their energy systems.</w:t>
      </w:r>
      <w:r w:rsidR="00BF48D4" w:rsidRPr="00BF48D4">
        <w:rPr>
          <w:noProof/>
          <w:sz w:val="18"/>
          <w:szCs w:val="24"/>
        </w:rPr>
        <w:t xml:space="preserve"> https://doi.org/10.1002/aic.17741</w:t>
      </w:r>
    </w:p>
    <w:p w14:paraId="3882DA9F" w14:textId="735DE1D9" w:rsidR="00BF48D4" w:rsidRPr="00BF48D4" w:rsidRDefault="00BF48D4" w:rsidP="00BF48D4">
      <w:pPr>
        <w:widowControl w:val="0"/>
        <w:autoSpaceDE w:val="0"/>
        <w:autoSpaceDN w:val="0"/>
        <w:adjustRightInd w:val="0"/>
        <w:ind w:left="480" w:hanging="480"/>
        <w:rPr>
          <w:noProof/>
          <w:sz w:val="18"/>
          <w:szCs w:val="24"/>
        </w:rPr>
      </w:pPr>
      <w:r w:rsidRPr="00BF48D4">
        <w:rPr>
          <w:noProof/>
          <w:sz w:val="18"/>
          <w:szCs w:val="24"/>
        </w:rPr>
        <w:t xml:space="preserve">Bank, L., Rösch, M., Unterberger, E., Roth, S., Rohrer, A., Köberlein, J., Braunreuther, S., &amp; Schilp, J. (2019). </w:t>
      </w:r>
      <w:r w:rsidRPr="00BF48D4">
        <w:rPr>
          <w:i/>
          <w:iCs/>
          <w:noProof/>
          <w:sz w:val="18"/>
          <w:szCs w:val="24"/>
        </w:rPr>
        <w:t>Comparison of simulation-based and optimization-based energy flexible production planning</w:t>
      </w:r>
      <w:r w:rsidRPr="00BF48D4">
        <w:rPr>
          <w:noProof/>
          <w:sz w:val="18"/>
          <w:szCs w:val="24"/>
        </w:rPr>
        <w:t>. https://doi.org/10.1016/j.procir.2019.03.051</w:t>
      </w:r>
    </w:p>
    <w:p w14:paraId="0F09E320" w14:textId="77777777" w:rsidR="00BF48D4" w:rsidRPr="00BF48D4" w:rsidRDefault="00BF48D4" w:rsidP="00BF48D4">
      <w:pPr>
        <w:widowControl w:val="0"/>
        <w:autoSpaceDE w:val="0"/>
        <w:autoSpaceDN w:val="0"/>
        <w:adjustRightInd w:val="0"/>
        <w:ind w:left="480" w:hanging="480"/>
        <w:rPr>
          <w:noProof/>
          <w:sz w:val="18"/>
          <w:szCs w:val="24"/>
        </w:rPr>
      </w:pPr>
      <w:r w:rsidRPr="00BF48D4">
        <w:rPr>
          <w:noProof/>
          <w:sz w:val="18"/>
          <w:szCs w:val="24"/>
        </w:rPr>
        <w:t xml:space="preserve">EECA. (2019). </w:t>
      </w:r>
      <w:r w:rsidRPr="00BF48D4">
        <w:rPr>
          <w:i/>
          <w:iCs/>
          <w:noProof/>
          <w:sz w:val="18"/>
          <w:szCs w:val="24"/>
        </w:rPr>
        <w:t>Electrode and Electric Resistance Steam Generators and Hot Water Heaters for low carbon process heating</w:t>
      </w:r>
      <w:r w:rsidRPr="00BF48D4">
        <w:rPr>
          <w:noProof/>
          <w:sz w:val="18"/>
          <w:szCs w:val="24"/>
        </w:rPr>
        <w:t>.</w:t>
      </w:r>
    </w:p>
    <w:p w14:paraId="095B028B" w14:textId="217220D5" w:rsidR="00BF48D4" w:rsidRPr="00BF48D4" w:rsidRDefault="00BF48D4" w:rsidP="00BF48D4">
      <w:pPr>
        <w:widowControl w:val="0"/>
        <w:autoSpaceDE w:val="0"/>
        <w:autoSpaceDN w:val="0"/>
        <w:adjustRightInd w:val="0"/>
        <w:ind w:left="480" w:hanging="480"/>
        <w:rPr>
          <w:noProof/>
          <w:sz w:val="18"/>
          <w:szCs w:val="24"/>
        </w:rPr>
      </w:pPr>
      <w:r w:rsidRPr="00BF48D4">
        <w:rPr>
          <w:noProof/>
          <w:sz w:val="18"/>
          <w:szCs w:val="24"/>
        </w:rPr>
        <w:t xml:space="preserve">Howard, D. A., Ma, Z., &amp; Jorgensen, B. N. (2021). </w:t>
      </w:r>
      <w:r w:rsidRPr="00BF48D4">
        <w:rPr>
          <w:i/>
          <w:iCs/>
          <w:noProof/>
          <w:sz w:val="18"/>
          <w:szCs w:val="24"/>
        </w:rPr>
        <w:t>Evaluation of Industrial Energy Flexibility Potential: A Scoping Review</w:t>
      </w:r>
      <w:r w:rsidRPr="00BF48D4">
        <w:rPr>
          <w:noProof/>
          <w:sz w:val="18"/>
          <w:szCs w:val="24"/>
        </w:rPr>
        <w:t>. https://doi.org/10.1109/ICIT46573.2021.9453652</w:t>
      </w:r>
    </w:p>
    <w:p w14:paraId="037D3FA7" w14:textId="7FF2FB07" w:rsidR="00BF48D4" w:rsidRPr="00BF48D4" w:rsidRDefault="00BF48D4" w:rsidP="00BF48D4">
      <w:pPr>
        <w:widowControl w:val="0"/>
        <w:autoSpaceDE w:val="0"/>
        <w:autoSpaceDN w:val="0"/>
        <w:adjustRightInd w:val="0"/>
        <w:ind w:left="480" w:hanging="480"/>
        <w:rPr>
          <w:noProof/>
          <w:sz w:val="18"/>
          <w:szCs w:val="24"/>
        </w:rPr>
      </w:pPr>
      <w:r w:rsidRPr="00BF48D4">
        <w:rPr>
          <w:noProof/>
          <w:sz w:val="18"/>
          <w:szCs w:val="24"/>
        </w:rPr>
        <w:t xml:space="preserve">Pierri, E., Hellkamp, D., Thiede, S., &amp; Herrmann, C. (2021). </w:t>
      </w:r>
      <w:r w:rsidRPr="00BF48D4">
        <w:rPr>
          <w:i/>
          <w:iCs/>
          <w:noProof/>
          <w:sz w:val="18"/>
          <w:szCs w:val="24"/>
        </w:rPr>
        <w:t>Enhancing Energy Flexibility through the Integration of Variable Renewable Energy in the Process Industry</w:t>
      </w:r>
      <w:r>
        <w:rPr>
          <w:noProof/>
          <w:sz w:val="18"/>
          <w:szCs w:val="24"/>
        </w:rPr>
        <w:t>.</w:t>
      </w:r>
      <w:r w:rsidRPr="00BF48D4">
        <w:rPr>
          <w:noProof/>
          <w:sz w:val="18"/>
          <w:szCs w:val="24"/>
        </w:rPr>
        <w:t xml:space="preserve"> https://doi.org/10.1016/j.procir.2020.12.001</w:t>
      </w:r>
    </w:p>
    <w:p w14:paraId="2385F9DA" w14:textId="0591AC3A" w:rsidR="00A365D3" w:rsidRPr="00A365D3" w:rsidRDefault="00BF48D4" w:rsidP="00A365D3">
      <w:pPr>
        <w:widowControl w:val="0"/>
        <w:autoSpaceDE w:val="0"/>
        <w:autoSpaceDN w:val="0"/>
        <w:adjustRightInd w:val="0"/>
        <w:ind w:left="480" w:hanging="480"/>
        <w:rPr>
          <w:noProof/>
          <w:sz w:val="18"/>
          <w:szCs w:val="24"/>
        </w:rPr>
      </w:pPr>
      <w:r w:rsidRPr="00BF48D4">
        <w:rPr>
          <w:noProof/>
          <w:sz w:val="18"/>
          <w:szCs w:val="24"/>
        </w:rPr>
        <w:t xml:space="preserve">Salman, C. A., Li, H., Li, P., &amp; Yan, J. (2021). </w:t>
      </w:r>
      <w:r w:rsidRPr="00BF48D4">
        <w:rPr>
          <w:i/>
          <w:iCs/>
          <w:noProof/>
          <w:sz w:val="18"/>
          <w:szCs w:val="24"/>
        </w:rPr>
        <w:t>Improve the flexibility provided by combined heat and power plants (CHPs) – a review of potential technologies</w:t>
      </w:r>
      <w:r w:rsidRPr="00BF48D4">
        <w:rPr>
          <w:noProof/>
          <w:sz w:val="18"/>
          <w:szCs w:val="24"/>
        </w:rPr>
        <w:t>. https://doi.org/10.1016/j.prime.2021.100023</w:t>
      </w:r>
    </w:p>
    <w:p w14:paraId="20876FDB" w14:textId="615CD165" w:rsidR="00FB513A" w:rsidRPr="000477EF" w:rsidRDefault="009C0411" w:rsidP="00FB513A">
      <w:pPr>
        <w:widowControl w:val="0"/>
        <w:autoSpaceDE w:val="0"/>
        <w:autoSpaceDN w:val="0"/>
        <w:adjustRightInd w:val="0"/>
        <w:jc w:val="both"/>
        <w:rPr>
          <w:sz w:val="2"/>
          <w:szCs w:val="2"/>
          <w:lang w:val="en-US"/>
        </w:rPr>
      </w:pPr>
      <w:r>
        <w:rPr>
          <w:lang w:val="en-US"/>
        </w:rPr>
        <w:fldChar w:fldCharType="end"/>
      </w:r>
    </w:p>
    <w:sectPr w:rsidR="00FB513A" w:rsidRPr="000477EF" w:rsidSect="008B0184">
      <w:headerReference w:type="even" r:id="rId15"/>
      <w:headerReference w:type="default" r:id="rId16"/>
      <w:headerReference w:type="first" r:id="rId17"/>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93896" w14:textId="77777777" w:rsidR="006F5BC1" w:rsidRDefault="006F5BC1">
      <w:r>
        <w:separator/>
      </w:r>
    </w:p>
  </w:endnote>
  <w:endnote w:type="continuationSeparator" w:id="0">
    <w:p w14:paraId="23B99241" w14:textId="77777777" w:rsidR="006F5BC1" w:rsidRDefault="006F5BC1">
      <w:r>
        <w:continuationSeparator/>
      </w:r>
    </w:p>
  </w:endnote>
  <w:endnote w:type="continuationNotice" w:id="1">
    <w:p w14:paraId="480CB2E2" w14:textId="77777777" w:rsidR="006F5BC1" w:rsidRDefault="006F5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4B78F" w14:textId="77777777" w:rsidR="006F5BC1" w:rsidRDefault="006F5BC1">
      <w:r>
        <w:separator/>
      </w:r>
    </w:p>
  </w:footnote>
  <w:footnote w:type="continuationSeparator" w:id="0">
    <w:p w14:paraId="7068EB3B" w14:textId="77777777" w:rsidR="006F5BC1" w:rsidRDefault="006F5BC1">
      <w:r>
        <w:continuationSeparator/>
      </w:r>
    </w:p>
  </w:footnote>
  <w:footnote w:type="continuationNotice" w:id="1">
    <w:p w14:paraId="3DC0F2D2" w14:textId="77777777" w:rsidR="006F5BC1" w:rsidRDefault="006F5B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202C0FBD" w:rsidR="00DD3D9E" w:rsidRDefault="00DD3D9E">
    <w:pPr>
      <w:pStyle w:val="Header"/>
      <w:tabs>
        <w:tab w:val="clear" w:pos="7200"/>
        <w:tab w:val="right" w:pos="7088"/>
      </w:tabs>
    </w:pPr>
    <w:r>
      <w:rPr>
        <w:rStyle w:val="PageNumber"/>
      </w:rPr>
      <w:tab/>
    </w:r>
    <w:r>
      <w:rPr>
        <w:rStyle w:val="PageNumber"/>
        <w:i/>
      </w:rPr>
      <w:tab/>
    </w:r>
    <w:r w:rsidR="001D1C8F">
      <w:rPr>
        <w:i/>
      </w:rPr>
      <w:t>R. Michael Kalpagé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5120E01" w:rsidR="00DD3D9E" w:rsidRDefault="001D1C8F" w:rsidP="001D1C8F">
    <w:pPr>
      <w:pStyle w:val="Header"/>
      <w:tabs>
        <w:tab w:val="clear" w:pos="7200"/>
        <w:tab w:val="right" w:pos="7088"/>
      </w:tabs>
      <w:rPr>
        <w:sz w:val="24"/>
      </w:rPr>
    </w:pPr>
    <w:r w:rsidRPr="001D1C8F">
      <w:rPr>
        <w:i/>
      </w:rPr>
      <w:t>A simulation-based approach for energy flexible scheduling of integrated energy process systems</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BC62AF"/>
    <w:multiLevelType w:val="hybridMultilevel"/>
    <w:tmpl w:val="635C2234"/>
    <w:lvl w:ilvl="0" w:tplc="5C56DCCC">
      <w:start w:val="47"/>
      <w:numFmt w:val="bullet"/>
      <w:lvlText w:val="-"/>
      <w:lvlJc w:val="left"/>
      <w:pPr>
        <w:ind w:left="720" w:hanging="36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54F362A"/>
    <w:multiLevelType w:val="hybridMultilevel"/>
    <w:tmpl w:val="600E75B0"/>
    <w:lvl w:ilvl="0" w:tplc="4BC407B4">
      <w:start w:val="1"/>
      <w:numFmt w:val="bullet"/>
      <w:lvlText w:val=""/>
      <w:lvlJc w:val="left"/>
      <w:pPr>
        <w:ind w:left="720" w:hanging="360"/>
      </w:pPr>
      <w:rPr>
        <w:rFonts w:ascii="Symbol" w:hAnsi="Symbol"/>
      </w:rPr>
    </w:lvl>
    <w:lvl w:ilvl="1" w:tplc="DE1803CC">
      <w:start w:val="1"/>
      <w:numFmt w:val="bullet"/>
      <w:lvlText w:val=""/>
      <w:lvlJc w:val="left"/>
      <w:pPr>
        <w:ind w:left="720" w:hanging="360"/>
      </w:pPr>
      <w:rPr>
        <w:rFonts w:ascii="Symbol" w:hAnsi="Symbol"/>
      </w:rPr>
    </w:lvl>
    <w:lvl w:ilvl="2" w:tplc="08528488">
      <w:start w:val="1"/>
      <w:numFmt w:val="bullet"/>
      <w:lvlText w:val=""/>
      <w:lvlJc w:val="left"/>
      <w:pPr>
        <w:ind w:left="720" w:hanging="360"/>
      </w:pPr>
      <w:rPr>
        <w:rFonts w:ascii="Symbol" w:hAnsi="Symbol"/>
      </w:rPr>
    </w:lvl>
    <w:lvl w:ilvl="3" w:tplc="C76E6EAA">
      <w:start w:val="1"/>
      <w:numFmt w:val="bullet"/>
      <w:lvlText w:val=""/>
      <w:lvlJc w:val="left"/>
      <w:pPr>
        <w:ind w:left="720" w:hanging="360"/>
      </w:pPr>
      <w:rPr>
        <w:rFonts w:ascii="Symbol" w:hAnsi="Symbol"/>
      </w:rPr>
    </w:lvl>
    <w:lvl w:ilvl="4" w:tplc="DAB04C7C">
      <w:start w:val="1"/>
      <w:numFmt w:val="bullet"/>
      <w:lvlText w:val=""/>
      <w:lvlJc w:val="left"/>
      <w:pPr>
        <w:ind w:left="720" w:hanging="360"/>
      </w:pPr>
      <w:rPr>
        <w:rFonts w:ascii="Symbol" w:hAnsi="Symbol"/>
      </w:rPr>
    </w:lvl>
    <w:lvl w:ilvl="5" w:tplc="B9D84C4E">
      <w:start w:val="1"/>
      <w:numFmt w:val="bullet"/>
      <w:lvlText w:val=""/>
      <w:lvlJc w:val="left"/>
      <w:pPr>
        <w:ind w:left="720" w:hanging="360"/>
      </w:pPr>
      <w:rPr>
        <w:rFonts w:ascii="Symbol" w:hAnsi="Symbol"/>
      </w:rPr>
    </w:lvl>
    <w:lvl w:ilvl="6" w:tplc="E334EB78">
      <w:start w:val="1"/>
      <w:numFmt w:val="bullet"/>
      <w:lvlText w:val=""/>
      <w:lvlJc w:val="left"/>
      <w:pPr>
        <w:ind w:left="720" w:hanging="360"/>
      </w:pPr>
      <w:rPr>
        <w:rFonts w:ascii="Symbol" w:hAnsi="Symbol"/>
      </w:rPr>
    </w:lvl>
    <w:lvl w:ilvl="7" w:tplc="1DA21004">
      <w:start w:val="1"/>
      <w:numFmt w:val="bullet"/>
      <w:lvlText w:val=""/>
      <w:lvlJc w:val="left"/>
      <w:pPr>
        <w:ind w:left="720" w:hanging="360"/>
      </w:pPr>
      <w:rPr>
        <w:rFonts w:ascii="Symbol" w:hAnsi="Symbol"/>
      </w:rPr>
    </w:lvl>
    <w:lvl w:ilvl="8" w:tplc="E6FE1B40">
      <w:start w:val="1"/>
      <w:numFmt w:val="bullet"/>
      <w:lvlText w:val=""/>
      <w:lvlJc w:val="left"/>
      <w:pPr>
        <w:ind w:left="720" w:hanging="360"/>
      </w:pPr>
      <w:rPr>
        <w:rFonts w:ascii="Symbol" w:hAnsi="Symbol"/>
      </w:rPr>
    </w:lvl>
  </w:abstractNum>
  <w:num w:numId="1" w16cid:durableId="632910568">
    <w:abstractNumId w:val="12"/>
  </w:num>
  <w:num w:numId="2" w16cid:durableId="47382885">
    <w:abstractNumId w:val="12"/>
  </w:num>
  <w:num w:numId="3" w16cid:durableId="967853731">
    <w:abstractNumId w:val="12"/>
  </w:num>
  <w:num w:numId="4" w16cid:durableId="1739282265">
    <w:abstractNumId w:val="12"/>
  </w:num>
  <w:num w:numId="5" w16cid:durableId="698892343">
    <w:abstractNumId w:val="0"/>
  </w:num>
  <w:num w:numId="6" w16cid:durableId="1660883641">
    <w:abstractNumId w:val="6"/>
  </w:num>
  <w:num w:numId="7" w16cid:durableId="1863349795">
    <w:abstractNumId w:val="13"/>
  </w:num>
  <w:num w:numId="8" w16cid:durableId="1750734252">
    <w:abstractNumId w:val="1"/>
  </w:num>
  <w:num w:numId="9" w16cid:durableId="203061615">
    <w:abstractNumId w:val="11"/>
  </w:num>
  <w:num w:numId="10" w16cid:durableId="1478497114">
    <w:abstractNumId w:val="15"/>
  </w:num>
  <w:num w:numId="11" w16cid:durableId="1896693444">
    <w:abstractNumId w:val="14"/>
  </w:num>
  <w:num w:numId="12" w16cid:durableId="774787662">
    <w:abstractNumId w:val="5"/>
  </w:num>
  <w:num w:numId="13" w16cid:durableId="1525900646">
    <w:abstractNumId w:val="9"/>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10"/>
  </w:num>
  <w:num w:numId="19" w16cid:durableId="1364013560">
    <w:abstractNumId w:val="8"/>
  </w:num>
  <w:num w:numId="20" w16cid:durableId="14031367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24D3"/>
    <w:rsid w:val="0001054F"/>
    <w:rsid w:val="0001590B"/>
    <w:rsid w:val="000177DE"/>
    <w:rsid w:val="000200F9"/>
    <w:rsid w:val="000241EE"/>
    <w:rsid w:val="0003045F"/>
    <w:rsid w:val="00032793"/>
    <w:rsid w:val="00033F47"/>
    <w:rsid w:val="00041B37"/>
    <w:rsid w:val="00043F1C"/>
    <w:rsid w:val="000477EF"/>
    <w:rsid w:val="00065FA8"/>
    <w:rsid w:val="00085735"/>
    <w:rsid w:val="00095E6A"/>
    <w:rsid w:val="000A2535"/>
    <w:rsid w:val="000B267E"/>
    <w:rsid w:val="000C0413"/>
    <w:rsid w:val="000C4F68"/>
    <w:rsid w:val="000C7DD6"/>
    <w:rsid w:val="000D217B"/>
    <w:rsid w:val="000D3D9B"/>
    <w:rsid w:val="000E48D1"/>
    <w:rsid w:val="000E5E6B"/>
    <w:rsid w:val="000F1BAE"/>
    <w:rsid w:val="000F757F"/>
    <w:rsid w:val="0010072C"/>
    <w:rsid w:val="00105505"/>
    <w:rsid w:val="00105DED"/>
    <w:rsid w:val="001155E1"/>
    <w:rsid w:val="00123309"/>
    <w:rsid w:val="0012620C"/>
    <w:rsid w:val="00132A50"/>
    <w:rsid w:val="001331C5"/>
    <w:rsid w:val="001356B2"/>
    <w:rsid w:val="00137A20"/>
    <w:rsid w:val="001556E3"/>
    <w:rsid w:val="00157F9A"/>
    <w:rsid w:val="0016032F"/>
    <w:rsid w:val="00162591"/>
    <w:rsid w:val="00166307"/>
    <w:rsid w:val="00171D3C"/>
    <w:rsid w:val="001728A0"/>
    <w:rsid w:val="00177F20"/>
    <w:rsid w:val="00185C11"/>
    <w:rsid w:val="001879F6"/>
    <w:rsid w:val="001A16B5"/>
    <w:rsid w:val="001A3C45"/>
    <w:rsid w:val="001A3ECB"/>
    <w:rsid w:val="001A4CB8"/>
    <w:rsid w:val="001A58DA"/>
    <w:rsid w:val="001A6067"/>
    <w:rsid w:val="001B4B84"/>
    <w:rsid w:val="001B6F11"/>
    <w:rsid w:val="001C0148"/>
    <w:rsid w:val="001C15A1"/>
    <w:rsid w:val="001C15B3"/>
    <w:rsid w:val="001C757E"/>
    <w:rsid w:val="001D1C8F"/>
    <w:rsid w:val="001F3F9C"/>
    <w:rsid w:val="001F4CDB"/>
    <w:rsid w:val="001F598A"/>
    <w:rsid w:val="001F6334"/>
    <w:rsid w:val="0020390F"/>
    <w:rsid w:val="00206EDD"/>
    <w:rsid w:val="00213F4C"/>
    <w:rsid w:val="002244C9"/>
    <w:rsid w:val="00225634"/>
    <w:rsid w:val="00233923"/>
    <w:rsid w:val="0023642A"/>
    <w:rsid w:val="00243A80"/>
    <w:rsid w:val="00244398"/>
    <w:rsid w:val="00246532"/>
    <w:rsid w:val="00247121"/>
    <w:rsid w:val="002514C3"/>
    <w:rsid w:val="00251D8F"/>
    <w:rsid w:val="00256490"/>
    <w:rsid w:val="00260EFA"/>
    <w:rsid w:val="002619D2"/>
    <w:rsid w:val="002640A0"/>
    <w:rsid w:val="00264926"/>
    <w:rsid w:val="00274729"/>
    <w:rsid w:val="00276AC9"/>
    <w:rsid w:val="002772DF"/>
    <w:rsid w:val="00277734"/>
    <w:rsid w:val="00281CBD"/>
    <w:rsid w:val="00283625"/>
    <w:rsid w:val="002A0C9A"/>
    <w:rsid w:val="002B0461"/>
    <w:rsid w:val="002B0EAD"/>
    <w:rsid w:val="002B1B49"/>
    <w:rsid w:val="002B2727"/>
    <w:rsid w:val="002C116A"/>
    <w:rsid w:val="002C6104"/>
    <w:rsid w:val="002D032C"/>
    <w:rsid w:val="002D0525"/>
    <w:rsid w:val="002D300A"/>
    <w:rsid w:val="002D5CFA"/>
    <w:rsid w:val="002D5FCC"/>
    <w:rsid w:val="002E6DC7"/>
    <w:rsid w:val="00313B8B"/>
    <w:rsid w:val="00320B48"/>
    <w:rsid w:val="00323C99"/>
    <w:rsid w:val="003434A4"/>
    <w:rsid w:val="00344684"/>
    <w:rsid w:val="003471DF"/>
    <w:rsid w:val="00353AE6"/>
    <w:rsid w:val="003565B2"/>
    <w:rsid w:val="0035771A"/>
    <w:rsid w:val="003733B4"/>
    <w:rsid w:val="00383F27"/>
    <w:rsid w:val="0038437F"/>
    <w:rsid w:val="00385FC6"/>
    <w:rsid w:val="00387DDC"/>
    <w:rsid w:val="00390907"/>
    <w:rsid w:val="003918E4"/>
    <w:rsid w:val="00397F0D"/>
    <w:rsid w:val="003A4781"/>
    <w:rsid w:val="003A5F09"/>
    <w:rsid w:val="003A7D30"/>
    <w:rsid w:val="003B00B8"/>
    <w:rsid w:val="003B2AA6"/>
    <w:rsid w:val="003D1582"/>
    <w:rsid w:val="003D2B6C"/>
    <w:rsid w:val="003D6F03"/>
    <w:rsid w:val="003D7E4C"/>
    <w:rsid w:val="003D7F01"/>
    <w:rsid w:val="003E41C2"/>
    <w:rsid w:val="003F30FB"/>
    <w:rsid w:val="003F5073"/>
    <w:rsid w:val="00400E09"/>
    <w:rsid w:val="004053DD"/>
    <w:rsid w:val="00410073"/>
    <w:rsid w:val="00421861"/>
    <w:rsid w:val="004219A5"/>
    <w:rsid w:val="0042204B"/>
    <w:rsid w:val="00431965"/>
    <w:rsid w:val="00443C57"/>
    <w:rsid w:val="00445289"/>
    <w:rsid w:val="00446FF6"/>
    <w:rsid w:val="004532C6"/>
    <w:rsid w:val="004539E9"/>
    <w:rsid w:val="00481F57"/>
    <w:rsid w:val="004907F5"/>
    <w:rsid w:val="0049772C"/>
    <w:rsid w:val="004A2539"/>
    <w:rsid w:val="004A5B04"/>
    <w:rsid w:val="004A7E0A"/>
    <w:rsid w:val="004B1E9D"/>
    <w:rsid w:val="004B6FE5"/>
    <w:rsid w:val="004C3E72"/>
    <w:rsid w:val="004D240C"/>
    <w:rsid w:val="004E1A84"/>
    <w:rsid w:val="004F19FD"/>
    <w:rsid w:val="005035F2"/>
    <w:rsid w:val="0051071D"/>
    <w:rsid w:val="00526D3D"/>
    <w:rsid w:val="00532350"/>
    <w:rsid w:val="0053369D"/>
    <w:rsid w:val="00536B59"/>
    <w:rsid w:val="00543E7A"/>
    <w:rsid w:val="0054631B"/>
    <w:rsid w:val="0054743F"/>
    <w:rsid w:val="00550D56"/>
    <w:rsid w:val="00552EEB"/>
    <w:rsid w:val="00557381"/>
    <w:rsid w:val="00566DDA"/>
    <w:rsid w:val="0058200B"/>
    <w:rsid w:val="00585711"/>
    <w:rsid w:val="00593FE0"/>
    <w:rsid w:val="00595E2B"/>
    <w:rsid w:val="00597B8D"/>
    <w:rsid w:val="005A60C2"/>
    <w:rsid w:val="005B012A"/>
    <w:rsid w:val="005D1848"/>
    <w:rsid w:val="005D20AB"/>
    <w:rsid w:val="005D2F72"/>
    <w:rsid w:val="005E64B6"/>
    <w:rsid w:val="005F2383"/>
    <w:rsid w:val="005F2B0F"/>
    <w:rsid w:val="005F5D44"/>
    <w:rsid w:val="005F7B38"/>
    <w:rsid w:val="00600C42"/>
    <w:rsid w:val="006012B2"/>
    <w:rsid w:val="00610851"/>
    <w:rsid w:val="0061244E"/>
    <w:rsid w:val="00612A95"/>
    <w:rsid w:val="00615D49"/>
    <w:rsid w:val="00621C14"/>
    <w:rsid w:val="00634ADF"/>
    <w:rsid w:val="006513BC"/>
    <w:rsid w:val="00655C4C"/>
    <w:rsid w:val="00656638"/>
    <w:rsid w:val="006625DE"/>
    <w:rsid w:val="00662AF8"/>
    <w:rsid w:val="00666C74"/>
    <w:rsid w:val="00676DD3"/>
    <w:rsid w:val="00683871"/>
    <w:rsid w:val="00683B05"/>
    <w:rsid w:val="00686372"/>
    <w:rsid w:val="006903A3"/>
    <w:rsid w:val="00696759"/>
    <w:rsid w:val="006A15B4"/>
    <w:rsid w:val="006A69BF"/>
    <w:rsid w:val="006A71D8"/>
    <w:rsid w:val="006B386B"/>
    <w:rsid w:val="006C087D"/>
    <w:rsid w:val="006C5DC4"/>
    <w:rsid w:val="006C7891"/>
    <w:rsid w:val="006C7FC5"/>
    <w:rsid w:val="006D6609"/>
    <w:rsid w:val="006D7EDF"/>
    <w:rsid w:val="006F5BC1"/>
    <w:rsid w:val="00711DF4"/>
    <w:rsid w:val="00712FBA"/>
    <w:rsid w:val="0072185A"/>
    <w:rsid w:val="00721DC7"/>
    <w:rsid w:val="00723CD4"/>
    <w:rsid w:val="00724545"/>
    <w:rsid w:val="00730AAA"/>
    <w:rsid w:val="0074201E"/>
    <w:rsid w:val="00745E32"/>
    <w:rsid w:val="007472C6"/>
    <w:rsid w:val="00751F74"/>
    <w:rsid w:val="00760059"/>
    <w:rsid w:val="00766646"/>
    <w:rsid w:val="007818A8"/>
    <w:rsid w:val="00782F8D"/>
    <w:rsid w:val="00785A9B"/>
    <w:rsid w:val="00796F91"/>
    <w:rsid w:val="007974A7"/>
    <w:rsid w:val="007B2A2C"/>
    <w:rsid w:val="007B3F07"/>
    <w:rsid w:val="007D25A4"/>
    <w:rsid w:val="007D2E15"/>
    <w:rsid w:val="007D70A1"/>
    <w:rsid w:val="007D73AF"/>
    <w:rsid w:val="007E4704"/>
    <w:rsid w:val="008029AD"/>
    <w:rsid w:val="008067BA"/>
    <w:rsid w:val="008132E8"/>
    <w:rsid w:val="00815836"/>
    <w:rsid w:val="00823407"/>
    <w:rsid w:val="00826B09"/>
    <w:rsid w:val="0083589B"/>
    <w:rsid w:val="0084102C"/>
    <w:rsid w:val="008520E7"/>
    <w:rsid w:val="00860DA1"/>
    <w:rsid w:val="00862374"/>
    <w:rsid w:val="008625C5"/>
    <w:rsid w:val="0087164E"/>
    <w:rsid w:val="008813A5"/>
    <w:rsid w:val="008911D4"/>
    <w:rsid w:val="008927F9"/>
    <w:rsid w:val="00896357"/>
    <w:rsid w:val="008B0184"/>
    <w:rsid w:val="008B040A"/>
    <w:rsid w:val="008B4883"/>
    <w:rsid w:val="008C045B"/>
    <w:rsid w:val="008C5D02"/>
    <w:rsid w:val="008C6177"/>
    <w:rsid w:val="008D2649"/>
    <w:rsid w:val="008E01FF"/>
    <w:rsid w:val="008E7840"/>
    <w:rsid w:val="0090568D"/>
    <w:rsid w:val="00906DC6"/>
    <w:rsid w:val="009125C9"/>
    <w:rsid w:val="00913601"/>
    <w:rsid w:val="00913879"/>
    <w:rsid w:val="00914DC6"/>
    <w:rsid w:val="0091635F"/>
    <w:rsid w:val="00917661"/>
    <w:rsid w:val="009207F7"/>
    <w:rsid w:val="0092227D"/>
    <w:rsid w:val="0092611D"/>
    <w:rsid w:val="00940479"/>
    <w:rsid w:val="009446D2"/>
    <w:rsid w:val="00962606"/>
    <w:rsid w:val="009651B7"/>
    <w:rsid w:val="00970E5D"/>
    <w:rsid w:val="00973750"/>
    <w:rsid w:val="00974DF7"/>
    <w:rsid w:val="0097701C"/>
    <w:rsid w:val="00977600"/>
    <w:rsid w:val="00980A65"/>
    <w:rsid w:val="00991EEF"/>
    <w:rsid w:val="009920A4"/>
    <w:rsid w:val="00993B83"/>
    <w:rsid w:val="009A2E46"/>
    <w:rsid w:val="009A510D"/>
    <w:rsid w:val="009A74D3"/>
    <w:rsid w:val="009B02DD"/>
    <w:rsid w:val="009B0680"/>
    <w:rsid w:val="009C0411"/>
    <w:rsid w:val="009C3423"/>
    <w:rsid w:val="009C51E3"/>
    <w:rsid w:val="009D52E0"/>
    <w:rsid w:val="009E31F3"/>
    <w:rsid w:val="009E5337"/>
    <w:rsid w:val="009E6EFC"/>
    <w:rsid w:val="009F20B4"/>
    <w:rsid w:val="009F43B5"/>
    <w:rsid w:val="00A014F3"/>
    <w:rsid w:val="00A01725"/>
    <w:rsid w:val="00A25E70"/>
    <w:rsid w:val="00A273DC"/>
    <w:rsid w:val="00A30CED"/>
    <w:rsid w:val="00A3183A"/>
    <w:rsid w:val="00A33765"/>
    <w:rsid w:val="00A34EE3"/>
    <w:rsid w:val="00A365D3"/>
    <w:rsid w:val="00A45FEB"/>
    <w:rsid w:val="00A6287C"/>
    <w:rsid w:val="00A63269"/>
    <w:rsid w:val="00A71718"/>
    <w:rsid w:val="00A74419"/>
    <w:rsid w:val="00A74AEC"/>
    <w:rsid w:val="00A83450"/>
    <w:rsid w:val="00A866AC"/>
    <w:rsid w:val="00A87A43"/>
    <w:rsid w:val="00A913A3"/>
    <w:rsid w:val="00A9154B"/>
    <w:rsid w:val="00A92377"/>
    <w:rsid w:val="00A96E9F"/>
    <w:rsid w:val="00AA15D9"/>
    <w:rsid w:val="00AA3904"/>
    <w:rsid w:val="00AA4E8E"/>
    <w:rsid w:val="00AB2781"/>
    <w:rsid w:val="00AB284F"/>
    <w:rsid w:val="00AB29ED"/>
    <w:rsid w:val="00AB44CF"/>
    <w:rsid w:val="00AC20BB"/>
    <w:rsid w:val="00AC7933"/>
    <w:rsid w:val="00AD1562"/>
    <w:rsid w:val="00AD3A81"/>
    <w:rsid w:val="00AD4A87"/>
    <w:rsid w:val="00AD50D6"/>
    <w:rsid w:val="00AE1181"/>
    <w:rsid w:val="00AE4BD8"/>
    <w:rsid w:val="00AE7277"/>
    <w:rsid w:val="00AF6982"/>
    <w:rsid w:val="00B01060"/>
    <w:rsid w:val="00B140D1"/>
    <w:rsid w:val="00B2106B"/>
    <w:rsid w:val="00B2347E"/>
    <w:rsid w:val="00B332AE"/>
    <w:rsid w:val="00B37500"/>
    <w:rsid w:val="00B4019C"/>
    <w:rsid w:val="00B4388F"/>
    <w:rsid w:val="00B46ABB"/>
    <w:rsid w:val="00B560C2"/>
    <w:rsid w:val="00B63237"/>
    <w:rsid w:val="00B81955"/>
    <w:rsid w:val="00B90431"/>
    <w:rsid w:val="00B93060"/>
    <w:rsid w:val="00B938D2"/>
    <w:rsid w:val="00BA2404"/>
    <w:rsid w:val="00BA2DB8"/>
    <w:rsid w:val="00BA6F43"/>
    <w:rsid w:val="00BB0113"/>
    <w:rsid w:val="00BB58FA"/>
    <w:rsid w:val="00BD077C"/>
    <w:rsid w:val="00BD2475"/>
    <w:rsid w:val="00BD5E9A"/>
    <w:rsid w:val="00BD712E"/>
    <w:rsid w:val="00BE06A4"/>
    <w:rsid w:val="00BE4B4A"/>
    <w:rsid w:val="00BE6D21"/>
    <w:rsid w:val="00BF0DD8"/>
    <w:rsid w:val="00BF2E3F"/>
    <w:rsid w:val="00BF2F1D"/>
    <w:rsid w:val="00BF48D4"/>
    <w:rsid w:val="00BF547D"/>
    <w:rsid w:val="00C06607"/>
    <w:rsid w:val="00C15F86"/>
    <w:rsid w:val="00C24B9E"/>
    <w:rsid w:val="00C26294"/>
    <w:rsid w:val="00C27979"/>
    <w:rsid w:val="00C307F2"/>
    <w:rsid w:val="00C416D9"/>
    <w:rsid w:val="00C450FC"/>
    <w:rsid w:val="00C500F3"/>
    <w:rsid w:val="00C52CD6"/>
    <w:rsid w:val="00C614A3"/>
    <w:rsid w:val="00C65C20"/>
    <w:rsid w:val="00C7161E"/>
    <w:rsid w:val="00C7280C"/>
    <w:rsid w:val="00C811E8"/>
    <w:rsid w:val="00C81CAA"/>
    <w:rsid w:val="00C960DC"/>
    <w:rsid w:val="00CA03EA"/>
    <w:rsid w:val="00CA686D"/>
    <w:rsid w:val="00CB4871"/>
    <w:rsid w:val="00CC3CDF"/>
    <w:rsid w:val="00CC577F"/>
    <w:rsid w:val="00CE2411"/>
    <w:rsid w:val="00CE2AF6"/>
    <w:rsid w:val="00CE4527"/>
    <w:rsid w:val="00CF0FE1"/>
    <w:rsid w:val="00CF3011"/>
    <w:rsid w:val="00CF36DA"/>
    <w:rsid w:val="00D02C75"/>
    <w:rsid w:val="00D032CB"/>
    <w:rsid w:val="00D03D2A"/>
    <w:rsid w:val="00D10E22"/>
    <w:rsid w:val="00D13D2C"/>
    <w:rsid w:val="00D167FF"/>
    <w:rsid w:val="00D25265"/>
    <w:rsid w:val="00D37BE2"/>
    <w:rsid w:val="00D51C65"/>
    <w:rsid w:val="00D61A7E"/>
    <w:rsid w:val="00D717E5"/>
    <w:rsid w:val="00D76069"/>
    <w:rsid w:val="00D90749"/>
    <w:rsid w:val="00D91420"/>
    <w:rsid w:val="00DB3B5D"/>
    <w:rsid w:val="00DB3F79"/>
    <w:rsid w:val="00DB629B"/>
    <w:rsid w:val="00DC14F0"/>
    <w:rsid w:val="00DC2F94"/>
    <w:rsid w:val="00DC52B1"/>
    <w:rsid w:val="00DC64D2"/>
    <w:rsid w:val="00DD1EB4"/>
    <w:rsid w:val="00DD3D9E"/>
    <w:rsid w:val="00DD6209"/>
    <w:rsid w:val="00DD7908"/>
    <w:rsid w:val="00DF72E1"/>
    <w:rsid w:val="00E03798"/>
    <w:rsid w:val="00E11C3A"/>
    <w:rsid w:val="00E1546F"/>
    <w:rsid w:val="00E17246"/>
    <w:rsid w:val="00E255BA"/>
    <w:rsid w:val="00E3179C"/>
    <w:rsid w:val="00E3301F"/>
    <w:rsid w:val="00E34DC9"/>
    <w:rsid w:val="00E36B4F"/>
    <w:rsid w:val="00E41205"/>
    <w:rsid w:val="00E4589A"/>
    <w:rsid w:val="00E53838"/>
    <w:rsid w:val="00E8008F"/>
    <w:rsid w:val="00E82297"/>
    <w:rsid w:val="00E9079F"/>
    <w:rsid w:val="00EB3282"/>
    <w:rsid w:val="00EB4744"/>
    <w:rsid w:val="00EB4924"/>
    <w:rsid w:val="00EB59C0"/>
    <w:rsid w:val="00EC0121"/>
    <w:rsid w:val="00EC09A9"/>
    <w:rsid w:val="00EC3629"/>
    <w:rsid w:val="00EC4FA2"/>
    <w:rsid w:val="00EE5FAE"/>
    <w:rsid w:val="00EF19EC"/>
    <w:rsid w:val="00EF39FD"/>
    <w:rsid w:val="00EF6BAA"/>
    <w:rsid w:val="00F012FC"/>
    <w:rsid w:val="00F06842"/>
    <w:rsid w:val="00F107FD"/>
    <w:rsid w:val="00F13CF7"/>
    <w:rsid w:val="00F17373"/>
    <w:rsid w:val="00F21293"/>
    <w:rsid w:val="00F23E58"/>
    <w:rsid w:val="00F35291"/>
    <w:rsid w:val="00F376F1"/>
    <w:rsid w:val="00F53F1A"/>
    <w:rsid w:val="00F631EE"/>
    <w:rsid w:val="00F649D7"/>
    <w:rsid w:val="00F724BF"/>
    <w:rsid w:val="00F73834"/>
    <w:rsid w:val="00F73A47"/>
    <w:rsid w:val="00F75C3A"/>
    <w:rsid w:val="00F768F6"/>
    <w:rsid w:val="00F81B68"/>
    <w:rsid w:val="00F9403F"/>
    <w:rsid w:val="00F97D5E"/>
    <w:rsid w:val="00FB3ACC"/>
    <w:rsid w:val="00FB3CC4"/>
    <w:rsid w:val="00FB513A"/>
    <w:rsid w:val="00FB64A8"/>
    <w:rsid w:val="00FB721B"/>
    <w:rsid w:val="00FC20E6"/>
    <w:rsid w:val="00FC640E"/>
    <w:rsid w:val="00FD0D6A"/>
    <w:rsid w:val="00FD4EB1"/>
    <w:rsid w:val="00FD77DF"/>
    <w:rsid w:val="00FE12E4"/>
    <w:rsid w:val="00FE2020"/>
    <w:rsid w:val="00FE2C62"/>
    <w:rsid w:val="00FE395C"/>
    <w:rsid w:val="00FE4868"/>
    <w:rsid w:val="00FE6EE5"/>
    <w:rsid w:val="00FE7B69"/>
    <w:rsid w:val="00FF3D9F"/>
    <w:rsid w:val="0479BC35"/>
    <w:rsid w:val="04B7CE73"/>
    <w:rsid w:val="054B6ED1"/>
    <w:rsid w:val="069C17CA"/>
    <w:rsid w:val="0795DCEC"/>
    <w:rsid w:val="081C20E7"/>
    <w:rsid w:val="0A21EC5E"/>
    <w:rsid w:val="0D0929A6"/>
    <w:rsid w:val="0EA4FA07"/>
    <w:rsid w:val="0EBE2264"/>
    <w:rsid w:val="0EFB5E9E"/>
    <w:rsid w:val="0F51B389"/>
    <w:rsid w:val="0F62F3E1"/>
    <w:rsid w:val="10972EFF"/>
    <w:rsid w:val="10EE2B0E"/>
    <w:rsid w:val="11C0D792"/>
    <w:rsid w:val="1273B853"/>
    <w:rsid w:val="14C54F21"/>
    <w:rsid w:val="15B849ED"/>
    <w:rsid w:val="16944941"/>
    <w:rsid w:val="191C6134"/>
    <w:rsid w:val="1A3E1145"/>
    <w:rsid w:val="1A7F198C"/>
    <w:rsid w:val="1B71D2F9"/>
    <w:rsid w:val="1CD235B0"/>
    <w:rsid w:val="1D1F4D70"/>
    <w:rsid w:val="1EA973BB"/>
    <w:rsid w:val="1F4B0EF6"/>
    <w:rsid w:val="237CE4DE"/>
    <w:rsid w:val="24221577"/>
    <w:rsid w:val="263BC7F5"/>
    <w:rsid w:val="27EDD05A"/>
    <w:rsid w:val="28194428"/>
    <w:rsid w:val="29AC27A1"/>
    <w:rsid w:val="2D219C15"/>
    <w:rsid w:val="2DAC7054"/>
    <w:rsid w:val="2E7CEFF3"/>
    <w:rsid w:val="302DE5AA"/>
    <w:rsid w:val="332145BA"/>
    <w:rsid w:val="33719151"/>
    <w:rsid w:val="34259ABF"/>
    <w:rsid w:val="34A9CCE1"/>
    <w:rsid w:val="37BEDB9C"/>
    <w:rsid w:val="395AABFD"/>
    <w:rsid w:val="395F6B82"/>
    <w:rsid w:val="39A9230E"/>
    <w:rsid w:val="39B7AB1A"/>
    <w:rsid w:val="3C5A924C"/>
    <w:rsid w:val="3D4266C0"/>
    <w:rsid w:val="3E2BF856"/>
    <w:rsid w:val="3FAE2AD6"/>
    <w:rsid w:val="3FC9ED81"/>
    <w:rsid w:val="4149FB37"/>
    <w:rsid w:val="4165BDE2"/>
    <w:rsid w:val="41BC2279"/>
    <w:rsid w:val="4357F2DA"/>
    <w:rsid w:val="4443C847"/>
    <w:rsid w:val="44F3C33B"/>
    <w:rsid w:val="488A2D80"/>
    <w:rsid w:val="493E0FCE"/>
    <w:rsid w:val="49DF28B0"/>
    <w:rsid w:val="4B7D072C"/>
    <w:rsid w:val="4C38ED2C"/>
    <w:rsid w:val="4CFED520"/>
    <w:rsid w:val="4D8FDF8E"/>
    <w:rsid w:val="4F64C536"/>
    <w:rsid w:val="4F9D8290"/>
    <w:rsid w:val="502EF743"/>
    <w:rsid w:val="51A6F981"/>
    <w:rsid w:val="51DF2836"/>
    <w:rsid w:val="53D8B507"/>
    <w:rsid w:val="55DB449E"/>
    <w:rsid w:val="56875435"/>
    <w:rsid w:val="5729ED65"/>
    <w:rsid w:val="591C225D"/>
    <w:rsid w:val="5934359F"/>
    <w:rsid w:val="5AC3C582"/>
    <w:rsid w:val="5B61B772"/>
    <w:rsid w:val="5BA1DFDF"/>
    <w:rsid w:val="5BFD5E88"/>
    <w:rsid w:val="5CD7FC95"/>
    <w:rsid w:val="5E2C9836"/>
    <w:rsid w:val="5F723B84"/>
    <w:rsid w:val="5F8B63E1"/>
    <w:rsid w:val="60BF2595"/>
    <w:rsid w:val="626CA00C"/>
    <w:rsid w:val="64105DF3"/>
    <w:rsid w:val="645B15B8"/>
    <w:rsid w:val="66E0E248"/>
    <w:rsid w:val="672E6719"/>
    <w:rsid w:val="6D9E17DC"/>
    <w:rsid w:val="6F6040E5"/>
    <w:rsid w:val="7161F32C"/>
    <w:rsid w:val="71DE8DE0"/>
    <w:rsid w:val="728AB15C"/>
    <w:rsid w:val="732183F3"/>
    <w:rsid w:val="742681BD"/>
    <w:rsid w:val="750ABC85"/>
    <w:rsid w:val="7542A527"/>
    <w:rsid w:val="763A2903"/>
    <w:rsid w:val="77F8DAC4"/>
    <w:rsid w:val="77F9B63B"/>
    <w:rsid w:val="782CC14F"/>
    <w:rsid w:val="78F30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uiPriority w:val="99"/>
    <w:semiHidden/>
    <w:rsid w:val="008B0184"/>
    <w:rPr>
      <w:sz w:val="16"/>
      <w:szCs w:val="16"/>
    </w:rPr>
  </w:style>
  <w:style w:type="paragraph" w:styleId="CommentText">
    <w:name w:val="annotation text"/>
    <w:basedOn w:val="Normal"/>
    <w:link w:val="CommentTextChar"/>
    <w:uiPriority w:val="99"/>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customStyle="1" w:styleId="CommentTextChar">
    <w:name w:val="Comment Text Char"/>
    <w:basedOn w:val="DefaultParagraphFont"/>
    <w:link w:val="CommentText"/>
    <w:uiPriority w:val="99"/>
    <w:rsid w:val="004B1E9D"/>
    <w:rPr>
      <w:lang w:eastAsia="en-US"/>
    </w:rPr>
  </w:style>
  <w:style w:type="paragraph" w:styleId="ListParagraph">
    <w:name w:val="List Paragraph"/>
    <w:basedOn w:val="Normal"/>
    <w:uiPriority w:val="34"/>
    <w:qFormat/>
    <w:rsid w:val="004B1E9D"/>
    <w:pPr>
      <w:spacing w:after="160" w:line="259" w:lineRule="auto"/>
      <w:ind w:left="720"/>
      <w:contextualSpacing/>
    </w:pPr>
    <w:rPr>
      <w:rFonts w:eastAsiaTheme="minorHAnsi" w:cstheme="minorBidi"/>
      <w:sz w:val="22"/>
      <w:szCs w:val="22"/>
      <w:lang w:val="en-NZ"/>
    </w:rPr>
  </w:style>
  <w:style w:type="table" w:styleId="TableGrid">
    <w:name w:val="Table Grid"/>
    <w:basedOn w:val="TableNormal"/>
    <w:uiPriority w:val="39"/>
    <w:rsid w:val="004B1E9D"/>
    <w:rPr>
      <w:rFonts w:asciiTheme="minorHAnsi" w:eastAsiaTheme="minorHAnsi" w:hAnsiTheme="minorHAnsi" w:cstheme="minorBid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B4924"/>
    <w:rPr>
      <w:lang w:eastAsia="en-US"/>
    </w:rPr>
  </w:style>
  <w:style w:type="character" w:styleId="UnresolvedMention">
    <w:name w:val="Unresolved Mention"/>
    <w:basedOn w:val="DefaultParagraphFont"/>
    <w:uiPriority w:val="99"/>
    <w:semiHidden/>
    <w:unhideWhenUsed/>
    <w:rsid w:val="00BA2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ab9437-c70f-4079-91bf-d1276cdfcdb3">
      <Terms xmlns="http://schemas.microsoft.com/office/infopath/2007/PartnerControls"/>
    </lcf76f155ced4ddcb4097134ff3c332f>
    <TaxCatchAll xmlns="be89e36d-08d3-4d39-91ef-da44933d24d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554911874B4140BB22FF1BE152E754" ma:contentTypeVersion="13" ma:contentTypeDescription="Create a new document." ma:contentTypeScope="" ma:versionID="16d804de936d139c7080a9b55759443c">
  <xsd:schema xmlns:xsd="http://www.w3.org/2001/XMLSchema" xmlns:xs="http://www.w3.org/2001/XMLSchema" xmlns:p="http://schemas.microsoft.com/office/2006/metadata/properties" xmlns:ns2="7cab9437-c70f-4079-91bf-d1276cdfcdb3" xmlns:ns3="be89e36d-08d3-4d39-91ef-da44933d24d7" targetNamespace="http://schemas.microsoft.com/office/2006/metadata/properties" ma:root="true" ma:fieldsID="6a6655dcb7566e37dc42156438cc5af7" ns2:_="" ns3:_="">
    <xsd:import namespace="7cab9437-c70f-4079-91bf-d1276cdfcdb3"/>
    <xsd:import namespace="be89e36d-08d3-4d39-91ef-da44933d24d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b9437-c70f-4079-91bf-d1276cdfcdb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5e9cd7a-283a-407b-9b45-84d2c2056e0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89e36d-08d3-4d39-91ef-da44933d24d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50c4e11-3064-4b37-8f8f-022a01ca6761}" ma:internalName="TaxCatchAll" ma:showField="CatchAllData" ma:web="be89e36d-08d3-4d39-91ef-da44933d24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10208-0EB1-4E00-90E7-61E40E5925B8}">
  <ds:schemaRefs>
    <ds:schemaRef ds:uri="http://schemas.microsoft.com/sharepoint/v3/contenttype/forms"/>
  </ds:schemaRefs>
</ds:datastoreItem>
</file>

<file path=customXml/itemProps2.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customXml/itemProps3.xml><?xml version="1.0" encoding="utf-8"?>
<ds:datastoreItem xmlns:ds="http://schemas.openxmlformats.org/officeDocument/2006/customXml" ds:itemID="{66B443A5-0E50-49F0-8F24-08712D14B127}">
  <ds:schemaRefs>
    <ds:schemaRef ds:uri="http://schemas.microsoft.com/office/2006/metadata/properties"/>
    <ds:schemaRef ds:uri="http://schemas.microsoft.com/office/infopath/2007/PartnerControls"/>
    <ds:schemaRef ds:uri="7cab9437-c70f-4079-91bf-d1276cdfcdb3"/>
    <ds:schemaRef ds:uri="be89e36d-08d3-4d39-91ef-da44933d24d7"/>
  </ds:schemaRefs>
</ds:datastoreItem>
</file>

<file path=customXml/itemProps4.xml><?xml version="1.0" encoding="utf-8"?>
<ds:datastoreItem xmlns:ds="http://schemas.openxmlformats.org/officeDocument/2006/customXml" ds:itemID="{A0631BE0-E492-4D48-9A71-EE2FB68A0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b9437-c70f-4079-91bf-d1276cdfcdb3"/>
    <ds:schemaRef ds:uri="be89e36d-08d3-4d39-91ef-da44933d2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1b36e95-0d50-42e9-958f-b63fa906beaa}" enabled="0" method="" siteId="{d1b36e95-0d50-42e9-958f-b63fa906beaa}" removed="1"/>
</clbl:labelList>
</file>

<file path=docProps/app.xml><?xml version="1.0" encoding="utf-8"?>
<Properties xmlns="http://schemas.openxmlformats.org/officeDocument/2006/extended-properties" xmlns:vt="http://schemas.openxmlformats.org/officeDocument/2006/docPropsVTypes">
  <Template>Chapter.dotx</Template>
  <TotalTime>59</TotalTime>
  <Pages>6</Pages>
  <Words>4437</Words>
  <Characters>25294</Characters>
  <Application>Microsoft Office Word</Application>
  <DocSecurity>0</DocSecurity>
  <Lines>210</Lines>
  <Paragraphs>59</Paragraphs>
  <ScaleCrop>false</ScaleCrop>
  <Company>Elsevier Science</Company>
  <LinksUpToDate>false</LinksUpToDate>
  <CharactersWithSpaces>29672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Michael Kalpage</cp:lastModifiedBy>
  <cp:revision>15</cp:revision>
  <cp:lastPrinted>2004-12-17T09:20:00Z</cp:lastPrinted>
  <dcterms:created xsi:type="dcterms:W3CDTF">2023-12-14T20:44:00Z</dcterms:created>
  <dcterms:modified xsi:type="dcterms:W3CDTF">2023-12-15T04:32:00Z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endeley Recent Style Id 0_1">
    <vt:lpwstr>http://www.zotero.org/styles/american-medical-association</vt:lpwstr>
  </property>
  <property fmtid="{D5CDD505-2E9C-101B-9397-08002B2CF9AE}" pid="11" name="Mendeley Recent Style Name 0_1">
    <vt:lpwstr>American Medical Association 11th edition</vt:lpwstr>
  </property>
  <property fmtid="{D5CDD505-2E9C-101B-9397-08002B2CF9AE}" pid="12" name="Mendeley Recent Style Id 1_1">
    <vt:lpwstr>http://www.zotero.org/styles/american-political-science-association</vt:lpwstr>
  </property>
  <property fmtid="{D5CDD505-2E9C-101B-9397-08002B2CF9AE}" pid="13" name="Mendeley Recent Style Name 1_1">
    <vt:lpwstr>American Political Science Association</vt:lpwstr>
  </property>
  <property fmtid="{D5CDD505-2E9C-101B-9397-08002B2CF9AE}" pid="14" name="Mendeley Recent Style Id 2_1">
    <vt:lpwstr>http://www.zotero.org/styles/apa</vt:lpwstr>
  </property>
  <property fmtid="{D5CDD505-2E9C-101B-9397-08002B2CF9AE}" pid="15" name="Mendeley Recent Style Name 2_1">
    <vt:lpwstr>American Psychological Association 7th edition</vt:lpwstr>
  </property>
  <property fmtid="{D5CDD505-2E9C-101B-9397-08002B2CF9AE}" pid="16" name="Mendeley Recent Style Id 3_1">
    <vt:lpwstr>http://www.zotero.org/styles/american-sociological-association</vt:lpwstr>
  </property>
  <property fmtid="{D5CDD505-2E9C-101B-9397-08002B2CF9AE}" pid="17" name="Mendeley Recent Style Name 3_1">
    <vt:lpwstr>American Sociological Association 6th edition</vt:lpwstr>
  </property>
  <property fmtid="{D5CDD505-2E9C-101B-9397-08002B2CF9AE}" pid="18" name="Mendeley Recent Style Id 4_1">
    <vt:lpwstr>http://www.zotero.org/styles/chicago-author-date</vt:lpwstr>
  </property>
  <property fmtid="{D5CDD505-2E9C-101B-9397-08002B2CF9AE}" pid="19" name="Mendeley Recent Style Name 4_1">
    <vt:lpwstr>Chicago Manual of Style 17th edition (author-date)</vt:lpwstr>
  </property>
  <property fmtid="{D5CDD505-2E9C-101B-9397-08002B2CF9AE}" pid="20" name="Mendeley Recent Style Id 5_1">
    <vt:lpwstr>http://www.zotero.org/styles/harvard-cite-them-right</vt:lpwstr>
  </property>
  <property fmtid="{D5CDD505-2E9C-101B-9397-08002B2CF9AE}" pid="21" name="Mendeley Recent Style Name 5_1">
    <vt:lpwstr>Cite Them Right 12th edition - Harvard</vt:lpwstr>
  </property>
  <property fmtid="{D5CDD505-2E9C-101B-9397-08002B2CF9AE}" pid="22" name="Mendeley Recent Style Id 6_1">
    <vt:lpwstr>http://www.zotero.org/styles/ieee</vt:lpwstr>
  </property>
  <property fmtid="{D5CDD505-2E9C-101B-9397-08002B2CF9AE}" pid="23" name="Mendeley Recent Style Name 6_1">
    <vt:lpwstr>IEEE</vt:lpwstr>
  </property>
  <property fmtid="{D5CDD505-2E9C-101B-9397-08002B2CF9AE}" pid="24" name="Mendeley Recent Style Id 7_1">
    <vt:lpwstr>http://www.zotero.org/styles/modern-humanities-research-association</vt:lpwstr>
  </property>
  <property fmtid="{D5CDD505-2E9C-101B-9397-08002B2CF9AE}" pid="25" name="Mendeley Recent Style Name 7_1">
    <vt:lpwstr>Modern Humanities Research Association 3rd edition (note with bibliography)</vt:lpwstr>
  </property>
  <property fmtid="{D5CDD505-2E9C-101B-9397-08002B2CF9AE}" pid="26" name="Mendeley Recent Style Id 8_1">
    <vt:lpwstr>http://www.zotero.org/styles/modern-language-association</vt:lpwstr>
  </property>
  <property fmtid="{D5CDD505-2E9C-101B-9397-08002B2CF9AE}" pid="27" name="Mendeley Recent Style Name 8_1">
    <vt:lpwstr>Modern Language Association 9th edition</vt:lpwstr>
  </property>
  <property fmtid="{D5CDD505-2E9C-101B-9397-08002B2CF9AE}" pid="28" name="Mendeley Recent Style Id 9_1">
    <vt:lpwstr>http://www.zotero.org/styles/nature</vt:lpwstr>
  </property>
  <property fmtid="{D5CDD505-2E9C-101B-9397-08002B2CF9AE}" pid="29" name="Mendeley Recent Style Name 9_1">
    <vt:lpwstr>Nature</vt:lpwstr>
  </property>
  <property fmtid="{D5CDD505-2E9C-101B-9397-08002B2CF9AE}" pid="30" name="Mendeley Document_1">
    <vt:lpwstr>True</vt:lpwstr>
  </property>
  <property fmtid="{D5CDD505-2E9C-101B-9397-08002B2CF9AE}" pid="31" name="Mendeley Unique User Id_1">
    <vt:lpwstr>1e575bd1-3b5e-3924-bfda-1c9274c32feb</vt:lpwstr>
  </property>
  <property fmtid="{D5CDD505-2E9C-101B-9397-08002B2CF9AE}" pid="32" name="Mendeley Citation Style_1">
    <vt:lpwstr>http://www.zotero.org/styles/apa</vt:lpwstr>
  </property>
  <property fmtid="{D5CDD505-2E9C-101B-9397-08002B2CF9AE}" pid="33" name="ContentTypeId">
    <vt:lpwstr>0x010100D1554911874B4140BB22FF1BE152E754</vt:lpwstr>
  </property>
  <property fmtid="{D5CDD505-2E9C-101B-9397-08002B2CF9AE}" pid="34" name="MediaServiceImageTags">
    <vt:lpwstr/>
  </property>
</Properties>
</file>