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588CE1D2" w:rsidR="00DD3D9E" w:rsidRPr="00B4388F" w:rsidRDefault="00A1216A">
      <w:pPr>
        <w:pStyle w:val="Els-Title"/>
        <w:rPr>
          <w:color w:val="000000" w:themeColor="text1"/>
        </w:rPr>
      </w:pPr>
      <w:bookmarkStart w:id="0" w:name="_GoBack"/>
      <w:bookmarkEnd w:id="0"/>
      <w:r>
        <w:rPr>
          <w:color w:val="000000" w:themeColor="text1"/>
        </w:rPr>
        <w:t>A</w:t>
      </w:r>
      <w:r w:rsidR="00EE3E1A" w:rsidRPr="00EE3E1A">
        <w:rPr>
          <w:color w:val="000000" w:themeColor="text1"/>
        </w:rPr>
        <w:t>ssessment of low</w:t>
      </w:r>
      <w:r w:rsidR="00C73EC0">
        <w:rPr>
          <w:color w:val="000000" w:themeColor="text1"/>
        </w:rPr>
        <w:t>-</w:t>
      </w:r>
      <w:r w:rsidR="00EE3E1A" w:rsidRPr="00EE3E1A">
        <w:rPr>
          <w:color w:val="000000" w:themeColor="text1"/>
        </w:rPr>
        <w:t xml:space="preserve">carbon alternative fuels in </w:t>
      </w:r>
      <w:r w:rsidRPr="00A1216A">
        <w:rPr>
          <w:color w:val="000000" w:themeColor="text1"/>
        </w:rPr>
        <w:t xml:space="preserve">maritime </w:t>
      </w:r>
      <w:r>
        <w:rPr>
          <w:color w:val="000000" w:themeColor="text1"/>
        </w:rPr>
        <w:t>integrated with</w:t>
      </w:r>
      <w:r w:rsidR="00EE3E1A" w:rsidRPr="00EE3E1A">
        <w:rPr>
          <w:color w:val="000000" w:themeColor="text1"/>
        </w:rPr>
        <w:t xml:space="preserve"> CCS on board </w:t>
      </w:r>
    </w:p>
    <w:p w14:paraId="144DE680" w14:textId="1304A1C2" w:rsidR="00DD3D9E" w:rsidRPr="007975BF" w:rsidRDefault="00EE3E1A">
      <w:pPr>
        <w:pStyle w:val="Els-Author"/>
        <w:rPr>
          <w:lang w:val="it-IT"/>
        </w:rPr>
      </w:pPr>
      <w:r w:rsidRPr="007975BF">
        <w:rPr>
          <w:lang w:val="it-IT"/>
        </w:rPr>
        <w:t>Nefeli Roufogali,</w:t>
      </w:r>
      <w:r w:rsidR="00C451A4" w:rsidRPr="007975BF">
        <w:rPr>
          <w:vertAlign w:val="superscript"/>
          <w:lang w:val="it-IT"/>
        </w:rPr>
        <w:t>a</w:t>
      </w:r>
      <w:r w:rsidRPr="007975BF">
        <w:rPr>
          <w:lang w:val="it-IT"/>
        </w:rPr>
        <w:t xml:space="preserve"> Konstantinos A. Pyrgakis,</w:t>
      </w:r>
      <w:r w:rsidR="00C451A4" w:rsidRPr="007975BF">
        <w:rPr>
          <w:vertAlign w:val="superscript"/>
          <w:lang w:val="it-IT"/>
        </w:rPr>
        <w:t>a</w:t>
      </w:r>
      <w:r w:rsidRPr="007975BF">
        <w:rPr>
          <w:lang w:val="it-IT"/>
        </w:rPr>
        <w:t xml:space="preserve"> Antonis C. Kokossis</w:t>
      </w:r>
      <w:r w:rsidR="00C451A4" w:rsidRPr="007975BF">
        <w:rPr>
          <w:vertAlign w:val="superscript"/>
          <w:lang w:val="it-IT"/>
        </w:rPr>
        <w:t>a</w:t>
      </w:r>
    </w:p>
    <w:p w14:paraId="144DE681" w14:textId="27546808" w:rsidR="00DD3D9E" w:rsidRDefault="00C451A4">
      <w:pPr>
        <w:pStyle w:val="Els-Affiliation"/>
      </w:pPr>
      <w:r w:rsidRPr="00C451A4">
        <w:rPr>
          <w:vertAlign w:val="superscript"/>
        </w:rPr>
        <w:t>a</w:t>
      </w:r>
      <w:r w:rsidR="00EE3E1A">
        <w:t xml:space="preserve">School of chemical engineering, </w:t>
      </w:r>
      <w:r w:rsidR="00EE3E1A" w:rsidRPr="00EE3E1A">
        <w:t>National Technical University of Athens, Iroon Polytechneiou 9, GR-15780, Athens, Greece</w:t>
      </w:r>
    </w:p>
    <w:p w14:paraId="144DE683" w14:textId="5FC3C444" w:rsidR="008D2649" w:rsidRPr="00A94774" w:rsidRDefault="00EE3E1A" w:rsidP="008D2649">
      <w:pPr>
        <w:pStyle w:val="Els-Affiliation"/>
        <w:spacing w:after="120"/>
      </w:pPr>
      <w:r w:rsidRPr="00EE3E1A">
        <w:t>akokossis@mail.ntua.gr</w:t>
      </w:r>
    </w:p>
    <w:p w14:paraId="144DE684" w14:textId="77777777" w:rsidR="008D2649" w:rsidRDefault="008D2649" w:rsidP="008D2649">
      <w:pPr>
        <w:pStyle w:val="Els-Abstract"/>
      </w:pPr>
      <w:r>
        <w:t>Abstract</w:t>
      </w:r>
    </w:p>
    <w:p w14:paraId="0AD04A17" w14:textId="2F8CE818" w:rsidR="002357C6" w:rsidRPr="00911AD7" w:rsidRDefault="00911AD7" w:rsidP="002357C6">
      <w:pPr>
        <w:pStyle w:val="Els-body-text"/>
        <w:spacing w:after="120"/>
        <w:rPr>
          <w:lang w:val="en-GB"/>
        </w:rPr>
      </w:pPr>
      <w:r w:rsidRPr="00911AD7">
        <w:rPr>
          <w:lang w:val="en-GB"/>
        </w:rPr>
        <w:t>This work uses PSE methods for</w:t>
      </w:r>
      <w:r w:rsidR="00A97282">
        <w:rPr>
          <w:lang w:val="en-GB"/>
        </w:rPr>
        <w:t xml:space="preserve"> screening, simulation, integration</w:t>
      </w:r>
      <w:r w:rsidR="00AC369F">
        <w:rPr>
          <w:lang w:val="en-GB"/>
        </w:rPr>
        <w:t>,</w:t>
      </w:r>
      <w:r w:rsidR="00A97282">
        <w:rPr>
          <w:lang w:val="en-GB"/>
        </w:rPr>
        <w:t xml:space="preserve"> and analysis of low-carbon fuels in maritime along with options for CCS on board.</w:t>
      </w:r>
      <w:r w:rsidRPr="00911AD7">
        <w:rPr>
          <w:lang w:val="en-GB"/>
        </w:rPr>
        <w:t xml:space="preserve"> The efficiencies of conventional fuels (HFO, diesel)</w:t>
      </w:r>
      <w:r w:rsidR="00A97282">
        <w:rPr>
          <w:lang w:val="en-GB"/>
        </w:rPr>
        <w:t xml:space="preserve"> </w:t>
      </w:r>
      <w:r w:rsidR="00CA6FCA">
        <w:rPr>
          <w:lang w:val="en-GB"/>
        </w:rPr>
        <w:t>were</w:t>
      </w:r>
      <w:r w:rsidR="00A97282">
        <w:rPr>
          <w:lang w:val="en-GB"/>
        </w:rPr>
        <w:t xml:space="preserve"> addressed </w:t>
      </w:r>
      <w:r w:rsidR="002357C6">
        <w:rPr>
          <w:lang w:val="en-GB"/>
        </w:rPr>
        <w:t>in front of</w:t>
      </w:r>
      <w:r w:rsidR="00A97282">
        <w:rPr>
          <w:lang w:val="en-GB"/>
        </w:rPr>
        <w:t xml:space="preserve"> alternative fuels </w:t>
      </w:r>
      <w:r w:rsidRPr="00911AD7">
        <w:rPr>
          <w:lang w:val="en-GB"/>
        </w:rPr>
        <w:t xml:space="preserve">(methanol, </w:t>
      </w:r>
      <w:r w:rsidR="00CA6FCA">
        <w:rPr>
          <w:lang w:val="en-GB"/>
        </w:rPr>
        <w:t xml:space="preserve">LNG, </w:t>
      </w:r>
      <w:r w:rsidRPr="00911AD7">
        <w:rPr>
          <w:lang w:val="en-GB"/>
        </w:rPr>
        <w:t xml:space="preserve">H2, biocrude) </w:t>
      </w:r>
      <w:r w:rsidR="00CA6FCA">
        <w:rPr>
          <w:lang w:val="en-GB"/>
        </w:rPr>
        <w:t>to investigate</w:t>
      </w:r>
      <w:r w:rsidR="00C35473">
        <w:rPr>
          <w:lang w:val="en-GB"/>
        </w:rPr>
        <w:t xml:space="preserve"> </w:t>
      </w:r>
      <w:r w:rsidR="00A97282">
        <w:rPr>
          <w:lang w:val="en-GB"/>
        </w:rPr>
        <w:t>energy and fuels savings</w:t>
      </w:r>
      <w:r w:rsidR="00CA6FCA">
        <w:rPr>
          <w:lang w:val="en-GB"/>
        </w:rPr>
        <w:t xml:space="preserve"> considering the potentials of </w:t>
      </w:r>
      <w:r w:rsidR="00A97282">
        <w:rPr>
          <w:lang w:val="en-GB"/>
        </w:rPr>
        <w:t xml:space="preserve">process and energy integration </w:t>
      </w:r>
      <w:r w:rsidR="00CA6FCA">
        <w:rPr>
          <w:lang w:val="en-GB"/>
        </w:rPr>
        <w:t>and</w:t>
      </w:r>
      <w:r w:rsidR="00A97282">
        <w:rPr>
          <w:lang w:val="en-GB"/>
        </w:rPr>
        <w:t xml:space="preserve"> cogeneration </w:t>
      </w:r>
      <w:r w:rsidR="00CA6FCA">
        <w:rPr>
          <w:lang w:val="en-GB"/>
        </w:rPr>
        <w:t>that uses</w:t>
      </w:r>
      <w:r w:rsidR="00A97282">
        <w:rPr>
          <w:lang w:val="en-GB"/>
        </w:rPr>
        <w:t xml:space="preserve"> </w:t>
      </w:r>
      <w:r w:rsidR="002357C6">
        <w:rPr>
          <w:lang w:val="en-GB"/>
        </w:rPr>
        <w:t xml:space="preserve">available heat </w:t>
      </w:r>
      <w:r w:rsidR="00CA6FCA">
        <w:rPr>
          <w:lang w:val="en-GB"/>
        </w:rPr>
        <w:t>from</w:t>
      </w:r>
      <w:r w:rsidR="00C35473">
        <w:rPr>
          <w:lang w:val="en-GB"/>
        </w:rPr>
        <w:t xml:space="preserve"> </w:t>
      </w:r>
      <w:r w:rsidR="00A97282">
        <w:rPr>
          <w:lang w:val="en-GB"/>
        </w:rPr>
        <w:t xml:space="preserve">flue gases and </w:t>
      </w:r>
      <w:r w:rsidR="00CA6FCA">
        <w:rPr>
          <w:lang w:val="en-GB"/>
        </w:rPr>
        <w:t xml:space="preserve">the </w:t>
      </w:r>
      <w:r w:rsidR="00A97282">
        <w:rPr>
          <w:lang w:val="en-GB"/>
        </w:rPr>
        <w:t xml:space="preserve">engine </w:t>
      </w:r>
      <w:r w:rsidR="002357C6">
        <w:rPr>
          <w:lang w:val="en-GB"/>
        </w:rPr>
        <w:t xml:space="preserve">in new engine designs of ROPAX ships. The accounted energy demands include shaft work, electricity and heat </w:t>
      </w:r>
      <w:r w:rsidR="00CA6FCA">
        <w:rPr>
          <w:lang w:val="en-GB"/>
        </w:rPr>
        <w:t>respectively used</w:t>
      </w:r>
      <w:r w:rsidR="002357C6">
        <w:rPr>
          <w:lang w:val="en-GB"/>
        </w:rPr>
        <w:t xml:space="preserve"> for propulsion, the engine room, and the hotel.</w:t>
      </w:r>
      <w:r w:rsidR="002357C6" w:rsidRPr="002357C6">
        <w:rPr>
          <w:lang w:val="en-GB"/>
        </w:rPr>
        <w:t xml:space="preserve"> </w:t>
      </w:r>
      <w:r w:rsidR="007C7455">
        <w:rPr>
          <w:lang w:val="en-GB"/>
        </w:rPr>
        <w:t>A</w:t>
      </w:r>
      <w:r w:rsidR="002357C6">
        <w:rPr>
          <w:lang w:val="en-GB"/>
        </w:rPr>
        <w:t xml:space="preserve">lternative fuels could </w:t>
      </w:r>
      <w:r w:rsidR="00C35473">
        <w:rPr>
          <w:lang w:val="en-GB"/>
        </w:rPr>
        <w:t>improve</w:t>
      </w:r>
      <w:r w:rsidR="002357C6">
        <w:rPr>
          <w:lang w:val="en-GB"/>
        </w:rPr>
        <w:t xml:space="preserve"> economic performance of shipping </w:t>
      </w:r>
      <w:r w:rsidR="007C7455">
        <w:rPr>
          <w:lang w:val="en-GB"/>
        </w:rPr>
        <w:t>by</w:t>
      </w:r>
      <w:r w:rsidR="002357C6">
        <w:rPr>
          <w:lang w:val="en-GB"/>
        </w:rPr>
        <w:t xml:space="preserve"> 10% (LNG)-340% (Methanol). Energy integration of </w:t>
      </w:r>
      <w:r w:rsidR="002C0014">
        <w:rPr>
          <w:lang w:val="en-GB"/>
        </w:rPr>
        <w:t>the ship’s</w:t>
      </w:r>
      <w:r w:rsidR="002357C6">
        <w:rPr>
          <w:lang w:val="en-GB"/>
        </w:rPr>
        <w:t xml:space="preserve"> </w:t>
      </w:r>
      <w:r w:rsidR="00C35473">
        <w:rPr>
          <w:lang w:val="en-GB"/>
        </w:rPr>
        <w:t>hot/cold streams</w:t>
      </w:r>
      <w:r w:rsidR="002357C6">
        <w:rPr>
          <w:lang w:val="en-GB"/>
        </w:rPr>
        <w:t xml:space="preserve"> could </w:t>
      </w:r>
      <w:r w:rsidR="00C35473">
        <w:rPr>
          <w:lang w:val="en-GB"/>
        </w:rPr>
        <w:t>reduce</w:t>
      </w:r>
      <w:r w:rsidR="002357C6">
        <w:rPr>
          <w:lang w:val="en-GB"/>
        </w:rPr>
        <w:t xml:space="preserve"> </w:t>
      </w:r>
      <w:r w:rsidR="00C35473">
        <w:rPr>
          <w:lang w:val="en-GB"/>
        </w:rPr>
        <w:t>fuels</w:t>
      </w:r>
      <w:r w:rsidR="002357C6">
        <w:rPr>
          <w:lang w:val="en-GB"/>
        </w:rPr>
        <w:t xml:space="preserve"> costs </w:t>
      </w:r>
      <w:r w:rsidR="00A54497">
        <w:rPr>
          <w:lang w:val="en-GB"/>
        </w:rPr>
        <w:t xml:space="preserve">by </w:t>
      </w:r>
      <w:r w:rsidR="002357C6">
        <w:rPr>
          <w:lang w:val="en-GB"/>
        </w:rPr>
        <w:t xml:space="preserve">up to 10%, while CCS on board could </w:t>
      </w:r>
      <w:r w:rsidR="00A54497">
        <w:rPr>
          <w:lang w:val="en-GB"/>
        </w:rPr>
        <w:t xml:space="preserve">yield </w:t>
      </w:r>
      <w:r w:rsidR="002C0014">
        <w:rPr>
          <w:lang w:val="en-GB"/>
        </w:rPr>
        <w:t xml:space="preserve">CO2 emissions reduction </w:t>
      </w:r>
      <w:r w:rsidR="00C35473">
        <w:rPr>
          <w:lang w:val="en-GB"/>
        </w:rPr>
        <w:t>in the range of 40% (cryogenic)-80% (MEA adsorption).</w:t>
      </w:r>
    </w:p>
    <w:p w14:paraId="221C22A5" w14:textId="078552F9" w:rsidR="00911AD7" w:rsidRDefault="008D2649" w:rsidP="008D2649">
      <w:pPr>
        <w:pStyle w:val="Els-body-text"/>
        <w:spacing w:after="120"/>
        <w:rPr>
          <w:lang w:val="en-GB"/>
        </w:rPr>
      </w:pPr>
      <w:r>
        <w:rPr>
          <w:b/>
          <w:bCs/>
          <w:lang w:val="en-GB"/>
        </w:rPr>
        <w:t>Keywords</w:t>
      </w:r>
      <w:r>
        <w:rPr>
          <w:lang w:val="en-GB"/>
        </w:rPr>
        <w:t xml:space="preserve">: </w:t>
      </w:r>
      <w:r w:rsidR="002C0014">
        <w:rPr>
          <w:lang w:val="en-GB"/>
        </w:rPr>
        <w:t xml:space="preserve">marine engines; ROPAX; integration; CCS; </w:t>
      </w:r>
      <w:r w:rsidR="00911AD7">
        <w:rPr>
          <w:lang w:val="en-GB"/>
        </w:rPr>
        <w:t>LN</w:t>
      </w:r>
      <w:r w:rsidR="002C0014">
        <w:rPr>
          <w:lang w:val="en-GB"/>
        </w:rPr>
        <w:t>G</w:t>
      </w:r>
      <w:r w:rsidR="00911AD7">
        <w:rPr>
          <w:lang w:val="en-GB"/>
        </w:rPr>
        <w:t xml:space="preserve">, </w:t>
      </w:r>
      <w:r w:rsidR="002C0014">
        <w:rPr>
          <w:lang w:val="en-GB"/>
        </w:rPr>
        <w:t>methanol, H2, biocrude</w:t>
      </w:r>
    </w:p>
    <w:p w14:paraId="144DE689" w14:textId="4B0EFE7D" w:rsidR="008D2649" w:rsidRDefault="001B2A41" w:rsidP="008D2649">
      <w:pPr>
        <w:pStyle w:val="Els-1storder-head"/>
      </w:pPr>
      <w:r>
        <w:t>The need for low-carbon fuels in maritime</w:t>
      </w:r>
    </w:p>
    <w:p w14:paraId="6E79DCF3" w14:textId="501ED420" w:rsidR="000871DA" w:rsidRDefault="002C0014" w:rsidP="00AA05B6">
      <w:pPr>
        <w:pStyle w:val="Els-body-text"/>
        <w:spacing w:after="120"/>
        <w:rPr>
          <w:lang w:val="en-GB"/>
        </w:rPr>
      </w:pPr>
      <w:r>
        <w:t>M</w:t>
      </w:r>
      <w:r w:rsidR="00911AD7">
        <w:t xml:space="preserve">aritime produces </w:t>
      </w:r>
      <w:r w:rsidR="00895D58">
        <w:t>≈3</w:t>
      </w:r>
      <w:r w:rsidR="00911AD7">
        <w:t>% of GHG emissions</w:t>
      </w:r>
      <w:r>
        <w:t xml:space="preserve">, while </w:t>
      </w:r>
      <w:r w:rsidR="00895D58">
        <w:t>s</w:t>
      </w:r>
      <w:r w:rsidR="00911AD7">
        <w:t xml:space="preserve">hipping </w:t>
      </w:r>
      <w:r w:rsidR="00895D58">
        <w:t>hold</w:t>
      </w:r>
      <w:r>
        <w:t>s</w:t>
      </w:r>
      <w:r w:rsidR="00911AD7">
        <w:t xml:space="preserve"> 80% of global tr</w:t>
      </w:r>
      <w:r>
        <w:t xml:space="preserve">ade </w:t>
      </w:r>
      <w:r w:rsidR="00AA05B6">
        <w:t>(</w:t>
      </w:r>
      <w:r w:rsidR="00AA05B6" w:rsidRPr="00AA05B6">
        <w:t>Faber</w:t>
      </w:r>
      <w:r w:rsidR="00AA05B6">
        <w:t xml:space="preserve"> </w:t>
      </w:r>
      <w:r w:rsidR="00AA05B6" w:rsidRPr="00AA05B6">
        <w:t xml:space="preserve">et al., </w:t>
      </w:r>
      <w:r w:rsidR="00A54497" w:rsidRPr="00AA05B6">
        <w:t>2020</w:t>
      </w:r>
      <w:r w:rsidR="00A54497">
        <w:t>)</w:t>
      </w:r>
      <w:r w:rsidR="00911AD7">
        <w:t xml:space="preserve">. </w:t>
      </w:r>
      <w:r w:rsidR="00895D58">
        <w:t>M</w:t>
      </w:r>
      <w:r w:rsidR="00911AD7">
        <w:t xml:space="preserve">ost vessels </w:t>
      </w:r>
      <w:r w:rsidR="00895D58">
        <w:t>currently us</w:t>
      </w:r>
      <w:r>
        <w:t>e HFO or MDO</w:t>
      </w:r>
      <w:r w:rsidR="00911AD7">
        <w:t xml:space="preserve"> </w:t>
      </w:r>
      <w:r w:rsidR="00895D58">
        <w:t>bringing them in front of stringent emission regulations set by the</w:t>
      </w:r>
      <w:r w:rsidR="00911AD7">
        <w:t xml:space="preserve"> International Marine Organization (IMO)</w:t>
      </w:r>
      <w:r>
        <w:t xml:space="preserve">, which requires </w:t>
      </w:r>
      <w:r w:rsidR="00911AD7">
        <w:t>short-</w:t>
      </w:r>
      <w:r w:rsidR="00895D58">
        <w:t xml:space="preserve"> </w:t>
      </w:r>
      <w:r w:rsidR="00911AD7">
        <w:t xml:space="preserve">and long-term strategies to reduce GHG emissions. </w:t>
      </w:r>
      <w:r w:rsidR="006C636C">
        <w:t>K</w:t>
      </w:r>
      <w:r w:rsidR="00911AD7">
        <w:t xml:space="preserve">ey goals for 2030 include </w:t>
      </w:r>
      <w:r w:rsidR="006C636C">
        <w:t xml:space="preserve">GHG emissions </w:t>
      </w:r>
      <w:r w:rsidR="00911AD7">
        <w:t xml:space="preserve">reduction by 20% </w:t>
      </w:r>
      <w:r w:rsidR="006C636C">
        <w:t xml:space="preserve">and </w:t>
      </w:r>
      <w:r w:rsidR="00911AD7">
        <w:t>reduction of</w:t>
      </w:r>
      <w:r>
        <w:t xml:space="preserve"> </w:t>
      </w:r>
      <w:r w:rsidR="006C636C">
        <w:t>CO2 emissions per</w:t>
      </w:r>
      <w:r w:rsidR="00911AD7">
        <w:t xml:space="preserve"> </w:t>
      </w:r>
      <w:r w:rsidR="006C636C">
        <w:t xml:space="preserve">transport work by at least 40% </w:t>
      </w:r>
      <w:r w:rsidR="00611FFB">
        <w:t>(</w:t>
      </w:r>
      <w:r w:rsidR="00911AD7">
        <w:t xml:space="preserve">compared </w:t>
      </w:r>
      <w:r w:rsidR="006C636C">
        <w:t>with</w:t>
      </w:r>
      <w:r w:rsidR="00911AD7">
        <w:t xml:space="preserve"> 2008 levels</w:t>
      </w:r>
      <w:r w:rsidR="00611FFB">
        <w:t xml:space="preserve">). </w:t>
      </w:r>
      <w:r w:rsidR="00911AD7">
        <w:t xml:space="preserve">The </w:t>
      </w:r>
      <w:r w:rsidR="002C4D0C">
        <w:t>goal</w:t>
      </w:r>
      <w:r w:rsidR="00911AD7">
        <w:t xml:space="preserve"> of IMO is to achieve net-zero GHG emissions</w:t>
      </w:r>
      <w:r>
        <w:t>,</w:t>
      </w:r>
      <w:r w:rsidR="00911AD7">
        <w:t xml:space="preserve"> as soon as possible within this century</w:t>
      </w:r>
      <w:r w:rsidR="00611FFB">
        <w:t xml:space="preserve">, </w:t>
      </w:r>
      <w:r>
        <w:t>which necessitates significant</w:t>
      </w:r>
      <w:r w:rsidR="00611FFB">
        <w:t xml:space="preserve"> </w:t>
      </w:r>
      <w:r>
        <w:t xml:space="preserve">efficiency </w:t>
      </w:r>
      <w:r w:rsidR="00611FFB">
        <w:t xml:space="preserve">improvements to follow business-as-usual operations </w:t>
      </w:r>
      <w:r w:rsidR="00AA05B6">
        <w:t>(Gibbs et al., 2014)</w:t>
      </w:r>
      <w:r w:rsidR="00911AD7">
        <w:t>.</w:t>
      </w:r>
      <w:r w:rsidR="002C4D0C">
        <w:t xml:space="preserve"> </w:t>
      </w:r>
      <w:r w:rsidR="00611FFB">
        <w:t xml:space="preserve">These goals </w:t>
      </w:r>
      <w:r>
        <w:t>require drastic</w:t>
      </w:r>
      <w:r w:rsidR="00611FFB">
        <w:t xml:space="preserve"> changes from conventional operations and </w:t>
      </w:r>
      <w:r>
        <w:t xml:space="preserve">the </w:t>
      </w:r>
      <w:r w:rsidR="00611FFB">
        <w:t xml:space="preserve">use of </w:t>
      </w:r>
      <w:r>
        <w:t>low</w:t>
      </w:r>
      <w:r w:rsidR="00611FFB">
        <w:t xml:space="preserve">-carbon fuels taking advantage of design (fuels and integration) and technology (engines and CCS) innovations on board. </w:t>
      </w:r>
      <w:r w:rsidR="006B4183">
        <w:t>Still, sustainability of alternative fuels is also strongly affected by cost-effective upstream chemistries to valorize bio-based sources (</w:t>
      </w:r>
      <w:r w:rsidR="002C620E" w:rsidRPr="002C620E">
        <w:t>Pyrgakis et al., 2016</w:t>
      </w:r>
      <w:r w:rsidR="002C620E">
        <w:t xml:space="preserve">; </w:t>
      </w:r>
      <w:proofErr w:type="spellStart"/>
      <w:r w:rsidR="006B4183" w:rsidRPr="006B4183">
        <w:t>Pateromichelakis</w:t>
      </w:r>
      <w:proofErr w:type="spellEnd"/>
      <w:r w:rsidR="006B4183" w:rsidRPr="006B4183">
        <w:t xml:space="preserve"> et al., 2022</w:t>
      </w:r>
      <w:r w:rsidR="006B4183">
        <w:t xml:space="preserve">). </w:t>
      </w:r>
      <w:r w:rsidR="00611FFB">
        <w:t xml:space="preserve">Fuel replacement is the promising long-term solution. </w:t>
      </w:r>
      <w:r>
        <w:t>Since novel fuel</w:t>
      </w:r>
      <w:r w:rsidR="00A54497">
        <w:t>s</w:t>
      </w:r>
      <w:r>
        <w:t xml:space="preserve"> and engine systems are at lower TRLs and the bunkering systems for alternative fuels are underdeveloped, then energy</w:t>
      </w:r>
      <w:r w:rsidR="00611FFB">
        <w:t xml:space="preserve"> integration and CCS on board can facilitate short- and mid-term scenarios</w:t>
      </w:r>
      <w:r w:rsidR="002C4D0C">
        <w:t>.</w:t>
      </w:r>
      <w:r w:rsidR="00E23ED9" w:rsidRPr="00E23ED9">
        <w:rPr>
          <w:lang w:val="en-GB"/>
        </w:rPr>
        <w:t xml:space="preserve"> </w:t>
      </w:r>
      <w:r>
        <w:rPr>
          <w:lang w:val="en-GB"/>
        </w:rPr>
        <w:t>T</w:t>
      </w:r>
      <w:r w:rsidR="00E23ED9" w:rsidRPr="008A69F3">
        <w:rPr>
          <w:lang w:val="en-GB"/>
        </w:rPr>
        <w:t xml:space="preserve">his work </w:t>
      </w:r>
      <w:r w:rsidR="00E23ED9">
        <w:rPr>
          <w:lang w:val="en-GB"/>
        </w:rPr>
        <w:t xml:space="preserve">examines </w:t>
      </w:r>
      <w:r w:rsidR="00E23ED9" w:rsidRPr="008A69F3">
        <w:rPr>
          <w:lang w:val="en-GB"/>
        </w:rPr>
        <w:t xml:space="preserve">the performance of alternative </w:t>
      </w:r>
      <w:r w:rsidR="00665914">
        <w:rPr>
          <w:lang w:val="en-GB"/>
        </w:rPr>
        <w:t xml:space="preserve">low-carbon </w:t>
      </w:r>
      <w:r w:rsidR="00E23ED9" w:rsidRPr="008A69F3">
        <w:rPr>
          <w:lang w:val="en-GB"/>
        </w:rPr>
        <w:t>fuels</w:t>
      </w:r>
      <w:r w:rsidR="00E23ED9">
        <w:rPr>
          <w:lang w:val="en-GB"/>
        </w:rPr>
        <w:t xml:space="preserve">, </w:t>
      </w:r>
      <w:r w:rsidR="00665914">
        <w:rPr>
          <w:lang w:val="en-GB"/>
        </w:rPr>
        <w:t>integration patterns and CCS on board.</w:t>
      </w:r>
      <w:r w:rsidR="00E23ED9">
        <w:rPr>
          <w:lang w:val="en-GB"/>
        </w:rPr>
        <w:t xml:space="preserve"> </w:t>
      </w:r>
    </w:p>
    <w:p w14:paraId="144DE699" w14:textId="4FEF2324" w:rsidR="008D2649" w:rsidRDefault="004D7114" w:rsidP="008D2649">
      <w:pPr>
        <w:pStyle w:val="Els-1storder-head"/>
      </w:pPr>
      <w:r>
        <w:t>B</w:t>
      </w:r>
      <w:r w:rsidR="00A05454">
        <w:t xml:space="preserve">ackground of </w:t>
      </w:r>
      <w:r w:rsidR="00BC4859">
        <w:t>alternative fuels, design</w:t>
      </w:r>
      <w:r w:rsidR="00D41E37">
        <w:t>s</w:t>
      </w:r>
      <w:r w:rsidR="00BC4859">
        <w:t xml:space="preserve">, and technology options </w:t>
      </w:r>
    </w:p>
    <w:p w14:paraId="1A9700E3" w14:textId="129477A6" w:rsidR="00BA6216" w:rsidRDefault="00E80021" w:rsidP="00304AB7">
      <w:pPr>
        <w:pStyle w:val="Els-body-text"/>
      </w:pPr>
      <w:r>
        <w:t>S</w:t>
      </w:r>
      <w:r w:rsidR="00342ED5">
        <w:t xml:space="preserve">hipping </w:t>
      </w:r>
      <w:r>
        <w:t>needs</w:t>
      </w:r>
      <w:r w:rsidR="00342ED5">
        <w:t xml:space="preserve"> to drastically reduce emissions of </w:t>
      </w:r>
      <w:r>
        <w:t>any</w:t>
      </w:r>
      <w:r w:rsidR="00342ED5">
        <w:t xml:space="preserve"> kind </w:t>
      </w:r>
      <w:r>
        <w:t xml:space="preserve">requiring changes in </w:t>
      </w:r>
      <w:r w:rsidR="00342ED5">
        <w:t xml:space="preserve">fuels, </w:t>
      </w:r>
      <w:r>
        <w:t>equipment,</w:t>
      </w:r>
      <w:r w:rsidR="00342ED5">
        <w:t xml:space="preserve"> and </w:t>
      </w:r>
      <w:r w:rsidR="006D5E2F">
        <w:t xml:space="preserve">operation </w:t>
      </w:r>
      <w:r w:rsidR="00342ED5">
        <w:t>practices</w:t>
      </w:r>
      <w:r>
        <w:t xml:space="preserve"> to reach </w:t>
      </w:r>
      <w:r w:rsidR="00342ED5">
        <w:t>IMO’s targets</w:t>
      </w:r>
      <w:r>
        <w:t xml:space="preserve">. This </w:t>
      </w:r>
      <w:r w:rsidR="00417B35">
        <w:t xml:space="preserve">requires </w:t>
      </w:r>
      <w:r>
        <w:t xml:space="preserve">testing of various alternative options and degrees of freedom towards cost-effective </w:t>
      </w:r>
      <w:r w:rsidR="006D5E2F">
        <w:t xml:space="preserve">shipping </w:t>
      </w:r>
      <w:r>
        <w:lastRenderedPageBreak/>
        <w:t>decarbonization.</w:t>
      </w:r>
      <w:r w:rsidR="00A05454">
        <w:t xml:space="preserve"> LNG </w:t>
      </w:r>
      <w:r w:rsidR="006D5E2F">
        <w:t>is</w:t>
      </w:r>
      <w:r w:rsidR="00BA6216">
        <w:t xml:space="preserve"> the</w:t>
      </w:r>
      <w:r w:rsidR="00A05454">
        <w:t xml:space="preserve"> most attractive and market competitive alternative to HFO and MDO </w:t>
      </w:r>
      <w:r w:rsidR="000E389F">
        <w:t xml:space="preserve">by </w:t>
      </w:r>
      <w:r w:rsidR="00BA6216">
        <w:t>holding h</w:t>
      </w:r>
      <w:r w:rsidR="00BA6216" w:rsidRPr="00C326FF">
        <w:t>igh energy density</w:t>
      </w:r>
      <w:r w:rsidR="00BA6216">
        <w:t xml:space="preserve"> and </w:t>
      </w:r>
      <w:r w:rsidR="00A05454">
        <w:t xml:space="preserve">meeting the needs for </w:t>
      </w:r>
      <w:proofErr w:type="spellStart"/>
      <w:r w:rsidR="00A05454">
        <w:t>SOx</w:t>
      </w:r>
      <w:proofErr w:type="spellEnd"/>
      <w:r w:rsidR="00A05454">
        <w:t xml:space="preserve"> and NOx limits</w:t>
      </w:r>
      <w:r w:rsidR="000E389F">
        <w:t xml:space="preserve">; however, LNG </w:t>
      </w:r>
      <w:r w:rsidR="00BA6216">
        <w:rPr>
          <w:lang w:val="en-GB"/>
        </w:rPr>
        <w:t>is challenged by h</w:t>
      </w:r>
      <w:r w:rsidR="00BA6216" w:rsidRPr="00BA6216">
        <w:rPr>
          <w:lang w:val="en-GB"/>
        </w:rPr>
        <w:t>igh cooling demands</w:t>
      </w:r>
      <w:r w:rsidR="000E389F">
        <w:rPr>
          <w:lang w:val="en-GB"/>
        </w:rPr>
        <w:t xml:space="preserve"> and volumes</w:t>
      </w:r>
      <w:r w:rsidR="00BA6216" w:rsidRPr="00BA6216">
        <w:rPr>
          <w:lang w:val="en-GB"/>
        </w:rPr>
        <w:t xml:space="preserve"> </w:t>
      </w:r>
      <w:r w:rsidR="00BA6216">
        <w:rPr>
          <w:lang w:val="en-GB"/>
        </w:rPr>
        <w:t>for</w:t>
      </w:r>
      <w:r w:rsidR="00BA6216" w:rsidRPr="00BA6216">
        <w:rPr>
          <w:lang w:val="en-GB"/>
        </w:rPr>
        <w:t xml:space="preserve"> storage</w:t>
      </w:r>
      <w:r w:rsidR="000B578F">
        <w:rPr>
          <w:lang w:val="en-GB"/>
        </w:rPr>
        <w:t xml:space="preserve"> (</w:t>
      </w:r>
      <w:r w:rsidR="00A54497">
        <w:rPr>
          <w:rFonts w:ascii="Calibri" w:hAnsi="Calibri" w:cs="Calibri"/>
          <w:lang w:val="en-GB"/>
        </w:rPr>
        <w:t>─</w:t>
      </w:r>
      <w:r w:rsidR="000B578F" w:rsidRPr="000B578F">
        <w:rPr>
          <w:lang w:val="en-GB"/>
        </w:rPr>
        <w:t xml:space="preserve">163 </w:t>
      </w:r>
      <w:proofErr w:type="spellStart"/>
      <w:r w:rsidR="000B578F" w:rsidRPr="000B578F">
        <w:rPr>
          <w:vertAlign w:val="superscript"/>
          <w:lang w:val="en-GB"/>
        </w:rPr>
        <w:t>o</w:t>
      </w:r>
      <w:r w:rsidR="000B578F" w:rsidRPr="000B578F">
        <w:rPr>
          <w:lang w:val="en-GB"/>
        </w:rPr>
        <w:t>C</w:t>
      </w:r>
      <w:proofErr w:type="spellEnd"/>
      <w:r w:rsidR="000B578F">
        <w:rPr>
          <w:lang w:val="en-GB"/>
        </w:rPr>
        <w:t>)</w:t>
      </w:r>
      <w:r w:rsidR="00BA6216">
        <w:rPr>
          <w:lang w:val="en-GB"/>
        </w:rPr>
        <w:t xml:space="preserve">. </w:t>
      </w:r>
      <w:r w:rsidR="00A05454">
        <w:t>Bio-</w:t>
      </w:r>
      <w:r w:rsidR="00BA6216">
        <w:t>based</w:t>
      </w:r>
      <w:r w:rsidR="00A05454">
        <w:t xml:space="preserve"> and synthetic LNG constitute </w:t>
      </w:r>
      <w:r w:rsidR="000E389F">
        <w:t xml:space="preserve">an </w:t>
      </w:r>
      <w:r w:rsidR="00A05454">
        <w:t xml:space="preserve">even </w:t>
      </w:r>
      <w:r w:rsidR="00A54497">
        <w:t xml:space="preserve">more </w:t>
      </w:r>
      <w:r w:rsidR="00A05454">
        <w:t>promising alternative for further emissions reduction.</w:t>
      </w:r>
      <w:r w:rsidR="00B42FBE">
        <w:t xml:space="preserve"> Other high trended bio-based</w:t>
      </w:r>
      <w:r w:rsidR="000E389F">
        <w:t xml:space="preserve"> and </w:t>
      </w:r>
      <w:r w:rsidR="00B42FBE">
        <w:t xml:space="preserve">low-carbon </w:t>
      </w:r>
      <w:r w:rsidR="000E389F">
        <w:t>fuels</w:t>
      </w:r>
      <w:r w:rsidR="00BA6216">
        <w:t xml:space="preserve"> </w:t>
      </w:r>
      <w:r w:rsidR="00B42FBE">
        <w:t>include methanol (MeOH)</w:t>
      </w:r>
      <w:r w:rsidR="000E389F">
        <w:t>;</w:t>
      </w:r>
      <w:r w:rsidR="00B42FBE">
        <w:t xml:space="preserve"> biocrude from</w:t>
      </w:r>
      <w:r w:rsidR="00BA6216">
        <w:t xml:space="preserve"> </w:t>
      </w:r>
      <w:r w:rsidR="00B42FBE">
        <w:t xml:space="preserve">pyrolysis or liquefaction </w:t>
      </w:r>
      <w:r w:rsidR="000E389F">
        <w:t>of biomass;</w:t>
      </w:r>
      <w:r w:rsidR="00B42FBE">
        <w:t xml:space="preserve"> and hydrogen. </w:t>
      </w:r>
      <w:r w:rsidR="00BA6216">
        <w:t>MeOH holds a</w:t>
      </w:r>
      <w:r w:rsidR="00C326FF" w:rsidRPr="00C326FF">
        <w:t>dequate energy densit</w:t>
      </w:r>
      <w:r w:rsidR="00BA6216">
        <w:t xml:space="preserve">y, while green sourcing needs to be considered. </w:t>
      </w:r>
      <w:r w:rsidR="00C326FF" w:rsidRPr="00C326FF">
        <w:t xml:space="preserve">Hydrogen </w:t>
      </w:r>
      <w:r w:rsidR="00BA6216">
        <w:t xml:space="preserve">is </w:t>
      </w:r>
      <w:r w:rsidR="00A54497">
        <w:t xml:space="preserve">the </w:t>
      </w:r>
      <w:r w:rsidR="00BA6216">
        <w:t xml:space="preserve">most promising option </w:t>
      </w:r>
      <w:r w:rsidR="000E389F">
        <w:t xml:space="preserve">for maritime decarbonization </w:t>
      </w:r>
      <w:r w:rsidR="00BA6216">
        <w:t>(z</w:t>
      </w:r>
      <w:r w:rsidR="00C326FF" w:rsidRPr="00C326FF">
        <w:t>ero</w:t>
      </w:r>
      <w:r w:rsidR="00BA6216">
        <w:t>-</w:t>
      </w:r>
      <w:r w:rsidR="00C326FF" w:rsidRPr="00C326FF">
        <w:t>carbon emissions</w:t>
      </w:r>
      <w:r w:rsidR="00BA6216">
        <w:t xml:space="preserve">), but </w:t>
      </w:r>
      <w:r w:rsidR="000E389F">
        <w:t>lacks</w:t>
      </w:r>
      <w:r w:rsidR="00BA6216">
        <w:t xml:space="preserve"> cost-efficient production, sourcing, and requires high-cost infrastructures. Biocrude is attractive</w:t>
      </w:r>
      <w:r w:rsidR="000E389F">
        <w:t>,</w:t>
      </w:r>
      <w:r w:rsidR="00BA6216">
        <w:t xml:space="preserve"> but </w:t>
      </w:r>
      <w:r w:rsidR="00665914">
        <w:t>remains at low</w:t>
      </w:r>
      <w:r w:rsidR="00BA6216">
        <w:t xml:space="preserve"> TRL </w:t>
      </w:r>
      <w:r w:rsidR="00665914">
        <w:t>featuring</w:t>
      </w:r>
      <w:r w:rsidR="00BA6216">
        <w:t xml:space="preserve"> </w:t>
      </w:r>
      <w:r w:rsidR="00665914">
        <w:t xml:space="preserve">instability, equipment corrosion, and low mixture </w:t>
      </w:r>
      <w:r w:rsidR="00BA6216">
        <w:t>composition</w:t>
      </w:r>
      <w:r w:rsidR="000E389F">
        <w:t>s</w:t>
      </w:r>
      <w:r w:rsidR="00BA6216">
        <w:t xml:space="preserve">. </w:t>
      </w:r>
      <w:r w:rsidR="000E389F">
        <w:t>Overall, s</w:t>
      </w:r>
      <w:r w:rsidR="00233F00">
        <w:t>ourcing, seasonality, price volatility, and divergence from marine standards</w:t>
      </w:r>
      <w:r w:rsidR="00BA6216">
        <w:t xml:space="preserve"> are vital challenges for new fuel entries.</w:t>
      </w:r>
    </w:p>
    <w:p w14:paraId="5B5FC439" w14:textId="629E953E" w:rsidR="00233F00" w:rsidRDefault="00233F00" w:rsidP="00304AB7">
      <w:pPr>
        <w:pStyle w:val="Els-body-text"/>
      </w:pPr>
      <w:r>
        <w:t xml:space="preserve">Other options to drive emissions reduction involve direct intervention on existing operations in terms of process intensification </w:t>
      </w:r>
      <w:r w:rsidR="00655D28">
        <w:t xml:space="preserve">by </w:t>
      </w:r>
      <w:r>
        <w:t xml:space="preserve">setting goals to optimally valorize available heat across ship and </w:t>
      </w:r>
      <w:r w:rsidR="00655D28">
        <w:t xml:space="preserve">by </w:t>
      </w:r>
      <w:r>
        <w:t>appropriately integrat</w:t>
      </w:r>
      <w:r w:rsidR="00655D28">
        <w:t>ion</w:t>
      </w:r>
      <w:r>
        <w:t xml:space="preserve"> with </w:t>
      </w:r>
      <w:r w:rsidR="00655D28">
        <w:t xml:space="preserve">current </w:t>
      </w:r>
      <w:r>
        <w:t>energy demands</w:t>
      </w:r>
      <w:r w:rsidR="00655D28">
        <w:t xml:space="preserve">, eventually </w:t>
      </w:r>
      <w:r>
        <w:t xml:space="preserve">reducing fuels consumption </w:t>
      </w:r>
      <w:r w:rsidR="00655D28">
        <w:t>in</w:t>
      </w:r>
      <w:r>
        <w:t xml:space="preserve"> </w:t>
      </w:r>
      <w:r w:rsidR="00655D28">
        <w:t xml:space="preserve">the main </w:t>
      </w:r>
      <w:r>
        <w:t xml:space="preserve">engines and </w:t>
      </w:r>
      <w:r w:rsidR="00655D28">
        <w:t xml:space="preserve">the </w:t>
      </w:r>
      <w:r>
        <w:t>boiler/heaters.</w:t>
      </w:r>
      <w:r w:rsidR="002C620E">
        <w:t xml:space="preserve"> Besides classical pinch analysis, there are several state-of-the-art process-to-process energy integration approaches to facilitate optimality in energy savings and applied utilities (Pyrgakis and Kokossis, 2019). </w:t>
      </w:r>
      <w:r w:rsidR="00655D28">
        <w:t>Moreover</w:t>
      </w:r>
      <w:r>
        <w:t xml:space="preserve">, electricity cogeneration </w:t>
      </w:r>
      <w:r w:rsidR="00655D28">
        <w:t xml:space="preserve">using </w:t>
      </w:r>
      <w:r>
        <w:t>steam turbine</w:t>
      </w:r>
      <w:r w:rsidR="00BA0FB4">
        <w:t>s</w:t>
      </w:r>
      <w:r>
        <w:t xml:space="preserve"> is another </w:t>
      </w:r>
      <w:r w:rsidR="00655D28">
        <w:t>option</w:t>
      </w:r>
      <w:r>
        <w:t xml:space="preserve"> </w:t>
      </w:r>
      <w:r w:rsidR="00655D28">
        <w:t>to reduce</w:t>
      </w:r>
      <w:r>
        <w:t xml:space="preserve"> loadings of auxiliary engines.</w:t>
      </w:r>
      <w:r w:rsidR="000D7D17">
        <w:t xml:space="preserve"> </w:t>
      </w:r>
      <w:r w:rsidR="002C620E">
        <w:t xml:space="preserve">The updated Turbine Hardware Model of Pyrgakis and Kokossis (2020) was used for estimation of the cogeneration potential. </w:t>
      </w:r>
      <w:r w:rsidR="000D7D17">
        <w:t xml:space="preserve">Such options </w:t>
      </w:r>
      <w:r w:rsidR="00655D28">
        <w:t>are</w:t>
      </w:r>
      <w:r w:rsidR="000D7D17">
        <w:t xml:space="preserve"> feasible for short-term strategies</w:t>
      </w:r>
      <w:r w:rsidR="00655D28">
        <w:t>, but</w:t>
      </w:r>
      <w:r w:rsidR="000D7D17">
        <w:t xml:space="preserve"> </w:t>
      </w:r>
      <w:r w:rsidR="00655D28">
        <w:t>are</w:t>
      </w:r>
      <w:r w:rsidR="000D7D17">
        <w:t xml:space="preserve"> challenged by re-engineering of existing mechanical, electronic and control systems.</w:t>
      </w:r>
    </w:p>
    <w:p w14:paraId="675041AE" w14:textId="4EE56383" w:rsidR="00173A85" w:rsidRDefault="00173A85" w:rsidP="00304AB7">
      <w:pPr>
        <w:pStyle w:val="Els-body-text"/>
      </w:pPr>
      <w:r>
        <w:t>Carbon capture and storage</w:t>
      </w:r>
      <w:r w:rsidR="006234AC">
        <w:t xml:space="preserve"> (CCS)</w:t>
      </w:r>
      <w:r>
        <w:t xml:space="preserve"> on board is another option for CO2 emissions reduction. Different technologies and designs could be adapted to the specific needs and conditions of various industries including maritime. </w:t>
      </w:r>
      <w:r w:rsidR="006234AC">
        <w:t>CO2 absorption</w:t>
      </w:r>
      <w:r>
        <w:t xml:space="preserve"> </w:t>
      </w:r>
      <w:r w:rsidR="006234AC">
        <w:t>with</w:t>
      </w:r>
      <w:r>
        <w:t xml:space="preserve"> amine solutions (e.g.</w:t>
      </w:r>
      <w:r w:rsidR="006234AC">
        <w:t>,</w:t>
      </w:r>
      <w:r>
        <w:t xml:space="preserve"> MEA) is </w:t>
      </w:r>
      <w:r w:rsidR="006234AC">
        <w:t>the</w:t>
      </w:r>
      <w:r>
        <w:t xml:space="preserve"> most mature and efficient technology for CO2 capture, though is challenged by utilities costs, and </w:t>
      </w:r>
      <w:r w:rsidR="006234AC">
        <w:t xml:space="preserve">demands for </w:t>
      </w:r>
      <w:r>
        <w:t>compressi</w:t>
      </w:r>
      <w:r w:rsidR="006234AC">
        <w:t>ng</w:t>
      </w:r>
      <w:r>
        <w:t xml:space="preserve"> CO2 captured in vapor phase. Cryogenic distillation is another, also mature, option based on physical </w:t>
      </w:r>
      <w:r w:rsidR="006234AC">
        <w:t>processing</w:t>
      </w:r>
      <w:r>
        <w:t xml:space="preserve"> and </w:t>
      </w:r>
      <w:r w:rsidR="006234AC">
        <w:t xml:space="preserve">is </w:t>
      </w:r>
      <w:r>
        <w:t>adaptable to various conditions. The high energy cost for CO2 condensation is the main challenge</w:t>
      </w:r>
      <w:r w:rsidR="006234AC">
        <w:t>. Thus, a potential to use it in LNG ships can be justified</w:t>
      </w:r>
      <w:r w:rsidR="00466634">
        <w:t xml:space="preserve">, </w:t>
      </w:r>
      <w:r w:rsidR="006234AC">
        <w:t>since cryogenic storage of LNG offers</w:t>
      </w:r>
      <w:r>
        <w:t xml:space="preserve"> a</w:t>
      </w:r>
      <w:r w:rsidR="006234AC">
        <w:t xml:space="preserve"> viable</w:t>
      </w:r>
      <w:r w:rsidRPr="00173A85">
        <w:t xml:space="preserve"> </w:t>
      </w:r>
      <w:r>
        <w:t>source of cold energy</w:t>
      </w:r>
      <w:r w:rsidRPr="00173A85">
        <w:t xml:space="preserve"> </w:t>
      </w:r>
      <w:r w:rsidR="006234AC">
        <w:t>enabling</w:t>
      </w:r>
      <w:r w:rsidR="00466634">
        <w:t xml:space="preserve"> CO2 liquefaction and lower energy penalt</w:t>
      </w:r>
      <w:r w:rsidR="006234AC">
        <w:t>ies</w:t>
      </w:r>
      <w:r w:rsidR="00466634">
        <w:t xml:space="preserve"> for CCS and short-term storage on board. </w:t>
      </w:r>
      <w:r w:rsidR="006234AC">
        <w:t xml:space="preserve">The captured </w:t>
      </w:r>
      <w:r>
        <w:t xml:space="preserve">CO2 </w:t>
      </w:r>
      <w:r w:rsidR="006234AC">
        <w:t xml:space="preserve">could be </w:t>
      </w:r>
      <w:r w:rsidR="008F0972">
        <w:t xml:space="preserve">deposit </w:t>
      </w:r>
      <w:r>
        <w:t>at port</w:t>
      </w:r>
      <w:r w:rsidR="006234AC">
        <w:t xml:space="preserve"> and </w:t>
      </w:r>
      <w:r>
        <w:t>be integrated with other energy carriers</w:t>
      </w:r>
      <w:r w:rsidR="006234AC">
        <w:t>’</w:t>
      </w:r>
      <w:r>
        <w:t xml:space="preserve"> supply chains and industries.</w:t>
      </w:r>
    </w:p>
    <w:p w14:paraId="317F5432" w14:textId="7077DB46" w:rsidR="00304AB7" w:rsidRDefault="00D55AE8" w:rsidP="00304AB7">
      <w:pPr>
        <w:jc w:val="both"/>
      </w:pPr>
      <w:r>
        <w:t>The</w:t>
      </w:r>
      <w:r w:rsidR="00304AB7">
        <w:t xml:space="preserve"> above </w:t>
      </w:r>
      <w:r>
        <w:t xml:space="preserve">fuel, design and technology </w:t>
      </w:r>
      <w:r w:rsidR="00304AB7">
        <w:t>options</w:t>
      </w:r>
      <w:r>
        <w:t xml:space="preserve"> </w:t>
      </w:r>
      <w:r w:rsidR="00304AB7">
        <w:t xml:space="preserve">have been </w:t>
      </w:r>
      <w:r>
        <w:t>examined</w:t>
      </w:r>
      <w:r w:rsidR="00304AB7">
        <w:t xml:space="preserve"> </w:t>
      </w:r>
      <w:r>
        <w:t>to</w:t>
      </w:r>
      <w:r w:rsidR="00304AB7">
        <w:t xml:space="preserve"> investigate best combinations </w:t>
      </w:r>
      <w:r>
        <w:t>that</w:t>
      </w:r>
      <w:r w:rsidR="00304AB7">
        <w:t xml:space="preserve"> achieve high</w:t>
      </w:r>
      <w:r>
        <w:t>est</w:t>
      </w:r>
      <w:r w:rsidR="00304AB7">
        <w:t xml:space="preserve"> economic and environmental </w:t>
      </w:r>
      <w:r w:rsidR="004754F1">
        <w:t>performance</w:t>
      </w:r>
      <w:r w:rsidR="00304AB7">
        <w:t xml:space="preserve"> in ROPAX ships. The analysis </w:t>
      </w:r>
      <w:r w:rsidR="004754F1">
        <w:t>takes</w:t>
      </w:r>
      <w:r w:rsidR="00304AB7">
        <w:t xml:space="preserve"> for granted the known and fixed energy demands of </w:t>
      </w:r>
      <w:r w:rsidR="004754F1">
        <w:t xml:space="preserve">a </w:t>
      </w:r>
      <w:r w:rsidR="00304AB7">
        <w:t xml:space="preserve">ROPAX reference ship </w:t>
      </w:r>
      <w:r w:rsidR="004754F1">
        <w:t>(150 m length, 1200 passengers) including</w:t>
      </w:r>
      <w:r w:rsidR="00304AB7">
        <w:t xml:space="preserve"> propulsion, electricity and heat for hotel and auxiliary operations. </w:t>
      </w:r>
      <w:r w:rsidR="004754F1">
        <w:t>This work systematically</w:t>
      </w:r>
      <w:r w:rsidR="00304AB7">
        <w:t xml:space="preserve"> screens the performance of each fuel</w:t>
      </w:r>
      <w:r w:rsidR="004754F1">
        <w:t>, design</w:t>
      </w:r>
      <w:r w:rsidR="00304AB7">
        <w:t xml:space="preserve"> </w:t>
      </w:r>
      <w:r w:rsidR="004754F1">
        <w:t xml:space="preserve">and CCS option </w:t>
      </w:r>
      <w:r w:rsidR="00304AB7">
        <w:t xml:space="preserve">considering variations in </w:t>
      </w:r>
      <w:r w:rsidR="004754F1">
        <w:t xml:space="preserve">the </w:t>
      </w:r>
      <w:r w:rsidR="00304AB7">
        <w:t xml:space="preserve">engine cylinder design and operating conditions. Marine engines using alternative fuel </w:t>
      </w:r>
      <w:r w:rsidR="004754F1">
        <w:t>were</w:t>
      </w:r>
      <w:r w:rsidR="00304AB7">
        <w:t xml:space="preserve"> simulated and their demands were integrated with the vessel</w:t>
      </w:r>
      <w:r w:rsidR="004754F1">
        <w:t>’s</w:t>
      </w:r>
      <w:r w:rsidR="00304AB7">
        <w:t xml:space="preserve"> streams to identify highest potentials for fuels savings </w:t>
      </w:r>
      <w:r w:rsidR="00954AF4">
        <w:t>considering, at the same time, process</w:t>
      </w:r>
      <w:r w:rsidR="00AC369F">
        <w:t>,</w:t>
      </w:r>
      <w:r w:rsidR="00954AF4">
        <w:t xml:space="preserve"> and energy integration</w:t>
      </w:r>
      <w:r w:rsidR="00304AB7">
        <w:t xml:space="preserve"> of CCS</w:t>
      </w:r>
      <w:r w:rsidR="00954AF4">
        <w:t xml:space="preserve"> on board.</w:t>
      </w:r>
      <w:r w:rsidR="00304AB7">
        <w:t xml:space="preserve"> </w:t>
      </w:r>
    </w:p>
    <w:p w14:paraId="144DE6A1" w14:textId="77E03C57" w:rsidR="008D2649" w:rsidRDefault="00AC369F" w:rsidP="008D2649">
      <w:pPr>
        <w:pStyle w:val="Els-1storder-head"/>
        <w:spacing w:after="120"/>
        <w:rPr>
          <w:lang w:val="en-GB"/>
        </w:rPr>
      </w:pPr>
      <w:r>
        <w:rPr>
          <w:lang w:val="en-GB"/>
        </w:rPr>
        <w:t>Screening, analysis, and design methodology</w:t>
      </w:r>
    </w:p>
    <w:p w14:paraId="34440F1E" w14:textId="77777777" w:rsidR="00665914" w:rsidRDefault="00A33837" w:rsidP="00617F9C">
      <w:pPr>
        <w:pStyle w:val="Els-body-text"/>
        <w:rPr>
          <w:lang w:val="en-GB"/>
        </w:rPr>
      </w:pPr>
      <w:r>
        <w:rPr>
          <w:lang w:val="en-GB"/>
        </w:rPr>
        <w:t xml:space="preserve">The </w:t>
      </w:r>
      <w:r w:rsidR="00AC369F">
        <w:rPr>
          <w:lang w:val="en-GB"/>
        </w:rPr>
        <w:t>approach</w:t>
      </w:r>
      <w:r w:rsidR="00135F6B">
        <w:rPr>
          <w:lang w:val="en-GB"/>
        </w:rPr>
        <w:t xml:space="preserve"> </w:t>
      </w:r>
      <w:r w:rsidR="00AC369F">
        <w:rPr>
          <w:lang w:val="en-GB"/>
        </w:rPr>
        <w:t>involves</w:t>
      </w:r>
      <w:r w:rsidR="00135F6B">
        <w:rPr>
          <w:lang w:val="en-GB"/>
        </w:rPr>
        <w:t xml:space="preserve"> </w:t>
      </w:r>
      <w:r w:rsidR="00BF1F89">
        <w:rPr>
          <w:lang w:val="en-GB"/>
        </w:rPr>
        <w:t>3</w:t>
      </w:r>
      <w:r w:rsidR="00135F6B">
        <w:rPr>
          <w:lang w:val="en-GB"/>
        </w:rPr>
        <w:t xml:space="preserve"> analysis steps</w:t>
      </w:r>
      <w:r w:rsidR="00841939">
        <w:rPr>
          <w:lang w:val="en-GB"/>
        </w:rPr>
        <w:t xml:space="preserve"> to systematically assess the economic</w:t>
      </w:r>
      <w:r w:rsidR="00C9257F">
        <w:rPr>
          <w:lang w:val="en-GB"/>
        </w:rPr>
        <w:t>, technical</w:t>
      </w:r>
      <w:r w:rsidR="00A45296">
        <w:rPr>
          <w:lang w:val="en-GB"/>
        </w:rPr>
        <w:t>,</w:t>
      </w:r>
      <w:r w:rsidR="00841939">
        <w:rPr>
          <w:lang w:val="en-GB"/>
        </w:rPr>
        <w:t xml:space="preserve"> and environmental </w:t>
      </w:r>
      <w:r w:rsidR="00C9257F">
        <w:rPr>
          <w:lang w:val="en-GB"/>
        </w:rPr>
        <w:t>performance</w:t>
      </w:r>
      <w:r w:rsidR="00841939">
        <w:rPr>
          <w:lang w:val="en-GB"/>
        </w:rPr>
        <w:t xml:space="preserve"> of alternative fuels, when used alone or combined with conventional fuels. The steps are: </w:t>
      </w:r>
    </w:p>
    <w:p w14:paraId="03BF34DD" w14:textId="04638C3F" w:rsidR="00841939" w:rsidRDefault="00135F6B" w:rsidP="00617F9C">
      <w:pPr>
        <w:pStyle w:val="Els-body-text"/>
        <w:rPr>
          <w:lang w:val="en-GB"/>
        </w:rPr>
      </w:pPr>
      <w:r w:rsidRPr="003370C4">
        <w:rPr>
          <w:b/>
          <w:bCs/>
          <w:lang w:val="en-GB"/>
        </w:rPr>
        <w:lastRenderedPageBreak/>
        <w:t>(</w:t>
      </w:r>
      <w:r w:rsidR="00E533EB" w:rsidRPr="003370C4">
        <w:rPr>
          <w:b/>
          <w:bCs/>
          <w:lang w:val="en-GB"/>
        </w:rPr>
        <w:t>1</w:t>
      </w:r>
      <w:r w:rsidRPr="003370C4">
        <w:rPr>
          <w:b/>
          <w:bCs/>
          <w:lang w:val="en-GB"/>
        </w:rPr>
        <w:t xml:space="preserve">) </w:t>
      </w:r>
      <w:r w:rsidR="00617F9C" w:rsidRPr="003370C4">
        <w:rPr>
          <w:b/>
          <w:bCs/>
          <w:lang w:val="en-GB"/>
        </w:rPr>
        <w:t>Quick and robust screening:</w:t>
      </w:r>
      <w:r w:rsidR="00617F9C" w:rsidRPr="003370C4">
        <w:rPr>
          <w:lang w:val="en-GB"/>
        </w:rPr>
        <w:t xml:space="preserve"> </w:t>
      </w:r>
      <w:r w:rsidR="00C9257F">
        <w:rPr>
          <w:lang w:val="en-GB"/>
        </w:rPr>
        <w:t>6</w:t>
      </w:r>
      <w:r w:rsidR="00617F9C" w:rsidRPr="00617F9C">
        <w:rPr>
          <w:lang w:val="en-GB"/>
        </w:rPr>
        <w:t xml:space="preserve"> conventional</w:t>
      </w:r>
      <w:r w:rsidR="00C9257F">
        <w:rPr>
          <w:lang w:val="en-GB"/>
        </w:rPr>
        <w:t xml:space="preserve"> (diesel, HFO)</w:t>
      </w:r>
      <w:r w:rsidR="00617F9C" w:rsidRPr="00617F9C">
        <w:rPr>
          <w:lang w:val="en-GB"/>
        </w:rPr>
        <w:t xml:space="preserve"> and </w:t>
      </w:r>
      <w:r w:rsidRPr="00617F9C">
        <w:rPr>
          <w:lang w:val="en-GB"/>
        </w:rPr>
        <w:t>alternative</w:t>
      </w:r>
      <w:r w:rsidR="00C9257F">
        <w:rPr>
          <w:lang w:val="en-GB"/>
        </w:rPr>
        <w:t xml:space="preserve"> (MeOH, H2, biocrude, LNG)</w:t>
      </w:r>
      <w:r w:rsidR="00617F9C" w:rsidRPr="00617F9C">
        <w:rPr>
          <w:lang w:val="en-GB"/>
        </w:rPr>
        <w:t xml:space="preserve"> fuels</w:t>
      </w:r>
      <w:r w:rsidR="00A45296">
        <w:rPr>
          <w:lang w:val="en-GB"/>
        </w:rPr>
        <w:t xml:space="preserve"> were </w:t>
      </w:r>
      <w:r w:rsidR="00C9257F">
        <w:rPr>
          <w:lang w:val="en-GB"/>
        </w:rPr>
        <w:t>examined</w:t>
      </w:r>
      <w:r w:rsidR="00841939">
        <w:rPr>
          <w:lang w:val="en-GB"/>
        </w:rPr>
        <w:t xml:space="preserve"> </w:t>
      </w:r>
      <w:r w:rsidR="00A45296">
        <w:rPr>
          <w:lang w:val="en-GB"/>
        </w:rPr>
        <w:t>by means of</w:t>
      </w:r>
      <w:r w:rsidR="00841939">
        <w:rPr>
          <w:lang w:val="en-GB"/>
        </w:rPr>
        <w:t xml:space="preserve"> </w:t>
      </w:r>
      <w:r w:rsidR="00C9257F">
        <w:rPr>
          <w:lang w:val="en-GB"/>
        </w:rPr>
        <w:t xml:space="preserve">mathematical </w:t>
      </w:r>
      <w:r w:rsidR="00841939">
        <w:rPr>
          <w:lang w:val="en-GB"/>
        </w:rPr>
        <w:t xml:space="preserve">modelling </w:t>
      </w:r>
      <w:r w:rsidR="00A45296">
        <w:rPr>
          <w:lang w:val="en-GB"/>
        </w:rPr>
        <w:t>considering an</w:t>
      </w:r>
      <w:r w:rsidR="00C9257F">
        <w:rPr>
          <w:lang w:val="en-GB"/>
        </w:rPr>
        <w:t xml:space="preserve"> equation</w:t>
      </w:r>
      <w:r w:rsidR="00A45296">
        <w:rPr>
          <w:lang w:val="en-GB"/>
        </w:rPr>
        <w:t xml:space="preserve"> system to describe </w:t>
      </w:r>
      <w:r w:rsidR="00841939">
        <w:rPr>
          <w:lang w:val="en-GB"/>
        </w:rPr>
        <w:t>combustion kinetics</w:t>
      </w:r>
      <w:r w:rsidR="00C9257F">
        <w:rPr>
          <w:lang w:val="en-GB"/>
        </w:rPr>
        <w:t>;</w:t>
      </w:r>
      <w:r w:rsidR="00A45296">
        <w:rPr>
          <w:lang w:val="en-GB"/>
        </w:rPr>
        <w:t xml:space="preserve"> fuels and flue gas</w:t>
      </w:r>
      <w:r w:rsidR="00841939">
        <w:rPr>
          <w:lang w:val="en-GB"/>
        </w:rPr>
        <w:t xml:space="preserve"> propert</w:t>
      </w:r>
      <w:r w:rsidR="00A45296">
        <w:rPr>
          <w:lang w:val="en-GB"/>
        </w:rPr>
        <w:t>ies</w:t>
      </w:r>
      <w:r w:rsidR="00C9257F">
        <w:rPr>
          <w:lang w:val="en-GB"/>
        </w:rPr>
        <w:t>;</w:t>
      </w:r>
      <w:r w:rsidR="00841939">
        <w:rPr>
          <w:lang w:val="en-GB"/>
        </w:rPr>
        <w:t xml:space="preserve"> mass and energy balances</w:t>
      </w:r>
      <w:r w:rsidR="00C9257F">
        <w:rPr>
          <w:lang w:val="en-GB"/>
        </w:rPr>
        <w:t>; and</w:t>
      </w:r>
      <w:r w:rsidR="00E533EB">
        <w:rPr>
          <w:lang w:val="en-GB"/>
        </w:rPr>
        <w:t xml:space="preserve"> </w:t>
      </w:r>
      <w:r w:rsidR="00C9257F">
        <w:rPr>
          <w:lang w:val="en-GB"/>
        </w:rPr>
        <w:t>cylinder</w:t>
      </w:r>
      <w:r w:rsidR="00E533EB">
        <w:rPr>
          <w:lang w:val="en-GB"/>
        </w:rPr>
        <w:t xml:space="preserve"> </w:t>
      </w:r>
      <w:r w:rsidR="00C9257F">
        <w:rPr>
          <w:lang w:val="en-GB"/>
        </w:rPr>
        <w:t>operati</w:t>
      </w:r>
      <w:r w:rsidR="00A45296">
        <w:rPr>
          <w:lang w:val="en-GB"/>
        </w:rPr>
        <w:t>o</w:t>
      </w:r>
      <w:r w:rsidR="00C9257F">
        <w:rPr>
          <w:lang w:val="en-GB"/>
        </w:rPr>
        <w:t>n</w:t>
      </w:r>
      <w:r w:rsidR="00A45296">
        <w:rPr>
          <w:lang w:val="en-GB"/>
        </w:rPr>
        <w:t>s</w:t>
      </w:r>
      <w:r w:rsidR="00C9257F">
        <w:rPr>
          <w:lang w:val="en-GB"/>
        </w:rPr>
        <w:t xml:space="preserve">. The model receives </w:t>
      </w:r>
      <w:r w:rsidR="007C08C6">
        <w:rPr>
          <w:lang w:val="en-GB"/>
        </w:rPr>
        <w:t xml:space="preserve">user-defined </w:t>
      </w:r>
      <w:r w:rsidR="00C9257F">
        <w:rPr>
          <w:lang w:val="en-GB"/>
        </w:rPr>
        <w:t>input</w:t>
      </w:r>
      <w:r w:rsidR="005F3500">
        <w:rPr>
          <w:lang w:val="en-GB"/>
        </w:rPr>
        <w:t xml:space="preserve">s </w:t>
      </w:r>
      <w:r w:rsidR="007C08C6">
        <w:rPr>
          <w:lang w:val="en-GB"/>
        </w:rPr>
        <w:t>for</w:t>
      </w:r>
      <w:r w:rsidR="005F3500">
        <w:rPr>
          <w:lang w:val="en-GB"/>
        </w:rPr>
        <w:t xml:space="preserve"> </w:t>
      </w:r>
      <w:r w:rsidR="007C08C6">
        <w:rPr>
          <w:lang w:val="en-GB"/>
        </w:rPr>
        <w:t xml:space="preserve">the cylinder </w:t>
      </w:r>
      <w:r w:rsidR="00C9257F">
        <w:rPr>
          <w:lang w:val="en-GB"/>
        </w:rPr>
        <w:t xml:space="preserve">operating conditions (fuel </w:t>
      </w:r>
      <w:r w:rsidR="00ED7A54">
        <w:rPr>
          <w:lang w:val="en-GB"/>
        </w:rPr>
        <w:t>inlet</w:t>
      </w:r>
      <w:r w:rsidR="00C9257F">
        <w:rPr>
          <w:lang w:val="en-GB"/>
        </w:rPr>
        <w:t xml:space="preserve"> pressure and temperature and Air Fuel Ratio</w:t>
      </w:r>
      <w:r w:rsidR="005F3500">
        <w:rPr>
          <w:lang w:val="en-GB"/>
        </w:rPr>
        <w:t>-</w:t>
      </w:r>
      <w:r w:rsidR="00C9257F">
        <w:rPr>
          <w:lang w:val="en-GB"/>
        </w:rPr>
        <w:t>AFR</w:t>
      </w:r>
      <w:r w:rsidR="005F3500">
        <w:rPr>
          <w:lang w:val="en-GB"/>
        </w:rPr>
        <w:t xml:space="preserve">) </w:t>
      </w:r>
      <w:r w:rsidR="007C08C6">
        <w:rPr>
          <w:lang w:val="en-GB"/>
        </w:rPr>
        <w:t xml:space="preserve">and design </w:t>
      </w:r>
      <w:r w:rsidR="005F3500">
        <w:rPr>
          <w:lang w:val="en-GB"/>
        </w:rPr>
        <w:t>(</w:t>
      </w:r>
      <w:r w:rsidR="00C9257F">
        <w:rPr>
          <w:lang w:val="en-GB"/>
        </w:rPr>
        <w:t>compression ratio, bore</w:t>
      </w:r>
      <w:r w:rsidR="005F3500">
        <w:rPr>
          <w:lang w:val="en-GB"/>
        </w:rPr>
        <w:t xml:space="preserve"> and</w:t>
      </w:r>
      <w:r w:rsidR="00C9257F">
        <w:rPr>
          <w:lang w:val="en-GB"/>
        </w:rPr>
        <w:t xml:space="preserve"> heigh</w:t>
      </w:r>
      <w:r w:rsidR="00A54497">
        <w:rPr>
          <w:lang w:val="en-GB"/>
        </w:rPr>
        <w:t>t</w:t>
      </w:r>
      <w:r w:rsidR="005F3500">
        <w:rPr>
          <w:lang w:val="en-GB"/>
        </w:rPr>
        <w:t>) and fuel price</w:t>
      </w:r>
      <w:r w:rsidR="007C08C6">
        <w:rPr>
          <w:lang w:val="en-GB"/>
        </w:rPr>
        <w:t>s</w:t>
      </w:r>
      <w:r w:rsidR="005F3500">
        <w:rPr>
          <w:lang w:val="en-GB"/>
        </w:rPr>
        <w:t>.</w:t>
      </w:r>
      <w:r w:rsidR="00082846">
        <w:rPr>
          <w:lang w:val="en-GB"/>
        </w:rPr>
        <w:t xml:space="preserve"> </w:t>
      </w:r>
      <w:r w:rsidR="005F3500">
        <w:rPr>
          <w:lang w:val="en-GB"/>
        </w:rPr>
        <w:t>The model returns as output</w:t>
      </w:r>
      <w:r w:rsidR="007C08C6">
        <w:rPr>
          <w:lang w:val="en-GB"/>
        </w:rPr>
        <w:t xml:space="preserve"> the cylinder’s </w:t>
      </w:r>
      <w:r w:rsidR="005F3500">
        <w:rPr>
          <w:lang w:val="en-GB"/>
        </w:rPr>
        <w:t xml:space="preserve">mass and energy balances, fuel conversion, </w:t>
      </w:r>
      <w:r w:rsidR="007C08C6">
        <w:rPr>
          <w:lang w:val="en-GB"/>
        </w:rPr>
        <w:t>energy</w:t>
      </w:r>
      <w:r w:rsidR="005F3500">
        <w:rPr>
          <w:lang w:val="en-GB"/>
        </w:rPr>
        <w:t xml:space="preserve"> efficienc</w:t>
      </w:r>
      <w:r w:rsidR="007C08C6">
        <w:rPr>
          <w:lang w:val="en-GB"/>
        </w:rPr>
        <w:t>ies</w:t>
      </w:r>
      <w:r w:rsidR="005F3500">
        <w:rPr>
          <w:lang w:val="en-GB"/>
        </w:rPr>
        <w:t xml:space="preserve">, </w:t>
      </w:r>
      <w:r w:rsidR="007C08C6">
        <w:rPr>
          <w:lang w:val="en-GB"/>
        </w:rPr>
        <w:t>power output</w:t>
      </w:r>
      <w:r w:rsidR="005F3500">
        <w:rPr>
          <w:lang w:val="en-GB"/>
        </w:rPr>
        <w:t>, torque, fuel consumption, and CO2 emissions.</w:t>
      </w:r>
      <w:r w:rsidR="00A80D36">
        <w:rPr>
          <w:lang w:val="en-GB"/>
        </w:rPr>
        <w:t xml:space="preserve"> </w:t>
      </w:r>
    </w:p>
    <w:p w14:paraId="3645A5FC" w14:textId="7F881ED5" w:rsidR="00AA0754" w:rsidRDefault="00AA0754" w:rsidP="00617F9C">
      <w:pPr>
        <w:pStyle w:val="Els-body-text"/>
        <w:rPr>
          <w:lang w:val="en-GB"/>
        </w:rPr>
      </w:pPr>
      <w:r>
        <w:rPr>
          <w:lang w:val="en-GB"/>
        </w:rPr>
        <w:t xml:space="preserve">The analysis </w:t>
      </w:r>
      <w:r w:rsidR="002B3848">
        <w:rPr>
          <w:lang w:val="en-GB"/>
        </w:rPr>
        <w:t>focused on</w:t>
      </w:r>
      <w:r>
        <w:rPr>
          <w:lang w:val="en-GB"/>
        </w:rPr>
        <w:t xml:space="preserve"> the impact of the engine operations on the energy, economic and </w:t>
      </w:r>
      <w:r w:rsidR="004914DE">
        <w:rPr>
          <w:lang w:val="en-GB"/>
        </w:rPr>
        <w:t>environmental</w:t>
      </w:r>
      <w:r>
        <w:rPr>
          <w:lang w:val="en-GB"/>
        </w:rPr>
        <w:t xml:space="preserve"> performance. This approach was also considered for different compatible fuels mixtures </w:t>
      </w:r>
      <w:r w:rsidR="002B3848">
        <w:rPr>
          <w:lang w:val="en-GB"/>
        </w:rPr>
        <w:t>(conventional</w:t>
      </w:r>
      <w:r w:rsidR="008259E0">
        <w:rPr>
          <w:lang w:val="en-GB"/>
        </w:rPr>
        <w:t xml:space="preserve"> with </w:t>
      </w:r>
      <w:r w:rsidR="002B3848">
        <w:rPr>
          <w:lang w:val="en-GB"/>
        </w:rPr>
        <w:t xml:space="preserve">alternative) </w:t>
      </w:r>
      <w:r>
        <w:rPr>
          <w:lang w:val="en-GB"/>
        </w:rPr>
        <w:t xml:space="preserve">to assess trade-offs in economic and environmental performance. Overall, the aggregated results were used to map </w:t>
      </w:r>
      <w:r w:rsidR="008E012A">
        <w:rPr>
          <w:lang w:val="en-GB"/>
        </w:rPr>
        <w:t>and rank the overall performance of single and mixed fuel</w:t>
      </w:r>
      <w:r w:rsidR="002B3848" w:rsidRPr="002B3848">
        <w:rPr>
          <w:lang w:val="en-GB"/>
        </w:rPr>
        <w:t xml:space="preserve"> </w:t>
      </w:r>
      <w:r w:rsidR="002B3848">
        <w:rPr>
          <w:lang w:val="en-GB"/>
        </w:rPr>
        <w:t>alternatives</w:t>
      </w:r>
      <w:r w:rsidR="008E012A">
        <w:rPr>
          <w:lang w:val="en-GB"/>
        </w:rPr>
        <w:t>.</w:t>
      </w:r>
    </w:p>
    <w:p w14:paraId="1239B21F" w14:textId="55384524" w:rsidR="00724136" w:rsidRDefault="003370C4" w:rsidP="00617F9C">
      <w:pPr>
        <w:pStyle w:val="Els-body-text"/>
        <w:rPr>
          <w:lang w:val="en-GB"/>
        </w:rPr>
      </w:pPr>
      <w:r w:rsidRPr="003370C4">
        <w:rPr>
          <w:b/>
          <w:bCs/>
          <w:lang w:val="en-GB"/>
        </w:rPr>
        <w:t xml:space="preserve">(2) </w:t>
      </w:r>
      <w:r w:rsidR="00617F9C" w:rsidRPr="003370C4">
        <w:rPr>
          <w:b/>
          <w:bCs/>
          <w:lang w:val="en-GB"/>
        </w:rPr>
        <w:t>Engine simulation and process integration</w:t>
      </w:r>
      <w:r w:rsidR="00665914">
        <w:rPr>
          <w:b/>
          <w:bCs/>
          <w:lang w:val="en-GB"/>
        </w:rPr>
        <w:t xml:space="preserve">: </w:t>
      </w:r>
      <w:r w:rsidR="00584D18">
        <w:rPr>
          <w:lang w:val="en-GB"/>
        </w:rPr>
        <w:t>Using the results of</w:t>
      </w:r>
      <w:r w:rsidR="008E012A">
        <w:rPr>
          <w:lang w:val="en-GB"/>
        </w:rPr>
        <w:t xml:space="preserve"> step (1), the analysis deepened in the engine design </w:t>
      </w:r>
      <w:r w:rsidR="00584D18">
        <w:rPr>
          <w:lang w:val="en-GB"/>
        </w:rPr>
        <w:t>developing</w:t>
      </w:r>
      <w:r w:rsidR="008E012A">
        <w:rPr>
          <w:lang w:val="en-GB"/>
        </w:rPr>
        <w:t xml:space="preserve"> flowsheets and simulations </w:t>
      </w:r>
      <w:r w:rsidR="00584D18">
        <w:rPr>
          <w:lang w:val="en-GB"/>
        </w:rPr>
        <w:t>based on</w:t>
      </w:r>
      <w:r w:rsidR="008E012A">
        <w:rPr>
          <w:lang w:val="en-GB"/>
        </w:rPr>
        <w:t xml:space="preserve"> the use of each fuel and </w:t>
      </w:r>
      <w:r w:rsidR="00584D18">
        <w:rPr>
          <w:lang w:val="en-GB"/>
        </w:rPr>
        <w:t xml:space="preserve">type of </w:t>
      </w:r>
      <w:r w:rsidR="008E012A">
        <w:rPr>
          <w:lang w:val="en-GB"/>
        </w:rPr>
        <w:t>engine</w:t>
      </w:r>
      <w:r w:rsidR="00584D18">
        <w:rPr>
          <w:lang w:val="en-GB"/>
        </w:rPr>
        <w:t xml:space="preserve"> </w:t>
      </w:r>
      <w:r w:rsidR="008E012A">
        <w:rPr>
          <w:lang w:val="en-GB"/>
        </w:rPr>
        <w:t xml:space="preserve">in the basis of ROPAX </w:t>
      </w:r>
      <w:r w:rsidR="00584D18">
        <w:rPr>
          <w:lang w:val="en-GB"/>
        </w:rPr>
        <w:t>ships energy demands</w:t>
      </w:r>
      <w:r w:rsidR="008E012A">
        <w:rPr>
          <w:lang w:val="en-GB"/>
        </w:rPr>
        <w:t xml:space="preserve">. The simulations involved the engine cylinders, </w:t>
      </w:r>
      <w:r w:rsidR="00346430">
        <w:rPr>
          <w:lang w:val="en-GB"/>
        </w:rPr>
        <w:t xml:space="preserve">the </w:t>
      </w:r>
      <w:r w:rsidR="008E012A">
        <w:rPr>
          <w:lang w:val="en-GB"/>
        </w:rPr>
        <w:t>turbochargers</w:t>
      </w:r>
      <w:r w:rsidR="003E004F">
        <w:rPr>
          <w:lang w:val="en-GB"/>
        </w:rPr>
        <w:t>,</w:t>
      </w:r>
      <w:r w:rsidR="008E012A">
        <w:rPr>
          <w:lang w:val="en-GB"/>
        </w:rPr>
        <w:t xml:space="preserve"> </w:t>
      </w:r>
      <w:r w:rsidR="00346430">
        <w:t>the fuel feeding system</w:t>
      </w:r>
      <w:r w:rsidR="00346430">
        <w:rPr>
          <w:lang w:val="en-GB"/>
        </w:rPr>
        <w:t xml:space="preserve"> </w:t>
      </w:r>
      <w:r w:rsidR="008E012A">
        <w:rPr>
          <w:lang w:val="en-GB"/>
        </w:rPr>
        <w:t>(storage, pressurization, heating, vaporization), and flue gases</w:t>
      </w:r>
      <w:r w:rsidR="00346430">
        <w:rPr>
          <w:lang w:val="en-GB"/>
        </w:rPr>
        <w:t xml:space="preserve"> production</w:t>
      </w:r>
      <w:r w:rsidR="008E012A">
        <w:rPr>
          <w:lang w:val="en-GB"/>
        </w:rPr>
        <w:t xml:space="preserve">. The simulations were performed in ASPEN plus and the detailed mass and energy balances were calculated and used to estimate the reference energy savings from utilization of hot streams (engine, lubricating oil, and scavenge air) with cold streams </w:t>
      </w:r>
      <w:r w:rsidR="00D06526">
        <w:rPr>
          <w:lang w:val="en-GB"/>
        </w:rPr>
        <w:t>of</w:t>
      </w:r>
      <w:r w:rsidR="008E012A">
        <w:rPr>
          <w:lang w:val="en-GB"/>
        </w:rPr>
        <w:t xml:space="preserve"> the ship</w:t>
      </w:r>
      <w:r w:rsidR="003A123B">
        <w:rPr>
          <w:lang w:val="en-GB"/>
        </w:rPr>
        <w:t xml:space="preserve">, which include </w:t>
      </w:r>
      <w:r w:rsidR="008E012A">
        <w:rPr>
          <w:lang w:val="en-GB"/>
        </w:rPr>
        <w:t>steam and calorifier energy production, fuel</w:t>
      </w:r>
      <w:r w:rsidR="00133AE4">
        <w:rPr>
          <w:lang w:val="en-GB"/>
        </w:rPr>
        <w:t>,</w:t>
      </w:r>
      <w:r w:rsidR="008E012A">
        <w:rPr>
          <w:lang w:val="en-GB"/>
        </w:rPr>
        <w:t xml:space="preserve"> and auxiliary heating processes </w:t>
      </w:r>
      <w:r w:rsidR="003A123B">
        <w:rPr>
          <w:lang w:val="en-GB"/>
        </w:rPr>
        <w:t>across ship</w:t>
      </w:r>
      <w:r w:rsidR="008E012A">
        <w:rPr>
          <w:lang w:val="en-GB"/>
        </w:rPr>
        <w:t xml:space="preserve">. </w:t>
      </w:r>
      <w:r w:rsidR="00133AE4">
        <w:rPr>
          <w:lang w:val="en-GB"/>
        </w:rPr>
        <w:t>T</w:t>
      </w:r>
      <w:r w:rsidR="008E012A">
        <w:rPr>
          <w:lang w:val="en-GB"/>
        </w:rPr>
        <w:t xml:space="preserve">he distribution of </w:t>
      </w:r>
      <w:r w:rsidR="00133AE4">
        <w:rPr>
          <w:lang w:val="en-GB"/>
        </w:rPr>
        <w:t>the reference</w:t>
      </w:r>
      <w:r w:rsidR="008E012A">
        <w:rPr>
          <w:lang w:val="en-GB"/>
        </w:rPr>
        <w:t xml:space="preserve"> fuel combustion energy among all </w:t>
      </w:r>
      <w:r w:rsidR="00133AE4">
        <w:rPr>
          <w:lang w:val="en-GB"/>
        </w:rPr>
        <w:t xml:space="preserve">above </w:t>
      </w:r>
      <w:r w:rsidR="008E012A">
        <w:rPr>
          <w:lang w:val="en-GB"/>
        </w:rPr>
        <w:t>ship operations</w:t>
      </w:r>
      <w:r w:rsidR="00133AE4">
        <w:rPr>
          <w:lang w:val="en-GB"/>
        </w:rPr>
        <w:t xml:space="preserve"> (</w:t>
      </w:r>
      <w:r w:rsidR="00724136">
        <w:rPr>
          <w:lang w:val="en-GB"/>
        </w:rPr>
        <w:t xml:space="preserve">including </w:t>
      </w:r>
      <w:r w:rsidR="008E012A">
        <w:rPr>
          <w:lang w:val="en-GB"/>
        </w:rPr>
        <w:t xml:space="preserve">propulsion, </w:t>
      </w:r>
      <w:r w:rsidR="00724136">
        <w:rPr>
          <w:lang w:val="en-GB"/>
        </w:rPr>
        <w:t xml:space="preserve">shaft work for </w:t>
      </w:r>
      <w:r w:rsidR="008E012A">
        <w:rPr>
          <w:lang w:val="en-GB"/>
        </w:rPr>
        <w:t>electricity production,</w:t>
      </w:r>
      <w:r w:rsidR="00CC3CBC">
        <w:rPr>
          <w:lang w:val="en-GB"/>
        </w:rPr>
        <w:t xml:space="preserve"> </w:t>
      </w:r>
      <w:r w:rsidR="00724136">
        <w:rPr>
          <w:lang w:val="en-GB"/>
        </w:rPr>
        <w:t>the heater and energy losses</w:t>
      </w:r>
      <w:r w:rsidR="00133AE4">
        <w:rPr>
          <w:lang w:val="en-GB"/>
        </w:rPr>
        <w:t>) was</w:t>
      </w:r>
      <w:r w:rsidR="00724136">
        <w:rPr>
          <w:lang w:val="en-GB"/>
        </w:rPr>
        <w:t xml:space="preserve"> mapped ringing the bell for</w:t>
      </w:r>
      <w:r w:rsidR="00133AE4">
        <w:rPr>
          <w:lang w:val="en-GB"/>
        </w:rPr>
        <w:t xml:space="preserve"> process </w:t>
      </w:r>
      <w:r w:rsidR="00724136">
        <w:rPr>
          <w:lang w:val="en-GB"/>
        </w:rPr>
        <w:t xml:space="preserve">intensification </w:t>
      </w:r>
      <w:r w:rsidR="00133AE4">
        <w:rPr>
          <w:lang w:val="en-GB"/>
        </w:rPr>
        <w:t>across ship</w:t>
      </w:r>
      <w:r w:rsidR="00724136">
        <w:rPr>
          <w:lang w:val="en-GB"/>
        </w:rPr>
        <w:t>.</w:t>
      </w:r>
      <w:r w:rsidR="00C92BA0">
        <w:rPr>
          <w:lang w:val="en-GB"/>
        </w:rPr>
        <w:t xml:space="preserve"> </w:t>
      </w:r>
      <w:r w:rsidR="00133AE4">
        <w:rPr>
          <w:lang w:val="en-GB"/>
        </w:rPr>
        <w:t>A</w:t>
      </w:r>
      <w:r w:rsidR="00C92BA0">
        <w:rPr>
          <w:lang w:val="en-GB"/>
        </w:rPr>
        <w:t xml:space="preserve"> great potential of </w:t>
      </w:r>
      <w:r w:rsidR="00916114">
        <w:rPr>
          <w:lang w:val="en-GB"/>
        </w:rPr>
        <w:t xml:space="preserve">available </w:t>
      </w:r>
      <w:r w:rsidR="00C92BA0">
        <w:rPr>
          <w:lang w:val="en-GB"/>
        </w:rPr>
        <w:t xml:space="preserve">energy </w:t>
      </w:r>
      <w:r w:rsidR="00916114">
        <w:rPr>
          <w:lang w:val="en-GB"/>
        </w:rPr>
        <w:t xml:space="preserve">was identified in energy losses </w:t>
      </w:r>
      <w:r w:rsidR="00C92BA0">
        <w:rPr>
          <w:lang w:val="en-GB"/>
        </w:rPr>
        <w:t xml:space="preserve">in hot flue gases (&gt;290 </w:t>
      </w:r>
      <w:r w:rsidR="003E004F">
        <w:rPr>
          <w:lang w:val="en-GB"/>
        </w:rPr>
        <w:t>°</w:t>
      </w:r>
      <w:r w:rsidR="00C92BA0">
        <w:rPr>
          <w:lang w:val="en-GB"/>
        </w:rPr>
        <w:t>C depending on the type of fuel) and the circulating cooling water</w:t>
      </w:r>
      <w:r w:rsidR="00916114">
        <w:rPr>
          <w:lang w:val="en-GB"/>
        </w:rPr>
        <w:t xml:space="preserve"> (heat rejected to the sea heat sink)</w:t>
      </w:r>
      <w:r w:rsidR="00C92BA0">
        <w:rPr>
          <w:lang w:val="en-GB"/>
        </w:rPr>
        <w:t xml:space="preserve"> used for cooling the engine, the lubricating oil and the scavenge air</w:t>
      </w:r>
      <w:r w:rsidR="00916114">
        <w:rPr>
          <w:lang w:val="en-GB"/>
        </w:rPr>
        <w:t>. Both heat sources could be used to save fuel used for heat production (through integration) and fuel used for electricity production (through cogeneration)</w:t>
      </w:r>
      <w:r w:rsidR="00C92BA0">
        <w:rPr>
          <w:lang w:val="en-GB"/>
        </w:rPr>
        <w:t xml:space="preserve">. The composite curves of the reference </w:t>
      </w:r>
      <w:r w:rsidR="00F442DF">
        <w:rPr>
          <w:lang w:val="en-GB"/>
        </w:rPr>
        <w:t>scenarios</w:t>
      </w:r>
      <w:r w:rsidR="00C92BA0">
        <w:rPr>
          <w:lang w:val="en-GB"/>
        </w:rPr>
        <w:t xml:space="preserve"> were </w:t>
      </w:r>
      <w:r w:rsidR="00C92BA0" w:rsidRPr="00CF7A98">
        <w:rPr>
          <w:lang w:val="en-GB"/>
        </w:rPr>
        <w:t>calculated revealing the integration</w:t>
      </w:r>
      <w:r w:rsidR="00F442DF" w:rsidRPr="00CF7A98">
        <w:rPr>
          <w:lang w:val="en-GB"/>
        </w:rPr>
        <w:t xml:space="preserve">, cogeneration </w:t>
      </w:r>
      <w:r w:rsidR="00C92BA0" w:rsidRPr="00CF7A98">
        <w:rPr>
          <w:lang w:val="en-GB"/>
        </w:rPr>
        <w:t xml:space="preserve">and fuel savings </w:t>
      </w:r>
      <w:r w:rsidR="00EF7EB1" w:rsidRPr="00CF7A98">
        <w:rPr>
          <w:lang w:val="en-GB"/>
        </w:rPr>
        <w:t xml:space="preserve">potentials </w:t>
      </w:r>
      <w:r w:rsidR="00C92BA0" w:rsidRPr="00CF7A98">
        <w:rPr>
          <w:lang w:val="en-GB"/>
        </w:rPr>
        <w:t xml:space="preserve">in the heater and </w:t>
      </w:r>
      <w:r w:rsidR="00317C39">
        <w:rPr>
          <w:lang w:val="en-GB"/>
        </w:rPr>
        <w:t xml:space="preserve">ME/AE </w:t>
      </w:r>
      <w:r w:rsidR="00C92BA0" w:rsidRPr="00CF7A98">
        <w:rPr>
          <w:lang w:val="en-GB"/>
        </w:rPr>
        <w:t>engines.</w:t>
      </w:r>
    </w:p>
    <w:p w14:paraId="3DB5DE81" w14:textId="0C721DF0" w:rsidR="005C1E19" w:rsidRDefault="008E012A" w:rsidP="004260E5">
      <w:pPr>
        <w:pStyle w:val="Els-body-text"/>
      </w:pPr>
      <w:r w:rsidRPr="00C92BA0">
        <w:rPr>
          <w:b/>
          <w:bCs/>
          <w:lang w:val="en-GB"/>
        </w:rPr>
        <w:t>(3) Carbon Captu</w:t>
      </w:r>
      <w:r w:rsidR="00C92BA0" w:rsidRPr="00C92BA0">
        <w:rPr>
          <w:b/>
          <w:bCs/>
          <w:lang w:val="en-GB"/>
        </w:rPr>
        <w:t>re and Storage</w:t>
      </w:r>
      <w:r w:rsidR="00617F9C" w:rsidRPr="00C92BA0">
        <w:rPr>
          <w:b/>
          <w:bCs/>
          <w:lang w:val="en-GB"/>
        </w:rPr>
        <w:t xml:space="preserve"> on board</w:t>
      </w:r>
      <w:r w:rsidR="00665914">
        <w:rPr>
          <w:b/>
          <w:bCs/>
          <w:lang w:val="en-GB"/>
        </w:rPr>
        <w:t xml:space="preserve">: </w:t>
      </w:r>
      <w:r w:rsidR="005035D4">
        <w:rPr>
          <w:lang w:val="en-GB"/>
        </w:rPr>
        <w:t xml:space="preserve">The </w:t>
      </w:r>
      <w:r w:rsidR="00E574CF">
        <w:rPr>
          <w:lang w:val="en-GB"/>
        </w:rPr>
        <w:t xml:space="preserve">produced </w:t>
      </w:r>
      <w:r w:rsidR="005035D4">
        <w:rPr>
          <w:lang w:val="en-GB"/>
        </w:rPr>
        <w:t xml:space="preserve">flue gases </w:t>
      </w:r>
      <w:r w:rsidR="00C74729">
        <w:rPr>
          <w:lang w:val="en-GB"/>
        </w:rPr>
        <w:t xml:space="preserve">were further </w:t>
      </w:r>
      <w:r w:rsidR="00903BED">
        <w:rPr>
          <w:lang w:val="en-GB"/>
        </w:rPr>
        <w:t xml:space="preserve">considered for Carbon Capture and Storage (CCS) on board </w:t>
      </w:r>
      <w:r w:rsidR="00E574CF">
        <w:rPr>
          <w:lang w:val="en-GB"/>
        </w:rPr>
        <w:t>through</w:t>
      </w:r>
      <w:r w:rsidR="00903BED">
        <w:rPr>
          <w:lang w:val="en-GB"/>
        </w:rPr>
        <w:t xml:space="preserve"> two </w:t>
      </w:r>
      <w:r w:rsidR="00E574CF">
        <w:rPr>
          <w:lang w:val="en-GB"/>
        </w:rPr>
        <w:t>alternative</w:t>
      </w:r>
      <w:r w:rsidR="00903BED">
        <w:rPr>
          <w:lang w:val="en-GB"/>
        </w:rPr>
        <w:t xml:space="preserve"> technologies: MEA absorption (MEA-CCS) and Cryogenic distillation (</w:t>
      </w:r>
      <w:r w:rsidR="004260E5">
        <w:rPr>
          <w:lang w:val="en-GB"/>
        </w:rPr>
        <w:t>Cryo</w:t>
      </w:r>
      <w:r w:rsidR="00903BED">
        <w:rPr>
          <w:lang w:val="en-GB"/>
        </w:rPr>
        <w:t>-CCS).</w:t>
      </w:r>
      <w:r w:rsidR="00E574CF">
        <w:rPr>
          <w:lang w:val="en-GB"/>
        </w:rPr>
        <w:t xml:space="preserve"> </w:t>
      </w:r>
      <w:r w:rsidR="004260E5">
        <w:t>In the case of MEA-CCS, both kinetic and equilibrium reactions among MEA</w:t>
      </w:r>
      <w:r w:rsidR="00045281">
        <w:t>-</w:t>
      </w:r>
      <w:r w:rsidR="004260E5">
        <w:t>CO2</w:t>
      </w:r>
      <w:r w:rsidR="00045281">
        <w:t>-</w:t>
      </w:r>
      <w:r w:rsidR="004260E5">
        <w:t xml:space="preserve">H2O </w:t>
      </w:r>
      <w:r w:rsidR="00E574CF">
        <w:t>as well as an absorber-stripper</w:t>
      </w:r>
      <w:r w:rsidR="004260E5">
        <w:t xml:space="preserve"> </w:t>
      </w:r>
      <w:r w:rsidR="00E574CF">
        <w:t xml:space="preserve">system </w:t>
      </w:r>
      <w:r w:rsidR="004260E5">
        <w:t xml:space="preserve">were considered with appropriate integration of </w:t>
      </w:r>
      <w:r w:rsidR="00E574CF">
        <w:t xml:space="preserve">the </w:t>
      </w:r>
      <w:r w:rsidR="004260E5">
        <w:t>energy intensive heating of absorbed CO2 and cooling of recycled MEA.</w:t>
      </w:r>
      <w:r w:rsidR="00E574CF">
        <w:t xml:space="preserve"> </w:t>
      </w:r>
      <w:r w:rsidR="004260E5">
        <w:t xml:space="preserve">The </w:t>
      </w:r>
      <w:r w:rsidR="00E54D37">
        <w:t xml:space="preserve">energy intensive </w:t>
      </w:r>
      <w:r w:rsidR="004260E5">
        <w:t xml:space="preserve">Cryo-CCS </w:t>
      </w:r>
      <w:r w:rsidR="00E574CF">
        <w:t xml:space="preserve">requires delicate </w:t>
      </w:r>
      <w:r w:rsidR="00F56622">
        <w:t xml:space="preserve">design </w:t>
      </w:r>
      <w:r w:rsidR="00E574CF">
        <w:t>adapted to the specific conditions and composition of flue gas to ensure sustainable CCS</w:t>
      </w:r>
      <w:r w:rsidR="00F56622">
        <w:t xml:space="preserve">. </w:t>
      </w:r>
      <w:r w:rsidR="00E574CF">
        <w:t>R</w:t>
      </w:r>
      <w:r w:rsidR="004044CC">
        <w:t xml:space="preserve">eference designs </w:t>
      </w:r>
      <w:r w:rsidR="00F56622">
        <w:t>(</w:t>
      </w:r>
      <w:proofErr w:type="spellStart"/>
      <w:r w:rsidR="00B80917" w:rsidRPr="007F1495">
        <w:rPr>
          <w:lang w:val="en-GB"/>
        </w:rPr>
        <w:t>Songolzadeh</w:t>
      </w:r>
      <w:proofErr w:type="spellEnd"/>
      <w:r w:rsidR="00B80917">
        <w:rPr>
          <w:lang w:val="en-GB"/>
        </w:rPr>
        <w:t xml:space="preserve"> et al., 2014</w:t>
      </w:r>
      <w:r w:rsidR="00F56622">
        <w:t xml:space="preserve">) </w:t>
      </w:r>
      <w:r w:rsidR="004044CC">
        <w:t>regularly include</w:t>
      </w:r>
      <w:r w:rsidR="00F56622">
        <w:t xml:space="preserve"> </w:t>
      </w:r>
      <w:r w:rsidR="00E54D37">
        <w:t xml:space="preserve">(i) </w:t>
      </w:r>
      <w:r w:rsidR="00F56622">
        <w:t xml:space="preserve">water condensation, </w:t>
      </w:r>
      <w:r w:rsidR="00E54D37">
        <w:t xml:space="preserve">(ii) </w:t>
      </w:r>
      <w:r w:rsidR="00F56622">
        <w:t xml:space="preserve">high pressure compression (up to 80 bar) </w:t>
      </w:r>
      <w:r w:rsidR="00E54D37">
        <w:t xml:space="preserve">(iii) </w:t>
      </w:r>
      <w:r w:rsidR="00F56622">
        <w:t xml:space="preserve">partial removal of air content </w:t>
      </w:r>
      <w:r w:rsidR="00E54D37">
        <w:t>and</w:t>
      </w:r>
      <w:r w:rsidR="00F56622">
        <w:t xml:space="preserve"> </w:t>
      </w:r>
      <w:r w:rsidR="00E54D37">
        <w:t xml:space="preserve">(iv) </w:t>
      </w:r>
      <w:r w:rsidR="00F56622">
        <w:t xml:space="preserve">cryogenic distillation for sharp </w:t>
      </w:r>
      <w:r w:rsidR="00E574CF">
        <w:t>separation of CO2-air</w:t>
      </w:r>
      <w:r w:rsidR="00F56622">
        <w:t>.</w:t>
      </w:r>
      <w:r w:rsidR="00E54D37">
        <w:t xml:space="preserve"> </w:t>
      </w:r>
      <w:r w:rsidR="00F56622">
        <w:t xml:space="preserve">High pressures </w:t>
      </w:r>
      <w:r w:rsidR="004044CC">
        <w:t>enable</w:t>
      </w:r>
      <w:r w:rsidR="00F56622">
        <w:t xml:space="preserve"> lower </w:t>
      </w:r>
      <w:r w:rsidR="004044CC">
        <w:t>dew points of CO2</w:t>
      </w:r>
      <w:r w:rsidR="00F56622">
        <w:t>,</w:t>
      </w:r>
      <w:r w:rsidR="00E574CF">
        <w:t xml:space="preserve"> which return </w:t>
      </w:r>
      <w:r w:rsidR="00F56622">
        <w:t xml:space="preserve">lower electricity demands for chilling. </w:t>
      </w:r>
      <w:r w:rsidR="00DD34E5">
        <w:t xml:space="preserve">However, </w:t>
      </w:r>
      <w:r w:rsidR="00E54D37">
        <w:t>high</w:t>
      </w:r>
      <w:r w:rsidR="004843CF">
        <w:t xml:space="preserve"> pressure</w:t>
      </w:r>
      <w:r w:rsidR="00E54D37">
        <w:t xml:space="preserve"> compression </w:t>
      </w:r>
      <w:r w:rsidR="004843CF">
        <w:t xml:space="preserve">of flue gas with low CO2 content (4-8% w/w) is not a sustainable option. This </w:t>
      </w:r>
      <w:r w:rsidR="00E574CF">
        <w:t>is outcome of using hi</w:t>
      </w:r>
      <w:r w:rsidR="00DD34E5">
        <w:t xml:space="preserve">gh AFRs in maritime to ensure full fuel consumption in </w:t>
      </w:r>
      <w:r w:rsidR="004843CF">
        <w:t xml:space="preserve">the </w:t>
      </w:r>
      <w:r w:rsidR="00DD34E5">
        <w:t>cylinder.</w:t>
      </w:r>
      <w:r w:rsidR="00DD34E5" w:rsidRPr="00DD34E5">
        <w:t xml:space="preserve"> </w:t>
      </w:r>
      <w:r w:rsidR="004843CF">
        <w:t>T</w:t>
      </w:r>
      <w:r w:rsidR="00DD34E5">
        <w:t>he</w:t>
      </w:r>
      <w:r w:rsidR="00DD34E5" w:rsidRPr="00DD34E5">
        <w:t xml:space="preserve"> </w:t>
      </w:r>
      <w:r w:rsidR="004843CF">
        <w:t>high</w:t>
      </w:r>
      <w:r w:rsidR="00DD34E5" w:rsidRPr="00DD34E5">
        <w:t xml:space="preserve"> </w:t>
      </w:r>
      <w:r w:rsidR="00DD34E5">
        <w:t>compression</w:t>
      </w:r>
      <w:r w:rsidR="00DD34E5" w:rsidRPr="00DD34E5">
        <w:t xml:space="preserve"> </w:t>
      </w:r>
      <w:r w:rsidR="00DD34E5">
        <w:t>power</w:t>
      </w:r>
      <w:r w:rsidR="00DD34E5" w:rsidRPr="00DD34E5">
        <w:t xml:space="preserve"> </w:t>
      </w:r>
      <w:r w:rsidR="00E574CF">
        <w:t>results in</w:t>
      </w:r>
      <w:r w:rsidR="004843CF">
        <w:t xml:space="preserve"> </w:t>
      </w:r>
      <w:r w:rsidR="00E574CF">
        <w:t>high electricity demands and</w:t>
      </w:r>
      <w:r w:rsidR="00DD34E5">
        <w:t xml:space="preserve"> fuel </w:t>
      </w:r>
      <w:r w:rsidR="00E574CF">
        <w:t xml:space="preserve">consumption </w:t>
      </w:r>
      <w:r w:rsidR="00DD34E5">
        <w:t xml:space="preserve">in auxiliary engines producing </w:t>
      </w:r>
      <w:r w:rsidR="00E574CF">
        <w:t>extra</w:t>
      </w:r>
      <w:r w:rsidR="00DD34E5">
        <w:t xml:space="preserve"> CO2 emissions</w:t>
      </w:r>
      <w:r w:rsidR="00E574CF">
        <w:t>; almost equivalent to the CO2 that is captured by</w:t>
      </w:r>
      <w:r w:rsidR="004843CF">
        <w:t xml:space="preserve"> Cryo-CCS. T</w:t>
      </w:r>
      <w:r w:rsidR="005C1E19">
        <w:t xml:space="preserve">his </w:t>
      </w:r>
      <w:r w:rsidR="004843CF">
        <w:t xml:space="preserve">raises concerns </w:t>
      </w:r>
      <w:r w:rsidR="000719D3">
        <w:t>about using lower AFR to favor CO2 capture, but lower LNG consumption results in either high CH4 emissions (25 times higher than CO2) or</w:t>
      </w:r>
      <w:r w:rsidR="00EC1802">
        <w:t xml:space="preserve"> </w:t>
      </w:r>
      <w:r w:rsidR="000719D3">
        <w:lastRenderedPageBreak/>
        <w:t xml:space="preserve">high energy costs to recover unconverted CH4. Under these conditions, CCS in LNG-ROPAX is re-engineered by bypassing compression and taking advantage of the viable cold energy from LNG storage to partially liquefy CO2 from flue gases. </w:t>
      </w:r>
      <w:r w:rsidR="00A66226">
        <w:t>S</w:t>
      </w:r>
      <w:r w:rsidR="005A4C6E">
        <w:t xml:space="preserve">hort-term </w:t>
      </w:r>
      <w:r w:rsidR="000719D3">
        <w:t xml:space="preserve">CO2 </w:t>
      </w:r>
      <w:r w:rsidR="005A4C6E">
        <w:t xml:space="preserve">storage on board </w:t>
      </w:r>
      <w:r w:rsidR="000719D3">
        <w:t xml:space="preserve">requires multistage compression and condensation </w:t>
      </w:r>
      <w:r w:rsidR="00665914">
        <w:t>of</w:t>
      </w:r>
      <w:r w:rsidR="000719D3">
        <w:t xml:space="preserve"> vapor</w:t>
      </w:r>
      <w:r w:rsidR="005A4C6E">
        <w:t xml:space="preserve"> CO2 </w:t>
      </w:r>
      <w:r w:rsidR="000719D3">
        <w:t>in</w:t>
      </w:r>
      <w:r w:rsidR="005A4C6E">
        <w:t xml:space="preserve"> MEA-CCS</w:t>
      </w:r>
      <w:r w:rsidR="000719D3">
        <w:t xml:space="preserve">, while </w:t>
      </w:r>
      <w:r w:rsidR="00665914">
        <w:t>liquefied</w:t>
      </w:r>
      <w:r w:rsidR="005A4C6E">
        <w:t xml:space="preserve"> CO2</w:t>
      </w:r>
      <w:r w:rsidR="00665914">
        <w:t xml:space="preserve"> (Cryo-CCS)</w:t>
      </w:r>
      <w:r w:rsidR="000719D3">
        <w:t xml:space="preserve"> can be </w:t>
      </w:r>
      <w:r w:rsidR="005A4C6E">
        <w:t xml:space="preserve">pumped and stored at lower </w:t>
      </w:r>
      <w:r w:rsidR="000719D3">
        <w:t>cost</w:t>
      </w:r>
      <w:r w:rsidR="005A4C6E">
        <w:t>.</w:t>
      </w:r>
    </w:p>
    <w:p w14:paraId="746F4C09" w14:textId="685DFE68" w:rsidR="003261CC" w:rsidRDefault="004843CF" w:rsidP="004260E5">
      <w:pPr>
        <w:pStyle w:val="Els-body-text"/>
      </w:pPr>
      <w:r>
        <w:rPr>
          <w:b/>
          <w:bCs/>
        </w:rPr>
        <w:t>4</w:t>
      </w:r>
      <w:r w:rsidRPr="004843CF">
        <w:rPr>
          <w:b/>
          <w:bCs/>
        </w:rPr>
        <w:t>) CCS design versus energy integration efficiencies</w:t>
      </w:r>
      <w:r w:rsidR="00665914">
        <w:rPr>
          <w:b/>
          <w:bCs/>
        </w:rPr>
        <w:t xml:space="preserve">: </w:t>
      </w:r>
      <w:r w:rsidR="0095504C">
        <w:t xml:space="preserve">The analysis </w:t>
      </w:r>
      <w:r w:rsidR="00082846">
        <w:t>involves fixed</w:t>
      </w:r>
      <w:r w:rsidR="0095504C">
        <w:t xml:space="preserve"> streams of the ship</w:t>
      </w:r>
      <w:r w:rsidR="00082846">
        <w:t xml:space="preserve"> and variable streams from CCS process that need to be appropriately designed to ensure the maximum feasible energy savings and CO2 capture efficiencies. Thus, the whole ship energy demands were continuously inspected through the integration graph of composite curves to ensure sustainable operation and CCS.</w:t>
      </w:r>
      <w:r w:rsidR="008149BF">
        <w:t xml:space="preserve"> </w:t>
      </w:r>
      <w:r w:rsidR="00082846">
        <w:t xml:space="preserve">The </w:t>
      </w:r>
      <w:r w:rsidR="00A80D36">
        <w:t>inspection</w:t>
      </w:r>
      <w:r w:rsidR="008149BF">
        <w:t xml:space="preserve"> </w:t>
      </w:r>
      <w:r w:rsidR="00A80D36">
        <w:t xml:space="preserve">of </w:t>
      </w:r>
      <w:r w:rsidR="008149BF">
        <w:t>composite curves</w:t>
      </w:r>
      <w:r w:rsidR="00A80D36">
        <w:t xml:space="preserve"> </w:t>
      </w:r>
      <w:r w:rsidR="008149BF">
        <w:t>guided</w:t>
      </w:r>
      <w:r w:rsidR="00082846">
        <w:t xml:space="preserve"> </w:t>
      </w:r>
      <w:r w:rsidR="00A80D36">
        <w:t>the</w:t>
      </w:r>
      <w:r w:rsidR="00A80D36" w:rsidRPr="00A80D36">
        <w:t xml:space="preserve"> </w:t>
      </w:r>
      <w:proofErr w:type="spellStart"/>
      <w:r w:rsidR="00A80D36">
        <w:t>flowsheeting</w:t>
      </w:r>
      <w:proofErr w:type="spellEnd"/>
      <w:r w:rsidR="00A80D36">
        <w:t xml:space="preserve"> </w:t>
      </w:r>
      <w:r w:rsidR="0095504C">
        <w:t>and operating conditions</w:t>
      </w:r>
      <w:r w:rsidR="00A80D36">
        <w:t xml:space="preserve"> of CCS</w:t>
      </w:r>
      <w:r w:rsidR="00B65D03">
        <w:t xml:space="preserve">, </w:t>
      </w:r>
      <w:r w:rsidR="00A80D36">
        <w:t>holding the target of CO2 emissions reduction by at least</w:t>
      </w:r>
      <w:r w:rsidR="008149BF">
        <w:t xml:space="preserve"> 40% (IMO goals for 2030)</w:t>
      </w:r>
      <w:r w:rsidR="0095504C">
        <w:t xml:space="preserve">. </w:t>
      </w:r>
    </w:p>
    <w:p w14:paraId="5FB28832" w14:textId="77777777" w:rsidR="005A4C6E" w:rsidRPr="00A94774" w:rsidRDefault="005A4C6E" w:rsidP="005A4C6E">
      <w:pPr>
        <w:pStyle w:val="Els-1storder-head"/>
        <w:spacing w:after="120"/>
        <w:rPr>
          <w:lang w:val="en-GB"/>
        </w:rPr>
      </w:pPr>
      <w:r>
        <w:rPr>
          <w:lang w:val="en-GB"/>
        </w:rPr>
        <w:t>Results</w:t>
      </w:r>
    </w:p>
    <w:p w14:paraId="15832A43" w14:textId="5C18F40E" w:rsidR="002B45D8" w:rsidRPr="00A94774" w:rsidRDefault="00617F9C" w:rsidP="002B45D8">
      <w:pPr>
        <w:pStyle w:val="Els-2ndorder-head"/>
        <w:spacing w:after="120"/>
        <w:rPr>
          <w:lang w:val="en-GB"/>
        </w:rPr>
      </w:pPr>
      <w:r>
        <w:rPr>
          <w:lang w:val="en-GB"/>
        </w:rPr>
        <w:t>Screening alternative fuels</w:t>
      </w:r>
    </w:p>
    <w:p w14:paraId="3637FDF0" w14:textId="7036E57B" w:rsidR="00A66226" w:rsidRDefault="00C16548" w:rsidP="00A66226">
      <w:pPr>
        <w:pStyle w:val="Els-body-text"/>
        <w:rPr>
          <w:lang w:val="en-GB"/>
        </w:rPr>
      </w:pPr>
      <w:r>
        <w:rPr>
          <w:lang w:val="en-GB"/>
        </w:rPr>
        <w:t>T</w:t>
      </w:r>
      <w:r w:rsidR="003A0C99">
        <w:rPr>
          <w:lang w:val="en-GB"/>
        </w:rPr>
        <w:t xml:space="preserve">he </w:t>
      </w:r>
      <w:r w:rsidR="003261CC">
        <w:rPr>
          <w:lang w:val="en-GB"/>
        </w:rPr>
        <w:t xml:space="preserve">kinetic models of </w:t>
      </w:r>
      <w:proofErr w:type="spellStart"/>
      <w:r w:rsidR="003261CC" w:rsidRPr="004165D9">
        <w:rPr>
          <w:lang w:val="en-GB"/>
        </w:rPr>
        <w:t>Aronowitz</w:t>
      </w:r>
      <w:proofErr w:type="spellEnd"/>
      <w:r w:rsidR="003261CC" w:rsidRPr="004165D9">
        <w:rPr>
          <w:lang w:val="en-GB"/>
        </w:rPr>
        <w:t xml:space="preserve"> et al.</w:t>
      </w:r>
      <w:r w:rsidR="003261CC">
        <w:rPr>
          <w:lang w:val="en-GB"/>
        </w:rPr>
        <w:t xml:space="preserve"> (</w:t>
      </w:r>
      <w:r w:rsidR="003261CC" w:rsidRPr="004165D9">
        <w:rPr>
          <w:lang w:val="en-GB"/>
        </w:rPr>
        <w:t>1979</w:t>
      </w:r>
      <w:r w:rsidR="003261CC">
        <w:rPr>
          <w:lang w:val="en-GB"/>
        </w:rPr>
        <w:t xml:space="preserve">), </w:t>
      </w:r>
      <w:proofErr w:type="spellStart"/>
      <w:r w:rsidR="003261CC" w:rsidRPr="004165D9">
        <w:rPr>
          <w:lang w:val="en-GB"/>
        </w:rPr>
        <w:t>Konnov</w:t>
      </w:r>
      <w:proofErr w:type="spellEnd"/>
      <w:r w:rsidR="003261CC" w:rsidRPr="004165D9">
        <w:rPr>
          <w:lang w:val="en-GB"/>
        </w:rPr>
        <w:t xml:space="preserve"> et al.</w:t>
      </w:r>
      <w:r w:rsidR="003261CC">
        <w:rPr>
          <w:lang w:val="en-GB"/>
        </w:rPr>
        <w:t xml:space="preserve"> (</w:t>
      </w:r>
      <w:r w:rsidR="003261CC" w:rsidRPr="004165D9">
        <w:rPr>
          <w:lang w:val="en-GB"/>
        </w:rPr>
        <w:t>2019</w:t>
      </w:r>
      <w:r w:rsidR="003261CC">
        <w:rPr>
          <w:lang w:val="en-GB"/>
        </w:rPr>
        <w:t xml:space="preserve">) and </w:t>
      </w:r>
      <w:r w:rsidR="003261CC" w:rsidRPr="004165D9">
        <w:rPr>
          <w:lang w:val="en-GB"/>
        </w:rPr>
        <w:t>Frassoldati et al.</w:t>
      </w:r>
      <w:r w:rsidR="003261CC">
        <w:rPr>
          <w:lang w:val="en-GB"/>
        </w:rPr>
        <w:t xml:space="preserve"> (</w:t>
      </w:r>
      <w:r w:rsidR="003261CC" w:rsidRPr="004165D9">
        <w:rPr>
          <w:lang w:val="en-GB"/>
        </w:rPr>
        <w:t>2009</w:t>
      </w:r>
      <w:r w:rsidR="003261CC">
        <w:rPr>
          <w:lang w:val="en-GB"/>
        </w:rPr>
        <w:t xml:space="preserve">) </w:t>
      </w:r>
      <w:r>
        <w:rPr>
          <w:lang w:val="en-GB"/>
        </w:rPr>
        <w:t xml:space="preserve">were </w:t>
      </w:r>
      <w:r w:rsidR="003E004F">
        <w:rPr>
          <w:lang w:val="en-GB"/>
        </w:rPr>
        <w:t xml:space="preserve">used, </w:t>
      </w:r>
      <w:r>
        <w:rPr>
          <w:lang w:val="en-GB"/>
        </w:rPr>
        <w:t>respectively</w:t>
      </w:r>
      <w:r w:rsidR="003E004F">
        <w:rPr>
          <w:lang w:val="en-GB"/>
        </w:rPr>
        <w:t>,</w:t>
      </w:r>
      <w:r>
        <w:rPr>
          <w:lang w:val="en-GB"/>
        </w:rPr>
        <w:t xml:space="preserve"> for</w:t>
      </w:r>
      <w:r w:rsidR="003A0C99">
        <w:rPr>
          <w:lang w:val="en-GB"/>
        </w:rPr>
        <w:t xml:space="preserve"> the combustion of</w:t>
      </w:r>
      <w:r w:rsidR="003261CC">
        <w:rPr>
          <w:lang w:val="en-GB"/>
        </w:rPr>
        <w:t xml:space="preserve"> MeOH, H2 and CH</w:t>
      </w:r>
      <w:r>
        <w:rPr>
          <w:lang w:val="en-GB"/>
        </w:rPr>
        <w:t>4. T</w:t>
      </w:r>
      <w:r w:rsidR="003261CC">
        <w:rPr>
          <w:lang w:val="en-GB"/>
        </w:rPr>
        <w:t xml:space="preserve">he </w:t>
      </w:r>
      <w:r w:rsidR="003E004F">
        <w:rPr>
          <w:lang w:val="en-GB"/>
        </w:rPr>
        <w:t>p</w:t>
      </w:r>
      <w:r w:rsidR="003E004F" w:rsidRPr="00C16548">
        <w:rPr>
          <w:lang w:val="en-GB"/>
        </w:rPr>
        <w:t>olynomial</w:t>
      </w:r>
      <w:r w:rsidR="003E004F">
        <w:rPr>
          <w:lang w:val="en-GB"/>
        </w:rPr>
        <w:t xml:space="preserve"> </w:t>
      </w:r>
      <w:r w:rsidR="003261CC">
        <w:rPr>
          <w:lang w:val="en-GB"/>
        </w:rPr>
        <w:t xml:space="preserve">equation </w:t>
      </w:r>
      <w:r w:rsidR="001069A3">
        <w:rPr>
          <w:lang w:val="en-GB"/>
        </w:rPr>
        <w:t>a</w:t>
      </w:r>
      <w:r w:rsidR="003261CC">
        <w:rPr>
          <w:lang w:val="en-GB"/>
        </w:rPr>
        <w:t xml:space="preserve">nd parameters </w:t>
      </w:r>
      <w:r>
        <w:rPr>
          <w:lang w:val="en-GB"/>
        </w:rPr>
        <w:t xml:space="preserve">from </w:t>
      </w:r>
      <w:r w:rsidR="001069A3">
        <w:rPr>
          <w:lang w:val="en-GB"/>
        </w:rPr>
        <w:t>ASPEN</w:t>
      </w:r>
      <w:r w:rsidR="003261CC">
        <w:rPr>
          <w:lang w:val="en-GB"/>
        </w:rPr>
        <w:t xml:space="preserve"> plus v.12 were used to model heat capacity of </w:t>
      </w:r>
      <w:r w:rsidR="003A0C99">
        <w:rPr>
          <w:lang w:val="en-GB"/>
        </w:rPr>
        <w:t>fuels, air and flue gases</w:t>
      </w:r>
      <w:r>
        <w:rPr>
          <w:lang w:val="en-GB"/>
        </w:rPr>
        <w:t xml:space="preserve">, while a </w:t>
      </w:r>
      <w:r w:rsidR="00AD6E75">
        <w:rPr>
          <w:lang w:val="en-GB"/>
        </w:rPr>
        <w:t>4</w:t>
      </w:r>
      <w:r>
        <w:rPr>
          <w:lang w:val="en-GB"/>
        </w:rPr>
        <w:t xml:space="preserve">-stroke diesel engine cycle was considered to model the temperatures, pressures, volumes and energy </w:t>
      </w:r>
      <w:r w:rsidR="001069A3">
        <w:rPr>
          <w:lang w:val="en-GB"/>
        </w:rPr>
        <w:t>balances</w:t>
      </w:r>
      <w:r>
        <w:rPr>
          <w:lang w:val="en-GB"/>
        </w:rPr>
        <w:t xml:space="preserve"> in the cylinder. </w:t>
      </w:r>
      <w:r w:rsidR="001069A3">
        <w:rPr>
          <w:lang w:val="en-GB"/>
        </w:rPr>
        <w:t xml:space="preserve">The full </w:t>
      </w:r>
      <w:r w:rsidR="00727AC2">
        <w:rPr>
          <w:lang w:val="en-GB"/>
        </w:rPr>
        <w:t>cylinder model was implemented at</w:t>
      </w:r>
      <w:r w:rsidR="001069A3">
        <w:rPr>
          <w:lang w:val="en-GB"/>
        </w:rPr>
        <w:t xml:space="preserve"> various</w:t>
      </w:r>
      <w:r w:rsidR="00727AC2">
        <w:rPr>
          <w:lang w:val="en-GB"/>
        </w:rPr>
        <w:t xml:space="preserve"> operations of real-life engines (Table 1).</w:t>
      </w:r>
    </w:p>
    <w:p w14:paraId="5FB55409" w14:textId="77777777" w:rsidR="00EC1802" w:rsidRDefault="001D05BB" w:rsidP="00A66226">
      <w:pPr>
        <w:pStyle w:val="Els-body-text"/>
      </w:pPr>
      <w:r>
        <w:t>The impact of alternative fuels and operating conditions (</w:t>
      </w:r>
      <w:r>
        <w:rPr>
          <w:lang w:val="en-GB"/>
        </w:rPr>
        <w:t>AFR, compression ratio, fuel inlet temperature and pressure)</w:t>
      </w:r>
      <w:r>
        <w:t xml:space="preserve"> on energy and economic performance (</w:t>
      </w:r>
      <w:r>
        <w:rPr>
          <w:lang w:val="en-GB"/>
        </w:rPr>
        <w:t>torque-T [Nm] to fuel consumption-Price [</w:t>
      </w:r>
      <w:r w:rsidRPr="00C30DAE">
        <w:t>€</w:t>
      </w:r>
      <w:r>
        <w:t>/</w:t>
      </w:r>
      <w:proofErr w:type="spellStart"/>
      <w:r>
        <w:t>hr</w:t>
      </w:r>
      <w:proofErr w:type="spellEnd"/>
      <w:r>
        <w:t>]) were investigated. Indicatively,</w:t>
      </w:r>
      <w:r w:rsidRPr="00EC05BF">
        <w:t xml:space="preserve"> </w:t>
      </w:r>
      <w:r>
        <w:t>Figure 1 (left) presents trade-offs between various economic (T/Price) and energy efficiencies (</w:t>
      </w:r>
      <w:proofErr w:type="spellStart"/>
      <w:r>
        <w:t>n</w:t>
      </w:r>
      <w:r w:rsidRPr="00EC05BF">
        <w:rPr>
          <w:vertAlign w:val="subscript"/>
        </w:rPr>
        <w:t>actual</w:t>
      </w:r>
      <w:proofErr w:type="spellEnd"/>
      <w:r>
        <w:t>)</w:t>
      </w:r>
      <w:r w:rsidRPr="00BE224C">
        <w:t xml:space="preserve"> </w:t>
      </w:r>
      <w:r>
        <w:t>at different operating conditions and engine designs. Figure 2 also maps the economic performance vs CO2 emissions at best condition identified for each type of engine.</w:t>
      </w:r>
    </w:p>
    <w:p w14:paraId="4A65D3A8" w14:textId="77777777" w:rsidR="00EC1802" w:rsidRDefault="00EC1802" w:rsidP="00EC1802">
      <w:pPr>
        <w:pStyle w:val="Didascalia"/>
        <w:keepNext/>
      </w:pPr>
      <w:r>
        <w:t xml:space="preserve">Table </w:t>
      </w:r>
      <w:r>
        <w:fldChar w:fldCharType="begin"/>
      </w:r>
      <w:r>
        <w:instrText xml:space="preserve"> SEQ Table \* ARABIC </w:instrText>
      </w:r>
      <w:r>
        <w:fldChar w:fldCharType="separate"/>
      </w:r>
      <w:r>
        <w:rPr>
          <w:noProof/>
        </w:rPr>
        <w:t>1</w:t>
      </w:r>
      <w:r>
        <w:fldChar w:fldCharType="end"/>
      </w:r>
      <w:r>
        <w:t xml:space="preserve"> Design specification of cylinders of addressed marine engines.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1516"/>
        <w:gridCol w:w="1762"/>
      </w:tblGrid>
      <w:tr w:rsidR="00EC1802" w14:paraId="38EB9825" w14:textId="77777777" w:rsidTr="00E610E8">
        <w:tc>
          <w:tcPr>
            <w:tcW w:w="2396" w:type="dxa"/>
            <w:tcBorders>
              <w:top w:val="single" w:sz="4" w:space="0" w:color="auto"/>
              <w:bottom w:val="single" w:sz="4" w:space="0" w:color="auto"/>
            </w:tcBorders>
            <w:vAlign w:val="center"/>
          </w:tcPr>
          <w:p w14:paraId="3F75AD92" w14:textId="77777777" w:rsidR="00EC1802" w:rsidRPr="002F582C" w:rsidRDefault="00EC1802" w:rsidP="00E610E8">
            <w:pPr>
              <w:pStyle w:val="Els-body-text"/>
              <w:jc w:val="center"/>
              <w:rPr>
                <w:sz w:val="18"/>
                <w:szCs w:val="18"/>
                <w:lang w:val="en-GB"/>
              </w:rPr>
            </w:pPr>
            <w:r w:rsidRPr="002F582C">
              <w:rPr>
                <w:sz w:val="18"/>
                <w:szCs w:val="18"/>
                <w:lang w:val="en-GB"/>
              </w:rPr>
              <w:t>Fuel type</w:t>
            </w:r>
          </w:p>
        </w:tc>
        <w:tc>
          <w:tcPr>
            <w:tcW w:w="1516" w:type="dxa"/>
            <w:tcBorders>
              <w:top w:val="single" w:sz="4" w:space="0" w:color="auto"/>
              <w:bottom w:val="single" w:sz="4" w:space="0" w:color="auto"/>
            </w:tcBorders>
            <w:vAlign w:val="center"/>
          </w:tcPr>
          <w:p w14:paraId="20909634" w14:textId="77777777" w:rsidR="00EC1802" w:rsidRPr="002F582C" w:rsidRDefault="00EC1802" w:rsidP="00E610E8">
            <w:pPr>
              <w:pStyle w:val="Els-body-text"/>
              <w:jc w:val="center"/>
              <w:rPr>
                <w:sz w:val="18"/>
                <w:szCs w:val="18"/>
                <w:lang w:val="en-GB"/>
              </w:rPr>
            </w:pPr>
            <w:r w:rsidRPr="00C16548">
              <w:rPr>
                <w:sz w:val="18"/>
                <w:szCs w:val="18"/>
              </w:rPr>
              <w:t>D</w:t>
            </w:r>
            <w:r w:rsidRPr="002F582C">
              <w:rPr>
                <w:sz w:val="18"/>
                <w:szCs w:val="18"/>
              </w:rPr>
              <w:t>iam</w:t>
            </w:r>
            <w:r>
              <w:rPr>
                <w:sz w:val="18"/>
                <w:szCs w:val="18"/>
              </w:rPr>
              <w:t>eter</w:t>
            </w:r>
            <w:r w:rsidRPr="00C16548">
              <w:rPr>
                <w:sz w:val="18"/>
                <w:szCs w:val="18"/>
              </w:rPr>
              <w:t>/H</w:t>
            </w:r>
            <w:r w:rsidRPr="002F582C">
              <w:rPr>
                <w:sz w:val="18"/>
                <w:szCs w:val="18"/>
              </w:rPr>
              <w:t>eight</w:t>
            </w:r>
          </w:p>
        </w:tc>
        <w:tc>
          <w:tcPr>
            <w:tcW w:w="1762" w:type="dxa"/>
            <w:tcBorders>
              <w:top w:val="single" w:sz="4" w:space="0" w:color="auto"/>
              <w:bottom w:val="single" w:sz="4" w:space="0" w:color="auto"/>
            </w:tcBorders>
            <w:vAlign w:val="center"/>
          </w:tcPr>
          <w:p w14:paraId="65DF0C66" w14:textId="77777777" w:rsidR="00EC1802" w:rsidRPr="002F582C" w:rsidRDefault="00EC1802" w:rsidP="00E610E8">
            <w:pPr>
              <w:pStyle w:val="Els-body-text"/>
              <w:jc w:val="center"/>
              <w:rPr>
                <w:sz w:val="18"/>
                <w:szCs w:val="18"/>
                <w:lang w:val="en-GB"/>
              </w:rPr>
            </w:pPr>
            <w:r w:rsidRPr="002F582C">
              <w:rPr>
                <w:sz w:val="18"/>
                <w:szCs w:val="18"/>
              </w:rPr>
              <w:t>kW</w:t>
            </w:r>
            <w:r w:rsidRPr="00C16548">
              <w:rPr>
                <w:sz w:val="18"/>
                <w:szCs w:val="18"/>
              </w:rPr>
              <w:t>/RPM</w:t>
            </w:r>
          </w:p>
        </w:tc>
      </w:tr>
      <w:tr w:rsidR="00EC1802" w14:paraId="59808E01" w14:textId="77777777" w:rsidTr="00E610E8">
        <w:tc>
          <w:tcPr>
            <w:tcW w:w="2396" w:type="dxa"/>
            <w:tcBorders>
              <w:top w:val="single" w:sz="4" w:space="0" w:color="auto"/>
            </w:tcBorders>
            <w:vAlign w:val="center"/>
          </w:tcPr>
          <w:p w14:paraId="41389D48" w14:textId="77777777" w:rsidR="00EC1802" w:rsidRPr="002F582C" w:rsidRDefault="00EC1802" w:rsidP="00E610E8">
            <w:pPr>
              <w:pStyle w:val="Els-body-text"/>
              <w:jc w:val="center"/>
              <w:rPr>
                <w:sz w:val="18"/>
                <w:szCs w:val="18"/>
                <w:lang w:val="en-GB"/>
              </w:rPr>
            </w:pPr>
            <w:r w:rsidRPr="00C16548">
              <w:rPr>
                <w:sz w:val="18"/>
                <w:szCs w:val="18"/>
              </w:rPr>
              <w:t>MeOH</w:t>
            </w:r>
          </w:p>
        </w:tc>
        <w:tc>
          <w:tcPr>
            <w:tcW w:w="1516" w:type="dxa"/>
            <w:tcBorders>
              <w:top w:val="single" w:sz="4" w:space="0" w:color="auto"/>
            </w:tcBorders>
            <w:vAlign w:val="center"/>
          </w:tcPr>
          <w:p w14:paraId="33F6A4D4" w14:textId="77777777" w:rsidR="00EC1802" w:rsidRPr="002F582C" w:rsidRDefault="00EC1802" w:rsidP="00E610E8">
            <w:pPr>
              <w:pStyle w:val="Els-body-text"/>
              <w:jc w:val="center"/>
              <w:rPr>
                <w:sz w:val="18"/>
                <w:szCs w:val="18"/>
                <w:lang w:val="en-GB"/>
              </w:rPr>
            </w:pPr>
            <w:r w:rsidRPr="00C16548">
              <w:rPr>
                <w:sz w:val="18"/>
                <w:szCs w:val="18"/>
              </w:rPr>
              <w:t>0,32/0,4</w:t>
            </w:r>
          </w:p>
        </w:tc>
        <w:tc>
          <w:tcPr>
            <w:tcW w:w="1762" w:type="dxa"/>
            <w:tcBorders>
              <w:top w:val="single" w:sz="4" w:space="0" w:color="auto"/>
            </w:tcBorders>
            <w:vAlign w:val="center"/>
          </w:tcPr>
          <w:p w14:paraId="181E3268" w14:textId="77777777" w:rsidR="00EC1802" w:rsidRPr="002F582C" w:rsidRDefault="00EC1802" w:rsidP="00E610E8">
            <w:pPr>
              <w:pStyle w:val="Els-body-text"/>
              <w:jc w:val="center"/>
              <w:rPr>
                <w:sz w:val="18"/>
                <w:szCs w:val="18"/>
                <w:lang w:val="en-GB"/>
              </w:rPr>
            </w:pPr>
            <w:r w:rsidRPr="00C16548">
              <w:rPr>
                <w:sz w:val="18"/>
                <w:szCs w:val="18"/>
              </w:rPr>
              <w:t>470/700</w:t>
            </w:r>
            <w:r w:rsidRPr="002F582C">
              <w:rPr>
                <w:sz w:val="18"/>
                <w:szCs w:val="18"/>
              </w:rPr>
              <w:t xml:space="preserve">; </w:t>
            </w:r>
            <w:r w:rsidRPr="00C16548">
              <w:rPr>
                <w:sz w:val="18"/>
                <w:szCs w:val="18"/>
              </w:rPr>
              <w:t>580/750</w:t>
            </w:r>
          </w:p>
        </w:tc>
      </w:tr>
      <w:tr w:rsidR="00EC1802" w14:paraId="581E4C50" w14:textId="77777777" w:rsidTr="00E610E8">
        <w:tc>
          <w:tcPr>
            <w:tcW w:w="2396" w:type="dxa"/>
            <w:vAlign w:val="center"/>
          </w:tcPr>
          <w:p w14:paraId="33D4AE7B" w14:textId="77777777" w:rsidR="00EC1802" w:rsidRPr="00C16548" w:rsidRDefault="00EC1802" w:rsidP="00E610E8">
            <w:pPr>
              <w:pStyle w:val="Els-body-text"/>
              <w:jc w:val="center"/>
              <w:rPr>
                <w:sz w:val="18"/>
                <w:szCs w:val="18"/>
              </w:rPr>
            </w:pPr>
            <w:r w:rsidRPr="00C16548">
              <w:rPr>
                <w:sz w:val="18"/>
                <w:szCs w:val="18"/>
              </w:rPr>
              <w:t>H2</w:t>
            </w:r>
            <w:r>
              <w:rPr>
                <w:sz w:val="18"/>
                <w:szCs w:val="18"/>
              </w:rPr>
              <w:t xml:space="preserve"> </w:t>
            </w:r>
            <w:r w:rsidRPr="000451C5">
              <w:rPr>
                <w:i/>
                <w:iCs/>
                <w:sz w:val="18"/>
                <w:szCs w:val="18"/>
              </w:rPr>
              <w:t>and</w:t>
            </w:r>
            <w:r>
              <w:rPr>
                <w:sz w:val="18"/>
                <w:szCs w:val="18"/>
              </w:rPr>
              <w:t xml:space="preserve"> </w:t>
            </w:r>
            <w:r w:rsidRPr="00C16548">
              <w:rPr>
                <w:sz w:val="18"/>
                <w:szCs w:val="18"/>
              </w:rPr>
              <w:t>H2-Diesel</w:t>
            </w:r>
          </w:p>
        </w:tc>
        <w:tc>
          <w:tcPr>
            <w:tcW w:w="1516" w:type="dxa"/>
            <w:vAlign w:val="center"/>
          </w:tcPr>
          <w:p w14:paraId="013670AA" w14:textId="77777777" w:rsidR="00EC1802" w:rsidRPr="00C16548" w:rsidRDefault="00EC1802" w:rsidP="00E610E8">
            <w:pPr>
              <w:pStyle w:val="Els-body-text"/>
              <w:jc w:val="center"/>
              <w:rPr>
                <w:sz w:val="18"/>
                <w:szCs w:val="18"/>
              </w:rPr>
            </w:pPr>
            <w:r w:rsidRPr="00C16548">
              <w:rPr>
                <w:sz w:val="18"/>
                <w:szCs w:val="18"/>
              </w:rPr>
              <w:t>0,128/0,157</w:t>
            </w:r>
          </w:p>
        </w:tc>
        <w:tc>
          <w:tcPr>
            <w:tcW w:w="1762" w:type="dxa"/>
            <w:vAlign w:val="center"/>
          </w:tcPr>
          <w:p w14:paraId="208CE447" w14:textId="77777777" w:rsidR="00EC1802" w:rsidRPr="00C16548" w:rsidRDefault="00EC1802" w:rsidP="00E610E8">
            <w:pPr>
              <w:pStyle w:val="Els-body-text"/>
              <w:jc w:val="center"/>
              <w:rPr>
                <w:sz w:val="18"/>
                <w:szCs w:val="18"/>
              </w:rPr>
            </w:pPr>
            <w:r w:rsidRPr="00C16548">
              <w:rPr>
                <w:sz w:val="18"/>
                <w:szCs w:val="18"/>
              </w:rPr>
              <w:t>740/1900</w:t>
            </w:r>
            <w:r w:rsidRPr="002F582C">
              <w:rPr>
                <w:sz w:val="18"/>
                <w:szCs w:val="18"/>
              </w:rPr>
              <w:t xml:space="preserve">; </w:t>
            </w:r>
            <w:r w:rsidRPr="00C16548">
              <w:rPr>
                <w:sz w:val="18"/>
                <w:szCs w:val="18"/>
              </w:rPr>
              <w:t>750/2100</w:t>
            </w:r>
          </w:p>
        </w:tc>
      </w:tr>
      <w:tr w:rsidR="00EC1802" w14:paraId="13F6B2D4" w14:textId="77777777" w:rsidTr="00E610E8">
        <w:tc>
          <w:tcPr>
            <w:tcW w:w="2396" w:type="dxa"/>
            <w:vAlign w:val="center"/>
          </w:tcPr>
          <w:p w14:paraId="1D627A36" w14:textId="77777777" w:rsidR="00EC1802" w:rsidRPr="00C16548" w:rsidRDefault="00EC1802" w:rsidP="00E610E8">
            <w:pPr>
              <w:pStyle w:val="Els-body-text"/>
              <w:jc w:val="center"/>
              <w:rPr>
                <w:sz w:val="18"/>
                <w:szCs w:val="18"/>
              </w:rPr>
            </w:pPr>
            <w:r w:rsidRPr="00C16548">
              <w:rPr>
                <w:sz w:val="18"/>
                <w:szCs w:val="18"/>
              </w:rPr>
              <w:t>Biocrude</w:t>
            </w:r>
            <w:r>
              <w:rPr>
                <w:sz w:val="18"/>
                <w:szCs w:val="18"/>
              </w:rPr>
              <w:t xml:space="preserve"> </w:t>
            </w:r>
            <w:r w:rsidRPr="000451C5">
              <w:rPr>
                <w:i/>
                <w:iCs/>
                <w:sz w:val="18"/>
                <w:szCs w:val="18"/>
              </w:rPr>
              <w:t>and</w:t>
            </w:r>
            <w:r>
              <w:rPr>
                <w:sz w:val="18"/>
                <w:szCs w:val="18"/>
              </w:rPr>
              <w:t xml:space="preserve"> </w:t>
            </w:r>
            <w:r w:rsidRPr="00C16548">
              <w:rPr>
                <w:sz w:val="18"/>
                <w:szCs w:val="18"/>
              </w:rPr>
              <w:t>Biocrude-HFO</w:t>
            </w:r>
          </w:p>
        </w:tc>
        <w:tc>
          <w:tcPr>
            <w:tcW w:w="1516" w:type="dxa"/>
            <w:vAlign w:val="center"/>
          </w:tcPr>
          <w:p w14:paraId="65F71D04" w14:textId="77777777" w:rsidR="00EC1802" w:rsidRPr="00C16548" w:rsidRDefault="00EC1802" w:rsidP="00E610E8">
            <w:pPr>
              <w:pStyle w:val="Els-body-text"/>
              <w:jc w:val="center"/>
              <w:rPr>
                <w:sz w:val="18"/>
                <w:szCs w:val="18"/>
              </w:rPr>
            </w:pPr>
            <w:r w:rsidRPr="00C16548">
              <w:rPr>
                <w:sz w:val="18"/>
                <w:szCs w:val="18"/>
              </w:rPr>
              <w:t>0,225/0,3</w:t>
            </w:r>
          </w:p>
        </w:tc>
        <w:tc>
          <w:tcPr>
            <w:tcW w:w="1762" w:type="dxa"/>
            <w:vAlign w:val="center"/>
          </w:tcPr>
          <w:p w14:paraId="54211385" w14:textId="77777777" w:rsidR="00EC1802" w:rsidRPr="00C16548" w:rsidRDefault="00EC1802" w:rsidP="00E610E8">
            <w:pPr>
              <w:pStyle w:val="Els-body-text"/>
              <w:jc w:val="center"/>
              <w:rPr>
                <w:sz w:val="18"/>
                <w:szCs w:val="18"/>
              </w:rPr>
            </w:pPr>
            <w:r w:rsidRPr="00C16548">
              <w:rPr>
                <w:sz w:val="18"/>
                <w:szCs w:val="18"/>
              </w:rPr>
              <w:t>130/750</w:t>
            </w:r>
            <w:r w:rsidRPr="002F582C">
              <w:rPr>
                <w:sz w:val="18"/>
                <w:szCs w:val="18"/>
              </w:rPr>
              <w:t xml:space="preserve">; </w:t>
            </w:r>
            <w:r w:rsidRPr="00C16548">
              <w:rPr>
                <w:sz w:val="18"/>
                <w:szCs w:val="18"/>
              </w:rPr>
              <w:t>150/900</w:t>
            </w:r>
          </w:p>
        </w:tc>
      </w:tr>
      <w:tr w:rsidR="00EC1802" w14:paraId="2B015F2E" w14:textId="77777777" w:rsidTr="00E610E8">
        <w:tc>
          <w:tcPr>
            <w:tcW w:w="2396" w:type="dxa"/>
            <w:vAlign w:val="center"/>
          </w:tcPr>
          <w:p w14:paraId="7A373CDD" w14:textId="77777777" w:rsidR="00EC1802" w:rsidRPr="00C16548" w:rsidRDefault="00EC1802" w:rsidP="00E610E8">
            <w:pPr>
              <w:pStyle w:val="Els-body-text"/>
              <w:jc w:val="center"/>
              <w:rPr>
                <w:sz w:val="18"/>
                <w:szCs w:val="18"/>
              </w:rPr>
            </w:pPr>
            <w:r w:rsidRPr="00C16548">
              <w:rPr>
                <w:sz w:val="18"/>
                <w:szCs w:val="18"/>
              </w:rPr>
              <w:t>Diesel</w:t>
            </w:r>
            <w:r>
              <w:rPr>
                <w:sz w:val="18"/>
                <w:szCs w:val="18"/>
              </w:rPr>
              <w:t xml:space="preserve"> </w:t>
            </w:r>
            <w:r w:rsidRPr="000451C5">
              <w:rPr>
                <w:i/>
                <w:iCs/>
                <w:sz w:val="18"/>
                <w:szCs w:val="18"/>
              </w:rPr>
              <w:t>and</w:t>
            </w:r>
            <w:r>
              <w:rPr>
                <w:sz w:val="18"/>
                <w:szCs w:val="18"/>
              </w:rPr>
              <w:t xml:space="preserve"> </w:t>
            </w:r>
            <w:r w:rsidRPr="00C16548">
              <w:rPr>
                <w:sz w:val="18"/>
                <w:szCs w:val="18"/>
              </w:rPr>
              <w:t>MeOH -Diesel</w:t>
            </w:r>
          </w:p>
        </w:tc>
        <w:tc>
          <w:tcPr>
            <w:tcW w:w="1516" w:type="dxa"/>
            <w:vAlign w:val="center"/>
          </w:tcPr>
          <w:p w14:paraId="3426DFEC" w14:textId="77777777" w:rsidR="00EC1802" w:rsidRPr="00C16548" w:rsidRDefault="00EC1802" w:rsidP="00E610E8">
            <w:pPr>
              <w:pStyle w:val="Els-body-text"/>
              <w:jc w:val="center"/>
              <w:rPr>
                <w:sz w:val="18"/>
                <w:szCs w:val="18"/>
              </w:rPr>
            </w:pPr>
            <w:r w:rsidRPr="00C16548">
              <w:rPr>
                <w:sz w:val="18"/>
                <w:szCs w:val="18"/>
              </w:rPr>
              <w:t>0,31/0,43</w:t>
            </w:r>
          </w:p>
        </w:tc>
        <w:tc>
          <w:tcPr>
            <w:tcW w:w="1762" w:type="dxa"/>
            <w:vAlign w:val="center"/>
          </w:tcPr>
          <w:p w14:paraId="52694177" w14:textId="77777777" w:rsidR="00EC1802" w:rsidRPr="00C16548" w:rsidRDefault="00EC1802" w:rsidP="00E610E8">
            <w:pPr>
              <w:pStyle w:val="Els-body-text"/>
              <w:jc w:val="center"/>
              <w:rPr>
                <w:sz w:val="18"/>
                <w:szCs w:val="18"/>
              </w:rPr>
            </w:pPr>
            <w:r w:rsidRPr="00C16548">
              <w:rPr>
                <w:sz w:val="18"/>
                <w:szCs w:val="18"/>
              </w:rPr>
              <w:t>485/700</w:t>
            </w:r>
            <w:r w:rsidRPr="002F582C">
              <w:rPr>
                <w:sz w:val="18"/>
                <w:szCs w:val="18"/>
              </w:rPr>
              <w:t xml:space="preserve">; </w:t>
            </w:r>
            <w:r w:rsidRPr="00C16548">
              <w:rPr>
                <w:sz w:val="18"/>
                <w:szCs w:val="18"/>
              </w:rPr>
              <w:t>600/750</w:t>
            </w:r>
          </w:p>
        </w:tc>
      </w:tr>
      <w:tr w:rsidR="00EC1802" w14:paraId="17752E7E" w14:textId="77777777" w:rsidTr="00E610E8">
        <w:tc>
          <w:tcPr>
            <w:tcW w:w="2396" w:type="dxa"/>
            <w:tcBorders>
              <w:bottom w:val="single" w:sz="4" w:space="0" w:color="auto"/>
            </w:tcBorders>
            <w:vAlign w:val="center"/>
          </w:tcPr>
          <w:p w14:paraId="6EAD1F3B" w14:textId="77777777" w:rsidR="00EC1802" w:rsidRPr="00C16548" w:rsidRDefault="00EC1802" w:rsidP="00E610E8">
            <w:pPr>
              <w:pStyle w:val="Els-body-text"/>
              <w:jc w:val="center"/>
              <w:rPr>
                <w:sz w:val="18"/>
                <w:szCs w:val="18"/>
              </w:rPr>
            </w:pPr>
            <w:r w:rsidRPr="00C16548">
              <w:rPr>
                <w:sz w:val="18"/>
                <w:szCs w:val="18"/>
              </w:rPr>
              <w:t>LNG</w:t>
            </w:r>
            <w:r>
              <w:rPr>
                <w:sz w:val="18"/>
                <w:szCs w:val="18"/>
              </w:rPr>
              <w:t xml:space="preserve"> </w:t>
            </w:r>
            <w:r w:rsidRPr="000451C5">
              <w:rPr>
                <w:i/>
                <w:iCs/>
                <w:sz w:val="18"/>
                <w:szCs w:val="18"/>
              </w:rPr>
              <w:t>and</w:t>
            </w:r>
            <w:r>
              <w:rPr>
                <w:sz w:val="18"/>
                <w:szCs w:val="18"/>
              </w:rPr>
              <w:t xml:space="preserve"> </w:t>
            </w:r>
            <w:r w:rsidRPr="00C16548">
              <w:rPr>
                <w:sz w:val="18"/>
                <w:szCs w:val="18"/>
              </w:rPr>
              <w:t>H2-LNG</w:t>
            </w:r>
          </w:p>
        </w:tc>
        <w:tc>
          <w:tcPr>
            <w:tcW w:w="1516" w:type="dxa"/>
            <w:tcBorders>
              <w:bottom w:val="single" w:sz="4" w:space="0" w:color="auto"/>
            </w:tcBorders>
            <w:vAlign w:val="center"/>
          </w:tcPr>
          <w:p w14:paraId="02940B21" w14:textId="77777777" w:rsidR="00EC1802" w:rsidRPr="00C16548" w:rsidRDefault="00EC1802" w:rsidP="00E610E8">
            <w:pPr>
              <w:pStyle w:val="Els-body-text"/>
              <w:jc w:val="center"/>
              <w:rPr>
                <w:sz w:val="18"/>
                <w:szCs w:val="18"/>
              </w:rPr>
            </w:pPr>
            <w:r w:rsidRPr="00C16548">
              <w:rPr>
                <w:sz w:val="18"/>
                <w:szCs w:val="18"/>
              </w:rPr>
              <w:t>0,31/0,43</w:t>
            </w:r>
          </w:p>
        </w:tc>
        <w:tc>
          <w:tcPr>
            <w:tcW w:w="1762" w:type="dxa"/>
            <w:tcBorders>
              <w:bottom w:val="single" w:sz="4" w:space="0" w:color="auto"/>
            </w:tcBorders>
            <w:vAlign w:val="center"/>
          </w:tcPr>
          <w:p w14:paraId="047BABA9" w14:textId="77777777" w:rsidR="00EC1802" w:rsidRPr="00C16548" w:rsidRDefault="00EC1802" w:rsidP="00E610E8">
            <w:pPr>
              <w:pStyle w:val="Els-body-text"/>
              <w:jc w:val="center"/>
              <w:rPr>
                <w:sz w:val="18"/>
                <w:szCs w:val="18"/>
              </w:rPr>
            </w:pPr>
            <w:r w:rsidRPr="00C16548">
              <w:rPr>
                <w:sz w:val="18"/>
                <w:szCs w:val="18"/>
              </w:rPr>
              <w:t>420/650</w:t>
            </w:r>
            <w:r w:rsidRPr="002F582C">
              <w:rPr>
                <w:sz w:val="18"/>
                <w:szCs w:val="18"/>
              </w:rPr>
              <w:t xml:space="preserve">; </w:t>
            </w:r>
            <w:r w:rsidRPr="00C16548">
              <w:rPr>
                <w:sz w:val="18"/>
                <w:szCs w:val="18"/>
              </w:rPr>
              <w:t>520/700</w:t>
            </w:r>
          </w:p>
        </w:tc>
      </w:tr>
    </w:tbl>
    <w:p w14:paraId="058555CF" w14:textId="77777777" w:rsidR="00EC1802" w:rsidRDefault="00EC1802" w:rsidP="00EC1802">
      <w:pPr>
        <w:pStyle w:val="Els-body-text"/>
        <w:keepNext/>
        <w:spacing w:before="120" w:after="120"/>
        <w:jc w:val="center"/>
      </w:pPr>
      <w:r>
        <w:rPr>
          <w:noProof/>
        </w:rPr>
        <w:drawing>
          <wp:inline distT="0" distB="0" distL="0" distR="0" wp14:anchorId="27CAC375" wp14:editId="28B923B1">
            <wp:extent cx="2156400" cy="1332000"/>
            <wp:effectExtent l="0" t="0" r="0" b="1905"/>
            <wp:docPr id="1907755581" name="Picture 5"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755581" name="Picture 5" descr="A close-up of a graph&#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52489"/>
                    <a:stretch/>
                  </pic:blipFill>
                  <pic:spPr bwMode="auto">
                    <a:xfrm>
                      <a:off x="0" y="0"/>
                      <a:ext cx="2156400" cy="1332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19AFC04" wp14:editId="11C30092">
            <wp:extent cx="2214000" cy="1332000"/>
            <wp:effectExtent l="0" t="0" r="0" b="1905"/>
            <wp:docPr id="276514781" name="Picture 2" descr="A chart with black dot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14781" name="Picture 2" descr="A chart with black dots and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4000" cy="1332000"/>
                    </a:xfrm>
                    <a:prstGeom prst="rect">
                      <a:avLst/>
                    </a:prstGeom>
                    <a:noFill/>
                    <a:ln>
                      <a:noFill/>
                    </a:ln>
                  </pic:spPr>
                </pic:pic>
              </a:graphicData>
            </a:graphic>
          </wp:inline>
        </w:drawing>
      </w:r>
    </w:p>
    <w:p w14:paraId="673999B6" w14:textId="77777777" w:rsidR="00EC1802" w:rsidRDefault="00EC1802" w:rsidP="00EC1802">
      <w:pPr>
        <w:pStyle w:val="Els-body-text"/>
      </w:pPr>
      <w:r>
        <w:t xml:space="preserve">Figure </w:t>
      </w:r>
      <w:r>
        <w:fldChar w:fldCharType="begin"/>
      </w:r>
      <w:r>
        <w:instrText xml:space="preserve"> SEQ Figure \* ARABIC </w:instrText>
      </w:r>
      <w:r>
        <w:fldChar w:fldCharType="separate"/>
      </w:r>
      <w:r>
        <w:rPr>
          <w:noProof/>
        </w:rPr>
        <w:t>1</w:t>
      </w:r>
      <w:r>
        <w:fldChar w:fldCharType="end"/>
      </w:r>
      <w:r>
        <w:t xml:space="preserve"> Energy efficiencies vs temperature and compression ratio in MeOH engines (left); map of economic-environmental performance of addressed marine fuels (right).</w:t>
      </w:r>
    </w:p>
    <w:p w14:paraId="173EEC6F" w14:textId="10F34546" w:rsidR="001D05BB" w:rsidRPr="00A66226" w:rsidRDefault="001D05BB" w:rsidP="00A66226">
      <w:pPr>
        <w:pStyle w:val="Els-body-text"/>
        <w:rPr>
          <w:lang w:val="en-GB"/>
        </w:rPr>
      </w:pPr>
      <w:r>
        <w:t xml:space="preserve"> </w:t>
      </w:r>
    </w:p>
    <w:p w14:paraId="651B52BE" w14:textId="77777777" w:rsidR="007F3481" w:rsidRPr="002B45D8" w:rsidRDefault="007F3481" w:rsidP="007F3481">
      <w:pPr>
        <w:pStyle w:val="Els-2ndorder-head"/>
        <w:spacing w:after="120"/>
        <w:rPr>
          <w:lang w:val="en-GB"/>
        </w:rPr>
      </w:pPr>
      <w:r>
        <w:rPr>
          <w:lang w:val="en-GB"/>
        </w:rPr>
        <w:lastRenderedPageBreak/>
        <w:t>Engine simulation and process integration</w:t>
      </w:r>
    </w:p>
    <w:p w14:paraId="4C131A33" w14:textId="451BE7AD" w:rsidR="001D05BB" w:rsidRPr="001D05BB" w:rsidRDefault="00EF1F32" w:rsidP="001D05BB">
      <w:pPr>
        <w:pStyle w:val="Els-body-text"/>
      </w:pPr>
      <w:r>
        <w:rPr>
          <w:lang w:val="en-GB"/>
        </w:rPr>
        <w:t>The</w:t>
      </w:r>
      <w:r w:rsidR="007600D7" w:rsidRPr="00F80F4A">
        <w:rPr>
          <w:lang w:val="en-GB"/>
        </w:rPr>
        <w:t xml:space="preserve"> process flowsheet</w:t>
      </w:r>
      <w:r>
        <w:rPr>
          <w:lang w:val="en-GB"/>
        </w:rPr>
        <w:t>s</w:t>
      </w:r>
      <w:r w:rsidR="007600D7" w:rsidRPr="00F80F4A">
        <w:rPr>
          <w:lang w:val="en-GB"/>
        </w:rPr>
        <w:t xml:space="preserve"> of engine</w:t>
      </w:r>
      <w:r w:rsidR="001E5824">
        <w:rPr>
          <w:lang w:val="en-GB"/>
        </w:rPr>
        <w:t xml:space="preserve"> operations and fuel management (</w:t>
      </w:r>
      <w:r w:rsidR="001E5824" w:rsidRPr="00F80F4A">
        <w:rPr>
          <w:lang w:val="en-GB"/>
        </w:rPr>
        <w:t>vaporization</w:t>
      </w:r>
      <w:r w:rsidR="001E5824">
        <w:rPr>
          <w:lang w:val="en-GB"/>
        </w:rPr>
        <w:t>, pressurization and/or heating) were developed and simulated in Aspen plus</w:t>
      </w:r>
      <w:r w:rsidR="00243CFA">
        <w:rPr>
          <w:lang w:val="en-GB"/>
        </w:rPr>
        <w:t xml:space="preserve"> (Figure 2) resulting in the detailed</w:t>
      </w:r>
      <w:r w:rsidR="007600D7" w:rsidRPr="00F80F4A">
        <w:rPr>
          <w:lang w:val="en-GB"/>
        </w:rPr>
        <w:t xml:space="preserve"> mass and energy balances across engine.</w:t>
      </w:r>
      <w:r w:rsidR="00243CFA">
        <w:rPr>
          <w:lang w:val="en-GB"/>
        </w:rPr>
        <w:t xml:space="preserve"> All thermal data were extracted and used for the energy analysis and detection of </w:t>
      </w:r>
      <w:r w:rsidR="007600D7" w:rsidRPr="00F80F4A">
        <w:rPr>
          <w:lang w:val="en-GB"/>
        </w:rPr>
        <w:t xml:space="preserve">the maximum feasible energy </w:t>
      </w:r>
      <w:r w:rsidR="00243CFA">
        <w:rPr>
          <w:lang w:val="en-GB"/>
        </w:rPr>
        <w:t xml:space="preserve">savings, while </w:t>
      </w:r>
      <w:r w:rsidR="00243CFA" w:rsidRPr="00F80F4A">
        <w:rPr>
          <w:lang w:val="en-GB"/>
        </w:rPr>
        <w:t xml:space="preserve">electricity </w:t>
      </w:r>
      <w:r w:rsidR="007600D7" w:rsidRPr="00F80F4A">
        <w:rPr>
          <w:lang w:val="en-GB"/>
        </w:rPr>
        <w:t>cogeneration was also considered.</w:t>
      </w:r>
      <w:r w:rsidR="00DE31DB" w:rsidRPr="00F80F4A">
        <w:rPr>
          <w:lang w:val="en-GB"/>
        </w:rPr>
        <w:t xml:space="preserve"> </w:t>
      </w:r>
    </w:p>
    <w:p w14:paraId="5DBD3DEC" w14:textId="77777777" w:rsidR="001D05BB" w:rsidRDefault="001D05BB" w:rsidP="001D05BB">
      <w:pPr>
        <w:pStyle w:val="Els-body-text"/>
        <w:rPr>
          <w:lang w:val="en-GB"/>
        </w:rPr>
      </w:pPr>
      <w:r w:rsidRPr="00F80F4A">
        <w:rPr>
          <w:lang w:val="en-GB"/>
        </w:rPr>
        <w:t xml:space="preserve">Figure 3 presents the composite curves of </w:t>
      </w:r>
      <w:r>
        <w:rPr>
          <w:lang w:val="en-GB"/>
        </w:rPr>
        <w:t xml:space="preserve">a </w:t>
      </w:r>
      <w:r w:rsidRPr="00F80F4A">
        <w:rPr>
          <w:lang w:val="en-GB"/>
        </w:rPr>
        <w:t>MeOH, LNG, and HFO</w:t>
      </w:r>
      <w:r>
        <w:rPr>
          <w:lang w:val="en-GB"/>
        </w:rPr>
        <w:t xml:space="preserve"> engines </w:t>
      </w:r>
      <w:r w:rsidRPr="00F80F4A">
        <w:rPr>
          <w:lang w:val="en-GB"/>
        </w:rPr>
        <w:t>reveal</w:t>
      </w:r>
      <w:r>
        <w:rPr>
          <w:lang w:val="en-GB"/>
        </w:rPr>
        <w:t>ing</w:t>
      </w:r>
      <w:r w:rsidRPr="00F80F4A">
        <w:rPr>
          <w:lang w:val="en-GB"/>
        </w:rPr>
        <w:t xml:space="preserve"> the potential for full integration of </w:t>
      </w:r>
      <w:r>
        <w:rPr>
          <w:lang w:val="en-GB"/>
        </w:rPr>
        <w:t xml:space="preserve">ship’s </w:t>
      </w:r>
      <w:r w:rsidRPr="00F80F4A">
        <w:rPr>
          <w:lang w:val="en-GB"/>
        </w:rPr>
        <w:t xml:space="preserve">heating demands </w:t>
      </w:r>
      <w:r>
        <w:rPr>
          <w:lang w:val="en-GB"/>
        </w:rPr>
        <w:t>with</w:t>
      </w:r>
      <w:r w:rsidRPr="00F80F4A">
        <w:rPr>
          <w:lang w:val="en-GB"/>
        </w:rPr>
        <w:t xml:space="preserve"> available energy from the engine (producing hot water at 350 </w:t>
      </w:r>
      <w:proofErr w:type="spellStart"/>
      <w:r w:rsidRPr="00243CFA">
        <w:rPr>
          <w:vertAlign w:val="superscript"/>
          <w:lang w:val="en-GB"/>
        </w:rPr>
        <w:t>o</w:t>
      </w:r>
      <w:r w:rsidRPr="00F80F4A">
        <w:rPr>
          <w:lang w:val="en-GB"/>
        </w:rPr>
        <w:t>C</w:t>
      </w:r>
      <w:proofErr w:type="spellEnd"/>
      <w:r w:rsidRPr="00F80F4A">
        <w:rPr>
          <w:lang w:val="en-GB"/>
        </w:rPr>
        <w:t>) and hot flue gases</w:t>
      </w:r>
      <w:r>
        <w:rPr>
          <w:lang w:val="en-GB"/>
        </w:rPr>
        <w:t xml:space="preserve"> (≥190 </w:t>
      </w:r>
      <w:proofErr w:type="spellStart"/>
      <w:r w:rsidRPr="00243CFA">
        <w:rPr>
          <w:vertAlign w:val="superscript"/>
          <w:lang w:val="en-GB"/>
        </w:rPr>
        <w:t>o</w:t>
      </w:r>
      <w:r>
        <w:rPr>
          <w:lang w:val="en-GB"/>
        </w:rPr>
        <w:t>C</w:t>
      </w:r>
      <w:proofErr w:type="spellEnd"/>
      <w:r>
        <w:rPr>
          <w:lang w:val="en-GB"/>
        </w:rPr>
        <w:t>).</w:t>
      </w:r>
    </w:p>
    <w:p w14:paraId="6C791ADF" w14:textId="43D816B7" w:rsidR="00176335" w:rsidRDefault="00182121" w:rsidP="009701AD">
      <w:pPr>
        <w:pStyle w:val="Els-body-text"/>
      </w:pPr>
      <w:r w:rsidRPr="00F80F4A">
        <w:t xml:space="preserve">In </w:t>
      </w:r>
      <w:r w:rsidR="00DD6A34" w:rsidRPr="00F80F4A">
        <w:rPr>
          <w:lang w:val="en-GB"/>
        </w:rPr>
        <w:t>HFO</w:t>
      </w:r>
      <w:r w:rsidR="00DD6A34">
        <w:t>-</w:t>
      </w:r>
      <w:r w:rsidR="00DD6A34" w:rsidRPr="00F80F4A">
        <w:t>ROPAX</w:t>
      </w:r>
      <w:r w:rsidRPr="00F80F4A">
        <w:t>, all steam production and Thermal Oil Heater</w:t>
      </w:r>
      <w:r w:rsidR="00DD6A34">
        <w:t xml:space="preserve"> demands</w:t>
      </w:r>
      <w:r w:rsidRPr="00F80F4A">
        <w:t xml:space="preserve"> can be covered by </w:t>
      </w:r>
      <w:r w:rsidR="00DD6A34">
        <w:t>the</w:t>
      </w:r>
      <w:r w:rsidRPr="00F80F4A">
        <w:t xml:space="preserve"> </w:t>
      </w:r>
      <w:r w:rsidR="006E1689">
        <w:t xml:space="preserve">engine’s available heat </w:t>
      </w:r>
      <w:r w:rsidRPr="00F80F4A">
        <w:t>and the</w:t>
      </w:r>
      <w:r w:rsidR="00DA41F3">
        <w:t xml:space="preserve"> flue gases</w:t>
      </w:r>
      <w:r w:rsidRPr="00F80F4A">
        <w:t xml:space="preserve"> economizer </w:t>
      </w:r>
      <w:r w:rsidR="00DD6A34">
        <w:t xml:space="preserve">reducing </w:t>
      </w:r>
      <w:r w:rsidR="00DD6A34" w:rsidRPr="00F80F4A">
        <w:t>HFO consumption</w:t>
      </w:r>
      <w:r w:rsidR="00DD6A34">
        <w:t xml:space="preserve"> by ≈</w:t>
      </w:r>
      <w:r w:rsidRPr="00F80F4A">
        <w:t xml:space="preserve">1.5%. </w:t>
      </w:r>
      <w:r w:rsidR="004B1C9A">
        <w:t>S</w:t>
      </w:r>
      <w:r w:rsidRPr="00F80F4A">
        <w:t xml:space="preserve">team production </w:t>
      </w:r>
      <w:r w:rsidR="004B1C9A">
        <w:t>using</w:t>
      </w:r>
      <w:r w:rsidRPr="00F80F4A">
        <w:t xml:space="preserve"> </w:t>
      </w:r>
      <w:r w:rsidR="004B1C9A" w:rsidRPr="00F80F4A">
        <w:t xml:space="preserve">energy </w:t>
      </w:r>
      <w:r w:rsidR="004B1C9A">
        <w:t xml:space="preserve">form the </w:t>
      </w:r>
      <w:r w:rsidRPr="00F80F4A">
        <w:t xml:space="preserve">engine, scavenge air and flue gases can be used for </w:t>
      </w:r>
      <w:r w:rsidR="00534EDF" w:rsidRPr="00F80F4A">
        <w:t xml:space="preserve">940 kW of cogeneration </w:t>
      </w:r>
      <w:r w:rsidR="008267C1">
        <w:t xml:space="preserve">further reducing fuel consumption </w:t>
      </w:r>
      <w:r w:rsidR="008267C1" w:rsidRPr="00F80F4A">
        <w:t>in auxiliary engines</w:t>
      </w:r>
      <w:r w:rsidR="008267C1">
        <w:t xml:space="preserve"> by</w:t>
      </w:r>
      <w:r w:rsidR="00534EDF" w:rsidRPr="00F80F4A">
        <w:t xml:space="preserve"> 3%.</w:t>
      </w:r>
      <w:r w:rsidR="00F80F4A">
        <w:t xml:space="preserve"> </w:t>
      </w:r>
      <w:r w:rsidR="00D26B95">
        <w:t>Similar</w:t>
      </w:r>
      <w:r w:rsidR="00746294" w:rsidRPr="00F80F4A">
        <w:t xml:space="preserve"> integration </w:t>
      </w:r>
      <w:r w:rsidR="00F80F4A">
        <w:t>pattern</w:t>
      </w:r>
      <w:r w:rsidR="00D26B95">
        <w:t>s</w:t>
      </w:r>
      <w:r w:rsidR="00F80F4A" w:rsidRPr="00F80F4A">
        <w:t xml:space="preserve"> </w:t>
      </w:r>
      <w:r w:rsidR="00F80F4A">
        <w:t>in</w:t>
      </w:r>
      <w:r w:rsidR="00F80F4A" w:rsidRPr="00F80F4A">
        <w:t xml:space="preserve"> </w:t>
      </w:r>
      <w:r w:rsidR="00F80F4A">
        <w:t>MeOH</w:t>
      </w:r>
      <w:r w:rsidR="00F80F4A" w:rsidRPr="00F80F4A">
        <w:t xml:space="preserve"> </w:t>
      </w:r>
      <w:r w:rsidR="00F80F4A">
        <w:t>engines</w:t>
      </w:r>
      <w:r w:rsidR="00F80F4A" w:rsidRPr="00F80F4A">
        <w:t xml:space="preserve"> </w:t>
      </w:r>
      <w:r w:rsidR="00D26B95">
        <w:t>can reduce</w:t>
      </w:r>
      <w:r w:rsidR="00F80F4A" w:rsidRPr="00F80F4A">
        <w:t xml:space="preserve"> </w:t>
      </w:r>
      <w:r w:rsidR="00F80F4A">
        <w:t>heating</w:t>
      </w:r>
      <w:r w:rsidR="000F72E9">
        <w:t xml:space="preserve"> </w:t>
      </w:r>
      <w:r w:rsidR="00F80F4A">
        <w:t xml:space="preserve">demands </w:t>
      </w:r>
      <w:r w:rsidR="00A54D47">
        <w:t>and</w:t>
      </w:r>
      <w:r w:rsidR="00F80F4A">
        <w:t xml:space="preserve"> fuel consumption from 3600 to 3200 k</w:t>
      </w:r>
      <w:r w:rsidR="00176335">
        <w:t>g</w:t>
      </w:r>
      <w:r w:rsidR="00F80F4A">
        <w:t>/</w:t>
      </w:r>
      <w:proofErr w:type="spellStart"/>
      <w:r w:rsidR="00F80F4A">
        <w:t>hr</w:t>
      </w:r>
      <w:proofErr w:type="spellEnd"/>
      <w:r w:rsidR="00F80F4A">
        <w:t xml:space="preserve"> (10%), while the cogeneration of 585 kW could cover 30% of the hotel and engine room ventilation</w:t>
      </w:r>
      <w:r w:rsidR="00A54D47">
        <w:t xml:space="preserve"> demands</w:t>
      </w:r>
      <w:r w:rsidR="00F80F4A">
        <w:t>.</w:t>
      </w:r>
      <w:r w:rsidR="00F5782D">
        <w:t xml:space="preserve"> In LNG-ROPAX, </w:t>
      </w:r>
      <w:r w:rsidR="00176335">
        <w:t xml:space="preserve">fuel savings </w:t>
      </w:r>
      <w:r w:rsidR="008B4458">
        <w:t xml:space="preserve">from energy integration can reduce LNG consumption by 14%, </w:t>
      </w:r>
      <w:r w:rsidR="00176335">
        <w:t>while 44 kg/</w:t>
      </w:r>
      <w:proofErr w:type="spellStart"/>
      <w:r w:rsidR="00176335">
        <w:t>hr</w:t>
      </w:r>
      <w:proofErr w:type="spellEnd"/>
      <w:r w:rsidR="00176335">
        <w:t xml:space="preserve"> are further saved by cogeneration, resulting in total fuel savings </w:t>
      </w:r>
      <w:r w:rsidR="00BA402B">
        <w:t>at</w:t>
      </w:r>
      <w:r w:rsidR="00176335">
        <w:t xml:space="preserve"> </w:t>
      </w:r>
      <w:r w:rsidR="00BA402B">
        <w:t>≈</w:t>
      </w:r>
      <w:r w:rsidR="008B4458">
        <w:t>17</w:t>
      </w:r>
      <w:r w:rsidR="00176335">
        <w:t>%.</w:t>
      </w:r>
    </w:p>
    <w:p w14:paraId="5AC9B462" w14:textId="77777777" w:rsidR="007F3481" w:rsidRPr="002B45D8" w:rsidRDefault="007F3481" w:rsidP="007F3481">
      <w:pPr>
        <w:pStyle w:val="Els-2ndorder-head"/>
        <w:spacing w:after="120"/>
        <w:rPr>
          <w:lang w:val="en-GB"/>
        </w:rPr>
      </w:pPr>
      <w:r>
        <w:rPr>
          <w:lang w:val="en-GB"/>
        </w:rPr>
        <w:t>Carbon Capture and Storage on board</w:t>
      </w:r>
    </w:p>
    <w:p w14:paraId="20F35D86" w14:textId="6B84CFDD" w:rsidR="008E0D2C" w:rsidRDefault="00DE115A" w:rsidP="007F3481">
      <w:pPr>
        <w:pStyle w:val="Els-body-text"/>
        <w:rPr>
          <w:lang w:val="en-GB"/>
        </w:rPr>
      </w:pPr>
      <w:r>
        <w:rPr>
          <w:lang w:val="en-GB"/>
        </w:rPr>
        <w:t>CCS on board was investigated and appropriately integrated within ROPAX ships.</w:t>
      </w:r>
      <w:r w:rsidR="00864636">
        <w:rPr>
          <w:lang w:val="en-GB"/>
        </w:rPr>
        <w:t xml:space="preserve"> </w:t>
      </w:r>
      <w:r w:rsidR="004572B6">
        <w:rPr>
          <w:lang w:val="en-GB"/>
        </w:rPr>
        <w:t xml:space="preserve">Both </w:t>
      </w:r>
      <w:r w:rsidR="005B73DA">
        <w:rPr>
          <w:lang w:val="en-GB"/>
        </w:rPr>
        <w:t xml:space="preserve">MEA- and Cryo-CCS </w:t>
      </w:r>
      <w:r w:rsidR="004572B6">
        <w:rPr>
          <w:lang w:val="en-GB"/>
        </w:rPr>
        <w:t>technologies were tested in HFO, MeOH and LNG ships. The process flowsheets of each CCS technology and storage stages have been developed in</w:t>
      </w:r>
      <w:r w:rsidR="008E0D2C">
        <w:rPr>
          <w:lang w:val="en-GB"/>
        </w:rPr>
        <w:t xml:space="preserve"> </w:t>
      </w:r>
      <w:r w:rsidR="004572B6">
        <w:rPr>
          <w:lang w:val="en-GB"/>
        </w:rPr>
        <w:t>ASPEN Plus. Prior CCS, cooling of flue gases</w:t>
      </w:r>
      <w:r w:rsidR="00564F60">
        <w:rPr>
          <w:lang w:val="en-GB"/>
        </w:rPr>
        <w:t xml:space="preserve"> (at 40-50 </w:t>
      </w:r>
      <w:proofErr w:type="spellStart"/>
      <w:r w:rsidR="00564F60" w:rsidRPr="00564F60">
        <w:rPr>
          <w:vertAlign w:val="superscript"/>
          <w:lang w:val="en-GB"/>
        </w:rPr>
        <w:t>o</w:t>
      </w:r>
      <w:r w:rsidR="00564F60">
        <w:rPr>
          <w:lang w:val="en-GB"/>
        </w:rPr>
        <w:t>C</w:t>
      </w:r>
      <w:proofErr w:type="spellEnd"/>
      <w:r w:rsidR="00564F60">
        <w:rPr>
          <w:lang w:val="en-GB"/>
        </w:rPr>
        <w:t>)</w:t>
      </w:r>
      <w:r w:rsidR="004572B6">
        <w:rPr>
          <w:lang w:val="en-GB"/>
        </w:rPr>
        <w:t xml:space="preserve"> and water condensation were considered reaching </w:t>
      </w:r>
      <w:r w:rsidR="0001110B">
        <w:rPr>
          <w:lang w:val="en-GB"/>
        </w:rPr>
        <w:t xml:space="preserve">4-8% w/w </w:t>
      </w:r>
      <w:r w:rsidR="004572B6">
        <w:rPr>
          <w:lang w:val="en-GB"/>
        </w:rPr>
        <w:t xml:space="preserve">CO2 content. Such low </w:t>
      </w:r>
      <w:r w:rsidR="0001110B">
        <w:rPr>
          <w:lang w:val="en-GB"/>
        </w:rPr>
        <w:t xml:space="preserve">CO2 </w:t>
      </w:r>
      <w:r w:rsidR="004572B6">
        <w:rPr>
          <w:lang w:val="en-GB"/>
        </w:rPr>
        <w:t xml:space="preserve">contents raise the energy penalty in CCS and requires delicate design and adaptation of CCS conditions </w:t>
      </w:r>
      <w:r w:rsidR="0001110B">
        <w:rPr>
          <w:lang w:val="en-GB"/>
        </w:rPr>
        <w:t xml:space="preserve">to </w:t>
      </w:r>
      <w:r w:rsidR="00564F60">
        <w:rPr>
          <w:lang w:val="en-GB"/>
        </w:rPr>
        <w:t xml:space="preserve">appropriately match and/or cover chilling demands with waste cold energy of effluent air streams. </w:t>
      </w:r>
      <w:r w:rsidR="0001110B">
        <w:rPr>
          <w:lang w:val="en-GB"/>
        </w:rPr>
        <w:t>The design of</w:t>
      </w:r>
      <w:r w:rsidR="004572B6">
        <w:rPr>
          <w:lang w:val="en-GB"/>
        </w:rPr>
        <w:t xml:space="preserve"> MEA-CCS follow</w:t>
      </w:r>
      <w:r w:rsidR="0001110B">
        <w:rPr>
          <w:lang w:val="en-GB"/>
        </w:rPr>
        <w:t>ed</w:t>
      </w:r>
      <w:r w:rsidR="004572B6">
        <w:rPr>
          <w:lang w:val="en-GB"/>
        </w:rPr>
        <w:t xml:space="preserve"> </w:t>
      </w:r>
      <w:r w:rsidR="00564F60">
        <w:rPr>
          <w:lang w:val="en-GB"/>
        </w:rPr>
        <w:t>a</w:t>
      </w:r>
      <w:r w:rsidR="004572B6">
        <w:rPr>
          <w:lang w:val="en-GB"/>
        </w:rPr>
        <w:t xml:space="preserve"> typical structure </w:t>
      </w:r>
      <w:r w:rsidR="00564F60">
        <w:rPr>
          <w:lang w:val="en-GB"/>
        </w:rPr>
        <w:t>from literature</w:t>
      </w:r>
      <w:r w:rsidR="00C67F7E">
        <w:rPr>
          <w:lang w:val="en-GB"/>
        </w:rPr>
        <w:t xml:space="preserve"> (</w:t>
      </w:r>
      <w:proofErr w:type="spellStart"/>
      <w:r w:rsidR="007F1495" w:rsidRPr="007F1495">
        <w:rPr>
          <w:lang w:val="en-GB"/>
        </w:rPr>
        <w:t>Songolzadeh</w:t>
      </w:r>
      <w:proofErr w:type="spellEnd"/>
      <w:r w:rsidR="007F1495">
        <w:rPr>
          <w:lang w:val="en-GB"/>
        </w:rPr>
        <w:t xml:space="preserve"> et al., 2014</w:t>
      </w:r>
      <w:r w:rsidR="00C67F7E">
        <w:rPr>
          <w:lang w:val="en-GB"/>
        </w:rPr>
        <w:t xml:space="preserve">). In contrast, Cryo-CCS </w:t>
      </w:r>
      <w:r w:rsidR="000F72E9">
        <w:rPr>
          <w:lang w:val="en-GB"/>
        </w:rPr>
        <w:t>needed</w:t>
      </w:r>
      <w:r w:rsidR="00C67F7E">
        <w:rPr>
          <w:lang w:val="en-GB"/>
        </w:rPr>
        <w:t xml:space="preserve"> to be appropriately tuned (temperatures, pressures and</w:t>
      </w:r>
      <w:r w:rsidR="000F72E9">
        <w:rPr>
          <w:lang w:val="en-GB"/>
        </w:rPr>
        <w:t xml:space="preserve"> flowsheet</w:t>
      </w:r>
      <w:r w:rsidR="00C67F7E">
        <w:rPr>
          <w:lang w:val="en-GB"/>
        </w:rPr>
        <w:t xml:space="preserve">) to ensure energy fitting with </w:t>
      </w:r>
      <w:r w:rsidR="003E004F">
        <w:rPr>
          <w:lang w:val="en-GB"/>
        </w:rPr>
        <w:t xml:space="preserve">the </w:t>
      </w:r>
      <w:r w:rsidR="00C67F7E">
        <w:rPr>
          <w:lang w:val="en-GB"/>
        </w:rPr>
        <w:t>ship’s</w:t>
      </w:r>
      <w:r w:rsidR="003E004F">
        <w:rPr>
          <w:lang w:val="en-GB"/>
        </w:rPr>
        <w:t xml:space="preserve"> streams.</w:t>
      </w:r>
    </w:p>
    <w:p w14:paraId="1304252A" w14:textId="1C224311" w:rsidR="00F04D81" w:rsidRDefault="003C730E" w:rsidP="007F3481">
      <w:pPr>
        <w:pStyle w:val="Els-body-text"/>
        <w:rPr>
          <w:lang w:val="en-GB"/>
        </w:rPr>
      </w:pPr>
      <w:r>
        <w:rPr>
          <w:lang w:val="en-GB"/>
        </w:rPr>
        <w:t>MEA-CCS most fits to HFO and MeOH ships. MEA-CCS required 5060 kW to</w:t>
      </w:r>
      <w:r w:rsidR="008E0D2C">
        <w:rPr>
          <w:lang w:val="en-GB"/>
        </w:rPr>
        <w:t xml:space="preserve"> </w:t>
      </w:r>
      <w:r>
        <w:rPr>
          <w:lang w:val="en-GB"/>
        </w:rPr>
        <w:t>capture CO2 (7</w:t>
      </w:r>
      <w:r w:rsidR="003E004F">
        <w:rPr>
          <w:lang w:val="en-GB"/>
        </w:rPr>
        <w:t>.</w:t>
      </w:r>
      <w:r>
        <w:rPr>
          <w:lang w:val="en-GB"/>
        </w:rPr>
        <w:t xml:space="preserve">4% w/w) from 166 </w:t>
      </w:r>
      <w:proofErr w:type="spellStart"/>
      <w:r>
        <w:rPr>
          <w:lang w:val="en-GB"/>
        </w:rPr>
        <w:t>tn</w:t>
      </w:r>
      <w:proofErr w:type="spellEnd"/>
      <w:r>
        <w:rPr>
          <w:lang w:val="en-GB"/>
        </w:rPr>
        <w:t xml:space="preserve">/hr of HFO-based flue gases reaching 85% CO2 capture efficiency. In MeOH ships, MEA-CCS required 3591 </w:t>
      </w:r>
      <w:r w:rsidR="00564F60">
        <w:rPr>
          <w:lang w:val="en-GB"/>
        </w:rPr>
        <w:t xml:space="preserve">Kw </w:t>
      </w:r>
      <w:r>
        <w:rPr>
          <w:lang w:val="en-GB"/>
        </w:rPr>
        <w:t xml:space="preserve">to capture CO2 (6.2% w/w) from 73.5 </w:t>
      </w:r>
      <w:proofErr w:type="spellStart"/>
      <w:r>
        <w:rPr>
          <w:lang w:val="en-GB"/>
        </w:rPr>
        <w:t>tn</w:t>
      </w:r>
      <w:proofErr w:type="spellEnd"/>
      <w:r>
        <w:rPr>
          <w:lang w:val="en-GB"/>
        </w:rPr>
        <w:t>/hr flue gases reaching 81% CO2 capture.</w:t>
      </w:r>
      <w:r w:rsidR="00F04D81">
        <w:rPr>
          <w:lang w:val="en-GB"/>
        </w:rPr>
        <w:t xml:space="preserve"> </w:t>
      </w:r>
      <w:r>
        <w:rPr>
          <w:lang w:val="en-GB"/>
        </w:rPr>
        <w:t>In Cryo-CCS, t</w:t>
      </w:r>
      <w:r w:rsidR="00931C38">
        <w:rPr>
          <w:lang w:val="en-GB"/>
        </w:rPr>
        <w:t>he use of flue gases compression</w:t>
      </w:r>
      <w:r w:rsidR="00970C60">
        <w:rPr>
          <w:lang w:val="en-GB"/>
        </w:rPr>
        <w:t xml:space="preserve"> (</w:t>
      </w:r>
      <w:r w:rsidR="00970C60" w:rsidRPr="00970C60">
        <w:t xml:space="preserve">80 </w:t>
      </w:r>
      <w:r w:rsidR="00970C60">
        <w:t>bar)</w:t>
      </w:r>
      <w:r w:rsidR="00931C38">
        <w:rPr>
          <w:lang w:val="en-GB"/>
        </w:rPr>
        <w:t xml:space="preserve"> result</w:t>
      </w:r>
      <w:r w:rsidR="00564F60">
        <w:rPr>
          <w:lang w:val="en-GB"/>
        </w:rPr>
        <w:t>ed</w:t>
      </w:r>
      <w:r w:rsidR="00931C38">
        <w:rPr>
          <w:lang w:val="en-GB"/>
        </w:rPr>
        <w:t xml:space="preserve"> in </w:t>
      </w:r>
      <w:r w:rsidR="00564F60">
        <w:rPr>
          <w:lang w:val="en-GB"/>
        </w:rPr>
        <w:t xml:space="preserve">additional fuel consumption </w:t>
      </w:r>
      <w:r w:rsidR="00931C38">
        <w:rPr>
          <w:lang w:val="en-GB"/>
        </w:rPr>
        <w:t>equivalent to 70-80% of the fresh fuel consumption</w:t>
      </w:r>
      <w:r w:rsidR="00564F60">
        <w:rPr>
          <w:lang w:val="en-GB"/>
        </w:rPr>
        <w:t xml:space="preserve">. </w:t>
      </w:r>
      <w:r w:rsidR="00970C60">
        <w:rPr>
          <w:lang w:val="en-GB"/>
        </w:rPr>
        <w:t>Instead, t</w:t>
      </w:r>
      <w:r w:rsidR="00931C38">
        <w:rPr>
          <w:lang w:val="en-GB"/>
        </w:rPr>
        <w:t>he solution was</w:t>
      </w:r>
      <w:r w:rsidR="00970C60">
        <w:rPr>
          <w:lang w:val="en-GB"/>
        </w:rPr>
        <w:t xml:space="preserve"> to bypass compression and direct</w:t>
      </w:r>
      <w:r w:rsidR="00564F60">
        <w:rPr>
          <w:lang w:val="en-GB"/>
        </w:rPr>
        <w:t xml:space="preserve">ly </w:t>
      </w:r>
      <w:r w:rsidR="00970C60">
        <w:rPr>
          <w:lang w:val="en-GB"/>
        </w:rPr>
        <w:t xml:space="preserve">condense CO2 at </w:t>
      </w:r>
      <w:r w:rsidR="00564F60">
        <w:rPr>
          <w:lang w:val="en-GB"/>
        </w:rPr>
        <w:t>atmospheric pressure and higher</w:t>
      </w:r>
      <w:r w:rsidR="00931C38">
        <w:rPr>
          <w:lang w:val="en-GB"/>
        </w:rPr>
        <w:t xml:space="preserve"> temperatures </w:t>
      </w:r>
      <w:r w:rsidR="00970C60">
        <w:rPr>
          <w:lang w:val="en-GB"/>
        </w:rPr>
        <w:t>(</w:t>
      </w:r>
      <w:r w:rsidR="003E004F">
        <w:rPr>
          <w:rFonts w:ascii="Calibri" w:hAnsi="Calibri" w:cs="Calibri"/>
          <w:lang w:val="en-GB"/>
        </w:rPr>
        <w:t>─</w:t>
      </w:r>
      <w:r w:rsidR="00970C60">
        <w:rPr>
          <w:lang w:val="en-GB"/>
        </w:rPr>
        <w:t xml:space="preserve">145 to </w:t>
      </w:r>
      <w:r w:rsidR="003E004F">
        <w:rPr>
          <w:rFonts w:ascii="Calibri" w:hAnsi="Calibri" w:cs="Calibri"/>
          <w:lang w:val="en-GB"/>
        </w:rPr>
        <w:t>─</w:t>
      </w:r>
      <w:r w:rsidR="00970C60">
        <w:rPr>
          <w:lang w:val="en-GB"/>
        </w:rPr>
        <w:t xml:space="preserve">155 </w:t>
      </w:r>
      <w:proofErr w:type="spellStart"/>
      <w:r w:rsidR="00970C60" w:rsidRPr="00847C40">
        <w:rPr>
          <w:vertAlign w:val="superscript"/>
          <w:lang w:val="en-GB"/>
        </w:rPr>
        <w:t>o</w:t>
      </w:r>
      <w:r w:rsidR="00970C60">
        <w:rPr>
          <w:lang w:val="en-GB"/>
        </w:rPr>
        <w:t>C</w:t>
      </w:r>
      <w:proofErr w:type="spellEnd"/>
      <w:r w:rsidR="00970C60">
        <w:rPr>
          <w:lang w:val="en-GB"/>
        </w:rPr>
        <w:t>)</w:t>
      </w:r>
      <w:r w:rsidR="00564F60">
        <w:rPr>
          <w:lang w:val="en-GB"/>
        </w:rPr>
        <w:t xml:space="preserve"> matching </w:t>
      </w:r>
      <w:r w:rsidR="00F04D81">
        <w:rPr>
          <w:lang w:val="en-GB"/>
        </w:rPr>
        <w:t xml:space="preserve">with </w:t>
      </w:r>
      <w:r w:rsidR="00564F60">
        <w:rPr>
          <w:lang w:val="en-GB"/>
        </w:rPr>
        <w:t xml:space="preserve">the cold energy </w:t>
      </w:r>
      <w:r w:rsidR="00F04D81">
        <w:rPr>
          <w:lang w:val="en-GB"/>
        </w:rPr>
        <w:t>for</w:t>
      </w:r>
      <w:r w:rsidR="00564F60">
        <w:rPr>
          <w:lang w:val="en-GB"/>
        </w:rPr>
        <w:t xml:space="preserve"> </w:t>
      </w:r>
      <w:r w:rsidR="00F04D81">
        <w:rPr>
          <w:lang w:val="en-GB"/>
        </w:rPr>
        <w:t>LNG vaporization and heating</w:t>
      </w:r>
      <w:r w:rsidR="00970C60">
        <w:rPr>
          <w:lang w:val="en-GB"/>
        </w:rPr>
        <w:t xml:space="preserve"> </w:t>
      </w:r>
      <w:r w:rsidR="00931C38">
        <w:rPr>
          <w:lang w:val="en-GB"/>
        </w:rPr>
        <w:t>(</w:t>
      </w:r>
      <w:r w:rsidR="003E004F">
        <w:rPr>
          <w:rFonts w:ascii="Calibri" w:hAnsi="Calibri" w:cs="Calibri"/>
          <w:lang w:val="en-GB"/>
        </w:rPr>
        <w:t>─</w:t>
      </w:r>
      <w:r w:rsidR="00931C38">
        <w:rPr>
          <w:lang w:val="en-GB"/>
        </w:rPr>
        <w:t>163</w:t>
      </w:r>
      <w:r w:rsidR="00931C38" w:rsidRPr="00931C38">
        <w:rPr>
          <w:lang w:val="en-GB"/>
        </w:rPr>
        <w:sym w:font="Wingdings" w:char="F0E0"/>
      </w:r>
      <w:r w:rsidR="00931C38">
        <w:rPr>
          <w:lang w:val="en-GB"/>
        </w:rPr>
        <w:t xml:space="preserve">40 </w:t>
      </w:r>
      <w:r w:rsidR="003E004F">
        <w:rPr>
          <w:lang w:val="en-GB"/>
        </w:rPr>
        <w:t>°</w:t>
      </w:r>
      <w:r w:rsidR="00931C38">
        <w:rPr>
          <w:lang w:val="en-GB"/>
        </w:rPr>
        <w:t>C)</w:t>
      </w:r>
      <w:r w:rsidR="00970C60">
        <w:rPr>
          <w:lang w:val="en-GB"/>
        </w:rPr>
        <w:t xml:space="preserve">. </w:t>
      </w:r>
      <w:r w:rsidR="00F04D81">
        <w:rPr>
          <w:lang w:val="en-GB"/>
        </w:rPr>
        <w:t>T</w:t>
      </w:r>
      <w:r w:rsidR="00F04D81" w:rsidRPr="00564F60">
        <w:rPr>
          <w:lang w:val="en-GB"/>
        </w:rPr>
        <w:t xml:space="preserve">he condensed AIR-CO2 mixture is </w:t>
      </w:r>
      <w:r w:rsidR="00F04D81">
        <w:rPr>
          <w:lang w:val="en-GB"/>
        </w:rPr>
        <w:t xml:space="preserve">next </w:t>
      </w:r>
      <w:r w:rsidR="00F04D81" w:rsidRPr="00564F60">
        <w:rPr>
          <w:lang w:val="en-GB"/>
        </w:rPr>
        <w:t>pumped (80 bar) and driven to cryogenic distillation to recover pure CO2.</w:t>
      </w:r>
      <w:r w:rsidR="00F04D81">
        <w:rPr>
          <w:lang w:val="en-GB"/>
        </w:rPr>
        <w:t xml:space="preserve"> This strategy resulting in the lowest feasible Cryo-CCS demands (4.23 </w:t>
      </w:r>
      <w:proofErr w:type="spellStart"/>
      <w:r w:rsidR="00F04D81">
        <w:rPr>
          <w:lang w:val="en-GB"/>
        </w:rPr>
        <w:t>MJ</w:t>
      </w:r>
      <w:r w:rsidR="00F04D81" w:rsidRPr="00D1383B">
        <w:rPr>
          <w:vertAlign w:val="subscript"/>
          <w:lang w:val="en-GB"/>
        </w:rPr>
        <w:t>el</w:t>
      </w:r>
      <w:r w:rsidR="00F04D81">
        <w:rPr>
          <w:vertAlign w:val="subscript"/>
          <w:lang w:val="en-GB"/>
        </w:rPr>
        <w:t>ec</w:t>
      </w:r>
      <w:proofErr w:type="spellEnd"/>
      <w:r w:rsidR="00F04D81">
        <w:rPr>
          <w:lang w:val="en-GB"/>
        </w:rPr>
        <w:t>/kg of captured CO2) and in the highest CO2 emissions reduction (40%).</w:t>
      </w:r>
    </w:p>
    <w:p w14:paraId="144DE6AE" w14:textId="03BDABA9" w:rsidR="008D2649" w:rsidRPr="00A94774" w:rsidRDefault="002B45D8" w:rsidP="008D2649">
      <w:pPr>
        <w:pStyle w:val="Els-1storder-head"/>
        <w:spacing w:after="120"/>
        <w:rPr>
          <w:lang w:val="en-GB"/>
        </w:rPr>
      </w:pPr>
      <w:r>
        <w:rPr>
          <w:lang w:val="en-GB"/>
        </w:rPr>
        <w:t>Conclusions</w:t>
      </w:r>
    </w:p>
    <w:p w14:paraId="171E9B22" w14:textId="77777777" w:rsidR="001351A1" w:rsidRDefault="003D20A0" w:rsidP="00F669B2">
      <w:pPr>
        <w:pStyle w:val="Els-body-text"/>
        <w:spacing w:after="120"/>
        <w:rPr>
          <w:lang w:val="en-GB"/>
        </w:rPr>
      </w:pPr>
      <w:r w:rsidRPr="003D20A0">
        <w:rPr>
          <w:lang w:val="en-GB"/>
        </w:rPr>
        <w:t xml:space="preserve">A preliminary screening of alternative fuels </w:t>
      </w:r>
      <w:r w:rsidR="00E869AE">
        <w:rPr>
          <w:lang w:val="en-GB"/>
        </w:rPr>
        <w:t xml:space="preserve">performance </w:t>
      </w:r>
      <w:r w:rsidRPr="003D20A0">
        <w:rPr>
          <w:lang w:val="en-GB"/>
        </w:rPr>
        <w:t xml:space="preserve">highlighted </w:t>
      </w:r>
      <w:r w:rsidR="003E6906">
        <w:rPr>
          <w:lang w:val="en-GB"/>
        </w:rPr>
        <w:t>biocrude</w:t>
      </w:r>
      <w:r w:rsidRPr="003D20A0">
        <w:rPr>
          <w:lang w:val="en-GB"/>
        </w:rPr>
        <w:t xml:space="preserve">, </w:t>
      </w:r>
      <w:r w:rsidR="003E6906">
        <w:rPr>
          <w:lang w:val="en-GB"/>
        </w:rPr>
        <w:t>L</w:t>
      </w:r>
      <w:r w:rsidRPr="003D20A0">
        <w:rPr>
          <w:lang w:val="en-GB"/>
        </w:rPr>
        <w:t xml:space="preserve">NG and MeOH </w:t>
      </w:r>
      <w:r w:rsidR="00E869AE">
        <w:rPr>
          <w:lang w:val="en-GB"/>
        </w:rPr>
        <w:t>from</w:t>
      </w:r>
      <w:r w:rsidRPr="003D20A0">
        <w:rPr>
          <w:lang w:val="en-GB"/>
        </w:rPr>
        <w:t xml:space="preserve"> economic and environmental </w:t>
      </w:r>
      <w:r w:rsidR="003E6906">
        <w:rPr>
          <w:lang w:val="en-GB"/>
        </w:rPr>
        <w:t>perspectives</w:t>
      </w:r>
      <w:r w:rsidRPr="003D20A0">
        <w:rPr>
          <w:lang w:val="en-GB"/>
        </w:rPr>
        <w:t>.</w:t>
      </w:r>
      <w:r w:rsidR="003E6906">
        <w:rPr>
          <w:lang w:val="en-GB"/>
        </w:rPr>
        <w:t xml:space="preserve"> H</w:t>
      </w:r>
      <w:r w:rsidRPr="003D20A0">
        <w:rPr>
          <w:lang w:val="en-GB"/>
        </w:rPr>
        <w:t xml:space="preserve">owever, </w:t>
      </w:r>
      <w:r w:rsidR="003E6906">
        <w:rPr>
          <w:lang w:val="en-GB"/>
        </w:rPr>
        <w:t>biocrude</w:t>
      </w:r>
      <w:r w:rsidR="003E6906" w:rsidRPr="003D20A0">
        <w:rPr>
          <w:lang w:val="en-GB"/>
        </w:rPr>
        <w:t xml:space="preserve"> </w:t>
      </w:r>
      <w:r w:rsidRPr="003D20A0">
        <w:rPr>
          <w:lang w:val="en-GB"/>
        </w:rPr>
        <w:t xml:space="preserve">still </w:t>
      </w:r>
      <w:r w:rsidR="006658FC" w:rsidRPr="003D20A0">
        <w:rPr>
          <w:lang w:val="en-GB"/>
        </w:rPr>
        <w:t>lacks</w:t>
      </w:r>
      <w:r w:rsidRPr="003D20A0">
        <w:rPr>
          <w:lang w:val="en-GB"/>
        </w:rPr>
        <w:t xml:space="preserve"> maturity and stability in use</w:t>
      </w:r>
      <w:r w:rsidR="000232C3">
        <w:rPr>
          <w:lang w:val="en-GB"/>
        </w:rPr>
        <w:t xml:space="preserve"> (</w:t>
      </w:r>
      <w:r w:rsidRPr="003D20A0">
        <w:rPr>
          <w:lang w:val="en-GB"/>
        </w:rPr>
        <w:t>asphaltene</w:t>
      </w:r>
      <w:r w:rsidR="003E6906">
        <w:rPr>
          <w:lang w:val="en-GB"/>
        </w:rPr>
        <w:t>s</w:t>
      </w:r>
      <w:r w:rsidRPr="003D20A0">
        <w:rPr>
          <w:lang w:val="en-GB"/>
        </w:rPr>
        <w:t xml:space="preserve"> precipitation</w:t>
      </w:r>
      <w:r w:rsidR="000232C3">
        <w:rPr>
          <w:lang w:val="en-GB"/>
        </w:rPr>
        <w:t xml:space="preserve"> and</w:t>
      </w:r>
      <w:r w:rsidRPr="003D20A0">
        <w:rPr>
          <w:lang w:val="en-GB"/>
        </w:rPr>
        <w:t xml:space="preserve"> corrosion</w:t>
      </w:r>
      <w:r w:rsidR="000232C3">
        <w:rPr>
          <w:lang w:val="en-GB"/>
        </w:rPr>
        <w:t>)</w:t>
      </w:r>
      <w:r w:rsidRPr="003D20A0">
        <w:rPr>
          <w:lang w:val="en-GB"/>
        </w:rPr>
        <w:t xml:space="preserve"> </w:t>
      </w:r>
      <w:r w:rsidR="003E6906">
        <w:rPr>
          <w:lang w:val="en-GB"/>
        </w:rPr>
        <w:t>and</w:t>
      </w:r>
      <w:r w:rsidRPr="003D20A0">
        <w:rPr>
          <w:lang w:val="en-GB"/>
        </w:rPr>
        <w:t xml:space="preserve"> need</w:t>
      </w:r>
      <w:r w:rsidR="003E6906">
        <w:rPr>
          <w:lang w:val="en-GB"/>
        </w:rPr>
        <w:t xml:space="preserve">s </w:t>
      </w:r>
      <w:r w:rsidRPr="003D20A0">
        <w:rPr>
          <w:lang w:val="en-GB"/>
        </w:rPr>
        <w:t>additives</w:t>
      </w:r>
      <w:r w:rsidR="003E6906">
        <w:rPr>
          <w:lang w:val="en-GB"/>
        </w:rPr>
        <w:t xml:space="preserve"> to </w:t>
      </w:r>
      <w:r w:rsidR="000232C3">
        <w:rPr>
          <w:lang w:val="en-GB"/>
        </w:rPr>
        <w:t>enable use at</w:t>
      </w:r>
      <w:r w:rsidRPr="003D20A0">
        <w:rPr>
          <w:lang w:val="en-GB"/>
        </w:rPr>
        <w:t xml:space="preserve"> </w:t>
      </w:r>
      <w:r w:rsidR="000232C3">
        <w:rPr>
          <w:lang w:val="en-GB"/>
        </w:rPr>
        <w:t>concentrations</w:t>
      </w:r>
      <w:r w:rsidRPr="003D20A0">
        <w:rPr>
          <w:lang w:val="en-GB"/>
        </w:rPr>
        <w:t xml:space="preserve">. </w:t>
      </w:r>
      <w:r w:rsidR="006658FC" w:rsidRPr="003D20A0">
        <w:rPr>
          <w:lang w:val="en-GB"/>
        </w:rPr>
        <w:t>Instead,</w:t>
      </w:r>
      <w:r w:rsidRPr="003D20A0">
        <w:rPr>
          <w:lang w:val="en-GB"/>
        </w:rPr>
        <w:t xml:space="preserve"> LNG and MeOH </w:t>
      </w:r>
      <w:r w:rsidR="003E6906">
        <w:rPr>
          <w:lang w:val="en-GB"/>
        </w:rPr>
        <w:t>are</w:t>
      </w:r>
      <w:r w:rsidRPr="003D20A0">
        <w:rPr>
          <w:lang w:val="en-GB"/>
        </w:rPr>
        <w:t xml:space="preserve"> best alternatives use</w:t>
      </w:r>
      <w:r w:rsidR="003E6906">
        <w:rPr>
          <w:lang w:val="en-GB"/>
        </w:rPr>
        <w:t>d</w:t>
      </w:r>
      <w:r w:rsidRPr="003D20A0">
        <w:rPr>
          <w:lang w:val="en-GB"/>
        </w:rPr>
        <w:t xml:space="preserve"> alone or in mixtures.</w:t>
      </w:r>
      <w:r w:rsidR="003E6906">
        <w:rPr>
          <w:lang w:val="en-GB"/>
        </w:rPr>
        <w:t xml:space="preserve"> </w:t>
      </w:r>
      <w:r w:rsidRPr="003D20A0">
        <w:rPr>
          <w:lang w:val="en-GB"/>
        </w:rPr>
        <w:t xml:space="preserve">MeOH </w:t>
      </w:r>
      <w:r w:rsidR="003E6906">
        <w:rPr>
          <w:lang w:val="en-GB"/>
        </w:rPr>
        <w:t>ships</w:t>
      </w:r>
      <w:r w:rsidRPr="003D20A0">
        <w:rPr>
          <w:lang w:val="en-GB"/>
        </w:rPr>
        <w:t xml:space="preserve"> appear </w:t>
      </w:r>
      <w:r w:rsidR="003E6906">
        <w:rPr>
          <w:lang w:val="en-GB"/>
        </w:rPr>
        <w:t xml:space="preserve">a </w:t>
      </w:r>
      <w:r w:rsidRPr="003D20A0">
        <w:rPr>
          <w:lang w:val="en-GB"/>
        </w:rPr>
        <w:t>high</w:t>
      </w:r>
      <w:r w:rsidR="003E6906">
        <w:rPr>
          <w:lang w:val="en-GB"/>
        </w:rPr>
        <w:t>er</w:t>
      </w:r>
      <w:r w:rsidRPr="003D20A0">
        <w:rPr>
          <w:lang w:val="en-GB"/>
        </w:rPr>
        <w:t xml:space="preserve"> integration and cogeneration potential </w:t>
      </w:r>
      <w:r w:rsidR="000232C3">
        <w:rPr>
          <w:lang w:val="en-GB"/>
        </w:rPr>
        <w:t>than</w:t>
      </w:r>
      <w:r w:rsidRPr="003D20A0">
        <w:rPr>
          <w:lang w:val="en-GB"/>
        </w:rPr>
        <w:t xml:space="preserve"> LNG and HFO, but </w:t>
      </w:r>
      <w:r w:rsidR="003E6906">
        <w:rPr>
          <w:lang w:val="en-GB"/>
        </w:rPr>
        <w:t>methanol’s</w:t>
      </w:r>
      <w:r w:rsidRPr="003D20A0">
        <w:rPr>
          <w:lang w:val="en-GB"/>
        </w:rPr>
        <w:t xml:space="preserve"> </w:t>
      </w:r>
      <w:r w:rsidR="003E6906">
        <w:rPr>
          <w:lang w:val="en-GB"/>
        </w:rPr>
        <w:t>lower</w:t>
      </w:r>
      <w:r w:rsidRPr="003D20A0">
        <w:rPr>
          <w:lang w:val="en-GB"/>
        </w:rPr>
        <w:t xml:space="preserve"> heating value requires larger fuel flows and CO2 </w:t>
      </w:r>
    </w:p>
    <w:p w14:paraId="4FFA7640" w14:textId="77777777" w:rsidR="001351A1" w:rsidRDefault="001351A1" w:rsidP="001351A1">
      <w:pPr>
        <w:pStyle w:val="Els-body-text"/>
        <w:keepNext/>
      </w:pPr>
      <w:r>
        <w:rPr>
          <w:noProof/>
          <w:lang w:val="en-GB"/>
        </w:rPr>
        <w:lastRenderedPageBreak/>
        <w:drawing>
          <wp:inline distT="0" distB="0" distL="0" distR="0" wp14:anchorId="5A6233C4" wp14:editId="0468DD6B">
            <wp:extent cx="4492625" cy="1358900"/>
            <wp:effectExtent l="0" t="0" r="0" b="0"/>
            <wp:docPr id="897482665" name="Picture 3" descr="A diagram of a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482665" name="Picture 3" descr="A diagram of a cylind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2625" cy="1358900"/>
                    </a:xfrm>
                    <a:prstGeom prst="rect">
                      <a:avLst/>
                    </a:prstGeom>
                    <a:noFill/>
                    <a:ln>
                      <a:noFill/>
                    </a:ln>
                  </pic:spPr>
                </pic:pic>
              </a:graphicData>
            </a:graphic>
          </wp:inline>
        </w:drawing>
      </w:r>
    </w:p>
    <w:p w14:paraId="56976292" w14:textId="77777777" w:rsidR="001351A1" w:rsidRDefault="001351A1" w:rsidP="001351A1">
      <w:pPr>
        <w:pStyle w:val="Didascalia"/>
        <w:jc w:val="both"/>
        <w:rPr>
          <w:lang w:val="en-GB"/>
        </w:rPr>
      </w:pPr>
      <w:r>
        <w:t xml:space="preserve">Figure </w:t>
      </w:r>
      <w:r>
        <w:fldChar w:fldCharType="begin"/>
      </w:r>
      <w:r>
        <w:instrText xml:space="preserve"> SEQ Figure \* ARABIC </w:instrText>
      </w:r>
      <w:r>
        <w:fldChar w:fldCharType="separate"/>
      </w:r>
      <w:r>
        <w:rPr>
          <w:noProof/>
        </w:rPr>
        <w:t>2</w:t>
      </w:r>
      <w:r>
        <w:fldChar w:fldCharType="end"/>
      </w:r>
      <w:r w:rsidRPr="00243CFA">
        <w:t xml:space="preserve"> </w:t>
      </w:r>
      <w:r>
        <w:t>Process flowsheets of cylinder and fuel handling simulates in ASPEN Plus</w:t>
      </w:r>
    </w:p>
    <w:p w14:paraId="08AD5568" w14:textId="77777777" w:rsidR="001351A1" w:rsidRDefault="001351A1" w:rsidP="001351A1">
      <w:pPr>
        <w:pStyle w:val="Els-body-text"/>
        <w:keepNext/>
      </w:pPr>
      <w:r>
        <w:rPr>
          <w:noProof/>
          <w:lang w:val="en-GB"/>
        </w:rPr>
        <w:drawing>
          <wp:inline distT="0" distB="0" distL="0" distR="0" wp14:anchorId="460304F9" wp14:editId="7CE299A6">
            <wp:extent cx="4491990" cy="911225"/>
            <wp:effectExtent l="0" t="0" r="3810" b="3175"/>
            <wp:docPr id="233629594" name="Picture 4" descr="A graph with a line and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29594" name="Picture 4" descr="A graph with a line and a graph&#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1990" cy="911225"/>
                    </a:xfrm>
                    <a:prstGeom prst="rect">
                      <a:avLst/>
                    </a:prstGeom>
                    <a:noFill/>
                    <a:ln>
                      <a:noFill/>
                    </a:ln>
                  </pic:spPr>
                </pic:pic>
              </a:graphicData>
            </a:graphic>
          </wp:inline>
        </w:drawing>
      </w:r>
    </w:p>
    <w:p w14:paraId="7CB22C80" w14:textId="77777777" w:rsidR="001351A1" w:rsidRDefault="001351A1" w:rsidP="001351A1">
      <w:pPr>
        <w:pStyle w:val="Didascalia"/>
        <w:jc w:val="both"/>
        <w:rPr>
          <w:lang w:val="en-GB"/>
        </w:rPr>
      </w:pPr>
      <w:r>
        <w:t xml:space="preserve">Figure </w:t>
      </w:r>
      <w:r>
        <w:fldChar w:fldCharType="begin"/>
      </w:r>
      <w:r>
        <w:instrText xml:space="preserve"> SEQ Figure \* ARABIC </w:instrText>
      </w:r>
      <w:r>
        <w:fldChar w:fldCharType="separate"/>
      </w:r>
      <w:r>
        <w:rPr>
          <w:noProof/>
        </w:rPr>
        <w:t>3</w:t>
      </w:r>
      <w:r>
        <w:fldChar w:fldCharType="end"/>
      </w:r>
      <w:r>
        <w:t xml:space="preserve"> Composite curves of integrated ship’s demands.</w:t>
      </w:r>
    </w:p>
    <w:p w14:paraId="4272C2D8" w14:textId="0C32210D" w:rsidR="00D62B37" w:rsidRDefault="003D20A0" w:rsidP="00F669B2">
      <w:pPr>
        <w:pStyle w:val="Els-body-text"/>
        <w:spacing w:after="120"/>
        <w:rPr>
          <w:lang w:val="en-GB"/>
        </w:rPr>
      </w:pPr>
      <w:r w:rsidRPr="003D20A0">
        <w:rPr>
          <w:lang w:val="en-GB"/>
        </w:rPr>
        <w:t xml:space="preserve">emissions. CCS on board appears feasible reaching CO2 capture efficiencies </w:t>
      </w:r>
      <w:r w:rsidR="003E004F">
        <w:rPr>
          <w:lang w:val="en-GB"/>
        </w:rPr>
        <w:t xml:space="preserve">of </w:t>
      </w:r>
      <w:r w:rsidR="003E6906">
        <w:rPr>
          <w:lang w:val="en-GB"/>
        </w:rPr>
        <w:t>up to</w:t>
      </w:r>
      <w:r w:rsidRPr="003D20A0">
        <w:rPr>
          <w:lang w:val="en-GB"/>
        </w:rPr>
        <w:t xml:space="preserve"> 80%</w:t>
      </w:r>
      <w:r w:rsidR="001351A1">
        <w:rPr>
          <w:lang w:val="en-GB"/>
        </w:rPr>
        <w:t xml:space="preserve"> </w:t>
      </w:r>
      <w:r w:rsidR="003E6906">
        <w:rPr>
          <w:lang w:val="en-GB"/>
        </w:rPr>
        <w:t xml:space="preserve">using </w:t>
      </w:r>
      <w:r w:rsidRPr="003D20A0">
        <w:rPr>
          <w:lang w:val="en-GB"/>
        </w:rPr>
        <w:t>MEA-CCS</w:t>
      </w:r>
      <w:r w:rsidR="003E6906">
        <w:rPr>
          <w:lang w:val="en-GB"/>
        </w:rPr>
        <w:t xml:space="preserve"> and </w:t>
      </w:r>
      <w:r w:rsidRPr="003D20A0">
        <w:rPr>
          <w:lang w:val="en-GB"/>
        </w:rPr>
        <w:t>40-50% Cryo-</w:t>
      </w:r>
      <w:r w:rsidR="00862012" w:rsidRPr="003D20A0">
        <w:rPr>
          <w:lang w:val="en-GB"/>
        </w:rPr>
        <w:t>CSS</w:t>
      </w:r>
      <w:r w:rsidR="00862012">
        <w:rPr>
          <w:lang w:val="en-GB"/>
        </w:rPr>
        <w:t>,</w:t>
      </w:r>
      <w:r w:rsidR="003E6906">
        <w:rPr>
          <w:lang w:val="en-GB"/>
        </w:rPr>
        <w:t xml:space="preserve"> </w:t>
      </w:r>
      <w:r w:rsidRPr="003D20A0">
        <w:rPr>
          <w:lang w:val="en-GB"/>
        </w:rPr>
        <w:t xml:space="preserve">the latter </w:t>
      </w:r>
      <w:r w:rsidR="003E6906">
        <w:rPr>
          <w:lang w:val="en-GB"/>
        </w:rPr>
        <w:t xml:space="preserve">better </w:t>
      </w:r>
      <w:r w:rsidRPr="003D20A0">
        <w:rPr>
          <w:lang w:val="en-GB"/>
        </w:rPr>
        <w:t>fits</w:t>
      </w:r>
      <w:r w:rsidR="003E6906">
        <w:rPr>
          <w:lang w:val="en-GB"/>
        </w:rPr>
        <w:t xml:space="preserve"> with energy</w:t>
      </w:r>
      <w:r w:rsidRPr="003D20A0">
        <w:rPr>
          <w:lang w:val="en-GB"/>
        </w:rPr>
        <w:t xml:space="preserve"> profiles of LNG</w:t>
      </w:r>
      <w:r w:rsidR="003E6906">
        <w:rPr>
          <w:lang w:val="en-GB"/>
        </w:rPr>
        <w:t xml:space="preserve"> ships</w:t>
      </w:r>
      <w:r w:rsidRPr="003D20A0">
        <w:rPr>
          <w:lang w:val="en-GB"/>
        </w:rPr>
        <w:t xml:space="preserve">. </w:t>
      </w:r>
      <w:r w:rsidR="00862012">
        <w:rPr>
          <w:lang w:val="en-GB"/>
        </w:rPr>
        <w:t xml:space="preserve">Moreover, mixing of appropriate fuels, energy integration and cogeneration facilitated fuel savings by up to 10% </w:t>
      </w:r>
      <w:r w:rsidRPr="003D20A0">
        <w:rPr>
          <w:lang w:val="en-GB"/>
        </w:rPr>
        <w:t>compared with current practices in ROPAX.</w:t>
      </w:r>
    </w:p>
    <w:p w14:paraId="268CD6E4" w14:textId="5C61B26A" w:rsidR="000D1563" w:rsidRDefault="000D1563" w:rsidP="000D1563">
      <w:pPr>
        <w:pStyle w:val="Els-reference-head"/>
      </w:pPr>
      <w:r>
        <w:t>Acknowledgments</w:t>
      </w:r>
    </w:p>
    <w:p w14:paraId="2D4AC5D4" w14:textId="5964A4BF" w:rsidR="005C08B9" w:rsidRDefault="000B16EF" w:rsidP="005C08B9">
      <w:pPr>
        <w:pStyle w:val="Els-body-text"/>
        <w:spacing w:after="120"/>
        <w:rPr>
          <w:lang w:val="en-GB"/>
        </w:rPr>
      </w:pPr>
      <w:r w:rsidRPr="000B16EF">
        <w:rPr>
          <w:lang w:val="en-GB"/>
        </w:rPr>
        <w:t xml:space="preserve">The project is implemented within the framework of the National Recovery </w:t>
      </w:r>
      <w:r>
        <w:rPr>
          <w:lang w:val="el-GR"/>
        </w:rPr>
        <w:t>&amp;</w:t>
      </w:r>
      <w:r w:rsidRPr="000B16EF">
        <w:rPr>
          <w:lang w:val="en-GB"/>
        </w:rPr>
        <w:t xml:space="preserve"> Resilience Plan "Greece 2.0" and has been financed by the European Union (</w:t>
      </w:r>
      <w:proofErr w:type="spellStart"/>
      <w:r w:rsidRPr="000B16EF">
        <w:rPr>
          <w:lang w:val="en-GB"/>
        </w:rPr>
        <w:t>NextGeneration</w:t>
      </w:r>
      <w:proofErr w:type="spellEnd"/>
      <w:r w:rsidRPr="000B16EF">
        <w:rPr>
          <w:lang w:val="en-GB"/>
        </w:rPr>
        <w:t xml:space="preserve"> EU)</w:t>
      </w:r>
      <w:r w:rsidR="00D37C3C">
        <w:rPr>
          <w:lang w:val="en-GB"/>
        </w:rPr>
        <w:t>.</w:t>
      </w:r>
    </w:p>
    <w:p w14:paraId="144DE6BF" w14:textId="608D0AD6" w:rsidR="008D2649" w:rsidRDefault="008D2649" w:rsidP="008D2649">
      <w:pPr>
        <w:pStyle w:val="Els-reference-head"/>
      </w:pPr>
      <w:r>
        <w:t>References</w:t>
      </w:r>
    </w:p>
    <w:p w14:paraId="4503FBE2" w14:textId="53A52230" w:rsidR="004165D9" w:rsidRPr="004165D9" w:rsidRDefault="004165D9" w:rsidP="00F226BB">
      <w:pPr>
        <w:pStyle w:val="Els-referenceno-number"/>
        <w:jc w:val="both"/>
        <w:rPr>
          <w:lang w:val="en-US"/>
        </w:rPr>
      </w:pPr>
      <w:r w:rsidRPr="004165D9">
        <w:rPr>
          <w:lang w:val="en-US"/>
        </w:rPr>
        <w:t>Aronowitz, D., Santoro, R.J., Dryer, F.L., Glassman, I., 1979. Kinetics Of The Oxidation Of Methanol: Experimental Results Semi-Global Modeling And Mechanistic Concepts. Symposium</w:t>
      </w:r>
      <w:r w:rsidR="00C66DB4">
        <w:rPr>
          <w:lang w:val="en-US"/>
        </w:rPr>
        <w:t xml:space="preserve"> </w:t>
      </w:r>
      <w:r w:rsidRPr="004165D9">
        <w:rPr>
          <w:lang w:val="en-US"/>
        </w:rPr>
        <w:t>on Combustion, 17, 1, 633-644</w:t>
      </w:r>
    </w:p>
    <w:p w14:paraId="6C773062" w14:textId="77777777" w:rsidR="008C3F8A" w:rsidRPr="007975BF" w:rsidRDefault="008C3F8A" w:rsidP="008C3F8A">
      <w:pPr>
        <w:pStyle w:val="Els-referenceno-number"/>
        <w:jc w:val="both"/>
        <w:rPr>
          <w:lang w:val="it-IT"/>
        </w:rPr>
      </w:pPr>
      <w:r w:rsidRPr="00AA05B6">
        <w:rPr>
          <w:lang w:val="en-US"/>
        </w:rPr>
        <w:t xml:space="preserve">Faber, J., et al., 2020. Fourth IMO GHG Study 2020. </w:t>
      </w:r>
      <w:r w:rsidRPr="007975BF">
        <w:rPr>
          <w:lang w:val="it-IT"/>
        </w:rPr>
        <w:t>IMO, London SE1 7SR</w:t>
      </w:r>
    </w:p>
    <w:p w14:paraId="0E7D0968" w14:textId="77777777" w:rsidR="00C66DB4" w:rsidRDefault="00C66DB4" w:rsidP="00C66DB4">
      <w:pPr>
        <w:pStyle w:val="Els-referenceno-number"/>
        <w:jc w:val="both"/>
        <w:rPr>
          <w:lang w:val="en-US"/>
        </w:rPr>
      </w:pPr>
      <w:r w:rsidRPr="007975BF">
        <w:rPr>
          <w:lang w:val="it-IT"/>
        </w:rPr>
        <w:t xml:space="preserve">Frassoldati, A., Cuoci, A., Faravelli, T., Ranzi, E., Candusso, C., Tolazzi, D., Simplified kinetic schemes for oxy-fuel combustion. </w:t>
      </w:r>
      <w:r w:rsidRPr="004165D9">
        <w:rPr>
          <w:lang w:val="en-US"/>
        </w:rPr>
        <w:t>S4FE 2009</w:t>
      </w:r>
    </w:p>
    <w:p w14:paraId="5D5769F4" w14:textId="77777777" w:rsidR="008C3F8A" w:rsidRDefault="008C3F8A" w:rsidP="008C3F8A">
      <w:pPr>
        <w:pStyle w:val="Els-referenceno-number"/>
        <w:jc w:val="both"/>
        <w:rPr>
          <w:lang w:val="en-US"/>
        </w:rPr>
      </w:pPr>
      <w:r>
        <w:t xml:space="preserve">Gibbs, D., Rigot-Muller, P., Mangan, J., Lalwani, C., 2014. The role of sea ports in end-to-end maritime transport chain emissions. </w:t>
      </w:r>
      <w:r>
        <w:rPr>
          <w:i/>
          <w:iCs/>
        </w:rPr>
        <w:t>Energy Policy</w:t>
      </w:r>
      <w:r>
        <w:t>, 64, 337–348</w:t>
      </w:r>
    </w:p>
    <w:p w14:paraId="44E2D4E2" w14:textId="77777777" w:rsidR="004165D9" w:rsidRPr="004165D9" w:rsidRDefault="004165D9" w:rsidP="00F226BB">
      <w:pPr>
        <w:pStyle w:val="Els-referenceno-number"/>
        <w:jc w:val="both"/>
        <w:rPr>
          <w:lang w:val="en-US"/>
        </w:rPr>
      </w:pPr>
      <w:r w:rsidRPr="004165D9">
        <w:rPr>
          <w:lang w:val="en-US"/>
        </w:rPr>
        <w:t>Konnov, A.A., 2019. Yet another kinetic mechanism for hydrogen combustion. Combustion and Flame, 203, 14–22</w:t>
      </w:r>
    </w:p>
    <w:p w14:paraId="276F997F" w14:textId="77777777" w:rsidR="00C66DB4" w:rsidRDefault="00C66DB4" w:rsidP="00C66DB4">
      <w:pPr>
        <w:pStyle w:val="Els-referenceno-number"/>
        <w:jc w:val="both"/>
        <w:rPr>
          <w:lang w:val="en-US"/>
        </w:rPr>
      </w:pPr>
      <w:r w:rsidRPr="00F226BB">
        <w:rPr>
          <w:lang w:val="en-US"/>
        </w:rPr>
        <w:t>Pateromichelakis, A., Psycha, M., Pyrgakis, K., Maréchal, F., Kokossis, A., 2022. The use of GVL for holistic valorization of biomass. Computers &amp; Chemical Engineering, 164, 107849</w:t>
      </w:r>
    </w:p>
    <w:p w14:paraId="7F605F25" w14:textId="77777777" w:rsidR="00C66DB4" w:rsidRDefault="00C66DB4" w:rsidP="00C66DB4">
      <w:pPr>
        <w:pStyle w:val="Els-referenceno-number"/>
        <w:jc w:val="both"/>
        <w:rPr>
          <w:lang w:val="en-US"/>
        </w:rPr>
      </w:pPr>
      <w:r w:rsidRPr="00F226BB">
        <w:rPr>
          <w:lang w:val="en-US"/>
        </w:rPr>
        <w:t>Pyrgakis, K.A., de Vrije, T., Budde, M.A.W., Kyriakou, K., López-Contreras, A.M., Kokossis, A.C., 2016. A process integration approach for the production of biological iso-propanol,</w:t>
      </w:r>
      <w:r>
        <w:rPr>
          <w:lang w:val="en-US"/>
        </w:rPr>
        <w:t xml:space="preserve"> </w:t>
      </w:r>
      <w:r w:rsidRPr="00F226BB">
        <w:rPr>
          <w:lang w:val="en-US"/>
        </w:rPr>
        <w:t>butanol and ethanol using gas stripping and adsorption as recovery methods. B</w:t>
      </w:r>
      <w:r>
        <w:rPr>
          <w:lang w:val="en-US"/>
        </w:rPr>
        <w:t>EJ</w:t>
      </w:r>
      <w:r w:rsidRPr="00F226BB">
        <w:rPr>
          <w:lang w:val="en-US"/>
        </w:rPr>
        <w:t>, 116, 176-194.</w:t>
      </w:r>
    </w:p>
    <w:p w14:paraId="2F2F0F9E" w14:textId="77777777" w:rsidR="00C66DB4" w:rsidRDefault="00C66DB4" w:rsidP="00C66DB4">
      <w:pPr>
        <w:pStyle w:val="Els-referenceno-number"/>
        <w:jc w:val="both"/>
        <w:rPr>
          <w:lang w:val="en-US"/>
        </w:rPr>
      </w:pPr>
      <w:r w:rsidRPr="00F226BB">
        <w:rPr>
          <w:lang w:val="en-US"/>
        </w:rPr>
        <w:t>Pyrgakis, A., Kokossis, A.C., 2019. A Total Site Synthesis approach for the selection, integration and planning of multiple-feedstock biorefineries. C&amp;CE, 122, 326-355</w:t>
      </w:r>
    </w:p>
    <w:p w14:paraId="3B76FFEF" w14:textId="77777777" w:rsidR="00C66DB4" w:rsidRDefault="00C66DB4" w:rsidP="00C66DB4">
      <w:pPr>
        <w:pStyle w:val="Els-referenceno-number"/>
        <w:jc w:val="both"/>
        <w:rPr>
          <w:lang w:val="en-US"/>
        </w:rPr>
      </w:pPr>
      <w:r w:rsidRPr="00F226BB">
        <w:rPr>
          <w:lang w:val="en-US"/>
        </w:rPr>
        <w:t>Pyrgakis, K.A., Kokossis, A.C., 2020. Total Site Synthesis: Selection of Processes to Save Energy and Boost Cogeneration. Computer Aided Chemical Engineering, 48, 1345-1350</w:t>
      </w:r>
    </w:p>
    <w:p w14:paraId="6DDE91B4" w14:textId="0EA55864" w:rsidR="00C66DB4" w:rsidRDefault="007F1495">
      <w:pPr>
        <w:pStyle w:val="Els-referenceno-number"/>
        <w:jc w:val="both"/>
        <w:rPr>
          <w:lang w:val="en-US"/>
        </w:rPr>
      </w:pPr>
      <w:r w:rsidRPr="007F1495">
        <w:rPr>
          <w:lang w:val="en-US"/>
        </w:rPr>
        <w:t>Songolzadeh, M., Soleimani, M., Ravanchi, M.T., Songolzadeh, R., 2014. Carbon Dioxide Separation from Flue Gases: A Technological Review Emphasizing Reduction in Greenhouse Gas Emissions. 2014, ID 828131</w:t>
      </w:r>
    </w:p>
    <w:sectPr w:rsidR="00C66DB4" w:rsidSect="00A01268">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CD790" w14:textId="77777777" w:rsidR="003D35BE" w:rsidRDefault="003D35BE">
      <w:r>
        <w:separator/>
      </w:r>
    </w:p>
  </w:endnote>
  <w:endnote w:type="continuationSeparator" w:id="0">
    <w:p w14:paraId="5B2FFABD" w14:textId="77777777" w:rsidR="003D35BE" w:rsidRDefault="003D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5363A" w14:textId="77777777" w:rsidR="003D35BE" w:rsidRDefault="003D35BE">
      <w:r>
        <w:separator/>
      </w:r>
    </w:p>
  </w:footnote>
  <w:footnote w:type="continuationSeparator" w:id="0">
    <w:p w14:paraId="128E425D" w14:textId="77777777" w:rsidR="003D35BE" w:rsidRDefault="003D3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17EF9158" w:rsidR="00DD3D9E" w:rsidRDefault="00DD3D9E">
    <w:pPr>
      <w:pStyle w:val="Intestazione"/>
      <w:tabs>
        <w:tab w:val="clear" w:pos="7200"/>
        <w:tab w:val="right" w:pos="7088"/>
      </w:tabs>
    </w:pPr>
    <w:r>
      <w:rPr>
        <w:rStyle w:val="Numeropagina"/>
      </w:rPr>
      <w:tab/>
    </w:r>
    <w:r>
      <w:rPr>
        <w:rStyle w:val="Numeropagina"/>
        <w:i/>
      </w:rPr>
      <w:tab/>
    </w:r>
    <w:r w:rsidR="003703A5">
      <w:rPr>
        <w:i/>
      </w:rPr>
      <w:t>N. Roufogali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5AB03202" w:rsidR="00DD3D9E" w:rsidRDefault="003703A5" w:rsidP="003703A5">
    <w:pPr>
      <w:pStyle w:val="Intestazione"/>
      <w:tabs>
        <w:tab w:val="clear" w:pos="7200"/>
        <w:tab w:val="right" w:pos="7088"/>
      </w:tabs>
      <w:rPr>
        <w:sz w:val="24"/>
      </w:rPr>
    </w:pPr>
    <w:r>
      <w:rPr>
        <w:i/>
      </w:rPr>
      <w:t>Assesment of low-carbon alternative fuels in maritime integrated with on-board Carbon Capture and Storage</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0E36B3A"/>
    <w:multiLevelType w:val="hybridMultilevel"/>
    <w:tmpl w:val="BC9C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7"/>
  </w:num>
  <w:num w:numId="7">
    <w:abstractNumId w:val="13"/>
  </w:num>
  <w:num w:numId="8">
    <w:abstractNumId w:val="1"/>
  </w:num>
  <w:num w:numId="9">
    <w:abstractNumId w:val="11"/>
  </w:num>
  <w:num w:numId="10">
    <w:abstractNumId w:val="15"/>
  </w:num>
  <w:num w:numId="11">
    <w:abstractNumId w:val="14"/>
  </w:num>
  <w:num w:numId="12">
    <w:abstractNumId w:val="6"/>
  </w:num>
  <w:num w:numId="13">
    <w:abstractNumId w:val="9"/>
  </w:num>
  <w:num w:numId="14">
    <w:abstractNumId w:val="2"/>
  </w:num>
  <w:num w:numId="15">
    <w:abstractNumId w:val="8"/>
  </w:num>
  <w:num w:numId="16">
    <w:abstractNumId w:val="4"/>
  </w:num>
  <w:num w:numId="17">
    <w:abstractNumId w:val="5"/>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GxNDcwtDA2MzS0sDBT0lEKTi0uzszPAymwrAUATtsWgSwAAAA="/>
  </w:docVars>
  <w:rsids>
    <w:rsidRoot w:val="00B63237"/>
    <w:rsid w:val="0001110B"/>
    <w:rsid w:val="000232C3"/>
    <w:rsid w:val="00044168"/>
    <w:rsid w:val="000451C5"/>
    <w:rsid w:val="00045281"/>
    <w:rsid w:val="000464A6"/>
    <w:rsid w:val="00050AF2"/>
    <w:rsid w:val="000572FF"/>
    <w:rsid w:val="000719D3"/>
    <w:rsid w:val="00071BCD"/>
    <w:rsid w:val="00082846"/>
    <w:rsid w:val="0008437B"/>
    <w:rsid w:val="000871DA"/>
    <w:rsid w:val="000B16EF"/>
    <w:rsid w:val="000B3F73"/>
    <w:rsid w:val="000B578F"/>
    <w:rsid w:val="000B6D73"/>
    <w:rsid w:val="000D1563"/>
    <w:rsid w:val="000D1BD7"/>
    <w:rsid w:val="000D3C95"/>
    <w:rsid w:val="000D3D9B"/>
    <w:rsid w:val="000D7D17"/>
    <w:rsid w:val="000E389F"/>
    <w:rsid w:val="000F72E9"/>
    <w:rsid w:val="001069A3"/>
    <w:rsid w:val="00111A71"/>
    <w:rsid w:val="00127F83"/>
    <w:rsid w:val="00133AE4"/>
    <w:rsid w:val="001351A1"/>
    <w:rsid w:val="00135F6B"/>
    <w:rsid w:val="0016032F"/>
    <w:rsid w:val="00173A85"/>
    <w:rsid w:val="00176335"/>
    <w:rsid w:val="00182121"/>
    <w:rsid w:val="001879F6"/>
    <w:rsid w:val="001A302A"/>
    <w:rsid w:val="001B2A41"/>
    <w:rsid w:val="001B3D77"/>
    <w:rsid w:val="001B63AD"/>
    <w:rsid w:val="001C0148"/>
    <w:rsid w:val="001C757E"/>
    <w:rsid w:val="001D05BB"/>
    <w:rsid w:val="001E5824"/>
    <w:rsid w:val="001E65B8"/>
    <w:rsid w:val="0020390F"/>
    <w:rsid w:val="002061BF"/>
    <w:rsid w:val="00233F00"/>
    <w:rsid w:val="002357C6"/>
    <w:rsid w:val="00242F43"/>
    <w:rsid w:val="00243CFA"/>
    <w:rsid w:val="00264926"/>
    <w:rsid w:val="00281071"/>
    <w:rsid w:val="002A3C2F"/>
    <w:rsid w:val="002B3848"/>
    <w:rsid w:val="002B45D8"/>
    <w:rsid w:val="002B559A"/>
    <w:rsid w:val="002C0014"/>
    <w:rsid w:val="002C4D0C"/>
    <w:rsid w:val="002C5098"/>
    <w:rsid w:val="002C620E"/>
    <w:rsid w:val="002D33F1"/>
    <w:rsid w:val="002E7086"/>
    <w:rsid w:val="002F2120"/>
    <w:rsid w:val="002F2E06"/>
    <w:rsid w:val="002F582C"/>
    <w:rsid w:val="00304AB7"/>
    <w:rsid w:val="003142D3"/>
    <w:rsid w:val="00317C39"/>
    <w:rsid w:val="003261CC"/>
    <w:rsid w:val="003370C4"/>
    <w:rsid w:val="003372FA"/>
    <w:rsid w:val="00342ED5"/>
    <w:rsid w:val="00346430"/>
    <w:rsid w:val="003703A5"/>
    <w:rsid w:val="00370DA1"/>
    <w:rsid w:val="00376E27"/>
    <w:rsid w:val="00383189"/>
    <w:rsid w:val="003A0C99"/>
    <w:rsid w:val="003A123B"/>
    <w:rsid w:val="003B2146"/>
    <w:rsid w:val="003B6B03"/>
    <w:rsid w:val="003B7266"/>
    <w:rsid w:val="003C59E7"/>
    <w:rsid w:val="003C730E"/>
    <w:rsid w:val="003D1582"/>
    <w:rsid w:val="003D20A0"/>
    <w:rsid w:val="003D35BE"/>
    <w:rsid w:val="003D7E4C"/>
    <w:rsid w:val="003E004F"/>
    <w:rsid w:val="003E10FD"/>
    <w:rsid w:val="003E41C2"/>
    <w:rsid w:val="003E6906"/>
    <w:rsid w:val="004043A6"/>
    <w:rsid w:val="004044CC"/>
    <w:rsid w:val="00413CF7"/>
    <w:rsid w:val="004165D9"/>
    <w:rsid w:val="00417B35"/>
    <w:rsid w:val="004260E5"/>
    <w:rsid w:val="004272C4"/>
    <w:rsid w:val="004572B6"/>
    <w:rsid w:val="00466634"/>
    <w:rsid w:val="004713FF"/>
    <w:rsid w:val="004754F1"/>
    <w:rsid w:val="004843CF"/>
    <w:rsid w:val="004914DE"/>
    <w:rsid w:val="00492147"/>
    <w:rsid w:val="0049772C"/>
    <w:rsid w:val="004B1C9A"/>
    <w:rsid w:val="004B2A16"/>
    <w:rsid w:val="004D1560"/>
    <w:rsid w:val="004D59C9"/>
    <w:rsid w:val="004D7114"/>
    <w:rsid w:val="005035D4"/>
    <w:rsid w:val="00503C9A"/>
    <w:rsid w:val="00534EDF"/>
    <w:rsid w:val="005449F6"/>
    <w:rsid w:val="00552EEB"/>
    <w:rsid w:val="005623BC"/>
    <w:rsid w:val="00564F60"/>
    <w:rsid w:val="00565903"/>
    <w:rsid w:val="00584D18"/>
    <w:rsid w:val="005A4C6E"/>
    <w:rsid w:val="005B73DA"/>
    <w:rsid w:val="005B751E"/>
    <w:rsid w:val="005C08B9"/>
    <w:rsid w:val="005C1E19"/>
    <w:rsid w:val="005F3500"/>
    <w:rsid w:val="005F516E"/>
    <w:rsid w:val="00611FFB"/>
    <w:rsid w:val="00617F9C"/>
    <w:rsid w:val="006234AC"/>
    <w:rsid w:val="00624303"/>
    <w:rsid w:val="00632031"/>
    <w:rsid w:val="00653F39"/>
    <w:rsid w:val="00655D28"/>
    <w:rsid w:val="006658FC"/>
    <w:rsid w:val="00665914"/>
    <w:rsid w:val="006847E1"/>
    <w:rsid w:val="006A69BF"/>
    <w:rsid w:val="006B4183"/>
    <w:rsid w:val="006C636C"/>
    <w:rsid w:val="006D10B6"/>
    <w:rsid w:val="006D5E2F"/>
    <w:rsid w:val="006E00B3"/>
    <w:rsid w:val="006E1689"/>
    <w:rsid w:val="00711DF4"/>
    <w:rsid w:val="00723E51"/>
    <w:rsid w:val="00724136"/>
    <w:rsid w:val="00727AC2"/>
    <w:rsid w:val="00744102"/>
    <w:rsid w:val="00744D4B"/>
    <w:rsid w:val="00746294"/>
    <w:rsid w:val="007600D7"/>
    <w:rsid w:val="0077790B"/>
    <w:rsid w:val="00791B78"/>
    <w:rsid w:val="007975BF"/>
    <w:rsid w:val="007B35B7"/>
    <w:rsid w:val="007C08C6"/>
    <w:rsid w:val="007C68BC"/>
    <w:rsid w:val="007C7455"/>
    <w:rsid w:val="007D12A3"/>
    <w:rsid w:val="007D70A1"/>
    <w:rsid w:val="007F1495"/>
    <w:rsid w:val="007F3481"/>
    <w:rsid w:val="007F4DF0"/>
    <w:rsid w:val="00800895"/>
    <w:rsid w:val="008132E8"/>
    <w:rsid w:val="0081377F"/>
    <w:rsid w:val="008149BF"/>
    <w:rsid w:val="00815D49"/>
    <w:rsid w:val="00823407"/>
    <w:rsid w:val="00825017"/>
    <w:rsid w:val="008259E0"/>
    <w:rsid w:val="008267C1"/>
    <w:rsid w:val="00841939"/>
    <w:rsid w:val="00847C40"/>
    <w:rsid w:val="00862012"/>
    <w:rsid w:val="00864636"/>
    <w:rsid w:val="00895D58"/>
    <w:rsid w:val="008A69F3"/>
    <w:rsid w:val="008B0184"/>
    <w:rsid w:val="008B4458"/>
    <w:rsid w:val="008C3F8A"/>
    <w:rsid w:val="008C5D02"/>
    <w:rsid w:val="008D2649"/>
    <w:rsid w:val="008E012A"/>
    <w:rsid w:val="008E0D2C"/>
    <w:rsid w:val="008E7928"/>
    <w:rsid w:val="008F0972"/>
    <w:rsid w:val="00903BED"/>
    <w:rsid w:val="0090568D"/>
    <w:rsid w:val="00911AD7"/>
    <w:rsid w:val="009125C9"/>
    <w:rsid w:val="00913879"/>
    <w:rsid w:val="00916114"/>
    <w:rsid w:val="00917661"/>
    <w:rsid w:val="009267EB"/>
    <w:rsid w:val="00931C38"/>
    <w:rsid w:val="0093376C"/>
    <w:rsid w:val="00954AF4"/>
    <w:rsid w:val="0095504C"/>
    <w:rsid w:val="009701AD"/>
    <w:rsid w:val="00970C60"/>
    <w:rsid w:val="00970E5D"/>
    <w:rsid w:val="0097365B"/>
    <w:rsid w:val="0097701C"/>
    <w:rsid w:val="00977AF5"/>
    <w:rsid w:val="00980A65"/>
    <w:rsid w:val="009904AD"/>
    <w:rsid w:val="00992161"/>
    <w:rsid w:val="009A4AAE"/>
    <w:rsid w:val="009F2250"/>
    <w:rsid w:val="00A01268"/>
    <w:rsid w:val="00A05454"/>
    <w:rsid w:val="00A1216A"/>
    <w:rsid w:val="00A12D51"/>
    <w:rsid w:val="00A25E70"/>
    <w:rsid w:val="00A33765"/>
    <w:rsid w:val="00A33837"/>
    <w:rsid w:val="00A45296"/>
    <w:rsid w:val="00A4665D"/>
    <w:rsid w:val="00A54497"/>
    <w:rsid w:val="00A54D47"/>
    <w:rsid w:val="00A63269"/>
    <w:rsid w:val="00A66226"/>
    <w:rsid w:val="00A80D36"/>
    <w:rsid w:val="00A92377"/>
    <w:rsid w:val="00A97282"/>
    <w:rsid w:val="00AA05B6"/>
    <w:rsid w:val="00AA0754"/>
    <w:rsid w:val="00AB29ED"/>
    <w:rsid w:val="00AC369F"/>
    <w:rsid w:val="00AD6E75"/>
    <w:rsid w:val="00AE4BD8"/>
    <w:rsid w:val="00AF132A"/>
    <w:rsid w:val="00B01E94"/>
    <w:rsid w:val="00B22152"/>
    <w:rsid w:val="00B33054"/>
    <w:rsid w:val="00B42FBE"/>
    <w:rsid w:val="00B4388F"/>
    <w:rsid w:val="00B474B6"/>
    <w:rsid w:val="00B63237"/>
    <w:rsid w:val="00B65D03"/>
    <w:rsid w:val="00B7099A"/>
    <w:rsid w:val="00B80917"/>
    <w:rsid w:val="00B84EC7"/>
    <w:rsid w:val="00BA025C"/>
    <w:rsid w:val="00BA0FB4"/>
    <w:rsid w:val="00BA402B"/>
    <w:rsid w:val="00BA6216"/>
    <w:rsid w:val="00BB1399"/>
    <w:rsid w:val="00BC4859"/>
    <w:rsid w:val="00BE224C"/>
    <w:rsid w:val="00BF1F89"/>
    <w:rsid w:val="00C16548"/>
    <w:rsid w:val="00C30DAE"/>
    <w:rsid w:val="00C326FF"/>
    <w:rsid w:val="00C35473"/>
    <w:rsid w:val="00C37E60"/>
    <w:rsid w:val="00C43696"/>
    <w:rsid w:val="00C451A4"/>
    <w:rsid w:val="00C66DB4"/>
    <w:rsid w:val="00C67F7E"/>
    <w:rsid w:val="00C73EC0"/>
    <w:rsid w:val="00C74729"/>
    <w:rsid w:val="00C74A30"/>
    <w:rsid w:val="00C75822"/>
    <w:rsid w:val="00C9257F"/>
    <w:rsid w:val="00C92BA0"/>
    <w:rsid w:val="00C960DC"/>
    <w:rsid w:val="00CA6FCA"/>
    <w:rsid w:val="00CB4CA6"/>
    <w:rsid w:val="00CC21E9"/>
    <w:rsid w:val="00CC3CBC"/>
    <w:rsid w:val="00CF6E00"/>
    <w:rsid w:val="00CF7A98"/>
    <w:rsid w:val="00D02C75"/>
    <w:rsid w:val="00D06526"/>
    <w:rsid w:val="00D10E22"/>
    <w:rsid w:val="00D1383B"/>
    <w:rsid w:val="00D13D2C"/>
    <w:rsid w:val="00D26B95"/>
    <w:rsid w:val="00D34B53"/>
    <w:rsid w:val="00D37C3C"/>
    <w:rsid w:val="00D41E37"/>
    <w:rsid w:val="00D44A96"/>
    <w:rsid w:val="00D55AE8"/>
    <w:rsid w:val="00D62116"/>
    <w:rsid w:val="00D62B37"/>
    <w:rsid w:val="00DA41F3"/>
    <w:rsid w:val="00DC2F94"/>
    <w:rsid w:val="00DC5C0F"/>
    <w:rsid w:val="00DD34E5"/>
    <w:rsid w:val="00DD3D9E"/>
    <w:rsid w:val="00DD64DB"/>
    <w:rsid w:val="00DD6A34"/>
    <w:rsid w:val="00DD7908"/>
    <w:rsid w:val="00DE115A"/>
    <w:rsid w:val="00DE31DB"/>
    <w:rsid w:val="00DE3483"/>
    <w:rsid w:val="00E01CF1"/>
    <w:rsid w:val="00E021E3"/>
    <w:rsid w:val="00E23ED9"/>
    <w:rsid w:val="00E4613E"/>
    <w:rsid w:val="00E524E4"/>
    <w:rsid w:val="00E533EB"/>
    <w:rsid w:val="00E54D37"/>
    <w:rsid w:val="00E574CF"/>
    <w:rsid w:val="00E74CFF"/>
    <w:rsid w:val="00E80021"/>
    <w:rsid w:val="00E82297"/>
    <w:rsid w:val="00E869AE"/>
    <w:rsid w:val="00EA72DC"/>
    <w:rsid w:val="00EC05BF"/>
    <w:rsid w:val="00EC1802"/>
    <w:rsid w:val="00ED561F"/>
    <w:rsid w:val="00ED7A54"/>
    <w:rsid w:val="00EE047D"/>
    <w:rsid w:val="00EE3E1A"/>
    <w:rsid w:val="00EF1F32"/>
    <w:rsid w:val="00EF39FD"/>
    <w:rsid w:val="00EF7EB1"/>
    <w:rsid w:val="00F04D81"/>
    <w:rsid w:val="00F06842"/>
    <w:rsid w:val="00F107FD"/>
    <w:rsid w:val="00F10D86"/>
    <w:rsid w:val="00F226BB"/>
    <w:rsid w:val="00F33F1F"/>
    <w:rsid w:val="00F442DF"/>
    <w:rsid w:val="00F55EF6"/>
    <w:rsid w:val="00F56622"/>
    <w:rsid w:val="00F5782D"/>
    <w:rsid w:val="00F669B2"/>
    <w:rsid w:val="00F80F4A"/>
    <w:rsid w:val="00F8545E"/>
    <w:rsid w:val="00F9608F"/>
    <w:rsid w:val="00FA1070"/>
    <w:rsid w:val="00FB64A8"/>
    <w:rsid w:val="00FD1F69"/>
    <w:rsid w:val="00FE4219"/>
    <w:rsid w:val="00FF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rsid w:val="00C16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5C08B9"/>
    <w:rPr>
      <w:color w:val="605E5C"/>
      <w:shd w:val="clear" w:color="auto" w:fill="E1DFDD"/>
    </w:rPr>
  </w:style>
  <w:style w:type="paragraph" w:styleId="Revisione">
    <w:name w:val="Revision"/>
    <w:hidden/>
    <w:uiPriority w:val="99"/>
    <w:semiHidden/>
    <w:rsid w:val="00A5449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69894">
      <w:bodyDiv w:val="1"/>
      <w:marLeft w:val="0"/>
      <w:marRight w:val="0"/>
      <w:marTop w:val="0"/>
      <w:marBottom w:val="0"/>
      <w:divBdr>
        <w:top w:val="none" w:sz="0" w:space="0" w:color="auto"/>
        <w:left w:val="none" w:sz="0" w:space="0" w:color="auto"/>
        <w:bottom w:val="none" w:sz="0" w:space="0" w:color="auto"/>
        <w:right w:val="none" w:sz="0" w:space="0" w:color="auto"/>
      </w:divBdr>
    </w:div>
    <w:div w:id="214566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D6C1B-9DCB-4745-BFC7-ABA6EB76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2995</Words>
  <Characters>17076</Characters>
  <Application>Microsoft Office Word</Application>
  <DocSecurity>0</DocSecurity>
  <Lines>142</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2004-12-17T09:20:00Z</cp:lastPrinted>
  <dcterms:created xsi:type="dcterms:W3CDTF">2024-02-07T09:14:00Z</dcterms:created>
  <dcterms:modified xsi:type="dcterms:W3CDTF">2024-02-07T09:14:00Z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