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7F440CE" w:rsidR="00DD3D9E" w:rsidRPr="00B4388F" w:rsidRDefault="003E5397" w:rsidP="007A59AB">
      <w:pPr>
        <w:pStyle w:val="Els-Title"/>
        <w:jc w:val="both"/>
        <w:rPr>
          <w:color w:val="000000" w:themeColor="text1"/>
        </w:rPr>
      </w:pPr>
      <w:r w:rsidRPr="003E5397">
        <w:rPr>
          <w:color w:val="000000" w:themeColor="text1"/>
        </w:rPr>
        <w:t xml:space="preserve">Economic optimization of intensified processes to produce bioethanol from lignocellulosic </w:t>
      </w:r>
      <w:r w:rsidR="006B14AB" w:rsidRPr="003E5397">
        <w:rPr>
          <w:color w:val="000000" w:themeColor="text1"/>
        </w:rPr>
        <w:t>biomass.</w:t>
      </w:r>
    </w:p>
    <w:p w14:paraId="24AF4787" w14:textId="77777777" w:rsidR="003E5397" w:rsidRPr="00B63C13" w:rsidRDefault="003E5397" w:rsidP="003E5397">
      <w:pPr>
        <w:pStyle w:val="Els-Author"/>
        <w:rPr>
          <w:noProof w:val="0"/>
          <w:szCs w:val="22"/>
          <w:lang w:val="es-MX"/>
        </w:rPr>
      </w:pPr>
      <w:bookmarkStart w:id="0" w:name="_Hlk150442209"/>
      <w:r w:rsidRPr="00B63C13">
        <w:rPr>
          <w:noProof w:val="0"/>
          <w:szCs w:val="22"/>
          <w:lang w:val="es-MX"/>
        </w:rPr>
        <w:t>Yulissa M. Espinoza-Vázquez</w:t>
      </w:r>
      <w:r>
        <w:rPr>
          <w:noProof w:val="0"/>
          <w:szCs w:val="22"/>
          <w:lang w:val="es-MX"/>
        </w:rPr>
        <w:t>,</w:t>
      </w:r>
      <w:r w:rsidRPr="00B63C13">
        <w:rPr>
          <w:noProof w:val="0"/>
          <w:szCs w:val="22"/>
          <w:vertAlign w:val="superscript"/>
          <w:lang w:val="es-MX"/>
        </w:rPr>
        <w:t xml:space="preserve"> a </w:t>
      </w:r>
      <w:r w:rsidRPr="00B63C13">
        <w:rPr>
          <w:noProof w:val="0"/>
          <w:szCs w:val="22"/>
          <w:lang w:val="es-MX"/>
        </w:rPr>
        <w:t>Fernando Israel Gómez-Castro</w:t>
      </w:r>
      <w:r>
        <w:rPr>
          <w:noProof w:val="0"/>
          <w:szCs w:val="22"/>
          <w:lang w:val="es-MX"/>
        </w:rPr>
        <w:t>,</w:t>
      </w:r>
      <w:r w:rsidRPr="00B63C13">
        <w:rPr>
          <w:noProof w:val="0"/>
          <w:szCs w:val="22"/>
          <w:lang w:val="es-MX"/>
        </w:rPr>
        <w:t xml:space="preserve"> </w:t>
      </w:r>
      <w:r w:rsidRPr="00B63C13">
        <w:rPr>
          <w:noProof w:val="0"/>
          <w:szCs w:val="22"/>
          <w:vertAlign w:val="superscript"/>
          <w:lang w:val="es-MX"/>
        </w:rPr>
        <w:t>a*</w:t>
      </w:r>
      <w:r w:rsidRPr="00B63C13">
        <w:rPr>
          <w:noProof w:val="0"/>
          <w:szCs w:val="22"/>
          <w:lang w:val="es-MX"/>
        </w:rPr>
        <w:t xml:space="preserve"> Eduardo Sánchez-Ramírez</w:t>
      </w:r>
      <w:r>
        <w:rPr>
          <w:noProof w:val="0"/>
          <w:szCs w:val="22"/>
          <w:lang w:val="es-MX"/>
        </w:rPr>
        <w:t>,</w:t>
      </w:r>
      <w:r w:rsidRPr="00B63C13">
        <w:rPr>
          <w:noProof w:val="0"/>
          <w:szCs w:val="22"/>
          <w:vertAlign w:val="superscript"/>
          <w:lang w:val="es-MX"/>
        </w:rPr>
        <w:t xml:space="preserve"> a</w:t>
      </w:r>
      <w:r w:rsidRPr="00B63C13">
        <w:rPr>
          <w:noProof w:val="0"/>
          <w:szCs w:val="22"/>
          <w:lang w:val="es-MX"/>
        </w:rPr>
        <w:t xml:space="preserve"> Araceli Guadalupe Romero-Izquierdo</w:t>
      </w:r>
      <w:r>
        <w:rPr>
          <w:noProof w:val="0"/>
          <w:szCs w:val="22"/>
          <w:lang w:val="es-MX"/>
        </w:rPr>
        <w:t>,</w:t>
      </w:r>
      <w:r w:rsidRPr="00B63C13">
        <w:rPr>
          <w:noProof w:val="0"/>
          <w:szCs w:val="22"/>
          <w:vertAlign w:val="superscript"/>
          <w:lang w:val="es-MX"/>
        </w:rPr>
        <w:t xml:space="preserve"> b</w:t>
      </w:r>
    </w:p>
    <w:bookmarkEnd w:id="0"/>
    <w:p w14:paraId="7357BD1D" w14:textId="5F42D72C" w:rsidR="003E5397" w:rsidRPr="00B63C13" w:rsidRDefault="003E5397" w:rsidP="003E5397">
      <w:pPr>
        <w:pStyle w:val="Els-Affiliation"/>
        <w:rPr>
          <w:rStyle w:val="Hipervnculo"/>
          <w:noProof w:val="0"/>
          <w:sz w:val="18"/>
          <w:szCs w:val="18"/>
          <w:lang w:val="es-MX"/>
        </w:rPr>
      </w:pPr>
      <w:r w:rsidRPr="00B63C13">
        <w:rPr>
          <w:noProof w:val="0"/>
          <w:sz w:val="18"/>
          <w:szCs w:val="18"/>
          <w:vertAlign w:val="superscript"/>
          <w:lang w:val="es-MX"/>
        </w:rPr>
        <w:t xml:space="preserve">a </w:t>
      </w:r>
      <w:r w:rsidRPr="00B63C13">
        <w:rPr>
          <w:noProof w:val="0"/>
          <w:sz w:val="18"/>
          <w:szCs w:val="18"/>
          <w:lang w:val="es-MX"/>
        </w:rPr>
        <w:t xml:space="preserve">Departamento de Ingeniería Química, División de Ciencias Naturales y Exactas, Universidad de Guanajuato, Noria Alta S/N, Guanajuato, Guanajuato 36050, México. </w:t>
      </w:r>
      <w:hyperlink r:id="rId8" w:history="1">
        <w:r w:rsidRPr="00B63C13">
          <w:rPr>
            <w:rStyle w:val="Hipervnculo"/>
            <w:noProof w:val="0"/>
            <w:sz w:val="18"/>
            <w:szCs w:val="18"/>
            <w:lang w:val="es-MX"/>
          </w:rPr>
          <w:t>fgomez@ugto.mx</w:t>
        </w:r>
      </w:hyperlink>
    </w:p>
    <w:p w14:paraId="07FEEEC9" w14:textId="77777777" w:rsidR="003E5397" w:rsidRPr="00B63C13" w:rsidRDefault="003E5397" w:rsidP="003E5397">
      <w:pPr>
        <w:pStyle w:val="Els-Affiliation"/>
        <w:rPr>
          <w:noProof w:val="0"/>
          <w:sz w:val="18"/>
          <w:szCs w:val="18"/>
          <w:lang w:val="es-MX"/>
        </w:rPr>
      </w:pPr>
      <w:r w:rsidRPr="00B63C13">
        <w:rPr>
          <w:noProof w:val="0"/>
          <w:sz w:val="18"/>
          <w:szCs w:val="18"/>
          <w:vertAlign w:val="superscript"/>
          <w:lang w:val="es-MX"/>
        </w:rPr>
        <w:t xml:space="preserve">b </w:t>
      </w:r>
      <w:r w:rsidRPr="00B63C13">
        <w:rPr>
          <w:noProof w:val="0"/>
          <w:sz w:val="18"/>
          <w:szCs w:val="18"/>
          <w:lang w:val="es-MX"/>
        </w:rPr>
        <w:t xml:space="preserve">Facultad de Ingeniería, Universidad Autónoma de Querétaro, Campus </w:t>
      </w:r>
      <w:proofErr w:type="spellStart"/>
      <w:r w:rsidRPr="00B63C13">
        <w:rPr>
          <w:noProof w:val="0"/>
          <w:sz w:val="18"/>
          <w:szCs w:val="18"/>
          <w:lang w:val="es-MX"/>
        </w:rPr>
        <w:t>Amazcala</w:t>
      </w:r>
      <w:proofErr w:type="spellEnd"/>
      <w:r w:rsidRPr="00B63C13">
        <w:rPr>
          <w:noProof w:val="0"/>
          <w:sz w:val="18"/>
          <w:szCs w:val="18"/>
          <w:lang w:val="es-MX"/>
        </w:rPr>
        <w:t xml:space="preserve">, Carretera a Chichimequillas S/N km. 1, </w:t>
      </w:r>
      <w:proofErr w:type="spellStart"/>
      <w:r w:rsidRPr="00B63C13">
        <w:rPr>
          <w:noProof w:val="0"/>
          <w:sz w:val="18"/>
          <w:szCs w:val="18"/>
          <w:lang w:val="es-MX"/>
        </w:rPr>
        <w:t>Amazcala</w:t>
      </w:r>
      <w:proofErr w:type="spellEnd"/>
      <w:r w:rsidRPr="00B63C13">
        <w:rPr>
          <w:noProof w:val="0"/>
          <w:sz w:val="18"/>
          <w:szCs w:val="18"/>
          <w:lang w:val="es-MX"/>
        </w:rPr>
        <w:t>, El Marqués, Querétaro, Querétaro 76010, México.</w:t>
      </w:r>
    </w:p>
    <w:p w14:paraId="144DE684" w14:textId="77777777" w:rsidR="008D2649" w:rsidRDefault="008D2649" w:rsidP="008D2649">
      <w:pPr>
        <w:pStyle w:val="Els-Abstract"/>
      </w:pPr>
      <w:r>
        <w:t>Abstract</w:t>
      </w:r>
    </w:p>
    <w:p w14:paraId="7C8ACCE4" w14:textId="14EF9A16" w:rsidR="003E5397" w:rsidRPr="00D935CB" w:rsidRDefault="00E52B64" w:rsidP="008D2649">
      <w:pPr>
        <w:pStyle w:val="Els-body-text"/>
        <w:spacing w:after="120"/>
        <w:rPr>
          <w:lang w:val="en-GB"/>
        </w:rPr>
      </w:pPr>
      <w:r>
        <w:rPr>
          <w:lang w:val="en-GB"/>
        </w:rPr>
        <w:t>I</w:t>
      </w:r>
      <w:r w:rsidR="003E5397" w:rsidRPr="00D935CB">
        <w:rPr>
          <w:lang w:val="en-GB"/>
        </w:rPr>
        <w:t>n this work</w:t>
      </w:r>
      <w:r w:rsidR="00787362">
        <w:rPr>
          <w:lang w:val="en-GB"/>
        </w:rPr>
        <w:t>,</w:t>
      </w:r>
      <w:r w:rsidR="003E5397" w:rsidRPr="00D935CB">
        <w:rPr>
          <w:lang w:val="en-GB"/>
        </w:rPr>
        <w:t xml:space="preserve"> the optimization of a conventional and two intensified processes to produce bioethanol from sorghum residues is developed. The intensification of the production process is applied to the separation zone and includes the whole biomass transformation process in a biorefinery scheme. The process was simulated in</w:t>
      </w:r>
      <w:r w:rsidR="00383F0D">
        <w:rPr>
          <w:lang w:val="en-GB"/>
        </w:rPr>
        <w:t xml:space="preserve"> the</w:t>
      </w:r>
      <w:r w:rsidR="003E5397" w:rsidRPr="00D935CB">
        <w:rPr>
          <w:lang w:val="en-GB"/>
        </w:rPr>
        <w:t xml:space="preserve"> </w:t>
      </w:r>
      <w:r w:rsidR="00383F0D">
        <w:rPr>
          <w:lang w:val="en-GB"/>
        </w:rPr>
        <w:t xml:space="preserve">software </w:t>
      </w:r>
      <w:r w:rsidR="003E5397" w:rsidRPr="00D935CB">
        <w:rPr>
          <w:lang w:val="en-GB"/>
        </w:rPr>
        <w:t xml:space="preserve">Aspen Plus, </w:t>
      </w:r>
      <w:r w:rsidR="0075649B" w:rsidRPr="00D935CB">
        <w:rPr>
          <w:lang w:val="en-GB"/>
        </w:rPr>
        <w:t>using thermally coupled columns</w:t>
      </w:r>
      <w:r w:rsidR="003E5397" w:rsidRPr="00D935CB">
        <w:rPr>
          <w:lang w:val="en-GB"/>
        </w:rPr>
        <w:t xml:space="preserve">. Then, the optimization is carried out using the total annual cost (TAC) as the objective function, </w:t>
      </w:r>
      <w:r w:rsidR="00383F0D">
        <w:rPr>
          <w:lang w:val="en-GB"/>
        </w:rPr>
        <w:t>with</w:t>
      </w:r>
      <w:r w:rsidR="003E5397" w:rsidRPr="00D935CB">
        <w:rPr>
          <w:lang w:val="en-GB"/>
        </w:rPr>
        <w:t xml:space="preserve"> differential evolution with tabu list (DETL) as the optimization algorithm. DETL was coded in Python and linked with Aspen Plus using the PyWin32 library. The developed tool allows obtaining the optimal design for each process after iterating during approximately </w:t>
      </w:r>
      <w:r w:rsidR="0075649B" w:rsidRPr="00D935CB">
        <w:rPr>
          <w:lang w:val="en-GB"/>
        </w:rPr>
        <w:t>30</w:t>
      </w:r>
      <w:r w:rsidR="003E5397" w:rsidRPr="00D935CB">
        <w:rPr>
          <w:lang w:val="en-GB"/>
        </w:rPr>
        <w:t xml:space="preserve"> hours, with a population of 120 and </w:t>
      </w:r>
      <w:r w:rsidR="00830079" w:rsidRPr="00D935CB">
        <w:rPr>
          <w:lang w:val="en-GB"/>
        </w:rPr>
        <w:t>2</w:t>
      </w:r>
      <w:r w:rsidR="003E5397" w:rsidRPr="00D935CB">
        <w:rPr>
          <w:lang w:val="en-GB"/>
        </w:rPr>
        <w:t>00 generations as parameters of the optimization algorithm.</w:t>
      </w:r>
      <w:r w:rsidR="00030534">
        <w:rPr>
          <w:lang w:val="en-GB"/>
        </w:rPr>
        <w:t xml:space="preserve"> It has been found that the optimized conventional system has slightly lower total annual costs than the intensified systems, but the intensified schemes require less equipment.</w:t>
      </w:r>
    </w:p>
    <w:p w14:paraId="144DE687" w14:textId="4F358E6B" w:rsidR="008D2649" w:rsidRDefault="008D2649" w:rsidP="008D2649">
      <w:pPr>
        <w:pStyle w:val="Els-body-text"/>
        <w:spacing w:after="120"/>
        <w:rPr>
          <w:lang w:val="en-GB"/>
        </w:rPr>
      </w:pPr>
      <w:r>
        <w:rPr>
          <w:b/>
          <w:bCs/>
          <w:lang w:val="en-GB"/>
        </w:rPr>
        <w:t>Keywords</w:t>
      </w:r>
      <w:r>
        <w:rPr>
          <w:lang w:val="en-GB"/>
        </w:rPr>
        <w:t xml:space="preserve">: </w:t>
      </w:r>
      <w:r w:rsidR="003E5397">
        <w:t>bioethanol, optimization, differential evolution, process intensification.</w:t>
      </w:r>
    </w:p>
    <w:p w14:paraId="144DE689" w14:textId="123975C6" w:rsidR="008D2649" w:rsidRDefault="003E5397" w:rsidP="008D2649">
      <w:pPr>
        <w:pStyle w:val="Els-1storder-head"/>
      </w:pPr>
      <w:r>
        <w:t>Introduction</w:t>
      </w:r>
    </w:p>
    <w:p w14:paraId="5B3BE8C4" w14:textId="11CD04FC" w:rsidR="0025524D" w:rsidRDefault="004C7DC9" w:rsidP="008D2649">
      <w:pPr>
        <w:pStyle w:val="Els-body-text"/>
      </w:pPr>
      <w:r w:rsidRPr="004C7DC9">
        <w:t>In 2021, the use of fossil fuels represented 77% of the world energy system, the same percentage as 30 years ago</w:t>
      </w:r>
      <w:r w:rsidR="000478FC">
        <w:t xml:space="preserve"> (Ritchie et al., 2022)</w:t>
      </w:r>
      <w:r w:rsidRPr="004C7DC9">
        <w:t>.</w:t>
      </w:r>
      <w:r>
        <w:t xml:space="preserve"> </w:t>
      </w:r>
      <w:r w:rsidRPr="004C7DC9">
        <w:t>These resources are non-renewable, and their deposits are depleted daily, generating greenhouse gas</w:t>
      </w:r>
      <w:r w:rsidR="005D7099">
        <w:t>es’</w:t>
      </w:r>
      <w:r w:rsidRPr="004C7DC9">
        <w:t xml:space="preserve"> emissions.</w:t>
      </w:r>
      <w:r>
        <w:t xml:space="preserve"> </w:t>
      </w:r>
      <w:r w:rsidR="005D7099">
        <w:t xml:space="preserve">To address </w:t>
      </w:r>
      <w:r w:rsidRPr="004C7DC9">
        <w:t xml:space="preserve">this situation, the concept of biofuels </w:t>
      </w:r>
      <w:r>
        <w:t>stands up</w:t>
      </w:r>
      <w:r w:rsidRPr="004C7DC9">
        <w:t>, which are renewable fuels generated by processing biomass</w:t>
      </w:r>
      <w:r w:rsidR="00DA78C0">
        <w:t>,</w:t>
      </w:r>
      <w:r w:rsidRPr="004C7DC9">
        <w:t xml:space="preserve"> reduc</w:t>
      </w:r>
      <w:r>
        <w:t>ing</w:t>
      </w:r>
      <w:r w:rsidRPr="004C7DC9">
        <w:t xml:space="preserve"> CO</w:t>
      </w:r>
      <w:r w:rsidRPr="004C7DC9">
        <w:rPr>
          <w:vertAlign w:val="subscript"/>
        </w:rPr>
        <w:t>2</w:t>
      </w:r>
      <w:r w:rsidRPr="004C7DC9">
        <w:t xml:space="preserve"> emissions in the transportation sector</w:t>
      </w:r>
      <w:r>
        <w:t xml:space="preserve"> (Alam and Tanveer, 2020)</w:t>
      </w:r>
      <w:r w:rsidR="00DA78C0">
        <w:t>.</w:t>
      </w:r>
      <w:r w:rsidRPr="004C7DC9">
        <w:t xml:space="preserve"> </w:t>
      </w:r>
      <w:r w:rsidR="00DA78C0">
        <w:t>They can</w:t>
      </w:r>
      <w:r w:rsidRPr="004C7DC9">
        <w:t xml:space="preserve"> be used in blends with </w:t>
      </w:r>
      <w:r w:rsidR="00037C9A">
        <w:t>conventional fuels</w:t>
      </w:r>
      <w:r w:rsidRPr="004C7DC9">
        <w:t>.</w:t>
      </w:r>
      <w:r w:rsidR="000478FC">
        <w:t xml:space="preserve"> </w:t>
      </w:r>
      <w:r w:rsidR="00136606">
        <w:rPr>
          <w:lang w:val="en-GB"/>
        </w:rPr>
        <w:t>Bioethanol is a fuel that can be obtained from biomass;</w:t>
      </w:r>
      <w:r w:rsidR="00037C9A" w:rsidRPr="00D935CB">
        <w:rPr>
          <w:lang w:val="en-GB"/>
        </w:rPr>
        <w:t xml:space="preserve"> </w:t>
      </w:r>
      <w:r w:rsidR="00136606">
        <w:rPr>
          <w:lang w:val="en-GB"/>
        </w:rPr>
        <w:t>it</w:t>
      </w:r>
      <w:r w:rsidR="00037C9A" w:rsidRPr="00D935CB">
        <w:rPr>
          <w:lang w:val="en-GB"/>
        </w:rPr>
        <w:t xml:space="preserve"> can be </w:t>
      </w:r>
      <w:r w:rsidR="00D14B2D">
        <w:rPr>
          <w:lang w:val="en-GB"/>
        </w:rPr>
        <w:t>mixed with gasoline</w:t>
      </w:r>
      <w:r w:rsidR="00037C9A" w:rsidRPr="00D935CB">
        <w:rPr>
          <w:lang w:val="en-GB"/>
        </w:rPr>
        <w:t xml:space="preserve"> </w:t>
      </w:r>
      <w:r w:rsidR="00136606">
        <w:rPr>
          <w:lang w:val="en-GB"/>
        </w:rPr>
        <w:t>in proportions</w:t>
      </w:r>
      <w:r w:rsidR="00037C9A" w:rsidRPr="00D935CB">
        <w:rPr>
          <w:lang w:val="en-GB"/>
        </w:rPr>
        <w:t xml:space="preserve"> </w:t>
      </w:r>
      <w:r w:rsidR="00136606">
        <w:rPr>
          <w:lang w:val="en-GB"/>
        </w:rPr>
        <w:t>up to</w:t>
      </w:r>
      <w:r w:rsidR="00037C9A" w:rsidRPr="00D935CB">
        <w:rPr>
          <w:lang w:val="en-GB"/>
        </w:rPr>
        <w:t xml:space="preserve"> 10 vol%</w:t>
      </w:r>
      <w:r w:rsidR="00D14B2D">
        <w:rPr>
          <w:lang w:val="en-GB"/>
        </w:rPr>
        <w:t xml:space="preserve"> to run internal combustion engines</w:t>
      </w:r>
      <w:r w:rsidR="00037C9A" w:rsidRPr="00D935CB">
        <w:rPr>
          <w:lang w:val="en-GB"/>
        </w:rPr>
        <w:t xml:space="preserve">. </w:t>
      </w:r>
      <w:r w:rsidR="000478FC" w:rsidRPr="000478FC">
        <w:t>It is important to mention that lignocellulosic residues are usually burned after the grain has been harvested</w:t>
      </w:r>
      <w:r w:rsidR="000478FC">
        <w:t xml:space="preserve"> (Law Corner, 2021)</w:t>
      </w:r>
      <w:r w:rsidR="000478FC" w:rsidRPr="000478FC">
        <w:t>, therefore it is important to consider routes of use and valorization for these residues.</w:t>
      </w:r>
      <w:r w:rsidR="000478FC">
        <w:t xml:space="preserve"> </w:t>
      </w:r>
      <w:r w:rsidR="000478FC" w:rsidRPr="000478FC">
        <w:t>The production of bio</w:t>
      </w:r>
      <w:r w:rsidR="00D14B2D">
        <w:t>ethanol</w:t>
      </w:r>
      <w:r w:rsidR="000478FC" w:rsidRPr="000478FC">
        <w:t xml:space="preserve"> from biomass requires </w:t>
      </w:r>
      <w:r w:rsidR="00FD6C96" w:rsidRPr="000478FC">
        <w:t>pretreatment</w:t>
      </w:r>
      <w:r w:rsidR="000478FC" w:rsidRPr="000478FC">
        <w:t>, hydrolysis, and fermentation proces</w:t>
      </w:r>
      <w:r w:rsidR="00397450">
        <w:t>ses</w:t>
      </w:r>
      <w:r w:rsidR="000478FC" w:rsidRPr="000478FC">
        <w:t>. Of the possible routes, Conde-Mejía et al. (2012) have shown that acid hydrolysis with H</w:t>
      </w:r>
      <w:r w:rsidR="000478FC" w:rsidRPr="0025524D">
        <w:rPr>
          <w:vertAlign w:val="subscript"/>
        </w:rPr>
        <w:t>2</w:t>
      </w:r>
      <w:r w:rsidR="000478FC" w:rsidRPr="000478FC">
        <w:t>SO</w:t>
      </w:r>
      <w:r w:rsidR="000478FC" w:rsidRPr="0025524D">
        <w:rPr>
          <w:vertAlign w:val="subscript"/>
        </w:rPr>
        <w:t>4</w:t>
      </w:r>
      <w:r w:rsidR="000478FC" w:rsidRPr="000478FC">
        <w:t xml:space="preserve"> followed by separate hydrolysis and fermentation achieve higher yields and lower costs.</w:t>
      </w:r>
    </w:p>
    <w:p w14:paraId="144DE68B" w14:textId="24DC14E3" w:rsidR="008D2649" w:rsidRPr="003B6245" w:rsidRDefault="00FD6C96" w:rsidP="008D2649">
      <w:pPr>
        <w:pStyle w:val="Els-body-text"/>
        <w:rPr>
          <w:color w:val="FF0000"/>
        </w:rPr>
      </w:pPr>
      <w:r w:rsidRPr="00FD6C96">
        <w:t>The production of biofuels from biomass is not fully profitable</w:t>
      </w:r>
      <w:r w:rsidR="00397450">
        <w:t xml:space="preserve">. </w:t>
      </w:r>
      <w:r w:rsidR="00397450">
        <w:rPr>
          <w:lang w:val="en-GB"/>
        </w:rPr>
        <w:t>Particularly,</w:t>
      </w:r>
      <w:r w:rsidR="00397450" w:rsidRPr="00D935CB">
        <w:rPr>
          <w:lang w:val="en-GB"/>
        </w:rPr>
        <w:t xml:space="preserve"> bioethanol production costs are too high compared to the current prices of fossil fuels (Reboredo et al., 2017). </w:t>
      </w:r>
      <w:r w:rsidRPr="00FD6C96">
        <w:t xml:space="preserve"> </w:t>
      </w:r>
      <w:r w:rsidR="00E52B64">
        <w:t>I</w:t>
      </w:r>
      <w:r w:rsidRPr="00FD6C96">
        <w:t>n this context</w:t>
      </w:r>
      <w:r w:rsidR="00E52B64">
        <w:t>,</w:t>
      </w:r>
      <w:r w:rsidRPr="00FD6C96">
        <w:t xml:space="preserve"> process intensification</w:t>
      </w:r>
      <w:r>
        <w:t xml:space="preserve"> (PI)</w:t>
      </w:r>
      <w:r w:rsidRPr="00FD6C96">
        <w:t xml:space="preserve"> plays a key role as it could help to have more compact, energy efficient, </w:t>
      </w:r>
      <w:r w:rsidR="00B54152" w:rsidRPr="00FD6C96">
        <w:t>safer,</w:t>
      </w:r>
      <w:r w:rsidRPr="00FD6C96">
        <w:t xml:space="preserve"> and environmentally friendly processes</w:t>
      </w:r>
      <w:r w:rsidR="00B54152">
        <w:t>. With respect to the intensification of the conversion process</w:t>
      </w:r>
      <w:r w:rsidR="00B54152" w:rsidRPr="00B54152">
        <w:t>,</w:t>
      </w:r>
      <w:r w:rsidR="00B54152">
        <w:t xml:space="preserve"> several proposals have been </w:t>
      </w:r>
      <w:r w:rsidR="00B54152">
        <w:lastRenderedPageBreak/>
        <w:t>presented</w:t>
      </w:r>
      <w:r w:rsidR="00FB01FE">
        <w:t xml:space="preserve"> (Hernández, 2022).</w:t>
      </w:r>
      <w:r w:rsidR="00B54152">
        <w:t xml:space="preserve"> </w:t>
      </w:r>
      <w:r w:rsidR="00FB01FE">
        <w:t>In this work,</w:t>
      </w:r>
      <w:r w:rsidR="00B54152">
        <w:t xml:space="preserve"> we will focus on the purification zone. </w:t>
      </w:r>
      <w:r w:rsidR="00B54152" w:rsidRPr="00B54152">
        <w:t xml:space="preserve">Regarding bioethanol purification, </w:t>
      </w:r>
      <w:r w:rsidR="007825DF">
        <w:t xml:space="preserve">various intensification proposals have been reported. </w:t>
      </w:r>
      <w:r w:rsidR="00B54152" w:rsidRPr="00B54152">
        <w:t xml:space="preserve">Torres-Ortega and Rong (2016) </w:t>
      </w:r>
      <w:r w:rsidR="00A10D38">
        <w:t xml:space="preserve">studied the separation of a </w:t>
      </w:r>
      <w:r w:rsidR="00B54152" w:rsidRPr="00B54152">
        <w:t>fermentation</w:t>
      </w:r>
      <w:r w:rsidR="00A10D38">
        <w:t xml:space="preserve"> broth</w:t>
      </w:r>
      <w:r w:rsidR="00B54152" w:rsidRPr="00B54152">
        <w:t xml:space="preserve"> </w:t>
      </w:r>
      <w:r w:rsidR="00A10D38">
        <w:t>with</w:t>
      </w:r>
      <w:r w:rsidR="00B54152" w:rsidRPr="00B54152">
        <w:t xml:space="preserve"> a dividing wall</w:t>
      </w:r>
      <w:r w:rsidR="00A10D38">
        <w:t xml:space="preserve"> system,</w:t>
      </w:r>
      <w:r w:rsidR="00B54152" w:rsidRPr="00B54152">
        <w:t xml:space="preserve"> generat</w:t>
      </w:r>
      <w:r w:rsidR="00A10D38">
        <w:t>ing</w:t>
      </w:r>
      <w:r w:rsidR="00B54152" w:rsidRPr="00B54152">
        <w:t xml:space="preserve"> a 21.42% reduction in total annual cost compared to the conventional separation train. </w:t>
      </w:r>
      <w:r w:rsidR="00B00612" w:rsidRPr="00B00612">
        <w:t>On the other hand, Espinoza-Vázquez et al. (202</w:t>
      </w:r>
      <w:r w:rsidR="00E223EA">
        <w:t>3</w:t>
      </w:r>
      <w:r w:rsidR="00B00612" w:rsidRPr="00B00612">
        <w:t>) propose</w:t>
      </w:r>
      <w:r w:rsidR="00B00612">
        <w:t>d</w:t>
      </w:r>
      <w:r w:rsidR="00B00612" w:rsidRPr="00B00612">
        <w:t xml:space="preserve"> intensified schemes for bioethanol purification</w:t>
      </w:r>
      <w:r w:rsidR="00D11000">
        <w:t>, including</w:t>
      </w:r>
      <w:r w:rsidR="00B00612" w:rsidRPr="00B00612">
        <w:t xml:space="preserve"> thermally coupled columns and column bonding</w:t>
      </w:r>
      <w:r w:rsidR="00D11000">
        <w:t>,</w:t>
      </w:r>
      <w:r w:rsidR="00B00612" w:rsidRPr="00B00612">
        <w:t xml:space="preserve"> performing an analysis of </w:t>
      </w:r>
      <w:r w:rsidR="00B00612">
        <w:t>heat duty</w:t>
      </w:r>
      <w:r w:rsidR="00B00612" w:rsidRPr="00B00612">
        <w:t xml:space="preserve"> and key product recoveries, </w:t>
      </w:r>
      <w:r w:rsidR="00B00612">
        <w:t>concluding</w:t>
      </w:r>
      <w:r w:rsidR="00B00612" w:rsidRPr="00B00612">
        <w:t xml:space="preserve"> that using a thermally coupled column could </w:t>
      </w:r>
      <w:r w:rsidR="00D11000">
        <w:t xml:space="preserve">enhance </w:t>
      </w:r>
      <w:r w:rsidR="00B00612" w:rsidRPr="00B00612">
        <w:t>the process. However, this comparison is made on</w:t>
      </w:r>
      <w:r w:rsidR="00D11000">
        <w:t xml:space="preserve"> non-optimized</w:t>
      </w:r>
      <w:r w:rsidR="00B00612" w:rsidRPr="00B00612">
        <w:t xml:space="preserve"> schemes</w:t>
      </w:r>
      <w:r w:rsidR="00D11000">
        <w:t>, with no</w:t>
      </w:r>
      <w:r w:rsidR="00B00612" w:rsidRPr="00B00612">
        <w:t xml:space="preserve"> </w:t>
      </w:r>
      <w:r w:rsidR="00D11000">
        <w:t>evaluation of</w:t>
      </w:r>
      <w:r w:rsidR="00B00612" w:rsidRPr="00B00612">
        <w:t xml:space="preserve"> economic indices. </w:t>
      </w:r>
      <w:r w:rsidR="00B54152">
        <w:t>Therefore</w:t>
      </w:r>
      <w:r w:rsidR="00B54152" w:rsidRPr="00B54152">
        <w:t xml:space="preserve">, in </w:t>
      </w:r>
      <w:r w:rsidR="00B54152">
        <w:t>this</w:t>
      </w:r>
      <w:r w:rsidR="00B54152" w:rsidRPr="00B54152">
        <w:t xml:space="preserve"> work</w:t>
      </w:r>
      <w:r w:rsidR="000B44DF">
        <w:t xml:space="preserve"> the</w:t>
      </w:r>
      <w:r w:rsidR="00B00612">
        <w:t xml:space="preserve"> </w:t>
      </w:r>
      <w:r w:rsidR="00B00612" w:rsidRPr="00B00612">
        <w:t xml:space="preserve">rigorous optimization of intensified bioethanol purification schemes is proposed, </w:t>
      </w:r>
      <w:r w:rsidR="000B44DF">
        <w:t xml:space="preserve">including the design of the </w:t>
      </w:r>
      <w:r w:rsidR="00B00612" w:rsidRPr="00B00612">
        <w:t>biomass conversion</w:t>
      </w:r>
      <w:r w:rsidR="00B00612">
        <w:t xml:space="preserve"> </w:t>
      </w:r>
      <w:r w:rsidR="000B44DF">
        <w:t>step</w:t>
      </w:r>
      <w:r w:rsidR="00B00612" w:rsidRPr="00B00612">
        <w:t>.</w:t>
      </w:r>
      <w:r w:rsidR="00B00612">
        <w:t xml:space="preserve"> The proposed schemes in this work </w:t>
      </w:r>
      <w:r w:rsidR="000B44DF">
        <w:t>a</w:t>
      </w:r>
      <w:r w:rsidR="00B00612">
        <w:t xml:space="preserve">re optimized through the hybrid stochastic algorithm </w:t>
      </w:r>
      <w:r w:rsidR="0075649B">
        <w:t xml:space="preserve">differential evolution with tabu list (DETL), taking as objective function the total annual cost (TAC). </w:t>
      </w:r>
    </w:p>
    <w:p w14:paraId="144DE699" w14:textId="4C344BB9" w:rsidR="008D2649" w:rsidRDefault="006B14AB" w:rsidP="008D2649">
      <w:pPr>
        <w:pStyle w:val="Els-1storder-head"/>
      </w:pPr>
      <w:r>
        <w:t xml:space="preserve">Case </w:t>
      </w:r>
      <w:r w:rsidR="00573A11">
        <w:t>s</w:t>
      </w:r>
      <w:r>
        <w:t>tudy</w:t>
      </w:r>
    </w:p>
    <w:p w14:paraId="2D52E817" w14:textId="0E2D6D40" w:rsidR="008E3490" w:rsidRDefault="00FA396C" w:rsidP="006B14AB">
      <w:pPr>
        <w:pStyle w:val="Els-body-text"/>
      </w:pPr>
      <w:r>
        <w:t xml:space="preserve">The case study is based on the work of Espinoza-Vázquez et al. (2023), </w:t>
      </w:r>
      <w:r w:rsidR="00D578A9">
        <w:t xml:space="preserve">where </w:t>
      </w:r>
      <w:r>
        <w:t xml:space="preserve">a feed stream of 87, 539 kg/h of sorghum residues </w:t>
      </w:r>
      <w:r w:rsidR="00573A11">
        <w:t>has been</w:t>
      </w:r>
      <w:r>
        <w:t xml:space="preserve"> considered. The mass composition for the feed stream </w:t>
      </w:r>
      <w:r w:rsidR="00573A11">
        <w:t>is</w:t>
      </w:r>
      <w:r>
        <w:t xml:space="preserve"> 27.56% cellulose, 15.37 % hemicellulose, 14.11 % lignin and 42.93 </w:t>
      </w:r>
      <w:r w:rsidR="00BB2F2C">
        <w:t>%</w:t>
      </w:r>
      <w:r>
        <w:t xml:space="preserve"> carbohydrates (Conde-Mejía et al., 2013). The reactions and conditions for the pretreatment process, hydrolysis and fermentation process </w:t>
      </w:r>
      <w:r w:rsidR="00573A11">
        <w:t>have been</w:t>
      </w:r>
      <w:r>
        <w:t xml:space="preserve"> defined according to Espinoza</w:t>
      </w:r>
      <w:r w:rsidR="00C37027">
        <w:t>-</w:t>
      </w:r>
      <w:r>
        <w:t xml:space="preserve">Vázquez et al. (2023). All the proposed configurations have been simulated using Aspen Plus. </w:t>
      </w:r>
      <w:r w:rsidR="00C77392">
        <w:t xml:space="preserve">The </w:t>
      </w:r>
      <w:r>
        <w:t>NRTL</w:t>
      </w:r>
      <w:r w:rsidR="00D578A9">
        <w:t xml:space="preserve"> equation</w:t>
      </w:r>
      <w:r>
        <w:t xml:space="preserve"> </w:t>
      </w:r>
      <w:r w:rsidR="00D578A9">
        <w:t>has been</w:t>
      </w:r>
      <w:r>
        <w:t xml:space="preserve"> </w:t>
      </w:r>
      <w:r w:rsidR="00C77392">
        <w:t>selected</w:t>
      </w:r>
      <w:r>
        <w:t xml:space="preserve"> as </w:t>
      </w:r>
      <w:r w:rsidR="00C77392">
        <w:t xml:space="preserve">the </w:t>
      </w:r>
      <w:r>
        <w:t>thermodynamic model</w:t>
      </w:r>
      <w:r w:rsidR="00C77392">
        <w:t xml:space="preserve"> </w:t>
      </w:r>
      <w:r w:rsidR="00D578A9">
        <w:t>to represent the phase equilibrium</w:t>
      </w:r>
      <w:r w:rsidR="00C77392">
        <w:t xml:space="preserve">. </w:t>
      </w:r>
      <w:r w:rsidR="007338F4">
        <w:t>I</w:t>
      </w:r>
      <w:r w:rsidR="00C37027" w:rsidRPr="00C37027">
        <w:t xml:space="preserve">n Figure </w:t>
      </w:r>
      <w:r w:rsidR="00265400">
        <w:t>1</w:t>
      </w:r>
      <w:r w:rsidR="00C37027" w:rsidRPr="00C37027">
        <w:t>, the equipment that can be optimized</w:t>
      </w:r>
      <w:r w:rsidR="007338F4">
        <w:t xml:space="preserve"> is marked in blue</w:t>
      </w:r>
      <w:r w:rsidR="00C37027" w:rsidRPr="00C37027">
        <w:t>,</w:t>
      </w:r>
      <w:r w:rsidR="007338F4">
        <w:t xml:space="preserve"> corresponding</w:t>
      </w:r>
      <w:r w:rsidR="00C37027" w:rsidRPr="00C37027">
        <w:t xml:space="preserve"> either</w:t>
      </w:r>
      <w:r w:rsidR="007338F4">
        <w:t xml:space="preserve"> to</w:t>
      </w:r>
      <w:r w:rsidR="00C37027" w:rsidRPr="00C37027">
        <w:t xml:space="preserve"> the heat exchangers or the separation columns; </w:t>
      </w:r>
      <w:r w:rsidR="00EE48F2">
        <w:t>such units</w:t>
      </w:r>
      <w:r w:rsidR="00C37027" w:rsidRPr="00C37027">
        <w:t xml:space="preserve"> have degrees of freedom.</w:t>
      </w:r>
      <w:r w:rsidR="00C37027">
        <w:t xml:space="preserve"> </w:t>
      </w:r>
      <w:r w:rsidR="00FF1ED1">
        <w:t xml:space="preserve">This study </w:t>
      </w:r>
      <w:r w:rsidR="003F66ED">
        <w:t>analyzes</w:t>
      </w:r>
      <w:r w:rsidR="007102E4">
        <w:t xml:space="preserve"> three </w:t>
      </w:r>
      <w:r w:rsidR="001742B5">
        <w:t xml:space="preserve">configurations </w:t>
      </w:r>
      <w:r w:rsidR="001742B5">
        <w:t>for the purification section</w:t>
      </w:r>
      <w:r w:rsidR="007102E4">
        <w:t xml:space="preserve">: one conventional </w:t>
      </w:r>
      <w:r w:rsidR="00AD230E">
        <w:t>(</w:t>
      </w:r>
      <w:r w:rsidR="00EE48F2">
        <w:t>CS</w:t>
      </w:r>
      <w:r w:rsidR="003B6245">
        <w:t>) and</w:t>
      </w:r>
      <w:r w:rsidR="007102E4">
        <w:t xml:space="preserve"> two intensified schemes</w:t>
      </w:r>
      <w:r w:rsidR="00EE48F2">
        <w:t xml:space="preserve"> (TCC and CTC)</w:t>
      </w:r>
      <w:r w:rsidR="00C175D8">
        <w:t>.</w:t>
      </w:r>
      <w:r w:rsidR="003F66ED">
        <w:t xml:space="preserve"> </w:t>
      </w:r>
      <w:r w:rsidR="00C175D8">
        <w:t>A</w:t>
      </w:r>
      <w:r w:rsidR="003F66ED">
        <w:t xml:space="preserve">ll </w:t>
      </w:r>
      <w:r w:rsidR="00C175D8">
        <w:t xml:space="preserve">the </w:t>
      </w:r>
      <w:r w:rsidR="003F66ED">
        <w:t xml:space="preserve">schemes </w:t>
      </w:r>
      <w:r w:rsidR="00C175D8">
        <w:t xml:space="preserve">are </w:t>
      </w:r>
      <w:r w:rsidR="003F66ED">
        <w:t>evaluated using economic indexes. T</w:t>
      </w:r>
      <w:r w:rsidR="00805F39">
        <w:t>he two intensified schemes were proposed following the</w:t>
      </w:r>
      <w:r w:rsidR="00C844E2">
        <w:t xml:space="preserve"> systematic procedure to generate intensified configurations from simple column sequences</w:t>
      </w:r>
      <w:r w:rsidR="00805F39">
        <w:t xml:space="preserve"> proposed by </w:t>
      </w:r>
      <w:r w:rsidR="00C844E2">
        <w:t xml:space="preserve">Errico </w:t>
      </w:r>
      <w:r w:rsidR="00C844E2" w:rsidRPr="00C844E2">
        <w:rPr>
          <w:color w:val="000000" w:themeColor="text1"/>
        </w:rPr>
        <w:t>and Rong</w:t>
      </w:r>
      <w:r w:rsidR="00805F39" w:rsidRPr="00C844E2">
        <w:rPr>
          <w:color w:val="000000" w:themeColor="text1"/>
        </w:rPr>
        <w:t xml:space="preserve"> (</w:t>
      </w:r>
      <w:r w:rsidR="00C844E2" w:rsidRPr="00C844E2">
        <w:rPr>
          <w:color w:val="000000" w:themeColor="text1"/>
        </w:rPr>
        <w:t>2016</w:t>
      </w:r>
      <w:r w:rsidR="00805F39" w:rsidRPr="00C844E2">
        <w:rPr>
          <w:color w:val="000000" w:themeColor="text1"/>
        </w:rPr>
        <w:t xml:space="preserve">), </w:t>
      </w:r>
      <w:r w:rsidR="00805F39">
        <w:t>and their</w:t>
      </w:r>
      <w:r w:rsidR="003F66ED">
        <w:t xml:space="preserve"> configuration </w:t>
      </w:r>
      <w:r w:rsidR="00C175D8">
        <w:t>is described next.</w:t>
      </w:r>
    </w:p>
    <w:p w14:paraId="144DE69A" w14:textId="684D27F2" w:rsidR="008D2649" w:rsidRDefault="003F66ED" w:rsidP="008D2649">
      <w:pPr>
        <w:pStyle w:val="Els-2ndorder-head"/>
      </w:pPr>
      <w:r>
        <w:t>Conventional Scheme (CS)</w:t>
      </w:r>
    </w:p>
    <w:p w14:paraId="281E34BC" w14:textId="3F10ABDD" w:rsidR="003B6245" w:rsidRDefault="009216E3" w:rsidP="008D2649">
      <w:pPr>
        <w:pStyle w:val="Els-body-text"/>
      </w:pPr>
      <w:bookmarkStart w:id="1" w:name="_Hlk150445192"/>
      <w:r>
        <w:t>This scheme consists of four columns in the separation train, shown in Figure 1</w:t>
      </w:r>
      <w:r w:rsidR="00AD230E">
        <w:t xml:space="preserve"> A)</w:t>
      </w:r>
      <w:r>
        <w:t xml:space="preserve">. C-1 is a distillation column for the separation of volatile gases and heavy compounds. A side stream with bioethanol, water and </w:t>
      </w:r>
      <w:r w:rsidR="00805F39">
        <w:t>other</w:t>
      </w:r>
      <w:r>
        <w:t xml:space="preserve"> products </w:t>
      </w:r>
      <w:r w:rsidR="001F7D3F">
        <w:t>is</w:t>
      </w:r>
      <w:r>
        <w:t xml:space="preserve"> fed to an additional distillation column (C-2), where non desired products </w:t>
      </w:r>
      <w:r w:rsidR="00C175D8">
        <w:t xml:space="preserve">are removed </w:t>
      </w:r>
      <w:r w:rsidR="00720FAA">
        <w:t xml:space="preserve">at the </w:t>
      </w:r>
      <w:r>
        <w:t xml:space="preserve">bottom. A stream </w:t>
      </w:r>
      <w:r w:rsidR="001F7D3F">
        <w:t>consisting of</w:t>
      </w:r>
      <w:r>
        <w:t xml:space="preserve"> a mixture of bioethanol and water in the azeotropic point is fed</w:t>
      </w:r>
      <w:r w:rsidR="00B21738">
        <w:t xml:space="preserve"> to</w:t>
      </w:r>
      <w:r>
        <w:t xml:space="preserve"> an extractive distillation column (C-3), using glycerol as solvent in a mass ratio 1:1 </w:t>
      </w:r>
      <w:r w:rsidR="001F7D3F">
        <w:t xml:space="preserve">regarding </w:t>
      </w:r>
      <w:r>
        <w:t>the amount of bioethanol in the feed stream. C-4 is a</w:t>
      </w:r>
      <w:r w:rsidR="001F7D3F">
        <w:t xml:space="preserve"> glycerol</w:t>
      </w:r>
      <w:r>
        <w:t xml:space="preserve"> re</w:t>
      </w:r>
      <w:r w:rsidR="001F7D3F">
        <w:t>covery</w:t>
      </w:r>
      <w:r>
        <w:t xml:space="preserve"> column. </w:t>
      </w:r>
    </w:p>
    <w:p w14:paraId="65032D01" w14:textId="77777777" w:rsidR="00B21738" w:rsidRDefault="00B21738" w:rsidP="008D2649">
      <w:pPr>
        <w:pStyle w:val="Els-body-text"/>
      </w:pPr>
    </w:p>
    <w:bookmarkEnd w:id="1"/>
    <w:p w14:paraId="4FF8C308" w14:textId="27264644" w:rsidR="003B6245" w:rsidRPr="003B6245" w:rsidRDefault="00475532" w:rsidP="003B6245">
      <w:pPr>
        <w:pStyle w:val="Els-2ndorder-head"/>
      </w:pPr>
      <w:r>
        <w:t>Thermal</w:t>
      </w:r>
      <w:r w:rsidR="002F6EA1">
        <w:t>ly</w:t>
      </w:r>
      <w:r>
        <w:t xml:space="preserve"> Coupl</w:t>
      </w:r>
      <w:r w:rsidR="002F6EA1">
        <w:t>ed</w:t>
      </w:r>
      <w:r>
        <w:t xml:space="preserve"> Column</w:t>
      </w:r>
      <w:r w:rsidR="00CB2FDB">
        <w:t xml:space="preserve"> (</w:t>
      </w:r>
      <w:r>
        <w:t>TCC</w:t>
      </w:r>
      <w:r w:rsidR="003F66ED">
        <w:t>)</w:t>
      </w:r>
    </w:p>
    <w:p w14:paraId="6075F362" w14:textId="34E9F84C" w:rsidR="003B6245" w:rsidRDefault="00CB2FDB" w:rsidP="003F66ED">
      <w:pPr>
        <w:pStyle w:val="Els-body-text"/>
      </w:pPr>
      <w:r>
        <w:t xml:space="preserve">This scheme proposes </w:t>
      </w:r>
      <w:r w:rsidR="00805F39">
        <w:t>a</w:t>
      </w:r>
      <w:r w:rsidR="00475532">
        <w:t xml:space="preserve"> </w:t>
      </w:r>
      <w:r w:rsidR="00805F39">
        <w:t>thermal</w:t>
      </w:r>
      <w:r w:rsidR="00475532">
        <w:t>ly coupled column</w:t>
      </w:r>
      <w:r w:rsidR="00805F39">
        <w:t xml:space="preserve"> </w:t>
      </w:r>
      <w:r w:rsidR="001F7D3F">
        <w:t>to replace</w:t>
      </w:r>
      <w:r>
        <w:t xml:space="preserve"> the </w:t>
      </w:r>
      <w:r w:rsidR="001F7D3F">
        <w:t>glycerol recovery</w:t>
      </w:r>
      <w:r>
        <w:t xml:space="preserve"> column (C-4), as shown in Figure </w:t>
      </w:r>
      <w:r w:rsidR="00AD230E">
        <w:t>1 B)</w:t>
      </w:r>
      <w:r>
        <w:t xml:space="preserve">. </w:t>
      </w:r>
    </w:p>
    <w:p w14:paraId="1E5E997C" w14:textId="77777777" w:rsidR="00B21738" w:rsidRDefault="00B21738" w:rsidP="003F66ED">
      <w:pPr>
        <w:pStyle w:val="Els-body-text"/>
      </w:pPr>
    </w:p>
    <w:p w14:paraId="750BDFC7" w14:textId="4C89CA88" w:rsidR="003B6245" w:rsidRPr="003B6245" w:rsidRDefault="008163CE" w:rsidP="003B6245">
      <w:pPr>
        <w:pStyle w:val="Els-2ndorder-head"/>
      </w:pPr>
      <w:r w:rsidRPr="008163CE">
        <w:t xml:space="preserve">Coupling of two columns </w:t>
      </w:r>
      <w:r w:rsidR="003F66ED">
        <w:t>(</w:t>
      </w:r>
      <w:r>
        <w:t>CTC</w:t>
      </w:r>
      <w:r w:rsidR="003F66ED">
        <w:t>)</w:t>
      </w:r>
    </w:p>
    <w:p w14:paraId="205E7B03" w14:textId="5BBA6EF7" w:rsidR="004D36A8" w:rsidRDefault="00AD230E" w:rsidP="003F66ED">
      <w:pPr>
        <w:pStyle w:val="Els-body-text"/>
      </w:pPr>
      <w:r w:rsidRPr="00AD230E">
        <w:t xml:space="preserve">This scheme consists of merging column 2 and 3 of the conventional scheme into a single column to reduce the </w:t>
      </w:r>
      <w:r w:rsidR="002F6EA1">
        <w:t>number</w:t>
      </w:r>
      <w:r w:rsidRPr="00AD230E">
        <w:t xml:space="preserve"> of equipment</w:t>
      </w:r>
      <w:r w:rsidR="005267C2">
        <w:t>;</w:t>
      </w:r>
      <w:r w:rsidRPr="00AD230E">
        <w:t xml:space="preserve"> </w:t>
      </w:r>
      <w:r w:rsidR="005267C2">
        <w:t>this new column is labeled</w:t>
      </w:r>
      <w:r w:rsidRPr="00AD230E">
        <w:t xml:space="preserve"> as C-2</w:t>
      </w:r>
      <w:r w:rsidR="008163CE">
        <w:t xml:space="preserve">. </w:t>
      </w:r>
      <w:r w:rsidRPr="00AD230E">
        <w:t xml:space="preserve">In </w:t>
      </w:r>
      <w:r w:rsidRPr="00AD230E">
        <w:lastRenderedPageBreak/>
        <w:t xml:space="preserve">addition, a column </w:t>
      </w:r>
      <w:r w:rsidR="005267C2">
        <w:t>labeled</w:t>
      </w:r>
      <w:r w:rsidRPr="00AD230E">
        <w:t xml:space="preserve"> as C-3 is proposed for the recovery of the solvent, as shown in Fig</w:t>
      </w:r>
      <w:r>
        <w:t>ure 1 C).</w:t>
      </w:r>
    </w:p>
    <w:p w14:paraId="64917515" w14:textId="77777777" w:rsidR="00B21738" w:rsidRDefault="00B21738" w:rsidP="003F66ED">
      <w:pPr>
        <w:pStyle w:val="Els-body-text"/>
      </w:pPr>
    </w:p>
    <w:p w14:paraId="106D9A25" w14:textId="30D1C8E3" w:rsidR="00265400" w:rsidRDefault="00720FAA" w:rsidP="003F66ED">
      <w:pPr>
        <w:pStyle w:val="Els-body-text"/>
      </w:pPr>
      <w:r>
        <w:rPr>
          <w:noProof/>
        </w:rPr>
        <w:drawing>
          <wp:inline distT="0" distB="0" distL="0" distR="0" wp14:anchorId="7B1488A0" wp14:editId="52DF1DEE">
            <wp:extent cx="4498975" cy="4474464"/>
            <wp:effectExtent l="0" t="0" r="0" b="2540"/>
            <wp:docPr id="1722777328"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77328" name="Picture 1" descr="A diagram of a diagram&#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7852" cy="4483293"/>
                    </a:xfrm>
                    <a:prstGeom prst="rect">
                      <a:avLst/>
                    </a:prstGeom>
                  </pic:spPr>
                </pic:pic>
              </a:graphicData>
            </a:graphic>
          </wp:inline>
        </w:drawing>
      </w:r>
    </w:p>
    <w:p w14:paraId="33C27FD9" w14:textId="200B7E0A" w:rsidR="00AD230E" w:rsidRPr="0025524D" w:rsidRDefault="00265400" w:rsidP="0025524D">
      <w:pPr>
        <w:pStyle w:val="Els-body-text"/>
        <w:jc w:val="center"/>
        <w:rPr>
          <w:sz w:val="18"/>
          <w:szCs w:val="18"/>
        </w:rPr>
      </w:pPr>
      <w:r>
        <w:rPr>
          <w:b/>
          <w:bCs/>
          <w:sz w:val="18"/>
          <w:szCs w:val="18"/>
        </w:rPr>
        <w:t>Figure</w:t>
      </w:r>
      <w:r w:rsidRPr="00464D13">
        <w:rPr>
          <w:b/>
          <w:bCs/>
          <w:sz w:val="18"/>
          <w:szCs w:val="18"/>
        </w:rPr>
        <w:t xml:space="preserve"> </w:t>
      </w:r>
      <w:r>
        <w:rPr>
          <w:b/>
          <w:bCs/>
          <w:sz w:val="18"/>
          <w:szCs w:val="18"/>
        </w:rPr>
        <w:t>1</w:t>
      </w:r>
      <w:r w:rsidRPr="00464D13">
        <w:rPr>
          <w:b/>
          <w:bCs/>
          <w:sz w:val="18"/>
          <w:szCs w:val="18"/>
        </w:rPr>
        <w:t>:</w:t>
      </w:r>
      <w:r w:rsidRPr="00464D13">
        <w:rPr>
          <w:sz w:val="18"/>
          <w:szCs w:val="18"/>
        </w:rPr>
        <w:t xml:space="preserve"> </w:t>
      </w:r>
      <w:r>
        <w:rPr>
          <w:sz w:val="18"/>
          <w:szCs w:val="18"/>
        </w:rPr>
        <w:t>Process flow</w:t>
      </w:r>
      <w:r w:rsidR="00CF40C7">
        <w:rPr>
          <w:sz w:val="18"/>
          <w:szCs w:val="18"/>
        </w:rPr>
        <w:t>sheet</w:t>
      </w:r>
      <w:r>
        <w:rPr>
          <w:sz w:val="18"/>
          <w:szCs w:val="18"/>
        </w:rPr>
        <w:t xml:space="preserve"> for: A) </w:t>
      </w:r>
      <w:r w:rsidR="00DE33A5">
        <w:rPr>
          <w:sz w:val="18"/>
          <w:szCs w:val="18"/>
        </w:rPr>
        <w:t>CS</w:t>
      </w:r>
      <w:r>
        <w:rPr>
          <w:sz w:val="18"/>
          <w:szCs w:val="18"/>
        </w:rPr>
        <w:t xml:space="preserve">, B) TCC, C) </w:t>
      </w:r>
      <w:r w:rsidR="008163CE">
        <w:rPr>
          <w:sz w:val="18"/>
          <w:szCs w:val="18"/>
        </w:rPr>
        <w:t>CTC</w:t>
      </w:r>
      <w:r>
        <w:rPr>
          <w:sz w:val="18"/>
          <w:szCs w:val="18"/>
        </w:rPr>
        <w:t>.</w:t>
      </w:r>
    </w:p>
    <w:p w14:paraId="144DE6A1" w14:textId="3BE48555" w:rsidR="008D2649" w:rsidRPr="00A94774" w:rsidRDefault="006B14AB" w:rsidP="008D2649">
      <w:pPr>
        <w:pStyle w:val="Els-1storder-head"/>
        <w:spacing w:after="120"/>
        <w:rPr>
          <w:lang w:val="en-GB"/>
        </w:rPr>
      </w:pPr>
      <w:r>
        <w:rPr>
          <w:lang w:val="en-GB"/>
        </w:rPr>
        <w:t>Methodology</w:t>
      </w:r>
    </w:p>
    <w:p w14:paraId="7B6B8AEA" w14:textId="64DBFA34" w:rsidR="009612A0" w:rsidRDefault="00376619" w:rsidP="008D2649">
      <w:pPr>
        <w:pStyle w:val="Els-body-text"/>
        <w:rPr>
          <w:lang w:val="en-GB"/>
        </w:rPr>
      </w:pPr>
      <w:r>
        <w:rPr>
          <w:lang w:val="en-GB"/>
        </w:rPr>
        <w:t xml:space="preserve">The objective function considered for this analysis </w:t>
      </w:r>
      <w:r w:rsidR="000A7713">
        <w:rPr>
          <w:lang w:val="en-GB"/>
        </w:rPr>
        <w:t>is</w:t>
      </w:r>
      <w:r>
        <w:rPr>
          <w:lang w:val="en-GB"/>
        </w:rPr>
        <w:t xml:space="preserve"> the </w:t>
      </w:r>
      <w:r w:rsidR="00DE33A5">
        <w:rPr>
          <w:lang w:val="en-GB"/>
        </w:rPr>
        <w:t>TAC, this</w:t>
      </w:r>
      <w:r>
        <w:rPr>
          <w:lang w:val="en-GB"/>
        </w:rPr>
        <w:t xml:space="preserve"> </w:t>
      </w:r>
      <w:r w:rsidRPr="00376619">
        <w:rPr>
          <w:lang w:val="en-GB"/>
        </w:rPr>
        <w:t>involves capital and operating costs related to the construction and operation of a chemical process</w:t>
      </w:r>
      <w:r>
        <w:rPr>
          <w:lang w:val="en-GB"/>
        </w:rPr>
        <w:t xml:space="preserve"> (Turton et al., 2008)</w:t>
      </w:r>
      <w:r w:rsidRPr="00376619">
        <w:rPr>
          <w:lang w:val="en-GB"/>
        </w:rPr>
        <w:t>.</w:t>
      </w:r>
      <w:r>
        <w:rPr>
          <w:lang w:val="en-GB"/>
        </w:rPr>
        <w:t xml:space="preserve"> </w:t>
      </w:r>
      <w:r w:rsidRPr="00376619">
        <w:rPr>
          <w:lang w:val="en-GB"/>
        </w:rPr>
        <w:t>The Guthrie method was used to calculate the TAC</w:t>
      </w:r>
      <w:r>
        <w:rPr>
          <w:lang w:val="en-GB"/>
        </w:rPr>
        <w:t xml:space="preserve"> (Guthrie, 1969)</w:t>
      </w:r>
      <w:r w:rsidRPr="00376619">
        <w:rPr>
          <w:lang w:val="en-GB"/>
        </w:rPr>
        <w:t>, estimating the cost per unit of the process, as shown in Eq</w:t>
      </w:r>
      <w:r>
        <w:rPr>
          <w:lang w:val="en-GB"/>
        </w:rPr>
        <w:t>.</w:t>
      </w:r>
      <w:r w:rsidRPr="00376619">
        <w:rPr>
          <w:lang w:val="en-GB"/>
        </w:rPr>
        <w:t xml:space="preserve"> 1.</w:t>
      </w:r>
    </w:p>
    <w:tbl>
      <w:tblPr>
        <w:tblW w:w="7087" w:type="dxa"/>
        <w:tblLook w:val="04A0" w:firstRow="1" w:lastRow="0" w:firstColumn="1" w:lastColumn="0" w:noHBand="0" w:noVBand="1"/>
      </w:tblPr>
      <w:tblGrid>
        <w:gridCol w:w="6121"/>
        <w:gridCol w:w="966"/>
      </w:tblGrid>
      <w:tr w:rsidR="00376619" w:rsidRPr="00A94774" w14:paraId="4700FC3B" w14:textId="77777777" w:rsidTr="0025524D">
        <w:tc>
          <w:tcPr>
            <w:tcW w:w="6121" w:type="dxa"/>
            <w:shd w:val="clear" w:color="auto" w:fill="auto"/>
            <w:vAlign w:val="center"/>
          </w:tcPr>
          <w:p w14:paraId="756B5694" w14:textId="200DC658" w:rsidR="00376619" w:rsidRPr="004D36A8" w:rsidRDefault="004D36A8" w:rsidP="00376619">
            <w:pPr>
              <w:pStyle w:val="Els-body-text"/>
              <w:spacing w:before="120" w:after="120" w:line="264" w:lineRule="auto"/>
              <w:rPr>
                <w:i/>
                <w:lang w:val="en-GB"/>
              </w:rPr>
            </w:pPr>
            <m:oMathPara>
              <m:oMath>
                <m:r>
                  <w:rPr>
                    <w:rFonts w:ascii="Cambria Math" w:hAnsi="Cambria Math"/>
                    <w:lang w:val="en-GB"/>
                  </w:rPr>
                  <m:t>TAC=CO+</m:t>
                </m:r>
                <m:f>
                  <m:fPr>
                    <m:ctrlPr>
                      <w:rPr>
                        <w:rFonts w:ascii="Cambria Math" w:hAnsi="Cambria Math"/>
                        <w:i/>
                        <w:lang w:val="en-GB"/>
                      </w:rPr>
                    </m:ctrlPr>
                  </m:fPr>
                  <m:num>
                    <m:r>
                      <w:rPr>
                        <w:rFonts w:ascii="Cambria Math" w:hAnsi="Cambria Math"/>
                        <w:lang w:val="en-GB"/>
                      </w:rPr>
                      <m:t>CC</m:t>
                    </m:r>
                  </m:num>
                  <m:den>
                    <m:r>
                      <w:rPr>
                        <w:rFonts w:ascii="Cambria Math" w:hAnsi="Cambria Math"/>
                        <w:lang w:val="en-GB"/>
                      </w:rPr>
                      <m:t>PP</m:t>
                    </m:r>
                  </m:den>
                </m:f>
              </m:oMath>
            </m:oMathPara>
          </w:p>
        </w:tc>
        <w:tc>
          <w:tcPr>
            <w:tcW w:w="966" w:type="dxa"/>
            <w:shd w:val="clear" w:color="auto" w:fill="auto"/>
            <w:vAlign w:val="center"/>
          </w:tcPr>
          <w:p w14:paraId="31E55BD6" w14:textId="77777777" w:rsidR="00376619" w:rsidRPr="00A94774" w:rsidRDefault="00376619" w:rsidP="009C4EF6">
            <w:pPr>
              <w:pStyle w:val="Els-body-text"/>
              <w:spacing w:before="120" w:after="120" w:line="264" w:lineRule="auto"/>
              <w:jc w:val="right"/>
              <w:rPr>
                <w:lang w:val="en-GB"/>
              </w:rPr>
            </w:pPr>
            <w:r w:rsidRPr="00A94774">
              <w:rPr>
                <w:lang w:val="en-GB"/>
              </w:rPr>
              <w:t>(1)</w:t>
            </w:r>
          </w:p>
        </w:tc>
      </w:tr>
    </w:tbl>
    <w:p w14:paraId="3A393F29" w14:textId="640C4AF9" w:rsidR="008E3490" w:rsidRDefault="00CB40E4" w:rsidP="008D2649">
      <w:pPr>
        <w:pStyle w:val="Els-body-text"/>
        <w:rPr>
          <w:lang w:val="en-GB"/>
        </w:rPr>
      </w:pPr>
      <w:r>
        <w:rPr>
          <w:lang w:val="en-GB"/>
        </w:rPr>
        <w:t>w</w:t>
      </w:r>
      <w:r w:rsidR="002D4A95">
        <w:rPr>
          <w:lang w:val="en-GB"/>
        </w:rPr>
        <w:t xml:space="preserve">here CO is the cost of the services, CC is the capital cost of the plant and PP is the payback period, </w:t>
      </w:r>
      <w:r w:rsidR="007D6C99">
        <w:rPr>
          <w:lang w:val="en-GB"/>
        </w:rPr>
        <w:t>assumed</w:t>
      </w:r>
      <w:r w:rsidR="002D4A95">
        <w:rPr>
          <w:lang w:val="en-GB"/>
        </w:rPr>
        <w:t xml:space="preserve"> as 5 years (</w:t>
      </w:r>
      <w:proofErr w:type="spellStart"/>
      <w:r w:rsidR="002D4A95">
        <w:rPr>
          <w:lang w:val="en-GB"/>
        </w:rPr>
        <w:t>Susmozas</w:t>
      </w:r>
      <w:proofErr w:type="spellEnd"/>
      <w:r w:rsidR="002D4A95">
        <w:rPr>
          <w:lang w:val="en-GB"/>
        </w:rPr>
        <w:t xml:space="preserve"> et al., 2018).</w:t>
      </w:r>
      <w:r w:rsidR="00F0506D">
        <w:rPr>
          <w:lang w:val="en-GB"/>
        </w:rPr>
        <w:t xml:space="preserve"> </w:t>
      </w:r>
      <w:r w:rsidR="000A7713" w:rsidRPr="000A7713">
        <w:rPr>
          <w:lang w:val="en-GB"/>
        </w:rPr>
        <w:t xml:space="preserve">The minimization of this objective is </w:t>
      </w:r>
      <w:r w:rsidR="007D6C99">
        <w:rPr>
          <w:lang w:val="en-GB"/>
        </w:rPr>
        <w:t>constrained by</w:t>
      </w:r>
      <w:r w:rsidR="000A7713" w:rsidRPr="000A7713">
        <w:rPr>
          <w:lang w:val="en-GB"/>
        </w:rPr>
        <w:t xml:space="preserve"> the temperatures, recoveries and purities required in each equipment and process stream:</w:t>
      </w:r>
    </w:p>
    <w:tbl>
      <w:tblPr>
        <w:tblW w:w="0" w:type="auto"/>
        <w:tblLook w:val="04A0" w:firstRow="1" w:lastRow="0" w:firstColumn="1" w:lastColumn="0" w:noHBand="0" w:noVBand="1"/>
      </w:tblPr>
      <w:tblGrid>
        <w:gridCol w:w="6144"/>
        <w:gridCol w:w="942"/>
      </w:tblGrid>
      <w:tr w:rsidR="000A7713" w:rsidRPr="00A94774" w14:paraId="2A2A05CF" w14:textId="77777777" w:rsidTr="009C4EF6">
        <w:tc>
          <w:tcPr>
            <w:tcW w:w="6317" w:type="dxa"/>
            <w:shd w:val="clear" w:color="auto" w:fill="auto"/>
            <w:vAlign w:val="center"/>
          </w:tcPr>
          <w:p w14:paraId="57EF7C83" w14:textId="72BF9785" w:rsidR="000A7713" w:rsidRPr="004D36A8" w:rsidRDefault="000A7713" w:rsidP="009C4EF6">
            <w:pPr>
              <w:pStyle w:val="Els-body-text"/>
              <w:spacing w:before="120" w:after="120" w:line="264" w:lineRule="auto"/>
              <w:rPr>
                <w:lang w:val="en-GB"/>
              </w:rPr>
            </w:pPr>
            <m:oMathPara>
              <m:oMath>
                <m:r>
                  <w:rPr>
                    <w:rFonts w:ascii="Cambria Math" w:hAnsi="Cambria Math"/>
                    <w:lang w:val="en-GB"/>
                  </w:rPr>
                  <w:lastRenderedPageBreak/>
                  <m:t>Min</m:t>
                </m:r>
                <m:d>
                  <m:dPr>
                    <m:ctrlPr>
                      <w:rPr>
                        <w:rFonts w:ascii="Cambria Math" w:hAnsi="Cambria Math"/>
                        <w:i/>
                        <w:lang w:val="en-GB"/>
                      </w:rPr>
                    </m:ctrlPr>
                  </m:dPr>
                  <m:e>
                    <m:r>
                      <w:rPr>
                        <w:rFonts w:ascii="Cambria Math" w:hAnsi="Cambria Math"/>
                        <w:lang w:val="en-GB"/>
                      </w:rPr>
                      <m:t>TAC</m:t>
                    </m:r>
                  </m:e>
                </m:d>
                <m:r>
                  <w:rPr>
                    <w:rFonts w:ascii="Cambria Math" w:hAnsi="Cambria Math"/>
                    <w:lang w:val="en-GB"/>
                  </w:rPr>
                  <m:t>=f(T</m:t>
                </m:r>
                <m:sSub>
                  <m:sSubPr>
                    <m:ctrlPr>
                      <w:rPr>
                        <w:rFonts w:ascii="Cambria Math" w:hAnsi="Cambria Math"/>
                        <w:i/>
                        <w:lang w:val="en-GB"/>
                      </w:rPr>
                    </m:ctrlPr>
                  </m:sSubPr>
                  <m:e>
                    <m:r>
                      <w:rPr>
                        <w:rFonts w:ascii="Cambria Math" w:hAnsi="Cambria Math"/>
                        <w:lang w:val="en-GB"/>
                      </w:rPr>
                      <m:t>H</m:t>
                    </m:r>
                  </m:e>
                  <m:sub>
                    <m:r>
                      <w:rPr>
                        <w:rFonts w:ascii="Cambria Math" w:hAnsi="Cambria Math"/>
                        <w:lang w:val="en-GB"/>
                      </w:rPr>
                      <m:t>in</m:t>
                    </m:r>
                  </m:sub>
                </m:sSub>
                <m:r>
                  <w:rPr>
                    <w:rFonts w:ascii="Cambria Math" w:hAnsi="Cambria Math"/>
                    <w:lang w:val="en-GB"/>
                  </w:rPr>
                  <m:t xml:space="preserve">, FH, </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s</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f</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B</m:t>
                    </m:r>
                  </m:e>
                  <m:sub>
                    <m:r>
                      <w:rPr>
                        <w:rFonts w:ascii="Cambria Math" w:hAnsi="Cambria Math"/>
                        <w:lang w:val="en-GB"/>
                      </w:rPr>
                      <m:t>R</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ss</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ss</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D</m:t>
                    </m:r>
                  </m:e>
                  <m:sub>
                    <m:r>
                      <w:rPr>
                        <w:rFonts w:ascii="Cambria Math" w:hAnsi="Cambria Math"/>
                        <w:lang w:val="en-GB"/>
                      </w:rPr>
                      <m:t>R</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R</m:t>
                    </m:r>
                  </m:e>
                  <m:sub>
                    <m:r>
                      <w:rPr>
                        <w:rFonts w:ascii="Cambria Math" w:hAnsi="Cambria Math"/>
                        <w:lang w:val="en-GB"/>
                      </w:rPr>
                      <m:t>R</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L</m:t>
                    </m:r>
                  </m:sub>
                </m:sSub>
                <m:r>
                  <w:rPr>
                    <w:rFonts w:ascii="Cambria Math" w:hAnsi="Cambria Math"/>
                    <w:lang w:val="en-GB"/>
                  </w:rPr>
                  <m:t xml:space="preserve">, </m:t>
                </m:r>
                <m:sSub>
                  <m:sSubPr>
                    <m:ctrlPr>
                      <w:rPr>
                        <w:rFonts w:ascii="Cambria Math" w:hAnsi="Cambria Math"/>
                        <w:i/>
                        <w:lang w:val="en-GB"/>
                      </w:rPr>
                    </m:ctrlPr>
                  </m:sSubPr>
                  <m:e>
                    <m:r>
                      <w:rPr>
                        <w:rFonts w:ascii="Cambria Math" w:hAnsi="Cambria Math"/>
                        <w:lang w:val="en-GB"/>
                      </w:rPr>
                      <m:t>F</m:t>
                    </m:r>
                  </m:e>
                  <m:sub>
                    <m:r>
                      <w:rPr>
                        <w:rFonts w:ascii="Cambria Math" w:hAnsi="Cambria Math"/>
                        <w:lang w:val="en-GB"/>
                      </w:rPr>
                      <m:t>V</m:t>
                    </m:r>
                  </m:sub>
                </m:sSub>
                <m:r>
                  <w:rPr>
                    <w:rFonts w:ascii="Cambria Math" w:hAnsi="Cambria Math"/>
                    <w:lang w:val="en-GB"/>
                  </w:rPr>
                  <m:t>)</m:t>
                </m:r>
              </m:oMath>
            </m:oMathPara>
          </w:p>
        </w:tc>
        <w:tc>
          <w:tcPr>
            <w:tcW w:w="985" w:type="dxa"/>
            <w:shd w:val="clear" w:color="auto" w:fill="auto"/>
            <w:vAlign w:val="center"/>
          </w:tcPr>
          <w:p w14:paraId="1988A4E1" w14:textId="5327D098" w:rsidR="000A7713" w:rsidRPr="004D36A8" w:rsidRDefault="000A7713" w:rsidP="009C4EF6">
            <w:pPr>
              <w:pStyle w:val="Els-body-text"/>
              <w:spacing w:before="120" w:after="120" w:line="264" w:lineRule="auto"/>
              <w:jc w:val="right"/>
              <w:rPr>
                <w:lang w:val="en-GB"/>
              </w:rPr>
            </w:pPr>
            <w:r w:rsidRPr="004D36A8">
              <w:rPr>
                <w:lang w:val="en-GB"/>
              </w:rPr>
              <w:t>(</w:t>
            </w:r>
            <w:r w:rsidR="004D36A8">
              <w:rPr>
                <w:lang w:val="en-GB"/>
              </w:rPr>
              <w:t>2</w:t>
            </w:r>
            <w:r w:rsidRPr="004D36A8">
              <w:rPr>
                <w:lang w:val="en-GB"/>
              </w:rPr>
              <w:t>)</w:t>
            </w:r>
          </w:p>
        </w:tc>
      </w:tr>
    </w:tbl>
    <w:p w14:paraId="465FDD9A" w14:textId="16F12890" w:rsidR="004D36A8" w:rsidRDefault="000A7713" w:rsidP="008D2649">
      <w:pPr>
        <w:pStyle w:val="Els-body-text"/>
        <w:rPr>
          <w:lang w:val="en-GB"/>
        </w:rPr>
      </w:pPr>
      <w:r>
        <w:rPr>
          <w:lang w:val="en-GB"/>
        </w:rPr>
        <w:t>Subject to:</w:t>
      </w:r>
      <w:r w:rsidR="00CB40E4">
        <w:rPr>
          <w:lang w:val="en-GB"/>
        </w:rPr>
        <w:t xml:space="preserve">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b</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b</m:t>
            </m:r>
          </m:sub>
        </m:sSub>
      </m:oMath>
      <w:r w:rsidR="00CB40E4" w:rsidRPr="004D36A8">
        <w:rPr>
          <w:lang w:val="en-GB"/>
        </w:rPr>
        <w:tab/>
        <w:t xml:space="preserve"> </w:t>
      </w: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b</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b</m:t>
            </m:r>
          </m:sub>
        </m:sSub>
      </m:oMath>
      <w:r w:rsidR="00CB40E4" w:rsidRPr="004D36A8">
        <w:rPr>
          <w:lang w:val="en-GB"/>
        </w:rPr>
        <w:tab/>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g</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g</m:t>
            </m:r>
          </m:sub>
        </m:sSub>
      </m:oMath>
      <w:r w:rsidR="00CB40E4" w:rsidRPr="004D36A8">
        <w:rPr>
          <w:lang w:val="en-GB"/>
        </w:rPr>
        <w:t xml:space="preserve"> </w:t>
      </w:r>
      <w:r w:rsidR="00CB40E4" w:rsidRPr="004D36A8">
        <w:rPr>
          <w:lang w:val="en-GB"/>
        </w:rPr>
        <w:tab/>
      </w:r>
      <w:r w:rsidR="00CB40E4" w:rsidRPr="004D36A8">
        <w:rPr>
          <w:lang w:val="en-GB"/>
        </w:rPr>
        <w:tab/>
        <w:t xml:space="preserve"> </w:t>
      </w: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g</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g</m:t>
            </m:r>
          </m:sub>
        </m:sSub>
      </m:oMath>
    </w:p>
    <w:p w14:paraId="44DE30E5" w14:textId="77777777" w:rsidR="0092385C" w:rsidRDefault="0092385C" w:rsidP="00BF4F74">
      <w:pPr>
        <w:pStyle w:val="Els-body-text"/>
        <w:rPr>
          <w:lang w:val="en-GB"/>
        </w:rPr>
      </w:pPr>
    </w:p>
    <w:p w14:paraId="6BED40AC" w14:textId="12477883" w:rsidR="00EE4D5D" w:rsidRDefault="00CB40E4" w:rsidP="00BF4F74">
      <w:pPr>
        <w:pStyle w:val="Els-body-text"/>
        <w:rPr>
          <w:lang w:val="en-GB"/>
        </w:rPr>
      </w:pPr>
      <w:r>
        <w:rPr>
          <w:lang w:val="en-GB"/>
        </w:rPr>
        <w:t xml:space="preserve">where </w:t>
      </w:r>
      <m:oMath>
        <m:r>
          <w:rPr>
            <w:rFonts w:ascii="Cambria Math"/>
            <w:lang w:val="en-GB"/>
          </w:rPr>
          <m:t>T</m:t>
        </m:r>
        <m:sSub>
          <m:sSubPr>
            <m:ctrlPr>
              <w:rPr>
                <w:rFonts w:ascii="Cambria Math" w:hAnsi="Cambria Math"/>
                <w:i/>
                <w:lang w:val="en-GB"/>
              </w:rPr>
            </m:ctrlPr>
          </m:sSubPr>
          <m:e>
            <m:r>
              <w:rPr>
                <w:rFonts w:ascii="Cambria Math"/>
                <w:lang w:val="en-GB"/>
              </w:rPr>
              <m:t>H</m:t>
            </m:r>
          </m:e>
          <m:sub>
            <m:r>
              <w:rPr>
                <w:rFonts w:ascii="Cambria Math"/>
                <w:lang w:val="en-GB"/>
              </w:rPr>
              <m:t>in</m:t>
            </m:r>
          </m:sub>
        </m:sSub>
      </m:oMath>
      <w:r>
        <w:rPr>
          <w:lang w:val="en-GB"/>
        </w:rPr>
        <w:t xml:space="preserve"> is the inlet temperature of the </w:t>
      </w:r>
      <w:r w:rsidR="001623D5">
        <w:rPr>
          <w:lang w:val="en-GB"/>
        </w:rPr>
        <w:t>utility’s</w:t>
      </w:r>
      <w:r>
        <w:rPr>
          <w:lang w:val="en-GB"/>
        </w:rPr>
        <w:t xml:space="preserve"> stream of the heat exchangers used, </w:t>
      </w:r>
      <m:oMath>
        <m:r>
          <w:rPr>
            <w:rFonts w:ascii="Cambria Math"/>
            <w:lang w:val="en-GB"/>
          </w:rPr>
          <m:t>FH</m:t>
        </m:r>
      </m:oMath>
      <w:r>
        <w:rPr>
          <w:lang w:val="en-GB"/>
        </w:rPr>
        <w:t xml:space="preserve">is the mass flow rate for the exchangers, </w:t>
      </w:r>
      <m:oMath>
        <m:sSub>
          <m:sSubPr>
            <m:ctrlPr>
              <w:rPr>
                <w:rFonts w:ascii="Cambria Math" w:hAnsi="Cambria Math"/>
                <w:i/>
                <w:lang w:val="en-GB"/>
              </w:rPr>
            </m:ctrlPr>
          </m:sSubPr>
          <m:e>
            <m:r>
              <w:rPr>
                <w:rFonts w:ascii="Cambria Math"/>
                <w:lang w:val="en-GB"/>
              </w:rPr>
              <m:t>N</m:t>
            </m:r>
          </m:e>
          <m:sub>
            <m:r>
              <w:rPr>
                <w:rFonts w:ascii="Cambria Math"/>
                <w:lang w:val="en-GB"/>
              </w:rPr>
              <m:t>s</m:t>
            </m:r>
          </m:sub>
        </m:sSub>
      </m:oMath>
      <w:r>
        <w:rPr>
          <w:lang w:val="en-GB"/>
        </w:rPr>
        <w:t xml:space="preserve"> is the number of stages of each distillation column, </w:t>
      </w:r>
      <m:oMath>
        <m:sSub>
          <m:sSubPr>
            <m:ctrlPr>
              <w:rPr>
                <w:rFonts w:ascii="Cambria Math" w:hAnsi="Cambria Math"/>
                <w:i/>
                <w:lang w:val="en-GB"/>
              </w:rPr>
            </m:ctrlPr>
          </m:sSubPr>
          <m:e>
            <m:r>
              <w:rPr>
                <w:rFonts w:ascii="Cambria Math"/>
                <w:lang w:val="en-GB"/>
              </w:rPr>
              <m:t>N</m:t>
            </m:r>
          </m:e>
          <m:sub>
            <m:r>
              <w:rPr>
                <w:rFonts w:ascii="Cambria Math"/>
                <w:lang w:val="en-GB"/>
              </w:rPr>
              <m:t>f</m:t>
            </m:r>
          </m:sub>
        </m:sSub>
      </m:oMath>
      <w:r>
        <w:rPr>
          <w:lang w:val="en-GB"/>
        </w:rPr>
        <w:t xml:space="preserve"> is the column feed stage, </w:t>
      </w:r>
      <m:oMath>
        <m:sSub>
          <m:sSubPr>
            <m:ctrlPr>
              <w:rPr>
                <w:rFonts w:ascii="Cambria Math" w:hAnsi="Cambria Math"/>
                <w:i/>
                <w:lang w:val="en-GB"/>
              </w:rPr>
            </m:ctrlPr>
          </m:sSubPr>
          <m:e>
            <m:r>
              <w:rPr>
                <w:rFonts w:ascii="Cambria Math"/>
                <w:lang w:val="en-GB"/>
              </w:rPr>
              <m:t>B</m:t>
            </m:r>
          </m:e>
          <m:sub>
            <m:r>
              <w:rPr>
                <w:rFonts w:ascii="Cambria Math"/>
                <w:lang w:val="en-GB"/>
              </w:rPr>
              <m:t>R</m:t>
            </m:r>
          </m:sub>
        </m:sSub>
      </m:oMath>
      <w:r>
        <w:rPr>
          <w:lang w:val="en-GB"/>
        </w:rPr>
        <w:t xml:space="preserve"> is the bottoms flow rate, </w:t>
      </w:r>
      <m:oMath>
        <m:sSub>
          <m:sSubPr>
            <m:ctrlPr>
              <w:rPr>
                <w:rFonts w:ascii="Cambria Math" w:hAnsi="Cambria Math"/>
                <w:i/>
                <w:lang w:val="en-GB"/>
              </w:rPr>
            </m:ctrlPr>
          </m:sSubPr>
          <m:e>
            <m:r>
              <w:rPr>
                <w:rFonts w:ascii="Cambria Math"/>
                <w:lang w:val="en-GB"/>
              </w:rPr>
              <m:t>N</m:t>
            </m:r>
          </m:e>
          <m:sub>
            <m:r>
              <w:rPr>
                <w:rFonts w:ascii="Cambria Math"/>
                <w:lang w:val="en-GB"/>
              </w:rPr>
              <m:t>ss</m:t>
            </m:r>
          </m:sub>
        </m:sSub>
      </m:oMath>
      <w:r>
        <w:rPr>
          <w:lang w:val="en-GB"/>
        </w:rPr>
        <w:t xml:space="preserve"> is the side outlet or inlet stage (in the case of the extractive columns), </w:t>
      </w:r>
      <m:oMath>
        <m:sSub>
          <m:sSubPr>
            <m:ctrlPr>
              <w:rPr>
                <w:rFonts w:ascii="Cambria Math" w:hAnsi="Cambria Math"/>
                <w:i/>
                <w:lang w:val="en-GB"/>
              </w:rPr>
            </m:ctrlPr>
          </m:sSubPr>
          <m:e>
            <m:r>
              <w:rPr>
                <w:rFonts w:ascii="Cambria Math"/>
                <w:lang w:val="en-GB"/>
              </w:rPr>
              <m:t>F</m:t>
            </m:r>
          </m:e>
          <m:sub>
            <m:r>
              <w:rPr>
                <w:rFonts w:ascii="Cambria Math"/>
                <w:lang w:val="en-GB"/>
              </w:rPr>
              <m:t>ss</m:t>
            </m:r>
          </m:sub>
        </m:sSub>
      </m:oMath>
      <w:r>
        <w:rPr>
          <w:lang w:val="en-GB"/>
        </w:rPr>
        <w:t xml:space="preserve"> is the mass flow for each side outlet or inlet, </w:t>
      </w:r>
      <m:oMath>
        <m:sSub>
          <m:sSubPr>
            <m:ctrlPr>
              <w:rPr>
                <w:rFonts w:ascii="Cambria Math" w:hAnsi="Cambria Math"/>
                <w:i/>
                <w:lang w:val="en-GB"/>
              </w:rPr>
            </m:ctrlPr>
          </m:sSubPr>
          <m:e>
            <m:r>
              <w:rPr>
                <w:rFonts w:ascii="Cambria Math"/>
                <w:lang w:val="en-GB"/>
              </w:rPr>
              <m:t>D</m:t>
            </m:r>
          </m:e>
          <m:sub>
            <m:r>
              <w:rPr>
                <w:rFonts w:ascii="Cambria Math"/>
                <w:lang w:val="en-GB"/>
              </w:rPr>
              <m:t>R</m:t>
            </m:r>
          </m:sub>
        </m:sSub>
      </m:oMath>
      <w:r>
        <w:rPr>
          <w:lang w:val="en-GB"/>
        </w:rPr>
        <w:t xml:space="preserve"> is the distillate flow rate,</w:t>
      </w:r>
      <m:oMath>
        <m:sSub>
          <m:sSubPr>
            <m:ctrlPr>
              <w:rPr>
                <w:rFonts w:ascii="Cambria Math" w:hAnsi="Cambria Math"/>
                <w:i/>
                <w:lang w:val="en-GB"/>
              </w:rPr>
            </m:ctrlPr>
          </m:sSubPr>
          <m:e>
            <m:r>
              <w:rPr>
                <w:rFonts w:ascii="Cambria Math"/>
                <w:lang w:val="en-GB"/>
              </w:rPr>
              <m:t>R</m:t>
            </m:r>
          </m:e>
          <m:sub>
            <m:r>
              <w:rPr>
                <w:rFonts w:ascii="Cambria Math"/>
                <w:lang w:val="en-GB"/>
              </w:rPr>
              <m:t>R</m:t>
            </m:r>
          </m:sub>
        </m:sSub>
      </m:oMath>
      <w:r>
        <w:rPr>
          <w:lang w:val="en-GB"/>
        </w:rPr>
        <w:t xml:space="preserve"> is the reflux ratio</w:t>
      </w:r>
      <w:r w:rsidR="0067759E">
        <w:rPr>
          <w:lang w:val="en-GB"/>
        </w:rPr>
        <w:t xml:space="preserve">, </w:t>
      </w:r>
      <m:oMath>
        <m:sSub>
          <m:sSubPr>
            <m:ctrlPr>
              <w:rPr>
                <w:rFonts w:ascii="Cambria Math" w:hAnsi="Cambria Math"/>
                <w:i/>
                <w:lang w:val="en-GB"/>
              </w:rPr>
            </m:ctrlPr>
          </m:sSubPr>
          <m:e>
            <m:r>
              <w:rPr>
                <w:rFonts w:ascii="Cambria Math"/>
                <w:lang w:val="en-GB"/>
              </w:rPr>
              <m:t>F</m:t>
            </m:r>
          </m:e>
          <m:sub>
            <m:r>
              <w:rPr>
                <w:rFonts w:ascii="Cambria Math"/>
                <w:lang w:val="en-GB"/>
              </w:rPr>
              <m:t>L</m:t>
            </m:r>
          </m:sub>
        </m:sSub>
      </m:oMath>
      <w:r w:rsidR="0067759E">
        <w:rPr>
          <w:lang w:val="en-GB"/>
        </w:rPr>
        <w:t xml:space="preserve"> is the interconnection liquid flow rate and </w:t>
      </w:r>
      <m:oMath>
        <m:sSub>
          <m:sSubPr>
            <m:ctrlPr>
              <w:rPr>
                <w:rFonts w:ascii="Cambria Math" w:hAnsi="Cambria Math"/>
                <w:i/>
                <w:lang w:val="en-GB"/>
              </w:rPr>
            </m:ctrlPr>
          </m:sSubPr>
          <m:e>
            <m:r>
              <w:rPr>
                <w:rFonts w:ascii="Cambria Math"/>
                <w:lang w:val="en-GB"/>
              </w:rPr>
              <m:t>F</m:t>
            </m:r>
          </m:e>
          <m:sub>
            <m:r>
              <w:rPr>
                <w:rFonts w:ascii="Cambria Math"/>
                <w:lang w:val="en-GB"/>
              </w:rPr>
              <m:t>V</m:t>
            </m:r>
          </m:sub>
        </m:sSub>
      </m:oMath>
      <w:r w:rsidR="0067759E">
        <w:rPr>
          <w:lang w:val="en-GB"/>
        </w:rPr>
        <w:t xml:space="preserve"> is the interconnection vapor flow rate. In addition, the optimization problem is </w:t>
      </w:r>
      <w:r w:rsidR="001623D5">
        <w:rPr>
          <w:lang w:val="en-GB"/>
        </w:rPr>
        <w:t>constrained by</w:t>
      </w:r>
      <w:r w:rsidR="0067759E">
        <w:rPr>
          <w:lang w:val="en-GB"/>
        </w:rPr>
        <w:t xml:space="preserve"> the purities of bioethanol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b</m:t>
            </m:r>
          </m:sub>
        </m:sSub>
      </m:oMath>
      <w:r w:rsidR="0067759E">
        <w:rPr>
          <w:lang w:val="en-GB"/>
        </w:rPr>
        <w:t>) and glycerol (</w:t>
      </w:r>
      <m:oMath>
        <m:sSub>
          <m:sSubPr>
            <m:ctrlPr>
              <w:rPr>
                <w:rFonts w:ascii="Cambria Math" w:hAnsi="Cambria Math"/>
                <w:i/>
                <w:lang w:val="en-GB"/>
              </w:rPr>
            </m:ctrlPr>
          </m:sSubPr>
          <m:e>
            <m:r>
              <w:rPr>
                <w:rFonts w:ascii="Cambria Math" w:hAnsi="Cambria Math"/>
                <w:lang w:val="en-GB"/>
              </w:rPr>
              <m:t>y</m:t>
            </m:r>
          </m:e>
          <m:sub>
            <m:r>
              <w:rPr>
                <w:rFonts w:ascii="Cambria Math" w:hAnsi="Cambria Math"/>
                <w:lang w:val="en-GB"/>
              </w:rPr>
              <m:t>g</m:t>
            </m:r>
          </m:sub>
        </m:sSub>
      </m:oMath>
      <w:r w:rsidR="0067759E">
        <w:rPr>
          <w:lang w:val="en-GB"/>
        </w:rPr>
        <w:t xml:space="preserve">), that must be equal to or greater than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b</m:t>
            </m:r>
          </m:sub>
        </m:sSub>
      </m:oMath>
      <w:r w:rsidR="0067759E">
        <w:rPr>
          <w:lang w:val="en-GB"/>
        </w:rPr>
        <w:t xml:space="preserve"> and </w:t>
      </w:r>
      <m:oMath>
        <m:sSub>
          <m:sSubPr>
            <m:ctrlPr>
              <w:rPr>
                <w:rFonts w:ascii="Cambria Math" w:hAnsi="Cambria Math"/>
                <w:i/>
                <w:lang w:val="en-GB"/>
              </w:rPr>
            </m:ctrlPr>
          </m:sSubPr>
          <m:e>
            <m:r>
              <w:rPr>
                <w:rFonts w:ascii="Cambria Math" w:hAnsi="Cambria Math"/>
                <w:lang w:val="en-GB"/>
              </w:rPr>
              <m:t>x</m:t>
            </m:r>
          </m:e>
          <m:sub>
            <m:r>
              <w:rPr>
                <w:rFonts w:ascii="Cambria Math" w:hAnsi="Cambria Math"/>
                <w:lang w:val="en-GB"/>
              </w:rPr>
              <m:t>g</m:t>
            </m:r>
          </m:sub>
        </m:sSub>
      </m:oMath>
      <w:r w:rsidR="0067759E">
        <w:rPr>
          <w:lang w:val="en-GB"/>
        </w:rPr>
        <w:t xml:space="preserve">, respectively. </w:t>
      </w:r>
      <w:r w:rsidR="001623D5">
        <w:rPr>
          <w:lang w:val="en-GB"/>
        </w:rPr>
        <w:t>Moreover,</w:t>
      </w:r>
      <w:r w:rsidR="0067759E">
        <w:rPr>
          <w:lang w:val="en-GB"/>
        </w:rPr>
        <w:t xml:space="preserve"> the recover</w:t>
      </w:r>
      <w:r w:rsidR="00A14F7F">
        <w:rPr>
          <w:lang w:val="en-GB"/>
        </w:rPr>
        <w:t>ies</w:t>
      </w:r>
      <w:r w:rsidR="0067759E">
        <w:rPr>
          <w:lang w:val="en-GB"/>
        </w:rPr>
        <w:t xml:space="preserve"> of bioethanol (</w:t>
      </w: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b</m:t>
            </m:r>
          </m:sub>
        </m:sSub>
      </m:oMath>
      <w:r w:rsidR="0067759E">
        <w:rPr>
          <w:lang w:val="en-GB"/>
        </w:rPr>
        <w:t>) and glycerol (</w:t>
      </w:r>
      <m:oMath>
        <m:sSub>
          <m:sSubPr>
            <m:ctrlPr>
              <w:rPr>
                <w:rFonts w:ascii="Cambria Math" w:hAnsi="Cambria Math"/>
                <w:i/>
                <w:lang w:val="en-GB"/>
              </w:rPr>
            </m:ctrlPr>
          </m:sSubPr>
          <m:e>
            <m:r>
              <w:rPr>
                <w:rFonts w:ascii="Cambria Math" w:hAnsi="Cambria Math"/>
                <w:lang w:val="en-GB"/>
              </w:rPr>
              <m:t>w</m:t>
            </m:r>
          </m:e>
          <m:sub>
            <m:r>
              <w:rPr>
                <w:rFonts w:ascii="Cambria Math" w:hAnsi="Cambria Math"/>
                <w:lang w:val="en-GB"/>
              </w:rPr>
              <m:t>g</m:t>
            </m:r>
          </m:sub>
        </m:sSub>
      </m:oMath>
      <w:r w:rsidR="0067759E">
        <w:rPr>
          <w:lang w:val="en-GB"/>
        </w:rPr>
        <w:t xml:space="preserve">), must be equal to or greater than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b</m:t>
            </m:r>
          </m:sub>
        </m:sSub>
      </m:oMath>
      <w:r w:rsidR="0067759E">
        <w:rPr>
          <w:lang w:val="en-GB"/>
        </w:rPr>
        <w:t xml:space="preserve"> and </w:t>
      </w:r>
      <m:oMath>
        <m:sSub>
          <m:sSubPr>
            <m:ctrlPr>
              <w:rPr>
                <w:rFonts w:ascii="Cambria Math" w:hAnsi="Cambria Math"/>
                <w:i/>
                <w:lang w:val="en-GB"/>
              </w:rPr>
            </m:ctrlPr>
          </m:sSubPr>
          <m:e>
            <m:r>
              <w:rPr>
                <w:rFonts w:ascii="Cambria Math" w:hAnsi="Cambria Math"/>
                <w:lang w:val="en-GB"/>
              </w:rPr>
              <m:t>u</m:t>
            </m:r>
          </m:e>
          <m:sub>
            <m:r>
              <w:rPr>
                <w:rFonts w:ascii="Cambria Math" w:hAnsi="Cambria Math"/>
                <w:lang w:val="en-GB"/>
              </w:rPr>
              <m:t>g</m:t>
            </m:r>
          </m:sub>
        </m:sSub>
      </m:oMath>
      <w:r w:rsidR="0067759E">
        <w:rPr>
          <w:lang w:val="en-GB"/>
        </w:rPr>
        <w:t>, respectively.</w:t>
      </w:r>
      <w:r w:rsidR="0025524D">
        <w:rPr>
          <w:lang w:val="en-GB"/>
        </w:rPr>
        <w:t xml:space="preserve"> </w:t>
      </w:r>
      <w:r w:rsidR="00633081" w:rsidRPr="00633081">
        <w:rPr>
          <w:lang w:val="en-GB"/>
        </w:rPr>
        <w:t>Due to the large number of local solutions and the nonlinear</w:t>
      </w:r>
      <w:r w:rsidR="004C420C">
        <w:rPr>
          <w:lang w:val="en-GB"/>
        </w:rPr>
        <w:t>ity of the model of the</w:t>
      </w:r>
      <w:r w:rsidR="00633081" w:rsidRPr="00633081">
        <w:rPr>
          <w:lang w:val="en-GB"/>
        </w:rPr>
        <w:t xml:space="preserve"> process, </w:t>
      </w:r>
      <w:r w:rsidR="00A14F7F">
        <w:rPr>
          <w:lang w:val="en-GB"/>
        </w:rPr>
        <w:t xml:space="preserve">the use of a </w:t>
      </w:r>
      <w:r w:rsidR="00633081" w:rsidRPr="00633081">
        <w:rPr>
          <w:lang w:val="en-GB"/>
        </w:rPr>
        <w:t xml:space="preserve">stochastic search algorithm </w:t>
      </w:r>
      <w:r w:rsidR="00A14F7F">
        <w:rPr>
          <w:lang w:val="en-GB"/>
        </w:rPr>
        <w:t>is</w:t>
      </w:r>
      <w:r w:rsidR="00633081" w:rsidRPr="00633081">
        <w:rPr>
          <w:lang w:val="en-GB"/>
        </w:rPr>
        <w:t xml:space="preserve"> proposed</w:t>
      </w:r>
      <w:r w:rsidR="00BD422B">
        <w:rPr>
          <w:lang w:val="en-GB"/>
        </w:rPr>
        <w:t xml:space="preserve">. </w:t>
      </w:r>
      <w:r w:rsidR="00DE33A5">
        <w:rPr>
          <w:lang w:val="en-GB"/>
        </w:rPr>
        <w:t>DETL</w:t>
      </w:r>
      <w:r w:rsidR="00633081">
        <w:rPr>
          <w:lang w:val="en-GB"/>
        </w:rPr>
        <w:t xml:space="preserve"> was used as the optimization algorithm</w:t>
      </w:r>
      <w:r w:rsidR="007F409F">
        <w:rPr>
          <w:lang w:val="en-GB"/>
        </w:rPr>
        <w:t xml:space="preserve"> </w:t>
      </w:r>
      <w:r w:rsidR="007F409F" w:rsidRPr="007F409F">
        <w:rPr>
          <w:lang w:val="en-GB"/>
        </w:rPr>
        <w:t xml:space="preserve">since it has demonstrated its ability to solve constrained optimization problems </w:t>
      </w:r>
      <w:r w:rsidR="00693095">
        <w:rPr>
          <w:lang w:val="en-GB"/>
        </w:rPr>
        <w:t>common</w:t>
      </w:r>
      <w:r w:rsidR="007F409F" w:rsidRPr="007F409F">
        <w:rPr>
          <w:lang w:val="en-GB"/>
        </w:rPr>
        <w:t xml:space="preserve"> in chemical engineering</w:t>
      </w:r>
      <w:r w:rsidR="007F409F">
        <w:rPr>
          <w:lang w:val="en-GB"/>
        </w:rPr>
        <w:t xml:space="preserve"> (Sánchez-Ramírez et al., 2015). To implement the optimization algorithm, Aspen Plus was linked to Python with data storage in Excel. The DETL algorithm was coded in Python with the PyWin32 library, allowing the access to the Windows Component Object Model (COM). </w:t>
      </w:r>
      <w:r w:rsidR="00EE4D5D">
        <w:rPr>
          <w:lang w:val="en-GB"/>
        </w:rPr>
        <w:t>Pandas’</w:t>
      </w:r>
      <w:r w:rsidR="007F409F">
        <w:rPr>
          <w:lang w:val="en-GB"/>
        </w:rPr>
        <w:t xml:space="preserve"> library was used for the analysis and storage of data in Excel. </w:t>
      </w:r>
      <w:r w:rsidR="00EE4D5D">
        <w:rPr>
          <w:lang w:val="en-GB"/>
        </w:rPr>
        <w:t xml:space="preserve">Therefore, in this work the proposed schemes were optimized using DETL method through a link using Python and Aspen Plus. </w:t>
      </w:r>
      <w:r w:rsidR="00BF4F74" w:rsidRPr="00BF4F74">
        <w:rPr>
          <w:lang w:val="en-GB"/>
        </w:rPr>
        <w:t>The decision variables are sent from Python to Aspen via COM technology for evaluation. After the simulation is performed, Aspen returns the values needed for the calculation of the objective function to Python and new decision variables are proposed according to the optimization method used. Finally, the data of the variables and objective functions are saved in a vector and sent to an Excel file for analysis</w:t>
      </w:r>
      <w:r w:rsidR="00BF4F74">
        <w:rPr>
          <w:lang w:val="en-GB"/>
        </w:rPr>
        <w:t xml:space="preserve">. For the optimization of the process, the following parameters are used for the DETL method: 120 individuals, </w:t>
      </w:r>
      <w:r w:rsidR="00830079">
        <w:rPr>
          <w:lang w:val="en-GB"/>
        </w:rPr>
        <w:t>2</w:t>
      </w:r>
      <w:r w:rsidR="00BF4F74">
        <w:rPr>
          <w:lang w:val="en-GB"/>
        </w:rPr>
        <w:t>00 generations, a taboo list of 50% of the total individuals, a Taboo radius of 0.0001, 0.3 of amplification factor and 0.9 of crossover rate (Alcocer-García et al., 2019).</w:t>
      </w:r>
    </w:p>
    <w:p w14:paraId="144DE6A5" w14:textId="507B601B" w:rsidR="008D2649" w:rsidRPr="00A94774" w:rsidRDefault="006B14AB" w:rsidP="008D2649">
      <w:pPr>
        <w:pStyle w:val="Els-1storder-head"/>
        <w:spacing w:after="120"/>
        <w:rPr>
          <w:lang w:val="en-GB"/>
        </w:rPr>
      </w:pPr>
      <w:r>
        <w:rPr>
          <w:lang w:val="en-GB"/>
        </w:rPr>
        <w:t>Results</w:t>
      </w:r>
    </w:p>
    <w:p w14:paraId="3A244992" w14:textId="31869173" w:rsidR="007A59AB" w:rsidRDefault="000B38C6" w:rsidP="007A59AB">
      <w:pPr>
        <w:pStyle w:val="Els-body-text"/>
        <w:spacing w:before="120" w:after="120" w:line="264" w:lineRule="auto"/>
        <w:rPr>
          <w:lang w:val="en-GB"/>
        </w:rPr>
      </w:pPr>
      <w:r>
        <w:rPr>
          <w:lang w:val="en-GB"/>
        </w:rPr>
        <w:t xml:space="preserve">This section </w:t>
      </w:r>
      <w:r w:rsidR="002D0141">
        <w:rPr>
          <w:lang w:val="en-GB"/>
        </w:rPr>
        <w:t>presents</w:t>
      </w:r>
      <w:r>
        <w:rPr>
          <w:lang w:val="en-GB"/>
        </w:rPr>
        <w:t xml:space="preserve"> the main results of the economic optimization </w:t>
      </w:r>
      <w:r w:rsidR="00893F25">
        <w:rPr>
          <w:lang w:val="en-GB"/>
        </w:rPr>
        <w:t>for</w:t>
      </w:r>
      <w:r>
        <w:rPr>
          <w:lang w:val="en-GB"/>
        </w:rPr>
        <w:t xml:space="preserve"> all the schemes. </w:t>
      </w:r>
      <w:r w:rsidR="007A59AB" w:rsidRPr="007A59AB">
        <w:rPr>
          <w:lang w:val="en-GB"/>
        </w:rPr>
        <w:t xml:space="preserve">For the three cases, the first heat exchanger operates with a flow rate of 122,621.1 kg/h at 233 ºC, while the second heat exchanger operates with a flow rate of 397,702.6 kg/h at 24 ºC. In the case of the first column, </w:t>
      </w:r>
      <w:r w:rsidR="00893F25">
        <w:rPr>
          <w:lang w:val="en-GB"/>
        </w:rPr>
        <w:t>it has</w:t>
      </w:r>
      <w:r w:rsidR="007A59AB" w:rsidRPr="007A59AB">
        <w:rPr>
          <w:lang w:val="en-GB"/>
        </w:rPr>
        <w:t xml:space="preserve"> 25 stages with a </w:t>
      </w:r>
      <w:r w:rsidR="00E8412C">
        <w:rPr>
          <w:lang w:val="en-GB"/>
        </w:rPr>
        <w:t xml:space="preserve">feed </w:t>
      </w:r>
      <w:r w:rsidR="007A59AB" w:rsidRPr="007A59AB">
        <w:rPr>
          <w:lang w:val="en-GB"/>
        </w:rPr>
        <w:t xml:space="preserve">flow rate of 1,157,377.6 kg/h, having the </w:t>
      </w:r>
      <w:r w:rsidR="00DB1ABA">
        <w:rPr>
          <w:lang w:val="en-GB"/>
        </w:rPr>
        <w:t>side</w:t>
      </w:r>
      <w:r w:rsidR="007A59AB" w:rsidRPr="007A59AB">
        <w:rPr>
          <w:lang w:val="en-GB"/>
        </w:rPr>
        <w:t xml:space="preserve"> outlet</w:t>
      </w:r>
      <w:r w:rsidR="00DB1ABA">
        <w:rPr>
          <w:lang w:val="en-GB"/>
        </w:rPr>
        <w:t xml:space="preserve"> located</w:t>
      </w:r>
      <w:r w:rsidR="007A59AB" w:rsidRPr="007A59AB">
        <w:rPr>
          <w:lang w:val="en-GB"/>
        </w:rPr>
        <w:t xml:space="preserve"> in stage 7 with a flow rate of 28,000.2 kg/h. </w:t>
      </w:r>
      <w:r w:rsidR="006F2F8A">
        <w:rPr>
          <w:lang w:val="en-GB"/>
        </w:rPr>
        <w:t>T</w:t>
      </w:r>
      <w:r w:rsidR="007A59AB" w:rsidRPr="007A59AB">
        <w:rPr>
          <w:lang w:val="en-GB"/>
        </w:rPr>
        <w:t>he configurations</w:t>
      </w:r>
      <w:r w:rsidR="006F2F8A">
        <w:rPr>
          <w:lang w:val="en-GB"/>
        </w:rPr>
        <w:t xml:space="preserve"> for the other columns</w:t>
      </w:r>
      <w:r w:rsidR="007A59AB" w:rsidRPr="007A59AB">
        <w:rPr>
          <w:lang w:val="en-GB"/>
        </w:rPr>
        <w:t xml:space="preserve"> are shown in Table 1. </w:t>
      </w:r>
      <w:r w:rsidR="007A59AB" w:rsidRPr="00B31C62">
        <w:rPr>
          <w:lang w:val="en-GB"/>
        </w:rPr>
        <w:t xml:space="preserve">Figure </w:t>
      </w:r>
      <w:r w:rsidR="00E34CE2">
        <w:rPr>
          <w:lang w:val="en-GB"/>
        </w:rPr>
        <w:t>2</w:t>
      </w:r>
      <w:r w:rsidR="007A59AB" w:rsidRPr="00B31C62">
        <w:rPr>
          <w:lang w:val="en-GB"/>
        </w:rPr>
        <w:t xml:space="preserve"> shows the results regarding the total </w:t>
      </w:r>
      <w:r w:rsidR="007A59AB">
        <w:rPr>
          <w:lang w:val="en-GB"/>
        </w:rPr>
        <w:t>heat duty</w:t>
      </w:r>
      <w:r w:rsidR="007A59AB" w:rsidRPr="00B31C62">
        <w:rPr>
          <w:lang w:val="en-GB"/>
        </w:rPr>
        <w:t xml:space="preserve"> of the optimized equipment for each scheme as well as the total TAC in thousands of dollars per year. In the three cases, the highest cost is derived from the capital cost, representing 85% of the total </w:t>
      </w:r>
      <w:r w:rsidR="007A59AB">
        <w:rPr>
          <w:lang w:val="en-GB"/>
        </w:rPr>
        <w:t>TAC</w:t>
      </w:r>
      <w:r w:rsidR="007A59AB" w:rsidRPr="00B31C62">
        <w:rPr>
          <w:lang w:val="en-GB"/>
        </w:rPr>
        <w:t>, due to the magnitude of the process, which can recover up to 12,242.4 kg/h of bioethanol. In the two intensified schemes, 99% bioethanol purity and 99% glycerol recovery and purity are achieved. However, in the case of bioethanol recovery, it is observed that with respect to the total amount that leaves the conversion process</w:t>
      </w:r>
      <w:r w:rsidR="006F2F8A">
        <w:rPr>
          <w:lang w:val="en-GB"/>
        </w:rPr>
        <w:t>,</w:t>
      </w:r>
      <w:r w:rsidR="007A59AB">
        <w:rPr>
          <w:lang w:val="en-GB"/>
        </w:rPr>
        <w:t xml:space="preserve"> </w:t>
      </w:r>
      <w:r w:rsidR="007A59AB" w:rsidRPr="00B31C62">
        <w:rPr>
          <w:lang w:val="en-GB"/>
        </w:rPr>
        <w:t xml:space="preserve">the CTC scheme only has a 96.5% recovery, </w:t>
      </w:r>
      <w:r w:rsidR="00E46FAA">
        <w:rPr>
          <w:lang w:val="en-GB"/>
        </w:rPr>
        <w:t>while</w:t>
      </w:r>
      <w:r w:rsidR="007A59AB" w:rsidRPr="00B31C62">
        <w:rPr>
          <w:lang w:val="en-GB"/>
        </w:rPr>
        <w:t xml:space="preserve"> the other two schemes </w:t>
      </w:r>
      <w:r w:rsidR="00E46FAA">
        <w:rPr>
          <w:lang w:val="en-GB"/>
        </w:rPr>
        <w:t>have</w:t>
      </w:r>
      <w:r w:rsidR="007A59AB" w:rsidRPr="00B31C62">
        <w:rPr>
          <w:lang w:val="en-GB"/>
        </w:rPr>
        <w:t xml:space="preserve"> a </w:t>
      </w:r>
      <w:r w:rsidR="00E46FAA">
        <w:rPr>
          <w:lang w:val="en-GB"/>
        </w:rPr>
        <w:t xml:space="preserve">recovery of </w:t>
      </w:r>
      <w:r w:rsidR="007A59AB" w:rsidRPr="00B31C62">
        <w:rPr>
          <w:lang w:val="en-GB"/>
        </w:rPr>
        <w:t>97%. The conventional scheme has the lowest thermal load</w:t>
      </w:r>
      <w:r w:rsidR="0063525E">
        <w:rPr>
          <w:lang w:val="en-GB"/>
        </w:rPr>
        <w:t xml:space="preserve"> with a value of 38.5 kW/kg of bioethanol</w:t>
      </w:r>
      <w:r w:rsidR="007A59AB" w:rsidRPr="00B31C62">
        <w:rPr>
          <w:lang w:val="en-GB"/>
        </w:rPr>
        <w:t xml:space="preserve">, in defiance of the efforts </w:t>
      </w:r>
      <w:r w:rsidR="007A59AB" w:rsidRPr="00B31C62">
        <w:rPr>
          <w:lang w:val="en-GB"/>
        </w:rPr>
        <w:lastRenderedPageBreak/>
        <w:t xml:space="preserve">to reduce the load in the proposed schemes. Concerning the TAC, the TCC scheme is the closest to the </w:t>
      </w:r>
      <w:r w:rsidR="002733AB">
        <w:rPr>
          <w:lang w:val="en-GB"/>
        </w:rPr>
        <w:t>CS</w:t>
      </w:r>
      <w:r w:rsidR="007A59AB" w:rsidRPr="00B31C62">
        <w:rPr>
          <w:lang w:val="en-GB"/>
        </w:rPr>
        <w:t xml:space="preserve">, with a TAC increase of 0.18 </w:t>
      </w:r>
      <w:r w:rsidR="00E8412C">
        <w:rPr>
          <w:lang w:val="en-GB"/>
        </w:rPr>
        <w:t xml:space="preserve">% </w:t>
      </w:r>
      <w:r w:rsidR="007A59AB" w:rsidRPr="00B31C62">
        <w:rPr>
          <w:lang w:val="en-GB"/>
        </w:rPr>
        <w:t>but reducing the use of a column</w:t>
      </w:r>
      <w:r w:rsidR="007A59AB">
        <w:rPr>
          <w:lang w:val="en-GB"/>
        </w:rPr>
        <w:t xml:space="preserve"> and a cost of 2.91 USD/kg of bioethanol.</w:t>
      </w:r>
    </w:p>
    <w:p w14:paraId="526A7537" w14:textId="538C5F9C" w:rsidR="000B38C6" w:rsidRPr="00464D13" w:rsidRDefault="000B38C6" w:rsidP="000B38C6">
      <w:pPr>
        <w:pStyle w:val="Els-body-text"/>
        <w:jc w:val="center"/>
        <w:rPr>
          <w:sz w:val="18"/>
          <w:szCs w:val="18"/>
        </w:rPr>
      </w:pPr>
      <w:r w:rsidRPr="00464D13">
        <w:rPr>
          <w:b/>
          <w:bCs/>
          <w:sz w:val="18"/>
          <w:szCs w:val="18"/>
        </w:rPr>
        <w:t xml:space="preserve">Table </w:t>
      </w:r>
      <w:r>
        <w:rPr>
          <w:b/>
          <w:bCs/>
          <w:sz w:val="18"/>
          <w:szCs w:val="18"/>
        </w:rPr>
        <w:t>1</w:t>
      </w:r>
      <w:r w:rsidRPr="00464D13">
        <w:rPr>
          <w:b/>
          <w:bCs/>
          <w:sz w:val="18"/>
          <w:szCs w:val="18"/>
        </w:rPr>
        <w:t>:</w:t>
      </w:r>
      <w:r w:rsidRPr="00464D13">
        <w:rPr>
          <w:sz w:val="18"/>
          <w:szCs w:val="18"/>
        </w:rPr>
        <w:t xml:space="preserve"> </w:t>
      </w:r>
      <w:r>
        <w:rPr>
          <w:sz w:val="18"/>
          <w:szCs w:val="18"/>
        </w:rPr>
        <w:t>Comparison of schemes</w:t>
      </w:r>
      <w:r w:rsidR="00CA63E3">
        <w:rPr>
          <w:sz w:val="18"/>
          <w:szCs w:val="18"/>
        </w:rPr>
        <w:t>.</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1686"/>
        <w:gridCol w:w="846"/>
        <w:gridCol w:w="846"/>
        <w:gridCol w:w="846"/>
      </w:tblGrid>
      <w:tr w:rsidR="002D0141" w:rsidRPr="004D36A8" w14:paraId="14ACF526" w14:textId="77777777" w:rsidTr="00DE33A5">
        <w:trPr>
          <w:jc w:val="center"/>
        </w:trPr>
        <w:tc>
          <w:tcPr>
            <w:tcW w:w="0" w:type="auto"/>
            <w:tcBorders>
              <w:top w:val="single" w:sz="4" w:space="0" w:color="auto"/>
              <w:bottom w:val="single" w:sz="4" w:space="0" w:color="auto"/>
            </w:tcBorders>
          </w:tcPr>
          <w:p w14:paraId="41B22291" w14:textId="77777777" w:rsidR="002D0141" w:rsidRPr="004D36A8" w:rsidRDefault="002D0141" w:rsidP="009C4EF6">
            <w:pPr>
              <w:pStyle w:val="Els-body-text"/>
              <w:jc w:val="center"/>
              <w:rPr>
                <w:sz w:val="18"/>
                <w:szCs w:val="18"/>
              </w:rPr>
            </w:pPr>
          </w:p>
        </w:tc>
        <w:tc>
          <w:tcPr>
            <w:tcW w:w="0" w:type="auto"/>
            <w:tcBorders>
              <w:top w:val="single" w:sz="4" w:space="0" w:color="auto"/>
              <w:bottom w:val="single" w:sz="4" w:space="0" w:color="auto"/>
            </w:tcBorders>
            <w:vAlign w:val="center"/>
          </w:tcPr>
          <w:p w14:paraId="1B3C72CC" w14:textId="50F25E65" w:rsidR="002D0141" w:rsidRPr="004D36A8" w:rsidRDefault="002D0141" w:rsidP="009C4EF6">
            <w:pPr>
              <w:pStyle w:val="Els-body-text"/>
              <w:jc w:val="center"/>
              <w:rPr>
                <w:sz w:val="18"/>
                <w:szCs w:val="18"/>
              </w:rPr>
            </w:pPr>
            <w:r w:rsidRPr="004D36A8">
              <w:rPr>
                <w:sz w:val="18"/>
                <w:szCs w:val="18"/>
              </w:rPr>
              <w:t>Variable</w:t>
            </w:r>
          </w:p>
        </w:tc>
        <w:tc>
          <w:tcPr>
            <w:tcW w:w="0" w:type="auto"/>
            <w:tcBorders>
              <w:top w:val="single" w:sz="4" w:space="0" w:color="auto"/>
              <w:bottom w:val="single" w:sz="4" w:space="0" w:color="auto"/>
            </w:tcBorders>
            <w:vAlign w:val="center"/>
          </w:tcPr>
          <w:p w14:paraId="790CADEF" w14:textId="51384F59" w:rsidR="002D0141" w:rsidRPr="004D36A8" w:rsidRDefault="002D0141" w:rsidP="009C4EF6">
            <w:pPr>
              <w:pStyle w:val="Els-body-text"/>
              <w:jc w:val="center"/>
              <w:rPr>
                <w:sz w:val="18"/>
                <w:szCs w:val="18"/>
              </w:rPr>
            </w:pPr>
            <w:r w:rsidRPr="004D36A8">
              <w:rPr>
                <w:sz w:val="18"/>
                <w:szCs w:val="18"/>
              </w:rPr>
              <w:t>CS</w:t>
            </w:r>
          </w:p>
        </w:tc>
        <w:tc>
          <w:tcPr>
            <w:tcW w:w="0" w:type="auto"/>
            <w:tcBorders>
              <w:top w:val="single" w:sz="4" w:space="0" w:color="auto"/>
              <w:bottom w:val="single" w:sz="4" w:space="0" w:color="auto"/>
            </w:tcBorders>
            <w:vAlign w:val="center"/>
          </w:tcPr>
          <w:p w14:paraId="7679A202" w14:textId="4E000136" w:rsidR="002D0141" w:rsidRPr="004D36A8" w:rsidRDefault="002D0141" w:rsidP="009C4EF6">
            <w:pPr>
              <w:pStyle w:val="Els-body-text"/>
              <w:jc w:val="center"/>
              <w:rPr>
                <w:sz w:val="18"/>
                <w:szCs w:val="18"/>
              </w:rPr>
            </w:pPr>
            <w:r w:rsidRPr="004D36A8">
              <w:rPr>
                <w:sz w:val="18"/>
                <w:szCs w:val="18"/>
              </w:rPr>
              <w:t>TCC</w:t>
            </w:r>
          </w:p>
        </w:tc>
        <w:tc>
          <w:tcPr>
            <w:tcW w:w="0" w:type="auto"/>
            <w:tcBorders>
              <w:top w:val="single" w:sz="4" w:space="0" w:color="auto"/>
              <w:bottom w:val="single" w:sz="4" w:space="0" w:color="auto"/>
            </w:tcBorders>
            <w:vAlign w:val="center"/>
          </w:tcPr>
          <w:p w14:paraId="33490E0E" w14:textId="71014F8A" w:rsidR="002D0141" w:rsidRPr="004D36A8" w:rsidRDefault="008163CE" w:rsidP="009C4EF6">
            <w:pPr>
              <w:pStyle w:val="Els-body-text"/>
              <w:jc w:val="center"/>
              <w:rPr>
                <w:sz w:val="18"/>
                <w:szCs w:val="18"/>
              </w:rPr>
            </w:pPr>
            <w:r w:rsidRPr="004D36A8">
              <w:rPr>
                <w:sz w:val="18"/>
                <w:szCs w:val="18"/>
              </w:rPr>
              <w:t>CTC</w:t>
            </w:r>
          </w:p>
        </w:tc>
      </w:tr>
      <w:tr w:rsidR="00CA63E3" w:rsidRPr="004D36A8" w14:paraId="55655919" w14:textId="77777777" w:rsidTr="00DE33A5">
        <w:trPr>
          <w:jc w:val="center"/>
        </w:trPr>
        <w:tc>
          <w:tcPr>
            <w:tcW w:w="0" w:type="auto"/>
            <w:vMerge w:val="restart"/>
            <w:tcBorders>
              <w:top w:val="single" w:sz="4" w:space="0" w:color="auto"/>
              <w:bottom w:val="single" w:sz="4" w:space="0" w:color="auto"/>
            </w:tcBorders>
            <w:vAlign w:val="center"/>
          </w:tcPr>
          <w:p w14:paraId="5A82F2DB" w14:textId="7ECDEDD4" w:rsidR="00CA63E3" w:rsidRPr="004D36A8" w:rsidRDefault="00CA63E3" w:rsidP="00CA63E3">
            <w:pPr>
              <w:pStyle w:val="Els-body-text"/>
              <w:jc w:val="center"/>
              <w:rPr>
                <w:sz w:val="18"/>
                <w:szCs w:val="18"/>
              </w:rPr>
            </w:pPr>
            <w:r w:rsidRPr="004D36A8">
              <w:rPr>
                <w:sz w:val="18"/>
                <w:szCs w:val="18"/>
              </w:rPr>
              <w:t>Column 2</w:t>
            </w:r>
          </w:p>
        </w:tc>
        <w:tc>
          <w:tcPr>
            <w:tcW w:w="0" w:type="auto"/>
            <w:tcBorders>
              <w:top w:val="single" w:sz="4" w:space="0" w:color="auto"/>
            </w:tcBorders>
            <w:vAlign w:val="center"/>
          </w:tcPr>
          <w:p w14:paraId="6CAB928C" w14:textId="73D3393F" w:rsidR="00CA63E3" w:rsidRPr="004D36A8" w:rsidRDefault="00CA63E3" w:rsidP="002D0141">
            <w:pPr>
              <w:pStyle w:val="Els-body-text"/>
              <w:jc w:val="center"/>
              <w:rPr>
                <w:sz w:val="18"/>
                <w:szCs w:val="18"/>
              </w:rPr>
            </w:pPr>
            <w:r w:rsidRPr="004D36A8">
              <w:rPr>
                <w:sz w:val="18"/>
                <w:szCs w:val="18"/>
              </w:rPr>
              <w:t>Number of stages</w:t>
            </w:r>
          </w:p>
        </w:tc>
        <w:tc>
          <w:tcPr>
            <w:tcW w:w="0" w:type="auto"/>
            <w:tcBorders>
              <w:top w:val="single" w:sz="4" w:space="0" w:color="auto"/>
            </w:tcBorders>
            <w:vAlign w:val="center"/>
          </w:tcPr>
          <w:p w14:paraId="0D2200A5" w14:textId="7CE2CA4C" w:rsidR="00CA63E3" w:rsidRPr="004D36A8" w:rsidRDefault="00CA63E3" w:rsidP="002D0141">
            <w:pPr>
              <w:pStyle w:val="Els-body-text"/>
              <w:jc w:val="center"/>
              <w:rPr>
                <w:sz w:val="18"/>
                <w:szCs w:val="18"/>
              </w:rPr>
            </w:pPr>
            <w:r w:rsidRPr="004D36A8">
              <w:rPr>
                <w:sz w:val="18"/>
                <w:szCs w:val="18"/>
              </w:rPr>
              <w:t>19</w:t>
            </w:r>
          </w:p>
        </w:tc>
        <w:tc>
          <w:tcPr>
            <w:tcW w:w="0" w:type="auto"/>
            <w:tcBorders>
              <w:top w:val="single" w:sz="4" w:space="0" w:color="auto"/>
            </w:tcBorders>
            <w:vAlign w:val="center"/>
          </w:tcPr>
          <w:p w14:paraId="6C7F701D" w14:textId="39AF0BC8" w:rsidR="00CA63E3" w:rsidRPr="004D36A8" w:rsidRDefault="00CA63E3" w:rsidP="002D0141">
            <w:pPr>
              <w:pStyle w:val="Els-body-text"/>
              <w:jc w:val="center"/>
              <w:rPr>
                <w:sz w:val="18"/>
                <w:szCs w:val="18"/>
              </w:rPr>
            </w:pPr>
            <w:r w:rsidRPr="004D36A8">
              <w:rPr>
                <w:sz w:val="18"/>
                <w:szCs w:val="18"/>
              </w:rPr>
              <w:t>19</w:t>
            </w:r>
          </w:p>
        </w:tc>
        <w:tc>
          <w:tcPr>
            <w:tcW w:w="0" w:type="auto"/>
            <w:tcBorders>
              <w:top w:val="single" w:sz="4" w:space="0" w:color="auto"/>
            </w:tcBorders>
            <w:vAlign w:val="center"/>
          </w:tcPr>
          <w:p w14:paraId="6FFCEEE2" w14:textId="783D4FBA" w:rsidR="00CA63E3" w:rsidRPr="004D36A8" w:rsidRDefault="00CA63E3" w:rsidP="002D0141">
            <w:pPr>
              <w:pStyle w:val="Els-body-text"/>
              <w:jc w:val="center"/>
              <w:rPr>
                <w:sz w:val="18"/>
                <w:szCs w:val="18"/>
              </w:rPr>
            </w:pPr>
            <w:r w:rsidRPr="004D36A8">
              <w:rPr>
                <w:sz w:val="18"/>
                <w:szCs w:val="18"/>
              </w:rPr>
              <w:t>22</w:t>
            </w:r>
          </w:p>
        </w:tc>
      </w:tr>
      <w:tr w:rsidR="00CA63E3" w:rsidRPr="004D36A8" w14:paraId="3A8FDA9C" w14:textId="77777777" w:rsidTr="00DE33A5">
        <w:trPr>
          <w:jc w:val="center"/>
        </w:trPr>
        <w:tc>
          <w:tcPr>
            <w:tcW w:w="0" w:type="auto"/>
            <w:vMerge/>
            <w:tcBorders>
              <w:bottom w:val="single" w:sz="4" w:space="0" w:color="auto"/>
            </w:tcBorders>
          </w:tcPr>
          <w:p w14:paraId="7E915E41" w14:textId="77777777" w:rsidR="00CA63E3" w:rsidRPr="004D36A8" w:rsidRDefault="00CA63E3" w:rsidP="002D0141">
            <w:pPr>
              <w:pStyle w:val="Els-body-text"/>
              <w:jc w:val="center"/>
              <w:rPr>
                <w:sz w:val="18"/>
                <w:szCs w:val="18"/>
              </w:rPr>
            </w:pPr>
          </w:p>
        </w:tc>
        <w:tc>
          <w:tcPr>
            <w:tcW w:w="0" w:type="auto"/>
            <w:vAlign w:val="center"/>
          </w:tcPr>
          <w:p w14:paraId="29D9DA74" w14:textId="29B22070" w:rsidR="00CA63E3" w:rsidRPr="004D36A8" w:rsidRDefault="00CA63E3" w:rsidP="002D0141">
            <w:pPr>
              <w:pStyle w:val="Els-body-text"/>
              <w:jc w:val="center"/>
              <w:rPr>
                <w:sz w:val="18"/>
                <w:szCs w:val="18"/>
              </w:rPr>
            </w:pPr>
            <w:r w:rsidRPr="004D36A8">
              <w:rPr>
                <w:sz w:val="18"/>
                <w:szCs w:val="18"/>
              </w:rPr>
              <w:t>Distillate rate (kg/h)</w:t>
            </w:r>
          </w:p>
        </w:tc>
        <w:tc>
          <w:tcPr>
            <w:tcW w:w="0" w:type="auto"/>
            <w:vAlign w:val="center"/>
          </w:tcPr>
          <w:p w14:paraId="259E4AEA" w14:textId="0C37EE5B" w:rsidR="00CA63E3" w:rsidRPr="004D36A8" w:rsidRDefault="00CA63E3" w:rsidP="002D0141">
            <w:pPr>
              <w:pStyle w:val="Els-body-text"/>
              <w:jc w:val="center"/>
              <w:rPr>
                <w:sz w:val="18"/>
                <w:szCs w:val="18"/>
              </w:rPr>
            </w:pPr>
            <w:r w:rsidRPr="004D36A8">
              <w:rPr>
                <w:sz w:val="18"/>
                <w:szCs w:val="18"/>
              </w:rPr>
              <w:t>13,215.1</w:t>
            </w:r>
          </w:p>
        </w:tc>
        <w:tc>
          <w:tcPr>
            <w:tcW w:w="0" w:type="auto"/>
            <w:vAlign w:val="center"/>
          </w:tcPr>
          <w:p w14:paraId="44ACC461" w14:textId="17E4FECF" w:rsidR="00CA63E3" w:rsidRPr="004D36A8" w:rsidRDefault="00CA63E3" w:rsidP="002D0141">
            <w:pPr>
              <w:pStyle w:val="Els-body-text"/>
              <w:jc w:val="center"/>
              <w:rPr>
                <w:sz w:val="18"/>
                <w:szCs w:val="18"/>
              </w:rPr>
            </w:pPr>
            <w:r w:rsidRPr="004D36A8">
              <w:rPr>
                <w:sz w:val="18"/>
                <w:szCs w:val="18"/>
              </w:rPr>
              <w:t>13,215.1</w:t>
            </w:r>
          </w:p>
        </w:tc>
        <w:tc>
          <w:tcPr>
            <w:tcW w:w="0" w:type="auto"/>
            <w:vAlign w:val="center"/>
          </w:tcPr>
          <w:p w14:paraId="32F6A11E" w14:textId="79B75330" w:rsidR="00CA63E3" w:rsidRPr="004D36A8" w:rsidRDefault="00CA63E3" w:rsidP="002D0141">
            <w:pPr>
              <w:pStyle w:val="Els-body-text"/>
              <w:jc w:val="center"/>
              <w:rPr>
                <w:sz w:val="18"/>
                <w:szCs w:val="18"/>
              </w:rPr>
            </w:pPr>
            <w:r w:rsidRPr="004D36A8">
              <w:rPr>
                <w:sz w:val="18"/>
                <w:szCs w:val="18"/>
              </w:rPr>
              <w:t>-</w:t>
            </w:r>
          </w:p>
        </w:tc>
      </w:tr>
      <w:tr w:rsidR="00CA63E3" w:rsidRPr="004D36A8" w14:paraId="2571E2AD" w14:textId="77777777" w:rsidTr="00DE33A5">
        <w:trPr>
          <w:jc w:val="center"/>
        </w:trPr>
        <w:tc>
          <w:tcPr>
            <w:tcW w:w="0" w:type="auto"/>
            <w:vMerge/>
            <w:tcBorders>
              <w:bottom w:val="single" w:sz="4" w:space="0" w:color="auto"/>
            </w:tcBorders>
          </w:tcPr>
          <w:p w14:paraId="28FE41BE" w14:textId="77777777" w:rsidR="00CA63E3" w:rsidRPr="004D36A8" w:rsidRDefault="00CA63E3" w:rsidP="002D0141">
            <w:pPr>
              <w:pStyle w:val="Els-body-text"/>
              <w:jc w:val="center"/>
              <w:rPr>
                <w:sz w:val="18"/>
                <w:szCs w:val="18"/>
              </w:rPr>
            </w:pPr>
          </w:p>
        </w:tc>
        <w:tc>
          <w:tcPr>
            <w:tcW w:w="0" w:type="auto"/>
            <w:vAlign w:val="center"/>
          </w:tcPr>
          <w:p w14:paraId="3D2CF0E9" w14:textId="4AF84534" w:rsidR="00CA63E3" w:rsidRPr="004D36A8" w:rsidRDefault="00CA63E3" w:rsidP="002D0141">
            <w:pPr>
              <w:pStyle w:val="Els-body-text"/>
              <w:jc w:val="center"/>
              <w:rPr>
                <w:sz w:val="18"/>
                <w:szCs w:val="18"/>
              </w:rPr>
            </w:pPr>
            <w:r w:rsidRPr="004D36A8">
              <w:rPr>
                <w:sz w:val="18"/>
                <w:szCs w:val="18"/>
              </w:rPr>
              <w:t>Reflux ratio</w:t>
            </w:r>
          </w:p>
        </w:tc>
        <w:tc>
          <w:tcPr>
            <w:tcW w:w="0" w:type="auto"/>
            <w:vAlign w:val="center"/>
          </w:tcPr>
          <w:p w14:paraId="00230127" w14:textId="0B3CF405" w:rsidR="00CA63E3" w:rsidRPr="004D36A8" w:rsidRDefault="00CA63E3" w:rsidP="002D0141">
            <w:pPr>
              <w:pStyle w:val="Els-body-text"/>
              <w:jc w:val="center"/>
              <w:rPr>
                <w:sz w:val="18"/>
                <w:szCs w:val="18"/>
              </w:rPr>
            </w:pPr>
            <w:r w:rsidRPr="004D36A8">
              <w:rPr>
                <w:sz w:val="18"/>
                <w:szCs w:val="18"/>
              </w:rPr>
              <w:t>3.03</w:t>
            </w:r>
          </w:p>
        </w:tc>
        <w:tc>
          <w:tcPr>
            <w:tcW w:w="0" w:type="auto"/>
            <w:vAlign w:val="center"/>
          </w:tcPr>
          <w:p w14:paraId="59EFD4DD" w14:textId="0EFE6B99" w:rsidR="00CA63E3" w:rsidRPr="004D36A8" w:rsidRDefault="00CA63E3" w:rsidP="002D0141">
            <w:pPr>
              <w:pStyle w:val="Els-body-text"/>
              <w:jc w:val="center"/>
              <w:rPr>
                <w:sz w:val="18"/>
                <w:szCs w:val="18"/>
              </w:rPr>
            </w:pPr>
            <w:r w:rsidRPr="004D36A8">
              <w:rPr>
                <w:sz w:val="18"/>
                <w:szCs w:val="18"/>
              </w:rPr>
              <w:t>3.03</w:t>
            </w:r>
          </w:p>
        </w:tc>
        <w:tc>
          <w:tcPr>
            <w:tcW w:w="0" w:type="auto"/>
            <w:vAlign w:val="center"/>
          </w:tcPr>
          <w:p w14:paraId="60C5F5C1" w14:textId="36696970" w:rsidR="00CA63E3" w:rsidRPr="004D36A8" w:rsidRDefault="00CA63E3" w:rsidP="002D0141">
            <w:pPr>
              <w:pStyle w:val="Els-body-text"/>
              <w:jc w:val="center"/>
              <w:rPr>
                <w:sz w:val="18"/>
                <w:szCs w:val="18"/>
              </w:rPr>
            </w:pPr>
            <w:r w:rsidRPr="004D36A8">
              <w:rPr>
                <w:sz w:val="18"/>
                <w:szCs w:val="18"/>
              </w:rPr>
              <w:t>3.54</w:t>
            </w:r>
          </w:p>
        </w:tc>
      </w:tr>
      <w:tr w:rsidR="00CA63E3" w:rsidRPr="004D36A8" w14:paraId="0ABE187D" w14:textId="77777777" w:rsidTr="00DE33A5">
        <w:trPr>
          <w:jc w:val="center"/>
        </w:trPr>
        <w:tc>
          <w:tcPr>
            <w:tcW w:w="0" w:type="auto"/>
            <w:vMerge/>
            <w:tcBorders>
              <w:bottom w:val="single" w:sz="4" w:space="0" w:color="auto"/>
            </w:tcBorders>
          </w:tcPr>
          <w:p w14:paraId="76576F38" w14:textId="77777777" w:rsidR="00CA63E3" w:rsidRPr="004D36A8" w:rsidRDefault="00CA63E3" w:rsidP="002D0141">
            <w:pPr>
              <w:pStyle w:val="Els-body-text"/>
              <w:jc w:val="center"/>
              <w:rPr>
                <w:sz w:val="18"/>
                <w:szCs w:val="18"/>
              </w:rPr>
            </w:pPr>
          </w:p>
        </w:tc>
        <w:tc>
          <w:tcPr>
            <w:tcW w:w="0" w:type="auto"/>
            <w:vAlign w:val="center"/>
          </w:tcPr>
          <w:p w14:paraId="1352B8F9" w14:textId="466D1707" w:rsidR="00CA63E3" w:rsidRPr="004D36A8" w:rsidRDefault="00CA63E3" w:rsidP="002D0141">
            <w:pPr>
              <w:pStyle w:val="Els-body-text"/>
              <w:jc w:val="center"/>
              <w:rPr>
                <w:sz w:val="18"/>
                <w:szCs w:val="18"/>
              </w:rPr>
            </w:pPr>
            <w:r w:rsidRPr="004D36A8">
              <w:rPr>
                <w:sz w:val="18"/>
                <w:szCs w:val="18"/>
              </w:rPr>
              <w:t>Feed stage</w:t>
            </w:r>
          </w:p>
        </w:tc>
        <w:tc>
          <w:tcPr>
            <w:tcW w:w="0" w:type="auto"/>
            <w:vAlign w:val="center"/>
          </w:tcPr>
          <w:p w14:paraId="678EE539" w14:textId="44CCEFA8" w:rsidR="00CA63E3" w:rsidRPr="004D36A8" w:rsidRDefault="00CA63E3" w:rsidP="002D0141">
            <w:pPr>
              <w:pStyle w:val="Els-body-text"/>
              <w:jc w:val="center"/>
              <w:rPr>
                <w:sz w:val="18"/>
                <w:szCs w:val="18"/>
              </w:rPr>
            </w:pPr>
            <w:r w:rsidRPr="004D36A8">
              <w:rPr>
                <w:sz w:val="18"/>
                <w:szCs w:val="18"/>
              </w:rPr>
              <w:t>12</w:t>
            </w:r>
          </w:p>
        </w:tc>
        <w:tc>
          <w:tcPr>
            <w:tcW w:w="0" w:type="auto"/>
            <w:vAlign w:val="center"/>
          </w:tcPr>
          <w:p w14:paraId="6FFCA175" w14:textId="51727EA2" w:rsidR="00CA63E3" w:rsidRPr="004D36A8" w:rsidRDefault="00CA63E3" w:rsidP="002D0141">
            <w:pPr>
              <w:pStyle w:val="Els-body-text"/>
              <w:jc w:val="center"/>
              <w:rPr>
                <w:sz w:val="18"/>
                <w:szCs w:val="18"/>
              </w:rPr>
            </w:pPr>
            <w:r w:rsidRPr="004D36A8">
              <w:rPr>
                <w:sz w:val="18"/>
                <w:szCs w:val="18"/>
              </w:rPr>
              <w:t>12</w:t>
            </w:r>
          </w:p>
        </w:tc>
        <w:tc>
          <w:tcPr>
            <w:tcW w:w="0" w:type="auto"/>
            <w:vAlign w:val="center"/>
          </w:tcPr>
          <w:p w14:paraId="49CAF8F8" w14:textId="24E206CF" w:rsidR="00CA63E3" w:rsidRPr="004D36A8" w:rsidRDefault="00CA63E3" w:rsidP="002D0141">
            <w:pPr>
              <w:pStyle w:val="Els-body-text"/>
              <w:jc w:val="center"/>
              <w:rPr>
                <w:sz w:val="18"/>
                <w:szCs w:val="18"/>
              </w:rPr>
            </w:pPr>
            <w:r w:rsidRPr="004D36A8">
              <w:rPr>
                <w:sz w:val="18"/>
                <w:szCs w:val="18"/>
              </w:rPr>
              <w:t>18</w:t>
            </w:r>
          </w:p>
        </w:tc>
      </w:tr>
      <w:tr w:rsidR="00CA63E3" w:rsidRPr="004D36A8" w14:paraId="3DA68D4D" w14:textId="77777777" w:rsidTr="00DE33A5">
        <w:trPr>
          <w:jc w:val="center"/>
        </w:trPr>
        <w:tc>
          <w:tcPr>
            <w:tcW w:w="0" w:type="auto"/>
            <w:vMerge/>
            <w:tcBorders>
              <w:bottom w:val="single" w:sz="4" w:space="0" w:color="auto"/>
            </w:tcBorders>
          </w:tcPr>
          <w:p w14:paraId="08866B7C" w14:textId="77777777" w:rsidR="00CA63E3" w:rsidRPr="004D36A8" w:rsidRDefault="00CA63E3" w:rsidP="00CA63E3">
            <w:pPr>
              <w:pStyle w:val="Els-body-text"/>
              <w:jc w:val="center"/>
              <w:rPr>
                <w:sz w:val="18"/>
                <w:szCs w:val="18"/>
              </w:rPr>
            </w:pPr>
          </w:p>
        </w:tc>
        <w:tc>
          <w:tcPr>
            <w:tcW w:w="0" w:type="auto"/>
            <w:vAlign w:val="center"/>
          </w:tcPr>
          <w:p w14:paraId="27D6268D" w14:textId="33F4B984" w:rsidR="00CA63E3" w:rsidRPr="004D36A8" w:rsidRDefault="00CA63E3" w:rsidP="00CA63E3">
            <w:pPr>
              <w:pStyle w:val="Els-body-text"/>
              <w:jc w:val="center"/>
              <w:rPr>
                <w:sz w:val="18"/>
                <w:szCs w:val="18"/>
              </w:rPr>
            </w:pPr>
            <w:r w:rsidRPr="004D36A8">
              <w:rPr>
                <w:sz w:val="18"/>
                <w:szCs w:val="18"/>
              </w:rPr>
              <w:t>Bottoms rate (kg/h)</w:t>
            </w:r>
          </w:p>
        </w:tc>
        <w:tc>
          <w:tcPr>
            <w:tcW w:w="0" w:type="auto"/>
            <w:vAlign w:val="center"/>
          </w:tcPr>
          <w:p w14:paraId="5D91B308" w14:textId="2290DE13" w:rsidR="00CA63E3" w:rsidRPr="004D36A8" w:rsidRDefault="00CA63E3" w:rsidP="00CA63E3">
            <w:pPr>
              <w:pStyle w:val="Els-body-text"/>
              <w:jc w:val="center"/>
              <w:rPr>
                <w:sz w:val="18"/>
                <w:szCs w:val="18"/>
              </w:rPr>
            </w:pPr>
            <w:r w:rsidRPr="004D36A8">
              <w:rPr>
                <w:sz w:val="18"/>
                <w:szCs w:val="18"/>
              </w:rPr>
              <w:t>-</w:t>
            </w:r>
          </w:p>
        </w:tc>
        <w:tc>
          <w:tcPr>
            <w:tcW w:w="0" w:type="auto"/>
            <w:vAlign w:val="center"/>
          </w:tcPr>
          <w:p w14:paraId="398E2282" w14:textId="2AA43CA5" w:rsidR="00CA63E3" w:rsidRPr="004D36A8" w:rsidRDefault="00CA63E3" w:rsidP="00CA63E3">
            <w:pPr>
              <w:pStyle w:val="Els-body-text"/>
              <w:jc w:val="center"/>
              <w:rPr>
                <w:sz w:val="18"/>
                <w:szCs w:val="18"/>
              </w:rPr>
            </w:pPr>
            <w:r w:rsidRPr="004D36A8">
              <w:rPr>
                <w:sz w:val="18"/>
                <w:szCs w:val="18"/>
              </w:rPr>
              <w:t>-</w:t>
            </w:r>
          </w:p>
        </w:tc>
        <w:tc>
          <w:tcPr>
            <w:tcW w:w="0" w:type="auto"/>
            <w:vAlign w:val="center"/>
          </w:tcPr>
          <w:p w14:paraId="1CCE9E95" w14:textId="58BFCA83" w:rsidR="00CA63E3" w:rsidRPr="004D36A8" w:rsidRDefault="00CA63E3" w:rsidP="00CA63E3">
            <w:pPr>
              <w:pStyle w:val="Els-body-text"/>
              <w:jc w:val="center"/>
              <w:rPr>
                <w:sz w:val="18"/>
                <w:szCs w:val="18"/>
              </w:rPr>
            </w:pPr>
            <w:r w:rsidRPr="004D36A8">
              <w:rPr>
                <w:sz w:val="18"/>
                <w:szCs w:val="18"/>
              </w:rPr>
              <w:t>28,121.9</w:t>
            </w:r>
          </w:p>
        </w:tc>
      </w:tr>
      <w:tr w:rsidR="00CA63E3" w:rsidRPr="004D36A8" w14:paraId="223F6CBE" w14:textId="77777777" w:rsidTr="00DE33A5">
        <w:trPr>
          <w:jc w:val="center"/>
        </w:trPr>
        <w:tc>
          <w:tcPr>
            <w:tcW w:w="0" w:type="auto"/>
            <w:vMerge/>
            <w:tcBorders>
              <w:bottom w:val="single" w:sz="4" w:space="0" w:color="auto"/>
            </w:tcBorders>
          </w:tcPr>
          <w:p w14:paraId="3EF22DB8" w14:textId="77777777" w:rsidR="00CA63E3" w:rsidRPr="004D36A8" w:rsidRDefault="00CA63E3" w:rsidP="00CA63E3">
            <w:pPr>
              <w:pStyle w:val="Els-body-text"/>
              <w:jc w:val="center"/>
              <w:rPr>
                <w:sz w:val="18"/>
                <w:szCs w:val="18"/>
              </w:rPr>
            </w:pPr>
          </w:p>
        </w:tc>
        <w:tc>
          <w:tcPr>
            <w:tcW w:w="0" w:type="auto"/>
            <w:tcBorders>
              <w:bottom w:val="single" w:sz="4" w:space="0" w:color="auto"/>
            </w:tcBorders>
            <w:vAlign w:val="center"/>
          </w:tcPr>
          <w:p w14:paraId="6BD0BA97" w14:textId="034DCFC6" w:rsidR="00CA63E3" w:rsidRPr="004D36A8" w:rsidRDefault="00CA63E3" w:rsidP="00CA63E3">
            <w:pPr>
              <w:pStyle w:val="Els-body-text"/>
              <w:jc w:val="center"/>
              <w:rPr>
                <w:sz w:val="18"/>
                <w:szCs w:val="18"/>
              </w:rPr>
            </w:pPr>
            <w:r w:rsidRPr="004D36A8">
              <w:rPr>
                <w:sz w:val="18"/>
                <w:szCs w:val="18"/>
              </w:rPr>
              <w:t>Feed Stage Glycerol</w:t>
            </w:r>
          </w:p>
        </w:tc>
        <w:tc>
          <w:tcPr>
            <w:tcW w:w="0" w:type="auto"/>
            <w:tcBorders>
              <w:bottom w:val="single" w:sz="4" w:space="0" w:color="auto"/>
            </w:tcBorders>
            <w:vAlign w:val="center"/>
          </w:tcPr>
          <w:p w14:paraId="41932F63" w14:textId="5B28A3DD" w:rsidR="00CA63E3" w:rsidRPr="004D36A8" w:rsidRDefault="00CA63E3" w:rsidP="00CA63E3">
            <w:pPr>
              <w:pStyle w:val="Els-body-text"/>
              <w:jc w:val="center"/>
              <w:rPr>
                <w:sz w:val="18"/>
                <w:szCs w:val="18"/>
              </w:rPr>
            </w:pPr>
            <w:r w:rsidRPr="004D36A8">
              <w:rPr>
                <w:sz w:val="18"/>
                <w:szCs w:val="18"/>
              </w:rPr>
              <w:t>-</w:t>
            </w:r>
          </w:p>
        </w:tc>
        <w:tc>
          <w:tcPr>
            <w:tcW w:w="0" w:type="auto"/>
            <w:tcBorders>
              <w:bottom w:val="single" w:sz="4" w:space="0" w:color="auto"/>
            </w:tcBorders>
            <w:vAlign w:val="center"/>
          </w:tcPr>
          <w:p w14:paraId="468DBE9C" w14:textId="41233353" w:rsidR="00CA63E3" w:rsidRPr="004D36A8" w:rsidRDefault="00CA63E3" w:rsidP="00CA63E3">
            <w:pPr>
              <w:pStyle w:val="Els-body-text"/>
              <w:jc w:val="center"/>
              <w:rPr>
                <w:sz w:val="18"/>
                <w:szCs w:val="18"/>
              </w:rPr>
            </w:pPr>
            <w:r w:rsidRPr="004D36A8">
              <w:rPr>
                <w:sz w:val="18"/>
                <w:szCs w:val="18"/>
              </w:rPr>
              <w:t>-</w:t>
            </w:r>
          </w:p>
        </w:tc>
        <w:tc>
          <w:tcPr>
            <w:tcW w:w="0" w:type="auto"/>
            <w:tcBorders>
              <w:bottom w:val="single" w:sz="4" w:space="0" w:color="auto"/>
            </w:tcBorders>
            <w:vAlign w:val="center"/>
          </w:tcPr>
          <w:p w14:paraId="46D631C0" w14:textId="7E74C00E" w:rsidR="00CA63E3" w:rsidRPr="004D36A8" w:rsidRDefault="00CA63E3" w:rsidP="00CA63E3">
            <w:pPr>
              <w:pStyle w:val="Els-body-text"/>
              <w:jc w:val="center"/>
              <w:rPr>
                <w:sz w:val="18"/>
                <w:szCs w:val="18"/>
              </w:rPr>
            </w:pPr>
            <w:r w:rsidRPr="004D36A8">
              <w:rPr>
                <w:sz w:val="18"/>
                <w:szCs w:val="18"/>
              </w:rPr>
              <w:t>2</w:t>
            </w:r>
          </w:p>
        </w:tc>
      </w:tr>
      <w:tr w:rsidR="00CA63E3" w:rsidRPr="004D36A8" w14:paraId="2DD1B85C" w14:textId="77777777" w:rsidTr="00DE33A5">
        <w:trPr>
          <w:jc w:val="center"/>
        </w:trPr>
        <w:tc>
          <w:tcPr>
            <w:tcW w:w="0" w:type="auto"/>
            <w:vMerge w:val="restart"/>
            <w:tcBorders>
              <w:top w:val="single" w:sz="4" w:space="0" w:color="auto"/>
              <w:bottom w:val="single" w:sz="4" w:space="0" w:color="auto"/>
            </w:tcBorders>
            <w:vAlign w:val="center"/>
          </w:tcPr>
          <w:p w14:paraId="42AE2E25" w14:textId="362F2F0E" w:rsidR="00CA63E3" w:rsidRPr="004D36A8" w:rsidRDefault="00CA63E3" w:rsidP="00CA63E3">
            <w:pPr>
              <w:pStyle w:val="Els-body-text"/>
              <w:jc w:val="center"/>
              <w:rPr>
                <w:sz w:val="18"/>
                <w:szCs w:val="18"/>
              </w:rPr>
            </w:pPr>
            <w:r w:rsidRPr="004D36A8">
              <w:rPr>
                <w:sz w:val="18"/>
                <w:szCs w:val="18"/>
              </w:rPr>
              <w:t>Column 3</w:t>
            </w:r>
          </w:p>
        </w:tc>
        <w:tc>
          <w:tcPr>
            <w:tcW w:w="0" w:type="auto"/>
            <w:tcBorders>
              <w:top w:val="single" w:sz="4" w:space="0" w:color="auto"/>
            </w:tcBorders>
            <w:vAlign w:val="center"/>
          </w:tcPr>
          <w:p w14:paraId="2F2D0B9F" w14:textId="094824D2" w:rsidR="00CA63E3" w:rsidRPr="004D36A8" w:rsidRDefault="00CA63E3" w:rsidP="00CA63E3">
            <w:pPr>
              <w:pStyle w:val="Els-body-text"/>
              <w:jc w:val="center"/>
              <w:rPr>
                <w:sz w:val="18"/>
                <w:szCs w:val="18"/>
              </w:rPr>
            </w:pPr>
            <w:r w:rsidRPr="004D36A8">
              <w:rPr>
                <w:sz w:val="18"/>
                <w:szCs w:val="18"/>
              </w:rPr>
              <w:t>Number of stages</w:t>
            </w:r>
          </w:p>
        </w:tc>
        <w:tc>
          <w:tcPr>
            <w:tcW w:w="0" w:type="auto"/>
            <w:tcBorders>
              <w:top w:val="single" w:sz="4" w:space="0" w:color="auto"/>
            </w:tcBorders>
            <w:vAlign w:val="center"/>
          </w:tcPr>
          <w:p w14:paraId="6E23A5DB" w14:textId="5D029DC6" w:rsidR="00CA63E3" w:rsidRPr="004D36A8" w:rsidRDefault="00CA63E3" w:rsidP="00CA63E3">
            <w:pPr>
              <w:pStyle w:val="Els-body-text"/>
              <w:jc w:val="center"/>
              <w:rPr>
                <w:sz w:val="18"/>
                <w:szCs w:val="18"/>
              </w:rPr>
            </w:pPr>
            <w:r w:rsidRPr="004D36A8">
              <w:rPr>
                <w:sz w:val="18"/>
                <w:szCs w:val="18"/>
              </w:rPr>
              <w:t>17</w:t>
            </w:r>
          </w:p>
        </w:tc>
        <w:tc>
          <w:tcPr>
            <w:tcW w:w="0" w:type="auto"/>
            <w:tcBorders>
              <w:top w:val="single" w:sz="4" w:space="0" w:color="auto"/>
            </w:tcBorders>
            <w:vAlign w:val="center"/>
          </w:tcPr>
          <w:p w14:paraId="689EAD41" w14:textId="5078EB62" w:rsidR="00CA63E3" w:rsidRPr="004D36A8" w:rsidRDefault="00CA63E3" w:rsidP="00CA63E3">
            <w:pPr>
              <w:pStyle w:val="Els-body-text"/>
              <w:jc w:val="center"/>
              <w:rPr>
                <w:sz w:val="18"/>
                <w:szCs w:val="18"/>
              </w:rPr>
            </w:pPr>
            <w:r w:rsidRPr="004D36A8">
              <w:rPr>
                <w:sz w:val="18"/>
                <w:szCs w:val="18"/>
              </w:rPr>
              <w:t>21</w:t>
            </w:r>
          </w:p>
        </w:tc>
        <w:tc>
          <w:tcPr>
            <w:tcW w:w="0" w:type="auto"/>
            <w:tcBorders>
              <w:top w:val="single" w:sz="4" w:space="0" w:color="auto"/>
            </w:tcBorders>
            <w:vAlign w:val="center"/>
          </w:tcPr>
          <w:p w14:paraId="2A6989A1" w14:textId="7BA2681A" w:rsidR="00CA63E3" w:rsidRPr="004D36A8" w:rsidRDefault="00CA63E3" w:rsidP="00CA63E3">
            <w:pPr>
              <w:pStyle w:val="Els-body-text"/>
              <w:jc w:val="center"/>
              <w:rPr>
                <w:sz w:val="18"/>
                <w:szCs w:val="18"/>
              </w:rPr>
            </w:pPr>
            <w:r w:rsidRPr="004D36A8">
              <w:rPr>
                <w:sz w:val="18"/>
                <w:szCs w:val="18"/>
              </w:rPr>
              <w:t>10</w:t>
            </w:r>
          </w:p>
        </w:tc>
      </w:tr>
      <w:tr w:rsidR="00CA63E3" w:rsidRPr="004D36A8" w14:paraId="33CFDEB9" w14:textId="77777777" w:rsidTr="00DE33A5">
        <w:trPr>
          <w:jc w:val="center"/>
        </w:trPr>
        <w:tc>
          <w:tcPr>
            <w:tcW w:w="0" w:type="auto"/>
            <w:vMerge/>
            <w:tcBorders>
              <w:bottom w:val="single" w:sz="4" w:space="0" w:color="auto"/>
            </w:tcBorders>
          </w:tcPr>
          <w:p w14:paraId="1F239321" w14:textId="77777777" w:rsidR="00CA63E3" w:rsidRPr="004D36A8" w:rsidRDefault="00CA63E3" w:rsidP="00CA63E3">
            <w:pPr>
              <w:pStyle w:val="Els-body-text"/>
              <w:jc w:val="center"/>
              <w:rPr>
                <w:sz w:val="18"/>
                <w:szCs w:val="18"/>
              </w:rPr>
            </w:pPr>
          </w:p>
        </w:tc>
        <w:tc>
          <w:tcPr>
            <w:tcW w:w="0" w:type="auto"/>
            <w:vAlign w:val="center"/>
          </w:tcPr>
          <w:p w14:paraId="32D00965" w14:textId="5F8B1F65" w:rsidR="00CA63E3" w:rsidRPr="004D36A8" w:rsidRDefault="00CA63E3" w:rsidP="00CA63E3">
            <w:pPr>
              <w:pStyle w:val="Els-body-text"/>
              <w:jc w:val="center"/>
              <w:rPr>
                <w:sz w:val="18"/>
                <w:szCs w:val="18"/>
              </w:rPr>
            </w:pPr>
            <w:r w:rsidRPr="004D36A8">
              <w:rPr>
                <w:sz w:val="18"/>
                <w:szCs w:val="18"/>
              </w:rPr>
              <w:t>Distillate rate (kg/h)</w:t>
            </w:r>
          </w:p>
        </w:tc>
        <w:tc>
          <w:tcPr>
            <w:tcW w:w="0" w:type="auto"/>
            <w:vAlign w:val="center"/>
          </w:tcPr>
          <w:p w14:paraId="72052834" w14:textId="20BA0D75" w:rsidR="00CA63E3" w:rsidRPr="004D36A8" w:rsidRDefault="00CA63E3" w:rsidP="00CA63E3">
            <w:pPr>
              <w:pStyle w:val="Els-body-text"/>
              <w:jc w:val="center"/>
              <w:rPr>
                <w:sz w:val="18"/>
                <w:szCs w:val="18"/>
              </w:rPr>
            </w:pPr>
            <w:r w:rsidRPr="004D36A8">
              <w:rPr>
                <w:sz w:val="18"/>
                <w:szCs w:val="18"/>
              </w:rPr>
              <w:t>12,050</w:t>
            </w:r>
          </w:p>
        </w:tc>
        <w:tc>
          <w:tcPr>
            <w:tcW w:w="0" w:type="auto"/>
            <w:vAlign w:val="center"/>
          </w:tcPr>
          <w:p w14:paraId="4AE43BCA" w14:textId="1195CCCE" w:rsidR="00CA63E3" w:rsidRPr="004D36A8" w:rsidRDefault="00CA63E3" w:rsidP="00CA63E3">
            <w:pPr>
              <w:pStyle w:val="Els-body-text"/>
              <w:jc w:val="center"/>
              <w:rPr>
                <w:sz w:val="18"/>
                <w:szCs w:val="18"/>
              </w:rPr>
            </w:pPr>
            <w:r w:rsidRPr="004D36A8">
              <w:rPr>
                <w:sz w:val="18"/>
                <w:szCs w:val="18"/>
              </w:rPr>
              <w:t>11,924.</w:t>
            </w:r>
            <w:r w:rsidR="00DE33A5" w:rsidRPr="004D36A8">
              <w:rPr>
                <w:sz w:val="18"/>
                <w:szCs w:val="18"/>
              </w:rPr>
              <w:t>3</w:t>
            </w:r>
          </w:p>
        </w:tc>
        <w:tc>
          <w:tcPr>
            <w:tcW w:w="0" w:type="auto"/>
            <w:vAlign w:val="center"/>
          </w:tcPr>
          <w:p w14:paraId="30D6999D" w14:textId="20809D2A" w:rsidR="00CA63E3" w:rsidRPr="004D36A8" w:rsidRDefault="00CA63E3" w:rsidP="00CA63E3">
            <w:pPr>
              <w:pStyle w:val="Els-body-text"/>
              <w:jc w:val="center"/>
              <w:rPr>
                <w:sz w:val="18"/>
                <w:szCs w:val="18"/>
              </w:rPr>
            </w:pPr>
            <w:r w:rsidRPr="004D36A8">
              <w:rPr>
                <w:sz w:val="18"/>
                <w:szCs w:val="18"/>
              </w:rPr>
              <w:t>-</w:t>
            </w:r>
          </w:p>
        </w:tc>
      </w:tr>
      <w:tr w:rsidR="00CA63E3" w:rsidRPr="004D36A8" w14:paraId="00E41601" w14:textId="77777777" w:rsidTr="00DE33A5">
        <w:trPr>
          <w:jc w:val="center"/>
        </w:trPr>
        <w:tc>
          <w:tcPr>
            <w:tcW w:w="0" w:type="auto"/>
            <w:vMerge/>
            <w:tcBorders>
              <w:bottom w:val="single" w:sz="4" w:space="0" w:color="auto"/>
            </w:tcBorders>
          </w:tcPr>
          <w:p w14:paraId="6041DB22" w14:textId="77777777" w:rsidR="00CA63E3" w:rsidRPr="004D36A8" w:rsidRDefault="00CA63E3" w:rsidP="00CA63E3">
            <w:pPr>
              <w:pStyle w:val="Els-body-text"/>
              <w:jc w:val="center"/>
              <w:rPr>
                <w:sz w:val="18"/>
                <w:szCs w:val="18"/>
              </w:rPr>
            </w:pPr>
          </w:p>
        </w:tc>
        <w:tc>
          <w:tcPr>
            <w:tcW w:w="0" w:type="auto"/>
            <w:vAlign w:val="center"/>
          </w:tcPr>
          <w:p w14:paraId="59809352" w14:textId="7FC87261" w:rsidR="00CA63E3" w:rsidRPr="004D36A8" w:rsidRDefault="00CA63E3" w:rsidP="00CA63E3">
            <w:pPr>
              <w:pStyle w:val="Els-body-text"/>
              <w:jc w:val="center"/>
              <w:rPr>
                <w:sz w:val="18"/>
                <w:szCs w:val="18"/>
              </w:rPr>
            </w:pPr>
            <w:r w:rsidRPr="004D36A8">
              <w:rPr>
                <w:sz w:val="18"/>
                <w:szCs w:val="18"/>
              </w:rPr>
              <w:t>Feed stage</w:t>
            </w:r>
          </w:p>
        </w:tc>
        <w:tc>
          <w:tcPr>
            <w:tcW w:w="0" w:type="auto"/>
            <w:vAlign w:val="center"/>
          </w:tcPr>
          <w:p w14:paraId="34A0A72D" w14:textId="6F4229BC" w:rsidR="00CA63E3" w:rsidRPr="004D36A8" w:rsidRDefault="00CA63E3" w:rsidP="00CA63E3">
            <w:pPr>
              <w:pStyle w:val="Els-body-text"/>
              <w:jc w:val="center"/>
              <w:rPr>
                <w:sz w:val="18"/>
                <w:szCs w:val="18"/>
              </w:rPr>
            </w:pPr>
            <w:r w:rsidRPr="004D36A8">
              <w:rPr>
                <w:sz w:val="18"/>
                <w:szCs w:val="18"/>
              </w:rPr>
              <w:t>5</w:t>
            </w:r>
          </w:p>
        </w:tc>
        <w:tc>
          <w:tcPr>
            <w:tcW w:w="0" w:type="auto"/>
            <w:vAlign w:val="center"/>
          </w:tcPr>
          <w:p w14:paraId="123A42E4" w14:textId="4490C174" w:rsidR="00CA63E3" w:rsidRPr="004D36A8" w:rsidRDefault="00CA63E3" w:rsidP="00CA63E3">
            <w:pPr>
              <w:pStyle w:val="Els-body-text"/>
              <w:jc w:val="center"/>
              <w:rPr>
                <w:sz w:val="18"/>
                <w:szCs w:val="18"/>
              </w:rPr>
            </w:pPr>
            <w:r w:rsidRPr="004D36A8">
              <w:rPr>
                <w:sz w:val="18"/>
                <w:szCs w:val="18"/>
              </w:rPr>
              <w:t>14</w:t>
            </w:r>
          </w:p>
        </w:tc>
        <w:tc>
          <w:tcPr>
            <w:tcW w:w="0" w:type="auto"/>
            <w:vAlign w:val="center"/>
          </w:tcPr>
          <w:p w14:paraId="6024DAA0" w14:textId="48942F8B" w:rsidR="00CA63E3" w:rsidRPr="004D36A8" w:rsidRDefault="00CA63E3" w:rsidP="00CA63E3">
            <w:pPr>
              <w:pStyle w:val="Els-body-text"/>
              <w:jc w:val="center"/>
              <w:rPr>
                <w:sz w:val="18"/>
                <w:szCs w:val="18"/>
              </w:rPr>
            </w:pPr>
            <w:r w:rsidRPr="004D36A8">
              <w:rPr>
                <w:sz w:val="18"/>
                <w:szCs w:val="18"/>
              </w:rPr>
              <w:t>3</w:t>
            </w:r>
          </w:p>
        </w:tc>
      </w:tr>
      <w:tr w:rsidR="00CA63E3" w:rsidRPr="004D36A8" w14:paraId="0CFC717B" w14:textId="77777777" w:rsidTr="00DE33A5">
        <w:trPr>
          <w:jc w:val="center"/>
        </w:trPr>
        <w:tc>
          <w:tcPr>
            <w:tcW w:w="0" w:type="auto"/>
            <w:vMerge/>
            <w:tcBorders>
              <w:bottom w:val="single" w:sz="4" w:space="0" w:color="auto"/>
            </w:tcBorders>
          </w:tcPr>
          <w:p w14:paraId="5037DD71" w14:textId="77777777" w:rsidR="00CA63E3" w:rsidRPr="004D36A8" w:rsidRDefault="00CA63E3" w:rsidP="00CA63E3">
            <w:pPr>
              <w:pStyle w:val="Els-body-text"/>
              <w:jc w:val="center"/>
              <w:rPr>
                <w:sz w:val="18"/>
                <w:szCs w:val="18"/>
              </w:rPr>
            </w:pPr>
          </w:p>
        </w:tc>
        <w:tc>
          <w:tcPr>
            <w:tcW w:w="0" w:type="auto"/>
            <w:vAlign w:val="center"/>
          </w:tcPr>
          <w:p w14:paraId="0A3728AC" w14:textId="6EEC471E" w:rsidR="00CA63E3" w:rsidRPr="004D36A8" w:rsidRDefault="00CA63E3" w:rsidP="00CA63E3">
            <w:pPr>
              <w:pStyle w:val="Els-body-text"/>
              <w:jc w:val="center"/>
              <w:rPr>
                <w:sz w:val="18"/>
                <w:szCs w:val="18"/>
              </w:rPr>
            </w:pPr>
            <w:r w:rsidRPr="004D36A8">
              <w:rPr>
                <w:sz w:val="18"/>
                <w:szCs w:val="18"/>
              </w:rPr>
              <w:t>Reflux ratio</w:t>
            </w:r>
          </w:p>
        </w:tc>
        <w:tc>
          <w:tcPr>
            <w:tcW w:w="0" w:type="auto"/>
            <w:vAlign w:val="center"/>
          </w:tcPr>
          <w:p w14:paraId="01200230" w14:textId="78BDD13A" w:rsidR="00CA63E3" w:rsidRPr="004D36A8" w:rsidRDefault="00CA63E3" w:rsidP="00CA63E3">
            <w:pPr>
              <w:pStyle w:val="Els-body-text"/>
              <w:jc w:val="center"/>
              <w:rPr>
                <w:sz w:val="18"/>
                <w:szCs w:val="18"/>
              </w:rPr>
            </w:pPr>
            <w:r w:rsidRPr="004D36A8">
              <w:rPr>
                <w:sz w:val="18"/>
                <w:szCs w:val="18"/>
              </w:rPr>
              <w:t>0.30</w:t>
            </w:r>
          </w:p>
        </w:tc>
        <w:tc>
          <w:tcPr>
            <w:tcW w:w="0" w:type="auto"/>
            <w:vAlign w:val="center"/>
          </w:tcPr>
          <w:p w14:paraId="4400ABA7" w14:textId="6E3E38CF" w:rsidR="00CA63E3" w:rsidRPr="004D36A8" w:rsidRDefault="00CA63E3" w:rsidP="00CA63E3">
            <w:pPr>
              <w:pStyle w:val="Els-body-text"/>
              <w:jc w:val="center"/>
              <w:rPr>
                <w:sz w:val="18"/>
                <w:szCs w:val="18"/>
              </w:rPr>
            </w:pPr>
            <w:r w:rsidRPr="004D36A8">
              <w:rPr>
                <w:sz w:val="18"/>
                <w:szCs w:val="18"/>
              </w:rPr>
              <w:t>0.30</w:t>
            </w:r>
          </w:p>
        </w:tc>
        <w:tc>
          <w:tcPr>
            <w:tcW w:w="0" w:type="auto"/>
            <w:vAlign w:val="center"/>
          </w:tcPr>
          <w:p w14:paraId="68C5F2B1" w14:textId="581323B5" w:rsidR="00CA63E3" w:rsidRPr="004D36A8" w:rsidRDefault="00CA63E3" w:rsidP="00CA63E3">
            <w:pPr>
              <w:pStyle w:val="Els-body-text"/>
              <w:jc w:val="center"/>
              <w:rPr>
                <w:sz w:val="18"/>
                <w:szCs w:val="18"/>
              </w:rPr>
            </w:pPr>
            <w:r w:rsidRPr="004D36A8">
              <w:rPr>
                <w:sz w:val="18"/>
                <w:szCs w:val="18"/>
              </w:rPr>
              <w:t>0.30</w:t>
            </w:r>
          </w:p>
        </w:tc>
      </w:tr>
      <w:tr w:rsidR="00CA63E3" w:rsidRPr="004D36A8" w14:paraId="7DE34785" w14:textId="77777777" w:rsidTr="00DE33A5">
        <w:trPr>
          <w:jc w:val="center"/>
        </w:trPr>
        <w:tc>
          <w:tcPr>
            <w:tcW w:w="0" w:type="auto"/>
            <w:vMerge/>
            <w:tcBorders>
              <w:bottom w:val="single" w:sz="4" w:space="0" w:color="auto"/>
            </w:tcBorders>
          </w:tcPr>
          <w:p w14:paraId="793C00BD" w14:textId="77777777" w:rsidR="00CA63E3" w:rsidRPr="004D36A8" w:rsidRDefault="00CA63E3" w:rsidP="00CA63E3">
            <w:pPr>
              <w:pStyle w:val="Els-body-text"/>
              <w:jc w:val="center"/>
              <w:rPr>
                <w:sz w:val="18"/>
                <w:szCs w:val="18"/>
              </w:rPr>
            </w:pPr>
          </w:p>
        </w:tc>
        <w:tc>
          <w:tcPr>
            <w:tcW w:w="0" w:type="auto"/>
            <w:vAlign w:val="center"/>
          </w:tcPr>
          <w:p w14:paraId="0DF54F32" w14:textId="7734FDD3" w:rsidR="00CA63E3" w:rsidRPr="004D36A8" w:rsidRDefault="00CA63E3" w:rsidP="00CA63E3">
            <w:pPr>
              <w:pStyle w:val="Els-body-text"/>
              <w:jc w:val="center"/>
              <w:rPr>
                <w:sz w:val="18"/>
                <w:szCs w:val="18"/>
              </w:rPr>
            </w:pPr>
            <w:r w:rsidRPr="004D36A8">
              <w:rPr>
                <w:sz w:val="18"/>
                <w:szCs w:val="18"/>
              </w:rPr>
              <w:t>Feed Stage Glycerol</w:t>
            </w:r>
          </w:p>
        </w:tc>
        <w:tc>
          <w:tcPr>
            <w:tcW w:w="0" w:type="auto"/>
            <w:vAlign w:val="center"/>
          </w:tcPr>
          <w:p w14:paraId="16EBE072" w14:textId="25109D13" w:rsidR="00CA63E3" w:rsidRPr="004D36A8" w:rsidRDefault="00CA63E3" w:rsidP="00CA63E3">
            <w:pPr>
              <w:pStyle w:val="Els-body-text"/>
              <w:jc w:val="center"/>
              <w:rPr>
                <w:sz w:val="18"/>
                <w:szCs w:val="18"/>
              </w:rPr>
            </w:pPr>
            <w:r w:rsidRPr="004D36A8">
              <w:rPr>
                <w:sz w:val="18"/>
                <w:szCs w:val="18"/>
              </w:rPr>
              <w:t>2</w:t>
            </w:r>
          </w:p>
        </w:tc>
        <w:tc>
          <w:tcPr>
            <w:tcW w:w="0" w:type="auto"/>
            <w:vAlign w:val="center"/>
          </w:tcPr>
          <w:p w14:paraId="720E407D" w14:textId="64165A54" w:rsidR="00CA63E3" w:rsidRPr="004D36A8" w:rsidRDefault="00CA63E3" w:rsidP="00CA63E3">
            <w:pPr>
              <w:pStyle w:val="Els-body-text"/>
              <w:jc w:val="center"/>
              <w:rPr>
                <w:sz w:val="18"/>
                <w:szCs w:val="18"/>
              </w:rPr>
            </w:pPr>
            <w:r w:rsidRPr="004D36A8">
              <w:rPr>
                <w:sz w:val="18"/>
                <w:szCs w:val="18"/>
              </w:rPr>
              <w:t>4</w:t>
            </w:r>
          </w:p>
        </w:tc>
        <w:tc>
          <w:tcPr>
            <w:tcW w:w="0" w:type="auto"/>
            <w:vAlign w:val="center"/>
          </w:tcPr>
          <w:p w14:paraId="27CCFBC4" w14:textId="714DC3D9" w:rsidR="00CA63E3" w:rsidRPr="004D36A8" w:rsidRDefault="00CA63E3" w:rsidP="00CA63E3">
            <w:pPr>
              <w:pStyle w:val="Els-body-text"/>
              <w:jc w:val="center"/>
              <w:rPr>
                <w:sz w:val="18"/>
                <w:szCs w:val="18"/>
              </w:rPr>
            </w:pPr>
            <w:r w:rsidRPr="004D36A8">
              <w:rPr>
                <w:sz w:val="18"/>
                <w:szCs w:val="18"/>
              </w:rPr>
              <w:t>-</w:t>
            </w:r>
          </w:p>
        </w:tc>
      </w:tr>
      <w:tr w:rsidR="00CA63E3" w:rsidRPr="004D36A8" w14:paraId="3BB5FC18" w14:textId="77777777" w:rsidTr="00DE33A5">
        <w:trPr>
          <w:jc w:val="center"/>
        </w:trPr>
        <w:tc>
          <w:tcPr>
            <w:tcW w:w="0" w:type="auto"/>
            <w:vMerge/>
            <w:tcBorders>
              <w:bottom w:val="single" w:sz="4" w:space="0" w:color="auto"/>
            </w:tcBorders>
          </w:tcPr>
          <w:p w14:paraId="40A73211" w14:textId="77777777" w:rsidR="00CA63E3" w:rsidRPr="004D36A8" w:rsidRDefault="00CA63E3" w:rsidP="00CA63E3">
            <w:pPr>
              <w:pStyle w:val="Els-body-text"/>
              <w:jc w:val="center"/>
              <w:rPr>
                <w:sz w:val="18"/>
                <w:szCs w:val="18"/>
              </w:rPr>
            </w:pPr>
          </w:p>
        </w:tc>
        <w:tc>
          <w:tcPr>
            <w:tcW w:w="0" w:type="auto"/>
            <w:vAlign w:val="center"/>
          </w:tcPr>
          <w:p w14:paraId="69389316" w14:textId="55612323" w:rsidR="00CA63E3" w:rsidRPr="004D36A8" w:rsidRDefault="00CA63E3" w:rsidP="00CA63E3">
            <w:pPr>
              <w:pStyle w:val="Els-body-text"/>
              <w:jc w:val="center"/>
              <w:rPr>
                <w:sz w:val="18"/>
                <w:szCs w:val="18"/>
              </w:rPr>
            </w:pPr>
            <w:r w:rsidRPr="004D36A8">
              <w:rPr>
                <w:sz w:val="18"/>
                <w:szCs w:val="18"/>
              </w:rPr>
              <w:t>Bottoms rate (kg/h)</w:t>
            </w:r>
          </w:p>
        </w:tc>
        <w:tc>
          <w:tcPr>
            <w:tcW w:w="0" w:type="auto"/>
            <w:vAlign w:val="center"/>
          </w:tcPr>
          <w:p w14:paraId="3A6F95D3" w14:textId="7A585BAB" w:rsidR="00CA63E3" w:rsidRPr="004D36A8" w:rsidRDefault="00CA63E3" w:rsidP="00CA63E3">
            <w:pPr>
              <w:pStyle w:val="Els-body-text"/>
              <w:jc w:val="center"/>
              <w:rPr>
                <w:sz w:val="18"/>
                <w:szCs w:val="18"/>
              </w:rPr>
            </w:pPr>
            <w:r w:rsidRPr="004D36A8">
              <w:rPr>
                <w:sz w:val="18"/>
                <w:szCs w:val="18"/>
              </w:rPr>
              <w:t>-</w:t>
            </w:r>
          </w:p>
        </w:tc>
        <w:tc>
          <w:tcPr>
            <w:tcW w:w="0" w:type="auto"/>
            <w:vAlign w:val="center"/>
          </w:tcPr>
          <w:p w14:paraId="65D38988" w14:textId="2AC1AC54" w:rsidR="00CA63E3" w:rsidRPr="004D36A8" w:rsidRDefault="00CA63E3" w:rsidP="00CA63E3">
            <w:pPr>
              <w:pStyle w:val="Els-body-text"/>
              <w:jc w:val="center"/>
              <w:rPr>
                <w:sz w:val="18"/>
                <w:szCs w:val="18"/>
              </w:rPr>
            </w:pPr>
            <w:r w:rsidRPr="004D36A8">
              <w:rPr>
                <w:sz w:val="18"/>
                <w:szCs w:val="18"/>
              </w:rPr>
              <w:t>-</w:t>
            </w:r>
          </w:p>
        </w:tc>
        <w:tc>
          <w:tcPr>
            <w:tcW w:w="0" w:type="auto"/>
            <w:vAlign w:val="center"/>
          </w:tcPr>
          <w:p w14:paraId="7F5003FD" w14:textId="4EAAFABC" w:rsidR="00CA63E3" w:rsidRPr="004D36A8" w:rsidRDefault="00CA63E3" w:rsidP="00CA63E3">
            <w:pPr>
              <w:pStyle w:val="Els-body-text"/>
              <w:jc w:val="center"/>
              <w:rPr>
                <w:sz w:val="18"/>
                <w:szCs w:val="18"/>
              </w:rPr>
            </w:pPr>
            <w:r w:rsidRPr="004D36A8">
              <w:rPr>
                <w:sz w:val="18"/>
                <w:szCs w:val="18"/>
              </w:rPr>
              <w:t>12,185</w:t>
            </w:r>
          </w:p>
        </w:tc>
      </w:tr>
      <w:tr w:rsidR="00CA63E3" w:rsidRPr="004D36A8" w14:paraId="0B7C0958" w14:textId="77777777" w:rsidTr="00DE33A5">
        <w:trPr>
          <w:jc w:val="center"/>
        </w:trPr>
        <w:tc>
          <w:tcPr>
            <w:tcW w:w="0" w:type="auto"/>
            <w:vMerge/>
            <w:tcBorders>
              <w:bottom w:val="single" w:sz="4" w:space="0" w:color="auto"/>
            </w:tcBorders>
          </w:tcPr>
          <w:p w14:paraId="6A7B0F70" w14:textId="77777777" w:rsidR="00CA63E3" w:rsidRPr="004D36A8" w:rsidRDefault="00CA63E3" w:rsidP="00CA63E3">
            <w:pPr>
              <w:pStyle w:val="Els-body-text"/>
              <w:jc w:val="center"/>
              <w:rPr>
                <w:sz w:val="18"/>
                <w:szCs w:val="18"/>
              </w:rPr>
            </w:pPr>
          </w:p>
        </w:tc>
        <w:tc>
          <w:tcPr>
            <w:tcW w:w="0" w:type="auto"/>
            <w:vAlign w:val="center"/>
          </w:tcPr>
          <w:p w14:paraId="0E0C1E26" w14:textId="1D526EE3" w:rsidR="00CA63E3" w:rsidRPr="004D36A8" w:rsidRDefault="00CA63E3" w:rsidP="00CA63E3">
            <w:pPr>
              <w:pStyle w:val="Els-body-text"/>
              <w:jc w:val="center"/>
              <w:rPr>
                <w:sz w:val="18"/>
                <w:szCs w:val="18"/>
              </w:rPr>
            </w:pPr>
            <w:r w:rsidRPr="004D36A8">
              <w:rPr>
                <w:sz w:val="18"/>
                <w:szCs w:val="18"/>
              </w:rPr>
              <w:t>Liquid flow stage</w:t>
            </w:r>
          </w:p>
        </w:tc>
        <w:tc>
          <w:tcPr>
            <w:tcW w:w="0" w:type="auto"/>
            <w:vAlign w:val="center"/>
          </w:tcPr>
          <w:p w14:paraId="01ED3ED9" w14:textId="2EDB1EAC" w:rsidR="00CA63E3" w:rsidRPr="004D36A8" w:rsidRDefault="00CA63E3" w:rsidP="00CA63E3">
            <w:pPr>
              <w:pStyle w:val="Els-body-text"/>
              <w:jc w:val="center"/>
              <w:rPr>
                <w:sz w:val="18"/>
                <w:szCs w:val="18"/>
              </w:rPr>
            </w:pPr>
            <w:r w:rsidRPr="004D36A8">
              <w:rPr>
                <w:sz w:val="18"/>
                <w:szCs w:val="18"/>
              </w:rPr>
              <w:t>-</w:t>
            </w:r>
          </w:p>
        </w:tc>
        <w:tc>
          <w:tcPr>
            <w:tcW w:w="0" w:type="auto"/>
            <w:vAlign w:val="center"/>
          </w:tcPr>
          <w:p w14:paraId="0590B04D" w14:textId="6BFFB87F" w:rsidR="00CA63E3" w:rsidRPr="004D36A8" w:rsidRDefault="00CA63E3" w:rsidP="00CA63E3">
            <w:pPr>
              <w:pStyle w:val="Els-body-text"/>
              <w:jc w:val="center"/>
              <w:rPr>
                <w:sz w:val="18"/>
                <w:szCs w:val="18"/>
              </w:rPr>
            </w:pPr>
            <w:r w:rsidRPr="004D36A8">
              <w:rPr>
                <w:sz w:val="18"/>
                <w:szCs w:val="18"/>
              </w:rPr>
              <w:t>19</w:t>
            </w:r>
          </w:p>
        </w:tc>
        <w:tc>
          <w:tcPr>
            <w:tcW w:w="0" w:type="auto"/>
            <w:vAlign w:val="center"/>
          </w:tcPr>
          <w:p w14:paraId="1AC8268F" w14:textId="10D50A38" w:rsidR="00CA63E3" w:rsidRPr="004D36A8" w:rsidRDefault="00CA63E3" w:rsidP="00CA63E3">
            <w:pPr>
              <w:pStyle w:val="Els-body-text"/>
              <w:jc w:val="center"/>
              <w:rPr>
                <w:sz w:val="18"/>
                <w:szCs w:val="18"/>
              </w:rPr>
            </w:pPr>
            <w:r w:rsidRPr="004D36A8">
              <w:rPr>
                <w:sz w:val="18"/>
                <w:szCs w:val="18"/>
              </w:rPr>
              <w:t>-</w:t>
            </w:r>
          </w:p>
        </w:tc>
      </w:tr>
      <w:tr w:rsidR="00CA63E3" w:rsidRPr="004D36A8" w14:paraId="05A3DB7E" w14:textId="77777777" w:rsidTr="00DE33A5">
        <w:trPr>
          <w:jc w:val="center"/>
        </w:trPr>
        <w:tc>
          <w:tcPr>
            <w:tcW w:w="0" w:type="auto"/>
            <w:vMerge/>
            <w:tcBorders>
              <w:bottom w:val="single" w:sz="4" w:space="0" w:color="auto"/>
            </w:tcBorders>
          </w:tcPr>
          <w:p w14:paraId="70CCDFAC" w14:textId="77777777" w:rsidR="00CA63E3" w:rsidRPr="004D36A8" w:rsidRDefault="00CA63E3" w:rsidP="00CA63E3">
            <w:pPr>
              <w:pStyle w:val="Els-body-text"/>
              <w:jc w:val="center"/>
              <w:rPr>
                <w:sz w:val="18"/>
                <w:szCs w:val="18"/>
              </w:rPr>
            </w:pPr>
          </w:p>
        </w:tc>
        <w:tc>
          <w:tcPr>
            <w:tcW w:w="0" w:type="auto"/>
            <w:vAlign w:val="center"/>
          </w:tcPr>
          <w:p w14:paraId="7EADCE2E" w14:textId="7E74B9A0" w:rsidR="00CA63E3" w:rsidRPr="004D36A8" w:rsidRDefault="00CA63E3" w:rsidP="00CA63E3">
            <w:pPr>
              <w:pStyle w:val="Els-body-text"/>
              <w:jc w:val="center"/>
              <w:rPr>
                <w:sz w:val="18"/>
                <w:szCs w:val="18"/>
              </w:rPr>
            </w:pPr>
            <w:r w:rsidRPr="004D36A8">
              <w:rPr>
                <w:sz w:val="18"/>
                <w:szCs w:val="18"/>
              </w:rPr>
              <w:t>Vapor flow stage</w:t>
            </w:r>
          </w:p>
        </w:tc>
        <w:tc>
          <w:tcPr>
            <w:tcW w:w="0" w:type="auto"/>
            <w:vAlign w:val="center"/>
          </w:tcPr>
          <w:p w14:paraId="6CCBAEEC" w14:textId="27346F66" w:rsidR="00CA63E3" w:rsidRPr="004D36A8" w:rsidRDefault="00CA63E3" w:rsidP="00CA63E3">
            <w:pPr>
              <w:pStyle w:val="Els-body-text"/>
              <w:jc w:val="center"/>
              <w:rPr>
                <w:sz w:val="18"/>
                <w:szCs w:val="18"/>
              </w:rPr>
            </w:pPr>
            <w:r w:rsidRPr="004D36A8">
              <w:rPr>
                <w:sz w:val="18"/>
                <w:szCs w:val="18"/>
              </w:rPr>
              <w:t>-</w:t>
            </w:r>
          </w:p>
        </w:tc>
        <w:tc>
          <w:tcPr>
            <w:tcW w:w="0" w:type="auto"/>
            <w:vAlign w:val="center"/>
          </w:tcPr>
          <w:p w14:paraId="5D028972" w14:textId="13DFEEB3" w:rsidR="00CA63E3" w:rsidRPr="004D36A8" w:rsidRDefault="00CA63E3" w:rsidP="00CA63E3">
            <w:pPr>
              <w:pStyle w:val="Els-body-text"/>
              <w:jc w:val="center"/>
              <w:rPr>
                <w:sz w:val="18"/>
                <w:szCs w:val="18"/>
              </w:rPr>
            </w:pPr>
            <w:r w:rsidRPr="004D36A8">
              <w:rPr>
                <w:sz w:val="18"/>
                <w:szCs w:val="18"/>
              </w:rPr>
              <w:t>19</w:t>
            </w:r>
          </w:p>
        </w:tc>
        <w:tc>
          <w:tcPr>
            <w:tcW w:w="0" w:type="auto"/>
            <w:vAlign w:val="center"/>
          </w:tcPr>
          <w:p w14:paraId="455FC20A" w14:textId="57F5BADE" w:rsidR="00CA63E3" w:rsidRPr="004D36A8" w:rsidRDefault="00CA63E3" w:rsidP="00CA63E3">
            <w:pPr>
              <w:pStyle w:val="Els-body-text"/>
              <w:jc w:val="center"/>
              <w:rPr>
                <w:sz w:val="18"/>
                <w:szCs w:val="18"/>
              </w:rPr>
            </w:pPr>
            <w:r w:rsidRPr="004D36A8">
              <w:rPr>
                <w:sz w:val="18"/>
                <w:szCs w:val="18"/>
              </w:rPr>
              <w:t>-</w:t>
            </w:r>
          </w:p>
        </w:tc>
      </w:tr>
      <w:tr w:rsidR="00CA63E3" w:rsidRPr="004D36A8" w14:paraId="0B4E1726" w14:textId="77777777" w:rsidTr="00DE33A5">
        <w:trPr>
          <w:jc w:val="center"/>
        </w:trPr>
        <w:tc>
          <w:tcPr>
            <w:tcW w:w="0" w:type="auto"/>
            <w:vMerge/>
            <w:tcBorders>
              <w:bottom w:val="single" w:sz="4" w:space="0" w:color="auto"/>
            </w:tcBorders>
          </w:tcPr>
          <w:p w14:paraId="07094FEB" w14:textId="77777777" w:rsidR="00CA63E3" w:rsidRPr="004D36A8" w:rsidRDefault="00CA63E3" w:rsidP="00CA63E3">
            <w:pPr>
              <w:pStyle w:val="Els-body-text"/>
              <w:jc w:val="center"/>
              <w:rPr>
                <w:sz w:val="18"/>
                <w:szCs w:val="18"/>
              </w:rPr>
            </w:pPr>
          </w:p>
        </w:tc>
        <w:tc>
          <w:tcPr>
            <w:tcW w:w="0" w:type="auto"/>
            <w:tcBorders>
              <w:bottom w:val="single" w:sz="4" w:space="0" w:color="auto"/>
            </w:tcBorders>
            <w:vAlign w:val="center"/>
          </w:tcPr>
          <w:p w14:paraId="0B4BAE8F" w14:textId="761E303A" w:rsidR="00CA63E3" w:rsidRPr="004D36A8" w:rsidRDefault="00CA63E3" w:rsidP="00CA63E3">
            <w:pPr>
              <w:pStyle w:val="Els-body-text"/>
              <w:jc w:val="center"/>
              <w:rPr>
                <w:sz w:val="18"/>
                <w:szCs w:val="18"/>
              </w:rPr>
            </w:pPr>
            <w:r w:rsidRPr="004D36A8">
              <w:rPr>
                <w:sz w:val="18"/>
                <w:szCs w:val="18"/>
              </w:rPr>
              <w:t>Mass flow of vapor</w:t>
            </w:r>
          </w:p>
        </w:tc>
        <w:tc>
          <w:tcPr>
            <w:tcW w:w="0" w:type="auto"/>
            <w:tcBorders>
              <w:bottom w:val="single" w:sz="4" w:space="0" w:color="auto"/>
            </w:tcBorders>
            <w:vAlign w:val="center"/>
          </w:tcPr>
          <w:p w14:paraId="717462A9" w14:textId="718E7A9F" w:rsidR="00CA63E3" w:rsidRPr="004D36A8" w:rsidRDefault="00CA63E3" w:rsidP="00CA63E3">
            <w:pPr>
              <w:pStyle w:val="Els-body-text"/>
              <w:jc w:val="center"/>
              <w:rPr>
                <w:sz w:val="18"/>
                <w:szCs w:val="18"/>
              </w:rPr>
            </w:pPr>
            <w:r w:rsidRPr="004D36A8">
              <w:rPr>
                <w:sz w:val="18"/>
                <w:szCs w:val="18"/>
              </w:rPr>
              <w:t>-</w:t>
            </w:r>
          </w:p>
        </w:tc>
        <w:tc>
          <w:tcPr>
            <w:tcW w:w="0" w:type="auto"/>
            <w:tcBorders>
              <w:bottom w:val="single" w:sz="4" w:space="0" w:color="auto"/>
            </w:tcBorders>
            <w:vAlign w:val="center"/>
          </w:tcPr>
          <w:p w14:paraId="18F9EEE0" w14:textId="1061D6DE" w:rsidR="00CA63E3" w:rsidRPr="004D36A8" w:rsidRDefault="00CA63E3" w:rsidP="00CA63E3">
            <w:pPr>
              <w:pStyle w:val="Els-body-text"/>
              <w:jc w:val="center"/>
              <w:rPr>
                <w:sz w:val="18"/>
                <w:szCs w:val="18"/>
              </w:rPr>
            </w:pPr>
            <w:r w:rsidRPr="004D36A8">
              <w:rPr>
                <w:sz w:val="18"/>
                <w:szCs w:val="18"/>
              </w:rPr>
              <w:t>1,176.1</w:t>
            </w:r>
          </w:p>
        </w:tc>
        <w:tc>
          <w:tcPr>
            <w:tcW w:w="0" w:type="auto"/>
            <w:tcBorders>
              <w:bottom w:val="single" w:sz="4" w:space="0" w:color="auto"/>
            </w:tcBorders>
            <w:vAlign w:val="center"/>
          </w:tcPr>
          <w:p w14:paraId="474DB60E" w14:textId="04BE18D5" w:rsidR="00CA63E3" w:rsidRPr="004D36A8" w:rsidRDefault="00CA63E3" w:rsidP="00CA63E3">
            <w:pPr>
              <w:pStyle w:val="Els-body-text"/>
              <w:jc w:val="center"/>
              <w:rPr>
                <w:sz w:val="18"/>
                <w:szCs w:val="18"/>
              </w:rPr>
            </w:pPr>
            <w:r w:rsidRPr="004D36A8">
              <w:rPr>
                <w:sz w:val="18"/>
                <w:szCs w:val="18"/>
              </w:rPr>
              <w:t>-</w:t>
            </w:r>
          </w:p>
        </w:tc>
      </w:tr>
      <w:tr w:rsidR="00CA63E3" w:rsidRPr="004D36A8" w14:paraId="4A9635CC" w14:textId="77777777" w:rsidTr="00DE33A5">
        <w:trPr>
          <w:jc w:val="center"/>
        </w:trPr>
        <w:tc>
          <w:tcPr>
            <w:tcW w:w="0" w:type="auto"/>
            <w:vMerge w:val="restart"/>
            <w:tcBorders>
              <w:top w:val="single" w:sz="4" w:space="0" w:color="auto"/>
              <w:bottom w:val="single" w:sz="4" w:space="0" w:color="auto"/>
            </w:tcBorders>
            <w:vAlign w:val="center"/>
          </w:tcPr>
          <w:p w14:paraId="0FCFAB79" w14:textId="6195A610" w:rsidR="00CA63E3" w:rsidRPr="004D36A8" w:rsidRDefault="00CA63E3" w:rsidP="00CA63E3">
            <w:pPr>
              <w:pStyle w:val="Els-body-text"/>
              <w:jc w:val="center"/>
              <w:rPr>
                <w:sz w:val="18"/>
                <w:szCs w:val="18"/>
              </w:rPr>
            </w:pPr>
            <w:r w:rsidRPr="004D36A8">
              <w:rPr>
                <w:sz w:val="18"/>
                <w:szCs w:val="18"/>
              </w:rPr>
              <w:t>Column 4</w:t>
            </w:r>
          </w:p>
        </w:tc>
        <w:tc>
          <w:tcPr>
            <w:tcW w:w="0" w:type="auto"/>
            <w:tcBorders>
              <w:top w:val="single" w:sz="4" w:space="0" w:color="auto"/>
            </w:tcBorders>
            <w:vAlign w:val="center"/>
          </w:tcPr>
          <w:p w14:paraId="2CF202BF" w14:textId="77F33147" w:rsidR="00CA63E3" w:rsidRPr="004D36A8" w:rsidRDefault="00CA63E3" w:rsidP="00CA63E3">
            <w:pPr>
              <w:pStyle w:val="Els-body-text"/>
              <w:jc w:val="center"/>
              <w:rPr>
                <w:sz w:val="18"/>
                <w:szCs w:val="18"/>
              </w:rPr>
            </w:pPr>
            <w:r w:rsidRPr="004D36A8">
              <w:rPr>
                <w:sz w:val="18"/>
                <w:szCs w:val="18"/>
              </w:rPr>
              <w:t>Number of stages</w:t>
            </w:r>
          </w:p>
        </w:tc>
        <w:tc>
          <w:tcPr>
            <w:tcW w:w="0" w:type="auto"/>
            <w:tcBorders>
              <w:top w:val="single" w:sz="4" w:space="0" w:color="auto"/>
            </w:tcBorders>
            <w:vAlign w:val="center"/>
          </w:tcPr>
          <w:p w14:paraId="5B601F4B" w14:textId="3540FF00" w:rsidR="00CA63E3" w:rsidRPr="004D36A8" w:rsidRDefault="00CA63E3" w:rsidP="00CA63E3">
            <w:pPr>
              <w:pStyle w:val="Els-body-text"/>
              <w:jc w:val="center"/>
              <w:rPr>
                <w:sz w:val="18"/>
                <w:szCs w:val="18"/>
              </w:rPr>
            </w:pPr>
            <w:r w:rsidRPr="004D36A8">
              <w:rPr>
                <w:sz w:val="18"/>
                <w:szCs w:val="18"/>
              </w:rPr>
              <w:t>29</w:t>
            </w:r>
          </w:p>
        </w:tc>
        <w:tc>
          <w:tcPr>
            <w:tcW w:w="0" w:type="auto"/>
            <w:tcBorders>
              <w:top w:val="single" w:sz="4" w:space="0" w:color="auto"/>
            </w:tcBorders>
            <w:vAlign w:val="center"/>
          </w:tcPr>
          <w:p w14:paraId="119D6C25" w14:textId="36069D42" w:rsidR="00CA63E3" w:rsidRPr="004D36A8" w:rsidRDefault="00CA63E3" w:rsidP="00CA63E3">
            <w:pPr>
              <w:pStyle w:val="Els-body-text"/>
              <w:jc w:val="center"/>
              <w:rPr>
                <w:sz w:val="18"/>
                <w:szCs w:val="18"/>
              </w:rPr>
            </w:pPr>
            <w:r w:rsidRPr="004D36A8">
              <w:rPr>
                <w:sz w:val="18"/>
                <w:szCs w:val="18"/>
              </w:rPr>
              <w:t>10</w:t>
            </w:r>
          </w:p>
        </w:tc>
        <w:tc>
          <w:tcPr>
            <w:tcW w:w="0" w:type="auto"/>
            <w:tcBorders>
              <w:top w:val="single" w:sz="4" w:space="0" w:color="auto"/>
            </w:tcBorders>
            <w:vAlign w:val="center"/>
          </w:tcPr>
          <w:p w14:paraId="5F4A907F" w14:textId="1E9AB10D" w:rsidR="00CA63E3" w:rsidRPr="004D36A8" w:rsidRDefault="00CA63E3" w:rsidP="00CA63E3">
            <w:pPr>
              <w:pStyle w:val="Els-body-text"/>
              <w:jc w:val="center"/>
              <w:rPr>
                <w:sz w:val="18"/>
                <w:szCs w:val="18"/>
              </w:rPr>
            </w:pPr>
            <w:r w:rsidRPr="004D36A8">
              <w:rPr>
                <w:sz w:val="18"/>
                <w:szCs w:val="18"/>
              </w:rPr>
              <w:t>-</w:t>
            </w:r>
          </w:p>
        </w:tc>
      </w:tr>
      <w:tr w:rsidR="00CA63E3" w:rsidRPr="004D36A8" w14:paraId="419A2067" w14:textId="77777777" w:rsidTr="00DE33A5">
        <w:trPr>
          <w:jc w:val="center"/>
        </w:trPr>
        <w:tc>
          <w:tcPr>
            <w:tcW w:w="0" w:type="auto"/>
            <w:vMerge/>
            <w:tcBorders>
              <w:bottom w:val="single" w:sz="4" w:space="0" w:color="auto"/>
            </w:tcBorders>
          </w:tcPr>
          <w:p w14:paraId="1F63BB94" w14:textId="77777777" w:rsidR="00CA63E3" w:rsidRPr="004D36A8" w:rsidRDefault="00CA63E3" w:rsidP="00CA63E3">
            <w:pPr>
              <w:pStyle w:val="Els-body-text"/>
              <w:jc w:val="center"/>
              <w:rPr>
                <w:sz w:val="18"/>
                <w:szCs w:val="18"/>
              </w:rPr>
            </w:pPr>
          </w:p>
        </w:tc>
        <w:tc>
          <w:tcPr>
            <w:tcW w:w="0" w:type="auto"/>
            <w:vAlign w:val="center"/>
          </w:tcPr>
          <w:p w14:paraId="501FEFEF" w14:textId="3E3C0B3F" w:rsidR="00CA63E3" w:rsidRPr="004D36A8" w:rsidRDefault="00CA63E3" w:rsidP="00CA63E3">
            <w:pPr>
              <w:pStyle w:val="Els-body-text"/>
              <w:jc w:val="center"/>
              <w:rPr>
                <w:sz w:val="18"/>
                <w:szCs w:val="18"/>
              </w:rPr>
            </w:pPr>
            <w:r w:rsidRPr="004D36A8">
              <w:rPr>
                <w:sz w:val="18"/>
                <w:szCs w:val="18"/>
              </w:rPr>
              <w:t>Bottoms rate (kg/h)</w:t>
            </w:r>
          </w:p>
        </w:tc>
        <w:tc>
          <w:tcPr>
            <w:tcW w:w="0" w:type="auto"/>
            <w:vAlign w:val="center"/>
          </w:tcPr>
          <w:p w14:paraId="7444957D" w14:textId="141F3996" w:rsidR="00CA63E3" w:rsidRPr="004D36A8" w:rsidRDefault="00CA63E3" w:rsidP="00CA63E3">
            <w:pPr>
              <w:pStyle w:val="Els-body-text"/>
              <w:jc w:val="center"/>
              <w:rPr>
                <w:sz w:val="18"/>
                <w:szCs w:val="18"/>
              </w:rPr>
            </w:pPr>
            <w:r w:rsidRPr="004D36A8">
              <w:rPr>
                <w:sz w:val="18"/>
                <w:szCs w:val="18"/>
              </w:rPr>
              <w:t>12,125.</w:t>
            </w:r>
            <w:r w:rsidR="00DE33A5" w:rsidRPr="004D36A8">
              <w:rPr>
                <w:sz w:val="18"/>
                <w:szCs w:val="18"/>
              </w:rPr>
              <w:t>8</w:t>
            </w:r>
          </w:p>
        </w:tc>
        <w:tc>
          <w:tcPr>
            <w:tcW w:w="0" w:type="auto"/>
            <w:vAlign w:val="center"/>
          </w:tcPr>
          <w:p w14:paraId="0627CB4F" w14:textId="29B978D7" w:rsidR="00CA63E3" w:rsidRPr="004D36A8" w:rsidRDefault="00CA63E3" w:rsidP="00CA63E3">
            <w:pPr>
              <w:pStyle w:val="Els-body-text"/>
              <w:jc w:val="center"/>
              <w:rPr>
                <w:sz w:val="18"/>
                <w:szCs w:val="18"/>
              </w:rPr>
            </w:pPr>
            <w:r w:rsidRPr="004D36A8">
              <w:rPr>
                <w:sz w:val="18"/>
                <w:szCs w:val="18"/>
              </w:rPr>
              <w:t>1,171.</w:t>
            </w:r>
            <w:r w:rsidR="00DE33A5" w:rsidRPr="004D36A8">
              <w:rPr>
                <w:sz w:val="18"/>
                <w:szCs w:val="18"/>
              </w:rPr>
              <w:t>9</w:t>
            </w:r>
          </w:p>
        </w:tc>
        <w:tc>
          <w:tcPr>
            <w:tcW w:w="0" w:type="auto"/>
            <w:vAlign w:val="center"/>
          </w:tcPr>
          <w:p w14:paraId="3FAF4295" w14:textId="2F86FA51" w:rsidR="00CA63E3" w:rsidRPr="004D36A8" w:rsidRDefault="00CA63E3" w:rsidP="00CA63E3">
            <w:pPr>
              <w:pStyle w:val="Els-body-text"/>
              <w:jc w:val="center"/>
              <w:rPr>
                <w:sz w:val="18"/>
                <w:szCs w:val="18"/>
              </w:rPr>
            </w:pPr>
            <w:r w:rsidRPr="004D36A8">
              <w:rPr>
                <w:sz w:val="18"/>
                <w:szCs w:val="18"/>
              </w:rPr>
              <w:t>-</w:t>
            </w:r>
          </w:p>
        </w:tc>
      </w:tr>
      <w:tr w:rsidR="00CA63E3" w:rsidRPr="004D36A8" w14:paraId="40402D27" w14:textId="77777777" w:rsidTr="00DE33A5">
        <w:trPr>
          <w:jc w:val="center"/>
        </w:trPr>
        <w:tc>
          <w:tcPr>
            <w:tcW w:w="0" w:type="auto"/>
            <w:vMerge/>
            <w:tcBorders>
              <w:bottom w:val="single" w:sz="4" w:space="0" w:color="auto"/>
            </w:tcBorders>
          </w:tcPr>
          <w:p w14:paraId="29029FDE" w14:textId="77777777" w:rsidR="00CA63E3" w:rsidRPr="004D36A8" w:rsidRDefault="00CA63E3" w:rsidP="00CA63E3">
            <w:pPr>
              <w:pStyle w:val="Els-body-text"/>
              <w:jc w:val="center"/>
              <w:rPr>
                <w:sz w:val="18"/>
                <w:szCs w:val="18"/>
              </w:rPr>
            </w:pPr>
          </w:p>
        </w:tc>
        <w:tc>
          <w:tcPr>
            <w:tcW w:w="0" w:type="auto"/>
            <w:vAlign w:val="center"/>
          </w:tcPr>
          <w:p w14:paraId="64BBC384" w14:textId="0C8D3C98" w:rsidR="00CA63E3" w:rsidRPr="004D36A8" w:rsidRDefault="00CA63E3" w:rsidP="00CA63E3">
            <w:pPr>
              <w:pStyle w:val="Els-body-text"/>
              <w:jc w:val="center"/>
              <w:rPr>
                <w:sz w:val="18"/>
                <w:szCs w:val="18"/>
              </w:rPr>
            </w:pPr>
            <w:r w:rsidRPr="004D36A8">
              <w:rPr>
                <w:sz w:val="18"/>
                <w:szCs w:val="18"/>
              </w:rPr>
              <w:t>Feed stage</w:t>
            </w:r>
          </w:p>
        </w:tc>
        <w:tc>
          <w:tcPr>
            <w:tcW w:w="0" w:type="auto"/>
            <w:vAlign w:val="center"/>
          </w:tcPr>
          <w:p w14:paraId="12487DD1" w14:textId="2471B53F" w:rsidR="00CA63E3" w:rsidRPr="004D36A8" w:rsidRDefault="00CA63E3" w:rsidP="00CA63E3">
            <w:pPr>
              <w:pStyle w:val="Els-body-text"/>
              <w:jc w:val="center"/>
              <w:rPr>
                <w:sz w:val="18"/>
                <w:szCs w:val="18"/>
              </w:rPr>
            </w:pPr>
            <w:r w:rsidRPr="004D36A8">
              <w:rPr>
                <w:sz w:val="18"/>
                <w:szCs w:val="18"/>
              </w:rPr>
              <w:t>2</w:t>
            </w:r>
          </w:p>
        </w:tc>
        <w:tc>
          <w:tcPr>
            <w:tcW w:w="0" w:type="auto"/>
            <w:vAlign w:val="center"/>
          </w:tcPr>
          <w:p w14:paraId="020F6CC2" w14:textId="36CBBE46" w:rsidR="00CA63E3" w:rsidRPr="004D36A8" w:rsidRDefault="00CA63E3" w:rsidP="00CA63E3">
            <w:pPr>
              <w:pStyle w:val="Els-body-text"/>
              <w:jc w:val="center"/>
              <w:rPr>
                <w:sz w:val="18"/>
                <w:szCs w:val="18"/>
              </w:rPr>
            </w:pPr>
            <w:r w:rsidRPr="004D36A8">
              <w:rPr>
                <w:sz w:val="18"/>
                <w:szCs w:val="18"/>
              </w:rPr>
              <w:t>-</w:t>
            </w:r>
          </w:p>
        </w:tc>
        <w:tc>
          <w:tcPr>
            <w:tcW w:w="0" w:type="auto"/>
            <w:vAlign w:val="center"/>
          </w:tcPr>
          <w:p w14:paraId="24CBF9F0" w14:textId="683DD0E9" w:rsidR="00CA63E3" w:rsidRPr="004D36A8" w:rsidRDefault="00CA63E3" w:rsidP="00CA63E3">
            <w:pPr>
              <w:pStyle w:val="Els-body-text"/>
              <w:jc w:val="center"/>
              <w:rPr>
                <w:sz w:val="18"/>
                <w:szCs w:val="18"/>
              </w:rPr>
            </w:pPr>
            <w:r w:rsidRPr="004D36A8">
              <w:rPr>
                <w:sz w:val="18"/>
                <w:szCs w:val="18"/>
              </w:rPr>
              <w:t>-</w:t>
            </w:r>
          </w:p>
        </w:tc>
      </w:tr>
      <w:tr w:rsidR="00CA63E3" w:rsidRPr="004D36A8" w14:paraId="17B04EEB" w14:textId="77777777" w:rsidTr="00DE33A5">
        <w:trPr>
          <w:jc w:val="center"/>
        </w:trPr>
        <w:tc>
          <w:tcPr>
            <w:tcW w:w="0" w:type="auto"/>
            <w:vMerge/>
            <w:tcBorders>
              <w:bottom w:val="single" w:sz="4" w:space="0" w:color="auto"/>
            </w:tcBorders>
          </w:tcPr>
          <w:p w14:paraId="545B97ED" w14:textId="77777777" w:rsidR="00CA63E3" w:rsidRPr="004D36A8" w:rsidRDefault="00CA63E3" w:rsidP="00CA63E3">
            <w:pPr>
              <w:pStyle w:val="Els-body-text"/>
              <w:jc w:val="center"/>
              <w:rPr>
                <w:sz w:val="18"/>
                <w:szCs w:val="18"/>
              </w:rPr>
            </w:pPr>
          </w:p>
        </w:tc>
        <w:tc>
          <w:tcPr>
            <w:tcW w:w="0" w:type="auto"/>
            <w:tcBorders>
              <w:bottom w:val="single" w:sz="4" w:space="0" w:color="auto"/>
            </w:tcBorders>
            <w:vAlign w:val="center"/>
          </w:tcPr>
          <w:p w14:paraId="58E041ED" w14:textId="571576D1" w:rsidR="00CA63E3" w:rsidRPr="004D36A8" w:rsidRDefault="00CA63E3" w:rsidP="00CA63E3">
            <w:pPr>
              <w:pStyle w:val="Els-body-text"/>
              <w:jc w:val="center"/>
              <w:rPr>
                <w:sz w:val="18"/>
                <w:szCs w:val="18"/>
              </w:rPr>
            </w:pPr>
            <w:r w:rsidRPr="004D36A8">
              <w:rPr>
                <w:sz w:val="18"/>
                <w:szCs w:val="18"/>
              </w:rPr>
              <w:t>Reflux ratio</w:t>
            </w:r>
          </w:p>
        </w:tc>
        <w:tc>
          <w:tcPr>
            <w:tcW w:w="0" w:type="auto"/>
            <w:tcBorders>
              <w:bottom w:val="single" w:sz="4" w:space="0" w:color="auto"/>
            </w:tcBorders>
            <w:vAlign w:val="center"/>
          </w:tcPr>
          <w:p w14:paraId="2E4E1157" w14:textId="1683A4F7" w:rsidR="00CA63E3" w:rsidRPr="004D36A8" w:rsidRDefault="00CA63E3" w:rsidP="00CA63E3">
            <w:pPr>
              <w:pStyle w:val="Els-body-text"/>
              <w:jc w:val="center"/>
              <w:rPr>
                <w:sz w:val="18"/>
                <w:szCs w:val="18"/>
              </w:rPr>
            </w:pPr>
            <w:r w:rsidRPr="004D36A8">
              <w:rPr>
                <w:sz w:val="18"/>
                <w:szCs w:val="18"/>
              </w:rPr>
              <w:t>0.30</w:t>
            </w:r>
          </w:p>
        </w:tc>
        <w:tc>
          <w:tcPr>
            <w:tcW w:w="0" w:type="auto"/>
            <w:tcBorders>
              <w:bottom w:val="single" w:sz="4" w:space="0" w:color="auto"/>
            </w:tcBorders>
            <w:vAlign w:val="center"/>
          </w:tcPr>
          <w:p w14:paraId="03FC1432" w14:textId="4B5D8B00" w:rsidR="00CA63E3" w:rsidRPr="004D36A8" w:rsidRDefault="00CA63E3" w:rsidP="00CA63E3">
            <w:pPr>
              <w:pStyle w:val="Els-body-text"/>
              <w:jc w:val="center"/>
              <w:rPr>
                <w:sz w:val="18"/>
                <w:szCs w:val="18"/>
              </w:rPr>
            </w:pPr>
            <w:r w:rsidRPr="004D36A8">
              <w:rPr>
                <w:sz w:val="18"/>
                <w:szCs w:val="18"/>
              </w:rPr>
              <w:t>24.1</w:t>
            </w:r>
          </w:p>
        </w:tc>
        <w:tc>
          <w:tcPr>
            <w:tcW w:w="0" w:type="auto"/>
            <w:tcBorders>
              <w:bottom w:val="single" w:sz="4" w:space="0" w:color="auto"/>
            </w:tcBorders>
            <w:vAlign w:val="center"/>
          </w:tcPr>
          <w:p w14:paraId="789F709E" w14:textId="26847288" w:rsidR="00CA63E3" w:rsidRPr="004D36A8" w:rsidRDefault="00CA63E3" w:rsidP="00CA63E3">
            <w:pPr>
              <w:pStyle w:val="Els-body-text"/>
              <w:jc w:val="center"/>
              <w:rPr>
                <w:sz w:val="18"/>
                <w:szCs w:val="18"/>
              </w:rPr>
            </w:pPr>
            <w:r w:rsidRPr="004D36A8">
              <w:rPr>
                <w:sz w:val="18"/>
                <w:szCs w:val="18"/>
              </w:rPr>
              <w:t>-</w:t>
            </w:r>
          </w:p>
        </w:tc>
      </w:tr>
    </w:tbl>
    <w:p w14:paraId="45275B66" w14:textId="63982BC7" w:rsidR="00B31C62" w:rsidRPr="007A59AB" w:rsidRDefault="00B31C62" w:rsidP="00B31C62">
      <w:pPr>
        <w:pStyle w:val="Els-body-text"/>
        <w:spacing w:after="120"/>
        <w:rPr>
          <w:sz w:val="6"/>
          <w:szCs w:val="6"/>
          <w:lang w:val="en-GB"/>
        </w:rPr>
      </w:pPr>
    </w:p>
    <w:p w14:paraId="19CAC1E6" w14:textId="4F41985C" w:rsidR="00961792" w:rsidRDefault="00E8412C" w:rsidP="00961792">
      <w:pPr>
        <w:pStyle w:val="Els-body-text"/>
        <w:spacing w:after="120"/>
        <w:jc w:val="center"/>
        <w:rPr>
          <w:lang w:val="en-GB"/>
        </w:rPr>
      </w:pPr>
      <w:r>
        <w:rPr>
          <w:noProof/>
          <w:lang w:val="en-GB"/>
        </w:rPr>
        <w:drawing>
          <wp:inline distT="0" distB="0" distL="0" distR="0" wp14:anchorId="227EE873" wp14:editId="3A5341A2">
            <wp:extent cx="3796030" cy="2488223"/>
            <wp:effectExtent l="0" t="0" r="0" b="7620"/>
            <wp:docPr id="292843549" name="Picture 1"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843549" name="Picture 1" descr="A graph of different colored bars&#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26570" cy="2508241"/>
                    </a:xfrm>
                    <a:prstGeom prst="rect">
                      <a:avLst/>
                    </a:prstGeom>
                  </pic:spPr>
                </pic:pic>
              </a:graphicData>
            </a:graphic>
          </wp:inline>
        </w:drawing>
      </w:r>
    </w:p>
    <w:p w14:paraId="090FA0E8" w14:textId="0FADA870" w:rsidR="00B31C62" w:rsidRPr="00464D13" w:rsidRDefault="00B31C62" w:rsidP="00B31C62">
      <w:pPr>
        <w:pStyle w:val="Els-body-text"/>
        <w:jc w:val="center"/>
        <w:rPr>
          <w:sz w:val="18"/>
          <w:szCs w:val="18"/>
        </w:rPr>
      </w:pPr>
      <w:r>
        <w:rPr>
          <w:b/>
          <w:bCs/>
          <w:sz w:val="18"/>
          <w:szCs w:val="18"/>
        </w:rPr>
        <w:t>Figure</w:t>
      </w:r>
      <w:r w:rsidRPr="00464D13">
        <w:rPr>
          <w:b/>
          <w:bCs/>
          <w:sz w:val="18"/>
          <w:szCs w:val="18"/>
        </w:rPr>
        <w:t xml:space="preserve"> </w:t>
      </w:r>
      <w:r w:rsidR="00E34CE2">
        <w:rPr>
          <w:b/>
          <w:bCs/>
          <w:sz w:val="18"/>
          <w:szCs w:val="18"/>
        </w:rPr>
        <w:t>2</w:t>
      </w:r>
      <w:r w:rsidRPr="00464D13">
        <w:rPr>
          <w:b/>
          <w:bCs/>
          <w:sz w:val="18"/>
          <w:szCs w:val="18"/>
        </w:rPr>
        <w:t>:</w:t>
      </w:r>
      <w:r w:rsidRPr="00464D13">
        <w:rPr>
          <w:sz w:val="18"/>
          <w:szCs w:val="18"/>
        </w:rPr>
        <w:t xml:space="preserve"> </w:t>
      </w:r>
      <w:r>
        <w:rPr>
          <w:sz w:val="18"/>
          <w:szCs w:val="18"/>
        </w:rPr>
        <w:t>Comparation of heat duty and TAC of schemes.</w:t>
      </w:r>
    </w:p>
    <w:p w14:paraId="144DE6AE" w14:textId="4BC5C79E" w:rsidR="008D2649" w:rsidRPr="00A94774" w:rsidRDefault="006B14AB" w:rsidP="008D2649">
      <w:pPr>
        <w:pStyle w:val="Els-1storder-head"/>
        <w:spacing w:after="120"/>
        <w:rPr>
          <w:lang w:val="en-GB"/>
        </w:rPr>
      </w:pPr>
      <w:r>
        <w:rPr>
          <w:lang w:val="en-GB"/>
        </w:rPr>
        <w:t>Conclusions</w:t>
      </w:r>
    </w:p>
    <w:p w14:paraId="4886DC41" w14:textId="6DFD1E46" w:rsidR="00830079" w:rsidRPr="00686FD7" w:rsidRDefault="00830079" w:rsidP="008D2649">
      <w:pPr>
        <w:pStyle w:val="Els-body-text"/>
        <w:spacing w:after="120"/>
        <w:rPr>
          <w:sz w:val="18"/>
          <w:szCs w:val="18"/>
          <w:lang w:val="en-GB"/>
        </w:rPr>
      </w:pPr>
      <w:r w:rsidRPr="00830079">
        <w:rPr>
          <w:lang w:val="en-GB"/>
        </w:rPr>
        <w:t xml:space="preserve">The optimization of a conventional scheme and two intensified schemes to produce bioethanol from lignocellulosic wastes has been carried out using the DETL method. It has been observed that the conventional scheme is the one that has shown the lowest total annual cost as well as the lowest </w:t>
      </w:r>
      <w:r>
        <w:rPr>
          <w:lang w:val="en-GB"/>
        </w:rPr>
        <w:t>heat duty</w:t>
      </w:r>
      <w:r w:rsidR="0063525E">
        <w:rPr>
          <w:lang w:val="en-GB"/>
        </w:rPr>
        <w:t xml:space="preserve"> with a cost of 2.91 USD/kg of bioethanol and </w:t>
      </w:r>
      <w:r w:rsidR="0063525E">
        <w:rPr>
          <w:lang w:val="en-GB"/>
        </w:rPr>
        <w:lastRenderedPageBreak/>
        <w:t>38.5 kW/kg of bioethanol, respectively;</w:t>
      </w:r>
      <w:r w:rsidRPr="00830079">
        <w:rPr>
          <w:lang w:val="en-GB"/>
        </w:rPr>
        <w:t xml:space="preserve"> </w:t>
      </w:r>
      <w:r w:rsidR="0063525E" w:rsidRPr="00830079">
        <w:rPr>
          <w:lang w:val="en-GB"/>
        </w:rPr>
        <w:t>however,</w:t>
      </w:r>
      <w:r w:rsidRPr="00830079">
        <w:rPr>
          <w:lang w:val="en-GB"/>
        </w:rPr>
        <w:t xml:space="preserve"> the TCC scheme is the one that has shown a similarity in cost and thermal load with the advantage of reducing </w:t>
      </w:r>
      <w:r>
        <w:rPr>
          <w:lang w:val="en-GB"/>
        </w:rPr>
        <w:t>one</w:t>
      </w:r>
      <w:r w:rsidRPr="00830079">
        <w:rPr>
          <w:lang w:val="en-GB"/>
        </w:rPr>
        <w:t xml:space="preserve"> processing equipment.</w:t>
      </w:r>
      <w:r>
        <w:rPr>
          <w:lang w:val="en-GB"/>
        </w:rPr>
        <w:t xml:space="preserve"> </w:t>
      </w:r>
      <w:r w:rsidRPr="00B31C62">
        <w:rPr>
          <w:lang w:val="en-GB"/>
        </w:rPr>
        <w:t>During this study, an attempt has been made to reflect the benefits of process intensification in economic terms, however,</w:t>
      </w:r>
      <w:r>
        <w:rPr>
          <w:lang w:val="en-GB"/>
        </w:rPr>
        <w:t xml:space="preserve"> it is interesting that process intensification does not always produce large savings. </w:t>
      </w:r>
      <w:r w:rsidRPr="00830079">
        <w:rPr>
          <w:lang w:val="en-GB"/>
        </w:rPr>
        <w:t xml:space="preserve">This means that through process intensification it is not always possible to design schemes that can reduce the cost and </w:t>
      </w:r>
      <w:r>
        <w:rPr>
          <w:lang w:val="en-GB"/>
        </w:rPr>
        <w:t>heat duty</w:t>
      </w:r>
      <w:r w:rsidRPr="00830079">
        <w:rPr>
          <w:lang w:val="en-GB"/>
        </w:rPr>
        <w:t xml:space="preserve"> of the process.</w:t>
      </w:r>
      <w:r>
        <w:rPr>
          <w:lang w:val="en-GB"/>
        </w:rPr>
        <w:t xml:space="preserve"> </w:t>
      </w:r>
      <w:r w:rsidRPr="00830079">
        <w:rPr>
          <w:lang w:val="en-GB"/>
        </w:rPr>
        <w:t xml:space="preserve">For future work, it is proposed to implement alternative intensification schemes to achieve a minimization of the TAC with respect to the conventional scheme. Likewise, </w:t>
      </w:r>
      <w:r w:rsidR="000C6B81">
        <w:rPr>
          <w:lang w:val="en-GB"/>
        </w:rPr>
        <w:t xml:space="preserve">it is proposed </w:t>
      </w:r>
      <w:r w:rsidRPr="00830079">
        <w:rPr>
          <w:lang w:val="en-GB"/>
        </w:rPr>
        <w:t xml:space="preserve">to use another objective function such as the environmental aspect, </w:t>
      </w:r>
      <w:r w:rsidR="00F0506D" w:rsidRPr="00830079">
        <w:rPr>
          <w:lang w:val="en-GB"/>
        </w:rPr>
        <w:t>to</w:t>
      </w:r>
      <w:r w:rsidRPr="00830079">
        <w:rPr>
          <w:lang w:val="en-GB"/>
        </w:rPr>
        <w:t xml:space="preserve"> </w:t>
      </w:r>
      <w:r w:rsidR="000C6B81">
        <w:rPr>
          <w:lang w:val="en-GB"/>
        </w:rPr>
        <w:t xml:space="preserve">obtain information </w:t>
      </w:r>
      <w:r w:rsidRPr="00830079">
        <w:rPr>
          <w:lang w:val="en-GB"/>
        </w:rPr>
        <w:t xml:space="preserve">not only </w:t>
      </w:r>
      <w:r w:rsidR="000C6B81">
        <w:rPr>
          <w:lang w:val="en-GB"/>
        </w:rPr>
        <w:t>related to</w:t>
      </w:r>
      <w:r w:rsidRPr="00830079">
        <w:rPr>
          <w:lang w:val="en-GB"/>
        </w:rPr>
        <w:t xml:space="preserve"> costs but also on which</w:t>
      </w:r>
      <w:r w:rsidR="000C6B81">
        <w:rPr>
          <w:lang w:val="en-GB"/>
        </w:rPr>
        <w:t xml:space="preserve"> configuration</w:t>
      </w:r>
      <w:r w:rsidRPr="00830079">
        <w:rPr>
          <w:lang w:val="en-GB"/>
        </w:rPr>
        <w:t xml:space="preserve"> has less </w:t>
      </w:r>
      <w:r w:rsidR="000C6B81">
        <w:rPr>
          <w:lang w:val="en-GB"/>
        </w:rPr>
        <w:t xml:space="preserve">environmental </w:t>
      </w:r>
      <w:r w:rsidRPr="00830079">
        <w:rPr>
          <w:lang w:val="en-GB"/>
        </w:rPr>
        <w:t>impact</w:t>
      </w:r>
      <w:r w:rsidR="000C6B81">
        <w:rPr>
          <w:lang w:val="en-GB"/>
        </w:rPr>
        <w:t>,</w:t>
      </w:r>
      <w:r w:rsidRPr="00830079">
        <w:rPr>
          <w:lang w:val="en-GB"/>
        </w:rPr>
        <w:t xml:space="preserve"> therefore hav</w:t>
      </w:r>
      <w:r w:rsidR="000C6B81">
        <w:rPr>
          <w:lang w:val="en-GB"/>
        </w:rPr>
        <w:t>ing</w:t>
      </w:r>
      <w:r w:rsidRPr="00830079">
        <w:rPr>
          <w:lang w:val="en-GB"/>
        </w:rPr>
        <w:t xml:space="preserve"> a more detailed comparison.</w:t>
      </w:r>
    </w:p>
    <w:p w14:paraId="2AC117BF" w14:textId="42E76555" w:rsidR="004003B3" w:rsidRDefault="008D2649" w:rsidP="004D36A8">
      <w:pPr>
        <w:pStyle w:val="Els-reference-head"/>
      </w:pPr>
      <w:r>
        <w:t>References</w:t>
      </w:r>
    </w:p>
    <w:p w14:paraId="7EB415ED" w14:textId="4A580905" w:rsidR="004003B3" w:rsidRPr="00BA13C6" w:rsidRDefault="004003B3" w:rsidP="004003B3">
      <w:pPr>
        <w:pStyle w:val="Els-referenceno-number"/>
        <w:jc w:val="both"/>
        <w:rPr>
          <w:szCs w:val="18"/>
          <w:lang w:val="es-MX"/>
        </w:rPr>
      </w:pPr>
      <w:r w:rsidRPr="004D36A8">
        <w:rPr>
          <w:szCs w:val="18"/>
          <w:lang w:val="en-US"/>
        </w:rPr>
        <w:t xml:space="preserve">M. S. Allan and M. S. Tanveer (2020). Conversion of biomass into biofuel: a cutting-edge technology. </w:t>
      </w:r>
      <w:r w:rsidRPr="00BA13C6">
        <w:rPr>
          <w:szCs w:val="18"/>
          <w:lang w:val="es-MX"/>
        </w:rPr>
        <w:t>In Bioreactors, 55–74.</w:t>
      </w:r>
    </w:p>
    <w:p w14:paraId="3D5BA7AF" w14:textId="0628A3BB" w:rsidR="004003B3" w:rsidRPr="00BA13C6" w:rsidRDefault="004003B3" w:rsidP="004003B3">
      <w:pPr>
        <w:pStyle w:val="Els-referenceno-number"/>
        <w:jc w:val="both"/>
        <w:rPr>
          <w:szCs w:val="18"/>
          <w:lang w:val="en-US"/>
        </w:rPr>
      </w:pPr>
      <w:r w:rsidRPr="004D36A8">
        <w:rPr>
          <w:szCs w:val="18"/>
          <w:lang w:val="es-MX"/>
        </w:rPr>
        <w:t xml:space="preserve">H. Alcocer-García, J. G. Segovia-Hernández, O. A. Prado-Rubio, E. Sánchez-Ramírez and J. J. Quiroz-Ramírez (2019). </w:t>
      </w:r>
      <w:r w:rsidRPr="004D36A8">
        <w:rPr>
          <w:szCs w:val="18"/>
          <w:lang w:val="en-US"/>
        </w:rPr>
        <w:t xml:space="preserve">Multi-objective optimization of intensified processes for the purification of levulinic acid involving economic and environmental objectives. </w:t>
      </w:r>
      <w:r w:rsidR="00686FD7" w:rsidRPr="00BA13C6">
        <w:rPr>
          <w:szCs w:val="18"/>
          <w:lang w:val="en-US"/>
        </w:rPr>
        <w:t>Chem Eng Process</w:t>
      </w:r>
      <w:r w:rsidRPr="00BA13C6">
        <w:rPr>
          <w:szCs w:val="18"/>
          <w:lang w:val="en-US"/>
        </w:rPr>
        <w:t>, 136, 123-137.</w:t>
      </w:r>
    </w:p>
    <w:p w14:paraId="5E7B4D42" w14:textId="3CA53507" w:rsidR="004003B3" w:rsidRPr="004D36A8" w:rsidRDefault="004003B3" w:rsidP="004003B3">
      <w:pPr>
        <w:pStyle w:val="Els-referenceno-number"/>
        <w:jc w:val="both"/>
        <w:rPr>
          <w:szCs w:val="18"/>
          <w:lang w:val="es-MX"/>
        </w:rPr>
      </w:pPr>
      <w:r w:rsidRPr="00BA13C6">
        <w:rPr>
          <w:szCs w:val="18"/>
          <w:lang w:val="en-US"/>
        </w:rPr>
        <w:t xml:space="preserve">C. Conde-Mejía, A. Jimenez-Gutiérrez and M. El-Halwagi (2012). </w:t>
      </w:r>
      <w:r w:rsidRPr="004D36A8">
        <w:rPr>
          <w:szCs w:val="18"/>
          <w:lang w:val="en-US"/>
        </w:rPr>
        <w:t xml:space="preserve">A comparison of pretreatment methods for bioethanol production from lignocellulosic materials. </w:t>
      </w:r>
      <w:r w:rsidR="00686FD7" w:rsidRPr="00BA13C6">
        <w:rPr>
          <w:szCs w:val="18"/>
          <w:lang w:val="es-MX"/>
        </w:rPr>
        <w:t>PSEP</w:t>
      </w:r>
      <w:r w:rsidRPr="00BA13C6">
        <w:rPr>
          <w:szCs w:val="18"/>
          <w:lang w:val="es-MX"/>
        </w:rPr>
        <w:t>, 90, 189–202.</w:t>
      </w:r>
    </w:p>
    <w:p w14:paraId="20B9BFA7" w14:textId="52EC3360" w:rsidR="004003B3" w:rsidRPr="004D36A8" w:rsidRDefault="004003B3" w:rsidP="004003B3">
      <w:pPr>
        <w:pStyle w:val="Els-referenceno-number"/>
        <w:jc w:val="both"/>
        <w:rPr>
          <w:szCs w:val="18"/>
          <w:lang w:val="en-US"/>
        </w:rPr>
      </w:pPr>
      <w:r w:rsidRPr="004D36A8">
        <w:rPr>
          <w:szCs w:val="18"/>
          <w:lang w:val="es-MX"/>
        </w:rPr>
        <w:t xml:space="preserve">C. Conde-Mejía, A. Jimenez-Gutiérrez and M. El-Halwagi (2013). </w:t>
      </w:r>
      <w:r w:rsidRPr="004D36A8">
        <w:rPr>
          <w:szCs w:val="18"/>
          <w:lang w:val="en-US"/>
        </w:rPr>
        <w:t xml:space="preserve">Assessment of combinations between pretreatment and conversion configurations for bioethanol production. </w:t>
      </w:r>
      <w:r w:rsidR="00686FD7" w:rsidRPr="00686FD7">
        <w:rPr>
          <w:szCs w:val="18"/>
          <w:lang w:val="en-US"/>
        </w:rPr>
        <w:t>ACS Sustain. Chem. Eng.</w:t>
      </w:r>
      <w:r w:rsidR="00686FD7">
        <w:rPr>
          <w:szCs w:val="18"/>
          <w:lang w:val="en-US"/>
        </w:rPr>
        <w:t xml:space="preserve">, </w:t>
      </w:r>
      <w:r w:rsidRPr="004D36A8">
        <w:rPr>
          <w:szCs w:val="18"/>
          <w:lang w:val="en-US"/>
        </w:rPr>
        <w:t>1(8), 956–965.</w:t>
      </w:r>
    </w:p>
    <w:p w14:paraId="539044BA" w14:textId="4761ADB8" w:rsidR="004003B3" w:rsidRPr="004D36A8" w:rsidRDefault="004003B3" w:rsidP="004003B3">
      <w:pPr>
        <w:pStyle w:val="Els-referenceno-number"/>
        <w:jc w:val="both"/>
        <w:rPr>
          <w:szCs w:val="18"/>
          <w:lang w:val="en-US"/>
        </w:rPr>
      </w:pPr>
      <w:r w:rsidRPr="004D36A8">
        <w:rPr>
          <w:szCs w:val="18"/>
          <w:lang w:val="en-US"/>
        </w:rPr>
        <w:t>M. Errico and B.G. Rong (2016). Systematic synthesis of intensified distillation systems. In Process Intensificacion in Chemical Engineering: Desing, Optimization and Control, 35-64.</w:t>
      </w:r>
    </w:p>
    <w:p w14:paraId="438D0C94" w14:textId="29A2CC54" w:rsidR="004003B3" w:rsidRPr="00BA13C6" w:rsidRDefault="004003B3" w:rsidP="004003B3">
      <w:pPr>
        <w:pStyle w:val="Els-referenceno-number"/>
        <w:jc w:val="both"/>
        <w:rPr>
          <w:szCs w:val="18"/>
          <w:lang w:val="en-US"/>
        </w:rPr>
      </w:pPr>
      <w:r w:rsidRPr="004D36A8">
        <w:rPr>
          <w:szCs w:val="18"/>
          <w:lang w:val="es-MX"/>
        </w:rPr>
        <w:t xml:space="preserve">Y. M. Espinoza-Vázquez, F.I. Gómez-Castro, E. Sánchez-Ramírez and A. G. Romero-Izquierdo (2023). </w:t>
      </w:r>
      <w:r w:rsidRPr="004D36A8">
        <w:rPr>
          <w:szCs w:val="18"/>
          <w:lang w:val="en-US"/>
        </w:rPr>
        <w:t xml:space="preserve">Development and assessment of intensification alternatives on the lignocellulosic bioethanol production process. </w:t>
      </w:r>
      <w:r w:rsidR="00686FD7" w:rsidRPr="00686FD7">
        <w:rPr>
          <w:szCs w:val="18"/>
          <w:lang w:val="en-US"/>
        </w:rPr>
        <w:t>Comput. Aided Chem. Eng.</w:t>
      </w:r>
      <w:r w:rsidRPr="004D36A8">
        <w:rPr>
          <w:szCs w:val="18"/>
          <w:lang w:val="en-US"/>
        </w:rPr>
        <w:t>. 52, 2735-2740.</w:t>
      </w:r>
    </w:p>
    <w:p w14:paraId="3F9C7894" w14:textId="77777777" w:rsidR="004003B3" w:rsidRPr="004D36A8" w:rsidRDefault="004003B3" w:rsidP="004003B3">
      <w:pPr>
        <w:pStyle w:val="Els-referenceno-number"/>
        <w:jc w:val="both"/>
        <w:rPr>
          <w:szCs w:val="18"/>
          <w:lang w:val="en-US"/>
        </w:rPr>
      </w:pPr>
      <w:r w:rsidRPr="004D36A8">
        <w:rPr>
          <w:szCs w:val="18"/>
          <w:lang w:val="en-US"/>
        </w:rPr>
        <w:t>K. M. Guthrie (1969). Capital cost estimation. Chemical Engineering, 24, 114–142.</w:t>
      </w:r>
    </w:p>
    <w:p w14:paraId="767FF03E" w14:textId="65A92B1E" w:rsidR="004003B3" w:rsidRPr="004D36A8" w:rsidRDefault="004003B3" w:rsidP="004003B3">
      <w:pPr>
        <w:pStyle w:val="Els-referenceno-number"/>
        <w:jc w:val="both"/>
        <w:rPr>
          <w:szCs w:val="18"/>
          <w:lang w:val="en-US"/>
        </w:rPr>
      </w:pPr>
      <w:r w:rsidRPr="004D36A8">
        <w:rPr>
          <w:szCs w:val="18"/>
          <w:lang w:val="en-US"/>
        </w:rPr>
        <w:t>S. Hernández (2022). Process intensification in biofuels production. In Biofuels and Biorefining, 2, 1-40. Elsevier.</w:t>
      </w:r>
      <w:r w:rsidRPr="004D36A8">
        <w:rPr>
          <w:szCs w:val="18"/>
        </w:rPr>
        <w:t xml:space="preserve"> </w:t>
      </w:r>
    </w:p>
    <w:p w14:paraId="159DEA18" w14:textId="599B8C9B" w:rsidR="004003B3" w:rsidRPr="004D36A8" w:rsidRDefault="004003B3" w:rsidP="004003B3">
      <w:pPr>
        <w:pStyle w:val="Els-referenceno-number"/>
        <w:jc w:val="both"/>
        <w:rPr>
          <w:szCs w:val="18"/>
          <w:lang w:val="en-US"/>
        </w:rPr>
      </w:pPr>
      <w:r w:rsidRPr="004D36A8">
        <w:rPr>
          <w:szCs w:val="18"/>
          <w:lang w:val="en-US"/>
        </w:rPr>
        <w:t>Law Corner (2021). Stubble burning – a trouble to the environment. https://lawcorner.in/stubble-burning-a-trouble-to-the-environment/, last consulted on November, 2023.</w:t>
      </w:r>
    </w:p>
    <w:p w14:paraId="264D7CDC" w14:textId="5069940C" w:rsidR="00191709" w:rsidRPr="004D36A8" w:rsidRDefault="004003B3" w:rsidP="004003B3">
      <w:pPr>
        <w:pStyle w:val="Els-referenceno-number"/>
        <w:jc w:val="both"/>
        <w:rPr>
          <w:szCs w:val="18"/>
          <w:lang w:val="en-US"/>
        </w:rPr>
      </w:pPr>
      <w:r w:rsidRPr="004D36A8">
        <w:rPr>
          <w:szCs w:val="18"/>
          <w:lang w:val="en-US"/>
        </w:rPr>
        <w:t>F. H. Reboredo, F. C. Lidon, J. C. Ramalho and M. F. Pessoa</w:t>
      </w:r>
      <w:r w:rsidR="00191709" w:rsidRPr="004D36A8">
        <w:rPr>
          <w:szCs w:val="18"/>
          <w:lang w:val="en-US"/>
        </w:rPr>
        <w:t xml:space="preserve"> (2017). The forgotten implications of low oil prices on biofuels. </w:t>
      </w:r>
      <w:r w:rsidR="00686FD7" w:rsidRPr="00BA13C6">
        <w:rPr>
          <w:szCs w:val="18"/>
          <w:lang w:val="en-US"/>
        </w:rPr>
        <w:t>Biofpr</w:t>
      </w:r>
      <w:r w:rsidR="00191709" w:rsidRPr="00BA13C6">
        <w:rPr>
          <w:szCs w:val="18"/>
          <w:lang w:val="en-US"/>
        </w:rPr>
        <w:t>, 11(4), 625–632.</w:t>
      </w:r>
    </w:p>
    <w:p w14:paraId="4C07CABD" w14:textId="06E8785C" w:rsidR="00191709" w:rsidRPr="004D36A8" w:rsidRDefault="004003B3" w:rsidP="004003B3">
      <w:pPr>
        <w:pStyle w:val="Els-referenceno-number"/>
        <w:jc w:val="both"/>
        <w:rPr>
          <w:szCs w:val="18"/>
          <w:lang w:val="en-US"/>
        </w:rPr>
      </w:pPr>
      <w:r w:rsidRPr="004D36A8">
        <w:rPr>
          <w:szCs w:val="18"/>
          <w:lang w:val="en-US"/>
        </w:rPr>
        <w:t xml:space="preserve">H. Ritchie, M. Roser and P. Rosado </w:t>
      </w:r>
      <w:r w:rsidR="00191709" w:rsidRPr="004D36A8">
        <w:rPr>
          <w:szCs w:val="18"/>
          <w:lang w:val="en-US"/>
        </w:rPr>
        <w:t>(2020). CO</w:t>
      </w:r>
      <w:r w:rsidR="00191709" w:rsidRPr="004D36A8">
        <w:rPr>
          <w:szCs w:val="18"/>
          <w:vertAlign w:val="subscript"/>
          <w:lang w:val="en-US"/>
        </w:rPr>
        <w:t>2</w:t>
      </w:r>
      <w:r w:rsidR="00191709" w:rsidRPr="004D36A8">
        <w:rPr>
          <w:szCs w:val="18"/>
          <w:lang w:val="en-US"/>
        </w:rPr>
        <w:t xml:space="preserve"> and greenhouse gas emissions. Our World in Data. </w:t>
      </w:r>
      <w:r w:rsidR="00191709" w:rsidRPr="00686FD7">
        <w:rPr>
          <w:szCs w:val="18"/>
          <w:lang w:val="en-US"/>
        </w:rPr>
        <w:t>https://ourworldindata.org/co2-and-greenhouse-gas-emissions</w:t>
      </w:r>
      <w:r w:rsidR="00686FD7">
        <w:rPr>
          <w:szCs w:val="18"/>
          <w:lang w:val="en-US"/>
        </w:rPr>
        <w:t>,</w:t>
      </w:r>
      <w:r w:rsidR="00191709" w:rsidRPr="004D36A8">
        <w:rPr>
          <w:szCs w:val="18"/>
          <w:lang w:val="en-US"/>
        </w:rPr>
        <w:t xml:space="preserve"> last consulted on Novembe</w:t>
      </w:r>
      <w:r w:rsidR="007A59AB">
        <w:rPr>
          <w:szCs w:val="18"/>
          <w:lang w:val="en-US"/>
        </w:rPr>
        <w:t>r</w:t>
      </w:r>
      <w:r w:rsidR="00191709" w:rsidRPr="004D36A8">
        <w:rPr>
          <w:szCs w:val="18"/>
          <w:lang w:val="en-US"/>
        </w:rPr>
        <w:t>, 2023.</w:t>
      </w:r>
    </w:p>
    <w:p w14:paraId="7CACDD9C" w14:textId="2A7FBC98" w:rsidR="004003B3" w:rsidRPr="004D36A8" w:rsidRDefault="004003B3" w:rsidP="004003B3">
      <w:pPr>
        <w:pStyle w:val="Els-referenceno-number"/>
        <w:jc w:val="both"/>
        <w:rPr>
          <w:szCs w:val="18"/>
          <w:lang w:val="es-MX"/>
        </w:rPr>
      </w:pPr>
      <w:r w:rsidRPr="004D36A8">
        <w:rPr>
          <w:szCs w:val="18"/>
          <w:lang w:val="es-MX"/>
        </w:rPr>
        <w:t xml:space="preserve">E. Sanchez-Ramírez, J. G. Segovia-Hernandez and A. Bonilla-Petriciolet (2015). </w:t>
      </w:r>
      <w:r w:rsidRPr="004D36A8">
        <w:rPr>
          <w:szCs w:val="18"/>
          <w:lang w:val="en-US"/>
        </w:rPr>
        <w:t xml:space="preserve">Process alternatives for biobutanol purification: design and optimization. Ind. Eng. </w:t>
      </w:r>
      <w:r w:rsidRPr="004D36A8">
        <w:rPr>
          <w:szCs w:val="18"/>
          <w:lang w:val="es-MX"/>
        </w:rPr>
        <w:t>Chem. Res., 54(1), 351–358.</w:t>
      </w:r>
    </w:p>
    <w:p w14:paraId="652D19D6" w14:textId="3E7BF137" w:rsidR="004003B3" w:rsidRPr="00BA13C6" w:rsidRDefault="004003B3" w:rsidP="004003B3">
      <w:pPr>
        <w:pStyle w:val="Els-referenceno-number"/>
        <w:jc w:val="both"/>
        <w:rPr>
          <w:szCs w:val="18"/>
          <w:lang w:val="en-US"/>
        </w:rPr>
      </w:pPr>
      <w:r w:rsidRPr="004D36A8">
        <w:rPr>
          <w:szCs w:val="18"/>
          <w:lang w:val="es-MX"/>
        </w:rPr>
        <w:t xml:space="preserve">A. Susmozas, A. D. Moreno, J. M. Romero-García, P. Manzanares and M. Ballesteros (2018). </w:t>
      </w:r>
      <w:r w:rsidRPr="004D36A8">
        <w:rPr>
          <w:szCs w:val="18"/>
          <w:lang w:val="en-US"/>
        </w:rPr>
        <w:t xml:space="preserve">Designing an olive tree pruning biorefinery for the production of bioethanol, xylitol an antioxidants: A techno-economic assessment. </w:t>
      </w:r>
      <w:r w:rsidRPr="00BA13C6">
        <w:rPr>
          <w:szCs w:val="18"/>
          <w:lang w:val="en-US"/>
        </w:rPr>
        <w:t>Holzforschung, 73(1), 15–23.</w:t>
      </w:r>
    </w:p>
    <w:p w14:paraId="0D2980F5" w14:textId="2E10F4E0" w:rsidR="00E223EA" w:rsidRPr="004D36A8" w:rsidRDefault="004003B3" w:rsidP="00323118">
      <w:pPr>
        <w:pStyle w:val="Els-referenceno-number"/>
        <w:jc w:val="both"/>
        <w:rPr>
          <w:szCs w:val="18"/>
          <w:lang w:val="en-US"/>
        </w:rPr>
      </w:pPr>
      <w:r w:rsidRPr="004D36A8">
        <w:rPr>
          <w:szCs w:val="18"/>
          <w:lang w:val="en-US"/>
        </w:rPr>
        <w:t xml:space="preserve">C. E. </w:t>
      </w:r>
      <w:r w:rsidR="00323118" w:rsidRPr="004D36A8">
        <w:rPr>
          <w:szCs w:val="18"/>
          <w:lang w:val="en-US"/>
        </w:rPr>
        <w:t>Torres-Ortega and B. G. Rong</w:t>
      </w:r>
      <w:r w:rsidR="00F95C52" w:rsidRPr="004D36A8">
        <w:rPr>
          <w:szCs w:val="18"/>
          <w:lang w:val="en-US"/>
        </w:rPr>
        <w:t xml:space="preserve"> (2016). Intensified separation processes for the recovery and dehydration of bioethanol from an actual lignocellulosic fermentation broth. In </w:t>
      </w:r>
      <w:r w:rsidR="00686FD7" w:rsidRPr="00686FD7">
        <w:rPr>
          <w:szCs w:val="18"/>
          <w:lang w:val="en-US"/>
        </w:rPr>
        <w:t>Comput. Aided Chem. Eng.</w:t>
      </w:r>
      <w:r w:rsidR="00F95C52" w:rsidRPr="004D36A8">
        <w:rPr>
          <w:szCs w:val="18"/>
          <w:lang w:val="en-US"/>
        </w:rPr>
        <w:t>, 38, 727-732. Elsevier.</w:t>
      </w:r>
      <w:r w:rsidR="00E223EA" w:rsidRPr="004D36A8">
        <w:rPr>
          <w:szCs w:val="18"/>
          <w:lang w:val="en-US"/>
        </w:rPr>
        <w:t xml:space="preserve"> </w:t>
      </w:r>
    </w:p>
    <w:p w14:paraId="5DBA2BE4" w14:textId="72441BA1" w:rsidR="004003B3" w:rsidRPr="004D36A8" w:rsidRDefault="00323118" w:rsidP="004D36A8">
      <w:pPr>
        <w:pStyle w:val="Els-referenceno-number"/>
        <w:jc w:val="both"/>
        <w:rPr>
          <w:szCs w:val="18"/>
          <w:lang w:val="en-US"/>
        </w:rPr>
      </w:pPr>
      <w:r w:rsidRPr="004D36A8">
        <w:rPr>
          <w:szCs w:val="18"/>
          <w:lang w:val="en-US"/>
        </w:rPr>
        <w:t>R. Turton, R. C. Bailie, W. B. Whiting and J. A. Shaeiwitz</w:t>
      </w:r>
      <w:r w:rsidR="00BD422B" w:rsidRPr="004D36A8">
        <w:rPr>
          <w:szCs w:val="18"/>
          <w:lang w:val="en-US"/>
        </w:rPr>
        <w:t xml:space="preserve"> (2008). Analysis, synthesis and design of chemical processes. Pearson Education</w:t>
      </w:r>
      <w:r w:rsidRPr="004D36A8">
        <w:rPr>
          <w:szCs w:val="18"/>
          <w:lang w:val="en-US"/>
        </w:rPr>
        <w:t>.</w:t>
      </w:r>
    </w:p>
    <w:sectPr w:rsidR="004003B3" w:rsidRPr="004D36A8" w:rsidSect="008B0184">
      <w:headerReference w:type="even" r:id="rId11"/>
      <w:headerReference w:type="default" r:id="rId12"/>
      <w:headerReference w:type="first" r:id="rId13"/>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9A4C" w14:textId="77777777" w:rsidR="00D36D27" w:rsidRDefault="00D36D27">
      <w:r>
        <w:separator/>
      </w:r>
    </w:p>
  </w:endnote>
  <w:endnote w:type="continuationSeparator" w:id="0">
    <w:p w14:paraId="1FBD2497" w14:textId="77777777" w:rsidR="00D36D27" w:rsidRDefault="00D3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25F0C" w14:textId="77777777" w:rsidR="00D36D27" w:rsidRDefault="00D36D27">
      <w:r>
        <w:separator/>
      </w:r>
    </w:p>
  </w:footnote>
  <w:footnote w:type="continuationSeparator" w:id="0">
    <w:p w14:paraId="41B2DFDB" w14:textId="77777777" w:rsidR="00D36D27" w:rsidRDefault="00D3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4506F950" w:rsidR="00DD3D9E" w:rsidRPr="009612A0" w:rsidRDefault="00DD3D9E">
    <w:pPr>
      <w:pStyle w:val="Encabezado"/>
      <w:tabs>
        <w:tab w:val="clear" w:pos="7200"/>
        <w:tab w:val="right" w:pos="7088"/>
      </w:tabs>
      <w:rPr>
        <w:lang w:val="es-MX"/>
      </w:rPr>
    </w:pPr>
    <w:r>
      <w:rPr>
        <w:rStyle w:val="Nmerodepgina"/>
      </w:rPr>
      <w:tab/>
    </w:r>
    <w:r>
      <w:rPr>
        <w:rStyle w:val="Nmerodepgina"/>
        <w:i/>
      </w:rPr>
      <w:tab/>
    </w:r>
    <w:r w:rsidR="009612A0" w:rsidRPr="00C61838">
      <w:rPr>
        <w:i/>
        <w:lang w:val="es-MX"/>
      </w:rPr>
      <w:t>Y.M. Espinoza-Vázquez et a</w:t>
    </w:r>
    <w:r w:rsidR="009612A0">
      <w:rPr>
        <w:i/>
        <w:lang w:val="es-MX"/>
      </w:rPr>
      <w:t>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D8B41D1" w:rsidR="00DD3D9E" w:rsidRDefault="009612A0" w:rsidP="009612A0">
    <w:pPr>
      <w:pStyle w:val="Encabezado"/>
      <w:tabs>
        <w:tab w:val="clear" w:pos="7200"/>
        <w:tab w:val="right" w:pos="7088"/>
      </w:tabs>
      <w:rPr>
        <w:sz w:val="24"/>
      </w:rPr>
    </w:pPr>
    <w:r w:rsidRPr="009612A0">
      <w:rPr>
        <w:i/>
      </w:rPr>
      <w:t>Economic optimization of intensified processes to produce bioethanol from lignocellulosic biomass</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 xml:space="preserve">Flavio Manenti, Gintaras V. </w:t>
    </w:r>
    <w:proofErr w:type="spellStart"/>
    <w:r w:rsidRPr="0068162C">
      <w:rPr>
        <w:color w:val="auto"/>
        <w:sz w:val="18"/>
        <w:szCs w:val="18"/>
      </w:rPr>
      <w:t>Reklaitis</w:t>
    </w:r>
    <w:proofErr w:type="spellEnd"/>
    <w:r w:rsidRPr="0068162C">
      <w:rPr>
        <w:color w:val="auto"/>
        <w:sz w:val="18"/>
        <w:szCs w:val="18"/>
      </w:rPr>
      <w:t xml:space="preserve">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568"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MrQ0szQ0M7WwMDZU0lEKTi0uzszPAykwrAUARf5XgiwAAAA="/>
  </w:docVars>
  <w:rsids>
    <w:rsidRoot w:val="00B63237"/>
    <w:rsid w:val="00030534"/>
    <w:rsid w:val="00037C9A"/>
    <w:rsid w:val="000478FC"/>
    <w:rsid w:val="000A7713"/>
    <w:rsid w:val="000B38C6"/>
    <w:rsid w:val="000B44DF"/>
    <w:rsid w:val="000C6B81"/>
    <w:rsid w:val="000D3D9B"/>
    <w:rsid w:val="00100995"/>
    <w:rsid w:val="00136606"/>
    <w:rsid w:val="00145130"/>
    <w:rsid w:val="00151AF7"/>
    <w:rsid w:val="0016032F"/>
    <w:rsid w:val="001623D5"/>
    <w:rsid w:val="001742B5"/>
    <w:rsid w:val="001879F6"/>
    <w:rsid w:val="00191709"/>
    <w:rsid w:val="001C0148"/>
    <w:rsid w:val="001C757E"/>
    <w:rsid w:val="001D607E"/>
    <w:rsid w:val="001F7D3F"/>
    <w:rsid w:val="0020390F"/>
    <w:rsid w:val="0025524D"/>
    <w:rsid w:val="00264926"/>
    <w:rsid w:val="00265400"/>
    <w:rsid w:val="002733AB"/>
    <w:rsid w:val="002917A3"/>
    <w:rsid w:val="002D0141"/>
    <w:rsid w:val="002D4A95"/>
    <w:rsid w:val="002F6EA1"/>
    <w:rsid w:val="00323118"/>
    <w:rsid w:val="00354D29"/>
    <w:rsid w:val="00376619"/>
    <w:rsid w:val="00383F0D"/>
    <w:rsid w:val="00397450"/>
    <w:rsid w:val="003B6245"/>
    <w:rsid w:val="003D1582"/>
    <w:rsid w:val="003D7E4C"/>
    <w:rsid w:val="003E41C2"/>
    <w:rsid w:val="003E5397"/>
    <w:rsid w:val="003E7C88"/>
    <w:rsid w:val="003F66ED"/>
    <w:rsid w:val="004003B3"/>
    <w:rsid w:val="00475532"/>
    <w:rsid w:val="0049772C"/>
    <w:rsid w:val="004B658D"/>
    <w:rsid w:val="004C420C"/>
    <w:rsid w:val="004C7DC9"/>
    <w:rsid w:val="004D36A8"/>
    <w:rsid w:val="005217A7"/>
    <w:rsid w:val="005267C2"/>
    <w:rsid w:val="00552EEB"/>
    <w:rsid w:val="00573A11"/>
    <w:rsid w:val="005B0F35"/>
    <w:rsid w:val="005D7099"/>
    <w:rsid w:val="00633081"/>
    <w:rsid w:val="0063525E"/>
    <w:rsid w:val="0067759E"/>
    <w:rsid w:val="00686FD7"/>
    <w:rsid w:val="00693095"/>
    <w:rsid w:val="006A36DA"/>
    <w:rsid w:val="006A69BF"/>
    <w:rsid w:val="006B14AB"/>
    <w:rsid w:val="006F2F8A"/>
    <w:rsid w:val="007041BD"/>
    <w:rsid w:val="0070600B"/>
    <w:rsid w:val="007102E4"/>
    <w:rsid w:val="00711DF4"/>
    <w:rsid w:val="00720FAA"/>
    <w:rsid w:val="007338F4"/>
    <w:rsid w:val="0075649B"/>
    <w:rsid w:val="007825DF"/>
    <w:rsid w:val="007831CC"/>
    <w:rsid w:val="00787362"/>
    <w:rsid w:val="00795981"/>
    <w:rsid w:val="007A59AB"/>
    <w:rsid w:val="007D6C99"/>
    <w:rsid w:val="007D70A1"/>
    <w:rsid w:val="007F409F"/>
    <w:rsid w:val="00805F39"/>
    <w:rsid w:val="008132E8"/>
    <w:rsid w:val="008163CE"/>
    <w:rsid w:val="00823392"/>
    <w:rsid w:val="00823407"/>
    <w:rsid w:val="00830079"/>
    <w:rsid w:val="00893F25"/>
    <w:rsid w:val="008B0184"/>
    <w:rsid w:val="008C5D02"/>
    <w:rsid w:val="008D2649"/>
    <w:rsid w:val="008E3490"/>
    <w:rsid w:val="0090568D"/>
    <w:rsid w:val="00906DD2"/>
    <w:rsid w:val="009125C9"/>
    <w:rsid w:val="00913879"/>
    <w:rsid w:val="00917661"/>
    <w:rsid w:val="009216E3"/>
    <w:rsid w:val="0092385C"/>
    <w:rsid w:val="009612A0"/>
    <w:rsid w:val="00961792"/>
    <w:rsid w:val="00970E5D"/>
    <w:rsid w:val="0097701C"/>
    <w:rsid w:val="00980A65"/>
    <w:rsid w:val="009E1E94"/>
    <w:rsid w:val="00A10D38"/>
    <w:rsid w:val="00A14F7F"/>
    <w:rsid w:val="00A25E70"/>
    <w:rsid w:val="00A33765"/>
    <w:rsid w:val="00A6082C"/>
    <w:rsid w:val="00A63269"/>
    <w:rsid w:val="00A92377"/>
    <w:rsid w:val="00AB29ED"/>
    <w:rsid w:val="00AD230E"/>
    <w:rsid w:val="00AE4BD8"/>
    <w:rsid w:val="00B00612"/>
    <w:rsid w:val="00B21738"/>
    <w:rsid w:val="00B31C62"/>
    <w:rsid w:val="00B4388F"/>
    <w:rsid w:val="00B54152"/>
    <w:rsid w:val="00B63237"/>
    <w:rsid w:val="00B85510"/>
    <w:rsid w:val="00B976DA"/>
    <w:rsid w:val="00BA13C6"/>
    <w:rsid w:val="00BA6977"/>
    <w:rsid w:val="00BB2F2C"/>
    <w:rsid w:val="00BC46CD"/>
    <w:rsid w:val="00BD422B"/>
    <w:rsid w:val="00BF4F74"/>
    <w:rsid w:val="00C0037C"/>
    <w:rsid w:val="00C04E34"/>
    <w:rsid w:val="00C14B4A"/>
    <w:rsid w:val="00C175D8"/>
    <w:rsid w:val="00C37027"/>
    <w:rsid w:val="00C77392"/>
    <w:rsid w:val="00C844E2"/>
    <w:rsid w:val="00C8481C"/>
    <w:rsid w:val="00C960DC"/>
    <w:rsid w:val="00CA63E3"/>
    <w:rsid w:val="00CB2FDB"/>
    <w:rsid w:val="00CB40E4"/>
    <w:rsid w:val="00CF40C7"/>
    <w:rsid w:val="00D02C75"/>
    <w:rsid w:val="00D10E22"/>
    <w:rsid w:val="00D11000"/>
    <w:rsid w:val="00D13D2C"/>
    <w:rsid w:val="00D14B2D"/>
    <w:rsid w:val="00D36D27"/>
    <w:rsid w:val="00D578A9"/>
    <w:rsid w:val="00D935CB"/>
    <w:rsid w:val="00DA78C0"/>
    <w:rsid w:val="00DB1ABA"/>
    <w:rsid w:val="00DC2F94"/>
    <w:rsid w:val="00DD021A"/>
    <w:rsid w:val="00DD3D9E"/>
    <w:rsid w:val="00DD7908"/>
    <w:rsid w:val="00DE33A5"/>
    <w:rsid w:val="00E223EA"/>
    <w:rsid w:val="00E34CE2"/>
    <w:rsid w:val="00E46FAA"/>
    <w:rsid w:val="00E52B64"/>
    <w:rsid w:val="00E82297"/>
    <w:rsid w:val="00E8412C"/>
    <w:rsid w:val="00EE48F2"/>
    <w:rsid w:val="00EE4D5D"/>
    <w:rsid w:val="00EF39FD"/>
    <w:rsid w:val="00EF529A"/>
    <w:rsid w:val="00F0506D"/>
    <w:rsid w:val="00F06842"/>
    <w:rsid w:val="00F107FD"/>
    <w:rsid w:val="00F95C52"/>
    <w:rsid w:val="00FA396C"/>
    <w:rsid w:val="00FB01FE"/>
    <w:rsid w:val="00FB64A8"/>
    <w:rsid w:val="00FC14A5"/>
    <w:rsid w:val="00FC3D68"/>
    <w:rsid w:val="00FD6C96"/>
    <w:rsid w:val="00FF1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7713"/>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ind w:left="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Textodelmarcadordeposicin">
    <w:name w:val="Placeholder Text"/>
    <w:basedOn w:val="Fuentedeprrafopredeter"/>
    <w:uiPriority w:val="99"/>
    <w:semiHidden/>
    <w:rsid w:val="00CB40E4"/>
    <w:rPr>
      <w:color w:val="666666"/>
    </w:rPr>
  </w:style>
  <w:style w:type="table" w:styleId="Tablaconcuadrcula">
    <w:name w:val="Table Grid"/>
    <w:basedOn w:val="Tablanormal"/>
    <w:rsid w:val="000B3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917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gomez@ugto.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86</TotalTime>
  <Pages>6</Pages>
  <Words>2523</Words>
  <Characters>13881</Characters>
  <Application>Microsoft Office Word</Application>
  <DocSecurity>0</DocSecurity>
  <Lines>115</Lines>
  <Paragraphs>32</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Yulissa M. Espinoza Vázquez</dc:creator>
  <cp:lastModifiedBy>fgomez</cp:lastModifiedBy>
  <cp:revision>10</cp:revision>
  <cp:lastPrinted>2004-12-17T09:20:00Z</cp:lastPrinted>
  <dcterms:created xsi:type="dcterms:W3CDTF">2023-11-27T17:40:00Z</dcterms:created>
  <dcterms:modified xsi:type="dcterms:W3CDTF">2023-12-12T18:16:00Z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