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0B02F7FB" w:rsidR="00DD3D9E" w:rsidRPr="00D57AD3" w:rsidRDefault="00D57AD3" w:rsidP="00D57AD3">
      <w:pPr>
        <w:pStyle w:val="Els-Title"/>
        <w:spacing w:before="0" w:after="0" w:line="240" w:lineRule="auto"/>
        <w:jc w:val="both"/>
      </w:pPr>
      <w:r w:rsidRPr="00CC794A">
        <w:t>Modelling</w:t>
      </w:r>
      <w:r>
        <w:t>\</w:t>
      </w:r>
      <w:r w:rsidRPr="00CC794A">
        <w:t>simulation and optimization of large-scale post-combustion CO</w:t>
      </w:r>
      <w:r w:rsidRPr="00CC794A">
        <w:rPr>
          <w:vertAlign w:val="subscript"/>
        </w:rPr>
        <w:t>2</w:t>
      </w:r>
      <w:r w:rsidRPr="00CC794A">
        <w:t xml:space="preserve"> capture using a rotating packed bed absorber and packed bed stripper </w:t>
      </w:r>
    </w:p>
    <w:p w14:paraId="144DE680" w14:textId="50848E63" w:rsidR="00DD3D9E" w:rsidRPr="00D57AD3" w:rsidRDefault="00D57AD3">
      <w:pPr>
        <w:pStyle w:val="Els-Author"/>
        <w:rPr>
          <w:vertAlign w:val="superscript"/>
        </w:rPr>
      </w:pPr>
      <w:r w:rsidRPr="00CC794A">
        <w:t>Olajide Otitoju, Meihong Wang</w:t>
      </w:r>
      <w:r w:rsidRPr="00CC794A">
        <w:rPr>
          <w:vertAlign w:val="superscript"/>
        </w:rPr>
        <w:t>*</w:t>
      </w:r>
    </w:p>
    <w:p w14:paraId="00BF7889" w14:textId="77777777" w:rsidR="00D57AD3" w:rsidRPr="00CC794A" w:rsidRDefault="00D57AD3" w:rsidP="00D57AD3">
      <w:pPr>
        <w:pStyle w:val="Els-Affiliation"/>
      </w:pPr>
      <w:r w:rsidRPr="00CC794A">
        <w:t>Department of Chemical and Biological Engineering, University of Sheffield, Sheffield, S1</w:t>
      </w:r>
      <w:r>
        <w:t xml:space="preserve"> </w:t>
      </w:r>
      <w:r w:rsidRPr="00CC794A">
        <w:t>3JD United Kingdom</w:t>
      </w:r>
    </w:p>
    <w:p w14:paraId="4C7FDE8F" w14:textId="77777777" w:rsidR="00D57AD3" w:rsidRDefault="00D57AD3" w:rsidP="00D57AD3">
      <w:pPr>
        <w:pStyle w:val="Els-Affiliation"/>
        <w:spacing w:line="240" w:lineRule="auto"/>
      </w:pPr>
      <w:r w:rsidRPr="00CC794A">
        <w:t xml:space="preserve">Corresponding author: </w:t>
      </w:r>
      <w:hyperlink r:id="rId8" w:history="1">
        <w:r w:rsidRPr="00F85C32">
          <w:rPr>
            <w:rStyle w:val="Collegamentoipertestuale"/>
          </w:rPr>
          <w:t>Meihong.Wang@sheffield.ac.uk</w:t>
        </w:r>
      </w:hyperlink>
    </w:p>
    <w:p w14:paraId="144DE684" w14:textId="77777777" w:rsidR="008D2649" w:rsidRDefault="008D2649" w:rsidP="008D2649">
      <w:pPr>
        <w:pStyle w:val="Els-Abstract"/>
      </w:pPr>
      <w:r>
        <w:t>Abstract</w:t>
      </w:r>
    </w:p>
    <w:p w14:paraId="079A03CF" w14:textId="104D5C83" w:rsidR="00907C7F" w:rsidRPr="00CC794A" w:rsidRDefault="00907C7F" w:rsidP="0047341A">
      <w:pPr>
        <w:pStyle w:val="Els-body-text"/>
        <w:spacing w:after="120"/>
      </w:pPr>
      <w:r w:rsidRPr="00CC794A">
        <w:rPr>
          <w:lang w:eastAsia="en-GB"/>
        </w:rPr>
        <w:t xml:space="preserve">Rotating packed bed (RPB) is capable of reducing the size, footprint, and cost of the post-combustion carbon capture (PCC) process when used as absorbers and strippers. RPB can be operated with higher monoethanolamine (MEA) </w:t>
      </w:r>
      <w:r>
        <w:rPr>
          <w:lang w:eastAsia="en-GB"/>
        </w:rPr>
        <w:t xml:space="preserve">concentration </w:t>
      </w:r>
      <w:r w:rsidRPr="00CC794A">
        <w:rPr>
          <w:lang w:eastAsia="en-GB"/>
        </w:rPr>
        <w:t xml:space="preserve">(&gt;55 wt%). At these concentrations, there is potential for higher absorption performance and lower energy demand for solvent regeneration. However, </w:t>
      </w:r>
      <w:r w:rsidRPr="00CC794A">
        <w:rPr>
          <w:lang w:val="en-GB"/>
        </w:rPr>
        <w:t>p</w:t>
      </w:r>
      <w:r w:rsidRPr="00CC794A">
        <w:rPr>
          <w:rFonts w:hint="eastAsia"/>
          <w:lang w:val="en-GB"/>
        </w:rPr>
        <w:t>revious studies have not investigate</w:t>
      </w:r>
      <w:r>
        <w:rPr>
          <w:lang w:val="en-GB"/>
        </w:rPr>
        <w:t>d</w:t>
      </w:r>
      <w:r w:rsidRPr="00CC794A">
        <w:rPr>
          <w:rFonts w:hint="eastAsia"/>
          <w:lang w:val="en-GB"/>
        </w:rPr>
        <w:t xml:space="preserve"> the </w:t>
      </w:r>
      <w:r w:rsidRPr="00CC794A">
        <w:rPr>
          <w:rFonts w:hint="eastAsia"/>
          <w:bCs/>
          <w:lang w:val="en-GB"/>
        </w:rPr>
        <w:t>optimal MEA concentration</w:t>
      </w:r>
      <w:r w:rsidRPr="00CC794A">
        <w:rPr>
          <w:rFonts w:hint="eastAsia"/>
          <w:b/>
          <w:bCs/>
          <w:lang w:val="en-GB"/>
        </w:rPr>
        <w:t xml:space="preserve"> </w:t>
      </w:r>
      <w:r w:rsidRPr="00CC794A">
        <w:rPr>
          <w:rFonts w:hint="eastAsia"/>
          <w:lang w:val="en-GB"/>
        </w:rPr>
        <w:t xml:space="preserve">to operate </w:t>
      </w:r>
      <w:r>
        <w:rPr>
          <w:lang w:val="en-GB"/>
        </w:rPr>
        <w:t xml:space="preserve">the </w:t>
      </w:r>
      <w:r w:rsidRPr="00CC794A">
        <w:rPr>
          <w:rFonts w:hint="eastAsia"/>
          <w:lang w:val="en-GB"/>
        </w:rPr>
        <w:t xml:space="preserve">RPB absorber </w:t>
      </w:r>
      <w:r>
        <w:rPr>
          <w:lang w:val="en-GB"/>
        </w:rPr>
        <w:t xml:space="preserve">and PB stripper </w:t>
      </w:r>
      <w:r w:rsidRPr="00CC794A">
        <w:rPr>
          <w:rFonts w:hint="eastAsia"/>
          <w:lang w:val="en-GB"/>
        </w:rPr>
        <w:t>for large-scale PCC proces</w:t>
      </w:r>
      <w:r>
        <w:rPr>
          <w:lang w:val="en-GB"/>
        </w:rPr>
        <w:t>ses</w:t>
      </w:r>
      <w:r w:rsidRPr="00CC794A">
        <w:rPr>
          <w:lang w:val="en-GB"/>
        </w:rPr>
        <w:t xml:space="preserve">. This </w:t>
      </w:r>
      <w:r w:rsidRPr="00CC794A">
        <w:t xml:space="preserve">study </w:t>
      </w:r>
      <w:r w:rsidRPr="00CC794A">
        <w:rPr>
          <w:rFonts w:hint="eastAsia"/>
          <w:bCs/>
        </w:rPr>
        <w:t>investigate</w:t>
      </w:r>
      <w:r>
        <w:rPr>
          <w:bCs/>
        </w:rPr>
        <w:t>s</w:t>
      </w:r>
      <w:r w:rsidRPr="00CC794A">
        <w:rPr>
          <w:rFonts w:hint="eastAsia"/>
        </w:rPr>
        <w:t xml:space="preserve"> the optimal solvent concentration in MEA-based </w:t>
      </w:r>
      <w:r w:rsidRPr="00CC794A">
        <w:t>PCC</w:t>
      </w:r>
      <w:r w:rsidRPr="00CC794A">
        <w:rPr>
          <w:rFonts w:hint="eastAsia"/>
        </w:rPr>
        <w:t xml:space="preserve"> using </w:t>
      </w:r>
      <w:r>
        <w:t xml:space="preserve">an </w:t>
      </w:r>
      <w:r w:rsidRPr="00CC794A">
        <w:rPr>
          <w:rFonts w:hint="eastAsia"/>
          <w:bCs/>
        </w:rPr>
        <w:t>RPB</w:t>
      </w:r>
      <w:r w:rsidRPr="00CC794A">
        <w:rPr>
          <w:rFonts w:hint="eastAsia"/>
          <w:b/>
          <w:bCs/>
        </w:rPr>
        <w:t xml:space="preserve"> </w:t>
      </w:r>
      <w:r w:rsidRPr="00CC794A">
        <w:rPr>
          <w:rFonts w:hint="eastAsia"/>
          <w:bCs/>
        </w:rPr>
        <w:t xml:space="preserve">absorber </w:t>
      </w:r>
      <w:r w:rsidRPr="00CC794A">
        <w:rPr>
          <w:rFonts w:hint="eastAsia"/>
        </w:rPr>
        <w:t xml:space="preserve">and </w:t>
      </w:r>
      <w:r w:rsidRPr="00CC794A">
        <w:rPr>
          <w:bCs/>
        </w:rPr>
        <w:t>packed bed (P</w:t>
      </w:r>
      <w:r w:rsidRPr="00CC794A">
        <w:rPr>
          <w:rFonts w:hint="eastAsia"/>
          <w:bCs/>
        </w:rPr>
        <w:t>B</w:t>
      </w:r>
      <w:r w:rsidRPr="00CC794A">
        <w:rPr>
          <w:bCs/>
        </w:rPr>
        <w:t>)</w:t>
      </w:r>
      <w:r w:rsidRPr="00CC794A">
        <w:rPr>
          <w:rFonts w:hint="eastAsia"/>
          <w:bCs/>
        </w:rPr>
        <w:t xml:space="preserve"> stripper </w:t>
      </w:r>
      <w:r w:rsidRPr="00CC794A">
        <w:rPr>
          <w:rFonts w:hint="eastAsia"/>
        </w:rPr>
        <w:t xml:space="preserve">for 250 MW </w:t>
      </w:r>
      <w:r>
        <w:t>combined cycle gas turbine (CCGT)</w:t>
      </w:r>
      <w:r w:rsidRPr="00CC794A">
        <w:rPr>
          <w:rFonts w:hint="eastAsia"/>
        </w:rPr>
        <w:t xml:space="preserve"> power plants</w:t>
      </w:r>
      <w:r w:rsidRPr="00CC794A">
        <w:t>.</w:t>
      </w:r>
      <w:r>
        <w:t xml:space="preserve"> </w:t>
      </w:r>
      <w:r w:rsidRPr="00CC794A">
        <w:rPr>
          <w:rStyle w:val="fontstyle01"/>
          <w:color w:val="auto"/>
          <w:sz w:val="18"/>
          <w:szCs w:val="18"/>
        </w:rPr>
        <w:t>The rate-based model of the RPB absorber was developed in Aspen Custom Modeller</w:t>
      </w:r>
      <w:r w:rsidRPr="00CC794A">
        <w:rPr>
          <w:rStyle w:val="fontstyle01"/>
          <w:color w:val="auto"/>
          <w:sz w:val="18"/>
          <w:szCs w:val="18"/>
          <w:vertAlign w:val="superscript"/>
        </w:rPr>
        <w:t>®</w:t>
      </w:r>
      <w:r w:rsidRPr="00CC794A">
        <w:rPr>
          <w:rStyle w:val="fontstyle01"/>
          <w:color w:val="auto"/>
          <w:sz w:val="18"/>
          <w:szCs w:val="18"/>
        </w:rPr>
        <w:t xml:space="preserve"> (ACM) V11. </w:t>
      </w:r>
      <w:r w:rsidRPr="00CC794A">
        <w:rPr>
          <w:lang w:eastAsia="en-GB"/>
        </w:rPr>
        <w:t xml:space="preserve">The </w:t>
      </w:r>
      <w:r>
        <w:rPr>
          <w:lang w:eastAsia="en-GB"/>
        </w:rPr>
        <w:t>accuracy</w:t>
      </w:r>
      <w:r w:rsidRPr="00CC794A">
        <w:rPr>
          <w:lang w:eastAsia="en-GB"/>
        </w:rPr>
        <w:t xml:space="preserve"> of the RPB absorber model was verified by validating </w:t>
      </w:r>
      <w:r>
        <w:rPr>
          <w:lang w:eastAsia="en-GB"/>
        </w:rPr>
        <w:t xml:space="preserve">it </w:t>
      </w:r>
      <w:r w:rsidRPr="00CC794A">
        <w:rPr>
          <w:lang w:eastAsia="en-GB"/>
        </w:rPr>
        <w:t>with experimental data. The RPB absorber model correctly predict</w:t>
      </w:r>
      <w:r>
        <w:rPr>
          <w:lang w:eastAsia="en-GB"/>
        </w:rPr>
        <w:t>ed</w:t>
      </w:r>
      <w:r w:rsidRPr="00CC794A">
        <w:rPr>
          <w:lang w:eastAsia="en-GB"/>
        </w:rPr>
        <w:t xml:space="preserve"> the experimental data </w:t>
      </w:r>
      <w:r>
        <w:rPr>
          <w:lang w:eastAsia="en-GB"/>
        </w:rPr>
        <w:t xml:space="preserve">and </w:t>
      </w:r>
      <w:r w:rsidRPr="00CC794A">
        <w:rPr>
          <w:lang w:eastAsia="en-GB"/>
        </w:rPr>
        <w:t xml:space="preserve">was then scaled up to deal with flue gas from a 250 MW CCGT power plant. The </w:t>
      </w:r>
      <w:r>
        <w:rPr>
          <w:lang w:eastAsia="en-GB"/>
        </w:rPr>
        <w:t xml:space="preserve">RPB Absorber </w:t>
      </w:r>
      <w:r w:rsidRPr="00CC794A">
        <w:rPr>
          <w:lang w:eastAsia="en-GB"/>
        </w:rPr>
        <w:t>model was exported to Aspen</w:t>
      </w:r>
      <w:r>
        <w:rPr>
          <w:lang w:eastAsia="en-GB"/>
        </w:rPr>
        <w:t xml:space="preserve"> </w:t>
      </w:r>
      <w:r w:rsidRPr="00CC794A">
        <w:rPr>
          <w:lang w:eastAsia="en-GB"/>
        </w:rPr>
        <w:t>Plus</w:t>
      </w:r>
      <w:r w:rsidRPr="00CC794A">
        <w:rPr>
          <w:vertAlign w:val="superscript"/>
          <w:lang w:eastAsia="en-GB"/>
        </w:rPr>
        <w:t xml:space="preserve">® </w:t>
      </w:r>
      <w:r w:rsidRPr="00CC794A">
        <w:rPr>
          <w:lang w:eastAsia="en-GB"/>
        </w:rPr>
        <w:t xml:space="preserve">and integrated with PB stripper to develop the closed loop of the large-scale PCC process. </w:t>
      </w:r>
      <w:r w:rsidRPr="00CC794A">
        <w:rPr>
          <w:shd w:val="clear" w:color="auto" w:fill="FFFFFF"/>
        </w:rPr>
        <w:t xml:space="preserve">This large-scale model was used for process analysis and optimization studies. </w:t>
      </w:r>
      <w:r>
        <w:rPr>
          <w:shd w:val="clear" w:color="auto" w:fill="FFFFFF"/>
        </w:rPr>
        <w:t>Optimisation</w:t>
      </w:r>
      <w:r w:rsidRPr="00CC794A">
        <w:rPr>
          <w:shd w:val="clear" w:color="auto" w:fill="FFFFFF"/>
        </w:rPr>
        <w:t xml:space="preserve"> results showed that the</w:t>
      </w:r>
      <w:r w:rsidRPr="00CC794A">
        <w:rPr>
          <w:lang w:val="en-GB"/>
        </w:rPr>
        <w:t xml:space="preserve"> lowest total energy consumption of 4.46 GJ/t</w:t>
      </w:r>
      <w:r w:rsidRPr="00CC794A">
        <w:rPr>
          <w:vertAlign w:val="subscript"/>
          <w:lang w:val="en-GB"/>
        </w:rPr>
        <w:t>CO2</w:t>
      </w:r>
      <w:r w:rsidRPr="00CC794A">
        <w:rPr>
          <w:lang w:val="en-GB"/>
        </w:rPr>
        <w:t xml:space="preserve"> was found at an optimal MEA concentration of 75 wt%.</w:t>
      </w:r>
      <w:r w:rsidRPr="00CC794A">
        <w:t xml:space="preserve"> </w:t>
      </w:r>
      <w:r w:rsidRPr="00CC794A">
        <w:rPr>
          <w:rStyle w:val="fontstyle01"/>
          <w:rFonts w:ascii="Times New Roman" w:eastAsia="Arial Unicode MS" w:hAnsi="Times New Roman"/>
          <w:color w:val="auto"/>
          <w:sz w:val="20"/>
          <w:szCs w:val="20"/>
        </w:rPr>
        <w:t xml:space="preserve">Going forward, we </w:t>
      </w:r>
      <w:r w:rsidRPr="00CC794A">
        <w:t>will perform an elaborate economic analysis based on the optimized process to determine the optimal MEA concentration that results in the lowest CO</w:t>
      </w:r>
      <w:r w:rsidRPr="00CC794A">
        <w:rPr>
          <w:vertAlign w:val="subscript"/>
        </w:rPr>
        <w:t>2</w:t>
      </w:r>
      <w:r w:rsidRPr="00CC794A">
        <w:t xml:space="preserve"> capture cost. </w:t>
      </w:r>
    </w:p>
    <w:p w14:paraId="144DE687" w14:textId="0E0C71D1" w:rsidR="008D2649" w:rsidRDefault="008D2649" w:rsidP="008D2649">
      <w:pPr>
        <w:pStyle w:val="Els-body-text"/>
        <w:spacing w:after="120"/>
        <w:rPr>
          <w:lang w:val="en-GB"/>
        </w:rPr>
      </w:pPr>
      <w:r>
        <w:rPr>
          <w:b/>
          <w:bCs/>
          <w:lang w:val="en-GB"/>
        </w:rPr>
        <w:t>Keywords</w:t>
      </w:r>
      <w:r>
        <w:rPr>
          <w:lang w:val="en-GB"/>
        </w:rPr>
        <w:t xml:space="preserve">: </w:t>
      </w:r>
      <w:r w:rsidR="00907C7F" w:rsidRPr="00CC794A">
        <w:t xml:space="preserve">Post-combustion carbon capture, </w:t>
      </w:r>
      <w:r w:rsidR="00907C7F">
        <w:t>chemical absorption, rotating packed bed,</w:t>
      </w:r>
      <w:r w:rsidR="00907C7F" w:rsidRPr="00CC794A">
        <w:t xml:space="preserve"> Combined cycle gas turbine power</w:t>
      </w:r>
      <w:r w:rsidR="00907C7F">
        <w:t xml:space="preserve"> plant</w:t>
      </w:r>
      <w:r w:rsidR="00907C7F" w:rsidRPr="00CC794A">
        <w:t>, optimisation</w:t>
      </w:r>
      <w:r>
        <w:rPr>
          <w:lang w:val="en-GB"/>
        </w:rPr>
        <w:t>.</w:t>
      </w:r>
    </w:p>
    <w:p w14:paraId="3067F57E" w14:textId="77777777" w:rsidR="0047341A" w:rsidRDefault="00974CDC" w:rsidP="0047341A">
      <w:pPr>
        <w:pStyle w:val="Els-1storder-head"/>
        <w:spacing w:line="240" w:lineRule="auto"/>
      </w:pPr>
      <w:r>
        <w:t xml:space="preserve">Introduction </w:t>
      </w:r>
    </w:p>
    <w:p w14:paraId="774E66BA" w14:textId="7919262B" w:rsidR="0047341A" w:rsidRPr="0047341A" w:rsidRDefault="0047341A" w:rsidP="0047341A">
      <w:pPr>
        <w:jc w:val="both"/>
        <w:rPr>
          <w:rStyle w:val="fontstyle01"/>
          <w:rFonts w:ascii="Times New Roman" w:hAnsi="Times New Roman"/>
          <w:color w:val="auto"/>
          <w:sz w:val="22"/>
          <w:szCs w:val="20"/>
        </w:rPr>
      </w:pPr>
      <w:r w:rsidRPr="0047341A">
        <w:rPr>
          <w:rStyle w:val="fontstyle01"/>
          <w:rFonts w:ascii="Times New Roman" w:hAnsi="Times New Roman"/>
          <w:color w:val="auto"/>
          <w:sz w:val="20"/>
          <w:szCs w:val="20"/>
        </w:rPr>
        <w:t>Carbon dioxide is a greenhouse gas that is responsible for climate change. Fossil fuel-fired power plants are the</w:t>
      </w:r>
      <w:r w:rsidRPr="0047341A">
        <w:t xml:space="preserve"> </w:t>
      </w:r>
      <w:r w:rsidRPr="0047341A">
        <w:rPr>
          <w:rStyle w:val="fontstyle01"/>
          <w:rFonts w:ascii="Times New Roman" w:hAnsi="Times New Roman"/>
          <w:color w:val="auto"/>
          <w:sz w:val="20"/>
          <w:szCs w:val="20"/>
        </w:rPr>
        <w:t>largest CO</w:t>
      </w:r>
      <w:r w:rsidRPr="0047341A">
        <w:rPr>
          <w:rStyle w:val="fontstyle01"/>
          <w:rFonts w:ascii="Times New Roman" w:hAnsi="Times New Roman"/>
          <w:color w:val="auto"/>
          <w:sz w:val="20"/>
          <w:szCs w:val="20"/>
          <w:vertAlign w:val="subscript"/>
        </w:rPr>
        <w:t xml:space="preserve">2 </w:t>
      </w:r>
      <w:r w:rsidRPr="0047341A">
        <w:rPr>
          <w:rStyle w:val="fontstyle01"/>
          <w:rFonts w:ascii="Times New Roman" w:hAnsi="Times New Roman"/>
          <w:color w:val="auto"/>
          <w:sz w:val="20"/>
          <w:szCs w:val="20"/>
        </w:rPr>
        <w:t>emitters. Hence CO</w:t>
      </w:r>
      <w:r w:rsidRPr="0047341A">
        <w:rPr>
          <w:rStyle w:val="fontstyle01"/>
          <w:rFonts w:ascii="Times New Roman" w:hAnsi="Times New Roman"/>
          <w:color w:val="auto"/>
          <w:sz w:val="20"/>
          <w:szCs w:val="20"/>
          <w:vertAlign w:val="subscript"/>
        </w:rPr>
        <w:t>2</w:t>
      </w:r>
      <w:r w:rsidRPr="0047341A">
        <w:rPr>
          <w:rStyle w:val="fontstyle01"/>
          <w:rFonts w:ascii="Times New Roman" w:hAnsi="Times New Roman"/>
          <w:color w:val="auto"/>
          <w:sz w:val="20"/>
          <w:szCs w:val="20"/>
        </w:rPr>
        <w:t xml:space="preserve"> emissions reduction efforts must be targeted at these plants.</w:t>
      </w:r>
      <w:r w:rsidRPr="0047341A">
        <w:t xml:space="preserve"> </w:t>
      </w:r>
      <w:r w:rsidRPr="0047341A">
        <w:rPr>
          <w:rStyle w:val="fontstyle01"/>
          <w:rFonts w:ascii="Times New Roman" w:hAnsi="Times New Roman"/>
          <w:color w:val="auto"/>
          <w:sz w:val="20"/>
          <w:szCs w:val="20"/>
        </w:rPr>
        <w:t>The amine-based post-combustion capture (PCC) has a technology readiness level of 9</w:t>
      </w:r>
      <w:r w:rsidR="00E30CF5">
        <w:rPr>
          <w:rStyle w:val="fontstyle01"/>
          <w:rFonts w:ascii="Times New Roman" w:hAnsi="Times New Roman"/>
          <w:color w:val="auto"/>
          <w:sz w:val="20"/>
          <w:szCs w:val="20"/>
        </w:rPr>
        <w:t xml:space="preserve"> </w:t>
      </w:r>
      <w:r w:rsidRPr="0047341A">
        <w:rPr>
          <w:rStyle w:val="fontstyle01"/>
          <w:rFonts w:ascii="Times New Roman" w:hAnsi="Times New Roman"/>
          <w:color w:val="auto"/>
          <w:sz w:val="20"/>
          <w:szCs w:val="20"/>
        </w:rPr>
        <w:t>and has been deployed at a commercial scale to capture CO</w:t>
      </w:r>
      <w:r w:rsidRPr="0047341A">
        <w:rPr>
          <w:rStyle w:val="fontstyle01"/>
          <w:rFonts w:ascii="Times New Roman" w:hAnsi="Times New Roman"/>
          <w:color w:val="auto"/>
          <w:sz w:val="20"/>
          <w:szCs w:val="20"/>
          <w:vertAlign w:val="subscript"/>
        </w:rPr>
        <w:t>2</w:t>
      </w:r>
      <w:r w:rsidRPr="0047341A">
        <w:rPr>
          <w:rStyle w:val="fontstyle01"/>
          <w:rFonts w:ascii="Times New Roman" w:hAnsi="Times New Roman"/>
          <w:color w:val="auto"/>
          <w:sz w:val="20"/>
          <w:szCs w:val="20"/>
        </w:rPr>
        <w:t xml:space="preserve"> from</w:t>
      </w:r>
      <w:r w:rsidRPr="0047341A">
        <w:t xml:space="preserve"> coal-fired plants at </w:t>
      </w:r>
      <w:r w:rsidRPr="0047341A">
        <w:rPr>
          <w:noProof/>
        </w:rPr>
        <w:t>Boundary</w:t>
      </w:r>
      <w:r w:rsidRPr="0047341A">
        <w:t xml:space="preserve"> Dam in Canada and the Petra Nova project in the USA</w:t>
      </w:r>
      <w:r w:rsidR="00E30CF5">
        <w:t xml:space="preserve"> </w:t>
      </w:r>
      <w:r w:rsidR="00E30CF5" w:rsidRPr="0047341A">
        <w:rPr>
          <w:rStyle w:val="fontstyle01"/>
          <w:rFonts w:ascii="Times New Roman" w:hAnsi="Times New Roman"/>
          <w:color w:val="auto"/>
          <w:sz w:val="20"/>
          <w:szCs w:val="20"/>
        </w:rPr>
        <w:fldChar w:fldCharType="begin" w:fldLock="1"/>
      </w:r>
      <w:r w:rsidR="00204114">
        <w:rPr>
          <w:rStyle w:val="fontstyle01"/>
          <w:rFonts w:ascii="Times New Roman" w:hAnsi="Times New Roman"/>
          <w:color w:val="auto"/>
          <w:sz w:val="20"/>
          <w:szCs w:val="20"/>
        </w:rPr>
        <w:instrText>ADDIN CSL_CITATION {"citationItems":[{"id":"ITEM-1","itemData":{"DOI":"10.1039/c7ee02342a","ISSN":"17545706","abstract":"Carbon capture and storage (CCS) is broadly recognised as having the potential to play a key role in meeting climate change targets, delivering low carbon heat and power, decarbonising industry and, more recently, its ability to facilitate the net removal of CO2 from the atmosphere. However, despite this broad consensus and its technical maturity, CCS has not yet been deployed on a scale commensurate with the ambitions articulated a decade ago. Thus, in this paper we review the current state-of-the-art of CO2 capture, transport, utilisation and storage from a multi-scale perspective, moving from the global to molecular scales. In light of the COP21 commitments to limit warming to less than 2 °C, we extend the remit of this study to include the key negative emissions technologies (NETs) of bioenergy with CCS (BECCS), and direct air capture (DAC). Cognisant of the non-technical barriers to deploying CCS, we reflect on recent experience from the UK's CCS commercialisation programme and consider the commercial and political barriers to the large-scale deployment of CCS. In all areas, we focus on identifying and clearly articulating the key research challenges that could usefully be addressed in the coming decade.","author":[{"dropping-particle":"","family":"Bui","given":"Mai","non-dropping-particle":"","parse-names":false,"suffix":""},{"dropping-particle":"","family":"Adjiman","given":"Claire S.","non-dropping-particle":"","parse-names":false,"suffix":""},{"dropping-particle":"","family":"Bardow","given":"André","non-dropping-particle":"","parse-names":false,"suffix":""},{"dropping-particle":"","family":"Anthony","given":"Edward J.","non-dropping-particle":"","parse-names":false,"suffix":""},{"dropping-particle":"","family":"Boston","given":"Andy","non-dropping-particle":"","parse-names":false,"suffix":""},{"dropping-particle":"","family":"Brown","given":"Solomon","non-dropping-particle":"","parse-names":false,"suffix":""},{"dropping-particle":"","family":"Fennell","given":"Paul S.","non-dropping-particle":"","parse-names":false,"suffix":""},{"dropping-particle":"","family":"Fuss","given":"Sabine","non-dropping-particle":"","parse-names":false,"suffix":""},{"dropping-particle":"","family":"Galindo","given":"Amparo","non-dropping-particle":"","parse-names":false,"suffix":""},{"dropping-particle":"","family":"Hackett","given":"Leigh A.","non-dropping-particle":"","parse-names":false,"suffix":""},{"dropping-particle":"","family":"Hallett","given":"Jason P.","non-dropping-particle":"","parse-names":false,"suffix":""},{"dropping-particle":"","family":"Herzog","given":"Howard J.","non-dropping-particle":"","parse-names":false,"suffix":""},{"dropping-particle":"","family":"Jackson","given":"George","non-dropping-particle":"","parse-names":false,"suffix":""},{"dropping-particle":"","family":"Kemper","given":"Jasmin","non-dropping-particle":"","parse-names":false,"suffix":""},{"dropping-particle":"","family":"Krevor","given":"Samuel","non-dropping-particle":"","parse-names":false,"suffix":""},{"dropping-particle":"","family":"Maitland","given":"Geoffrey C.","non-dropping-particle":"","parse-names":false,"suffix":""},{"dropping-particle":"","family":"Matuszewski","given":"Michael","non-dropping-particle":"","parse-names":false,"suffix":""},{"dropping-particle":"","family":"Metcalfe","given":"Ian S.","non-dropping-particle":"","parse-names":false,"suffix":""},{"dropping-particle":"","family":"Petit","given":"Camille","non-dropping-particle":"","parse-names":false,"suffix":""},{"dropping-particle":"","family":"Puxty","given":"Graeme","non-dropping-particle":"","parse-names":false,"suffix":""},{"dropping-particle":"","family":"Reimer","given":"Jeffrey","non-dropping-particle":"","parse-names":false,"suffix":""},{"dropping-particle":"","family":"Reiner","given":"David M.","non-dropping-particle":"","parse-names":false,"suffix":""},{"dropping-particle":"","family":"Rubin","given":"Edward S.","non-dropping-particle":"","parse-names":false,"suffix":""},{"dropping-particle":"","family":"Scott","given":"Stuart A.","non-dropping-particle":"","parse-names":false,"suffix":""},{"dropping-particle":"","family":"Shah","given":"Nilay","non-dropping-particle":"","parse-names":false,"suffix":""},{"dropping-particle":"","family":"Smit","given":"Berend","non-dropping-particle":"","parse-names":false,"suffix":""},{"dropping-particle":"","family":"Trusler","given":"J. P.Martin","non-dropping-particle":"","parse-names":false,"suffix":""},{"dropping-particle":"","family":"Webley","given":"Paul","non-dropping-particle":"","parse-names":false,"suffix":""},{"dropping-particle":"","family":"Wilcox","given":"Jennifer","non-dropping-particle":"","parse-names":false,"suffix":""},{"dropping-particle":"","family":"Dowell","given":"Niall","non-dropping-particle":"Mac","parse-names":false,"suffix":""}],"container-title":"Energy and Environmental Science","id":"ITEM-1","issue":"5","issued":{"date-parts":[["2018"]]},"page":"1062-1176","title":"Carbon capture and storage (CCS): The way forward","type":"article-journal","volume":"11"},"uris":["http://www.mendeley.com/documents/?uuid=e09dc025-a72a-42de-800a-e9a3ef9d8be5"]}],"mendeley":{"formattedCitation":"[1]","plainTextFormattedCitation":"[1]","previouslyFormattedCitation":"(Bui et al., 2018)"},"properties":{"noteIndex":0},"schema":"https://github.com/citation-style-language/schema/raw/master/csl-citation.json"}</w:instrText>
      </w:r>
      <w:r w:rsidR="00E30CF5" w:rsidRPr="0047341A">
        <w:rPr>
          <w:rStyle w:val="fontstyle01"/>
          <w:rFonts w:ascii="Times New Roman" w:hAnsi="Times New Roman"/>
          <w:color w:val="auto"/>
          <w:sz w:val="20"/>
          <w:szCs w:val="20"/>
        </w:rPr>
        <w:fldChar w:fldCharType="separate"/>
      </w:r>
      <w:r w:rsidR="00204114" w:rsidRPr="00204114">
        <w:rPr>
          <w:rStyle w:val="fontstyle01"/>
          <w:rFonts w:ascii="Times New Roman" w:hAnsi="Times New Roman"/>
          <w:noProof/>
          <w:color w:val="auto"/>
          <w:sz w:val="20"/>
          <w:szCs w:val="20"/>
        </w:rPr>
        <w:t>[1]</w:t>
      </w:r>
      <w:r w:rsidR="00E30CF5" w:rsidRPr="0047341A">
        <w:rPr>
          <w:rStyle w:val="fontstyle01"/>
          <w:rFonts w:ascii="Times New Roman" w:hAnsi="Times New Roman"/>
          <w:color w:val="auto"/>
          <w:sz w:val="20"/>
          <w:szCs w:val="20"/>
        </w:rPr>
        <w:fldChar w:fldCharType="end"/>
      </w:r>
      <w:r w:rsidRPr="0047341A">
        <w:t>.</w:t>
      </w:r>
      <w:r w:rsidRPr="0047341A">
        <w:rPr>
          <w:rStyle w:val="fontstyle01"/>
          <w:rFonts w:ascii="Times New Roman" w:hAnsi="Times New Roman"/>
          <w:color w:val="auto"/>
          <w:sz w:val="20"/>
          <w:szCs w:val="20"/>
        </w:rPr>
        <w:t xml:space="preserve"> This makes the technology the most mature among the different carbon capture technologies. The amine-based PCC is mostly </w:t>
      </w:r>
      <w:r w:rsidRPr="0047341A">
        <w:t xml:space="preserve">operated using packed bed (PB) columns as absorbers and strippers and 30 wt% MEA as a solvent. </w:t>
      </w:r>
      <w:r w:rsidRPr="0047341A">
        <w:rPr>
          <w:rStyle w:val="fontstyle01"/>
          <w:rFonts w:ascii="Times New Roman" w:hAnsi="Times New Roman"/>
          <w:color w:val="auto"/>
          <w:sz w:val="20"/>
          <w:szCs w:val="20"/>
        </w:rPr>
        <w:t xml:space="preserve">The bottlenecks of the process include the high energy demand and huge equipment sizes that result in high costs and </w:t>
      </w:r>
      <w:r w:rsidR="00D31AD7">
        <w:rPr>
          <w:rStyle w:val="fontstyle01"/>
          <w:rFonts w:ascii="Times New Roman" w:hAnsi="Times New Roman"/>
          <w:color w:val="auto"/>
          <w:sz w:val="20"/>
          <w:szCs w:val="20"/>
        </w:rPr>
        <w:t xml:space="preserve">a </w:t>
      </w:r>
      <w:r w:rsidRPr="0047341A">
        <w:rPr>
          <w:rStyle w:val="fontstyle01"/>
          <w:rFonts w:ascii="Times New Roman" w:hAnsi="Times New Roman"/>
          <w:color w:val="auto"/>
          <w:sz w:val="20"/>
          <w:szCs w:val="20"/>
        </w:rPr>
        <w:t xml:space="preserve">high plant footprint. These have prevented the rapid and extensive implementation of the process at a large scale. The rotating packed bed (RPB) technology can reduce the size and the costs of the PCC process when used to replace the PB absorber </w:t>
      </w:r>
      <w:r w:rsidRPr="0047341A">
        <w:rPr>
          <w:rStyle w:val="Rimandonotaapidipagina"/>
        </w:rPr>
        <w:fldChar w:fldCharType="begin" w:fldLock="1"/>
      </w:r>
      <w:r w:rsidR="00204114">
        <w:instrText>ADDIN CSL_CITATION {"citationItems":[{"id":"ITEM-1","itemData":{"DOI":"10.1016/j.apenergy.2023.120747","ISSN":"0306-2619","author":[{"dropping-particle":"","family":"Otitoju","given":"Olajide","non-dropping-particle":"","parse-names":false,"suffix":""},{"dropping-particle":"","family":"Oko","given":"Eni","non-dropping-particle":"","parse-names":false,"suffix":""},{"dropping-particle":"","family":"Wang","given":"Meihong","non-dropping-particle":"","parse-names":false,"suffix":""}],"container-title":"Applied Energy","id":"ITEM-1","issue":"January","issued":{"date-parts":[["2023"]]},"page":"120747","publisher":"Elsevier Ltd","title":"Modelling , scale-up and techno-economic assessment of rotating packed bed absorber for CO 2 capture from a 250 MW e combined cycle gas turbine power plant","type":"article-journal","volume":"335"},"uris":["http://www.mendeley.com/documents/?uuid=043f4d3e-02e4-4ea8-9924-271203e35685"]}],"mendeley":{"formattedCitation":"[2]","plainTextFormattedCitation":"[2]","previouslyFormattedCitation":"(Otitoju et al., 2023)"},"properties":{"noteIndex":0},"schema":"https://github.com/citation-style-language/schema/raw/master/csl-citation.json"}</w:instrText>
      </w:r>
      <w:r w:rsidRPr="0047341A">
        <w:rPr>
          <w:rStyle w:val="Rimandonotaapidipagina"/>
        </w:rPr>
        <w:fldChar w:fldCharType="separate"/>
      </w:r>
      <w:r w:rsidR="00204114" w:rsidRPr="00204114">
        <w:rPr>
          <w:noProof/>
        </w:rPr>
        <w:t>[2]</w:t>
      </w:r>
      <w:r w:rsidRPr="0047341A">
        <w:rPr>
          <w:rStyle w:val="Rimandonotaapidipagina"/>
        </w:rPr>
        <w:fldChar w:fldCharType="end"/>
      </w:r>
      <w:r w:rsidRPr="0047341A">
        <w:rPr>
          <w:rStyle w:val="fontstyle01"/>
          <w:rFonts w:ascii="Times New Roman" w:hAnsi="Times New Roman"/>
          <w:color w:val="auto"/>
          <w:sz w:val="20"/>
          <w:szCs w:val="20"/>
        </w:rPr>
        <w:t xml:space="preserve">. </w:t>
      </w:r>
    </w:p>
    <w:p w14:paraId="15C7E0BD" w14:textId="7206F4AE" w:rsidR="0047341A" w:rsidRPr="0047341A" w:rsidRDefault="0047341A" w:rsidP="0047341A">
      <w:pPr>
        <w:jc w:val="both"/>
      </w:pPr>
      <w:r w:rsidRPr="0047341A">
        <w:rPr>
          <w:lang w:eastAsia="en-GB"/>
        </w:rPr>
        <w:lastRenderedPageBreak/>
        <w:t xml:space="preserve">The </w:t>
      </w:r>
      <w:r w:rsidR="007B477A" w:rsidRPr="0047341A">
        <w:rPr>
          <w:lang w:eastAsia="en-GB"/>
        </w:rPr>
        <w:t>RPB consists</w:t>
      </w:r>
      <w:r w:rsidRPr="0047341A">
        <w:rPr>
          <w:lang w:eastAsia="en-GB"/>
        </w:rPr>
        <w:t xml:space="preserve"> of an annular packed bed connected to two-side disks that are mounted on a rotating shaft and housed in a casing. The liquid generally flows radially outward from the inner periphery of the packing due to centrifugal acceleration while the gas enters into the casing and then flows radially inward from the outer periphery of the RPB due to the pressure gradient. The gas and the liquid phases are exposed to enormous centrifugal acceleration which is many times the gravitational acceleration in PBs. This enhances mass transfer in the bed and areas between the packing and the casing. This is the reason for the substantial reduction in packing volume in RPBs compared to PBs.</w:t>
      </w:r>
      <w:r w:rsidRPr="0047341A">
        <w:rPr>
          <w:rStyle w:val="fontstyle01"/>
          <w:rFonts w:ascii="Times New Roman" w:hAnsi="Times New Roman"/>
          <w:color w:val="auto"/>
          <w:sz w:val="20"/>
          <w:szCs w:val="20"/>
        </w:rPr>
        <w:t xml:space="preserve"> RPB can also be operated with </w:t>
      </w:r>
      <w:r w:rsidRPr="0047341A">
        <w:t>higher MEA concentration</w:t>
      </w:r>
      <w:r w:rsidRPr="0047341A">
        <w:rPr>
          <w:lang w:eastAsia="en-GB"/>
        </w:rPr>
        <w:t xml:space="preserve"> as it can break viscous high MEA concentration into tiny liquid films</w:t>
      </w:r>
      <w:r w:rsidR="00204114">
        <w:rPr>
          <w:lang w:eastAsia="en-GB"/>
        </w:rPr>
        <w:fldChar w:fldCharType="begin" w:fldLock="1"/>
      </w:r>
      <w:r w:rsidR="00204114">
        <w:rPr>
          <w:lang w:eastAsia="en-GB"/>
        </w:rPr>
        <w:instrText>ADDIN CSL_CITATION {"citationItems":[{"id":"ITEM-1","itemData":{"DOI":"10.1016/J.APENERGY.2018.04.057","ISSN":"0306-2619","abstract":"Rotating packed beds (RPBs) are a compact and potentially more cost-effective alternative to packed beds for application in solvent-based carbon capture process. However, with concentrated monoethanolamine (MEA) (up to 70–80 wt%) as the solvent, there is a question as to whether intercooler is needed for the RPB absorbers and how to design and operate them. This study indicates that the liquid phase temperature could rise significantly and this makes it essential for RPB absorber to have intercoolers. This is further assessed using a validated RPB absorber model implemented in gPROMS ModelBuilder® by evaluating the impact of temperature on absorption performance. Different design options for RPB absorber intercoolers (stationary vs rotary) were introduced and their potential sizes and associated pressure drop were evaluated based on a large scale flue gas benchmark of a 250 MWe Natural Gas Combined Cycle Power Plant. This paper addresses a fundamental question about intercooling in RPB absorber and introduces strategies for the intercooler design.","author":[{"dropping-particle":"","family":"Oko","given":"Eni","non-dropping-particle":"","parse-names":false,"suffix":""},{"dropping-particle":"","family":"Ramshaw","given":"Colin","non-dropping-particle":"","parse-names":false,"suffix":""},{"dropping-particle":"","family":"Wang","given":"Meihong","non-dropping-particle":"","parse-names":false,"suffix":""}],"container-title":"Applied Energy","id":"ITEM-1","issued":{"date-parts":[["2018","8","1"]]},"page":"302-316","publisher":"Elsevier","title":"Study of intercooling for rotating packed bed absorbers in intensified solvent-based CO2 capture process","type":"article-journal","volume":"223"},"uris":["http://www.mendeley.com/documents/?uuid=2e54aa29-e875-3e5f-b670-018e1d02b0df"]}],"mendeley":{"formattedCitation":"[3]","plainTextFormattedCitation":"[3]","previouslyFormattedCitation":"(Oko et al., 2018)"},"properties":{"noteIndex":0},"schema":"https://github.com/citation-style-language/schema/raw/master/csl-citation.json"}</w:instrText>
      </w:r>
      <w:r w:rsidR="00204114">
        <w:rPr>
          <w:lang w:eastAsia="en-GB"/>
        </w:rPr>
        <w:fldChar w:fldCharType="separate"/>
      </w:r>
      <w:r w:rsidR="00204114" w:rsidRPr="00204114">
        <w:rPr>
          <w:noProof/>
          <w:lang w:eastAsia="en-GB"/>
        </w:rPr>
        <w:t>[3]</w:t>
      </w:r>
      <w:r w:rsidR="00204114">
        <w:rPr>
          <w:lang w:eastAsia="en-GB"/>
        </w:rPr>
        <w:fldChar w:fldCharType="end"/>
      </w:r>
      <w:r w:rsidRPr="0047341A">
        <w:rPr>
          <w:lang w:eastAsia="en-GB"/>
        </w:rPr>
        <w:t xml:space="preserve">. Higher MEA concentration </w:t>
      </w:r>
      <w:r w:rsidRPr="0047341A">
        <w:t xml:space="preserve">could reduce solvent flow to the stripper and the regeneration energy demand. However, no study has demonstrated </w:t>
      </w:r>
      <w:r w:rsidRPr="0047341A">
        <w:rPr>
          <w:rStyle w:val="fontstyle01"/>
          <w:rFonts w:ascii="Times New Roman" w:hAnsi="Times New Roman"/>
          <w:color w:val="auto"/>
          <w:sz w:val="20"/>
          <w:szCs w:val="20"/>
        </w:rPr>
        <w:t xml:space="preserve">the optimal design and operation of the RPB absorber at different solvent concentrations. Therefore, this study aims to </w:t>
      </w:r>
      <w:r w:rsidRPr="0047341A">
        <w:rPr>
          <w:bCs/>
        </w:rPr>
        <w:t>investigate</w:t>
      </w:r>
      <w:r w:rsidRPr="0047341A">
        <w:t xml:space="preserve"> the optimal solvent concentration in MEA-based PCC using an </w:t>
      </w:r>
      <w:r w:rsidRPr="0047341A">
        <w:rPr>
          <w:bCs/>
        </w:rPr>
        <w:t xml:space="preserve">RPB absorber </w:t>
      </w:r>
      <w:r w:rsidRPr="0047341A">
        <w:t xml:space="preserve">and </w:t>
      </w:r>
      <w:r w:rsidRPr="0047341A">
        <w:rPr>
          <w:bCs/>
        </w:rPr>
        <w:t xml:space="preserve">PB stripper </w:t>
      </w:r>
      <w:r w:rsidRPr="0047341A">
        <w:t xml:space="preserve">for a 250 MW CCGT power plant. </w:t>
      </w:r>
    </w:p>
    <w:p w14:paraId="144DE699" w14:textId="6360EC29" w:rsidR="008D2649" w:rsidRDefault="0047341A" w:rsidP="008D2649">
      <w:pPr>
        <w:pStyle w:val="Els-1storder-head"/>
      </w:pPr>
      <w:r>
        <w:t>Model development for RPB absorber</w:t>
      </w:r>
    </w:p>
    <w:p w14:paraId="144DE69A" w14:textId="75F78C92" w:rsidR="008D2649" w:rsidRDefault="00FF687D" w:rsidP="008D2649">
      <w:pPr>
        <w:pStyle w:val="Els-2ndorder-head"/>
      </w:pPr>
      <w:r>
        <w:t>Mass and energy balance equations</w:t>
      </w:r>
    </w:p>
    <w:p w14:paraId="07466576" w14:textId="51CA6730" w:rsidR="00FF687D" w:rsidRPr="00CC794A" w:rsidRDefault="00B31CEA" w:rsidP="00FF687D">
      <w:pPr>
        <w:jc w:val="both"/>
      </w:pPr>
      <w:r w:rsidRPr="00CC794A">
        <w:rPr>
          <w:shd w:val="clear" w:color="auto" w:fill="FFFFFF"/>
        </w:rPr>
        <w:t xml:space="preserve">The rate-based model is used to describe </w:t>
      </w:r>
      <w:r>
        <w:rPr>
          <w:shd w:val="clear" w:color="auto" w:fill="FFFFFF"/>
        </w:rPr>
        <w:t xml:space="preserve">the </w:t>
      </w:r>
      <w:r w:rsidRPr="00CC794A">
        <w:rPr>
          <w:shd w:val="clear" w:color="auto" w:fill="FFFFFF"/>
        </w:rPr>
        <w:t>CO</w:t>
      </w:r>
      <w:r w:rsidRPr="00CC794A">
        <w:rPr>
          <w:shd w:val="clear" w:color="auto" w:fill="FFFFFF"/>
          <w:vertAlign w:val="subscript"/>
        </w:rPr>
        <w:t>2</w:t>
      </w:r>
      <w:r w:rsidRPr="00CC794A">
        <w:rPr>
          <w:shd w:val="clear" w:color="auto" w:fill="FFFFFF"/>
        </w:rPr>
        <w:t xml:space="preserve"> absorption in RPB. The RPB is discretised radially into smaller packing segments. </w:t>
      </w:r>
      <w:r>
        <w:rPr>
          <w:shd w:val="clear" w:color="auto" w:fill="FFFFFF"/>
        </w:rPr>
        <w:t>The m</w:t>
      </w:r>
      <w:r w:rsidRPr="00CC794A">
        <w:rPr>
          <w:shd w:val="clear" w:color="auto" w:fill="FFFFFF"/>
        </w:rPr>
        <w:t xml:space="preserve">ass and heat transfers, chemical reactions and hydrodynamics are </w:t>
      </w:r>
      <w:r w:rsidR="00C92773" w:rsidRPr="00CC794A">
        <w:rPr>
          <w:shd w:val="clear" w:color="auto" w:fill="FFFFFF"/>
        </w:rPr>
        <w:t>considered</w:t>
      </w:r>
      <w:r w:rsidRPr="00CC794A">
        <w:rPr>
          <w:shd w:val="clear" w:color="auto" w:fill="FFFFFF"/>
        </w:rPr>
        <w:t xml:space="preserve"> in each discretised segment. All the equations used to describe the model were implemented and solved in the equation-oriented process simulator Aspen Custom Modeler</w:t>
      </w:r>
      <w:r w:rsidRPr="00CC794A">
        <w:rPr>
          <w:shd w:val="clear" w:color="auto" w:fill="FFFFFF"/>
          <w:vertAlign w:val="superscript"/>
        </w:rPr>
        <w:t>®</w:t>
      </w:r>
      <w:r w:rsidRPr="00CC794A">
        <w:rPr>
          <w:shd w:val="clear" w:color="auto" w:fill="FFFFFF"/>
        </w:rPr>
        <w:t xml:space="preserve"> (ACM).</w:t>
      </w:r>
      <w:r w:rsidRPr="00CC794A">
        <w:t xml:space="preserve"> The equation describing the mass balance in the gas and the liquid phases </w:t>
      </w:r>
      <w:r>
        <w:t>is</w:t>
      </w:r>
      <w:r w:rsidRPr="00CC794A">
        <w:t xml:space="preserve"> given by Eqs. 1</w:t>
      </w:r>
      <w:r>
        <w:t xml:space="preserve"> </w:t>
      </w:r>
      <w:r w:rsidRPr="00CC794A">
        <w:t>and 2. The energy balance in the gas and liquid phase</w:t>
      </w:r>
      <w:r>
        <w:t>s</w:t>
      </w:r>
      <w:r w:rsidRPr="00CC794A">
        <w:t xml:space="preserve"> </w:t>
      </w:r>
      <w:r>
        <w:t xml:space="preserve">is </w:t>
      </w:r>
      <w:r w:rsidRPr="00CC794A">
        <w:t>described by Eqs. 3 and 4.</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5166"/>
        <w:gridCol w:w="655"/>
      </w:tblGrid>
      <w:tr w:rsidR="00FF687D" w:rsidRPr="00CC794A" w14:paraId="02D63983" w14:textId="77777777" w:rsidTr="00AB59FA">
        <w:tc>
          <w:tcPr>
            <w:tcW w:w="9345" w:type="dxa"/>
            <w:gridSpan w:val="3"/>
          </w:tcPr>
          <w:p w14:paraId="32AF1C1C" w14:textId="77777777" w:rsidR="00FF687D" w:rsidRPr="00DD5064" w:rsidRDefault="00FF687D" w:rsidP="00DD5064">
            <w:pPr>
              <w:rPr>
                <w:rFonts w:ascii="Times New Roman" w:eastAsiaTheme="minorEastAsia" w:hAnsi="Times New Roman" w:cs="Times New Roman"/>
                <w:b/>
                <w:i/>
                <w:sz w:val="20"/>
                <w:szCs w:val="20"/>
                <w:lang w:val="en-US" w:eastAsia="en-GB"/>
              </w:rPr>
            </w:pPr>
            <w:r w:rsidRPr="00DD5064">
              <w:rPr>
                <w:rFonts w:ascii="Times New Roman" w:eastAsiaTheme="minorEastAsia" w:hAnsi="Times New Roman" w:cs="Times New Roman"/>
                <w:b/>
                <w:i/>
                <w:sz w:val="20"/>
                <w:szCs w:val="20"/>
                <w:lang w:val="en-US" w:eastAsia="en-GB"/>
              </w:rPr>
              <w:t>Mass balance</w:t>
            </w:r>
          </w:p>
        </w:tc>
      </w:tr>
      <w:tr w:rsidR="00FF687D" w:rsidRPr="00CC794A" w14:paraId="0FF321F5" w14:textId="77777777" w:rsidTr="00AB59FA">
        <w:tc>
          <w:tcPr>
            <w:tcW w:w="1555" w:type="dxa"/>
          </w:tcPr>
          <w:p w14:paraId="6F691A2C" w14:textId="77777777" w:rsidR="00FF687D" w:rsidRPr="00CC794A" w:rsidRDefault="00FF687D" w:rsidP="00AB59FA">
            <w:pPr>
              <w:jc w:val="both"/>
              <w:rPr>
                <w:rFonts w:ascii="Times New Roman" w:eastAsiaTheme="minorEastAsia" w:hAnsi="Times New Roman" w:cs="Times New Roman"/>
                <w:sz w:val="20"/>
                <w:szCs w:val="20"/>
                <w:lang w:val="en-US" w:eastAsia="en-GB"/>
              </w:rPr>
            </w:pPr>
            <w:r w:rsidRPr="00CC794A">
              <w:rPr>
                <w:rFonts w:ascii="Times New Roman" w:eastAsiaTheme="minorEastAsia" w:hAnsi="Times New Roman" w:cs="Times New Roman"/>
                <w:sz w:val="20"/>
                <w:szCs w:val="20"/>
                <w:lang w:val="en-US" w:eastAsia="en-GB"/>
              </w:rPr>
              <w:t>Gas phase</w:t>
            </w:r>
          </w:p>
        </w:tc>
        <w:tc>
          <w:tcPr>
            <w:tcW w:w="6945" w:type="dxa"/>
          </w:tcPr>
          <w:p w14:paraId="2E1E040C" w14:textId="77777777" w:rsidR="00FF687D" w:rsidRPr="00CC794A" w:rsidRDefault="00FF687D" w:rsidP="00AB59FA">
            <w:pPr>
              <w:jc w:val="both"/>
              <w:rPr>
                <w:rFonts w:ascii="Times New Roman" w:eastAsiaTheme="minorEastAsia" w:hAnsi="Times New Roman" w:cs="Times New Roman"/>
                <w:sz w:val="20"/>
                <w:szCs w:val="20"/>
                <w:lang w:val="en-US" w:eastAsia="en-GB"/>
              </w:rPr>
            </w:pPr>
            <m:oMathPara>
              <m:oMath>
                <m:r>
                  <w:rPr>
                    <w:rFonts w:ascii="Cambria Math" w:hAnsi="Cambria Math" w:cs="Times New Roman"/>
                    <w:sz w:val="20"/>
                    <w:szCs w:val="20"/>
                    <w:lang w:val="en-US" w:eastAsia="en-GB"/>
                  </w:rPr>
                  <m:t xml:space="preserve">0= </m:t>
                </m:r>
                <m:f>
                  <m:fPr>
                    <m:ctrlPr>
                      <w:rPr>
                        <w:rFonts w:ascii="Cambria Math" w:hAnsi="Cambria Math" w:cs="Times New Roman"/>
                        <w:i/>
                        <w:sz w:val="20"/>
                        <w:szCs w:val="20"/>
                        <w:lang w:val="en-US" w:eastAsia="en-GB"/>
                      </w:rPr>
                    </m:ctrlPr>
                  </m:fPr>
                  <m:num>
                    <m:r>
                      <w:rPr>
                        <w:rFonts w:ascii="Cambria Math" w:hAnsi="Cambria Math" w:cs="Times New Roman"/>
                        <w:sz w:val="20"/>
                        <w:szCs w:val="20"/>
                        <w:lang w:val="en-US" w:eastAsia="en-GB"/>
                      </w:rPr>
                      <m:t>1</m:t>
                    </m:r>
                  </m:num>
                  <m:den>
                    <m:r>
                      <w:rPr>
                        <w:rFonts w:ascii="Cambria Math" w:hAnsi="Cambria Math" w:cs="Times New Roman"/>
                        <w:sz w:val="20"/>
                        <w:szCs w:val="20"/>
                        <w:lang w:val="en-US" w:eastAsia="en-GB"/>
                      </w:rPr>
                      <m:t>2πrZ</m:t>
                    </m:r>
                  </m:den>
                </m:f>
                <m:f>
                  <m:fPr>
                    <m:ctrlPr>
                      <w:rPr>
                        <w:rFonts w:ascii="Cambria Math" w:hAnsi="Cambria Math" w:cs="Times New Roman"/>
                        <w:i/>
                        <w:sz w:val="20"/>
                        <w:szCs w:val="20"/>
                        <w:lang w:val="en-US" w:eastAsia="en-GB"/>
                      </w:rPr>
                    </m:ctrlPr>
                  </m:fPr>
                  <m:num>
                    <m:r>
                      <w:rPr>
                        <w:rFonts w:ascii="Cambria Math" w:hAnsi="Cambria Math" w:cs="Times New Roman"/>
                        <w:sz w:val="20"/>
                        <w:szCs w:val="20"/>
                        <w:lang w:val="en-US" w:eastAsia="en-GB"/>
                      </w:rPr>
                      <m:t>∂</m:t>
                    </m:r>
                    <m:d>
                      <m:dPr>
                        <m:ctrlPr>
                          <w:rPr>
                            <w:rFonts w:ascii="Cambria Math" w:hAnsi="Cambria Math" w:cs="Times New Roman"/>
                            <w:i/>
                            <w:sz w:val="20"/>
                            <w:szCs w:val="20"/>
                            <w:lang w:val="en-US" w:eastAsia="en-GB"/>
                          </w:rPr>
                        </m:ctrlPr>
                      </m:dPr>
                      <m:e>
                        <m:sSub>
                          <m:sSubPr>
                            <m:ctrlPr>
                              <w:rPr>
                                <w:rFonts w:ascii="Cambria Math" w:hAnsi="Cambria Math" w:cs="Times New Roman"/>
                                <w:i/>
                                <w:sz w:val="20"/>
                                <w:szCs w:val="20"/>
                                <w:lang w:val="en-US" w:eastAsia="en-GB"/>
                              </w:rPr>
                            </m:ctrlPr>
                          </m:sSubPr>
                          <m:e>
                            <m:r>
                              <w:rPr>
                                <w:rFonts w:ascii="Cambria Math" w:hAnsi="Cambria Math" w:cs="Times New Roman"/>
                                <w:sz w:val="20"/>
                                <w:szCs w:val="20"/>
                                <w:lang w:val="en-US" w:eastAsia="en-GB"/>
                              </w:rPr>
                              <m:t>F</m:t>
                            </m:r>
                          </m:e>
                          <m:sub>
                            <m:r>
                              <w:rPr>
                                <w:rFonts w:ascii="Cambria Math" w:hAnsi="Cambria Math" w:cs="Times New Roman"/>
                                <w:sz w:val="20"/>
                                <w:szCs w:val="20"/>
                                <w:lang w:val="en-US" w:eastAsia="en-GB"/>
                              </w:rPr>
                              <m:t>g</m:t>
                            </m:r>
                          </m:sub>
                        </m:sSub>
                        <m:sSub>
                          <m:sSubPr>
                            <m:ctrlPr>
                              <w:rPr>
                                <w:rFonts w:ascii="Cambria Math" w:hAnsi="Cambria Math" w:cs="Times New Roman"/>
                                <w:i/>
                                <w:sz w:val="20"/>
                                <w:szCs w:val="20"/>
                                <w:lang w:val="en-US" w:eastAsia="en-GB"/>
                              </w:rPr>
                            </m:ctrlPr>
                          </m:sSubPr>
                          <m:e>
                            <m:r>
                              <w:rPr>
                                <w:rFonts w:ascii="Cambria Math" w:hAnsi="Cambria Math" w:cs="Times New Roman"/>
                                <w:sz w:val="20"/>
                                <w:szCs w:val="20"/>
                                <w:lang w:val="en-US" w:eastAsia="en-GB"/>
                              </w:rPr>
                              <m:t>y</m:t>
                            </m:r>
                          </m:e>
                          <m:sub>
                            <m:r>
                              <w:rPr>
                                <w:rFonts w:ascii="Cambria Math" w:hAnsi="Cambria Math" w:cs="Times New Roman"/>
                                <w:sz w:val="20"/>
                                <w:szCs w:val="20"/>
                                <w:lang w:val="en-US" w:eastAsia="en-GB"/>
                              </w:rPr>
                              <m:t>i</m:t>
                            </m:r>
                          </m:sub>
                        </m:sSub>
                      </m:e>
                    </m:d>
                  </m:num>
                  <m:den>
                    <m:r>
                      <w:rPr>
                        <w:rFonts w:ascii="Cambria Math" w:hAnsi="Cambria Math" w:cs="Times New Roman"/>
                        <w:sz w:val="20"/>
                        <w:szCs w:val="20"/>
                        <w:lang w:val="en-US" w:eastAsia="en-GB"/>
                      </w:rPr>
                      <m:t>∂r</m:t>
                    </m:r>
                  </m:den>
                </m:f>
                <m:r>
                  <w:rPr>
                    <w:rFonts w:ascii="Cambria Math" w:hAnsi="Cambria Math" w:cs="Times New Roman"/>
                    <w:sz w:val="20"/>
                    <w:szCs w:val="20"/>
                    <w:lang w:val="en-US" w:eastAsia="en-GB"/>
                  </w:rPr>
                  <m:t>-</m:t>
                </m:r>
                <m:sSub>
                  <m:sSubPr>
                    <m:ctrlPr>
                      <w:rPr>
                        <w:rFonts w:ascii="Cambria Math" w:hAnsi="Cambria Math" w:cs="Times New Roman"/>
                        <w:i/>
                        <w:sz w:val="20"/>
                        <w:szCs w:val="20"/>
                        <w:lang w:val="en-US" w:eastAsia="en-GB"/>
                      </w:rPr>
                    </m:ctrlPr>
                  </m:sSubPr>
                  <m:e>
                    <m:r>
                      <w:rPr>
                        <w:rFonts w:ascii="Cambria Math" w:hAnsi="Cambria Math" w:cs="Times New Roman"/>
                        <w:sz w:val="20"/>
                        <w:szCs w:val="20"/>
                        <w:lang w:val="en-US" w:eastAsia="en-GB"/>
                      </w:rPr>
                      <m:t>a</m:t>
                    </m:r>
                  </m:e>
                  <m:sub>
                    <m:r>
                      <w:rPr>
                        <w:rFonts w:ascii="Cambria Math" w:hAnsi="Cambria Math" w:cs="Times New Roman"/>
                        <w:sz w:val="20"/>
                        <w:szCs w:val="20"/>
                        <w:lang w:val="en-US" w:eastAsia="en-GB"/>
                      </w:rPr>
                      <m:t>gl</m:t>
                    </m:r>
                  </m:sub>
                </m:sSub>
                <m:sSub>
                  <m:sSubPr>
                    <m:ctrlPr>
                      <w:rPr>
                        <w:rFonts w:ascii="Cambria Math" w:hAnsi="Cambria Math" w:cs="Times New Roman"/>
                        <w:i/>
                        <w:sz w:val="20"/>
                        <w:szCs w:val="20"/>
                        <w:lang w:val="en-US" w:eastAsia="en-GB"/>
                      </w:rPr>
                    </m:ctrlPr>
                  </m:sSubPr>
                  <m:e>
                    <m:r>
                      <w:rPr>
                        <w:rFonts w:ascii="Cambria Math" w:hAnsi="Cambria Math" w:cs="Times New Roman"/>
                        <w:sz w:val="20"/>
                        <w:szCs w:val="20"/>
                        <w:lang w:val="en-US" w:eastAsia="en-GB"/>
                      </w:rPr>
                      <m:t>N</m:t>
                    </m:r>
                  </m:e>
                  <m:sub>
                    <m:r>
                      <w:rPr>
                        <w:rFonts w:ascii="Cambria Math" w:hAnsi="Cambria Math" w:cs="Times New Roman"/>
                        <w:sz w:val="20"/>
                        <w:szCs w:val="20"/>
                        <w:lang w:val="en-US" w:eastAsia="en-GB"/>
                      </w:rPr>
                      <m:t>i</m:t>
                    </m:r>
                  </m:sub>
                </m:sSub>
              </m:oMath>
            </m:oMathPara>
          </w:p>
        </w:tc>
        <w:tc>
          <w:tcPr>
            <w:tcW w:w="845" w:type="dxa"/>
          </w:tcPr>
          <w:p w14:paraId="508E06B7" w14:textId="77777777" w:rsidR="00FF687D" w:rsidRPr="00CC794A" w:rsidRDefault="00FF687D" w:rsidP="00AB59FA">
            <w:pPr>
              <w:jc w:val="both"/>
              <w:rPr>
                <w:rFonts w:ascii="Times New Roman" w:eastAsiaTheme="minorEastAsia" w:hAnsi="Times New Roman" w:cs="Times New Roman"/>
                <w:sz w:val="20"/>
                <w:szCs w:val="20"/>
                <w:lang w:val="en-US" w:eastAsia="en-GB"/>
              </w:rPr>
            </w:pPr>
            <w:r w:rsidRPr="00CC794A">
              <w:rPr>
                <w:rFonts w:ascii="Times New Roman" w:eastAsiaTheme="minorEastAsia" w:hAnsi="Times New Roman" w:cs="Times New Roman"/>
                <w:sz w:val="20"/>
                <w:szCs w:val="20"/>
                <w:lang w:val="en-US" w:eastAsia="en-GB"/>
              </w:rPr>
              <w:t>1</w:t>
            </w:r>
          </w:p>
          <w:p w14:paraId="73A489D2" w14:textId="77777777" w:rsidR="00FF687D" w:rsidRPr="00CC794A" w:rsidRDefault="00FF687D" w:rsidP="00AB59FA">
            <w:pPr>
              <w:jc w:val="both"/>
              <w:rPr>
                <w:rFonts w:ascii="Times New Roman" w:eastAsiaTheme="minorEastAsia" w:hAnsi="Times New Roman" w:cs="Times New Roman"/>
                <w:sz w:val="20"/>
                <w:szCs w:val="20"/>
                <w:lang w:val="en-US" w:eastAsia="en-GB"/>
              </w:rPr>
            </w:pPr>
          </w:p>
          <w:p w14:paraId="0A483A59" w14:textId="77777777" w:rsidR="00FF687D" w:rsidRPr="00CC794A" w:rsidRDefault="00FF687D" w:rsidP="00AB59FA">
            <w:pPr>
              <w:jc w:val="both"/>
              <w:rPr>
                <w:rFonts w:ascii="Times New Roman" w:eastAsiaTheme="minorEastAsia" w:hAnsi="Times New Roman" w:cs="Times New Roman"/>
                <w:sz w:val="20"/>
                <w:szCs w:val="20"/>
                <w:lang w:val="en-US" w:eastAsia="en-GB"/>
              </w:rPr>
            </w:pPr>
          </w:p>
        </w:tc>
      </w:tr>
      <w:tr w:rsidR="00FF687D" w:rsidRPr="00CC794A" w14:paraId="5EE627E5" w14:textId="77777777" w:rsidTr="00AB59FA">
        <w:tc>
          <w:tcPr>
            <w:tcW w:w="1555" w:type="dxa"/>
          </w:tcPr>
          <w:p w14:paraId="7D6A5B43" w14:textId="77777777" w:rsidR="00FF687D" w:rsidRPr="00CC794A" w:rsidRDefault="00FF687D" w:rsidP="00AB59FA">
            <w:pPr>
              <w:jc w:val="both"/>
              <w:rPr>
                <w:rFonts w:ascii="Times New Roman" w:eastAsiaTheme="minorEastAsia" w:hAnsi="Times New Roman" w:cs="Times New Roman"/>
                <w:sz w:val="20"/>
                <w:szCs w:val="20"/>
                <w:lang w:val="en-US" w:eastAsia="en-GB"/>
              </w:rPr>
            </w:pPr>
            <w:r w:rsidRPr="00CC794A">
              <w:rPr>
                <w:rFonts w:ascii="Times New Roman" w:eastAsiaTheme="minorEastAsia" w:hAnsi="Times New Roman" w:cs="Times New Roman"/>
                <w:sz w:val="20"/>
                <w:szCs w:val="20"/>
                <w:lang w:val="en-US" w:eastAsia="en-GB"/>
              </w:rPr>
              <w:t xml:space="preserve">Liquid Phase </w:t>
            </w:r>
          </w:p>
        </w:tc>
        <w:tc>
          <w:tcPr>
            <w:tcW w:w="6945" w:type="dxa"/>
          </w:tcPr>
          <w:p w14:paraId="743C206F" w14:textId="77777777" w:rsidR="00FF687D" w:rsidRPr="00CC794A" w:rsidRDefault="00FF687D" w:rsidP="00AB59FA">
            <w:pPr>
              <w:jc w:val="both"/>
              <w:rPr>
                <w:rFonts w:ascii="Times New Roman" w:eastAsiaTheme="minorEastAsia" w:hAnsi="Times New Roman" w:cs="Times New Roman"/>
                <w:sz w:val="20"/>
                <w:szCs w:val="20"/>
                <w:lang w:val="en-US" w:eastAsia="en-GB"/>
              </w:rPr>
            </w:pPr>
            <m:oMathPara>
              <m:oMath>
                <m:r>
                  <w:rPr>
                    <w:rFonts w:ascii="Cambria Math" w:hAnsi="Cambria Math" w:cs="Times New Roman"/>
                    <w:sz w:val="20"/>
                    <w:szCs w:val="20"/>
                    <w:lang w:val="en-US" w:eastAsia="en-GB"/>
                  </w:rPr>
                  <m:t>0=-</m:t>
                </m:r>
                <m:f>
                  <m:fPr>
                    <m:ctrlPr>
                      <w:rPr>
                        <w:rFonts w:ascii="Cambria Math" w:hAnsi="Cambria Math" w:cs="Times New Roman"/>
                        <w:i/>
                        <w:sz w:val="20"/>
                        <w:szCs w:val="20"/>
                        <w:lang w:val="en-US" w:eastAsia="en-GB"/>
                      </w:rPr>
                    </m:ctrlPr>
                  </m:fPr>
                  <m:num>
                    <m:r>
                      <w:rPr>
                        <w:rFonts w:ascii="Cambria Math" w:hAnsi="Cambria Math" w:cs="Times New Roman"/>
                        <w:sz w:val="20"/>
                        <w:szCs w:val="20"/>
                        <w:lang w:val="en-US" w:eastAsia="en-GB"/>
                      </w:rPr>
                      <m:t>1</m:t>
                    </m:r>
                  </m:num>
                  <m:den>
                    <m:r>
                      <w:rPr>
                        <w:rFonts w:ascii="Cambria Math" w:hAnsi="Cambria Math" w:cs="Times New Roman"/>
                        <w:sz w:val="20"/>
                        <w:szCs w:val="20"/>
                        <w:lang w:val="en-US" w:eastAsia="en-GB"/>
                      </w:rPr>
                      <m:t>2πrZ</m:t>
                    </m:r>
                  </m:den>
                </m:f>
                <m:f>
                  <m:fPr>
                    <m:ctrlPr>
                      <w:rPr>
                        <w:rFonts w:ascii="Cambria Math" w:hAnsi="Cambria Math" w:cs="Times New Roman"/>
                        <w:i/>
                        <w:sz w:val="20"/>
                        <w:szCs w:val="20"/>
                        <w:lang w:val="en-US" w:eastAsia="en-GB"/>
                      </w:rPr>
                    </m:ctrlPr>
                  </m:fPr>
                  <m:num>
                    <m:r>
                      <w:rPr>
                        <w:rFonts w:ascii="Cambria Math" w:hAnsi="Cambria Math" w:cs="Times New Roman"/>
                        <w:sz w:val="20"/>
                        <w:szCs w:val="20"/>
                        <w:lang w:val="en-US" w:eastAsia="en-GB"/>
                      </w:rPr>
                      <m:t>∂</m:t>
                    </m:r>
                    <m:d>
                      <m:dPr>
                        <m:ctrlPr>
                          <w:rPr>
                            <w:rFonts w:ascii="Cambria Math" w:hAnsi="Cambria Math" w:cs="Times New Roman"/>
                            <w:i/>
                            <w:sz w:val="20"/>
                            <w:szCs w:val="20"/>
                            <w:lang w:val="en-US" w:eastAsia="en-GB"/>
                          </w:rPr>
                        </m:ctrlPr>
                      </m:dPr>
                      <m:e>
                        <m:sSub>
                          <m:sSubPr>
                            <m:ctrlPr>
                              <w:rPr>
                                <w:rFonts w:ascii="Cambria Math" w:hAnsi="Cambria Math" w:cs="Times New Roman"/>
                                <w:i/>
                                <w:sz w:val="20"/>
                                <w:szCs w:val="20"/>
                                <w:lang w:val="en-US" w:eastAsia="en-GB"/>
                              </w:rPr>
                            </m:ctrlPr>
                          </m:sSubPr>
                          <m:e>
                            <m:r>
                              <w:rPr>
                                <w:rFonts w:ascii="Cambria Math" w:hAnsi="Cambria Math" w:cs="Times New Roman"/>
                                <w:sz w:val="20"/>
                                <w:szCs w:val="20"/>
                                <w:lang w:val="en-US" w:eastAsia="en-GB"/>
                              </w:rPr>
                              <m:t>F</m:t>
                            </m:r>
                          </m:e>
                          <m:sub>
                            <m:r>
                              <w:rPr>
                                <w:rFonts w:ascii="Cambria Math" w:hAnsi="Cambria Math" w:cs="Times New Roman"/>
                                <w:sz w:val="20"/>
                                <w:szCs w:val="20"/>
                                <w:lang w:val="en-US" w:eastAsia="en-GB"/>
                              </w:rPr>
                              <m:t>l</m:t>
                            </m:r>
                          </m:sub>
                        </m:sSub>
                        <m:sSub>
                          <m:sSubPr>
                            <m:ctrlPr>
                              <w:rPr>
                                <w:rFonts w:ascii="Cambria Math" w:hAnsi="Cambria Math" w:cs="Times New Roman"/>
                                <w:i/>
                                <w:sz w:val="20"/>
                                <w:szCs w:val="20"/>
                                <w:lang w:val="en-US" w:eastAsia="en-GB"/>
                              </w:rPr>
                            </m:ctrlPr>
                          </m:sSubPr>
                          <m:e>
                            <m:r>
                              <w:rPr>
                                <w:rFonts w:ascii="Cambria Math" w:hAnsi="Cambria Math" w:cs="Times New Roman"/>
                                <w:sz w:val="20"/>
                                <w:szCs w:val="20"/>
                                <w:lang w:val="en-US" w:eastAsia="en-GB"/>
                              </w:rPr>
                              <m:t>x</m:t>
                            </m:r>
                          </m:e>
                          <m:sub>
                            <m:r>
                              <w:rPr>
                                <w:rFonts w:ascii="Cambria Math" w:hAnsi="Cambria Math" w:cs="Times New Roman"/>
                                <w:sz w:val="20"/>
                                <w:szCs w:val="20"/>
                                <w:lang w:val="en-US" w:eastAsia="en-GB"/>
                              </w:rPr>
                              <m:t>i</m:t>
                            </m:r>
                          </m:sub>
                        </m:sSub>
                      </m:e>
                    </m:d>
                  </m:num>
                  <m:den>
                    <m:r>
                      <w:rPr>
                        <w:rFonts w:ascii="Cambria Math" w:hAnsi="Cambria Math" w:cs="Times New Roman"/>
                        <w:sz w:val="20"/>
                        <w:szCs w:val="20"/>
                        <w:lang w:val="en-US" w:eastAsia="en-GB"/>
                      </w:rPr>
                      <m:t>∂r</m:t>
                    </m:r>
                  </m:den>
                </m:f>
                <m:r>
                  <w:rPr>
                    <w:rFonts w:ascii="Cambria Math" w:eastAsiaTheme="minorEastAsia" w:hAnsi="Cambria Math" w:cs="Times New Roman"/>
                    <w:sz w:val="20"/>
                    <w:szCs w:val="20"/>
                    <w:lang w:val="en-US" w:eastAsia="en-GB"/>
                  </w:rPr>
                  <m:t>+</m:t>
                </m:r>
                <m:sSub>
                  <m:sSubPr>
                    <m:ctrlPr>
                      <w:rPr>
                        <w:rFonts w:ascii="Cambria Math" w:eastAsiaTheme="minorEastAsia" w:hAnsi="Cambria Math" w:cs="Times New Roman"/>
                        <w:i/>
                        <w:sz w:val="20"/>
                        <w:szCs w:val="20"/>
                        <w:lang w:val="en-US" w:eastAsia="en-GB"/>
                      </w:rPr>
                    </m:ctrlPr>
                  </m:sSubPr>
                  <m:e>
                    <m:r>
                      <w:rPr>
                        <w:rFonts w:ascii="Cambria Math" w:eastAsiaTheme="minorEastAsia" w:hAnsi="Cambria Math" w:cs="Times New Roman"/>
                        <w:sz w:val="20"/>
                        <w:szCs w:val="20"/>
                        <w:lang w:val="en-US" w:eastAsia="en-GB"/>
                      </w:rPr>
                      <m:t>a</m:t>
                    </m:r>
                  </m:e>
                  <m:sub>
                    <m:r>
                      <w:rPr>
                        <w:rFonts w:ascii="Cambria Math" w:eastAsiaTheme="minorEastAsia" w:hAnsi="Cambria Math" w:cs="Times New Roman"/>
                        <w:sz w:val="20"/>
                        <w:szCs w:val="20"/>
                        <w:lang w:val="en-US" w:eastAsia="en-GB"/>
                      </w:rPr>
                      <m:t>gl</m:t>
                    </m:r>
                  </m:sub>
                </m:sSub>
                <m:sSub>
                  <m:sSubPr>
                    <m:ctrlPr>
                      <w:rPr>
                        <w:rFonts w:ascii="Cambria Math" w:eastAsiaTheme="minorEastAsia" w:hAnsi="Cambria Math" w:cs="Times New Roman"/>
                        <w:i/>
                        <w:sz w:val="20"/>
                        <w:szCs w:val="20"/>
                        <w:lang w:val="en-US" w:eastAsia="en-GB"/>
                      </w:rPr>
                    </m:ctrlPr>
                  </m:sSubPr>
                  <m:e>
                    <m:r>
                      <w:rPr>
                        <w:rFonts w:ascii="Cambria Math" w:eastAsiaTheme="minorEastAsia" w:hAnsi="Cambria Math" w:cs="Times New Roman"/>
                        <w:sz w:val="20"/>
                        <w:szCs w:val="20"/>
                        <w:lang w:val="en-US" w:eastAsia="en-GB"/>
                      </w:rPr>
                      <m:t>N</m:t>
                    </m:r>
                  </m:e>
                  <m:sub>
                    <m:r>
                      <w:rPr>
                        <w:rFonts w:ascii="Cambria Math" w:eastAsiaTheme="minorEastAsia" w:hAnsi="Cambria Math" w:cs="Times New Roman"/>
                        <w:sz w:val="20"/>
                        <w:szCs w:val="20"/>
                        <w:lang w:val="en-US" w:eastAsia="en-GB"/>
                      </w:rPr>
                      <m:t>i</m:t>
                    </m:r>
                  </m:sub>
                </m:sSub>
              </m:oMath>
            </m:oMathPara>
          </w:p>
        </w:tc>
        <w:tc>
          <w:tcPr>
            <w:tcW w:w="845" w:type="dxa"/>
          </w:tcPr>
          <w:p w14:paraId="41B52F58" w14:textId="77777777" w:rsidR="00FF687D" w:rsidRPr="00CC794A" w:rsidRDefault="00FF687D" w:rsidP="00AB59FA">
            <w:pPr>
              <w:jc w:val="both"/>
              <w:rPr>
                <w:rFonts w:ascii="Times New Roman" w:eastAsiaTheme="minorEastAsia" w:hAnsi="Times New Roman" w:cs="Times New Roman"/>
                <w:sz w:val="20"/>
                <w:szCs w:val="20"/>
                <w:lang w:val="en-US" w:eastAsia="en-GB"/>
              </w:rPr>
            </w:pPr>
            <w:r w:rsidRPr="00CC794A">
              <w:rPr>
                <w:rFonts w:ascii="Times New Roman" w:eastAsiaTheme="minorEastAsia" w:hAnsi="Times New Roman" w:cs="Times New Roman"/>
                <w:sz w:val="20"/>
                <w:szCs w:val="20"/>
                <w:lang w:val="en-US" w:eastAsia="en-GB"/>
              </w:rPr>
              <w:t>2</w:t>
            </w:r>
          </w:p>
        </w:tc>
      </w:tr>
      <w:tr w:rsidR="00FF687D" w:rsidRPr="00CC794A" w14:paraId="05EC3639" w14:textId="77777777" w:rsidTr="00AB59FA">
        <w:tc>
          <w:tcPr>
            <w:tcW w:w="9345" w:type="dxa"/>
            <w:gridSpan w:val="3"/>
          </w:tcPr>
          <w:p w14:paraId="3E956FBB" w14:textId="77777777" w:rsidR="00FF687D" w:rsidRPr="00DD5064" w:rsidRDefault="00FF687D" w:rsidP="00DD5064">
            <w:pPr>
              <w:rPr>
                <w:rFonts w:ascii="Times New Roman" w:eastAsiaTheme="minorEastAsia" w:hAnsi="Times New Roman" w:cs="Times New Roman"/>
                <w:b/>
                <w:i/>
                <w:sz w:val="20"/>
                <w:szCs w:val="20"/>
                <w:lang w:val="en-US" w:eastAsia="en-GB"/>
              </w:rPr>
            </w:pPr>
            <w:r w:rsidRPr="00DD5064">
              <w:rPr>
                <w:rFonts w:ascii="Times New Roman" w:eastAsiaTheme="minorEastAsia" w:hAnsi="Times New Roman" w:cs="Times New Roman"/>
                <w:b/>
                <w:i/>
                <w:sz w:val="20"/>
                <w:szCs w:val="20"/>
                <w:lang w:val="en-US" w:eastAsia="en-GB"/>
              </w:rPr>
              <w:t>Energy balance</w:t>
            </w:r>
          </w:p>
        </w:tc>
      </w:tr>
      <w:tr w:rsidR="00FF687D" w:rsidRPr="00CC794A" w14:paraId="4C4A389E" w14:textId="77777777" w:rsidTr="00AB59FA">
        <w:tc>
          <w:tcPr>
            <w:tcW w:w="1555" w:type="dxa"/>
          </w:tcPr>
          <w:p w14:paraId="51E8E1A7" w14:textId="77777777" w:rsidR="00FF687D" w:rsidRPr="00CC794A" w:rsidRDefault="00FF687D" w:rsidP="00AB59FA">
            <w:pPr>
              <w:jc w:val="both"/>
              <w:rPr>
                <w:rFonts w:ascii="Times New Roman" w:eastAsiaTheme="minorEastAsia" w:hAnsi="Times New Roman" w:cs="Times New Roman"/>
                <w:sz w:val="20"/>
                <w:szCs w:val="20"/>
                <w:lang w:val="en-US" w:eastAsia="en-GB"/>
              </w:rPr>
            </w:pPr>
            <w:r w:rsidRPr="00CC794A">
              <w:rPr>
                <w:rFonts w:ascii="Times New Roman" w:eastAsiaTheme="minorEastAsia" w:hAnsi="Times New Roman" w:cs="Times New Roman"/>
                <w:sz w:val="20"/>
                <w:szCs w:val="20"/>
                <w:lang w:val="en-US" w:eastAsia="en-GB"/>
              </w:rPr>
              <w:t xml:space="preserve">Gas Phase </w:t>
            </w:r>
          </w:p>
        </w:tc>
        <w:tc>
          <w:tcPr>
            <w:tcW w:w="6945" w:type="dxa"/>
          </w:tcPr>
          <w:p w14:paraId="6E259F4E" w14:textId="77777777" w:rsidR="00FF687D" w:rsidRPr="00CC794A" w:rsidRDefault="00FF687D" w:rsidP="00AB59FA">
            <w:pPr>
              <w:jc w:val="both"/>
              <w:rPr>
                <w:rFonts w:ascii="Times New Roman" w:eastAsiaTheme="minorEastAsia" w:hAnsi="Times New Roman" w:cs="Times New Roman"/>
                <w:sz w:val="20"/>
                <w:szCs w:val="20"/>
                <w:lang w:val="en-US" w:eastAsia="en-GB"/>
              </w:rPr>
            </w:pPr>
            <m:oMathPara>
              <m:oMath>
                <m:r>
                  <w:rPr>
                    <w:rFonts w:ascii="Cambria Math" w:hAnsi="Cambria Math" w:cs="Times New Roman"/>
                    <w:sz w:val="20"/>
                    <w:szCs w:val="20"/>
                    <w:lang w:val="en-US" w:eastAsia="en-GB"/>
                  </w:rPr>
                  <m:t>0=</m:t>
                </m:r>
                <m:f>
                  <m:fPr>
                    <m:ctrlPr>
                      <w:rPr>
                        <w:rFonts w:ascii="Cambria Math" w:hAnsi="Cambria Math" w:cs="Times New Roman"/>
                        <w:i/>
                        <w:sz w:val="20"/>
                        <w:szCs w:val="20"/>
                        <w:lang w:val="en-US" w:eastAsia="en-GB"/>
                      </w:rPr>
                    </m:ctrlPr>
                  </m:fPr>
                  <m:num>
                    <m:r>
                      <w:rPr>
                        <w:rFonts w:ascii="Cambria Math" w:hAnsi="Cambria Math" w:cs="Times New Roman"/>
                        <w:sz w:val="20"/>
                        <w:szCs w:val="20"/>
                        <w:lang w:val="en-US" w:eastAsia="en-GB"/>
                      </w:rPr>
                      <m:t>1</m:t>
                    </m:r>
                  </m:num>
                  <m:den>
                    <m:r>
                      <w:rPr>
                        <w:rFonts w:ascii="Cambria Math" w:hAnsi="Cambria Math" w:cs="Times New Roman"/>
                        <w:sz w:val="20"/>
                        <w:szCs w:val="20"/>
                        <w:lang w:val="en-US" w:eastAsia="en-GB"/>
                      </w:rPr>
                      <m:t>2πrZ</m:t>
                    </m:r>
                  </m:den>
                </m:f>
                <m:f>
                  <m:fPr>
                    <m:ctrlPr>
                      <w:rPr>
                        <w:rFonts w:ascii="Cambria Math" w:hAnsi="Cambria Math" w:cs="Times New Roman"/>
                        <w:i/>
                        <w:sz w:val="20"/>
                        <w:szCs w:val="20"/>
                        <w:lang w:val="en-US" w:eastAsia="en-GB"/>
                      </w:rPr>
                    </m:ctrlPr>
                  </m:fPr>
                  <m:num>
                    <m:r>
                      <w:rPr>
                        <w:rFonts w:ascii="Cambria Math" w:hAnsi="Cambria Math" w:cs="Times New Roman"/>
                        <w:sz w:val="20"/>
                        <w:szCs w:val="20"/>
                        <w:lang w:val="en-US" w:eastAsia="en-GB"/>
                      </w:rPr>
                      <m:t>∂</m:t>
                    </m:r>
                    <m:d>
                      <m:dPr>
                        <m:ctrlPr>
                          <w:rPr>
                            <w:rFonts w:ascii="Cambria Math" w:hAnsi="Cambria Math" w:cs="Times New Roman"/>
                            <w:i/>
                            <w:sz w:val="20"/>
                            <w:szCs w:val="20"/>
                            <w:lang w:val="en-US" w:eastAsia="en-GB"/>
                          </w:rPr>
                        </m:ctrlPr>
                      </m:dPr>
                      <m:e>
                        <m:sSub>
                          <m:sSubPr>
                            <m:ctrlPr>
                              <w:rPr>
                                <w:rFonts w:ascii="Cambria Math" w:hAnsi="Cambria Math" w:cs="Times New Roman"/>
                                <w:i/>
                                <w:sz w:val="20"/>
                                <w:szCs w:val="20"/>
                                <w:lang w:val="en-US" w:eastAsia="en-GB"/>
                              </w:rPr>
                            </m:ctrlPr>
                          </m:sSubPr>
                          <m:e>
                            <m:r>
                              <w:rPr>
                                <w:rFonts w:ascii="Cambria Math" w:hAnsi="Cambria Math" w:cs="Times New Roman"/>
                                <w:sz w:val="20"/>
                                <w:szCs w:val="20"/>
                                <w:lang w:val="en-US" w:eastAsia="en-GB"/>
                              </w:rPr>
                              <m:t>F</m:t>
                            </m:r>
                          </m:e>
                          <m:sub>
                            <m:r>
                              <w:rPr>
                                <w:rFonts w:ascii="Cambria Math" w:hAnsi="Cambria Math" w:cs="Times New Roman"/>
                                <w:sz w:val="20"/>
                                <w:szCs w:val="20"/>
                                <w:lang w:val="en-US" w:eastAsia="en-GB"/>
                              </w:rPr>
                              <m:t>g</m:t>
                            </m:r>
                          </m:sub>
                        </m:sSub>
                        <m:sSub>
                          <m:sSubPr>
                            <m:ctrlPr>
                              <w:rPr>
                                <w:rFonts w:ascii="Cambria Math" w:hAnsi="Cambria Math" w:cs="Times New Roman"/>
                                <w:i/>
                                <w:sz w:val="20"/>
                                <w:szCs w:val="20"/>
                                <w:lang w:val="en-US" w:eastAsia="en-GB"/>
                              </w:rPr>
                            </m:ctrlPr>
                          </m:sSubPr>
                          <m:e>
                            <m:r>
                              <w:rPr>
                                <w:rFonts w:ascii="Cambria Math" w:hAnsi="Cambria Math" w:cs="Times New Roman"/>
                                <w:sz w:val="20"/>
                                <w:szCs w:val="20"/>
                                <w:lang w:val="en-US" w:eastAsia="en-GB"/>
                              </w:rPr>
                              <m:t>C</m:t>
                            </m:r>
                          </m:e>
                          <m:sub>
                            <m:r>
                              <w:rPr>
                                <w:rFonts w:ascii="Cambria Math" w:hAnsi="Cambria Math" w:cs="Times New Roman"/>
                                <w:sz w:val="20"/>
                                <w:szCs w:val="20"/>
                                <w:lang w:val="en-US" w:eastAsia="en-GB"/>
                              </w:rPr>
                              <m:t>p,g</m:t>
                            </m:r>
                          </m:sub>
                        </m:sSub>
                        <m:sSub>
                          <m:sSubPr>
                            <m:ctrlPr>
                              <w:rPr>
                                <w:rFonts w:ascii="Cambria Math" w:hAnsi="Cambria Math" w:cs="Times New Roman"/>
                                <w:i/>
                                <w:sz w:val="20"/>
                                <w:szCs w:val="20"/>
                                <w:lang w:val="en-US" w:eastAsia="en-GB"/>
                              </w:rPr>
                            </m:ctrlPr>
                          </m:sSubPr>
                          <m:e>
                            <m:r>
                              <w:rPr>
                                <w:rFonts w:ascii="Cambria Math" w:hAnsi="Cambria Math" w:cs="Times New Roman"/>
                                <w:sz w:val="20"/>
                                <w:szCs w:val="20"/>
                                <w:lang w:val="en-US" w:eastAsia="en-GB"/>
                              </w:rPr>
                              <m:t>T</m:t>
                            </m:r>
                          </m:e>
                          <m:sub>
                            <m:r>
                              <w:rPr>
                                <w:rFonts w:ascii="Cambria Math" w:hAnsi="Cambria Math" w:cs="Times New Roman"/>
                                <w:sz w:val="20"/>
                                <w:szCs w:val="20"/>
                                <w:lang w:val="en-US" w:eastAsia="en-GB"/>
                              </w:rPr>
                              <m:t>g</m:t>
                            </m:r>
                          </m:sub>
                        </m:sSub>
                      </m:e>
                    </m:d>
                  </m:num>
                  <m:den>
                    <m:r>
                      <w:rPr>
                        <w:rFonts w:ascii="Cambria Math" w:hAnsi="Cambria Math" w:cs="Times New Roman"/>
                        <w:sz w:val="20"/>
                        <w:szCs w:val="20"/>
                        <w:lang w:val="en-US" w:eastAsia="en-GB"/>
                      </w:rPr>
                      <m:t>∂r</m:t>
                    </m:r>
                  </m:den>
                </m:f>
                <m:r>
                  <w:rPr>
                    <w:rFonts w:ascii="Cambria Math" w:eastAsiaTheme="minorEastAsia" w:hAnsi="Cambria Math" w:cs="Times New Roman"/>
                    <w:sz w:val="20"/>
                    <w:szCs w:val="20"/>
                    <w:lang w:val="en-US" w:eastAsia="en-GB"/>
                  </w:rPr>
                  <m:t>-</m:t>
                </m:r>
                <m:sSub>
                  <m:sSubPr>
                    <m:ctrlPr>
                      <w:rPr>
                        <w:rFonts w:ascii="Cambria Math" w:eastAsiaTheme="minorEastAsia" w:hAnsi="Cambria Math" w:cs="Times New Roman"/>
                        <w:i/>
                        <w:sz w:val="20"/>
                        <w:szCs w:val="20"/>
                        <w:lang w:val="en-US" w:eastAsia="en-GB"/>
                      </w:rPr>
                    </m:ctrlPr>
                  </m:sSubPr>
                  <m:e>
                    <m:r>
                      <w:rPr>
                        <w:rFonts w:ascii="Cambria Math" w:eastAsiaTheme="minorEastAsia" w:hAnsi="Cambria Math" w:cs="Times New Roman"/>
                        <w:sz w:val="20"/>
                        <w:szCs w:val="20"/>
                        <w:lang w:val="en-US" w:eastAsia="en-GB"/>
                      </w:rPr>
                      <m:t>a</m:t>
                    </m:r>
                  </m:e>
                  <m:sub>
                    <m:r>
                      <w:rPr>
                        <w:rFonts w:ascii="Cambria Math" w:eastAsiaTheme="minorEastAsia" w:hAnsi="Cambria Math" w:cs="Times New Roman"/>
                        <w:sz w:val="20"/>
                        <w:szCs w:val="20"/>
                        <w:lang w:val="en-US" w:eastAsia="en-GB"/>
                      </w:rPr>
                      <m:t>gl</m:t>
                    </m:r>
                  </m:sub>
                </m:sSub>
                <m:sSub>
                  <m:sSubPr>
                    <m:ctrlPr>
                      <w:rPr>
                        <w:rFonts w:ascii="Cambria Math" w:eastAsiaTheme="minorEastAsia" w:hAnsi="Cambria Math" w:cs="Times New Roman"/>
                        <w:i/>
                        <w:sz w:val="20"/>
                        <w:szCs w:val="20"/>
                        <w:lang w:val="en-US" w:eastAsia="en-GB"/>
                      </w:rPr>
                    </m:ctrlPr>
                  </m:sSubPr>
                  <m:e>
                    <m:r>
                      <w:rPr>
                        <w:rFonts w:ascii="Cambria Math" w:eastAsiaTheme="minorEastAsia" w:hAnsi="Cambria Math" w:cs="Times New Roman"/>
                        <w:sz w:val="20"/>
                        <w:szCs w:val="20"/>
                        <w:lang w:val="en-US" w:eastAsia="en-GB"/>
                      </w:rPr>
                      <m:t>h</m:t>
                    </m:r>
                  </m:e>
                  <m:sub>
                    <m:r>
                      <w:rPr>
                        <w:rFonts w:ascii="Cambria Math" w:eastAsiaTheme="minorEastAsia" w:hAnsi="Cambria Math" w:cs="Times New Roman"/>
                        <w:sz w:val="20"/>
                        <w:szCs w:val="20"/>
                        <w:lang w:val="en-US" w:eastAsia="en-GB"/>
                      </w:rPr>
                      <m:t>gl</m:t>
                    </m:r>
                  </m:sub>
                </m:sSub>
                <m:d>
                  <m:dPr>
                    <m:ctrlPr>
                      <w:rPr>
                        <w:rFonts w:ascii="Cambria Math" w:eastAsiaTheme="minorEastAsia" w:hAnsi="Cambria Math" w:cs="Times New Roman"/>
                        <w:i/>
                        <w:sz w:val="20"/>
                        <w:szCs w:val="20"/>
                        <w:lang w:val="en-US" w:eastAsia="en-GB"/>
                      </w:rPr>
                    </m:ctrlPr>
                  </m:dPr>
                  <m:e>
                    <m:sSub>
                      <m:sSubPr>
                        <m:ctrlPr>
                          <w:rPr>
                            <w:rFonts w:ascii="Cambria Math" w:eastAsiaTheme="minorEastAsia" w:hAnsi="Cambria Math" w:cs="Times New Roman"/>
                            <w:i/>
                            <w:sz w:val="20"/>
                            <w:szCs w:val="20"/>
                            <w:lang w:val="en-US" w:eastAsia="en-GB"/>
                          </w:rPr>
                        </m:ctrlPr>
                      </m:sSubPr>
                      <m:e>
                        <m:r>
                          <w:rPr>
                            <w:rFonts w:ascii="Cambria Math" w:eastAsiaTheme="minorEastAsia" w:hAnsi="Cambria Math" w:cs="Times New Roman"/>
                            <w:sz w:val="20"/>
                            <w:szCs w:val="20"/>
                            <w:lang w:val="en-US" w:eastAsia="en-GB"/>
                          </w:rPr>
                          <m:t>T</m:t>
                        </m:r>
                      </m:e>
                      <m:sub>
                        <m:r>
                          <w:rPr>
                            <w:rFonts w:ascii="Cambria Math" w:eastAsiaTheme="minorEastAsia" w:hAnsi="Cambria Math" w:cs="Times New Roman"/>
                            <w:sz w:val="20"/>
                            <w:szCs w:val="20"/>
                            <w:lang w:val="en-US" w:eastAsia="en-GB"/>
                          </w:rPr>
                          <m:t>l</m:t>
                        </m:r>
                      </m:sub>
                    </m:sSub>
                    <m:r>
                      <w:rPr>
                        <w:rFonts w:ascii="Cambria Math" w:eastAsiaTheme="minorEastAsia" w:hAnsi="Cambria Math" w:cs="Times New Roman"/>
                        <w:sz w:val="20"/>
                        <w:szCs w:val="20"/>
                        <w:lang w:val="en-US" w:eastAsia="en-GB"/>
                      </w:rPr>
                      <m:t>-</m:t>
                    </m:r>
                    <m:sSub>
                      <m:sSubPr>
                        <m:ctrlPr>
                          <w:rPr>
                            <w:rFonts w:ascii="Cambria Math" w:eastAsiaTheme="minorEastAsia" w:hAnsi="Cambria Math" w:cs="Times New Roman"/>
                            <w:i/>
                            <w:sz w:val="20"/>
                            <w:szCs w:val="20"/>
                            <w:lang w:val="en-US" w:eastAsia="en-GB"/>
                          </w:rPr>
                        </m:ctrlPr>
                      </m:sSubPr>
                      <m:e>
                        <m:r>
                          <w:rPr>
                            <w:rFonts w:ascii="Cambria Math" w:eastAsiaTheme="minorEastAsia" w:hAnsi="Cambria Math" w:cs="Times New Roman"/>
                            <w:sz w:val="20"/>
                            <w:szCs w:val="20"/>
                            <w:lang w:val="en-US" w:eastAsia="en-GB"/>
                          </w:rPr>
                          <m:t>T</m:t>
                        </m:r>
                      </m:e>
                      <m:sub>
                        <m:r>
                          <w:rPr>
                            <w:rFonts w:ascii="Cambria Math" w:eastAsiaTheme="minorEastAsia" w:hAnsi="Cambria Math" w:cs="Times New Roman"/>
                            <w:sz w:val="20"/>
                            <w:szCs w:val="20"/>
                            <w:lang w:val="en-US" w:eastAsia="en-GB"/>
                          </w:rPr>
                          <m:t>g</m:t>
                        </m:r>
                      </m:sub>
                    </m:sSub>
                  </m:e>
                </m:d>
              </m:oMath>
            </m:oMathPara>
          </w:p>
        </w:tc>
        <w:tc>
          <w:tcPr>
            <w:tcW w:w="845" w:type="dxa"/>
          </w:tcPr>
          <w:p w14:paraId="345D52CC" w14:textId="77777777" w:rsidR="00FF687D" w:rsidRPr="00CC794A" w:rsidRDefault="00FF687D" w:rsidP="00AB59FA">
            <w:pPr>
              <w:jc w:val="both"/>
              <w:rPr>
                <w:rFonts w:ascii="Times New Roman" w:eastAsiaTheme="minorEastAsia" w:hAnsi="Times New Roman" w:cs="Times New Roman"/>
                <w:sz w:val="20"/>
                <w:szCs w:val="20"/>
                <w:lang w:val="en-US" w:eastAsia="en-GB"/>
              </w:rPr>
            </w:pPr>
            <w:r w:rsidRPr="00CC794A">
              <w:rPr>
                <w:rFonts w:ascii="Times New Roman" w:eastAsiaTheme="minorEastAsia" w:hAnsi="Times New Roman" w:cs="Times New Roman"/>
                <w:sz w:val="20"/>
                <w:szCs w:val="20"/>
                <w:lang w:val="en-US" w:eastAsia="en-GB"/>
              </w:rPr>
              <w:t>3</w:t>
            </w:r>
          </w:p>
          <w:p w14:paraId="7B3E1F77" w14:textId="77777777" w:rsidR="00FF687D" w:rsidRPr="00CC794A" w:rsidRDefault="00FF687D" w:rsidP="00AB59FA">
            <w:pPr>
              <w:jc w:val="both"/>
              <w:rPr>
                <w:rFonts w:ascii="Times New Roman" w:eastAsiaTheme="minorEastAsia" w:hAnsi="Times New Roman" w:cs="Times New Roman"/>
                <w:sz w:val="20"/>
                <w:szCs w:val="20"/>
                <w:lang w:val="en-US" w:eastAsia="en-GB"/>
              </w:rPr>
            </w:pPr>
          </w:p>
          <w:p w14:paraId="194A23C0" w14:textId="77777777" w:rsidR="00FF687D" w:rsidRPr="00CC794A" w:rsidRDefault="00FF687D" w:rsidP="00AB59FA">
            <w:pPr>
              <w:jc w:val="both"/>
              <w:rPr>
                <w:rFonts w:ascii="Times New Roman" w:eastAsiaTheme="minorEastAsia" w:hAnsi="Times New Roman" w:cs="Times New Roman"/>
                <w:sz w:val="20"/>
                <w:szCs w:val="20"/>
                <w:lang w:val="en-US" w:eastAsia="en-GB"/>
              </w:rPr>
            </w:pPr>
          </w:p>
        </w:tc>
      </w:tr>
      <w:tr w:rsidR="00FF687D" w:rsidRPr="00CC794A" w14:paraId="3CEB3D61" w14:textId="77777777" w:rsidTr="00AB59FA">
        <w:tc>
          <w:tcPr>
            <w:tcW w:w="1555" w:type="dxa"/>
          </w:tcPr>
          <w:p w14:paraId="566AE442" w14:textId="77777777" w:rsidR="00FF687D" w:rsidRPr="00CC794A" w:rsidRDefault="00FF687D" w:rsidP="00AB59FA">
            <w:pPr>
              <w:jc w:val="both"/>
              <w:rPr>
                <w:rFonts w:ascii="Times New Roman" w:eastAsiaTheme="minorEastAsia" w:hAnsi="Times New Roman" w:cs="Times New Roman"/>
                <w:sz w:val="20"/>
                <w:szCs w:val="20"/>
                <w:lang w:val="en-US" w:eastAsia="en-GB"/>
              </w:rPr>
            </w:pPr>
            <w:r w:rsidRPr="00CC794A">
              <w:rPr>
                <w:rFonts w:ascii="Times New Roman" w:eastAsiaTheme="minorEastAsia" w:hAnsi="Times New Roman" w:cs="Times New Roman"/>
                <w:sz w:val="20"/>
                <w:szCs w:val="20"/>
                <w:lang w:val="en-US" w:eastAsia="en-GB"/>
              </w:rPr>
              <w:t xml:space="preserve">Liquid phase </w:t>
            </w:r>
          </w:p>
        </w:tc>
        <w:tc>
          <w:tcPr>
            <w:tcW w:w="6945" w:type="dxa"/>
          </w:tcPr>
          <w:p w14:paraId="5DC3902A" w14:textId="77777777" w:rsidR="00FF687D" w:rsidRPr="00CC794A" w:rsidRDefault="00FF687D" w:rsidP="00AB59FA">
            <w:pPr>
              <w:jc w:val="both"/>
              <w:rPr>
                <w:rFonts w:ascii="Times New Roman" w:eastAsiaTheme="minorEastAsia" w:hAnsi="Times New Roman" w:cs="Times New Roman"/>
                <w:sz w:val="20"/>
                <w:szCs w:val="20"/>
                <w:lang w:val="en-US" w:eastAsia="en-GB"/>
              </w:rPr>
            </w:pPr>
            <m:oMathPara>
              <m:oMath>
                <m:r>
                  <w:rPr>
                    <w:rFonts w:ascii="Cambria Math" w:hAnsi="Cambria Math" w:cs="Times New Roman"/>
                    <w:sz w:val="20"/>
                    <w:szCs w:val="20"/>
                    <w:lang w:val="en-US" w:eastAsia="en-GB"/>
                  </w:rPr>
                  <m:t>0=-</m:t>
                </m:r>
                <m:f>
                  <m:fPr>
                    <m:ctrlPr>
                      <w:rPr>
                        <w:rFonts w:ascii="Cambria Math" w:hAnsi="Cambria Math" w:cs="Times New Roman"/>
                        <w:i/>
                        <w:sz w:val="20"/>
                        <w:szCs w:val="20"/>
                        <w:lang w:val="en-US" w:eastAsia="en-GB"/>
                      </w:rPr>
                    </m:ctrlPr>
                  </m:fPr>
                  <m:num>
                    <m:r>
                      <w:rPr>
                        <w:rFonts w:ascii="Cambria Math" w:hAnsi="Cambria Math" w:cs="Times New Roman"/>
                        <w:sz w:val="20"/>
                        <w:szCs w:val="20"/>
                        <w:lang w:val="en-US" w:eastAsia="en-GB"/>
                      </w:rPr>
                      <m:t>1</m:t>
                    </m:r>
                  </m:num>
                  <m:den>
                    <m:r>
                      <w:rPr>
                        <w:rFonts w:ascii="Cambria Math" w:hAnsi="Cambria Math" w:cs="Times New Roman"/>
                        <w:sz w:val="20"/>
                        <w:szCs w:val="20"/>
                        <w:lang w:val="en-US" w:eastAsia="en-GB"/>
                      </w:rPr>
                      <m:t>2πrZ</m:t>
                    </m:r>
                  </m:den>
                </m:f>
                <m:f>
                  <m:fPr>
                    <m:ctrlPr>
                      <w:rPr>
                        <w:rFonts w:ascii="Cambria Math" w:hAnsi="Cambria Math" w:cs="Times New Roman"/>
                        <w:i/>
                        <w:sz w:val="20"/>
                        <w:szCs w:val="20"/>
                        <w:lang w:val="en-US" w:eastAsia="en-GB"/>
                      </w:rPr>
                    </m:ctrlPr>
                  </m:fPr>
                  <m:num>
                    <m:r>
                      <w:rPr>
                        <w:rFonts w:ascii="Cambria Math" w:hAnsi="Cambria Math" w:cs="Times New Roman"/>
                        <w:sz w:val="20"/>
                        <w:szCs w:val="20"/>
                        <w:lang w:val="en-US" w:eastAsia="en-GB"/>
                      </w:rPr>
                      <m:t>∂</m:t>
                    </m:r>
                    <m:d>
                      <m:dPr>
                        <m:ctrlPr>
                          <w:rPr>
                            <w:rFonts w:ascii="Cambria Math" w:hAnsi="Cambria Math" w:cs="Times New Roman"/>
                            <w:i/>
                            <w:sz w:val="20"/>
                            <w:szCs w:val="20"/>
                            <w:lang w:val="en-US" w:eastAsia="en-GB"/>
                          </w:rPr>
                        </m:ctrlPr>
                      </m:dPr>
                      <m:e>
                        <m:sSub>
                          <m:sSubPr>
                            <m:ctrlPr>
                              <w:rPr>
                                <w:rFonts w:ascii="Cambria Math" w:hAnsi="Cambria Math" w:cs="Times New Roman"/>
                                <w:i/>
                                <w:sz w:val="20"/>
                                <w:szCs w:val="20"/>
                                <w:lang w:val="en-US" w:eastAsia="en-GB"/>
                              </w:rPr>
                            </m:ctrlPr>
                          </m:sSubPr>
                          <m:e>
                            <m:r>
                              <w:rPr>
                                <w:rFonts w:ascii="Cambria Math" w:hAnsi="Cambria Math" w:cs="Times New Roman"/>
                                <w:sz w:val="20"/>
                                <w:szCs w:val="20"/>
                                <w:lang w:val="en-US" w:eastAsia="en-GB"/>
                              </w:rPr>
                              <m:t>F</m:t>
                            </m:r>
                          </m:e>
                          <m:sub>
                            <m:r>
                              <w:rPr>
                                <w:rFonts w:ascii="Cambria Math" w:hAnsi="Cambria Math" w:cs="Times New Roman"/>
                                <w:sz w:val="20"/>
                                <w:szCs w:val="20"/>
                                <w:lang w:val="en-US" w:eastAsia="en-GB"/>
                              </w:rPr>
                              <m:t>l</m:t>
                            </m:r>
                          </m:sub>
                        </m:sSub>
                        <m:sSub>
                          <m:sSubPr>
                            <m:ctrlPr>
                              <w:rPr>
                                <w:rFonts w:ascii="Cambria Math" w:hAnsi="Cambria Math" w:cs="Times New Roman"/>
                                <w:i/>
                                <w:sz w:val="20"/>
                                <w:szCs w:val="20"/>
                                <w:lang w:val="en-US" w:eastAsia="en-GB"/>
                              </w:rPr>
                            </m:ctrlPr>
                          </m:sSubPr>
                          <m:e>
                            <m:r>
                              <w:rPr>
                                <w:rFonts w:ascii="Cambria Math" w:hAnsi="Cambria Math" w:cs="Times New Roman"/>
                                <w:sz w:val="20"/>
                                <w:szCs w:val="20"/>
                                <w:lang w:val="en-US" w:eastAsia="en-GB"/>
                              </w:rPr>
                              <m:t>C</m:t>
                            </m:r>
                          </m:e>
                          <m:sub>
                            <m:r>
                              <w:rPr>
                                <w:rFonts w:ascii="Cambria Math" w:hAnsi="Cambria Math" w:cs="Times New Roman"/>
                                <w:sz w:val="20"/>
                                <w:szCs w:val="20"/>
                                <w:lang w:val="en-US" w:eastAsia="en-GB"/>
                              </w:rPr>
                              <m:t>p,l</m:t>
                            </m:r>
                          </m:sub>
                        </m:sSub>
                        <m:sSub>
                          <m:sSubPr>
                            <m:ctrlPr>
                              <w:rPr>
                                <w:rFonts w:ascii="Cambria Math" w:hAnsi="Cambria Math" w:cs="Times New Roman"/>
                                <w:i/>
                                <w:sz w:val="20"/>
                                <w:szCs w:val="20"/>
                                <w:lang w:val="en-US" w:eastAsia="en-GB"/>
                              </w:rPr>
                            </m:ctrlPr>
                          </m:sSubPr>
                          <m:e>
                            <m:r>
                              <w:rPr>
                                <w:rFonts w:ascii="Cambria Math" w:hAnsi="Cambria Math" w:cs="Times New Roman"/>
                                <w:sz w:val="20"/>
                                <w:szCs w:val="20"/>
                                <w:lang w:val="en-US" w:eastAsia="en-GB"/>
                              </w:rPr>
                              <m:t>T</m:t>
                            </m:r>
                          </m:e>
                          <m:sub>
                            <m:r>
                              <w:rPr>
                                <w:rFonts w:ascii="Cambria Math" w:hAnsi="Cambria Math" w:cs="Times New Roman"/>
                                <w:sz w:val="20"/>
                                <w:szCs w:val="20"/>
                                <w:lang w:val="en-US" w:eastAsia="en-GB"/>
                              </w:rPr>
                              <m:t>l</m:t>
                            </m:r>
                          </m:sub>
                        </m:sSub>
                      </m:e>
                    </m:d>
                  </m:num>
                  <m:den>
                    <m:r>
                      <w:rPr>
                        <w:rFonts w:ascii="Cambria Math" w:hAnsi="Cambria Math" w:cs="Times New Roman"/>
                        <w:sz w:val="20"/>
                        <w:szCs w:val="20"/>
                        <w:lang w:val="en-US" w:eastAsia="en-GB"/>
                      </w:rPr>
                      <m:t>∂r</m:t>
                    </m:r>
                  </m:den>
                </m:f>
                <m:r>
                  <w:rPr>
                    <w:rFonts w:ascii="Cambria Math" w:eastAsiaTheme="minorEastAsia" w:hAnsi="Cambria Math" w:cs="Times New Roman"/>
                    <w:sz w:val="20"/>
                    <w:szCs w:val="20"/>
                    <w:lang w:val="en-US" w:eastAsia="en-GB"/>
                  </w:rPr>
                  <m:t>+</m:t>
                </m:r>
                <m:sSub>
                  <m:sSubPr>
                    <m:ctrlPr>
                      <w:rPr>
                        <w:rFonts w:ascii="Cambria Math" w:eastAsiaTheme="minorEastAsia" w:hAnsi="Cambria Math" w:cs="Times New Roman"/>
                        <w:i/>
                        <w:sz w:val="20"/>
                        <w:szCs w:val="20"/>
                        <w:lang w:val="en-US" w:eastAsia="en-GB"/>
                      </w:rPr>
                    </m:ctrlPr>
                  </m:sSubPr>
                  <m:e>
                    <m:r>
                      <w:rPr>
                        <w:rFonts w:ascii="Cambria Math" w:eastAsiaTheme="minorEastAsia" w:hAnsi="Cambria Math" w:cs="Times New Roman"/>
                        <w:sz w:val="20"/>
                        <w:szCs w:val="20"/>
                        <w:lang w:val="en-US" w:eastAsia="en-GB"/>
                      </w:rPr>
                      <m:t>a</m:t>
                    </m:r>
                  </m:e>
                  <m:sub>
                    <m:r>
                      <w:rPr>
                        <w:rFonts w:ascii="Cambria Math" w:eastAsiaTheme="minorEastAsia" w:hAnsi="Cambria Math" w:cs="Times New Roman"/>
                        <w:sz w:val="20"/>
                        <w:szCs w:val="20"/>
                        <w:lang w:val="en-US" w:eastAsia="en-GB"/>
                      </w:rPr>
                      <m:t>gl</m:t>
                    </m:r>
                  </m:sub>
                </m:sSub>
                <m:d>
                  <m:dPr>
                    <m:ctrlPr>
                      <w:rPr>
                        <w:rFonts w:ascii="Cambria Math" w:eastAsiaTheme="minorEastAsia" w:hAnsi="Cambria Math" w:cs="Times New Roman"/>
                        <w:i/>
                        <w:sz w:val="20"/>
                        <w:szCs w:val="20"/>
                        <w:lang w:val="en-US" w:eastAsia="en-GB"/>
                      </w:rPr>
                    </m:ctrlPr>
                  </m:dPr>
                  <m:e>
                    <m:sSub>
                      <m:sSubPr>
                        <m:ctrlPr>
                          <w:rPr>
                            <w:rFonts w:ascii="Cambria Math" w:eastAsiaTheme="minorEastAsia" w:hAnsi="Cambria Math" w:cs="Times New Roman"/>
                            <w:i/>
                            <w:sz w:val="20"/>
                            <w:szCs w:val="20"/>
                            <w:lang w:val="en-US" w:eastAsia="en-GB"/>
                          </w:rPr>
                        </m:ctrlPr>
                      </m:sSubPr>
                      <m:e>
                        <m:r>
                          <w:rPr>
                            <w:rFonts w:ascii="Cambria Math" w:eastAsiaTheme="minorEastAsia" w:hAnsi="Cambria Math" w:cs="Times New Roman"/>
                            <w:sz w:val="20"/>
                            <w:szCs w:val="20"/>
                            <w:lang w:val="en-US" w:eastAsia="en-GB"/>
                          </w:rPr>
                          <m:t>h</m:t>
                        </m:r>
                      </m:e>
                      <m:sub>
                        <m:r>
                          <w:rPr>
                            <w:rFonts w:ascii="Cambria Math" w:eastAsiaTheme="minorEastAsia" w:hAnsi="Cambria Math" w:cs="Times New Roman"/>
                            <w:sz w:val="20"/>
                            <w:szCs w:val="20"/>
                            <w:lang w:val="en-US" w:eastAsia="en-GB"/>
                          </w:rPr>
                          <m:t>gl</m:t>
                        </m:r>
                      </m:sub>
                    </m:sSub>
                    <m:d>
                      <m:dPr>
                        <m:ctrlPr>
                          <w:rPr>
                            <w:rFonts w:ascii="Cambria Math" w:eastAsiaTheme="minorEastAsia" w:hAnsi="Cambria Math" w:cs="Times New Roman"/>
                            <w:i/>
                            <w:sz w:val="20"/>
                            <w:szCs w:val="20"/>
                            <w:lang w:val="en-US" w:eastAsia="en-GB"/>
                          </w:rPr>
                        </m:ctrlPr>
                      </m:dPr>
                      <m:e>
                        <m:sSub>
                          <m:sSubPr>
                            <m:ctrlPr>
                              <w:rPr>
                                <w:rFonts w:ascii="Cambria Math" w:eastAsiaTheme="minorEastAsia" w:hAnsi="Cambria Math" w:cs="Times New Roman"/>
                                <w:i/>
                                <w:sz w:val="20"/>
                                <w:szCs w:val="20"/>
                                <w:lang w:val="en-US" w:eastAsia="en-GB"/>
                              </w:rPr>
                            </m:ctrlPr>
                          </m:sSubPr>
                          <m:e>
                            <m:r>
                              <w:rPr>
                                <w:rFonts w:ascii="Cambria Math" w:eastAsiaTheme="minorEastAsia" w:hAnsi="Cambria Math" w:cs="Times New Roman"/>
                                <w:sz w:val="20"/>
                                <w:szCs w:val="20"/>
                                <w:lang w:val="en-US" w:eastAsia="en-GB"/>
                              </w:rPr>
                              <m:t>T</m:t>
                            </m:r>
                          </m:e>
                          <m:sub>
                            <m:r>
                              <w:rPr>
                                <w:rFonts w:ascii="Cambria Math" w:eastAsiaTheme="minorEastAsia" w:hAnsi="Cambria Math" w:cs="Times New Roman"/>
                                <w:sz w:val="20"/>
                                <w:szCs w:val="20"/>
                                <w:lang w:val="en-US" w:eastAsia="en-GB"/>
                              </w:rPr>
                              <m:t>l</m:t>
                            </m:r>
                          </m:sub>
                        </m:sSub>
                        <m:r>
                          <w:rPr>
                            <w:rFonts w:ascii="Cambria Math" w:eastAsiaTheme="minorEastAsia" w:hAnsi="Cambria Math" w:cs="Times New Roman"/>
                            <w:sz w:val="20"/>
                            <w:szCs w:val="20"/>
                            <w:lang w:val="en-US" w:eastAsia="en-GB"/>
                          </w:rPr>
                          <m:t>-</m:t>
                        </m:r>
                        <m:sSub>
                          <m:sSubPr>
                            <m:ctrlPr>
                              <w:rPr>
                                <w:rFonts w:ascii="Cambria Math" w:eastAsiaTheme="minorEastAsia" w:hAnsi="Cambria Math" w:cs="Times New Roman"/>
                                <w:i/>
                                <w:sz w:val="20"/>
                                <w:szCs w:val="20"/>
                                <w:lang w:val="en-US" w:eastAsia="en-GB"/>
                              </w:rPr>
                            </m:ctrlPr>
                          </m:sSubPr>
                          <m:e>
                            <m:r>
                              <w:rPr>
                                <w:rFonts w:ascii="Cambria Math" w:eastAsiaTheme="minorEastAsia" w:hAnsi="Cambria Math" w:cs="Times New Roman"/>
                                <w:sz w:val="20"/>
                                <w:szCs w:val="20"/>
                                <w:lang w:val="en-US" w:eastAsia="en-GB"/>
                              </w:rPr>
                              <m:t>T</m:t>
                            </m:r>
                          </m:e>
                          <m:sub>
                            <m:r>
                              <w:rPr>
                                <w:rFonts w:ascii="Cambria Math" w:eastAsiaTheme="minorEastAsia" w:hAnsi="Cambria Math" w:cs="Times New Roman"/>
                                <w:sz w:val="20"/>
                                <w:szCs w:val="20"/>
                                <w:lang w:val="en-US" w:eastAsia="en-GB"/>
                              </w:rPr>
                              <m:t>g</m:t>
                            </m:r>
                          </m:sub>
                        </m:sSub>
                      </m:e>
                    </m:d>
                    <m:r>
                      <w:rPr>
                        <w:rFonts w:ascii="Cambria Math" w:eastAsiaTheme="minorEastAsia" w:hAnsi="Cambria Math" w:cs="Times New Roman"/>
                        <w:sz w:val="20"/>
                        <w:szCs w:val="20"/>
                        <w:lang w:val="en-US" w:eastAsia="en-GB"/>
                      </w:rPr>
                      <m:t>-∆</m:t>
                    </m:r>
                    <m:sSub>
                      <m:sSubPr>
                        <m:ctrlPr>
                          <w:rPr>
                            <w:rFonts w:ascii="Cambria Math" w:eastAsiaTheme="minorEastAsia" w:hAnsi="Cambria Math" w:cs="Times New Roman"/>
                            <w:i/>
                            <w:sz w:val="20"/>
                            <w:szCs w:val="20"/>
                            <w:lang w:val="en-US" w:eastAsia="en-GB"/>
                          </w:rPr>
                        </m:ctrlPr>
                      </m:sSubPr>
                      <m:e>
                        <m:r>
                          <w:rPr>
                            <w:rFonts w:ascii="Cambria Math" w:eastAsiaTheme="minorEastAsia" w:hAnsi="Cambria Math" w:cs="Times New Roman"/>
                            <w:sz w:val="20"/>
                            <w:szCs w:val="20"/>
                            <w:lang w:val="en-US" w:eastAsia="en-GB"/>
                          </w:rPr>
                          <m:t>H</m:t>
                        </m:r>
                      </m:e>
                      <m:sub>
                        <m:r>
                          <w:rPr>
                            <w:rFonts w:ascii="Cambria Math" w:eastAsiaTheme="minorEastAsia" w:hAnsi="Cambria Math" w:cs="Times New Roman"/>
                            <w:sz w:val="20"/>
                            <w:szCs w:val="20"/>
                            <w:lang w:val="en-US" w:eastAsia="en-GB"/>
                          </w:rPr>
                          <m:t>rxn</m:t>
                        </m:r>
                      </m:sub>
                    </m:sSub>
                    <m:sSub>
                      <m:sSubPr>
                        <m:ctrlPr>
                          <w:rPr>
                            <w:rFonts w:ascii="Cambria Math" w:eastAsiaTheme="minorEastAsia" w:hAnsi="Cambria Math" w:cs="Times New Roman"/>
                            <w:i/>
                            <w:sz w:val="20"/>
                            <w:szCs w:val="20"/>
                            <w:lang w:val="en-US" w:eastAsia="en-GB"/>
                          </w:rPr>
                        </m:ctrlPr>
                      </m:sSubPr>
                      <m:e>
                        <m:r>
                          <w:rPr>
                            <w:rFonts w:ascii="Cambria Math" w:eastAsiaTheme="minorEastAsia" w:hAnsi="Cambria Math" w:cs="Times New Roman"/>
                            <w:sz w:val="20"/>
                            <w:szCs w:val="20"/>
                            <w:lang w:val="en-US" w:eastAsia="en-GB"/>
                          </w:rPr>
                          <m:t>N</m:t>
                        </m:r>
                      </m:e>
                      <m:sub>
                        <m:r>
                          <w:rPr>
                            <w:rFonts w:ascii="Cambria Math" w:eastAsiaTheme="minorEastAsia" w:hAnsi="Cambria Math" w:cs="Times New Roman"/>
                            <w:sz w:val="20"/>
                            <w:szCs w:val="20"/>
                            <w:lang w:val="en-US" w:eastAsia="en-GB"/>
                          </w:rPr>
                          <m:t>CO2</m:t>
                        </m:r>
                      </m:sub>
                    </m:sSub>
                    <m:r>
                      <w:rPr>
                        <w:rFonts w:ascii="Cambria Math" w:eastAsiaTheme="minorEastAsia" w:hAnsi="Cambria Math" w:cs="Times New Roman"/>
                        <w:sz w:val="20"/>
                        <w:szCs w:val="20"/>
                        <w:lang w:val="en-US" w:eastAsia="en-GB"/>
                      </w:rPr>
                      <m:t>-∆</m:t>
                    </m:r>
                    <m:sSub>
                      <m:sSubPr>
                        <m:ctrlPr>
                          <w:rPr>
                            <w:rFonts w:ascii="Cambria Math" w:eastAsiaTheme="minorEastAsia" w:hAnsi="Cambria Math" w:cs="Times New Roman"/>
                            <w:i/>
                            <w:sz w:val="20"/>
                            <w:szCs w:val="20"/>
                            <w:lang w:val="en-US" w:eastAsia="en-GB"/>
                          </w:rPr>
                        </m:ctrlPr>
                      </m:sSubPr>
                      <m:e>
                        <m:r>
                          <w:rPr>
                            <w:rFonts w:ascii="Cambria Math" w:eastAsiaTheme="minorEastAsia" w:hAnsi="Cambria Math" w:cs="Times New Roman"/>
                            <w:sz w:val="20"/>
                            <w:szCs w:val="20"/>
                            <w:lang w:val="en-US" w:eastAsia="en-GB"/>
                          </w:rPr>
                          <m:t>H</m:t>
                        </m:r>
                      </m:e>
                      <m:sub>
                        <m:r>
                          <w:rPr>
                            <w:rFonts w:ascii="Cambria Math" w:eastAsiaTheme="minorEastAsia" w:hAnsi="Cambria Math" w:cs="Times New Roman"/>
                            <w:sz w:val="20"/>
                            <w:szCs w:val="20"/>
                            <w:lang w:val="en-US" w:eastAsia="en-GB"/>
                          </w:rPr>
                          <m:t>vap,H2O</m:t>
                        </m:r>
                      </m:sub>
                    </m:sSub>
                    <m:sSub>
                      <m:sSubPr>
                        <m:ctrlPr>
                          <w:rPr>
                            <w:rFonts w:ascii="Cambria Math" w:eastAsiaTheme="minorEastAsia" w:hAnsi="Cambria Math" w:cs="Times New Roman"/>
                            <w:i/>
                            <w:sz w:val="20"/>
                            <w:szCs w:val="20"/>
                            <w:lang w:val="en-US" w:eastAsia="en-GB"/>
                          </w:rPr>
                        </m:ctrlPr>
                      </m:sSubPr>
                      <m:e>
                        <m:r>
                          <w:rPr>
                            <w:rFonts w:ascii="Cambria Math" w:eastAsiaTheme="minorEastAsia" w:hAnsi="Cambria Math" w:cs="Times New Roman"/>
                            <w:sz w:val="20"/>
                            <w:szCs w:val="20"/>
                            <w:lang w:val="en-US" w:eastAsia="en-GB"/>
                          </w:rPr>
                          <m:t>N</m:t>
                        </m:r>
                      </m:e>
                      <m:sub>
                        <m:sSub>
                          <m:sSubPr>
                            <m:ctrlPr>
                              <w:rPr>
                                <w:rFonts w:ascii="Cambria Math" w:eastAsiaTheme="minorEastAsia" w:hAnsi="Cambria Math" w:cs="Times New Roman"/>
                                <w:i/>
                                <w:sz w:val="20"/>
                                <w:szCs w:val="20"/>
                                <w:lang w:val="en-US" w:eastAsia="en-GB"/>
                              </w:rPr>
                            </m:ctrlPr>
                          </m:sSubPr>
                          <m:e>
                            <m:r>
                              <w:rPr>
                                <w:rFonts w:ascii="Cambria Math" w:eastAsiaTheme="minorEastAsia" w:hAnsi="Cambria Math" w:cs="Times New Roman"/>
                                <w:sz w:val="20"/>
                                <w:szCs w:val="20"/>
                                <w:lang w:val="en-US" w:eastAsia="en-GB"/>
                              </w:rPr>
                              <m:t>H</m:t>
                            </m:r>
                          </m:e>
                          <m:sub>
                            <m:r>
                              <w:rPr>
                                <w:rFonts w:ascii="Cambria Math" w:eastAsiaTheme="minorEastAsia" w:hAnsi="Cambria Math" w:cs="Times New Roman"/>
                                <w:sz w:val="20"/>
                                <w:szCs w:val="20"/>
                                <w:lang w:val="en-US" w:eastAsia="en-GB"/>
                              </w:rPr>
                              <m:t>2</m:t>
                            </m:r>
                          </m:sub>
                        </m:sSub>
                        <m:r>
                          <w:rPr>
                            <w:rFonts w:ascii="Cambria Math" w:eastAsiaTheme="minorEastAsia" w:hAnsi="Cambria Math" w:cs="Times New Roman"/>
                            <w:sz w:val="20"/>
                            <w:szCs w:val="20"/>
                            <w:lang w:val="en-US" w:eastAsia="en-GB"/>
                          </w:rPr>
                          <m:t>O</m:t>
                        </m:r>
                      </m:sub>
                    </m:sSub>
                  </m:e>
                </m:d>
              </m:oMath>
            </m:oMathPara>
          </w:p>
        </w:tc>
        <w:tc>
          <w:tcPr>
            <w:tcW w:w="845" w:type="dxa"/>
          </w:tcPr>
          <w:p w14:paraId="327E9372" w14:textId="77777777" w:rsidR="00FF687D" w:rsidRPr="00CC794A" w:rsidRDefault="00FF687D" w:rsidP="00AB59FA">
            <w:pPr>
              <w:jc w:val="both"/>
              <w:rPr>
                <w:rFonts w:ascii="Times New Roman" w:eastAsiaTheme="minorEastAsia" w:hAnsi="Times New Roman" w:cs="Times New Roman"/>
                <w:sz w:val="20"/>
                <w:szCs w:val="20"/>
                <w:lang w:val="en-US" w:eastAsia="en-GB"/>
              </w:rPr>
            </w:pPr>
            <w:r w:rsidRPr="00CC794A">
              <w:rPr>
                <w:rFonts w:ascii="Times New Roman" w:eastAsiaTheme="minorEastAsia" w:hAnsi="Times New Roman" w:cs="Times New Roman"/>
                <w:sz w:val="20"/>
                <w:szCs w:val="20"/>
                <w:lang w:val="en-US" w:eastAsia="en-GB"/>
              </w:rPr>
              <w:t>4</w:t>
            </w:r>
          </w:p>
        </w:tc>
      </w:tr>
    </w:tbl>
    <w:p w14:paraId="144DE69D" w14:textId="09B75966" w:rsidR="008D2649" w:rsidRDefault="00D00A44" w:rsidP="008D2649">
      <w:pPr>
        <w:pStyle w:val="Els-2ndorder-head"/>
      </w:pPr>
      <w:r>
        <w:t>Mass transfer, heat transfer and hydrodynamic models</w:t>
      </w:r>
      <w:r w:rsidR="008D2649">
        <w:t xml:space="preserve"> </w:t>
      </w:r>
    </w:p>
    <w:p w14:paraId="6B93416F" w14:textId="7A2D55AA" w:rsidR="009646EA" w:rsidRDefault="00D00A44" w:rsidP="00204114">
      <w:pPr>
        <w:rPr>
          <w:rFonts w:eastAsiaTheme="minorEastAsia"/>
          <w:lang w:eastAsia="en-GB"/>
        </w:rPr>
      </w:pPr>
      <w:r w:rsidRPr="00CC794A">
        <w:rPr>
          <w:rFonts w:eastAsiaTheme="minorEastAsia"/>
          <w:lang w:eastAsia="en-GB"/>
        </w:rPr>
        <w:t xml:space="preserve">The gas and liquid mass transfer coefficients, gas-liquid interfacial area, liquid holdup, pressure drop and heat transfer coefficient in the RPB absorber model are estimated using correlations in Table 1. </w:t>
      </w:r>
    </w:p>
    <w:p w14:paraId="383C4C33" w14:textId="7C441AAA" w:rsidR="00204114" w:rsidRDefault="00204114" w:rsidP="00204114">
      <w:pPr>
        <w:rPr>
          <w:rFonts w:eastAsiaTheme="minorEastAsia"/>
          <w:lang w:eastAsia="en-GB"/>
        </w:rPr>
      </w:pPr>
    </w:p>
    <w:p w14:paraId="5BBFD94D" w14:textId="6A004E64" w:rsidR="00204114" w:rsidRDefault="00204114" w:rsidP="00204114">
      <w:pPr>
        <w:rPr>
          <w:rFonts w:eastAsiaTheme="minorEastAsia"/>
          <w:lang w:eastAsia="en-GB"/>
        </w:rPr>
      </w:pPr>
    </w:p>
    <w:p w14:paraId="28CC2FFD" w14:textId="3C59D8B3" w:rsidR="00204114" w:rsidRDefault="00204114" w:rsidP="00204114">
      <w:pPr>
        <w:rPr>
          <w:rFonts w:eastAsiaTheme="minorEastAsia"/>
          <w:lang w:eastAsia="en-GB"/>
        </w:rPr>
      </w:pPr>
    </w:p>
    <w:p w14:paraId="5DDB120F" w14:textId="3850AAC8" w:rsidR="00204114" w:rsidRDefault="00204114" w:rsidP="00204114">
      <w:pPr>
        <w:rPr>
          <w:rFonts w:eastAsiaTheme="minorEastAsia"/>
          <w:lang w:eastAsia="en-GB"/>
        </w:rPr>
      </w:pPr>
    </w:p>
    <w:p w14:paraId="09B492A0" w14:textId="77777777" w:rsidR="00204114" w:rsidRDefault="00204114" w:rsidP="00204114">
      <w:pPr>
        <w:rPr>
          <w:rFonts w:eastAsiaTheme="minorEastAsia"/>
          <w:lang w:eastAsia="en-GB"/>
        </w:rPr>
      </w:pPr>
    </w:p>
    <w:p w14:paraId="7D98057A" w14:textId="4A7AFEF1" w:rsidR="00D00A44" w:rsidRPr="00CC794A" w:rsidRDefault="00D00A44" w:rsidP="009646EA">
      <w:pPr>
        <w:spacing w:line="276" w:lineRule="auto"/>
        <w:rPr>
          <w:rFonts w:eastAsiaTheme="minorEastAsia"/>
          <w:lang w:eastAsia="en-GB"/>
        </w:rPr>
      </w:pPr>
      <w:r w:rsidRPr="00CC794A">
        <w:rPr>
          <w:rFonts w:eastAsiaTheme="minorEastAsia"/>
          <w:lang w:eastAsia="en-GB"/>
        </w:rPr>
        <w:lastRenderedPageBreak/>
        <w:t xml:space="preserve">Table 1 </w:t>
      </w:r>
      <w:r>
        <w:rPr>
          <w:rFonts w:eastAsiaTheme="minorEastAsia"/>
          <w:lang w:eastAsia="en-GB"/>
        </w:rPr>
        <w:t>C</w:t>
      </w:r>
      <w:r w:rsidRPr="00CC794A">
        <w:rPr>
          <w:rFonts w:eastAsiaTheme="minorEastAsia"/>
          <w:lang w:eastAsia="en-GB"/>
        </w:rPr>
        <w:t>orrelations used for mass and heat transfers.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3253"/>
      </w:tblGrid>
      <w:tr w:rsidR="00D00A44" w:rsidRPr="00CC794A" w14:paraId="356423D4" w14:textId="77777777" w:rsidTr="005156BD">
        <w:tc>
          <w:tcPr>
            <w:tcW w:w="3823" w:type="dxa"/>
            <w:tcBorders>
              <w:top w:val="single" w:sz="4" w:space="0" w:color="auto"/>
              <w:bottom w:val="single" w:sz="4" w:space="0" w:color="auto"/>
            </w:tcBorders>
          </w:tcPr>
          <w:p w14:paraId="4C170F55" w14:textId="228B6019" w:rsidR="00D00A44" w:rsidRPr="00CC794A" w:rsidRDefault="00D00A44" w:rsidP="00C25053">
            <w:pPr>
              <w:pStyle w:val="Els-body-text"/>
              <w:ind w:right="-28"/>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val="en-GB" w:eastAsia="zh-CN"/>
              </w:rPr>
              <w:t>C</w:t>
            </w:r>
            <w:r w:rsidR="008F0C7A" w:rsidRPr="00CC794A">
              <w:rPr>
                <w:rFonts w:ascii="Times New Roman" w:eastAsiaTheme="minorEastAsia" w:hAnsi="Times New Roman" w:cs="Times New Roman"/>
                <w:sz w:val="20"/>
                <w:szCs w:val="20"/>
                <w:lang w:eastAsia="en-GB"/>
              </w:rPr>
              <w:t>orrelations</w:t>
            </w:r>
          </w:p>
        </w:tc>
        <w:tc>
          <w:tcPr>
            <w:tcW w:w="3253" w:type="dxa"/>
            <w:tcBorders>
              <w:top w:val="single" w:sz="4" w:space="0" w:color="auto"/>
              <w:bottom w:val="single" w:sz="4" w:space="0" w:color="auto"/>
            </w:tcBorders>
          </w:tcPr>
          <w:p w14:paraId="2BB40D04" w14:textId="4819E905" w:rsidR="00D00A44" w:rsidRPr="00CC794A" w:rsidRDefault="00D00A44" w:rsidP="00C25053">
            <w:pPr>
              <w:pStyle w:val="Els-body-text"/>
              <w:ind w:right="-28"/>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R</w:t>
            </w:r>
            <w:r w:rsidRPr="00CC794A">
              <w:rPr>
                <w:rFonts w:ascii="Times New Roman" w:eastAsiaTheme="minorEastAsia" w:hAnsi="Times New Roman" w:cs="Times New Roman"/>
                <w:sz w:val="20"/>
                <w:szCs w:val="20"/>
                <w:lang w:eastAsia="en-GB"/>
              </w:rPr>
              <w:t>eference</w:t>
            </w:r>
          </w:p>
        </w:tc>
      </w:tr>
      <w:tr w:rsidR="00D00A44" w:rsidRPr="00CC794A" w14:paraId="34DE4A27" w14:textId="77777777" w:rsidTr="005156BD">
        <w:tc>
          <w:tcPr>
            <w:tcW w:w="3823" w:type="dxa"/>
            <w:tcBorders>
              <w:top w:val="single" w:sz="4" w:space="0" w:color="auto"/>
            </w:tcBorders>
          </w:tcPr>
          <w:p w14:paraId="5DBF3988" w14:textId="77777777" w:rsidR="00D00A44" w:rsidRPr="00CC794A" w:rsidRDefault="00D00A44" w:rsidP="00C25053">
            <w:pPr>
              <w:pStyle w:val="Els-body-text"/>
              <w:ind w:right="-28"/>
              <w:jc w:val="center"/>
              <w:rPr>
                <w:rFonts w:ascii="Times New Roman" w:eastAsiaTheme="minorEastAsia" w:hAnsi="Times New Roman" w:cs="Times New Roman"/>
                <w:sz w:val="20"/>
                <w:szCs w:val="20"/>
                <w:lang w:eastAsia="en-GB"/>
              </w:rPr>
            </w:pPr>
            <w:r w:rsidRPr="00CC794A">
              <w:rPr>
                <w:rFonts w:ascii="Times New Roman" w:eastAsiaTheme="minorEastAsia" w:hAnsi="Times New Roman" w:cs="Times New Roman"/>
                <w:sz w:val="20"/>
                <w:szCs w:val="20"/>
                <w:lang w:eastAsia="en-GB"/>
              </w:rPr>
              <w:t>Gas-phase mass transfer coefficient</w:t>
            </w:r>
          </w:p>
        </w:tc>
        <w:tc>
          <w:tcPr>
            <w:tcW w:w="3253" w:type="dxa"/>
            <w:tcBorders>
              <w:top w:val="single" w:sz="4" w:space="0" w:color="auto"/>
            </w:tcBorders>
          </w:tcPr>
          <w:p w14:paraId="0C0EF51E" w14:textId="5E189533" w:rsidR="00D00A44" w:rsidRPr="00CC794A" w:rsidRDefault="00D00A44" w:rsidP="00C25053">
            <w:pPr>
              <w:pStyle w:val="Els-body-text"/>
              <w:ind w:right="-28"/>
              <w:jc w:val="center"/>
              <w:rPr>
                <w:rFonts w:ascii="Times New Roman" w:eastAsiaTheme="minorEastAsia" w:hAnsi="Times New Roman" w:cs="Times New Roman"/>
                <w:sz w:val="20"/>
                <w:szCs w:val="20"/>
                <w:lang w:eastAsia="en-GB"/>
              </w:rPr>
            </w:pPr>
            <w:r w:rsidRPr="00CC794A">
              <w:rPr>
                <w:rFonts w:ascii="Times New Roman" w:eastAsiaTheme="minorEastAsia" w:hAnsi="Times New Roman" w:cs="Times New Roman"/>
                <w:sz w:val="20"/>
                <w:szCs w:val="20"/>
                <w:lang w:eastAsia="en-GB"/>
              </w:rPr>
              <w:t xml:space="preserve">Onda et al. </w:t>
            </w:r>
            <w:r w:rsidRPr="00CC794A">
              <w:rPr>
                <w:rFonts w:eastAsiaTheme="minorEastAsia"/>
                <w:lang w:eastAsia="en-GB"/>
              </w:rPr>
              <w:fldChar w:fldCharType="begin" w:fldLock="1"/>
            </w:r>
            <w:r w:rsidR="00204114">
              <w:rPr>
                <w:rFonts w:ascii="Times New Roman" w:eastAsiaTheme="minorEastAsia" w:hAnsi="Times New Roman" w:cs="Times New Roman"/>
                <w:sz w:val="20"/>
                <w:szCs w:val="20"/>
                <w:lang w:eastAsia="en-GB"/>
              </w:rPr>
              <w:instrText>ADDIN CSL_CITATION {"citationItems":[{"id":"ITEM-1","itemData":{"DOI":"10.1252/jcej.1.56","ISBN":"0021-9592","ISSN":"00219592","author":[{"dropping-particle":"","family":"Onda","given":"Kakusaburo","non-dropping-particle":"","parse-names":false,"suffix":""},{"dropping-particle":"","family":"Takeuchi","given":"Hiroshi","non-dropping-particle":"","parse-names":false,"suffix":""},{"dropping-particle":"","family":"Okumoto","given":"Yoshio","non-dropping-particle":"","parse-names":false,"suffix":""}],"container-title":"Journal of Chemical Engineering of Japan","id":"ITEM-1","issue":"1","issued":{"date-parts":[["1968"]]},"page":"56-62","title":"Mass transfer coefficients between gas and liquid phases in packed columns","type":"article-journal","volume":"1"},"uris":["http://www.mendeley.com/documents/?uuid=9345f9ae-ae1e-4338-8127-8bac962dfd82"]}],"mendeley":{"formattedCitation":"[4]","plainTextFormattedCitation":"[4]","previouslyFormattedCitation":"(Onda et al., 1968)"},"properties":{"noteIndex":0},"schema":"https://github.com/citation-style-language/schema/raw/master/csl-citation.json"}</w:instrText>
            </w:r>
            <w:r w:rsidRPr="00CC794A">
              <w:rPr>
                <w:rFonts w:eastAsiaTheme="minorEastAsia"/>
                <w:lang w:eastAsia="en-GB"/>
              </w:rPr>
              <w:fldChar w:fldCharType="separate"/>
            </w:r>
            <w:r w:rsidR="00204114" w:rsidRPr="00204114">
              <w:rPr>
                <w:rFonts w:ascii="Times New Roman" w:eastAsiaTheme="minorEastAsia" w:hAnsi="Times New Roman" w:cs="Times New Roman"/>
                <w:noProof/>
                <w:sz w:val="20"/>
                <w:szCs w:val="20"/>
                <w:lang w:eastAsia="en-GB"/>
              </w:rPr>
              <w:t>[4]</w:t>
            </w:r>
            <w:r w:rsidRPr="00CC794A">
              <w:rPr>
                <w:rFonts w:eastAsiaTheme="minorEastAsia"/>
                <w:lang w:eastAsia="en-GB"/>
              </w:rPr>
              <w:fldChar w:fldCharType="end"/>
            </w:r>
          </w:p>
        </w:tc>
        <w:bookmarkStart w:id="0" w:name="_GoBack"/>
        <w:bookmarkEnd w:id="0"/>
      </w:tr>
      <w:tr w:rsidR="00D00A44" w:rsidRPr="00CC794A" w14:paraId="39667A1E" w14:textId="77777777" w:rsidTr="005156BD">
        <w:tc>
          <w:tcPr>
            <w:tcW w:w="3823" w:type="dxa"/>
          </w:tcPr>
          <w:p w14:paraId="4ECF943B" w14:textId="77777777" w:rsidR="00D00A44" w:rsidRPr="00CC794A" w:rsidRDefault="00D00A44" w:rsidP="00C25053">
            <w:pPr>
              <w:pStyle w:val="Els-body-text"/>
              <w:ind w:right="-28"/>
              <w:jc w:val="center"/>
              <w:rPr>
                <w:rFonts w:ascii="Times New Roman" w:eastAsiaTheme="minorEastAsia" w:hAnsi="Times New Roman" w:cs="Times New Roman"/>
                <w:sz w:val="20"/>
                <w:szCs w:val="20"/>
                <w:lang w:eastAsia="en-GB"/>
              </w:rPr>
            </w:pPr>
            <w:r w:rsidRPr="00CC794A">
              <w:rPr>
                <w:rFonts w:ascii="Times New Roman" w:eastAsiaTheme="minorEastAsia" w:hAnsi="Times New Roman" w:cs="Times New Roman"/>
                <w:sz w:val="20"/>
                <w:szCs w:val="20"/>
                <w:lang w:eastAsia="en-GB"/>
              </w:rPr>
              <w:t>Liquid-phase mass transfer coefficient</w:t>
            </w:r>
          </w:p>
        </w:tc>
        <w:tc>
          <w:tcPr>
            <w:tcW w:w="3253" w:type="dxa"/>
          </w:tcPr>
          <w:p w14:paraId="0C768204" w14:textId="37E4A183" w:rsidR="00D00A44" w:rsidRPr="00CC794A" w:rsidRDefault="00D00A44" w:rsidP="00C25053">
            <w:pPr>
              <w:pStyle w:val="Els-body-text"/>
              <w:ind w:right="-28"/>
              <w:jc w:val="center"/>
              <w:rPr>
                <w:rFonts w:ascii="Times New Roman" w:eastAsiaTheme="minorEastAsia" w:hAnsi="Times New Roman" w:cs="Times New Roman"/>
                <w:sz w:val="20"/>
                <w:szCs w:val="20"/>
                <w:lang w:eastAsia="en-GB"/>
              </w:rPr>
            </w:pPr>
            <w:r w:rsidRPr="00CC794A">
              <w:rPr>
                <w:rFonts w:ascii="Times New Roman" w:eastAsiaTheme="minorEastAsia" w:hAnsi="Times New Roman" w:cs="Times New Roman"/>
                <w:sz w:val="20"/>
                <w:szCs w:val="20"/>
                <w:lang w:eastAsia="en-GB"/>
              </w:rPr>
              <w:t xml:space="preserve">Tung and </w:t>
            </w:r>
            <w:proofErr w:type="spellStart"/>
            <w:r w:rsidRPr="00CC794A">
              <w:rPr>
                <w:rFonts w:ascii="Times New Roman" w:eastAsiaTheme="minorEastAsia" w:hAnsi="Times New Roman" w:cs="Times New Roman"/>
                <w:sz w:val="20"/>
                <w:szCs w:val="20"/>
                <w:lang w:eastAsia="en-GB"/>
              </w:rPr>
              <w:t>Mah</w:t>
            </w:r>
            <w:proofErr w:type="spellEnd"/>
            <w:r w:rsidRPr="00CC794A">
              <w:rPr>
                <w:rFonts w:ascii="Times New Roman" w:eastAsiaTheme="minorEastAsia" w:hAnsi="Times New Roman" w:cs="Times New Roman"/>
                <w:sz w:val="20"/>
                <w:szCs w:val="20"/>
                <w:lang w:eastAsia="en-GB"/>
              </w:rPr>
              <w:t xml:space="preserve"> </w:t>
            </w:r>
            <w:r w:rsidRPr="00CC794A">
              <w:rPr>
                <w:rFonts w:eastAsiaTheme="minorEastAsia"/>
                <w:lang w:eastAsia="en-GB"/>
              </w:rPr>
              <w:fldChar w:fldCharType="begin" w:fldLock="1"/>
            </w:r>
            <w:r w:rsidR="00204114">
              <w:rPr>
                <w:rFonts w:ascii="Times New Roman" w:eastAsiaTheme="minorEastAsia" w:hAnsi="Times New Roman" w:cs="Times New Roman"/>
                <w:sz w:val="20"/>
                <w:szCs w:val="20"/>
                <w:lang w:eastAsia="en-GB"/>
              </w:rPr>
              <w:instrText>ADDIN CSL_CITATION {"citationItems":[{"id":"ITEM-1","itemData":{"author":[{"dropping-particle":"","family":"Tung","given":"Hsien-Hsin","non-dropping-particle":"","parse-names":false,"suffix":""},{"dropping-particle":"","family":"Mah","given":"Richards S. H","non-dropping-particle":"","parse-names":false,"suffix":""}],"container-title":"Chemical Engineering Communications","id":"ITEM-1","issue":"1-6","issued":{"date-parts":[["1985"]]},"page":"147-153","title":"Modeling liquid mass transfer in HIGEE separation process","type":"article-journal","volume":"39"},"uris":["http://www.mendeley.com/documents/?uuid=a68721fa-deca-402b-926a-f8b6ff1fce63"]}],"mendeley":{"formattedCitation":"[5]","plainTextFormattedCitation":"[5]","previouslyFormattedCitation":"(Tung and Mah, 1985)"},"properties":{"noteIndex":0},"schema":"https://github.com/citation-style-language/schema/raw/master/csl-citation.json"}</w:instrText>
            </w:r>
            <w:r w:rsidRPr="00CC794A">
              <w:rPr>
                <w:rFonts w:eastAsiaTheme="minorEastAsia"/>
                <w:lang w:eastAsia="en-GB"/>
              </w:rPr>
              <w:fldChar w:fldCharType="separate"/>
            </w:r>
            <w:r w:rsidR="00204114" w:rsidRPr="00204114">
              <w:rPr>
                <w:rFonts w:ascii="Times New Roman" w:eastAsiaTheme="minorEastAsia" w:hAnsi="Times New Roman" w:cs="Times New Roman"/>
                <w:noProof/>
                <w:sz w:val="20"/>
                <w:szCs w:val="20"/>
                <w:lang w:eastAsia="en-GB"/>
              </w:rPr>
              <w:t>[5]</w:t>
            </w:r>
            <w:r w:rsidRPr="00CC794A">
              <w:rPr>
                <w:rFonts w:eastAsiaTheme="minorEastAsia"/>
                <w:lang w:eastAsia="en-GB"/>
              </w:rPr>
              <w:fldChar w:fldCharType="end"/>
            </w:r>
          </w:p>
        </w:tc>
      </w:tr>
      <w:tr w:rsidR="00D00A44" w:rsidRPr="00CC794A" w14:paraId="38C83B94" w14:textId="77777777" w:rsidTr="005156BD">
        <w:tc>
          <w:tcPr>
            <w:tcW w:w="3823" w:type="dxa"/>
          </w:tcPr>
          <w:p w14:paraId="2B67A040" w14:textId="0A62AB1A" w:rsidR="00D00A44" w:rsidRPr="00CC794A" w:rsidRDefault="00D00A44" w:rsidP="00C25053">
            <w:pPr>
              <w:pStyle w:val="Els-body-text"/>
              <w:ind w:right="-28"/>
              <w:jc w:val="center"/>
              <w:rPr>
                <w:rFonts w:ascii="Times New Roman" w:eastAsiaTheme="minorEastAsia" w:hAnsi="Times New Roman" w:cs="Times New Roman"/>
                <w:sz w:val="20"/>
                <w:szCs w:val="20"/>
                <w:lang w:eastAsia="en-GB"/>
              </w:rPr>
            </w:pPr>
            <w:r w:rsidRPr="00CC794A">
              <w:rPr>
                <w:rFonts w:ascii="Times New Roman" w:eastAsiaTheme="minorEastAsia" w:hAnsi="Times New Roman" w:cs="Times New Roman"/>
                <w:sz w:val="20"/>
                <w:szCs w:val="20"/>
                <w:lang w:eastAsia="en-GB"/>
              </w:rPr>
              <w:t>Interfacial area</w:t>
            </w:r>
          </w:p>
        </w:tc>
        <w:tc>
          <w:tcPr>
            <w:tcW w:w="3253" w:type="dxa"/>
          </w:tcPr>
          <w:p w14:paraId="417B7870" w14:textId="3AA27EC4" w:rsidR="00D00A44" w:rsidRPr="00CC794A" w:rsidRDefault="00D00A44" w:rsidP="00C25053">
            <w:pPr>
              <w:pStyle w:val="Els-body-text"/>
              <w:ind w:right="-28"/>
              <w:jc w:val="center"/>
              <w:rPr>
                <w:rFonts w:ascii="Times New Roman" w:eastAsiaTheme="minorEastAsia" w:hAnsi="Times New Roman" w:cs="Times New Roman"/>
                <w:sz w:val="20"/>
                <w:szCs w:val="20"/>
                <w:lang w:eastAsia="en-GB"/>
              </w:rPr>
            </w:pPr>
            <w:r w:rsidRPr="00CC794A">
              <w:rPr>
                <w:rFonts w:ascii="Times New Roman" w:eastAsiaTheme="minorEastAsia" w:hAnsi="Times New Roman" w:cs="Times New Roman"/>
                <w:sz w:val="20"/>
                <w:szCs w:val="20"/>
                <w:lang w:eastAsia="en-GB"/>
              </w:rPr>
              <w:t xml:space="preserve">Billet and Schulte </w:t>
            </w:r>
            <w:r w:rsidRPr="00CC794A">
              <w:rPr>
                <w:rFonts w:eastAsiaTheme="minorEastAsia"/>
                <w:lang w:eastAsia="en-GB"/>
              </w:rPr>
              <w:fldChar w:fldCharType="begin" w:fldLock="1"/>
            </w:r>
            <w:r w:rsidR="00204114">
              <w:rPr>
                <w:rFonts w:ascii="Times New Roman" w:eastAsiaTheme="minorEastAsia" w:hAnsi="Times New Roman" w:cs="Times New Roman"/>
                <w:sz w:val="20"/>
                <w:szCs w:val="20"/>
                <w:lang w:eastAsia="en-GB"/>
              </w:rPr>
              <w:instrText>ADDIN CSL_CITATION {"citationItems":[{"id":"ITEM-1","itemData":{"DOI":"10.1205/026387699526520","ISSN":"02638762","abstract":"A good knowledge of the relationship between the two-phase countercurrent flow of a packed mass transfer column is essential for the design of rectification, absorption and desorption columns. Based on a physical model the authors describe their updated equations for calculating gas and liquid side mass transfer coefficients, pressure drop of dry or irrigated random and structured packings, their loading and flooding points as well as their liquid holdup. Based on one of the largest experimental databases in the world, the calculated results give only small deviations from the database","author":[{"dropping-particle":"","family":"Billet","given":"R.","non-dropping-particle":"","parse-names":false,"suffix":""},{"dropping-particle":"","family":"Schultes","given":"M.","non-dropping-particle":"","parse-names":false,"suffix":""}],"container-title":"Chemical Engineering Research and Design","id":"ITEM-1","issue":"6","issued":{"date-parts":[["1999"]]},"page":"498-504","title":"Prediction of Mass Transfer Columns with Dumped and Arranged Packings","type":"article-journal","volume":"77"},"uris":["http://www.mendeley.com/documents/?uuid=603b8e2e-1776-4742-8b4d-57d480ee9feb"]}],"mendeley":{"formattedCitation":"[6]","plainTextFormattedCitation":"[6]","previouslyFormattedCitation":"(Billet and Schultes, 1999)"},"properties":{"noteIndex":0},"schema":"https://github.com/citation-style-language/schema/raw/master/csl-citation.json"}</w:instrText>
            </w:r>
            <w:r w:rsidRPr="00CC794A">
              <w:rPr>
                <w:rFonts w:eastAsiaTheme="minorEastAsia"/>
                <w:lang w:eastAsia="en-GB"/>
              </w:rPr>
              <w:fldChar w:fldCharType="separate"/>
            </w:r>
            <w:r w:rsidR="00204114" w:rsidRPr="00204114">
              <w:rPr>
                <w:rFonts w:ascii="Times New Roman" w:eastAsiaTheme="minorEastAsia" w:hAnsi="Times New Roman" w:cs="Times New Roman"/>
                <w:noProof/>
                <w:sz w:val="20"/>
                <w:szCs w:val="20"/>
                <w:lang w:eastAsia="en-GB"/>
              </w:rPr>
              <w:t>[6]</w:t>
            </w:r>
            <w:r w:rsidRPr="00CC794A">
              <w:rPr>
                <w:rFonts w:eastAsiaTheme="minorEastAsia"/>
                <w:lang w:eastAsia="en-GB"/>
              </w:rPr>
              <w:fldChar w:fldCharType="end"/>
            </w:r>
          </w:p>
        </w:tc>
      </w:tr>
      <w:tr w:rsidR="00D00A44" w:rsidRPr="00CC794A" w14:paraId="1F413B27" w14:textId="77777777" w:rsidTr="005156BD">
        <w:tc>
          <w:tcPr>
            <w:tcW w:w="3823" w:type="dxa"/>
          </w:tcPr>
          <w:p w14:paraId="74A25CE7" w14:textId="77777777" w:rsidR="00D00A44" w:rsidRPr="00CC794A" w:rsidRDefault="00D00A44" w:rsidP="00C25053">
            <w:pPr>
              <w:pStyle w:val="Els-body-text"/>
              <w:ind w:right="-28"/>
              <w:jc w:val="center"/>
              <w:rPr>
                <w:rFonts w:ascii="Times New Roman" w:eastAsiaTheme="minorEastAsia" w:hAnsi="Times New Roman" w:cs="Times New Roman"/>
                <w:sz w:val="20"/>
                <w:szCs w:val="20"/>
                <w:lang w:eastAsia="en-GB"/>
              </w:rPr>
            </w:pPr>
            <w:r w:rsidRPr="00CC794A">
              <w:rPr>
                <w:rFonts w:ascii="Times New Roman" w:eastAsiaTheme="minorEastAsia" w:hAnsi="Times New Roman" w:cs="Times New Roman"/>
                <w:sz w:val="20"/>
                <w:szCs w:val="20"/>
                <w:lang w:eastAsia="en-GB"/>
              </w:rPr>
              <w:t>Liquid holdup</w:t>
            </w:r>
          </w:p>
        </w:tc>
        <w:tc>
          <w:tcPr>
            <w:tcW w:w="3253" w:type="dxa"/>
          </w:tcPr>
          <w:p w14:paraId="13D2F658" w14:textId="6C782C9F" w:rsidR="00D00A44" w:rsidRPr="00CC794A" w:rsidRDefault="00D00A44" w:rsidP="00C25053">
            <w:pPr>
              <w:pStyle w:val="Els-body-text"/>
              <w:ind w:right="-28"/>
              <w:jc w:val="center"/>
              <w:rPr>
                <w:rFonts w:ascii="Times New Roman" w:eastAsiaTheme="minorEastAsia" w:hAnsi="Times New Roman" w:cs="Times New Roman"/>
                <w:sz w:val="20"/>
                <w:szCs w:val="20"/>
                <w:lang w:eastAsia="en-GB"/>
              </w:rPr>
            </w:pPr>
            <w:r w:rsidRPr="00CC794A">
              <w:rPr>
                <w:rFonts w:ascii="Times New Roman" w:eastAsiaTheme="minorEastAsia" w:hAnsi="Times New Roman" w:cs="Times New Roman"/>
                <w:sz w:val="20"/>
                <w:szCs w:val="20"/>
                <w:lang w:eastAsia="en-GB"/>
              </w:rPr>
              <w:t xml:space="preserve">Burns et al. </w:t>
            </w:r>
            <w:r w:rsidRPr="00CC794A">
              <w:rPr>
                <w:rFonts w:eastAsiaTheme="minorEastAsia"/>
                <w:lang w:eastAsia="en-GB"/>
              </w:rPr>
              <w:fldChar w:fldCharType="begin" w:fldLock="1"/>
            </w:r>
            <w:r w:rsidR="00204114">
              <w:rPr>
                <w:rFonts w:ascii="Times New Roman" w:eastAsiaTheme="minorEastAsia" w:hAnsi="Times New Roman" w:cs="Times New Roman"/>
                <w:sz w:val="20"/>
                <w:szCs w:val="20"/>
                <w:lang w:eastAsia="en-GB"/>
              </w:rPr>
              <w:instrText>ADDIN CSL_CITATION {"citationItems":[{"id":"ITEM-1","itemData":{"DOI":"10.1016/S0009-2509(99)00520-5","ISSN":"0009-2509","abstract":"Measurements of electrical resistance across annular sections of a high-voidage rotating packed bed were used to determine liquid hold-up and residence time for a gas–liquid system. The results were compared with predictions based on established flow models. Differences between the results and similar studies conducted using lower porosity glass sphere packing were examined. The relationship between gas flow rate and rotational speed during flooding was discussed and compared for low and high porosity packing.","author":[{"dropping-particle":"","family":"Burns","given":"J.R.","non-dropping-particle":"","parse-names":false,"suffix":""},{"dropping-particle":"","family":"Jamil","given":"J.N.","non-dropping-particle":"","parse-names":false,"suffix":""},{"dropping-particle":"","family":"Ramshaw","given":"C.","non-dropping-particle":"","parse-names":false,"suffix":""}],"container-title":"Chemical Engineering Science","id":"ITEM-1","issue":"13","issued":{"date-parts":[["2000","7","1"]]},"page":"2401-2415","publisher":"Pergamon","title":"Process intensification: operating characteristics of rotating packed beds — determination of liquid hold-up for a high-voidage structured packing","type":"article-journal","volume":"55"},"uris":["http://www.mendeley.com/documents/?uuid=8032a516-40e5-3201-bd4d-84a73a77b079"]}],"mendeley":{"formattedCitation":"[7]","plainTextFormattedCitation":"[7]","previouslyFormattedCitation":"(Burns et al., 2000)"},"properties":{"noteIndex":0},"schema":"https://github.com/citation-style-language/schema/raw/master/csl-citation.json"}</w:instrText>
            </w:r>
            <w:r w:rsidRPr="00CC794A">
              <w:rPr>
                <w:rFonts w:eastAsiaTheme="minorEastAsia"/>
                <w:lang w:eastAsia="en-GB"/>
              </w:rPr>
              <w:fldChar w:fldCharType="separate"/>
            </w:r>
            <w:r w:rsidR="00204114" w:rsidRPr="00204114">
              <w:rPr>
                <w:rFonts w:ascii="Times New Roman" w:eastAsiaTheme="minorEastAsia" w:hAnsi="Times New Roman" w:cs="Times New Roman"/>
                <w:noProof/>
                <w:sz w:val="20"/>
                <w:szCs w:val="20"/>
                <w:lang w:eastAsia="en-GB"/>
              </w:rPr>
              <w:t>[7]</w:t>
            </w:r>
            <w:r w:rsidRPr="00CC794A">
              <w:rPr>
                <w:rFonts w:eastAsiaTheme="minorEastAsia"/>
                <w:lang w:eastAsia="en-GB"/>
              </w:rPr>
              <w:fldChar w:fldCharType="end"/>
            </w:r>
          </w:p>
        </w:tc>
      </w:tr>
      <w:tr w:rsidR="00D00A44" w:rsidRPr="00CC794A" w14:paraId="218041CC" w14:textId="77777777" w:rsidTr="005156BD">
        <w:tc>
          <w:tcPr>
            <w:tcW w:w="3823" w:type="dxa"/>
          </w:tcPr>
          <w:p w14:paraId="24870EF4" w14:textId="064AAD23" w:rsidR="00D00A44" w:rsidRPr="00CC794A" w:rsidRDefault="00D00A44" w:rsidP="00C25053">
            <w:pPr>
              <w:pStyle w:val="Els-body-text"/>
              <w:ind w:right="-28"/>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P</w:t>
            </w:r>
            <w:r w:rsidRPr="00CC794A">
              <w:rPr>
                <w:rFonts w:ascii="Times New Roman" w:eastAsiaTheme="minorEastAsia" w:hAnsi="Times New Roman" w:cs="Times New Roman"/>
                <w:sz w:val="20"/>
                <w:szCs w:val="20"/>
                <w:lang w:eastAsia="en-GB"/>
              </w:rPr>
              <w:t>ressure drop</w:t>
            </w:r>
          </w:p>
        </w:tc>
        <w:tc>
          <w:tcPr>
            <w:tcW w:w="3253" w:type="dxa"/>
          </w:tcPr>
          <w:p w14:paraId="6C555A90" w14:textId="022F1070" w:rsidR="00D00A44" w:rsidRPr="00CC794A" w:rsidRDefault="00D00A44" w:rsidP="00C25053">
            <w:pPr>
              <w:pStyle w:val="Els-body-text"/>
              <w:ind w:right="-28"/>
              <w:jc w:val="center"/>
              <w:rPr>
                <w:rFonts w:ascii="Times New Roman" w:eastAsiaTheme="minorEastAsia" w:hAnsi="Times New Roman" w:cs="Times New Roman"/>
                <w:sz w:val="20"/>
                <w:szCs w:val="20"/>
                <w:lang w:eastAsia="en-GB"/>
              </w:rPr>
            </w:pPr>
            <w:r w:rsidRPr="00CC794A">
              <w:rPr>
                <w:rFonts w:ascii="Times New Roman" w:hAnsi="Times New Roman" w:cs="Times New Roman"/>
                <w:noProof/>
                <w:sz w:val="20"/>
                <w:szCs w:val="20"/>
                <w:lang w:eastAsia="en-GB"/>
              </w:rPr>
              <w:t xml:space="preserve">Llerena-Chavez and Larachi </w:t>
            </w:r>
            <w:r w:rsidRPr="00CC794A">
              <w:rPr>
                <w:noProof/>
                <w:lang w:eastAsia="en-GB"/>
              </w:rPr>
              <w:fldChar w:fldCharType="begin" w:fldLock="1"/>
            </w:r>
            <w:r w:rsidR="00204114">
              <w:rPr>
                <w:rFonts w:ascii="Times New Roman" w:hAnsi="Times New Roman" w:cs="Times New Roman"/>
                <w:noProof/>
                <w:sz w:val="20"/>
                <w:szCs w:val="20"/>
                <w:lang w:eastAsia="en-GB"/>
              </w:rPr>
              <w:instrText>ADDIN CSL_CITATION {"citationItems":[{"id":"ITEM-1","itemData":{"DOI":"https://doi.org/10.1016/j.ces.2009.01.019","ISSN":"0009-2509","abstract":"Three-dimensional unsteady-state turbulent rotating single-phase flows were simulated in rotating packed beds (RPB) and were validated using overall dry pressure drop measurements for three RPB designs [Liu, H.-S., Lin, C.-C., Wu, S.-C., Hsu, H.-W., 1996. Characteristics of a rotating packed bed. Industrial and Engineering Chemistry Research 35, 3590–3596; Sandilya, P., Rao, D.P., Sharma, A., Biswas, G., 2001b. Gas-phase mass transfer in a centrifugal contactor. Industrial and Engineering Chemistry Research 40, 384–392; Zheng, C., Guo, K., Feng, Y.D., Yung, C., 2000. Pressure drop of centripetal gas flow through rotating bed. Industrial and Engineering Chemistry Research 39, 829–834]. Analysis of the radial and tangential velocities highlighted the impact of gas feed entrance effects on the peripheral gas maldistribution in the rotating packing module. Recommendations were formulated for an optimum design with the aim to reduce gas flow maldistribution in RPBs. Breakdown of the overall pressure drop in its modular components for the housing, the rotating packing module, the free inner rotational zone, and the gas disengagement showed that the dissipation in the rotating packing could be a minor contributor to the overall pressure drop which may be undesirable in terms of RPB mass transfer and reaction efficiencies. Analysis of the simulated pressure drops allowed development of CFD-based Ergun-type semi-empirical relationships in which the gas-slip and radial acceleration effects, the laminar and inertial drag effects, and the centrifugal effect were aggregated additively to recompose the pressure drops in the rotating packing module.","author":[{"dropping-particle":"","family":"Llerena-Chavez","given":"Hugo","non-dropping-particle":"","parse-names":false,"suffix":""},{"dropping-particle":"","family":"Larachi","given":"Faïçal","non-dropping-particle":"","parse-names":false,"suffix":""}],"container-title":"Chemical Engineering Science","id":"ITEM-1","issue":"9","issued":{"date-parts":[["2009"]]},"page":"2113-2126","title":"Analysis of flow in rotating packed beds via CFD simulations—Dry pressure drop and gas flow maldistribution","type":"article-journal","volume":"64"},"uris":["http://www.mendeley.com/documents/?uuid=2b3f602f-dcc8-4a65-867a-4c5745938a67"]}],"mendeley":{"formattedCitation":"[8]","plainTextFormattedCitation":"[8]","previouslyFormattedCitation":"(Llerena-Chavez and Larachi, 2009)"},"properties":{"noteIndex":0},"schema":"https://github.com/citation-style-language/schema/raw/master/csl-citation.json"}</w:instrText>
            </w:r>
            <w:r w:rsidRPr="00CC794A">
              <w:rPr>
                <w:noProof/>
                <w:lang w:eastAsia="en-GB"/>
              </w:rPr>
              <w:fldChar w:fldCharType="separate"/>
            </w:r>
            <w:r w:rsidR="00204114" w:rsidRPr="00204114">
              <w:rPr>
                <w:rFonts w:ascii="Times New Roman" w:hAnsi="Times New Roman" w:cs="Times New Roman"/>
                <w:noProof/>
                <w:sz w:val="20"/>
                <w:szCs w:val="20"/>
                <w:lang w:eastAsia="en-GB"/>
              </w:rPr>
              <w:t>[8]</w:t>
            </w:r>
            <w:r w:rsidRPr="00CC794A">
              <w:rPr>
                <w:noProof/>
                <w:lang w:eastAsia="en-GB"/>
              </w:rPr>
              <w:fldChar w:fldCharType="end"/>
            </w:r>
          </w:p>
        </w:tc>
      </w:tr>
      <w:tr w:rsidR="00D00A44" w:rsidRPr="00CC794A" w14:paraId="33C9FF68" w14:textId="77777777" w:rsidTr="005156BD">
        <w:tc>
          <w:tcPr>
            <w:tcW w:w="3823" w:type="dxa"/>
            <w:tcBorders>
              <w:bottom w:val="single" w:sz="4" w:space="0" w:color="auto"/>
            </w:tcBorders>
          </w:tcPr>
          <w:p w14:paraId="5068EFC6" w14:textId="77777777" w:rsidR="00D00A44" w:rsidRPr="00CC794A" w:rsidRDefault="00D00A44" w:rsidP="00C25053">
            <w:pPr>
              <w:pStyle w:val="Els-body-text"/>
              <w:ind w:right="-28"/>
              <w:jc w:val="center"/>
              <w:rPr>
                <w:rFonts w:ascii="Times New Roman" w:eastAsiaTheme="minorEastAsia" w:hAnsi="Times New Roman" w:cs="Times New Roman"/>
                <w:sz w:val="20"/>
                <w:szCs w:val="20"/>
                <w:lang w:eastAsia="en-GB"/>
              </w:rPr>
            </w:pPr>
            <w:r w:rsidRPr="00CC794A">
              <w:rPr>
                <w:rFonts w:ascii="Times New Roman" w:eastAsiaTheme="minorEastAsia" w:hAnsi="Times New Roman" w:cs="Times New Roman"/>
                <w:sz w:val="20"/>
                <w:szCs w:val="20"/>
                <w:lang w:eastAsia="en-GB"/>
              </w:rPr>
              <w:t>Heat transfer coefficient</w:t>
            </w:r>
          </w:p>
        </w:tc>
        <w:tc>
          <w:tcPr>
            <w:tcW w:w="3253" w:type="dxa"/>
            <w:tcBorders>
              <w:bottom w:val="single" w:sz="4" w:space="0" w:color="auto"/>
            </w:tcBorders>
          </w:tcPr>
          <w:p w14:paraId="64C34F67" w14:textId="4E5BC6DA" w:rsidR="00D00A44" w:rsidRPr="00CC794A" w:rsidRDefault="00D00A44" w:rsidP="00C25053">
            <w:pPr>
              <w:pStyle w:val="Els-body-text"/>
              <w:ind w:right="-28"/>
              <w:jc w:val="center"/>
              <w:rPr>
                <w:rFonts w:ascii="Times New Roman" w:eastAsiaTheme="minorEastAsia" w:hAnsi="Times New Roman" w:cs="Times New Roman"/>
                <w:sz w:val="20"/>
                <w:szCs w:val="20"/>
                <w:lang w:eastAsia="en-GB"/>
              </w:rPr>
            </w:pPr>
            <w:r w:rsidRPr="00CC794A">
              <w:rPr>
                <w:rFonts w:ascii="Times New Roman" w:eastAsiaTheme="minorEastAsia" w:hAnsi="Times New Roman" w:cs="Times New Roman"/>
                <w:sz w:val="20"/>
                <w:szCs w:val="20"/>
                <w:lang w:eastAsia="en-GB"/>
              </w:rPr>
              <w:t xml:space="preserve">Chilton and Colburn </w:t>
            </w:r>
            <w:r w:rsidRPr="00CC794A">
              <w:rPr>
                <w:rFonts w:eastAsiaTheme="minorEastAsia"/>
                <w:lang w:eastAsia="en-GB"/>
              </w:rPr>
              <w:fldChar w:fldCharType="begin" w:fldLock="1"/>
            </w:r>
            <w:r w:rsidR="00204114">
              <w:rPr>
                <w:rFonts w:ascii="Times New Roman" w:eastAsiaTheme="minorEastAsia" w:hAnsi="Times New Roman" w:cs="Times New Roman"/>
                <w:sz w:val="20"/>
                <w:szCs w:val="20"/>
                <w:lang w:eastAsia="en-GB"/>
              </w:rPr>
              <w:instrText>ADDIN CSL_CITATION {"citationItems":[{"id":"ITEM-1","itemData":{"DOI":"10.1021/ie50299a012","ISBN":"0019-7866","ISSN":"00197866","abstract":"... partial pressure of one of the diffusing compo- nents or in terms of a mass  transfer  coefficient , K, in ... that the j factors from these same curves could be used to predict  mass  transfer  coefficients by employ ... TABLE I. HEAT AND MASS  TRANSFER FACTORS FOR VAPORIZATION OF ... \n","author":[{"dropping-particle":"","family":"Chilton","given":"T. H.","non-dropping-particle":"","parse-names":false,"suffix":""},{"dropping-particle":"","family":"Colburn","given":"A. P.","non-dropping-particle":"","parse-names":false,"suffix":""}],"container-title":"Industrial and Engineering Chemistry","id":"ITEM-1","issue":"11","issued":{"date-parts":[["1934"]]},"page":"1183-1187","title":"Mass Transfer (Absorption) Coefficients: Prediction from Data on Heat Transfer and Fluid Friction","type":"article-journal","volume":"26"},"uris":["http://www.mendeley.com/documents/?uuid=8985a306-3607-4004-9f4e-52a00f899dc9"]}],"mendeley":{"formattedCitation":"[9]","plainTextFormattedCitation":"[9]","previouslyFormattedCitation":"(Chilton and Colburn, 1934)"},"properties":{"noteIndex":0},"schema":"https://github.com/citation-style-language/schema/raw/master/csl-citation.json"}</w:instrText>
            </w:r>
            <w:r w:rsidRPr="00CC794A">
              <w:rPr>
                <w:rFonts w:eastAsiaTheme="minorEastAsia"/>
                <w:lang w:eastAsia="en-GB"/>
              </w:rPr>
              <w:fldChar w:fldCharType="separate"/>
            </w:r>
            <w:r w:rsidR="00204114" w:rsidRPr="00204114">
              <w:rPr>
                <w:rFonts w:ascii="Times New Roman" w:eastAsiaTheme="minorEastAsia" w:hAnsi="Times New Roman" w:cs="Times New Roman"/>
                <w:noProof/>
                <w:sz w:val="20"/>
                <w:szCs w:val="20"/>
                <w:lang w:eastAsia="en-GB"/>
              </w:rPr>
              <w:t>[9]</w:t>
            </w:r>
            <w:r w:rsidRPr="00CC794A">
              <w:rPr>
                <w:rFonts w:eastAsiaTheme="minorEastAsia"/>
                <w:lang w:eastAsia="en-GB"/>
              </w:rPr>
              <w:fldChar w:fldCharType="end"/>
            </w:r>
          </w:p>
        </w:tc>
      </w:tr>
    </w:tbl>
    <w:p w14:paraId="144DE6A1" w14:textId="1BB8E19B" w:rsidR="008D2649" w:rsidRDefault="007D1D0B" w:rsidP="00C25053">
      <w:pPr>
        <w:pStyle w:val="Els-1storder-head"/>
      </w:pPr>
      <w:r>
        <w:t xml:space="preserve">Results and discussions </w:t>
      </w:r>
    </w:p>
    <w:p w14:paraId="1EB3C72F" w14:textId="2B29A181" w:rsidR="000A6B77" w:rsidRPr="000A6B77" w:rsidRDefault="000A6B77" w:rsidP="000A6B77">
      <w:pPr>
        <w:pStyle w:val="Els-2ndorder-head"/>
      </w:pPr>
      <w:r>
        <w:t>Model validation and scale-up</w:t>
      </w:r>
    </w:p>
    <w:p w14:paraId="5FC9F6A4" w14:textId="51A0E981" w:rsidR="00104A8F" w:rsidRDefault="000A6B77" w:rsidP="00104A8F">
      <w:pPr>
        <w:spacing w:line="276" w:lineRule="auto"/>
        <w:jc w:val="both"/>
      </w:pPr>
      <w:r w:rsidRPr="00CC794A">
        <w:t xml:space="preserve">The RPB absorber model was validated with pilot scale data from Jassim et al. </w:t>
      </w:r>
      <w:r w:rsidRPr="00CC794A">
        <w:fldChar w:fldCharType="begin" w:fldLock="1"/>
      </w:r>
      <w:r w:rsidR="00204114">
        <w:instrText>ADDIN CSL_CITATION {"citationItems":[{"id":"ITEM-1","itemData":{"DOI":"10.1021/ie051104r","ISBN":"0888-5885","ISSN":"08885885","abstract":"The absorption and desorption of carbon dioxide in aqueous monoethanolamine (MEA) was measured in a rotating packed bed of size 398 mm outside diameter, 156 mm inside diameter, and axial depth 25 mm. The effect of lean amine temperature (20 and 40 °C), peripheral rotor gravity (31 and 87 g), and various MEA concentrations were investigated. Using MEA concentrations above 30 wt % achieved lower CO2 penetration levels. This is particularly pronounced for the 100% MEA solution. Comparison with conventional columns showed the advantages of using rotating packed beds in terms of saving size and space and efficient operation.","author":[{"dropping-particle":"","family":"Jassim","given":"Majeed S.","non-dropping-particle":"","parse-names":false,"suffix":""},{"dropping-particle":"","family":"Rochelle","given":"Gary","non-dropping-particle":"","parse-names":false,"suffix":""},{"dropping-particle":"","family":"Eimer","given":"Dag","non-dropping-particle":"","parse-names":false,"suffix":""},{"dropping-particle":"","family":"Ramshaw","given":"Colin","non-dropping-particle":"","parse-names":false,"suffix":""}],"container-title":"Industrial and Engineering Chemistry Research","id":"ITEM-1","issue":"9","issued":{"date-parts":[["2007"]]},"page":"2823-2833","title":"Carbon dioxide absorption and desorption in aqueous monoethanolamine solutions in a rotating packed bed","type":"article-journal","volume":"46"},"uris":["http://www.mendeley.com/documents/?uuid=235ff7a0-5bae-4b78-ad10-d9b291ecf067"]}],"mendeley":{"formattedCitation":"[10]","plainTextFormattedCitation":"[10]","previouslyFormattedCitation":"(Jassim et al., 2007)"},"properties":{"noteIndex":0},"schema":"https://github.com/citation-style-language/schema/raw/master/csl-citation.json"}</w:instrText>
      </w:r>
      <w:r w:rsidRPr="00CC794A">
        <w:fldChar w:fldCharType="separate"/>
      </w:r>
      <w:r w:rsidR="00204114" w:rsidRPr="00204114">
        <w:rPr>
          <w:noProof/>
        </w:rPr>
        <w:t>[10]</w:t>
      </w:r>
      <w:r w:rsidRPr="00CC794A">
        <w:fldChar w:fldCharType="end"/>
      </w:r>
      <w:r w:rsidRPr="00CC794A">
        <w:t xml:space="preserve">. Case 1 with 4 experimental </w:t>
      </w:r>
      <w:r>
        <w:t>r</w:t>
      </w:r>
      <w:r w:rsidRPr="00CC794A">
        <w:t>uns was chosen for model validation. The RPB has an inner diameter of 0.156</w:t>
      </w:r>
      <w:r>
        <w:t xml:space="preserve"> </w:t>
      </w:r>
      <w:r w:rsidRPr="00CC794A">
        <w:t>m, outer diameter of 0.398 m, and axial height of 0.025 m. It is packed with stainless steel small mesh packing. As shown in Figure 1, the RPB absorber model accurately predicted the CO</w:t>
      </w:r>
      <w:r w:rsidRPr="00CC794A">
        <w:rPr>
          <w:vertAlign w:val="subscript"/>
        </w:rPr>
        <w:t>2</w:t>
      </w:r>
      <w:r w:rsidRPr="00CC794A">
        <w:t xml:space="preserve"> capture level </w:t>
      </w:r>
      <w:r w:rsidR="00104A8F" w:rsidRPr="00CC794A">
        <w:t xml:space="preserve">compared to the experimental data in Jassim et al </w:t>
      </w:r>
      <w:r w:rsidR="00104A8F" w:rsidRPr="00CC794A">
        <w:fldChar w:fldCharType="begin" w:fldLock="1"/>
      </w:r>
      <w:r w:rsidR="00204114">
        <w:instrText>ADDIN CSL_CITATION {"citationItems":[{"id":"ITEM-1","itemData":{"DOI":"10.1021/ie051104r","ISBN":"0888-5885","ISSN":"08885885","abstract":"The absorption and desorption of carbon dioxide in aqueous monoethanolamine (MEA) was measured in a rotating packed bed of size 398 mm outside diameter, 156 mm inside diameter, and axial depth 25 mm. The effect of lean amine temperature (20 and 40 °C), peripheral rotor gravity (31 and 87 g), and various MEA concentrations were investigated. Using MEA concentrations above 30 wt % achieved lower CO2 penetration levels. This is particularly pronounced for the 100% MEA solution. Comparison with conventional columns showed the advantages of using rotating packed beds in terms of saving size and space and efficient operation.","author":[{"dropping-particle":"","family":"Jassim","given":"Majeed S.","non-dropping-particle":"","parse-names":false,"suffix":""},{"dropping-particle":"","family":"Rochelle","given":"Gary","non-dropping-particle":"","parse-names":false,"suffix":""},{"dropping-particle":"","family":"Eimer","given":"Dag","non-dropping-particle":"","parse-names":false,"suffix":""},{"dropping-particle":"","family":"Ramshaw","given":"Colin","non-dropping-particle":"","parse-names":false,"suffix":""}],"container-title":"Industrial and Engineering Chemistry Research","id":"ITEM-1","issue":"9","issued":{"date-parts":[["2007"]]},"page":"2823-2833","title":"Carbon dioxide absorption and desorption in aqueous monoethanolamine solutions in a rotating packed bed","type":"article-journal","volume":"46"},"uris":["http://www.mendeley.com/documents/?uuid=235ff7a0-5bae-4b78-ad10-d9b291ecf067"]}],"mendeley":{"formattedCitation":"[10]","plainTextFormattedCitation":"[10]","previouslyFormattedCitation":"(Jassim et al., 2007)"},"properties":{"noteIndex":0},"schema":"https://github.com/citation-style-language/schema/raw/master/csl-citation.json"}</w:instrText>
      </w:r>
      <w:r w:rsidR="00104A8F" w:rsidRPr="00CC794A">
        <w:fldChar w:fldCharType="separate"/>
      </w:r>
      <w:r w:rsidR="00204114" w:rsidRPr="00204114">
        <w:rPr>
          <w:noProof/>
        </w:rPr>
        <w:t>[10]</w:t>
      </w:r>
      <w:r w:rsidR="00104A8F" w:rsidRPr="00CC794A">
        <w:fldChar w:fldCharType="end"/>
      </w:r>
      <w:r w:rsidR="00104A8F" w:rsidRPr="00CC794A">
        <w:t xml:space="preserve">. </w:t>
      </w:r>
    </w:p>
    <w:p w14:paraId="4C9C3153" w14:textId="7E4EF7C1" w:rsidR="00104A8F" w:rsidRDefault="00104A8F" w:rsidP="00104A8F">
      <w:pPr>
        <w:spacing w:line="276" w:lineRule="auto"/>
        <w:jc w:val="center"/>
      </w:pPr>
      <w:r w:rsidRPr="00CC794A">
        <w:rPr>
          <w:noProof/>
          <w:lang w:eastAsia="en-GB"/>
        </w:rPr>
        <w:drawing>
          <wp:inline distT="0" distB="0" distL="0" distR="0" wp14:anchorId="3952D433" wp14:editId="471F9052">
            <wp:extent cx="3800475" cy="187642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9E8D62" w14:textId="7430631A" w:rsidR="00514107" w:rsidRDefault="00104A8F" w:rsidP="00143C63">
      <w:pPr>
        <w:spacing w:line="276" w:lineRule="auto"/>
        <w:jc w:val="center"/>
      </w:pPr>
      <w:r w:rsidRPr="00CC794A">
        <w:t>Figure 1: Model predictions vs. experimental data for capture level</w:t>
      </w:r>
    </w:p>
    <w:p w14:paraId="6207EC02" w14:textId="0BC03CC5" w:rsidR="00104A8F" w:rsidRPr="00CC794A" w:rsidRDefault="00104A8F" w:rsidP="00514107">
      <w:pPr>
        <w:spacing w:line="276" w:lineRule="auto"/>
        <w:jc w:val="both"/>
      </w:pPr>
      <w:r w:rsidRPr="00CC794A">
        <w:t xml:space="preserve">Upon validation, the RPB absorber was scaled up using the procedure described by Otitoju et al. </w:t>
      </w:r>
      <w:r w:rsidRPr="00CC794A">
        <w:fldChar w:fldCharType="begin" w:fldLock="1"/>
      </w:r>
      <w:r w:rsidR="00204114">
        <w:instrText>ADDIN CSL_CITATION {"citationItems":[{"id":"ITEM-1","itemData":{"DOI":"10.1016/j.apenergy.2023.120747","ISSN":"0306-2619","author":[{"dropping-particle":"","family":"Otitoju","given":"Olajide","non-dropping-particle":"","parse-names":false,"suffix":""},{"dropping-particle":"","family":"Oko","given":"Eni","non-dropping-particle":"","parse-names":false,"suffix":""},{"dropping-particle":"","family":"Wang","given":"Meihong","non-dropping-particle":"","parse-names":false,"suffix":""}],"container-title":"Applied Energy","id":"ITEM-1","issue":"January","issued":{"date-parts":[["2023"]]},"page":"120747","publisher":"Elsevier Ltd","title":"Modelling , scale-up and techno-economic assessment of rotating packed bed absorber for CO 2 capture from a 250 MW e combined cycle gas turbine power plant","type":"article-journal","volume":"335"},"uris":["http://www.mendeley.com/documents/?uuid=043f4d3e-02e4-4ea8-9924-271203e35685"]}],"mendeley":{"formattedCitation":"[2]","plainTextFormattedCitation":"[2]","previouslyFormattedCitation":"(Otitoju et al., 2023)"},"properties":{"noteIndex":0},"schema":"https://github.com/citation-style-language/schema/raw/master/csl-citation.json"}</w:instrText>
      </w:r>
      <w:r w:rsidRPr="00CC794A">
        <w:fldChar w:fldCharType="separate"/>
      </w:r>
      <w:r w:rsidR="00204114" w:rsidRPr="00204114">
        <w:rPr>
          <w:noProof/>
        </w:rPr>
        <w:t>[2]</w:t>
      </w:r>
      <w:r w:rsidRPr="00CC794A">
        <w:fldChar w:fldCharType="end"/>
      </w:r>
      <w:r w:rsidRPr="00CC794A">
        <w:t>. The scale-up involves determining the basic dimensions (inner packing radius, outer packing radius and axial height) of the RPB required to capture CO</w:t>
      </w:r>
      <w:r w:rsidRPr="00CC794A">
        <w:rPr>
          <w:vertAlign w:val="subscript"/>
        </w:rPr>
        <w:t>2</w:t>
      </w:r>
      <w:r w:rsidRPr="00CC794A">
        <w:t xml:space="preserve"> from the flue gas of a 250 MW CCGT power plant. </w:t>
      </w:r>
    </w:p>
    <w:p w14:paraId="755D222E" w14:textId="56E54AEB" w:rsidR="000A6B77" w:rsidRDefault="00154CEC" w:rsidP="00154CEC">
      <w:pPr>
        <w:pStyle w:val="Els-2ndorder-head"/>
      </w:pPr>
      <w:r>
        <w:t>Whole large-scale PCC process simulation</w:t>
      </w:r>
    </w:p>
    <w:p w14:paraId="196478AC" w14:textId="20F08503" w:rsidR="009E4346" w:rsidRDefault="009E4346" w:rsidP="00001A14">
      <w:pPr>
        <w:spacing w:line="276" w:lineRule="auto"/>
        <w:jc w:val="both"/>
      </w:pPr>
      <w:r w:rsidRPr="00CC794A">
        <w:rPr>
          <w:rFonts w:hint="eastAsia"/>
        </w:rPr>
        <w:t xml:space="preserve">The large-scale RPB absorber model developed in ACM is packaged and exported as </w:t>
      </w:r>
      <w:r w:rsidRPr="00CC794A">
        <w:t xml:space="preserve">a </w:t>
      </w:r>
      <w:r w:rsidRPr="00CC794A">
        <w:rPr>
          <w:rFonts w:hint="eastAsia"/>
          <w:bCs/>
          <w:iCs/>
        </w:rPr>
        <w:t>custom model</w:t>
      </w:r>
      <w:r w:rsidRPr="00CC794A">
        <w:rPr>
          <w:rFonts w:hint="eastAsia"/>
          <w:b/>
          <w:bCs/>
          <w:i/>
          <w:iCs/>
        </w:rPr>
        <w:t xml:space="preserve"> </w:t>
      </w:r>
      <w:r w:rsidRPr="00CC794A">
        <w:rPr>
          <w:rFonts w:hint="eastAsia"/>
        </w:rPr>
        <w:t>to Aspen Plus</w:t>
      </w:r>
      <w:r w:rsidRPr="00CC794A">
        <w:rPr>
          <w:rFonts w:hint="eastAsia"/>
          <w:vertAlign w:val="superscript"/>
        </w:rPr>
        <w:t>®</w:t>
      </w:r>
      <w:r w:rsidRPr="00CC794A">
        <w:t xml:space="preserve">. </w:t>
      </w:r>
      <w:r w:rsidRPr="00CC794A">
        <w:rPr>
          <w:rFonts w:hint="eastAsia"/>
        </w:rPr>
        <w:t>The RPB absorber model is integrated with the PB stripper</w:t>
      </w:r>
      <w:r w:rsidRPr="00CC794A">
        <w:t xml:space="preserve"> model</w:t>
      </w:r>
      <w:r w:rsidRPr="00CC794A">
        <w:rPr>
          <w:rFonts w:hint="eastAsia"/>
        </w:rPr>
        <w:t xml:space="preserve"> to </w:t>
      </w:r>
      <w:r w:rsidRPr="00CC794A">
        <w:t>develop the model of the whole</w:t>
      </w:r>
      <w:r w:rsidRPr="00CC794A">
        <w:rPr>
          <w:rFonts w:hint="eastAsia"/>
        </w:rPr>
        <w:t xml:space="preserve"> process</w:t>
      </w:r>
      <w:r w:rsidRPr="00CC794A">
        <w:t>. For a detailed description of the stripper model, validation and scale-up, the reader is referred to Otitoju et al.</w:t>
      </w:r>
      <w:r w:rsidRPr="00CC794A">
        <w:fldChar w:fldCharType="begin" w:fldLock="1"/>
      </w:r>
      <w:r w:rsidR="00204114">
        <w:instrText>ADDIN CSL_CITATION {"citationItems":[{"id":"ITEM-1","itemData":{"DOI":"10.1016/J.IJGGC.2019.102900","ISSN":"1750-5836","abstract":"Solvent-based post-combustion carbon capture (PCC) with packed column is the most commercially ready CO2 capture technology. To study commercial-scale PCC processes, validated pilot scale models are often scaled up to commercial-scale using the generalized pressure drop correlation (GPDC) chart which requires assuming the column pressure drop. The GPDC method may lead to either over-estimation or under-estimation of the column diameter. In this paper, a new method for estimating the packed column diameter without assuming the pressure drop has been proposed and used for model scale-up. The method was validated by scaling between two existing pilot plant sizes. The CO2 capture process was simulated in Aspen Plus® and validated at pilot scale. The validated model was scaled up to commercial CO2 capture plant capable of serving a 250 MWe combined cycle gas turbine power plant using the new method proposed in this study. The results obtained from the scale-up study were compared to those obtained when the GPDC method was used to design the same commercial CO2 capture plant. The results showed that the GPDC method overestimated the absorber and stripper diameter by 1.6 % and 8.5 % respectively. Process simulation results for the commercial-scale plant showed about 2.12 % and 5.63 % lower solvent flow rate and reboiler duty with the proposed method. Therefore, the capital and operating costs for the process using the newly proposed scale-up method could be lower based on our estimates of the column dimensions, solvent flow rate and specific reboiler duty.","author":[{"dropping-particle":"","family":"Otitoju","given":"Olajide","non-dropping-particle":"","parse-names":false,"suffix":""},{"dropping-particle":"","family":"Oko","given":"Eni","non-dropping-particle":"","parse-names":false,"suffix":""},{"dropping-particle":"","family":"Wang","given":"Meihong","non-dropping-particle":"","parse-names":false,"suffix":""}],"container-title":"International Journal of Greenhouse Gas Control","id":"ITEM-1","issued":{"date-parts":[["2020","2","1"]]},"page":"102900","publisher":"Elsevier","title":"A new method for scale-up of solvent-based post-combustion carbon capture process with packed columns","type":"article-journal","volume":"93"},"uris":["http://www.mendeley.com/documents/?uuid=508b8d5e-e372-3abe-ae6e-133d9ecb1ffc"]}],"mendeley":{"formattedCitation":"[11]","plainTextFormattedCitation":"[11]","previouslyFormattedCitation":"(Otitoju et al., 2020)"},"properties":{"noteIndex":0},"schema":"https://github.com/citation-style-language/schema/raw/master/csl-citation.json"}</w:instrText>
      </w:r>
      <w:r w:rsidRPr="00CC794A">
        <w:fldChar w:fldCharType="separate"/>
      </w:r>
      <w:r w:rsidR="00204114" w:rsidRPr="00204114">
        <w:rPr>
          <w:noProof/>
        </w:rPr>
        <w:t>[11]</w:t>
      </w:r>
      <w:r w:rsidRPr="00CC794A">
        <w:fldChar w:fldCharType="end"/>
      </w:r>
      <w:r w:rsidRPr="00CC794A">
        <w:t xml:space="preserve">. </w:t>
      </w:r>
    </w:p>
    <w:p w14:paraId="462B9B28" w14:textId="11EC29EC" w:rsidR="00204114" w:rsidRDefault="00204114" w:rsidP="00001A14">
      <w:pPr>
        <w:spacing w:line="276" w:lineRule="auto"/>
        <w:jc w:val="both"/>
      </w:pPr>
    </w:p>
    <w:p w14:paraId="2C10F4CA" w14:textId="218BA9C0" w:rsidR="00204114" w:rsidRDefault="00204114" w:rsidP="00001A14">
      <w:pPr>
        <w:spacing w:line="276" w:lineRule="auto"/>
        <w:jc w:val="both"/>
      </w:pPr>
    </w:p>
    <w:p w14:paraId="05FBDF5B" w14:textId="2AB446CE" w:rsidR="00204114" w:rsidRDefault="00204114" w:rsidP="00001A14">
      <w:pPr>
        <w:spacing w:line="276" w:lineRule="auto"/>
        <w:jc w:val="both"/>
      </w:pPr>
    </w:p>
    <w:p w14:paraId="610D0EC5" w14:textId="4CFC95C6" w:rsidR="00204114" w:rsidRDefault="00204114" w:rsidP="00001A14">
      <w:pPr>
        <w:spacing w:line="276" w:lineRule="auto"/>
        <w:jc w:val="both"/>
      </w:pPr>
    </w:p>
    <w:p w14:paraId="110AB096" w14:textId="77777777" w:rsidR="00204114" w:rsidRDefault="00204114" w:rsidP="00001A14">
      <w:pPr>
        <w:spacing w:line="276" w:lineRule="auto"/>
        <w:jc w:val="both"/>
      </w:pPr>
    </w:p>
    <w:p w14:paraId="722F747C" w14:textId="77777777" w:rsidR="00602297" w:rsidRPr="00CC794A" w:rsidRDefault="00602297" w:rsidP="00001A14">
      <w:pPr>
        <w:spacing w:line="276" w:lineRule="auto"/>
        <w:jc w:val="both"/>
      </w:pPr>
    </w:p>
    <w:p w14:paraId="3E761BC7" w14:textId="77777777" w:rsidR="009E4346" w:rsidRPr="00CC794A" w:rsidRDefault="009E4346" w:rsidP="00001A14">
      <w:pPr>
        <w:spacing w:line="276" w:lineRule="auto"/>
      </w:pPr>
      <w:r w:rsidRPr="00CC794A">
        <w:rPr>
          <w:rFonts w:hint="eastAsia"/>
        </w:rPr>
        <w:lastRenderedPageBreak/>
        <w:t xml:space="preserve">Table </w:t>
      </w:r>
      <w:r w:rsidRPr="00CC794A">
        <w:t>2</w:t>
      </w:r>
      <w:r w:rsidRPr="00CC794A">
        <w:rPr>
          <w:rFonts w:hint="eastAsia"/>
        </w:rPr>
        <w:t xml:space="preserve">: Summary of design specifications and operating conditions  </w:t>
      </w:r>
    </w:p>
    <w:tbl>
      <w:tblPr>
        <w:tblStyle w:val="Grigliatabella"/>
        <w:tblW w:w="6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3423"/>
        <w:gridCol w:w="1534"/>
        <w:gridCol w:w="1842"/>
      </w:tblGrid>
      <w:tr w:rsidR="009E4346" w:rsidRPr="00CC794A" w14:paraId="4E0127DF" w14:textId="77777777" w:rsidTr="00AB59FA">
        <w:trPr>
          <w:trHeight w:val="212"/>
        </w:trPr>
        <w:tc>
          <w:tcPr>
            <w:tcW w:w="3423" w:type="dxa"/>
            <w:tcBorders>
              <w:top w:val="single" w:sz="4" w:space="0" w:color="auto"/>
              <w:bottom w:val="single" w:sz="4" w:space="0" w:color="auto"/>
            </w:tcBorders>
            <w:hideMark/>
          </w:tcPr>
          <w:p w14:paraId="54146B19" w14:textId="77777777" w:rsidR="009E4346" w:rsidRPr="00116C7A" w:rsidRDefault="009E4346" w:rsidP="00AB59FA">
            <w:pPr>
              <w:jc w:val="both"/>
              <w:rPr>
                <w:rFonts w:ascii="Times New Roman" w:hAnsi="Times New Roman" w:cs="Times New Roman"/>
                <w:sz w:val="20"/>
                <w:szCs w:val="20"/>
              </w:rPr>
            </w:pPr>
            <w:r w:rsidRPr="00116C7A">
              <w:rPr>
                <w:rFonts w:ascii="Times New Roman" w:eastAsia="Times New Roman" w:hAnsi="Times New Roman" w:cs="Times New Roman"/>
                <w:bCs/>
                <w:sz w:val="20"/>
                <w:szCs w:val="20"/>
              </w:rPr>
              <w:t>Operating conditions</w:t>
            </w:r>
          </w:p>
        </w:tc>
        <w:tc>
          <w:tcPr>
            <w:tcW w:w="1534" w:type="dxa"/>
            <w:tcBorders>
              <w:top w:val="single" w:sz="4" w:space="0" w:color="auto"/>
              <w:bottom w:val="single" w:sz="4" w:space="0" w:color="auto"/>
            </w:tcBorders>
            <w:hideMark/>
          </w:tcPr>
          <w:p w14:paraId="2E5D74B3" w14:textId="77777777" w:rsidR="009E4346" w:rsidRPr="00116C7A" w:rsidRDefault="009E4346" w:rsidP="00AB59FA">
            <w:pPr>
              <w:jc w:val="both"/>
              <w:rPr>
                <w:rFonts w:ascii="Times New Roman" w:hAnsi="Times New Roman" w:cs="Times New Roman"/>
                <w:sz w:val="20"/>
                <w:szCs w:val="20"/>
              </w:rPr>
            </w:pPr>
            <w:r w:rsidRPr="00116C7A">
              <w:rPr>
                <w:rFonts w:ascii="Times New Roman" w:eastAsia="Times New Roman" w:hAnsi="Times New Roman" w:cs="Times New Roman"/>
                <w:bCs/>
                <w:sz w:val="20"/>
                <w:szCs w:val="20"/>
              </w:rPr>
              <w:t>Absorber</w:t>
            </w:r>
          </w:p>
        </w:tc>
        <w:tc>
          <w:tcPr>
            <w:tcW w:w="1842" w:type="dxa"/>
            <w:tcBorders>
              <w:top w:val="single" w:sz="4" w:space="0" w:color="auto"/>
              <w:bottom w:val="single" w:sz="4" w:space="0" w:color="auto"/>
            </w:tcBorders>
            <w:hideMark/>
          </w:tcPr>
          <w:p w14:paraId="5252CFF7" w14:textId="77777777" w:rsidR="009E4346" w:rsidRPr="00116C7A" w:rsidRDefault="009E4346" w:rsidP="00AB59FA">
            <w:pPr>
              <w:jc w:val="both"/>
              <w:rPr>
                <w:rFonts w:ascii="Times New Roman" w:hAnsi="Times New Roman" w:cs="Times New Roman"/>
                <w:sz w:val="20"/>
                <w:szCs w:val="20"/>
              </w:rPr>
            </w:pPr>
            <w:r w:rsidRPr="00116C7A">
              <w:rPr>
                <w:rFonts w:ascii="Times New Roman" w:eastAsia="Times New Roman" w:hAnsi="Times New Roman" w:cs="Times New Roman"/>
                <w:bCs/>
                <w:sz w:val="20"/>
                <w:szCs w:val="20"/>
              </w:rPr>
              <w:t xml:space="preserve">Stripper </w:t>
            </w:r>
          </w:p>
        </w:tc>
      </w:tr>
      <w:tr w:rsidR="009E4346" w:rsidRPr="00CC794A" w14:paraId="558337A6" w14:textId="77777777" w:rsidTr="00AB59FA">
        <w:trPr>
          <w:trHeight w:val="258"/>
        </w:trPr>
        <w:tc>
          <w:tcPr>
            <w:tcW w:w="3423" w:type="dxa"/>
            <w:tcBorders>
              <w:top w:val="single" w:sz="4" w:space="0" w:color="auto"/>
            </w:tcBorders>
            <w:hideMark/>
          </w:tcPr>
          <w:p w14:paraId="1D637A7E" w14:textId="77777777" w:rsidR="009E4346" w:rsidRPr="00CC794A" w:rsidRDefault="009E4346" w:rsidP="00AB59FA">
            <w:pPr>
              <w:jc w:val="both"/>
              <w:rPr>
                <w:rFonts w:ascii="Times New Roman" w:hAnsi="Times New Roman" w:cs="Times New Roman"/>
                <w:sz w:val="20"/>
                <w:szCs w:val="20"/>
              </w:rPr>
            </w:pPr>
            <w:r w:rsidRPr="00CC794A">
              <w:rPr>
                <w:rFonts w:ascii="Times New Roman" w:eastAsia="Times New Roman" w:hAnsi="Times New Roman" w:cs="Times New Roman"/>
                <w:sz w:val="20"/>
                <w:szCs w:val="20"/>
              </w:rPr>
              <w:t>Type</w:t>
            </w:r>
          </w:p>
        </w:tc>
        <w:tc>
          <w:tcPr>
            <w:tcW w:w="1534" w:type="dxa"/>
            <w:tcBorders>
              <w:top w:val="single" w:sz="4" w:space="0" w:color="auto"/>
              <w:right w:val="single" w:sz="4" w:space="0" w:color="auto"/>
            </w:tcBorders>
            <w:hideMark/>
          </w:tcPr>
          <w:p w14:paraId="0C5EFD82" w14:textId="77777777" w:rsidR="009E4346" w:rsidRPr="00CC794A" w:rsidRDefault="009E4346" w:rsidP="00AB59FA">
            <w:pPr>
              <w:jc w:val="both"/>
              <w:rPr>
                <w:rFonts w:ascii="Times New Roman" w:hAnsi="Times New Roman" w:cs="Times New Roman"/>
                <w:sz w:val="20"/>
                <w:szCs w:val="20"/>
              </w:rPr>
            </w:pPr>
            <w:r w:rsidRPr="00CC794A">
              <w:rPr>
                <w:rFonts w:ascii="Times New Roman" w:eastAsia="Times New Roman" w:hAnsi="Times New Roman" w:cs="Times New Roman"/>
                <w:sz w:val="20"/>
                <w:szCs w:val="20"/>
              </w:rPr>
              <w:t xml:space="preserve">RPB </w:t>
            </w:r>
          </w:p>
        </w:tc>
        <w:tc>
          <w:tcPr>
            <w:tcW w:w="1842" w:type="dxa"/>
            <w:tcBorders>
              <w:top w:val="single" w:sz="4" w:space="0" w:color="auto"/>
              <w:left w:val="single" w:sz="4" w:space="0" w:color="auto"/>
            </w:tcBorders>
            <w:hideMark/>
          </w:tcPr>
          <w:p w14:paraId="33300D83" w14:textId="77777777" w:rsidR="009E4346" w:rsidRPr="00CC794A" w:rsidRDefault="009E4346" w:rsidP="00AB59FA">
            <w:pPr>
              <w:jc w:val="both"/>
              <w:rPr>
                <w:rFonts w:ascii="Times New Roman" w:hAnsi="Times New Roman" w:cs="Times New Roman"/>
                <w:sz w:val="20"/>
                <w:szCs w:val="20"/>
              </w:rPr>
            </w:pPr>
            <w:r w:rsidRPr="00CC794A">
              <w:rPr>
                <w:rFonts w:ascii="Times New Roman" w:eastAsia="Times New Roman" w:hAnsi="Times New Roman" w:cs="Times New Roman"/>
                <w:sz w:val="20"/>
                <w:szCs w:val="20"/>
              </w:rPr>
              <w:t>PB</w:t>
            </w:r>
          </w:p>
        </w:tc>
      </w:tr>
      <w:tr w:rsidR="009E4346" w:rsidRPr="00CC794A" w14:paraId="6C4E8B5E" w14:textId="77777777" w:rsidTr="00AB59FA">
        <w:trPr>
          <w:trHeight w:val="276"/>
        </w:trPr>
        <w:tc>
          <w:tcPr>
            <w:tcW w:w="3423" w:type="dxa"/>
            <w:hideMark/>
          </w:tcPr>
          <w:p w14:paraId="25FACC13" w14:textId="77777777" w:rsidR="009E4346" w:rsidRPr="00CC794A" w:rsidRDefault="009E4346" w:rsidP="00AB59FA">
            <w:pPr>
              <w:jc w:val="both"/>
              <w:rPr>
                <w:rFonts w:ascii="Times New Roman" w:hAnsi="Times New Roman" w:cs="Times New Roman"/>
                <w:sz w:val="20"/>
                <w:szCs w:val="20"/>
              </w:rPr>
            </w:pPr>
            <w:r w:rsidRPr="00CC794A">
              <w:rPr>
                <w:rFonts w:ascii="Times New Roman" w:eastAsia="Times New Roman" w:hAnsi="Times New Roman" w:cs="Times New Roman"/>
                <w:sz w:val="20"/>
                <w:szCs w:val="20"/>
              </w:rPr>
              <w:t>Inner diameter (ID) (m)</w:t>
            </w:r>
          </w:p>
        </w:tc>
        <w:tc>
          <w:tcPr>
            <w:tcW w:w="1534" w:type="dxa"/>
            <w:tcBorders>
              <w:right w:val="single" w:sz="4" w:space="0" w:color="auto"/>
            </w:tcBorders>
            <w:hideMark/>
          </w:tcPr>
          <w:p w14:paraId="2173B68B" w14:textId="77777777" w:rsidR="009E4346" w:rsidRPr="00CC794A" w:rsidRDefault="009E4346" w:rsidP="00AB59FA">
            <w:pPr>
              <w:jc w:val="both"/>
              <w:rPr>
                <w:rFonts w:ascii="Times New Roman" w:hAnsi="Times New Roman" w:cs="Times New Roman"/>
                <w:sz w:val="20"/>
                <w:szCs w:val="20"/>
              </w:rPr>
            </w:pPr>
            <w:r w:rsidRPr="00CC794A">
              <w:rPr>
                <w:rFonts w:ascii="Times New Roman" w:eastAsia="Times New Roman" w:hAnsi="Times New Roman" w:cs="Times New Roman"/>
                <w:sz w:val="20"/>
                <w:szCs w:val="20"/>
              </w:rPr>
              <w:t>3</w:t>
            </w:r>
          </w:p>
        </w:tc>
        <w:tc>
          <w:tcPr>
            <w:tcW w:w="1842" w:type="dxa"/>
            <w:tcBorders>
              <w:left w:val="single" w:sz="4" w:space="0" w:color="auto"/>
            </w:tcBorders>
            <w:hideMark/>
          </w:tcPr>
          <w:p w14:paraId="6F2EAA77" w14:textId="77777777" w:rsidR="009E4346" w:rsidRPr="00CC794A" w:rsidRDefault="009E4346" w:rsidP="00AB59FA">
            <w:pPr>
              <w:jc w:val="both"/>
              <w:rPr>
                <w:rFonts w:ascii="Times New Roman" w:hAnsi="Times New Roman" w:cs="Times New Roman"/>
                <w:sz w:val="20"/>
                <w:szCs w:val="20"/>
              </w:rPr>
            </w:pPr>
            <w:r w:rsidRPr="00CC794A">
              <w:rPr>
                <w:rFonts w:ascii="Times New Roman" w:eastAsia="Times New Roman" w:hAnsi="Times New Roman" w:cs="Times New Roman"/>
                <w:sz w:val="20"/>
                <w:szCs w:val="20"/>
              </w:rPr>
              <w:t>-</w:t>
            </w:r>
          </w:p>
        </w:tc>
      </w:tr>
      <w:tr w:rsidR="009E4346" w:rsidRPr="00CC794A" w14:paraId="02833136" w14:textId="77777777" w:rsidTr="00AB59FA">
        <w:trPr>
          <w:trHeight w:val="253"/>
        </w:trPr>
        <w:tc>
          <w:tcPr>
            <w:tcW w:w="3423" w:type="dxa"/>
            <w:hideMark/>
          </w:tcPr>
          <w:p w14:paraId="1C4583F8" w14:textId="77777777" w:rsidR="009E4346" w:rsidRPr="00CC794A" w:rsidRDefault="009E4346" w:rsidP="00AB59FA">
            <w:pPr>
              <w:jc w:val="both"/>
              <w:rPr>
                <w:rFonts w:ascii="Times New Roman" w:hAnsi="Times New Roman" w:cs="Times New Roman"/>
                <w:sz w:val="20"/>
                <w:szCs w:val="20"/>
              </w:rPr>
            </w:pPr>
            <w:r w:rsidRPr="00CC794A">
              <w:rPr>
                <w:rFonts w:ascii="Times New Roman" w:eastAsia="Times New Roman" w:hAnsi="Times New Roman" w:cs="Times New Roman"/>
                <w:sz w:val="20"/>
                <w:szCs w:val="20"/>
              </w:rPr>
              <w:t>Outer diameter (OD) (m)</w:t>
            </w:r>
          </w:p>
        </w:tc>
        <w:tc>
          <w:tcPr>
            <w:tcW w:w="1534" w:type="dxa"/>
            <w:tcBorders>
              <w:right w:val="single" w:sz="4" w:space="0" w:color="auto"/>
            </w:tcBorders>
            <w:hideMark/>
          </w:tcPr>
          <w:p w14:paraId="31E48D72" w14:textId="77777777" w:rsidR="009E4346" w:rsidRPr="00CC794A" w:rsidRDefault="009E4346" w:rsidP="00AB59FA">
            <w:pPr>
              <w:jc w:val="both"/>
              <w:rPr>
                <w:rFonts w:ascii="Times New Roman" w:hAnsi="Times New Roman" w:cs="Times New Roman"/>
                <w:sz w:val="20"/>
                <w:szCs w:val="20"/>
              </w:rPr>
            </w:pPr>
            <w:r w:rsidRPr="00CC794A">
              <w:rPr>
                <w:rFonts w:ascii="Times New Roman" w:eastAsia="Times New Roman" w:hAnsi="Times New Roman" w:cs="Times New Roman"/>
                <w:sz w:val="20"/>
                <w:szCs w:val="20"/>
              </w:rPr>
              <w:t>9.72</w:t>
            </w:r>
          </w:p>
        </w:tc>
        <w:tc>
          <w:tcPr>
            <w:tcW w:w="1842" w:type="dxa"/>
            <w:tcBorders>
              <w:left w:val="single" w:sz="4" w:space="0" w:color="auto"/>
            </w:tcBorders>
            <w:hideMark/>
          </w:tcPr>
          <w:p w14:paraId="28132BC7" w14:textId="77777777" w:rsidR="009E4346" w:rsidRPr="00CC794A" w:rsidRDefault="009E4346" w:rsidP="00AB59FA">
            <w:pPr>
              <w:jc w:val="both"/>
              <w:rPr>
                <w:rFonts w:ascii="Times New Roman" w:hAnsi="Times New Roman" w:cs="Times New Roman"/>
                <w:sz w:val="20"/>
                <w:szCs w:val="20"/>
              </w:rPr>
            </w:pPr>
            <w:r w:rsidRPr="00CC794A">
              <w:rPr>
                <w:rFonts w:ascii="Times New Roman" w:eastAsia="Times New Roman" w:hAnsi="Times New Roman" w:cs="Times New Roman"/>
                <w:sz w:val="20"/>
                <w:szCs w:val="20"/>
              </w:rPr>
              <w:t>8.2</w:t>
            </w:r>
          </w:p>
        </w:tc>
      </w:tr>
      <w:tr w:rsidR="009E4346" w:rsidRPr="00CC794A" w14:paraId="340EB615" w14:textId="77777777" w:rsidTr="00AB59FA">
        <w:trPr>
          <w:trHeight w:val="250"/>
        </w:trPr>
        <w:tc>
          <w:tcPr>
            <w:tcW w:w="3423" w:type="dxa"/>
            <w:hideMark/>
          </w:tcPr>
          <w:p w14:paraId="7E0395C4" w14:textId="77777777" w:rsidR="009E4346" w:rsidRPr="00CC794A" w:rsidRDefault="009E4346" w:rsidP="00AB59FA">
            <w:pPr>
              <w:jc w:val="both"/>
              <w:rPr>
                <w:rFonts w:ascii="Times New Roman" w:hAnsi="Times New Roman" w:cs="Times New Roman"/>
                <w:sz w:val="20"/>
                <w:szCs w:val="20"/>
              </w:rPr>
            </w:pPr>
            <w:r w:rsidRPr="00CC794A">
              <w:rPr>
                <w:rFonts w:ascii="Times New Roman" w:eastAsia="Times New Roman" w:hAnsi="Times New Roman" w:cs="Times New Roman"/>
                <w:sz w:val="20"/>
                <w:szCs w:val="20"/>
              </w:rPr>
              <w:t>Height (m)</w:t>
            </w:r>
          </w:p>
        </w:tc>
        <w:tc>
          <w:tcPr>
            <w:tcW w:w="1534" w:type="dxa"/>
            <w:tcBorders>
              <w:right w:val="single" w:sz="4" w:space="0" w:color="auto"/>
            </w:tcBorders>
            <w:hideMark/>
          </w:tcPr>
          <w:p w14:paraId="6A958666" w14:textId="77777777" w:rsidR="009E4346" w:rsidRPr="00CC794A" w:rsidRDefault="009E4346" w:rsidP="00AB59FA">
            <w:pPr>
              <w:jc w:val="both"/>
              <w:rPr>
                <w:rFonts w:ascii="Times New Roman" w:hAnsi="Times New Roman" w:cs="Times New Roman"/>
                <w:sz w:val="20"/>
                <w:szCs w:val="20"/>
              </w:rPr>
            </w:pPr>
            <w:r w:rsidRPr="00CC794A">
              <w:rPr>
                <w:rFonts w:ascii="Times New Roman" w:eastAsia="Times New Roman" w:hAnsi="Times New Roman" w:cs="Times New Roman"/>
                <w:sz w:val="20"/>
                <w:szCs w:val="20"/>
              </w:rPr>
              <w:t>1.26</w:t>
            </w:r>
          </w:p>
        </w:tc>
        <w:tc>
          <w:tcPr>
            <w:tcW w:w="1842" w:type="dxa"/>
            <w:tcBorders>
              <w:left w:val="single" w:sz="4" w:space="0" w:color="auto"/>
            </w:tcBorders>
            <w:hideMark/>
          </w:tcPr>
          <w:p w14:paraId="0551F41D" w14:textId="77777777" w:rsidR="009E4346" w:rsidRPr="00CC794A" w:rsidRDefault="009E4346" w:rsidP="00AB59FA">
            <w:pPr>
              <w:jc w:val="both"/>
              <w:rPr>
                <w:rFonts w:ascii="Times New Roman" w:hAnsi="Times New Roman" w:cs="Times New Roman"/>
                <w:sz w:val="20"/>
                <w:szCs w:val="20"/>
              </w:rPr>
            </w:pPr>
            <w:r w:rsidRPr="00CC794A">
              <w:rPr>
                <w:rFonts w:ascii="Times New Roman" w:eastAsia="Times New Roman" w:hAnsi="Times New Roman" w:cs="Times New Roman"/>
                <w:sz w:val="20"/>
                <w:szCs w:val="20"/>
              </w:rPr>
              <w:t>20</w:t>
            </w:r>
          </w:p>
        </w:tc>
      </w:tr>
      <w:tr w:rsidR="009E4346" w:rsidRPr="00CC794A" w14:paraId="6BE75B09" w14:textId="77777777" w:rsidTr="00AB59FA">
        <w:trPr>
          <w:trHeight w:val="273"/>
        </w:trPr>
        <w:tc>
          <w:tcPr>
            <w:tcW w:w="3423" w:type="dxa"/>
            <w:hideMark/>
          </w:tcPr>
          <w:p w14:paraId="336C0A4A" w14:textId="77777777" w:rsidR="009E4346" w:rsidRPr="00CC794A" w:rsidRDefault="009E4346" w:rsidP="00AB59FA">
            <w:pPr>
              <w:jc w:val="both"/>
              <w:rPr>
                <w:rFonts w:ascii="Times New Roman" w:hAnsi="Times New Roman" w:cs="Times New Roman"/>
                <w:sz w:val="20"/>
                <w:szCs w:val="20"/>
              </w:rPr>
            </w:pPr>
            <w:r w:rsidRPr="00CC794A">
              <w:rPr>
                <w:rFonts w:ascii="Times New Roman" w:eastAsia="Times New Roman" w:hAnsi="Times New Roman" w:cs="Times New Roman"/>
                <w:sz w:val="20"/>
                <w:szCs w:val="20"/>
              </w:rPr>
              <w:t>Packing type</w:t>
            </w:r>
          </w:p>
        </w:tc>
        <w:tc>
          <w:tcPr>
            <w:tcW w:w="1534" w:type="dxa"/>
            <w:tcBorders>
              <w:right w:val="single" w:sz="4" w:space="0" w:color="auto"/>
            </w:tcBorders>
            <w:hideMark/>
          </w:tcPr>
          <w:p w14:paraId="52D3775F" w14:textId="77777777" w:rsidR="009E4346" w:rsidRPr="00CC794A" w:rsidRDefault="009E4346" w:rsidP="00AB59FA">
            <w:pPr>
              <w:jc w:val="both"/>
              <w:rPr>
                <w:rFonts w:ascii="Times New Roman" w:hAnsi="Times New Roman" w:cs="Times New Roman"/>
                <w:sz w:val="20"/>
                <w:szCs w:val="20"/>
              </w:rPr>
            </w:pPr>
            <w:r w:rsidRPr="00CC794A">
              <w:rPr>
                <w:rFonts w:ascii="Times New Roman" w:eastAsia="Times New Roman" w:hAnsi="Times New Roman" w:cs="Times New Roman"/>
                <w:sz w:val="20"/>
                <w:szCs w:val="20"/>
              </w:rPr>
              <w:t>Wire mesh</w:t>
            </w:r>
          </w:p>
        </w:tc>
        <w:tc>
          <w:tcPr>
            <w:tcW w:w="1842" w:type="dxa"/>
            <w:tcBorders>
              <w:left w:val="single" w:sz="4" w:space="0" w:color="auto"/>
            </w:tcBorders>
            <w:hideMark/>
          </w:tcPr>
          <w:p w14:paraId="15976416" w14:textId="77777777" w:rsidR="009E4346" w:rsidRPr="00CC794A" w:rsidRDefault="009E4346" w:rsidP="00AB59FA">
            <w:pPr>
              <w:jc w:val="both"/>
              <w:rPr>
                <w:rFonts w:ascii="Times New Roman" w:hAnsi="Times New Roman" w:cs="Times New Roman"/>
                <w:sz w:val="20"/>
                <w:szCs w:val="20"/>
              </w:rPr>
            </w:pPr>
            <w:r w:rsidRPr="00CC794A">
              <w:rPr>
                <w:rFonts w:ascii="Times New Roman" w:eastAsia="Times New Roman" w:hAnsi="Times New Roman" w:cs="Times New Roman"/>
                <w:sz w:val="20"/>
                <w:szCs w:val="20"/>
              </w:rPr>
              <w:t>Flexipac 1Y</w:t>
            </w:r>
          </w:p>
        </w:tc>
      </w:tr>
      <w:tr w:rsidR="009E4346" w:rsidRPr="00CC794A" w14:paraId="41801DFA" w14:textId="77777777" w:rsidTr="00AB59FA">
        <w:trPr>
          <w:trHeight w:val="277"/>
        </w:trPr>
        <w:tc>
          <w:tcPr>
            <w:tcW w:w="3423" w:type="dxa"/>
            <w:hideMark/>
          </w:tcPr>
          <w:p w14:paraId="259C4735" w14:textId="77777777" w:rsidR="009E4346" w:rsidRPr="00CC794A" w:rsidRDefault="009E4346" w:rsidP="00AB59FA">
            <w:pPr>
              <w:jc w:val="both"/>
              <w:rPr>
                <w:rFonts w:ascii="Times New Roman" w:hAnsi="Times New Roman" w:cs="Times New Roman"/>
                <w:sz w:val="20"/>
                <w:szCs w:val="20"/>
              </w:rPr>
            </w:pPr>
            <w:r w:rsidRPr="00CC794A">
              <w:rPr>
                <w:rFonts w:ascii="Times New Roman" w:eastAsia="Times New Roman" w:hAnsi="Times New Roman" w:cs="Times New Roman"/>
                <w:sz w:val="20"/>
                <w:szCs w:val="20"/>
              </w:rPr>
              <w:t>Pressure (atm)</w:t>
            </w:r>
          </w:p>
        </w:tc>
        <w:tc>
          <w:tcPr>
            <w:tcW w:w="1534" w:type="dxa"/>
            <w:tcBorders>
              <w:right w:val="single" w:sz="4" w:space="0" w:color="auto"/>
            </w:tcBorders>
            <w:hideMark/>
          </w:tcPr>
          <w:p w14:paraId="7764751F" w14:textId="77777777" w:rsidR="009E4346" w:rsidRPr="00CC794A" w:rsidRDefault="009E4346" w:rsidP="00AB59FA">
            <w:pPr>
              <w:jc w:val="both"/>
              <w:rPr>
                <w:rFonts w:ascii="Times New Roman" w:hAnsi="Times New Roman" w:cs="Times New Roman"/>
                <w:sz w:val="20"/>
                <w:szCs w:val="20"/>
              </w:rPr>
            </w:pPr>
            <w:r w:rsidRPr="00CC794A">
              <w:rPr>
                <w:rFonts w:ascii="Times New Roman" w:eastAsia="Times New Roman" w:hAnsi="Times New Roman" w:cs="Times New Roman"/>
                <w:sz w:val="20"/>
                <w:szCs w:val="20"/>
              </w:rPr>
              <w:t>1</w:t>
            </w:r>
          </w:p>
        </w:tc>
        <w:tc>
          <w:tcPr>
            <w:tcW w:w="1842" w:type="dxa"/>
            <w:tcBorders>
              <w:left w:val="single" w:sz="4" w:space="0" w:color="auto"/>
            </w:tcBorders>
            <w:hideMark/>
          </w:tcPr>
          <w:p w14:paraId="63EE214B" w14:textId="77777777" w:rsidR="009E4346" w:rsidRPr="00CC794A" w:rsidRDefault="009E4346" w:rsidP="00AB59FA">
            <w:pPr>
              <w:jc w:val="both"/>
              <w:rPr>
                <w:rFonts w:ascii="Times New Roman" w:hAnsi="Times New Roman" w:cs="Times New Roman"/>
                <w:sz w:val="20"/>
                <w:szCs w:val="20"/>
              </w:rPr>
            </w:pPr>
            <w:r w:rsidRPr="00CC794A">
              <w:rPr>
                <w:rFonts w:ascii="Times New Roman" w:eastAsia="Times New Roman" w:hAnsi="Times New Roman" w:cs="Times New Roman"/>
                <w:sz w:val="20"/>
                <w:szCs w:val="20"/>
              </w:rPr>
              <w:t>1.6</w:t>
            </w:r>
          </w:p>
        </w:tc>
      </w:tr>
      <w:tr w:rsidR="009E4346" w:rsidRPr="00CC794A" w14:paraId="2AAB7B3D" w14:textId="77777777" w:rsidTr="00AB59FA">
        <w:trPr>
          <w:trHeight w:val="314"/>
        </w:trPr>
        <w:tc>
          <w:tcPr>
            <w:tcW w:w="3423" w:type="dxa"/>
            <w:tcBorders>
              <w:bottom w:val="single" w:sz="4" w:space="0" w:color="auto"/>
            </w:tcBorders>
            <w:hideMark/>
          </w:tcPr>
          <w:p w14:paraId="6B0AD097" w14:textId="77777777" w:rsidR="009E4346" w:rsidRPr="00CC794A" w:rsidRDefault="009E4346" w:rsidP="00AB59FA">
            <w:pPr>
              <w:jc w:val="both"/>
              <w:rPr>
                <w:rFonts w:ascii="Times New Roman" w:hAnsi="Times New Roman" w:cs="Times New Roman"/>
                <w:sz w:val="20"/>
                <w:szCs w:val="20"/>
              </w:rPr>
            </w:pPr>
            <w:r w:rsidRPr="00CC794A">
              <w:rPr>
                <w:rFonts w:ascii="Times New Roman" w:eastAsia="Times New Roman" w:hAnsi="Times New Roman" w:cs="Times New Roman"/>
                <w:sz w:val="20"/>
                <w:szCs w:val="20"/>
              </w:rPr>
              <w:t>Rotor speed (rpm)</w:t>
            </w:r>
          </w:p>
        </w:tc>
        <w:tc>
          <w:tcPr>
            <w:tcW w:w="1534" w:type="dxa"/>
            <w:tcBorders>
              <w:bottom w:val="single" w:sz="4" w:space="0" w:color="auto"/>
              <w:right w:val="single" w:sz="4" w:space="0" w:color="auto"/>
            </w:tcBorders>
            <w:hideMark/>
          </w:tcPr>
          <w:p w14:paraId="18F129B8" w14:textId="77777777" w:rsidR="009E4346" w:rsidRPr="00CC794A" w:rsidRDefault="009E4346" w:rsidP="00AB59FA">
            <w:pPr>
              <w:jc w:val="both"/>
              <w:rPr>
                <w:rFonts w:ascii="Times New Roman" w:hAnsi="Times New Roman" w:cs="Times New Roman"/>
                <w:sz w:val="20"/>
                <w:szCs w:val="20"/>
              </w:rPr>
            </w:pPr>
            <w:r w:rsidRPr="00CC794A">
              <w:rPr>
                <w:rFonts w:ascii="Times New Roman" w:eastAsia="Times New Roman" w:hAnsi="Times New Roman" w:cs="Times New Roman"/>
                <w:sz w:val="20"/>
                <w:szCs w:val="20"/>
              </w:rPr>
              <w:t>200</w:t>
            </w:r>
          </w:p>
        </w:tc>
        <w:tc>
          <w:tcPr>
            <w:tcW w:w="1842" w:type="dxa"/>
            <w:tcBorders>
              <w:left w:val="single" w:sz="4" w:space="0" w:color="auto"/>
              <w:bottom w:val="single" w:sz="4" w:space="0" w:color="auto"/>
            </w:tcBorders>
            <w:hideMark/>
          </w:tcPr>
          <w:p w14:paraId="76DA2ADE" w14:textId="77777777" w:rsidR="009E4346" w:rsidRPr="00CC794A" w:rsidRDefault="009E4346" w:rsidP="00AB59FA">
            <w:pPr>
              <w:jc w:val="both"/>
              <w:rPr>
                <w:rFonts w:ascii="Times New Roman" w:hAnsi="Times New Roman" w:cs="Times New Roman"/>
                <w:sz w:val="20"/>
                <w:szCs w:val="20"/>
              </w:rPr>
            </w:pPr>
            <w:r w:rsidRPr="00CC794A">
              <w:rPr>
                <w:rFonts w:ascii="Times New Roman" w:eastAsia="Times New Roman" w:hAnsi="Times New Roman" w:cs="Times New Roman"/>
                <w:sz w:val="20"/>
                <w:szCs w:val="20"/>
              </w:rPr>
              <w:t>-</w:t>
            </w:r>
          </w:p>
        </w:tc>
      </w:tr>
      <w:tr w:rsidR="009E4346" w:rsidRPr="00CC794A" w14:paraId="0B5A9E6F" w14:textId="77777777" w:rsidTr="00AB59FA">
        <w:trPr>
          <w:trHeight w:val="272"/>
        </w:trPr>
        <w:tc>
          <w:tcPr>
            <w:tcW w:w="3423" w:type="dxa"/>
            <w:tcBorders>
              <w:top w:val="single" w:sz="4" w:space="0" w:color="auto"/>
            </w:tcBorders>
            <w:hideMark/>
          </w:tcPr>
          <w:p w14:paraId="0FA39EEA" w14:textId="77777777" w:rsidR="009E4346" w:rsidRPr="00CC794A" w:rsidRDefault="009E4346" w:rsidP="00AB59FA">
            <w:pPr>
              <w:jc w:val="both"/>
              <w:rPr>
                <w:rFonts w:ascii="Times New Roman" w:hAnsi="Times New Roman" w:cs="Times New Roman"/>
                <w:sz w:val="20"/>
                <w:szCs w:val="20"/>
              </w:rPr>
            </w:pPr>
            <w:r w:rsidRPr="00CC794A">
              <w:rPr>
                <w:rFonts w:ascii="Times New Roman" w:eastAsia="Times New Roman" w:hAnsi="Times New Roman" w:cs="Times New Roman"/>
                <w:sz w:val="20"/>
                <w:szCs w:val="20"/>
              </w:rPr>
              <w:t>MEA concentration (wt%)</w:t>
            </w:r>
          </w:p>
        </w:tc>
        <w:tc>
          <w:tcPr>
            <w:tcW w:w="3376" w:type="dxa"/>
            <w:gridSpan w:val="2"/>
            <w:tcBorders>
              <w:top w:val="single" w:sz="4" w:space="0" w:color="auto"/>
            </w:tcBorders>
            <w:hideMark/>
          </w:tcPr>
          <w:p w14:paraId="131442FD" w14:textId="77777777" w:rsidR="009E4346" w:rsidRPr="00CC794A" w:rsidRDefault="009E4346" w:rsidP="00AB59FA">
            <w:pPr>
              <w:jc w:val="center"/>
              <w:rPr>
                <w:rFonts w:ascii="Times New Roman" w:hAnsi="Times New Roman" w:cs="Times New Roman"/>
                <w:sz w:val="20"/>
                <w:szCs w:val="20"/>
              </w:rPr>
            </w:pPr>
            <w:r w:rsidRPr="00CC794A">
              <w:rPr>
                <w:rFonts w:ascii="Times New Roman" w:eastAsia="Times New Roman" w:hAnsi="Times New Roman" w:cs="Times New Roman"/>
                <w:sz w:val="20"/>
                <w:szCs w:val="20"/>
              </w:rPr>
              <w:t>30,55,65,75, 80</w:t>
            </w:r>
          </w:p>
        </w:tc>
      </w:tr>
      <w:tr w:rsidR="009E4346" w:rsidRPr="00CC794A" w14:paraId="75D5FB97" w14:textId="77777777" w:rsidTr="00AB59FA">
        <w:trPr>
          <w:trHeight w:val="264"/>
        </w:trPr>
        <w:tc>
          <w:tcPr>
            <w:tcW w:w="3423" w:type="dxa"/>
            <w:hideMark/>
          </w:tcPr>
          <w:p w14:paraId="2E7CB67B" w14:textId="77777777" w:rsidR="009E4346" w:rsidRPr="00CC794A" w:rsidRDefault="009E4346" w:rsidP="00AB59FA">
            <w:pPr>
              <w:jc w:val="both"/>
              <w:rPr>
                <w:rFonts w:ascii="Times New Roman" w:hAnsi="Times New Roman" w:cs="Times New Roman"/>
                <w:sz w:val="20"/>
                <w:szCs w:val="20"/>
              </w:rPr>
            </w:pPr>
            <w:r w:rsidRPr="00CC794A">
              <w:rPr>
                <w:rFonts w:ascii="Times New Roman" w:eastAsia="Times New Roman" w:hAnsi="Times New Roman" w:cs="Times New Roman"/>
                <w:sz w:val="20"/>
                <w:szCs w:val="20"/>
              </w:rPr>
              <w:t>Lean pump pressure (bar)</w:t>
            </w:r>
          </w:p>
        </w:tc>
        <w:tc>
          <w:tcPr>
            <w:tcW w:w="3376" w:type="dxa"/>
            <w:gridSpan w:val="2"/>
            <w:hideMark/>
          </w:tcPr>
          <w:p w14:paraId="01716255" w14:textId="77777777" w:rsidR="009E4346" w:rsidRPr="00CC794A" w:rsidRDefault="009E4346" w:rsidP="00AB59FA">
            <w:pPr>
              <w:jc w:val="center"/>
              <w:rPr>
                <w:rFonts w:ascii="Times New Roman" w:hAnsi="Times New Roman" w:cs="Times New Roman"/>
                <w:sz w:val="20"/>
                <w:szCs w:val="20"/>
              </w:rPr>
            </w:pPr>
            <w:r w:rsidRPr="00CC794A">
              <w:rPr>
                <w:rFonts w:ascii="Times New Roman" w:eastAsia="Times New Roman" w:hAnsi="Times New Roman" w:cs="Times New Roman"/>
                <w:sz w:val="20"/>
                <w:szCs w:val="20"/>
              </w:rPr>
              <w:t>2</w:t>
            </w:r>
          </w:p>
        </w:tc>
      </w:tr>
      <w:tr w:rsidR="009E4346" w:rsidRPr="00CC794A" w14:paraId="20775B64" w14:textId="77777777" w:rsidTr="00AB59FA">
        <w:trPr>
          <w:trHeight w:val="268"/>
        </w:trPr>
        <w:tc>
          <w:tcPr>
            <w:tcW w:w="3423" w:type="dxa"/>
            <w:hideMark/>
          </w:tcPr>
          <w:p w14:paraId="2D21D036" w14:textId="77777777" w:rsidR="009E4346" w:rsidRPr="00CC794A" w:rsidRDefault="009E4346" w:rsidP="00AB59FA">
            <w:pPr>
              <w:jc w:val="both"/>
              <w:rPr>
                <w:rFonts w:ascii="Times New Roman" w:hAnsi="Times New Roman" w:cs="Times New Roman"/>
                <w:sz w:val="20"/>
                <w:szCs w:val="20"/>
              </w:rPr>
            </w:pPr>
            <w:r w:rsidRPr="00CC794A">
              <w:rPr>
                <w:rFonts w:ascii="Times New Roman" w:eastAsia="Times New Roman" w:hAnsi="Times New Roman" w:cs="Times New Roman"/>
                <w:sz w:val="20"/>
                <w:szCs w:val="20"/>
              </w:rPr>
              <w:t>Rich pump pressure (bar)</w:t>
            </w:r>
          </w:p>
        </w:tc>
        <w:tc>
          <w:tcPr>
            <w:tcW w:w="3376" w:type="dxa"/>
            <w:gridSpan w:val="2"/>
            <w:hideMark/>
          </w:tcPr>
          <w:p w14:paraId="053D6C7B" w14:textId="77777777" w:rsidR="009E4346" w:rsidRPr="00CC794A" w:rsidRDefault="009E4346" w:rsidP="00AB59FA">
            <w:pPr>
              <w:jc w:val="center"/>
              <w:rPr>
                <w:rFonts w:ascii="Times New Roman" w:hAnsi="Times New Roman" w:cs="Times New Roman"/>
                <w:sz w:val="20"/>
                <w:szCs w:val="20"/>
              </w:rPr>
            </w:pPr>
            <w:r w:rsidRPr="00CC794A">
              <w:rPr>
                <w:rFonts w:ascii="Times New Roman" w:eastAsia="Times New Roman" w:hAnsi="Times New Roman" w:cs="Times New Roman"/>
                <w:sz w:val="20"/>
                <w:szCs w:val="20"/>
              </w:rPr>
              <w:t>3</w:t>
            </w:r>
          </w:p>
        </w:tc>
      </w:tr>
      <w:tr w:rsidR="009E4346" w:rsidRPr="00CC794A" w14:paraId="47D582E6" w14:textId="77777777" w:rsidTr="00AB59FA">
        <w:trPr>
          <w:trHeight w:val="286"/>
        </w:trPr>
        <w:tc>
          <w:tcPr>
            <w:tcW w:w="3423" w:type="dxa"/>
            <w:hideMark/>
          </w:tcPr>
          <w:p w14:paraId="1DF9C15B" w14:textId="77777777" w:rsidR="009E4346" w:rsidRPr="00CC794A" w:rsidRDefault="009E4346" w:rsidP="00AB59FA">
            <w:pPr>
              <w:jc w:val="both"/>
              <w:rPr>
                <w:rFonts w:ascii="Times New Roman" w:hAnsi="Times New Roman" w:cs="Times New Roman"/>
                <w:sz w:val="20"/>
                <w:szCs w:val="20"/>
              </w:rPr>
            </w:pPr>
            <w:r w:rsidRPr="00CC794A">
              <w:rPr>
                <w:rFonts w:ascii="Times New Roman" w:eastAsia="Times New Roman" w:hAnsi="Times New Roman" w:cs="Times New Roman"/>
                <w:sz w:val="20"/>
                <w:szCs w:val="20"/>
              </w:rPr>
              <w:t>Lean solvent temp (</w:t>
            </w:r>
            <w:r w:rsidRPr="00CC794A">
              <w:rPr>
                <w:rFonts w:ascii="Times New Roman" w:eastAsia="Times New Roman" w:hAnsi="Times New Roman" w:cs="Times New Roman"/>
                <w:sz w:val="20"/>
                <w:szCs w:val="20"/>
                <w:vertAlign w:val="superscript"/>
              </w:rPr>
              <w:t>o</w:t>
            </w:r>
            <w:r w:rsidRPr="00CC794A">
              <w:rPr>
                <w:rFonts w:ascii="Times New Roman" w:eastAsia="Times New Roman" w:hAnsi="Times New Roman" w:cs="Times New Roman"/>
                <w:sz w:val="20"/>
                <w:szCs w:val="20"/>
              </w:rPr>
              <w:t>C)</w:t>
            </w:r>
          </w:p>
        </w:tc>
        <w:tc>
          <w:tcPr>
            <w:tcW w:w="3376" w:type="dxa"/>
            <w:gridSpan w:val="2"/>
            <w:hideMark/>
          </w:tcPr>
          <w:p w14:paraId="117B721D" w14:textId="77777777" w:rsidR="009E4346" w:rsidRPr="00CC794A" w:rsidRDefault="009E4346" w:rsidP="00AB59FA">
            <w:pPr>
              <w:jc w:val="center"/>
              <w:rPr>
                <w:rFonts w:ascii="Times New Roman" w:hAnsi="Times New Roman" w:cs="Times New Roman"/>
                <w:sz w:val="20"/>
                <w:szCs w:val="20"/>
              </w:rPr>
            </w:pPr>
            <w:r w:rsidRPr="00CC794A">
              <w:rPr>
                <w:rFonts w:ascii="Times New Roman" w:eastAsia="Times New Roman" w:hAnsi="Times New Roman" w:cs="Times New Roman"/>
                <w:sz w:val="20"/>
                <w:szCs w:val="20"/>
              </w:rPr>
              <w:t>40</w:t>
            </w:r>
          </w:p>
        </w:tc>
      </w:tr>
      <w:tr w:rsidR="009E4346" w:rsidRPr="00CC794A" w14:paraId="2149C489" w14:textId="77777777" w:rsidTr="00AB59FA">
        <w:trPr>
          <w:trHeight w:val="262"/>
        </w:trPr>
        <w:tc>
          <w:tcPr>
            <w:tcW w:w="3423" w:type="dxa"/>
            <w:tcBorders>
              <w:bottom w:val="single" w:sz="4" w:space="0" w:color="auto"/>
            </w:tcBorders>
            <w:hideMark/>
          </w:tcPr>
          <w:p w14:paraId="650B8C84" w14:textId="77777777" w:rsidR="009E4346" w:rsidRPr="00CC794A" w:rsidRDefault="009E4346" w:rsidP="00AB59FA">
            <w:pPr>
              <w:jc w:val="both"/>
              <w:rPr>
                <w:rFonts w:ascii="Times New Roman" w:hAnsi="Times New Roman" w:cs="Times New Roman"/>
                <w:sz w:val="20"/>
                <w:szCs w:val="20"/>
              </w:rPr>
            </w:pPr>
            <w:r w:rsidRPr="00CC794A">
              <w:rPr>
                <w:rFonts w:ascii="Times New Roman" w:eastAsia="Times New Roman" w:hAnsi="Times New Roman" w:cs="Times New Roman"/>
                <w:sz w:val="20"/>
                <w:szCs w:val="20"/>
              </w:rPr>
              <w:t>Heat exch. temp approach (</w:t>
            </w:r>
            <w:r w:rsidRPr="00CC794A">
              <w:rPr>
                <w:rFonts w:ascii="Times New Roman" w:eastAsia="Times New Roman" w:hAnsi="Times New Roman" w:cs="Times New Roman"/>
                <w:sz w:val="20"/>
                <w:szCs w:val="20"/>
                <w:vertAlign w:val="superscript"/>
              </w:rPr>
              <w:t>o</w:t>
            </w:r>
            <w:r w:rsidRPr="00CC794A">
              <w:rPr>
                <w:rFonts w:ascii="Times New Roman" w:eastAsia="Times New Roman" w:hAnsi="Times New Roman" w:cs="Times New Roman"/>
                <w:sz w:val="20"/>
                <w:szCs w:val="20"/>
              </w:rPr>
              <w:t>C)</w:t>
            </w:r>
          </w:p>
        </w:tc>
        <w:tc>
          <w:tcPr>
            <w:tcW w:w="3376" w:type="dxa"/>
            <w:gridSpan w:val="2"/>
            <w:tcBorders>
              <w:bottom w:val="single" w:sz="4" w:space="0" w:color="auto"/>
            </w:tcBorders>
            <w:hideMark/>
          </w:tcPr>
          <w:p w14:paraId="071A916D" w14:textId="77777777" w:rsidR="009E4346" w:rsidRPr="00CC794A" w:rsidRDefault="009E4346" w:rsidP="00AB59FA">
            <w:pPr>
              <w:jc w:val="center"/>
              <w:rPr>
                <w:rFonts w:ascii="Times New Roman" w:hAnsi="Times New Roman" w:cs="Times New Roman"/>
                <w:sz w:val="20"/>
                <w:szCs w:val="20"/>
              </w:rPr>
            </w:pPr>
            <w:r w:rsidRPr="00CC794A">
              <w:rPr>
                <w:rFonts w:ascii="Times New Roman" w:eastAsia="Times New Roman" w:hAnsi="Times New Roman" w:cs="Times New Roman"/>
                <w:sz w:val="20"/>
                <w:szCs w:val="20"/>
              </w:rPr>
              <w:t>10</w:t>
            </w:r>
          </w:p>
        </w:tc>
      </w:tr>
    </w:tbl>
    <w:p w14:paraId="06A31800" w14:textId="77777777" w:rsidR="00C65632" w:rsidRPr="00C65632" w:rsidRDefault="00C65632" w:rsidP="00C65632">
      <w:pPr>
        <w:jc w:val="both"/>
        <w:rPr>
          <w:i/>
        </w:rPr>
      </w:pPr>
    </w:p>
    <w:p w14:paraId="2781A152" w14:textId="7650455C" w:rsidR="00C65632" w:rsidRPr="00C65632" w:rsidRDefault="00C65632" w:rsidP="00C65632">
      <w:pPr>
        <w:pStyle w:val="Els-2ndorder-head"/>
      </w:pPr>
      <w:r w:rsidRPr="00C65632">
        <w:t xml:space="preserve">Base process analysis </w:t>
      </w:r>
    </w:p>
    <w:p w14:paraId="0456E699" w14:textId="7B576100" w:rsidR="00C65632" w:rsidRDefault="00C65632" w:rsidP="00575BBF">
      <w:pPr>
        <w:jc w:val="both"/>
      </w:pPr>
      <w:r w:rsidRPr="00CC794A">
        <w:t xml:space="preserve">Process analysis of the large-scale PCC process investigates the </w:t>
      </w:r>
      <w:r w:rsidRPr="00CC794A">
        <w:rPr>
          <w:rFonts w:hint="eastAsia"/>
        </w:rPr>
        <w:t>influence of lean CO</w:t>
      </w:r>
      <w:r w:rsidRPr="00CC794A">
        <w:rPr>
          <w:rFonts w:hint="eastAsia"/>
          <w:vertAlign w:val="subscript"/>
        </w:rPr>
        <w:t xml:space="preserve">2 </w:t>
      </w:r>
      <w:r w:rsidRPr="00CC794A">
        <w:rPr>
          <w:rFonts w:hint="eastAsia"/>
        </w:rPr>
        <w:t>loading on capture level</w:t>
      </w:r>
      <w:r w:rsidRPr="00CC794A">
        <w:t xml:space="preserve"> for MEA concentrations of 30 wt% - 80 wt%. Results in Figure </w:t>
      </w:r>
      <w:r w:rsidR="000D7778">
        <w:t>2</w:t>
      </w:r>
      <w:r w:rsidRPr="00CC794A">
        <w:t xml:space="preserve"> indicate a gradual </w:t>
      </w:r>
      <w:r w:rsidRPr="00CC794A">
        <w:rPr>
          <w:rFonts w:hint="eastAsia"/>
        </w:rPr>
        <w:t xml:space="preserve">decrease in </w:t>
      </w:r>
      <w:r w:rsidR="00514107">
        <w:t xml:space="preserve">the </w:t>
      </w:r>
      <w:r w:rsidRPr="00CC794A">
        <w:rPr>
          <w:rFonts w:hint="eastAsia"/>
        </w:rPr>
        <w:t xml:space="preserve">capture level </w:t>
      </w:r>
      <w:r w:rsidRPr="00CC794A">
        <w:t xml:space="preserve">as </w:t>
      </w:r>
      <w:r w:rsidRPr="00CC794A">
        <w:rPr>
          <w:rFonts w:hint="eastAsia"/>
        </w:rPr>
        <w:t xml:space="preserve">lean loading </w:t>
      </w:r>
      <w:r w:rsidRPr="00CC794A">
        <w:t xml:space="preserve">increases from 0.18 to 0.3 </w:t>
      </w:r>
      <w:r w:rsidRPr="00CC794A">
        <w:rPr>
          <w:rFonts w:hint="eastAsia"/>
        </w:rPr>
        <w:t>mol</w:t>
      </w:r>
      <w:r w:rsidRPr="00CC794A">
        <w:rPr>
          <w:rFonts w:hint="eastAsia"/>
          <w:vertAlign w:val="subscript"/>
        </w:rPr>
        <w:t>CO2</w:t>
      </w:r>
      <w:r w:rsidRPr="00CC794A">
        <w:rPr>
          <w:rFonts w:hint="eastAsia"/>
        </w:rPr>
        <w:t>/mol</w:t>
      </w:r>
      <w:r w:rsidRPr="00CC794A">
        <w:rPr>
          <w:rFonts w:hint="eastAsia"/>
          <w:vertAlign w:val="subscript"/>
        </w:rPr>
        <w:t>MEA</w:t>
      </w:r>
      <w:r w:rsidRPr="00CC794A">
        <w:rPr>
          <w:rFonts w:hint="eastAsia"/>
        </w:rPr>
        <w:t xml:space="preserve"> for all </w:t>
      </w:r>
      <w:r w:rsidR="00F03C25">
        <w:t xml:space="preserve">the </w:t>
      </w:r>
      <w:r w:rsidRPr="00CC794A">
        <w:rPr>
          <w:rFonts w:hint="eastAsia"/>
        </w:rPr>
        <w:t>MEA concentrations</w:t>
      </w:r>
      <w:r w:rsidRPr="00CC794A">
        <w:t xml:space="preserve">. </w:t>
      </w:r>
    </w:p>
    <w:p w14:paraId="66074F8C" w14:textId="5142B066" w:rsidR="00575BBF" w:rsidRPr="00CC794A" w:rsidRDefault="00575BBF" w:rsidP="00575BBF">
      <w:pPr>
        <w:jc w:val="center"/>
      </w:pPr>
      <w:r>
        <w:rPr>
          <w:noProof/>
        </w:rPr>
        <w:drawing>
          <wp:inline distT="0" distB="0" distL="0" distR="0" wp14:anchorId="3438B362" wp14:editId="3D171C79">
            <wp:extent cx="3651885" cy="2295525"/>
            <wp:effectExtent l="0" t="0" r="5715" b="0"/>
            <wp:docPr id="3" name="Chart 3">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D92D90" w14:textId="79BA9DCC" w:rsidR="00C65632" w:rsidRDefault="00C65632" w:rsidP="00C65632">
      <w:pPr>
        <w:jc w:val="center"/>
      </w:pPr>
      <w:r w:rsidRPr="00CC794A">
        <w:rPr>
          <w:rFonts w:hint="eastAsia"/>
        </w:rPr>
        <w:t xml:space="preserve">Figure </w:t>
      </w:r>
      <w:r w:rsidR="000D7778">
        <w:t>2</w:t>
      </w:r>
      <w:r w:rsidRPr="00CC794A">
        <w:t>:</w:t>
      </w:r>
      <w:r w:rsidRPr="00CC794A">
        <w:rPr>
          <w:rFonts w:hint="eastAsia"/>
        </w:rPr>
        <w:t xml:space="preserve"> </w:t>
      </w:r>
      <w:r w:rsidRPr="00CC794A">
        <w:t>Influence</w:t>
      </w:r>
      <w:r w:rsidRPr="00CC794A">
        <w:rPr>
          <w:rFonts w:hint="eastAsia"/>
        </w:rPr>
        <w:t xml:space="preserve"> of lean loading on CO</w:t>
      </w:r>
      <w:r w:rsidRPr="00CC794A">
        <w:rPr>
          <w:rFonts w:hint="eastAsia"/>
          <w:vertAlign w:val="subscript"/>
        </w:rPr>
        <w:t>2</w:t>
      </w:r>
      <w:r w:rsidRPr="00CC794A">
        <w:rPr>
          <w:rFonts w:hint="eastAsia"/>
        </w:rPr>
        <w:t xml:space="preserve"> capture level </w:t>
      </w:r>
    </w:p>
    <w:p w14:paraId="59C0B909" w14:textId="77777777" w:rsidR="006710CD" w:rsidRPr="00CC794A" w:rsidRDefault="006710CD" w:rsidP="00C65632">
      <w:pPr>
        <w:jc w:val="center"/>
      </w:pPr>
    </w:p>
    <w:p w14:paraId="6AB5A6B5" w14:textId="4A1AD1D1" w:rsidR="00C65632" w:rsidRPr="00CC794A" w:rsidRDefault="00C65632" w:rsidP="00C65632">
      <w:pPr>
        <w:jc w:val="both"/>
      </w:pPr>
      <w:r w:rsidRPr="00CC794A">
        <w:t xml:space="preserve">The energy consumed to rotate the </w:t>
      </w:r>
      <w:r w:rsidRPr="00CC794A">
        <w:rPr>
          <w:rFonts w:hint="eastAsia"/>
        </w:rPr>
        <w:t xml:space="preserve">RPB absorber </w:t>
      </w:r>
      <w:r w:rsidRPr="00CC794A">
        <w:t>at 2</w:t>
      </w:r>
      <w:r w:rsidRPr="00CC794A">
        <w:rPr>
          <w:rFonts w:hint="eastAsia"/>
        </w:rPr>
        <w:t>00 rpm and 90% CO</w:t>
      </w:r>
      <w:r w:rsidRPr="00CC794A">
        <w:rPr>
          <w:rFonts w:hint="eastAsia"/>
          <w:vertAlign w:val="subscript"/>
        </w:rPr>
        <w:t>2</w:t>
      </w:r>
      <w:r w:rsidRPr="00CC794A">
        <w:rPr>
          <w:rFonts w:hint="eastAsia"/>
        </w:rPr>
        <w:t xml:space="preserve"> capture level</w:t>
      </w:r>
      <w:r w:rsidRPr="00CC794A">
        <w:t xml:space="preserve"> and the energy consumed for </w:t>
      </w:r>
      <w:r w:rsidRPr="00CC794A">
        <w:rPr>
          <w:rFonts w:hint="eastAsia"/>
        </w:rPr>
        <w:t>solvent regeneration energy (GJ/t</w:t>
      </w:r>
      <w:r w:rsidRPr="00CC794A">
        <w:rPr>
          <w:rFonts w:hint="eastAsia"/>
          <w:vertAlign w:val="subscript"/>
        </w:rPr>
        <w:t>CO2</w:t>
      </w:r>
      <w:r w:rsidRPr="00CC794A">
        <w:rPr>
          <w:rFonts w:hint="eastAsia"/>
        </w:rPr>
        <w:t>)</w:t>
      </w:r>
      <w:r w:rsidRPr="00CC794A">
        <w:t xml:space="preserve"> are shown in Figure </w:t>
      </w:r>
      <w:r w:rsidR="009510AF">
        <w:t>3</w:t>
      </w:r>
      <w:r w:rsidRPr="00CC794A">
        <w:t xml:space="preserve">. </w:t>
      </w:r>
    </w:p>
    <w:p w14:paraId="6864E47C" w14:textId="06715C06" w:rsidR="00636FBD" w:rsidRPr="00CC794A" w:rsidRDefault="00636FBD" w:rsidP="00C65632">
      <w:pPr>
        <w:jc w:val="both"/>
      </w:pPr>
      <w:r>
        <w:rPr>
          <w:noProof/>
        </w:rPr>
        <w:lastRenderedPageBreak/>
        <w:drawing>
          <wp:inline distT="0" distB="0" distL="0" distR="0" wp14:anchorId="45E412D8" wp14:editId="7F3EF2B9">
            <wp:extent cx="4223385" cy="2238375"/>
            <wp:effectExtent l="0" t="0" r="5715" b="0"/>
            <wp:docPr id="2" name="Chart 2">
              <a:extLst xmlns:a="http://schemas.openxmlformats.org/drawingml/2006/main">
                <a:ext uri="{FF2B5EF4-FFF2-40B4-BE49-F238E27FC236}">
                  <a16:creationId xmlns:a16="http://schemas.microsoft.com/office/drawing/2014/main" id="{00000000-0008-0000-02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903780" w14:textId="74CD3389" w:rsidR="00C65632" w:rsidRDefault="00C65632" w:rsidP="006710CD">
      <w:pPr>
        <w:jc w:val="center"/>
      </w:pPr>
      <w:r w:rsidRPr="00CC794A">
        <w:rPr>
          <w:rFonts w:hint="eastAsia"/>
        </w:rPr>
        <w:t xml:space="preserve">Figure </w:t>
      </w:r>
      <w:r w:rsidR="009510AF">
        <w:t>3</w:t>
      </w:r>
      <w:r w:rsidRPr="00CC794A">
        <w:t>:</w:t>
      </w:r>
      <w:r w:rsidRPr="00CC794A">
        <w:rPr>
          <w:rFonts w:hint="eastAsia"/>
        </w:rPr>
        <w:t xml:space="preserve"> Energy consumption for absorber rotation and regeneration</w:t>
      </w:r>
    </w:p>
    <w:p w14:paraId="0D9F5FAE" w14:textId="36265DFE" w:rsidR="006710CD" w:rsidRDefault="006710CD" w:rsidP="006710CD">
      <w:pPr>
        <w:jc w:val="center"/>
      </w:pPr>
    </w:p>
    <w:p w14:paraId="42991856" w14:textId="2A651D9A" w:rsidR="006710CD" w:rsidRPr="006710CD" w:rsidRDefault="006710CD" w:rsidP="006710CD">
      <w:pPr>
        <w:pStyle w:val="Els-2ndorder-head"/>
      </w:pPr>
      <w:r w:rsidRPr="006710CD">
        <w:t xml:space="preserve">Process optimisation </w:t>
      </w:r>
    </w:p>
    <w:p w14:paraId="06476EB7" w14:textId="77777777" w:rsidR="006710CD" w:rsidRPr="00CC794A" w:rsidRDefault="006710CD" w:rsidP="006710CD">
      <w:pPr>
        <w:jc w:val="both"/>
      </w:pPr>
      <w:r w:rsidRPr="00CC794A">
        <w:t>Process optimisation is performed to minimise</w:t>
      </w:r>
      <w:r w:rsidRPr="00CC794A">
        <w:rPr>
          <w:rFonts w:hint="eastAsia"/>
        </w:rPr>
        <w:t xml:space="preserve"> the total energy consumption</w:t>
      </w:r>
      <w:r w:rsidRPr="00CC794A">
        <w:t xml:space="preserve"> of the large-scale PCC process. </w:t>
      </w:r>
      <w:r w:rsidRPr="00CC794A">
        <w:rPr>
          <w:rFonts w:hint="eastAsia"/>
        </w:rPr>
        <w:t>Column internals, flue gas conditions</w:t>
      </w:r>
      <w:r w:rsidRPr="00CC794A">
        <w:t xml:space="preserve"> </w:t>
      </w:r>
      <w:r w:rsidRPr="00CC794A">
        <w:rPr>
          <w:rFonts w:hint="eastAsia"/>
        </w:rPr>
        <w:t xml:space="preserve">and </w:t>
      </w:r>
      <w:r w:rsidRPr="00CC794A">
        <w:t xml:space="preserve">the operating </w:t>
      </w:r>
      <w:r w:rsidRPr="00CC794A">
        <w:rPr>
          <w:rFonts w:hint="eastAsia"/>
        </w:rPr>
        <w:t xml:space="preserve">conditions </w:t>
      </w:r>
      <w:r w:rsidRPr="00CC794A">
        <w:t xml:space="preserve">of pump and heat exchangers </w:t>
      </w:r>
      <w:r w:rsidRPr="00CC794A">
        <w:rPr>
          <w:rFonts w:hint="eastAsia"/>
        </w:rPr>
        <w:t xml:space="preserve">are kept </w:t>
      </w:r>
      <w:r w:rsidRPr="00CC794A">
        <w:t xml:space="preserve">constant for the optimisation. The details of the objective function and the constraints are shown below.   </w:t>
      </w:r>
    </w:p>
    <w:p w14:paraId="7D6F234A" w14:textId="4EED8085" w:rsidR="006710CD" w:rsidRPr="00AA47F9" w:rsidRDefault="006710CD" w:rsidP="006710CD">
      <w:pPr>
        <w:jc w:val="both"/>
      </w:pPr>
      <w:r w:rsidRPr="009510AF">
        <w:rPr>
          <w:bCs/>
        </w:rPr>
        <w:t>Objective:</w:t>
      </w:r>
      <w:r w:rsidRPr="00CC794A">
        <w:rPr>
          <w:b/>
          <w:bCs/>
        </w:rPr>
        <w:t xml:space="preserve"> </w:t>
      </w:r>
      <w:r w:rsidRPr="00CC794A">
        <w:t>Minimise total energy consumption (</w:t>
      </w:r>
      <w:proofErr w:type="spellStart"/>
      <w:r w:rsidRPr="00CC794A">
        <w:t>E</w:t>
      </w:r>
      <w:r w:rsidRPr="00CC794A">
        <w:rPr>
          <w:vertAlign w:val="subscript"/>
        </w:rPr>
        <w:t>total</w:t>
      </w:r>
      <w:proofErr w:type="spellEnd"/>
      <w:r w:rsidRPr="00CC794A">
        <w:t>)</w:t>
      </w:r>
      <w:r w:rsidR="00AA47F9">
        <w:t xml:space="preserve"> which is the sum of regeneration energy (E</w:t>
      </w:r>
      <w:r w:rsidR="00AA47F9">
        <w:rPr>
          <w:vertAlign w:val="subscript"/>
        </w:rPr>
        <w:t>reg</w:t>
      </w:r>
      <w:r w:rsidR="00AA47F9">
        <w:t>) and absorber rotational energy (</w:t>
      </w:r>
      <w:proofErr w:type="spellStart"/>
      <w:r w:rsidR="00AA47F9">
        <w:t>E</w:t>
      </w:r>
      <w:r w:rsidR="00AA47F9">
        <w:rPr>
          <w:vertAlign w:val="subscript"/>
        </w:rPr>
        <w:t>rot</w:t>
      </w:r>
      <w:proofErr w:type="spellEnd"/>
      <w:r w:rsidR="00AA47F9">
        <w:rPr>
          <w:vertAlign w:val="subscript"/>
        </w:rPr>
        <w:t>,</w:t>
      </w:r>
      <w:r w:rsidR="00D31AD7">
        <w:rPr>
          <w:vertAlign w:val="subscript"/>
        </w:rPr>
        <w:t xml:space="preserve"> </w:t>
      </w:r>
      <w:r w:rsidR="00AA47F9">
        <w:rPr>
          <w:vertAlign w:val="subscript"/>
        </w:rPr>
        <w:t>abs</w:t>
      </w:r>
      <w:r w:rsidR="00AA47F9">
        <w:t xml:space="preserve">) </w:t>
      </w:r>
    </w:p>
    <w:p w14:paraId="3DAD9037" w14:textId="77777777" w:rsidR="006710CD" w:rsidRDefault="006710CD" w:rsidP="006710CD">
      <w:pPr>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6710CD" w14:paraId="3D983D75" w14:textId="77777777" w:rsidTr="008F3409">
        <w:tc>
          <w:tcPr>
            <w:tcW w:w="3538" w:type="dxa"/>
          </w:tcPr>
          <w:p w14:paraId="1213A6AC" w14:textId="23A7D813" w:rsidR="006710CD" w:rsidRPr="002C3E3C" w:rsidRDefault="00A717A3" w:rsidP="006710CD">
            <w:pPr>
              <w:jc w:val="both"/>
              <w:rPr>
                <w:rFonts w:ascii="Times New Roman" w:hAnsi="Times New Roman" w:cs="Times New Roman"/>
                <w:sz w:val="20"/>
                <w:szCs w:val="20"/>
              </w:rPr>
            </w:pPr>
            <m:oMathPara>
              <m:oMath>
                <m:sSub>
                  <m:sSubPr>
                    <m:ctrlPr>
                      <w:rPr>
                        <w:rFonts w:ascii="Cambria Math" w:hAnsi="Cambria Math" w:cs="Times New Roman"/>
                        <w:i/>
                        <w:iCs/>
                        <w:sz w:val="20"/>
                        <w:szCs w:val="20"/>
                      </w:rPr>
                    </m:ctrlPr>
                  </m:sSubPr>
                  <m:e>
                    <m:r>
                      <w:rPr>
                        <w:rFonts w:ascii="Cambria Math" w:hAnsi="Cambria Math" w:cs="Times New Roman"/>
                        <w:sz w:val="20"/>
                        <w:szCs w:val="20"/>
                      </w:rPr>
                      <m:t>E</m:t>
                    </m:r>
                  </m:e>
                  <m:sub>
                    <m:r>
                      <w:rPr>
                        <w:rFonts w:ascii="Cambria Math" w:hAnsi="Cambria Math" w:cs="Times New Roman"/>
                        <w:sz w:val="20"/>
                        <w:szCs w:val="20"/>
                      </w:rPr>
                      <m:t>total</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rPr>
                      <m:t>E</m:t>
                    </m:r>
                  </m:e>
                  <m:sub>
                    <m:r>
                      <w:rPr>
                        <w:rFonts w:ascii="Cambria Math" w:hAnsi="Cambria Math" w:cs="Times New Roman"/>
                        <w:sz w:val="20"/>
                        <w:szCs w:val="20"/>
                      </w:rPr>
                      <m:t>reg</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rPr>
                      <m:t>E</m:t>
                    </m:r>
                  </m:e>
                  <m:sub>
                    <m:r>
                      <w:rPr>
                        <w:rFonts w:ascii="Cambria Math" w:hAnsi="Cambria Math" w:cs="Times New Roman"/>
                        <w:sz w:val="20"/>
                        <w:szCs w:val="20"/>
                      </w:rPr>
                      <m:t>rot,  abs</m:t>
                    </m:r>
                  </m:sub>
                </m:sSub>
              </m:oMath>
            </m:oMathPara>
          </w:p>
        </w:tc>
        <w:tc>
          <w:tcPr>
            <w:tcW w:w="3538" w:type="dxa"/>
          </w:tcPr>
          <w:p w14:paraId="16EDD886" w14:textId="119F14CD" w:rsidR="006710CD" w:rsidRPr="002C3E3C" w:rsidRDefault="006710CD" w:rsidP="006710CD">
            <w:pPr>
              <w:jc w:val="right"/>
              <w:rPr>
                <w:rFonts w:ascii="Times New Roman" w:hAnsi="Times New Roman" w:cs="Times New Roman"/>
                <w:sz w:val="20"/>
                <w:szCs w:val="20"/>
              </w:rPr>
            </w:pPr>
            <w:r w:rsidRPr="002C3E3C">
              <w:rPr>
                <w:rFonts w:ascii="Times New Roman" w:hAnsi="Times New Roman" w:cs="Times New Roman"/>
                <w:sz w:val="20"/>
                <w:szCs w:val="20"/>
              </w:rPr>
              <w:t>5</w:t>
            </w:r>
          </w:p>
        </w:tc>
      </w:tr>
    </w:tbl>
    <w:p w14:paraId="43DED97C" w14:textId="77777777" w:rsidR="00D3377B" w:rsidRDefault="00D3377B" w:rsidP="000D77B7">
      <w:pPr>
        <w:jc w:val="both"/>
        <w:rPr>
          <w:b/>
          <w:bCs/>
        </w:rPr>
      </w:pPr>
    </w:p>
    <w:p w14:paraId="2D034BC7" w14:textId="2471FC0A" w:rsidR="006710CD" w:rsidRPr="00CC794A" w:rsidRDefault="006710CD" w:rsidP="000D77B7">
      <w:pPr>
        <w:jc w:val="both"/>
      </w:pPr>
      <w:r w:rsidRPr="009510AF">
        <w:rPr>
          <w:bCs/>
        </w:rPr>
        <w:t>Decision variables</w:t>
      </w:r>
      <w:r w:rsidRPr="00CC794A">
        <w:rPr>
          <w:b/>
          <w:bCs/>
        </w:rPr>
        <w:t xml:space="preserve">: </w:t>
      </w:r>
      <w:r w:rsidRPr="00CC794A">
        <w:t xml:space="preserve">lean solvent flow rate </w:t>
      </w:r>
      <w:r w:rsidRPr="00CC794A">
        <w:rPr>
          <w:i/>
          <w:iCs/>
        </w:rPr>
        <w:t>(L)</w:t>
      </w:r>
      <w:r w:rsidRPr="00CC794A">
        <w:t xml:space="preserve">, </w:t>
      </w:r>
      <w:r w:rsidR="00F73AB0">
        <w:t>reboiler temperature (</w:t>
      </w:r>
      <w:proofErr w:type="spellStart"/>
      <w:r w:rsidR="00F73AB0" w:rsidRPr="00F73AB0">
        <w:rPr>
          <w:i/>
        </w:rPr>
        <w:t>T</w:t>
      </w:r>
      <w:r w:rsidR="00F73AB0" w:rsidRPr="00F73AB0">
        <w:rPr>
          <w:i/>
          <w:vertAlign w:val="subscript"/>
        </w:rPr>
        <w:t>reb</w:t>
      </w:r>
      <w:proofErr w:type="spellEnd"/>
      <w:r w:rsidR="00F73AB0">
        <w:t xml:space="preserve">), </w:t>
      </w:r>
      <w:r w:rsidRPr="00CC794A">
        <w:t xml:space="preserve">condenser temperature </w:t>
      </w:r>
      <w:r w:rsidRPr="00CC794A">
        <w:rPr>
          <w:i/>
          <w:iCs/>
        </w:rPr>
        <w:t>(</w:t>
      </w:r>
      <w:proofErr w:type="spellStart"/>
      <w:r w:rsidRPr="00CC794A">
        <w:rPr>
          <w:i/>
          <w:iCs/>
        </w:rPr>
        <w:t>T</w:t>
      </w:r>
      <w:r w:rsidRPr="00CC794A">
        <w:rPr>
          <w:i/>
          <w:iCs/>
          <w:vertAlign w:val="subscript"/>
        </w:rPr>
        <w:t>cond</w:t>
      </w:r>
      <w:proofErr w:type="spellEnd"/>
      <w:r w:rsidRPr="00CC794A">
        <w:rPr>
          <w:i/>
          <w:iCs/>
        </w:rPr>
        <w:t xml:space="preserve">), </w:t>
      </w:r>
      <w:r w:rsidRPr="00CC794A">
        <w:t>and absorber rotor speed</w:t>
      </w:r>
      <w:r w:rsidRPr="00CC794A">
        <w:rPr>
          <w:i/>
          <w:iCs/>
        </w:rPr>
        <w:t xml:space="preserve"> (</w:t>
      </w:r>
      <w:r w:rsidRPr="00CC794A">
        <w:rPr>
          <w:i/>
          <w:iCs/>
          <w:lang w:val="el-GR"/>
        </w:rPr>
        <w:t>ω</w:t>
      </w:r>
      <w:r w:rsidRPr="00CC794A">
        <w:rPr>
          <w:i/>
          <w:iCs/>
          <w:vertAlign w:val="subscript"/>
        </w:rPr>
        <w:t>abs</w:t>
      </w:r>
      <w:r w:rsidRPr="00CC794A">
        <w:rPr>
          <w:i/>
          <w:iCs/>
        </w:rPr>
        <w:t>).</w:t>
      </w:r>
    </w:p>
    <w:p w14:paraId="727ED57A" w14:textId="0A79B281" w:rsidR="006710CD" w:rsidRDefault="006710CD" w:rsidP="000D77B7">
      <w:pPr>
        <w:jc w:val="both"/>
      </w:pPr>
      <w:r w:rsidRPr="009510AF">
        <w:rPr>
          <w:bCs/>
        </w:rPr>
        <w:t>Constraints:</w:t>
      </w:r>
      <w:r w:rsidRPr="00CC794A">
        <w:t xml:space="preserve"> Capture level (</w:t>
      </w:r>
      <w:proofErr w:type="gramStart"/>
      <w:r w:rsidRPr="00CC794A">
        <w:t>CO</w:t>
      </w:r>
      <w:r w:rsidRPr="00CC794A">
        <w:rPr>
          <w:vertAlign w:val="subscript"/>
        </w:rPr>
        <w:t>2,cap</w:t>
      </w:r>
      <w:proofErr w:type="gramEnd"/>
      <w:r w:rsidRPr="00CC794A">
        <w:t>) and CO</w:t>
      </w:r>
      <w:r w:rsidRPr="00CC794A">
        <w:rPr>
          <w:vertAlign w:val="subscript"/>
        </w:rPr>
        <w:t>2</w:t>
      </w:r>
      <w:r w:rsidRPr="00CC794A">
        <w:t xml:space="preserve"> purity (CO</w:t>
      </w:r>
      <w:r w:rsidRPr="00CC794A">
        <w:rPr>
          <w:vertAlign w:val="subscript"/>
        </w:rPr>
        <w:t>2,purity</w:t>
      </w:r>
      <w:r w:rsidRPr="00CC794A">
        <w:t>)</w:t>
      </w:r>
    </w:p>
    <w:p w14:paraId="79C1A8F8" w14:textId="77777777" w:rsidR="006710CD" w:rsidRDefault="006710CD" w:rsidP="006710CD">
      <w:pPr>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6710CD" w14:paraId="4370DB12" w14:textId="77777777" w:rsidTr="00E32566">
        <w:tc>
          <w:tcPr>
            <w:tcW w:w="3538" w:type="dxa"/>
          </w:tcPr>
          <w:p w14:paraId="557C77FA" w14:textId="3E14FC21" w:rsidR="006710CD" w:rsidRPr="002C3E3C" w:rsidRDefault="00A717A3" w:rsidP="002C3E3C">
            <w:pPr>
              <w:jc w:val="center"/>
              <w:rPr>
                <w:rFonts w:ascii="Times New Roman" w:hAnsi="Times New Roman" w:cs="Times New Roman"/>
                <w:sz w:val="20"/>
                <w:szCs w:val="20"/>
              </w:rPr>
            </w:pPr>
            <m:oMathPara>
              <m:oMath>
                <m:sSub>
                  <m:sSubPr>
                    <m:ctrlPr>
                      <w:rPr>
                        <w:rFonts w:ascii="Cambria Math" w:hAnsi="Cambria Math" w:cs="Times New Roman"/>
                        <w:i/>
                        <w:iCs/>
                        <w:sz w:val="20"/>
                        <w:szCs w:val="20"/>
                      </w:rPr>
                    </m:ctrlPr>
                  </m:sSubPr>
                  <m:e>
                    <m:r>
                      <w:rPr>
                        <w:rFonts w:ascii="Cambria Math" w:hAnsi="Cambria Math" w:cs="Times New Roman"/>
                        <w:sz w:val="20"/>
                        <w:szCs w:val="20"/>
                      </w:rPr>
                      <m:t>CO</m:t>
                    </m:r>
                  </m:e>
                  <m:sub>
                    <m:r>
                      <w:rPr>
                        <w:rFonts w:ascii="Cambria Math" w:hAnsi="Cambria Math" w:cs="Times New Roman"/>
                        <w:sz w:val="20"/>
                        <w:szCs w:val="20"/>
                      </w:rPr>
                      <m:t>2,cap</m:t>
                    </m:r>
                  </m:sub>
                </m:sSub>
                <m:r>
                  <w:rPr>
                    <w:rFonts w:ascii="Cambria Math" w:hAnsi="Cambria Math" w:cs="Times New Roman"/>
                    <w:sz w:val="20"/>
                    <w:szCs w:val="20"/>
                  </w:rPr>
                  <m:t>=90%</m:t>
                </m:r>
              </m:oMath>
            </m:oMathPara>
          </w:p>
        </w:tc>
        <w:tc>
          <w:tcPr>
            <w:tcW w:w="3538" w:type="dxa"/>
          </w:tcPr>
          <w:p w14:paraId="2313A36A" w14:textId="68754E2D" w:rsidR="006710CD" w:rsidRPr="002C3E3C" w:rsidRDefault="006710CD" w:rsidP="00AB59FA">
            <w:pPr>
              <w:jc w:val="right"/>
              <w:rPr>
                <w:rFonts w:ascii="Times New Roman" w:hAnsi="Times New Roman" w:cs="Times New Roman"/>
                <w:sz w:val="20"/>
                <w:szCs w:val="20"/>
              </w:rPr>
            </w:pPr>
            <w:r w:rsidRPr="002C3E3C">
              <w:rPr>
                <w:rFonts w:ascii="Times New Roman" w:hAnsi="Times New Roman" w:cs="Times New Roman"/>
                <w:sz w:val="20"/>
                <w:szCs w:val="20"/>
              </w:rPr>
              <w:t>6</w:t>
            </w:r>
          </w:p>
        </w:tc>
      </w:tr>
      <w:tr w:rsidR="00E32566" w14:paraId="52796FC8" w14:textId="77777777" w:rsidTr="00E32566">
        <w:tc>
          <w:tcPr>
            <w:tcW w:w="3538" w:type="dxa"/>
          </w:tcPr>
          <w:p w14:paraId="3CAD0448" w14:textId="77777777" w:rsidR="00E32566" w:rsidRPr="002C3E3C" w:rsidRDefault="00E32566" w:rsidP="002C3E3C">
            <w:pPr>
              <w:jc w:val="center"/>
              <w:rPr>
                <w:iCs/>
              </w:rPr>
            </w:pPr>
          </w:p>
        </w:tc>
        <w:tc>
          <w:tcPr>
            <w:tcW w:w="3538" w:type="dxa"/>
          </w:tcPr>
          <w:p w14:paraId="548A234F" w14:textId="77777777" w:rsidR="00E32566" w:rsidRPr="002C3E3C" w:rsidRDefault="00E32566" w:rsidP="00AB59FA">
            <w:pPr>
              <w:jc w:val="right"/>
            </w:pPr>
          </w:p>
        </w:tc>
      </w:tr>
      <w:tr w:rsidR="006710CD" w14:paraId="4C259885" w14:textId="77777777" w:rsidTr="00E32566">
        <w:tc>
          <w:tcPr>
            <w:tcW w:w="3538" w:type="dxa"/>
          </w:tcPr>
          <w:p w14:paraId="7FBE65D2" w14:textId="328F17FE" w:rsidR="006710CD" w:rsidRPr="002C3E3C" w:rsidRDefault="00A717A3" w:rsidP="002C3E3C">
            <w:pPr>
              <w:jc w:val="center"/>
              <w:rPr>
                <w:rFonts w:ascii="Times New Roman" w:hAnsi="Times New Roman" w:cs="Times New Roman"/>
                <w:iCs/>
                <w:sz w:val="20"/>
                <w:szCs w:val="20"/>
              </w:rPr>
            </w:pPr>
            <m:oMathPara>
              <m:oMath>
                <m:sSub>
                  <m:sSubPr>
                    <m:ctrlPr>
                      <w:rPr>
                        <w:rFonts w:ascii="Cambria Math" w:hAnsi="Cambria Math" w:cs="Times New Roman"/>
                        <w:i/>
                        <w:iCs/>
                        <w:sz w:val="20"/>
                        <w:szCs w:val="20"/>
                      </w:rPr>
                    </m:ctrlPr>
                  </m:sSubPr>
                  <m:e>
                    <m:r>
                      <w:rPr>
                        <w:rFonts w:ascii="Cambria Math" w:hAnsi="Cambria Math" w:cs="Times New Roman"/>
                        <w:sz w:val="20"/>
                        <w:szCs w:val="20"/>
                      </w:rPr>
                      <m:t>CO</m:t>
                    </m:r>
                  </m:e>
                  <m:sub>
                    <m:r>
                      <w:rPr>
                        <w:rFonts w:ascii="Cambria Math" w:hAnsi="Cambria Math" w:cs="Times New Roman"/>
                        <w:sz w:val="20"/>
                        <w:szCs w:val="20"/>
                      </w:rPr>
                      <m:t>2,purity</m:t>
                    </m:r>
                  </m:sub>
                </m:sSub>
                <m:r>
                  <w:rPr>
                    <w:rFonts w:ascii="Cambria Math" w:hAnsi="Cambria Math" w:cs="Times New Roman"/>
                    <w:sz w:val="20"/>
                    <w:szCs w:val="20"/>
                  </w:rPr>
                  <m:t>=96</m:t>
                </m:r>
              </m:oMath>
            </m:oMathPara>
          </w:p>
        </w:tc>
        <w:tc>
          <w:tcPr>
            <w:tcW w:w="3538" w:type="dxa"/>
          </w:tcPr>
          <w:p w14:paraId="4655297E" w14:textId="36983993" w:rsidR="006710CD" w:rsidRPr="002C3E3C" w:rsidRDefault="006710CD" w:rsidP="00AB59FA">
            <w:pPr>
              <w:jc w:val="right"/>
              <w:rPr>
                <w:rFonts w:ascii="Times New Roman" w:hAnsi="Times New Roman" w:cs="Times New Roman"/>
                <w:sz w:val="20"/>
                <w:szCs w:val="20"/>
              </w:rPr>
            </w:pPr>
            <w:r w:rsidRPr="002C3E3C">
              <w:rPr>
                <w:rFonts w:ascii="Times New Roman" w:hAnsi="Times New Roman" w:cs="Times New Roman"/>
                <w:sz w:val="20"/>
                <w:szCs w:val="20"/>
              </w:rPr>
              <w:t>7</w:t>
            </w:r>
          </w:p>
        </w:tc>
      </w:tr>
    </w:tbl>
    <w:p w14:paraId="21E47C2C" w14:textId="77777777" w:rsidR="006710CD" w:rsidRPr="00CC794A" w:rsidRDefault="006710CD" w:rsidP="006710CD">
      <w:pPr>
        <w:jc w:val="both"/>
      </w:pPr>
    </w:p>
    <w:p w14:paraId="663CB889" w14:textId="49088A7E" w:rsidR="006710CD" w:rsidRDefault="006710CD" w:rsidP="006710CD">
      <w:pPr>
        <w:jc w:val="both"/>
      </w:pPr>
      <w:r w:rsidRPr="00CC794A">
        <w:t xml:space="preserve">The optimisation found a solution satisfying all the constraints and the results are shown in </w:t>
      </w:r>
      <w:r w:rsidR="0020587E">
        <w:t>Table 3</w:t>
      </w:r>
      <w:r w:rsidRPr="00CC794A">
        <w:t>. The lowest total energy consumption of 4.46 GJ/t</w:t>
      </w:r>
      <w:r w:rsidRPr="00CC794A">
        <w:rPr>
          <w:vertAlign w:val="subscript"/>
        </w:rPr>
        <w:t>CO2</w:t>
      </w:r>
      <w:r w:rsidRPr="00CC794A">
        <w:t xml:space="preserve"> was found at an optimal MEA concentration of 75 wt%. At this MEA concentration, the rotational energy consumption </w:t>
      </w:r>
      <w:r w:rsidR="0020587E">
        <w:t xml:space="preserve">of </w:t>
      </w:r>
      <w:r w:rsidRPr="00CC794A">
        <w:t>the RPB absorber is 0.47 GJ/ton</w:t>
      </w:r>
      <w:r w:rsidRPr="00CC794A">
        <w:rPr>
          <w:vertAlign w:val="subscript"/>
        </w:rPr>
        <w:t>CO2</w:t>
      </w:r>
      <w:r w:rsidRPr="00CC794A">
        <w:t xml:space="preserve"> while the regeneration energy consumption</w:t>
      </w:r>
      <w:r w:rsidR="0020587E">
        <w:t xml:space="preserve"> of the large-scale PCC process</w:t>
      </w:r>
      <w:r w:rsidRPr="00CC794A">
        <w:t xml:space="preserve"> is 3.99 GJ/t</w:t>
      </w:r>
      <w:r w:rsidRPr="00CC794A">
        <w:rPr>
          <w:vertAlign w:val="subscript"/>
        </w:rPr>
        <w:t>CO2</w:t>
      </w:r>
      <w:r w:rsidRPr="00CC794A">
        <w:t xml:space="preserve">. </w:t>
      </w:r>
    </w:p>
    <w:p w14:paraId="67B5F297" w14:textId="4A287D7F" w:rsidR="00951FE2" w:rsidRDefault="00951FE2" w:rsidP="006710CD">
      <w:pPr>
        <w:jc w:val="both"/>
      </w:pPr>
    </w:p>
    <w:p w14:paraId="0E634788" w14:textId="11BBF072" w:rsidR="00951FE2" w:rsidRDefault="00951FE2" w:rsidP="006710CD">
      <w:pPr>
        <w:jc w:val="both"/>
      </w:pPr>
    </w:p>
    <w:p w14:paraId="7203F631" w14:textId="1D089928" w:rsidR="00951FE2" w:rsidRDefault="00951FE2" w:rsidP="006710CD">
      <w:pPr>
        <w:jc w:val="both"/>
      </w:pPr>
    </w:p>
    <w:p w14:paraId="6DE867F9" w14:textId="07E9B080" w:rsidR="00951FE2" w:rsidRDefault="00951FE2" w:rsidP="006710CD">
      <w:pPr>
        <w:jc w:val="both"/>
      </w:pPr>
    </w:p>
    <w:p w14:paraId="2B24C77D" w14:textId="3D05C799" w:rsidR="00951FE2" w:rsidRDefault="00951FE2" w:rsidP="006710CD">
      <w:pPr>
        <w:jc w:val="both"/>
      </w:pPr>
    </w:p>
    <w:p w14:paraId="21C71379" w14:textId="6D42C918" w:rsidR="00951FE2" w:rsidRDefault="00951FE2" w:rsidP="006710CD">
      <w:pPr>
        <w:jc w:val="both"/>
      </w:pPr>
    </w:p>
    <w:p w14:paraId="36298A24" w14:textId="72A55A9F" w:rsidR="00951FE2" w:rsidRDefault="00951FE2" w:rsidP="006710CD">
      <w:pPr>
        <w:jc w:val="both"/>
      </w:pPr>
    </w:p>
    <w:p w14:paraId="4C9273E8" w14:textId="77777777" w:rsidR="00951FE2" w:rsidRPr="00CC794A" w:rsidRDefault="00951FE2" w:rsidP="006710CD">
      <w:pPr>
        <w:jc w:val="both"/>
      </w:pPr>
    </w:p>
    <w:p w14:paraId="42803BB5" w14:textId="432D38B8" w:rsidR="006710CD" w:rsidRPr="00CC794A" w:rsidRDefault="006710CD" w:rsidP="005156BD"/>
    <w:p w14:paraId="5AEEF8AC" w14:textId="53CCEC37" w:rsidR="0020587E" w:rsidRDefault="0020587E" w:rsidP="0020587E">
      <w:pPr>
        <w:spacing w:line="276" w:lineRule="auto"/>
        <w:rPr>
          <w:lang w:val="en-US"/>
        </w:rPr>
      </w:pPr>
      <w:r>
        <w:rPr>
          <w:lang w:val="en-US"/>
        </w:rPr>
        <w:lastRenderedPageBreak/>
        <w:t>Table 3: Optimisation results at 30, 55, 65, 75 and 80 wt%</w:t>
      </w:r>
      <w:r w:rsidR="006710CD" w:rsidRPr="00CC794A">
        <w:rPr>
          <w:lang w:val="en-US"/>
        </w:rPr>
        <w:t xml:space="preserve"> MEA concentration</w:t>
      </w:r>
      <w:r>
        <w:rPr>
          <w:lang w:val="en-US"/>
        </w:rPr>
        <w:t>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9"/>
        <w:gridCol w:w="1769"/>
        <w:gridCol w:w="1769"/>
        <w:gridCol w:w="1769"/>
      </w:tblGrid>
      <w:tr w:rsidR="0020587E" w14:paraId="3DF23043" w14:textId="77777777" w:rsidTr="007541D3">
        <w:tc>
          <w:tcPr>
            <w:tcW w:w="1769" w:type="dxa"/>
            <w:vMerge w:val="restart"/>
            <w:tcBorders>
              <w:top w:val="single" w:sz="4" w:space="0" w:color="auto"/>
              <w:bottom w:val="single" w:sz="4" w:space="0" w:color="auto"/>
            </w:tcBorders>
          </w:tcPr>
          <w:p w14:paraId="518CA172" w14:textId="3EADC413" w:rsidR="0020587E" w:rsidRPr="0020587E" w:rsidRDefault="0020587E" w:rsidP="00261761">
            <w:pPr>
              <w:jc w:val="center"/>
              <w:rPr>
                <w:rFonts w:ascii="Times New Roman" w:hAnsi="Times New Roman" w:cs="Times New Roman"/>
                <w:sz w:val="20"/>
                <w:szCs w:val="20"/>
              </w:rPr>
            </w:pPr>
            <w:r w:rsidRPr="0020587E">
              <w:rPr>
                <w:rFonts w:ascii="Times New Roman" w:hAnsi="Times New Roman" w:cs="Times New Roman"/>
                <w:sz w:val="20"/>
                <w:szCs w:val="20"/>
              </w:rPr>
              <w:t>MEA con</w:t>
            </w:r>
            <w:r w:rsidR="00652B74">
              <w:rPr>
                <w:rFonts w:ascii="Times New Roman" w:hAnsi="Times New Roman" w:cs="Times New Roman"/>
                <w:sz w:val="20"/>
                <w:szCs w:val="20"/>
              </w:rPr>
              <w:t>c</w:t>
            </w:r>
            <w:r w:rsidR="009C6339">
              <w:rPr>
                <w:rFonts w:ascii="Times New Roman" w:hAnsi="Times New Roman" w:cs="Times New Roman"/>
                <w:sz w:val="20"/>
                <w:szCs w:val="20"/>
              </w:rPr>
              <w:t>.</w:t>
            </w:r>
            <w:r w:rsidRPr="0020587E">
              <w:rPr>
                <w:rFonts w:ascii="Times New Roman" w:hAnsi="Times New Roman" w:cs="Times New Roman"/>
                <w:sz w:val="20"/>
                <w:szCs w:val="20"/>
              </w:rPr>
              <w:t xml:space="preserve"> (wt%)</w:t>
            </w:r>
          </w:p>
        </w:tc>
        <w:tc>
          <w:tcPr>
            <w:tcW w:w="5307" w:type="dxa"/>
            <w:gridSpan w:val="3"/>
            <w:tcBorders>
              <w:top w:val="single" w:sz="4" w:space="0" w:color="auto"/>
              <w:bottom w:val="single" w:sz="4" w:space="0" w:color="auto"/>
            </w:tcBorders>
          </w:tcPr>
          <w:p w14:paraId="5E2B4B3C" w14:textId="3EC7CFA9" w:rsidR="0020587E" w:rsidRPr="0020587E" w:rsidRDefault="0020587E" w:rsidP="00261761">
            <w:pPr>
              <w:jc w:val="center"/>
              <w:rPr>
                <w:rFonts w:ascii="Times New Roman" w:hAnsi="Times New Roman" w:cs="Times New Roman"/>
                <w:sz w:val="20"/>
                <w:szCs w:val="20"/>
              </w:rPr>
            </w:pPr>
            <w:r w:rsidRPr="0020587E">
              <w:rPr>
                <w:rFonts w:ascii="Times New Roman" w:hAnsi="Times New Roman" w:cs="Times New Roman"/>
                <w:sz w:val="20"/>
                <w:szCs w:val="20"/>
              </w:rPr>
              <w:t>Objective value</w:t>
            </w:r>
          </w:p>
        </w:tc>
      </w:tr>
      <w:tr w:rsidR="0020587E" w14:paraId="274A23DD" w14:textId="77777777" w:rsidTr="007541D3">
        <w:tc>
          <w:tcPr>
            <w:tcW w:w="1769" w:type="dxa"/>
            <w:vMerge/>
            <w:tcBorders>
              <w:top w:val="single" w:sz="4" w:space="0" w:color="auto"/>
              <w:bottom w:val="single" w:sz="4" w:space="0" w:color="auto"/>
            </w:tcBorders>
          </w:tcPr>
          <w:p w14:paraId="261E1530" w14:textId="77777777" w:rsidR="0020587E" w:rsidRPr="0020587E" w:rsidRDefault="0020587E" w:rsidP="00261761">
            <w:pPr>
              <w:jc w:val="center"/>
              <w:rPr>
                <w:rFonts w:ascii="Times New Roman" w:hAnsi="Times New Roman" w:cs="Times New Roman"/>
                <w:sz w:val="20"/>
                <w:szCs w:val="20"/>
              </w:rPr>
            </w:pPr>
          </w:p>
        </w:tc>
        <w:tc>
          <w:tcPr>
            <w:tcW w:w="1769" w:type="dxa"/>
            <w:tcBorders>
              <w:top w:val="single" w:sz="4" w:space="0" w:color="auto"/>
              <w:bottom w:val="single" w:sz="4" w:space="0" w:color="auto"/>
            </w:tcBorders>
          </w:tcPr>
          <w:p w14:paraId="6B1FA18F" w14:textId="400CF437" w:rsidR="0020587E" w:rsidRPr="0020587E" w:rsidRDefault="007B5C4A" w:rsidP="00261761">
            <w:pPr>
              <w:jc w:val="center"/>
              <w:rPr>
                <w:rFonts w:ascii="Times New Roman" w:hAnsi="Times New Roman" w:cs="Times New Roman"/>
                <w:sz w:val="20"/>
                <w:szCs w:val="20"/>
              </w:rPr>
            </w:pPr>
            <w:proofErr w:type="gramStart"/>
            <w:r>
              <w:rPr>
                <w:rFonts w:ascii="Times New Roman" w:hAnsi="Times New Roman" w:cs="Times New Roman"/>
                <w:sz w:val="20"/>
                <w:szCs w:val="20"/>
              </w:rPr>
              <w:t>E</w:t>
            </w:r>
            <w:r>
              <w:rPr>
                <w:rFonts w:ascii="Times New Roman" w:hAnsi="Times New Roman" w:cs="Times New Roman"/>
                <w:sz w:val="20"/>
                <w:szCs w:val="20"/>
                <w:vertAlign w:val="subscript"/>
              </w:rPr>
              <w:t>rot,</w:t>
            </w:r>
            <w:r w:rsidRPr="007B5C4A">
              <w:rPr>
                <w:rFonts w:ascii="Times New Roman" w:hAnsi="Times New Roman" w:cs="Times New Roman"/>
                <w:sz w:val="20"/>
                <w:szCs w:val="20"/>
                <w:vertAlign w:val="subscript"/>
              </w:rPr>
              <w:t>abs</w:t>
            </w:r>
            <w:proofErr w:type="gramEnd"/>
            <w:r w:rsidR="0020587E" w:rsidRPr="007B5C4A">
              <w:rPr>
                <w:rFonts w:ascii="Times New Roman" w:hAnsi="Times New Roman" w:cs="Times New Roman"/>
                <w:sz w:val="20"/>
                <w:szCs w:val="20"/>
                <w:vertAlign w:val="subscript"/>
              </w:rPr>
              <w:t xml:space="preserve"> </w:t>
            </w:r>
            <w:r w:rsidR="0020587E" w:rsidRPr="0020587E">
              <w:rPr>
                <w:rFonts w:ascii="Times New Roman" w:hAnsi="Times New Roman" w:cs="Times New Roman"/>
                <w:sz w:val="20"/>
                <w:szCs w:val="20"/>
              </w:rPr>
              <w:t>(GJ/t</w:t>
            </w:r>
            <w:r w:rsidR="0020587E" w:rsidRPr="0020587E">
              <w:rPr>
                <w:rFonts w:ascii="Times New Roman" w:hAnsi="Times New Roman" w:cs="Times New Roman"/>
                <w:sz w:val="20"/>
                <w:szCs w:val="20"/>
                <w:vertAlign w:val="subscript"/>
              </w:rPr>
              <w:t>CO2</w:t>
            </w:r>
            <w:r w:rsidR="0020587E" w:rsidRPr="0020587E">
              <w:rPr>
                <w:rFonts w:ascii="Times New Roman" w:hAnsi="Times New Roman" w:cs="Times New Roman"/>
                <w:sz w:val="20"/>
                <w:szCs w:val="20"/>
              </w:rPr>
              <w:t>)</w:t>
            </w:r>
          </w:p>
        </w:tc>
        <w:tc>
          <w:tcPr>
            <w:tcW w:w="1769" w:type="dxa"/>
            <w:tcBorders>
              <w:top w:val="single" w:sz="4" w:space="0" w:color="auto"/>
              <w:bottom w:val="single" w:sz="4" w:space="0" w:color="auto"/>
            </w:tcBorders>
          </w:tcPr>
          <w:p w14:paraId="3785E3F6" w14:textId="45A715DB" w:rsidR="0020587E" w:rsidRPr="0020587E" w:rsidRDefault="007B5C4A" w:rsidP="009C6339">
            <w:pPr>
              <w:jc w:val="center"/>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sz w:val="20"/>
                <w:szCs w:val="20"/>
                <w:vertAlign w:val="subscript"/>
              </w:rPr>
              <w:t>reg</w:t>
            </w:r>
            <w:r w:rsidR="0020587E" w:rsidRPr="0020587E">
              <w:rPr>
                <w:rFonts w:ascii="Times New Roman" w:hAnsi="Times New Roman" w:cs="Times New Roman"/>
                <w:sz w:val="20"/>
                <w:szCs w:val="20"/>
              </w:rPr>
              <w:t xml:space="preserve"> (GJ/t</w:t>
            </w:r>
            <w:r w:rsidR="0020587E" w:rsidRPr="0020587E">
              <w:rPr>
                <w:rFonts w:ascii="Times New Roman" w:hAnsi="Times New Roman" w:cs="Times New Roman"/>
                <w:sz w:val="20"/>
                <w:szCs w:val="20"/>
                <w:vertAlign w:val="subscript"/>
              </w:rPr>
              <w:t>CO2</w:t>
            </w:r>
            <w:r w:rsidR="0020587E" w:rsidRPr="0020587E">
              <w:rPr>
                <w:rFonts w:ascii="Times New Roman" w:hAnsi="Times New Roman" w:cs="Times New Roman"/>
                <w:sz w:val="20"/>
                <w:szCs w:val="20"/>
              </w:rPr>
              <w:t>)</w:t>
            </w:r>
          </w:p>
        </w:tc>
        <w:tc>
          <w:tcPr>
            <w:tcW w:w="1769" w:type="dxa"/>
            <w:tcBorders>
              <w:top w:val="single" w:sz="4" w:space="0" w:color="auto"/>
              <w:bottom w:val="single" w:sz="4" w:space="0" w:color="auto"/>
            </w:tcBorders>
          </w:tcPr>
          <w:p w14:paraId="26871555" w14:textId="6B4C9B04" w:rsidR="0020587E" w:rsidRPr="0020587E" w:rsidRDefault="00FB42E3" w:rsidP="00261761">
            <w:pPr>
              <w:jc w:val="center"/>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sz w:val="20"/>
                <w:szCs w:val="20"/>
                <w:vertAlign w:val="subscript"/>
              </w:rPr>
              <w:t>tot</w:t>
            </w:r>
            <w:r>
              <w:rPr>
                <w:rFonts w:ascii="Times New Roman" w:hAnsi="Times New Roman" w:cs="Times New Roman"/>
                <w:sz w:val="20"/>
                <w:szCs w:val="20"/>
              </w:rPr>
              <w:t xml:space="preserve"> </w:t>
            </w:r>
            <w:r w:rsidR="0020587E" w:rsidRPr="0020587E">
              <w:rPr>
                <w:rFonts w:ascii="Times New Roman" w:hAnsi="Times New Roman" w:cs="Times New Roman"/>
                <w:sz w:val="20"/>
                <w:szCs w:val="20"/>
              </w:rPr>
              <w:t>(GJ/t</w:t>
            </w:r>
            <w:r w:rsidR="0020587E" w:rsidRPr="0020587E">
              <w:rPr>
                <w:rFonts w:ascii="Times New Roman" w:hAnsi="Times New Roman" w:cs="Times New Roman"/>
                <w:sz w:val="20"/>
                <w:szCs w:val="20"/>
                <w:vertAlign w:val="subscript"/>
              </w:rPr>
              <w:t>CO2</w:t>
            </w:r>
            <w:r w:rsidR="0020587E" w:rsidRPr="0020587E">
              <w:rPr>
                <w:rFonts w:ascii="Times New Roman" w:hAnsi="Times New Roman" w:cs="Times New Roman"/>
                <w:sz w:val="20"/>
                <w:szCs w:val="20"/>
              </w:rPr>
              <w:t>)</w:t>
            </w:r>
          </w:p>
        </w:tc>
      </w:tr>
      <w:tr w:rsidR="0020587E" w14:paraId="7D81FFE8" w14:textId="77777777" w:rsidTr="007541D3">
        <w:tc>
          <w:tcPr>
            <w:tcW w:w="1769" w:type="dxa"/>
            <w:tcBorders>
              <w:top w:val="single" w:sz="4" w:space="0" w:color="auto"/>
            </w:tcBorders>
          </w:tcPr>
          <w:p w14:paraId="0F3250A9" w14:textId="25252E74" w:rsidR="0020587E" w:rsidRPr="0020587E" w:rsidRDefault="0020587E" w:rsidP="00261761">
            <w:pPr>
              <w:jc w:val="center"/>
              <w:rPr>
                <w:rFonts w:ascii="Times New Roman" w:hAnsi="Times New Roman" w:cs="Times New Roman"/>
                <w:sz w:val="20"/>
                <w:szCs w:val="20"/>
              </w:rPr>
            </w:pPr>
            <w:r w:rsidRPr="0020587E">
              <w:rPr>
                <w:rFonts w:ascii="Times New Roman" w:hAnsi="Times New Roman" w:cs="Times New Roman"/>
                <w:sz w:val="20"/>
                <w:szCs w:val="20"/>
              </w:rPr>
              <w:t>30</w:t>
            </w:r>
          </w:p>
        </w:tc>
        <w:tc>
          <w:tcPr>
            <w:tcW w:w="1769" w:type="dxa"/>
            <w:tcBorders>
              <w:top w:val="single" w:sz="4" w:space="0" w:color="auto"/>
            </w:tcBorders>
          </w:tcPr>
          <w:p w14:paraId="184D2077" w14:textId="4DC21B90" w:rsidR="0020587E" w:rsidRPr="0020587E" w:rsidRDefault="0020587E" w:rsidP="00261761">
            <w:pPr>
              <w:jc w:val="center"/>
              <w:rPr>
                <w:rFonts w:ascii="Times New Roman" w:hAnsi="Times New Roman" w:cs="Times New Roman"/>
                <w:sz w:val="20"/>
                <w:szCs w:val="20"/>
              </w:rPr>
            </w:pPr>
            <w:r w:rsidRPr="0020587E">
              <w:rPr>
                <w:rFonts w:ascii="Times New Roman" w:hAnsi="Times New Roman" w:cs="Times New Roman"/>
                <w:sz w:val="20"/>
                <w:szCs w:val="20"/>
              </w:rPr>
              <w:t>0.84</w:t>
            </w:r>
          </w:p>
        </w:tc>
        <w:tc>
          <w:tcPr>
            <w:tcW w:w="1769" w:type="dxa"/>
            <w:tcBorders>
              <w:top w:val="single" w:sz="4" w:space="0" w:color="auto"/>
            </w:tcBorders>
          </w:tcPr>
          <w:p w14:paraId="61E32A21" w14:textId="4CE76F99" w:rsidR="0020587E" w:rsidRPr="0020587E" w:rsidRDefault="0020587E" w:rsidP="00261761">
            <w:pPr>
              <w:jc w:val="center"/>
              <w:rPr>
                <w:rFonts w:ascii="Times New Roman" w:hAnsi="Times New Roman" w:cs="Times New Roman"/>
                <w:sz w:val="20"/>
                <w:szCs w:val="20"/>
              </w:rPr>
            </w:pPr>
            <w:r w:rsidRPr="0020587E">
              <w:rPr>
                <w:rFonts w:ascii="Times New Roman" w:hAnsi="Times New Roman" w:cs="Times New Roman"/>
                <w:sz w:val="20"/>
                <w:szCs w:val="20"/>
              </w:rPr>
              <w:t>4.76</w:t>
            </w:r>
          </w:p>
        </w:tc>
        <w:tc>
          <w:tcPr>
            <w:tcW w:w="1769" w:type="dxa"/>
            <w:tcBorders>
              <w:top w:val="single" w:sz="4" w:space="0" w:color="auto"/>
            </w:tcBorders>
          </w:tcPr>
          <w:p w14:paraId="62D416F7" w14:textId="7A530439" w:rsidR="0020587E" w:rsidRPr="0020587E" w:rsidRDefault="0020587E" w:rsidP="00261761">
            <w:pPr>
              <w:jc w:val="center"/>
              <w:rPr>
                <w:rFonts w:ascii="Times New Roman" w:hAnsi="Times New Roman" w:cs="Times New Roman"/>
                <w:sz w:val="20"/>
                <w:szCs w:val="20"/>
              </w:rPr>
            </w:pPr>
            <w:r w:rsidRPr="0020587E">
              <w:rPr>
                <w:rFonts w:ascii="Times New Roman" w:hAnsi="Times New Roman" w:cs="Times New Roman"/>
                <w:sz w:val="20"/>
                <w:szCs w:val="20"/>
              </w:rPr>
              <w:t>5.60</w:t>
            </w:r>
          </w:p>
        </w:tc>
      </w:tr>
      <w:tr w:rsidR="0020587E" w14:paraId="565EEEE3" w14:textId="77777777" w:rsidTr="007541D3">
        <w:tc>
          <w:tcPr>
            <w:tcW w:w="1769" w:type="dxa"/>
          </w:tcPr>
          <w:p w14:paraId="7F4362FC" w14:textId="5EBB5703" w:rsidR="0020587E" w:rsidRPr="0020587E" w:rsidRDefault="0020587E" w:rsidP="00261761">
            <w:pPr>
              <w:jc w:val="center"/>
              <w:rPr>
                <w:rFonts w:ascii="Times New Roman" w:hAnsi="Times New Roman" w:cs="Times New Roman"/>
                <w:sz w:val="20"/>
                <w:szCs w:val="20"/>
              </w:rPr>
            </w:pPr>
            <w:r w:rsidRPr="0020587E">
              <w:rPr>
                <w:rFonts w:ascii="Times New Roman" w:hAnsi="Times New Roman" w:cs="Times New Roman"/>
                <w:sz w:val="20"/>
                <w:szCs w:val="20"/>
              </w:rPr>
              <w:t>55</w:t>
            </w:r>
          </w:p>
        </w:tc>
        <w:tc>
          <w:tcPr>
            <w:tcW w:w="1769" w:type="dxa"/>
          </w:tcPr>
          <w:p w14:paraId="5739598D" w14:textId="1ABF6B15" w:rsidR="0020587E" w:rsidRPr="0020587E" w:rsidRDefault="0020587E" w:rsidP="00261761">
            <w:pPr>
              <w:jc w:val="center"/>
              <w:rPr>
                <w:rFonts w:ascii="Times New Roman" w:hAnsi="Times New Roman" w:cs="Times New Roman"/>
                <w:sz w:val="20"/>
                <w:szCs w:val="20"/>
              </w:rPr>
            </w:pPr>
            <w:r w:rsidRPr="0020587E">
              <w:rPr>
                <w:rFonts w:ascii="Times New Roman" w:hAnsi="Times New Roman" w:cs="Times New Roman"/>
                <w:sz w:val="20"/>
                <w:szCs w:val="20"/>
              </w:rPr>
              <w:t>0.67</w:t>
            </w:r>
          </w:p>
        </w:tc>
        <w:tc>
          <w:tcPr>
            <w:tcW w:w="1769" w:type="dxa"/>
          </w:tcPr>
          <w:p w14:paraId="4E2D67BD" w14:textId="082F60ED" w:rsidR="0020587E" w:rsidRPr="0020587E" w:rsidRDefault="0020587E" w:rsidP="00261761">
            <w:pPr>
              <w:jc w:val="center"/>
              <w:rPr>
                <w:rFonts w:ascii="Times New Roman" w:hAnsi="Times New Roman" w:cs="Times New Roman"/>
                <w:sz w:val="20"/>
                <w:szCs w:val="20"/>
              </w:rPr>
            </w:pPr>
            <w:r w:rsidRPr="0020587E">
              <w:rPr>
                <w:rFonts w:ascii="Times New Roman" w:hAnsi="Times New Roman" w:cs="Times New Roman"/>
                <w:sz w:val="20"/>
                <w:szCs w:val="20"/>
              </w:rPr>
              <w:t>4.49</w:t>
            </w:r>
          </w:p>
        </w:tc>
        <w:tc>
          <w:tcPr>
            <w:tcW w:w="1769" w:type="dxa"/>
          </w:tcPr>
          <w:p w14:paraId="3EF19E9E" w14:textId="5EAF3C8A" w:rsidR="0020587E" w:rsidRPr="0020587E" w:rsidRDefault="0020587E" w:rsidP="00261761">
            <w:pPr>
              <w:jc w:val="center"/>
              <w:rPr>
                <w:rFonts w:ascii="Times New Roman" w:hAnsi="Times New Roman" w:cs="Times New Roman"/>
                <w:sz w:val="20"/>
                <w:szCs w:val="20"/>
              </w:rPr>
            </w:pPr>
            <w:r w:rsidRPr="0020587E">
              <w:rPr>
                <w:rFonts w:ascii="Times New Roman" w:hAnsi="Times New Roman" w:cs="Times New Roman"/>
                <w:sz w:val="20"/>
                <w:szCs w:val="20"/>
              </w:rPr>
              <w:t>5.16</w:t>
            </w:r>
          </w:p>
        </w:tc>
      </w:tr>
      <w:tr w:rsidR="0020587E" w14:paraId="7EB6226A" w14:textId="77777777" w:rsidTr="007541D3">
        <w:tc>
          <w:tcPr>
            <w:tcW w:w="1769" w:type="dxa"/>
          </w:tcPr>
          <w:p w14:paraId="12FF4BFD" w14:textId="04C442ED" w:rsidR="0020587E" w:rsidRPr="0020587E" w:rsidRDefault="0020587E" w:rsidP="00261761">
            <w:pPr>
              <w:jc w:val="center"/>
              <w:rPr>
                <w:rFonts w:ascii="Times New Roman" w:hAnsi="Times New Roman" w:cs="Times New Roman"/>
                <w:sz w:val="20"/>
                <w:szCs w:val="20"/>
              </w:rPr>
            </w:pPr>
            <w:r w:rsidRPr="0020587E">
              <w:rPr>
                <w:rFonts w:ascii="Times New Roman" w:hAnsi="Times New Roman" w:cs="Times New Roman"/>
                <w:sz w:val="20"/>
                <w:szCs w:val="20"/>
              </w:rPr>
              <w:t>65</w:t>
            </w:r>
          </w:p>
        </w:tc>
        <w:tc>
          <w:tcPr>
            <w:tcW w:w="1769" w:type="dxa"/>
          </w:tcPr>
          <w:p w14:paraId="6712F45C" w14:textId="409AA12E" w:rsidR="0020587E" w:rsidRPr="0020587E" w:rsidRDefault="0020587E" w:rsidP="00261761">
            <w:pPr>
              <w:jc w:val="center"/>
              <w:rPr>
                <w:rFonts w:ascii="Times New Roman" w:hAnsi="Times New Roman" w:cs="Times New Roman"/>
                <w:sz w:val="20"/>
                <w:szCs w:val="20"/>
              </w:rPr>
            </w:pPr>
            <w:r w:rsidRPr="0020587E">
              <w:rPr>
                <w:rFonts w:ascii="Times New Roman" w:hAnsi="Times New Roman" w:cs="Times New Roman"/>
                <w:sz w:val="20"/>
                <w:szCs w:val="20"/>
              </w:rPr>
              <w:t>0.55</w:t>
            </w:r>
          </w:p>
        </w:tc>
        <w:tc>
          <w:tcPr>
            <w:tcW w:w="1769" w:type="dxa"/>
          </w:tcPr>
          <w:p w14:paraId="5D356A40" w14:textId="35CA0FCF" w:rsidR="0020587E" w:rsidRPr="0020587E" w:rsidRDefault="0020587E" w:rsidP="00261761">
            <w:pPr>
              <w:jc w:val="center"/>
              <w:rPr>
                <w:rFonts w:ascii="Times New Roman" w:hAnsi="Times New Roman" w:cs="Times New Roman"/>
                <w:sz w:val="20"/>
                <w:szCs w:val="20"/>
              </w:rPr>
            </w:pPr>
            <w:r w:rsidRPr="0020587E">
              <w:rPr>
                <w:rFonts w:ascii="Times New Roman" w:hAnsi="Times New Roman" w:cs="Times New Roman"/>
                <w:sz w:val="20"/>
                <w:szCs w:val="20"/>
              </w:rPr>
              <w:t>4.23</w:t>
            </w:r>
          </w:p>
        </w:tc>
        <w:tc>
          <w:tcPr>
            <w:tcW w:w="1769" w:type="dxa"/>
          </w:tcPr>
          <w:p w14:paraId="653A0A9D" w14:textId="46860AF9" w:rsidR="0020587E" w:rsidRPr="0020587E" w:rsidRDefault="0020587E" w:rsidP="00261761">
            <w:pPr>
              <w:jc w:val="center"/>
              <w:rPr>
                <w:rFonts w:ascii="Times New Roman" w:hAnsi="Times New Roman" w:cs="Times New Roman"/>
                <w:sz w:val="20"/>
                <w:szCs w:val="20"/>
              </w:rPr>
            </w:pPr>
            <w:r w:rsidRPr="0020587E">
              <w:rPr>
                <w:rFonts w:ascii="Times New Roman" w:hAnsi="Times New Roman" w:cs="Times New Roman"/>
                <w:sz w:val="20"/>
                <w:szCs w:val="20"/>
              </w:rPr>
              <w:t>4.78</w:t>
            </w:r>
          </w:p>
        </w:tc>
      </w:tr>
      <w:tr w:rsidR="0020587E" w14:paraId="3DB17632" w14:textId="77777777" w:rsidTr="007541D3">
        <w:tc>
          <w:tcPr>
            <w:tcW w:w="1769" w:type="dxa"/>
          </w:tcPr>
          <w:p w14:paraId="2C53469A" w14:textId="041E6C07" w:rsidR="0020587E" w:rsidRPr="0020587E" w:rsidRDefault="0020587E" w:rsidP="00261761">
            <w:pPr>
              <w:jc w:val="center"/>
              <w:rPr>
                <w:rFonts w:ascii="Times New Roman" w:hAnsi="Times New Roman" w:cs="Times New Roman"/>
                <w:sz w:val="20"/>
                <w:szCs w:val="20"/>
              </w:rPr>
            </w:pPr>
            <w:r w:rsidRPr="0020587E">
              <w:rPr>
                <w:rFonts w:ascii="Times New Roman" w:hAnsi="Times New Roman" w:cs="Times New Roman"/>
                <w:sz w:val="20"/>
                <w:szCs w:val="20"/>
              </w:rPr>
              <w:t>75</w:t>
            </w:r>
          </w:p>
        </w:tc>
        <w:tc>
          <w:tcPr>
            <w:tcW w:w="1769" w:type="dxa"/>
          </w:tcPr>
          <w:p w14:paraId="11C852CC" w14:textId="16CD0DCE" w:rsidR="0020587E" w:rsidRPr="0020587E" w:rsidRDefault="0020587E" w:rsidP="00261761">
            <w:pPr>
              <w:jc w:val="center"/>
              <w:rPr>
                <w:rFonts w:ascii="Times New Roman" w:hAnsi="Times New Roman" w:cs="Times New Roman"/>
                <w:sz w:val="20"/>
                <w:szCs w:val="20"/>
              </w:rPr>
            </w:pPr>
            <w:r w:rsidRPr="0020587E">
              <w:rPr>
                <w:rFonts w:ascii="Times New Roman" w:hAnsi="Times New Roman" w:cs="Times New Roman"/>
                <w:sz w:val="20"/>
                <w:szCs w:val="20"/>
              </w:rPr>
              <w:t>0.47</w:t>
            </w:r>
          </w:p>
        </w:tc>
        <w:tc>
          <w:tcPr>
            <w:tcW w:w="1769" w:type="dxa"/>
          </w:tcPr>
          <w:p w14:paraId="4D1D0F36" w14:textId="0AC303BA" w:rsidR="0020587E" w:rsidRPr="0020587E" w:rsidRDefault="0020587E" w:rsidP="00261761">
            <w:pPr>
              <w:jc w:val="center"/>
              <w:rPr>
                <w:rFonts w:ascii="Times New Roman" w:hAnsi="Times New Roman" w:cs="Times New Roman"/>
                <w:sz w:val="20"/>
                <w:szCs w:val="20"/>
              </w:rPr>
            </w:pPr>
            <w:r w:rsidRPr="0020587E">
              <w:rPr>
                <w:rFonts w:ascii="Times New Roman" w:hAnsi="Times New Roman" w:cs="Times New Roman"/>
                <w:sz w:val="20"/>
                <w:szCs w:val="20"/>
              </w:rPr>
              <w:t>3.99</w:t>
            </w:r>
          </w:p>
        </w:tc>
        <w:tc>
          <w:tcPr>
            <w:tcW w:w="1769" w:type="dxa"/>
          </w:tcPr>
          <w:p w14:paraId="6EDD5FCF" w14:textId="543B8C10" w:rsidR="0020587E" w:rsidRPr="0020587E" w:rsidRDefault="0020587E" w:rsidP="00261761">
            <w:pPr>
              <w:jc w:val="center"/>
              <w:rPr>
                <w:rFonts w:ascii="Times New Roman" w:hAnsi="Times New Roman" w:cs="Times New Roman"/>
                <w:sz w:val="20"/>
                <w:szCs w:val="20"/>
              </w:rPr>
            </w:pPr>
            <w:r w:rsidRPr="0020587E">
              <w:rPr>
                <w:rFonts w:ascii="Times New Roman" w:hAnsi="Times New Roman" w:cs="Times New Roman"/>
                <w:sz w:val="20"/>
                <w:szCs w:val="20"/>
              </w:rPr>
              <w:t>4.46</w:t>
            </w:r>
          </w:p>
        </w:tc>
      </w:tr>
      <w:tr w:rsidR="0020587E" w14:paraId="325C2AD9" w14:textId="77777777" w:rsidTr="007541D3">
        <w:tc>
          <w:tcPr>
            <w:tcW w:w="1769" w:type="dxa"/>
            <w:tcBorders>
              <w:bottom w:val="single" w:sz="4" w:space="0" w:color="auto"/>
            </w:tcBorders>
          </w:tcPr>
          <w:p w14:paraId="5ACBC87F" w14:textId="20F4E3AB" w:rsidR="0020587E" w:rsidRPr="0020587E" w:rsidRDefault="0020587E" w:rsidP="00261761">
            <w:pPr>
              <w:jc w:val="center"/>
              <w:rPr>
                <w:rFonts w:ascii="Times New Roman" w:hAnsi="Times New Roman" w:cs="Times New Roman"/>
                <w:sz w:val="20"/>
                <w:szCs w:val="20"/>
              </w:rPr>
            </w:pPr>
            <w:r w:rsidRPr="0020587E">
              <w:rPr>
                <w:rFonts w:ascii="Times New Roman" w:hAnsi="Times New Roman" w:cs="Times New Roman"/>
                <w:sz w:val="20"/>
                <w:szCs w:val="20"/>
              </w:rPr>
              <w:t>80</w:t>
            </w:r>
          </w:p>
        </w:tc>
        <w:tc>
          <w:tcPr>
            <w:tcW w:w="1769" w:type="dxa"/>
            <w:tcBorders>
              <w:bottom w:val="single" w:sz="4" w:space="0" w:color="auto"/>
            </w:tcBorders>
          </w:tcPr>
          <w:p w14:paraId="56D78900" w14:textId="2BE452FD" w:rsidR="0020587E" w:rsidRPr="0020587E" w:rsidRDefault="0020587E" w:rsidP="00261761">
            <w:pPr>
              <w:jc w:val="center"/>
              <w:rPr>
                <w:rFonts w:ascii="Times New Roman" w:hAnsi="Times New Roman" w:cs="Times New Roman"/>
                <w:sz w:val="20"/>
                <w:szCs w:val="20"/>
              </w:rPr>
            </w:pPr>
            <w:r w:rsidRPr="0020587E">
              <w:rPr>
                <w:rFonts w:ascii="Times New Roman" w:hAnsi="Times New Roman" w:cs="Times New Roman"/>
                <w:sz w:val="20"/>
                <w:szCs w:val="20"/>
              </w:rPr>
              <w:t>0.37</w:t>
            </w:r>
          </w:p>
        </w:tc>
        <w:tc>
          <w:tcPr>
            <w:tcW w:w="1769" w:type="dxa"/>
            <w:tcBorders>
              <w:bottom w:val="single" w:sz="4" w:space="0" w:color="auto"/>
            </w:tcBorders>
          </w:tcPr>
          <w:p w14:paraId="25AFAF2D" w14:textId="44783303" w:rsidR="0020587E" w:rsidRPr="0020587E" w:rsidRDefault="0020587E" w:rsidP="00261761">
            <w:pPr>
              <w:jc w:val="center"/>
              <w:rPr>
                <w:rFonts w:ascii="Times New Roman" w:hAnsi="Times New Roman" w:cs="Times New Roman"/>
                <w:sz w:val="20"/>
                <w:szCs w:val="20"/>
              </w:rPr>
            </w:pPr>
            <w:r w:rsidRPr="0020587E">
              <w:rPr>
                <w:rFonts w:ascii="Times New Roman" w:hAnsi="Times New Roman" w:cs="Times New Roman"/>
                <w:sz w:val="20"/>
                <w:szCs w:val="20"/>
              </w:rPr>
              <w:t>4.34</w:t>
            </w:r>
          </w:p>
        </w:tc>
        <w:tc>
          <w:tcPr>
            <w:tcW w:w="1769" w:type="dxa"/>
            <w:tcBorders>
              <w:bottom w:val="single" w:sz="4" w:space="0" w:color="auto"/>
            </w:tcBorders>
          </w:tcPr>
          <w:p w14:paraId="5FE01395" w14:textId="6D2176EF" w:rsidR="0020587E" w:rsidRPr="0020587E" w:rsidRDefault="0020587E" w:rsidP="00261761">
            <w:pPr>
              <w:jc w:val="center"/>
              <w:rPr>
                <w:rFonts w:ascii="Times New Roman" w:hAnsi="Times New Roman" w:cs="Times New Roman"/>
                <w:sz w:val="20"/>
                <w:szCs w:val="20"/>
              </w:rPr>
            </w:pPr>
            <w:r w:rsidRPr="0020587E">
              <w:rPr>
                <w:rFonts w:ascii="Times New Roman" w:hAnsi="Times New Roman" w:cs="Times New Roman"/>
                <w:sz w:val="20"/>
                <w:szCs w:val="20"/>
              </w:rPr>
              <w:t>4.71</w:t>
            </w:r>
          </w:p>
        </w:tc>
      </w:tr>
    </w:tbl>
    <w:p w14:paraId="205198F4" w14:textId="77777777" w:rsidR="0020587E" w:rsidRPr="00261761" w:rsidRDefault="0020587E" w:rsidP="008F0C7A"/>
    <w:p w14:paraId="144DE6BA" w14:textId="681D25E5" w:rsidR="008D2649" w:rsidRPr="00A94774" w:rsidRDefault="008D2649" w:rsidP="008D2649">
      <w:pPr>
        <w:pStyle w:val="Els-1storder-head"/>
        <w:spacing w:after="120"/>
        <w:rPr>
          <w:lang w:val="en-GB"/>
        </w:rPr>
      </w:pPr>
      <w:r w:rsidRPr="00A94774">
        <w:rPr>
          <w:lang w:val="en-GB"/>
        </w:rPr>
        <w:t>Conclusions</w:t>
      </w:r>
      <w:r w:rsidR="00261761">
        <w:rPr>
          <w:lang w:val="en-GB"/>
        </w:rPr>
        <w:t xml:space="preserve"> and future work</w:t>
      </w:r>
    </w:p>
    <w:p w14:paraId="5811DB8C" w14:textId="72A27D31" w:rsidR="00933B51" w:rsidRPr="00CC794A" w:rsidRDefault="00933B51" w:rsidP="00933B51">
      <w:pPr>
        <w:jc w:val="both"/>
      </w:pPr>
      <w:r w:rsidRPr="00CC794A">
        <w:rPr>
          <w:shd w:val="clear" w:color="auto" w:fill="FFFFFF"/>
        </w:rPr>
        <w:t xml:space="preserve">A steady-state user-defined rate-based model of RPB absorber developed in ACM was validated at </w:t>
      </w:r>
      <w:r w:rsidR="005C53CE">
        <w:rPr>
          <w:shd w:val="clear" w:color="auto" w:fill="FFFFFF"/>
        </w:rPr>
        <w:t xml:space="preserve">a </w:t>
      </w:r>
      <w:r w:rsidRPr="00CC794A">
        <w:rPr>
          <w:shd w:val="clear" w:color="auto" w:fill="FFFFFF"/>
        </w:rPr>
        <w:t>pilot scale using experimental data and then scaled up to deal with flue gas from a 250 MW CCGT power plant. The large-scale RPB absorber model was exported from ACM to the Aspen Plus</w:t>
      </w:r>
      <w:r w:rsidRPr="00CC794A">
        <w:rPr>
          <w:shd w:val="clear" w:color="auto" w:fill="FFFFFF"/>
          <w:vertAlign w:val="superscript"/>
        </w:rPr>
        <w:t>®</w:t>
      </w:r>
      <w:r w:rsidRPr="00CC794A">
        <w:rPr>
          <w:shd w:val="clear" w:color="auto" w:fill="FFFFFF"/>
        </w:rPr>
        <w:t xml:space="preserve"> environment. The RPB absorber was integrated with the PB stripper and other process equipment (pumps and heat exchangers) to develop the whole process for a large-scale PCC process. This large-scale model was used for process analysis and optimization studies. </w:t>
      </w:r>
      <w:r w:rsidRPr="00CC794A">
        <w:t>The lowest total energy consumption of 4.46 GJ/t</w:t>
      </w:r>
      <w:r w:rsidRPr="00CC794A">
        <w:rPr>
          <w:vertAlign w:val="subscript"/>
        </w:rPr>
        <w:t>CO2</w:t>
      </w:r>
      <w:r w:rsidRPr="00CC794A">
        <w:t xml:space="preserve"> was found at an optimal MEA concentration of 75 wt%. The regeneration energy contributed the largest share (3.99 GJ/t</w:t>
      </w:r>
      <w:r w:rsidRPr="00CC794A">
        <w:rPr>
          <w:vertAlign w:val="subscript"/>
        </w:rPr>
        <w:t>CO2</w:t>
      </w:r>
      <w:r w:rsidRPr="00CC794A">
        <w:t>) to the total energy consumption. Future will include economic assessments to determine the optimal concentration that results in the lowest CO</w:t>
      </w:r>
      <w:r w:rsidRPr="00CC794A">
        <w:rPr>
          <w:vertAlign w:val="subscript"/>
        </w:rPr>
        <w:t>2</w:t>
      </w:r>
      <w:r w:rsidRPr="00CC794A">
        <w:t xml:space="preserve"> capture cost. </w:t>
      </w:r>
    </w:p>
    <w:p w14:paraId="144DE6BF" w14:textId="608D0AD6" w:rsidR="008D2649" w:rsidRDefault="008D2649" w:rsidP="008D2649">
      <w:pPr>
        <w:pStyle w:val="Els-reference-head"/>
      </w:pPr>
      <w:r>
        <w:t>References</w:t>
      </w:r>
    </w:p>
    <w:p w14:paraId="48E22A61" w14:textId="0E3854BB" w:rsidR="00204114" w:rsidRPr="00204114" w:rsidRDefault="00933B51" w:rsidP="00951FE2">
      <w:pPr>
        <w:widowControl w:val="0"/>
        <w:autoSpaceDE w:val="0"/>
        <w:autoSpaceDN w:val="0"/>
        <w:adjustRightInd w:val="0"/>
        <w:ind w:left="640" w:hanging="640"/>
        <w:jc w:val="both"/>
        <w:rPr>
          <w:noProof/>
          <w:sz w:val="18"/>
          <w:szCs w:val="24"/>
        </w:rPr>
      </w:pPr>
      <w:r w:rsidRPr="00CC794A">
        <w:rPr>
          <w:lang w:val="en-US"/>
        </w:rPr>
        <w:fldChar w:fldCharType="begin" w:fldLock="1"/>
      </w:r>
      <w:r w:rsidRPr="00CC794A">
        <w:rPr>
          <w:lang w:val="en-US"/>
        </w:rPr>
        <w:instrText xml:space="preserve">ADDIN Mendeley Bibliography CSL_BIBLIOGRAPHY </w:instrText>
      </w:r>
      <w:r w:rsidRPr="00CC794A">
        <w:rPr>
          <w:lang w:val="en-US"/>
        </w:rPr>
        <w:fldChar w:fldCharType="separate"/>
      </w:r>
      <w:r w:rsidR="00204114" w:rsidRPr="00204114">
        <w:rPr>
          <w:noProof/>
          <w:sz w:val="18"/>
          <w:szCs w:val="24"/>
        </w:rPr>
        <w:t>[1]</w:t>
      </w:r>
      <w:r w:rsidR="00204114" w:rsidRPr="00204114">
        <w:rPr>
          <w:noProof/>
          <w:sz w:val="18"/>
          <w:szCs w:val="24"/>
        </w:rPr>
        <w:tab/>
        <w:t xml:space="preserve">Bui M, Adjiman CS, Bardow A, Anthony EJ, Boston A, Brown S, et al. Carbon capture and storage (CCS): The way forward. Energy Environ Sci 2018;11:1062–176. </w:t>
      </w:r>
    </w:p>
    <w:p w14:paraId="2780A3A8" w14:textId="0ED442AD" w:rsidR="00204114" w:rsidRPr="00204114" w:rsidRDefault="00204114" w:rsidP="00951FE2">
      <w:pPr>
        <w:widowControl w:val="0"/>
        <w:autoSpaceDE w:val="0"/>
        <w:autoSpaceDN w:val="0"/>
        <w:adjustRightInd w:val="0"/>
        <w:ind w:left="640" w:hanging="640"/>
        <w:jc w:val="both"/>
        <w:rPr>
          <w:noProof/>
          <w:sz w:val="18"/>
          <w:szCs w:val="24"/>
        </w:rPr>
      </w:pPr>
      <w:r w:rsidRPr="00204114">
        <w:rPr>
          <w:noProof/>
          <w:sz w:val="18"/>
          <w:szCs w:val="24"/>
        </w:rPr>
        <w:t>[2]</w:t>
      </w:r>
      <w:r w:rsidRPr="00204114">
        <w:rPr>
          <w:noProof/>
          <w:sz w:val="18"/>
          <w:szCs w:val="24"/>
        </w:rPr>
        <w:tab/>
        <w:t>Otitoju O, Oko E, Wang M. Modelling, scale-up and techno-economic assessment of rotating packed bed absorber for CO</w:t>
      </w:r>
      <w:r w:rsidRPr="00A10DB6">
        <w:rPr>
          <w:noProof/>
          <w:sz w:val="18"/>
          <w:szCs w:val="24"/>
          <w:vertAlign w:val="subscript"/>
        </w:rPr>
        <w:t>2</w:t>
      </w:r>
      <w:r w:rsidRPr="00204114">
        <w:rPr>
          <w:noProof/>
          <w:sz w:val="18"/>
          <w:szCs w:val="24"/>
        </w:rPr>
        <w:t xml:space="preserve"> capture from a 250 MW e combined cycle gas turbine power plant. Appl Energy 2023;335:120747. </w:t>
      </w:r>
    </w:p>
    <w:p w14:paraId="0D132466" w14:textId="04E98D09" w:rsidR="00204114" w:rsidRPr="00204114" w:rsidRDefault="00204114" w:rsidP="00951FE2">
      <w:pPr>
        <w:widowControl w:val="0"/>
        <w:autoSpaceDE w:val="0"/>
        <w:autoSpaceDN w:val="0"/>
        <w:adjustRightInd w:val="0"/>
        <w:ind w:left="640" w:hanging="640"/>
        <w:jc w:val="both"/>
        <w:rPr>
          <w:noProof/>
          <w:sz w:val="18"/>
          <w:szCs w:val="24"/>
        </w:rPr>
      </w:pPr>
      <w:r w:rsidRPr="00204114">
        <w:rPr>
          <w:noProof/>
          <w:sz w:val="18"/>
          <w:szCs w:val="24"/>
        </w:rPr>
        <w:t>[3]</w:t>
      </w:r>
      <w:r w:rsidRPr="00204114">
        <w:rPr>
          <w:noProof/>
          <w:sz w:val="18"/>
          <w:szCs w:val="24"/>
        </w:rPr>
        <w:tab/>
        <w:t>Oko E, Ramshaw C, Wang M. Study of intercooling for rotating packed bed absorbers in intensified solvent-based CO</w:t>
      </w:r>
      <w:r w:rsidRPr="00A10DB6">
        <w:rPr>
          <w:noProof/>
          <w:sz w:val="18"/>
          <w:szCs w:val="24"/>
          <w:vertAlign w:val="subscript"/>
        </w:rPr>
        <w:t>2</w:t>
      </w:r>
      <w:r w:rsidRPr="00204114">
        <w:rPr>
          <w:noProof/>
          <w:sz w:val="18"/>
          <w:szCs w:val="24"/>
        </w:rPr>
        <w:t xml:space="preserve"> capture process. Appl Energy 2018;223:302–16. </w:t>
      </w:r>
    </w:p>
    <w:p w14:paraId="326811A8" w14:textId="70D3BE70" w:rsidR="00204114" w:rsidRPr="00204114" w:rsidRDefault="00204114" w:rsidP="00951FE2">
      <w:pPr>
        <w:widowControl w:val="0"/>
        <w:autoSpaceDE w:val="0"/>
        <w:autoSpaceDN w:val="0"/>
        <w:adjustRightInd w:val="0"/>
        <w:ind w:left="640" w:hanging="640"/>
        <w:jc w:val="both"/>
        <w:rPr>
          <w:noProof/>
          <w:sz w:val="18"/>
          <w:szCs w:val="24"/>
        </w:rPr>
      </w:pPr>
      <w:r w:rsidRPr="00204114">
        <w:rPr>
          <w:noProof/>
          <w:sz w:val="18"/>
          <w:szCs w:val="24"/>
        </w:rPr>
        <w:t>[4]</w:t>
      </w:r>
      <w:r w:rsidRPr="00204114">
        <w:rPr>
          <w:noProof/>
          <w:sz w:val="18"/>
          <w:szCs w:val="24"/>
        </w:rPr>
        <w:tab/>
        <w:t xml:space="preserve">Onda K, Takeuchi H, Okumoto Y. Mass transfer coefficients between gas and liquid phases in packed columns. J Chem Eng Japan 1968;1:56–62. </w:t>
      </w:r>
    </w:p>
    <w:p w14:paraId="5D7A2123" w14:textId="77777777" w:rsidR="00204114" w:rsidRPr="00204114" w:rsidRDefault="00204114" w:rsidP="00951FE2">
      <w:pPr>
        <w:widowControl w:val="0"/>
        <w:autoSpaceDE w:val="0"/>
        <w:autoSpaceDN w:val="0"/>
        <w:adjustRightInd w:val="0"/>
        <w:ind w:left="640" w:hanging="640"/>
        <w:jc w:val="both"/>
        <w:rPr>
          <w:noProof/>
          <w:sz w:val="18"/>
          <w:szCs w:val="24"/>
        </w:rPr>
      </w:pPr>
      <w:r w:rsidRPr="00204114">
        <w:rPr>
          <w:noProof/>
          <w:sz w:val="18"/>
          <w:szCs w:val="24"/>
        </w:rPr>
        <w:t>[5]</w:t>
      </w:r>
      <w:r w:rsidRPr="00204114">
        <w:rPr>
          <w:noProof/>
          <w:sz w:val="18"/>
          <w:szCs w:val="24"/>
        </w:rPr>
        <w:tab/>
        <w:t>Tung H-H, Mah RSH. Modeling liquid mass transfer in HIGEE separation process. Chem Eng Commun 1985;39:147–53.</w:t>
      </w:r>
    </w:p>
    <w:p w14:paraId="31562404" w14:textId="0B48AC8E" w:rsidR="00204114" w:rsidRPr="00204114" w:rsidRDefault="00204114" w:rsidP="00951FE2">
      <w:pPr>
        <w:widowControl w:val="0"/>
        <w:autoSpaceDE w:val="0"/>
        <w:autoSpaceDN w:val="0"/>
        <w:adjustRightInd w:val="0"/>
        <w:ind w:left="640" w:hanging="640"/>
        <w:jc w:val="both"/>
        <w:rPr>
          <w:noProof/>
          <w:sz w:val="18"/>
          <w:szCs w:val="24"/>
        </w:rPr>
      </w:pPr>
      <w:r w:rsidRPr="00204114">
        <w:rPr>
          <w:noProof/>
          <w:sz w:val="18"/>
          <w:szCs w:val="24"/>
        </w:rPr>
        <w:t>[6]</w:t>
      </w:r>
      <w:r w:rsidRPr="00204114">
        <w:rPr>
          <w:noProof/>
          <w:sz w:val="18"/>
          <w:szCs w:val="24"/>
        </w:rPr>
        <w:tab/>
        <w:t xml:space="preserve">Billet R, Schultes M. Prediction of Mass Transfer Columns with Dumped and Arranged Packings. Chem Eng Res Des 1999;77:498–504. </w:t>
      </w:r>
    </w:p>
    <w:p w14:paraId="50B0814C" w14:textId="11ED21EF" w:rsidR="00204114" w:rsidRPr="00204114" w:rsidRDefault="00204114" w:rsidP="00951FE2">
      <w:pPr>
        <w:widowControl w:val="0"/>
        <w:autoSpaceDE w:val="0"/>
        <w:autoSpaceDN w:val="0"/>
        <w:adjustRightInd w:val="0"/>
        <w:ind w:left="640" w:hanging="640"/>
        <w:jc w:val="both"/>
        <w:rPr>
          <w:noProof/>
          <w:sz w:val="18"/>
          <w:szCs w:val="24"/>
        </w:rPr>
      </w:pPr>
      <w:r w:rsidRPr="00204114">
        <w:rPr>
          <w:noProof/>
          <w:sz w:val="18"/>
          <w:szCs w:val="24"/>
        </w:rPr>
        <w:t>[7]</w:t>
      </w:r>
      <w:r w:rsidRPr="00204114">
        <w:rPr>
          <w:noProof/>
          <w:sz w:val="18"/>
          <w:szCs w:val="24"/>
        </w:rPr>
        <w:tab/>
        <w:t xml:space="preserve">Burns JR, Jamil JN, Ramshaw C. Process intensification: operating characteristics of rotating packed beds — determination of liquid hold-up for a high-voidage structured packing. Chem Eng Sci 2000;55:2401–15. </w:t>
      </w:r>
    </w:p>
    <w:p w14:paraId="1E5D2444" w14:textId="68BC0849" w:rsidR="00204114" w:rsidRPr="00204114" w:rsidRDefault="00204114" w:rsidP="00951FE2">
      <w:pPr>
        <w:widowControl w:val="0"/>
        <w:autoSpaceDE w:val="0"/>
        <w:autoSpaceDN w:val="0"/>
        <w:adjustRightInd w:val="0"/>
        <w:ind w:left="640" w:hanging="640"/>
        <w:jc w:val="both"/>
        <w:rPr>
          <w:noProof/>
          <w:sz w:val="18"/>
          <w:szCs w:val="24"/>
        </w:rPr>
      </w:pPr>
      <w:r w:rsidRPr="00204114">
        <w:rPr>
          <w:noProof/>
          <w:sz w:val="18"/>
          <w:szCs w:val="24"/>
        </w:rPr>
        <w:t>[8]</w:t>
      </w:r>
      <w:r w:rsidRPr="00204114">
        <w:rPr>
          <w:noProof/>
          <w:sz w:val="18"/>
          <w:szCs w:val="24"/>
        </w:rPr>
        <w:tab/>
        <w:t xml:space="preserve">Llerena-Chavez H, Larachi F. Analysis of flow in rotating packed beds via CFD simulations—Dry pressure drop and gas flow maldistribution. Chem Eng Sci 2009;64:2113–26. </w:t>
      </w:r>
    </w:p>
    <w:p w14:paraId="76450E81" w14:textId="5AB2FEDF" w:rsidR="00204114" w:rsidRPr="00204114" w:rsidRDefault="00204114" w:rsidP="00951FE2">
      <w:pPr>
        <w:widowControl w:val="0"/>
        <w:autoSpaceDE w:val="0"/>
        <w:autoSpaceDN w:val="0"/>
        <w:adjustRightInd w:val="0"/>
        <w:ind w:left="640" w:hanging="640"/>
        <w:jc w:val="both"/>
        <w:rPr>
          <w:noProof/>
          <w:sz w:val="18"/>
          <w:szCs w:val="24"/>
        </w:rPr>
      </w:pPr>
      <w:r w:rsidRPr="00204114">
        <w:rPr>
          <w:noProof/>
          <w:sz w:val="18"/>
          <w:szCs w:val="24"/>
        </w:rPr>
        <w:t>[9]</w:t>
      </w:r>
      <w:r w:rsidRPr="00204114">
        <w:rPr>
          <w:noProof/>
          <w:sz w:val="18"/>
          <w:szCs w:val="24"/>
        </w:rPr>
        <w:tab/>
        <w:t xml:space="preserve">Chilton TH, Colburn AP. Mass Transfer (Absorption) Coefficients: Prediction from Data on Heat Transfer and Fluid Friction. Ind Eng Chem 1934;26:1183–7. </w:t>
      </w:r>
    </w:p>
    <w:p w14:paraId="524A67D8" w14:textId="44F37767" w:rsidR="00204114" w:rsidRPr="00204114" w:rsidRDefault="00204114" w:rsidP="00951FE2">
      <w:pPr>
        <w:widowControl w:val="0"/>
        <w:autoSpaceDE w:val="0"/>
        <w:autoSpaceDN w:val="0"/>
        <w:adjustRightInd w:val="0"/>
        <w:ind w:left="640" w:hanging="640"/>
        <w:jc w:val="both"/>
        <w:rPr>
          <w:noProof/>
          <w:sz w:val="18"/>
          <w:szCs w:val="24"/>
        </w:rPr>
      </w:pPr>
      <w:r w:rsidRPr="00204114">
        <w:rPr>
          <w:noProof/>
          <w:sz w:val="18"/>
          <w:szCs w:val="24"/>
        </w:rPr>
        <w:t>[10]</w:t>
      </w:r>
      <w:r w:rsidRPr="00204114">
        <w:rPr>
          <w:noProof/>
          <w:sz w:val="18"/>
          <w:szCs w:val="24"/>
        </w:rPr>
        <w:tab/>
        <w:t xml:space="preserve">Jassim MS, Rochelle G, Eimer D, Ramshaw C. Carbon dioxide absorption and desorption in aqueous monoethanolamine solutions in a rotating packed bed. Ind Eng Chem Res 2007;46:2823–33. </w:t>
      </w:r>
    </w:p>
    <w:p w14:paraId="0B7EA26A" w14:textId="76C27BE8" w:rsidR="00204114" w:rsidRPr="00204114" w:rsidRDefault="00204114" w:rsidP="00951FE2">
      <w:pPr>
        <w:widowControl w:val="0"/>
        <w:autoSpaceDE w:val="0"/>
        <w:autoSpaceDN w:val="0"/>
        <w:adjustRightInd w:val="0"/>
        <w:ind w:left="640" w:hanging="640"/>
        <w:jc w:val="both"/>
        <w:rPr>
          <w:noProof/>
          <w:sz w:val="18"/>
        </w:rPr>
      </w:pPr>
      <w:r w:rsidRPr="00204114">
        <w:rPr>
          <w:noProof/>
          <w:sz w:val="18"/>
          <w:szCs w:val="24"/>
        </w:rPr>
        <w:t>[11]</w:t>
      </w:r>
      <w:r w:rsidRPr="00204114">
        <w:rPr>
          <w:noProof/>
          <w:sz w:val="18"/>
          <w:szCs w:val="24"/>
        </w:rPr>
        <w:tab/>
        <w:t xml:space="preserve">Otitoju O, Oko E, Wang M. A new method for scale-up of solvent-based post-combustion carbon capture process with packed columns. Int J Greenh Gas Control 2020;93:102900. </w:t>
      </w:r>
    </w:p>
    <w:p w14:paraId="144DE6C3" w14:textId="1DADC2FD" w:rsidR="008D2649" w:rsidRDefault="00933B51" w:rsidP="00951FE2">
      <w:pPr>
        <w:pStyle w:val="Els-referenceno-number"/>
        <w:ind w:left="0" w:firstLine="0"/>
        <w:jc w:val="both"/>
        <w:rPr>
          <w:lang w:val="en-US"/>
        </w:rPr>
      </w:pPr>
      <w:r w:rsidRPr="00CC794A">
        <w:rPr>
          <w:lang w:val="en-US"/>
        </w:rPr>
        <w:fldChar w:fldCharType="end"/>
      </w:r>
    </w:p>
    <w:sectPr w:rsidR="008D2649"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B1AFF" w14:textId="77777777" w:rsidR="001E4167" w:rsidRDefault="001E4167">
      <w:r>
        <w:separator/>
      </w:r>
    </w:p>
  </w:endnote>
  <w:endnote w:type="continuationSeparator" w:id="0">
    <w:p w14:paraId="4E20B885" w14:textId="77777777" w:rsidR="001E4167" w:rsidRDefault="001E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harisSI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11F55" w14:textId="77777777" w:rsidR="001E4167" w:rsidRDefault="001E4167">
      <w:r>
        <w:separator/>
      </w:r>
    </w:p>
  </w:footnote>
  <w:footnote w:type="continuationSeparator" w:id="0">
    <w:p w14:paraId="3D2E1013" w14:textId="77777777" w:rsidR="001E4167" w:rsidRDefault="001E4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47510135" w:rsidR="00DD3D9E" w:rsidRDefault="00DD3D9E">
    <w:pPr>
      <w:pStyle w:val="Intestazione"/>
      <w:tabs>
        <w:tab w:val="clear" w:pos="7200"/>
        <w:tab w:val="right" w:pos="7088"/>
      </w:tabs>
    </w:pPr>
    <w:r>
      <w:rPr>
        <w:rStyle w:val="Numeropagina"/>
      </w:rPr>
      <w:tab/>
    </w:r>
    <w:r>
      <w:rPr>
        <w:rStyle w:val="Numeropagina"/>
        <w:i/>
      </w:rPr>
      <w:tab/>
    </w:r>
    <w:r w:rsidR="0047341A">
      <w:rPr>
        <w:i/>
      </w:rPr>
      <w:t>O.Otitoju and M.Wang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27605630" w:rsidR="00DD3D9E" w:rsidRDefault="00A717A3" w:rsidP="00A717A3">
    <w:pPr>
      <w:pStyle w:val="Intestazione"/>
      <w:tabs>
        <w:tab w:val="clear" w:pos="7200"/>
        <w:tab w:val="right" w:pos="7088"/>
      </w:tabs>
      <w:rPr>
        <w:sz w:val="24"/>
      </w:rPr>
    </w:pPr>
    <w:r w:rsidRPr="00A717A3">
      <w:rPr>
        <w:i/>
      </w:rPr>
      <w:t>Modelling\simulation and optimization of large-scale post-combustion CO2 capture using a rotating packed bed absorber and packed bed stripp</w:t>
    </w:r>
    <w:r>
      <w:rPr>
        <w:i/>
      </w:rPr>
      <w:t>er</w:t>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013261"/>
    <w:multiLevelType w:val="multilevel"/>
    <w:tmpl w:val="C2221E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6"/>
  </w:num>
  <w:num w:numId="7">
    <w:abstractNumId w:val="13"/>
  </w:num>
  <w:num w:numId="8">
    <w:abstractNumId w:val="1"/>
  </w:num>
  <w:num w:numId="9">
    <w:abstractNumId w:val="11"/>
  </w:num>
  <w:num w:numId="10">
    <w:abstractNumId w:val="15"/>
  </w:num>
  <w:num w:numId="11">
    <w:abstractNumId w:val="14"/>
  </w:num>
  <w:num w:numId="12">
    <w:abstractNumId w:val="5"/>
  </w:num>
  <w:num w:numId="13">
    <w:abstractNumId w:val="9"/>
  </w:num>
  <w:num w:numId="14">
    <w:abstractNumId w:val="2"/>
  </w:num>
  <w:num w:numId="15">
    <w:abstractNumId w:val="8"/>
  </w:num>
  <w:num w:numId="16">
    <w:abstractNumId w:val="3"/>
  </w:num>
  <w:num w:numId="17">
    <w:abstractNumId w:val="4"/>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0NTIyN7G0sDA3NjRR0lEKTi0uzszPAykwrgUA1BsU2SwAAAA="/>
  </w:docVars>
  <w:rsids>
    <w:rsidRoot w:val="00B63237"/>
    <w:rsid w:val="00001A14"/>
    <w:rsid w:val="00030A4E"/>
    <w:rsid w:val="000A6B77"/>
    <w:rsid w:val="000D3D9B"/>
    <w:rsid w:val="000D7778"/>
    <w:rsid w:val="000D77B7"/>
    <w:rsid w:val="00104A8F"/>
    <w:rsid w:val="00116C7A"/>
    <w:rsid w:val="00143C63"/>
    <w:rsid w:val="00154CEC"/>
    <w:rsid w:val="0016032F"/>
    <w:rsid w:val="00174659"/>
    <w:rsid w:val="00186A5A"/>
    <w:rsid w:val="001879F6"/>
    <w:rsid w:val="001C0148"/>
    <w:rsid w:val="001C757E"/>
    <w:rsid w:val="001E0C22"/>
    <w:rsid w:val="001E4167"/>
    <w:rsid w:val="0020390F"/>
    <w:rsid w:val="00204114"/>
    <w:rsid w:val="0020587E"/>
    <w:rsid w:val="00246824"/>
    <w:rsid w:val="00261761"/>
    <w:rsid w:val="00264926"/>
    <w:rsid w:val="00272189"/>
    <w:rsid w:val="002C3E3C"/>
    <w:rsid w:val="003B50FB"/>
    <w:rsid w:val="003D1582"/>
    <w:rsid w:val="003D7E4C"/>
    <w:rsid w:val="003E41C2"/>
    <w:rsid w:val="0047341A"/>
    <w:rsid w:val="00494DCF"/>
    <w:rsid w:val="0049772C"/>
    <w:rsid w:val="00514107"/>
    <w:rsid w:val="005156BD"/>
    <w:rsid w:val="00552EEB"/>
    <w:rsid w:val="00575BBF"/>
    <w:rsid w:val="005C53CE"/>
    <w:rsid w:val="00602297"/>
    <w:rsid w:val="00636FBD"/>
    <w:rsid w:val="00652B74"/>
    <w:rsid w:val="006710CD"/>
    <w:rsid w:val="006A69BF"/>
    <w:rsid w:val="006F5D4E"/>
    <w:rsid w:val="00711DF4"/>
    <w:rsid w:val="007541D3"/>
    <w:rsid w:val="007B477A"/>
    <w:rsid w:val="007B5C4A"/>
    <w:rsid w:val="007D1D0B"/>
    <w:rsid w:val="007D70A1"/>
    <w:rsid w:val="008132E8"/>
    <w:rsid w:val="008147E4"/>
    <w:rsid w:val="00823407"/>
    <w:rsid w:val="00843673"/>
    <w:rsid w:val="008B0184"/>
    <w:rsid w:val="008C5D02"/>
    <w:rsid w:val="008D2649"/>
    <w:rsid w:val="008F0C7A"/>
    <w:rsid w:val="008F3409"/>
    <w:rsid w:val="0090568D"/>
    <w:rsid w:val="00907C7F"/>
    <w:rsid w:val="009125C9"/>
    <w:rsid w:val="00913879"/>
    <w:rsid w:val="00917661"/>
    <w:rsid w:val="00933B51"/>
    <w:rsid w:val="009510AF"/>
    <w:rsid w:val="00951FE2"/>
    <w:rsid w:val="009646EA"/>
    <w:rsid w:val="00970E5D"/>
    <w:rsid w:val="00974CDC"/>
    <w:rsid w:val="0097701C"/>
    <w:rsid w:val="00980A65"/>
    <w:rsid w:val="009A611F"/>
    <w:rsid w:val="009C6339"/>
    <w:rsid w:val="009D0C90"/>
    <w:rsid w:val="009E4346"/>
    <w:rsid w:val="009F3FB9"/>
    <w:rsid w:val="00A10DB6"/>
    <w:rsid w:val="00A25E70"/>
    <w:rsid w:val="00A33765"/>
    <w:rsid w:val="00A63269"/>
    <w:rsid w:val="00A717A3"/>
    <w:rsid w:val="00A77669"/>
    <w:rsid w:val="00A92377"/>
    <w:rsid w:val="00AA47F9"/>
    <w:rsid w:val="00AB29ED"/>
    <w:rsid w:val="00AB7E35"/>
    <w:rsid w:val="00AE4BD8"/>
    <w:rsid w:val="00B31CEA"/>
    <w:rsid w:val="00B4388F"/>
    <w:rsid w:val="00B63237"/>
    <w:rsid w:val="00C25053"/>
    <w:rsid w:val="00C65632"/>
    <w:rsid w:val="00C66A87"/>
    <w:rsid w:val="00C92773"/>
    <w:rsid w:val="00C960DC"/>
    <w:rsid w:val="00D00A44"/>
    <w:rsid w:val="00D02C75"/>
    <w:rsid w:val="00D10E22"/>
    <w:rsid w:val="00D13D2C"/>
    <w:rsid w:val="00D26742"/>
    <w:rsid w:val="00D31AD7"/>
    <w:rsid w:val="00D3377B"/>
    <w:rsid w:val="00D57AD3"/>
    <w:rsid w:val="00DC2F94"/>
    <w:rsid w:val="00DD3D9E"/>
    <w:rsid w:val="00DD5064"/>
    <w:rsid w:val="00DD7908"/>
    <w:rsid w:val="00E30CF5"/>
    <w:rsid w:val="00E32566"/>
    <w:rsid w:val="00E82297"/>
    <w:rsid w:val="00EF39FD"/>
    <w:rsid w:val="00F03C25"/>
    <w:rsid w:val="00F06842"/>
    <w:rsid w:val="00F107FD"/>
    <w:rsid w:val="00F34B24"/>
    <w:rsid w:val="00F73AB0"/>
    <w:rsid w:val="00FB42E3"/>
    <w:rsid w:val="00FB64A8"/>
    <w:rsid w:val="00FE3C15"/>
    <w:rsid w:val="00FF6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710CD"/>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customStyle="1" w:styleId="fontstyle01">
    <w:name w:val="fontstyle01"/>
    <w:basedOn w:val="Carpredefinitoparagrafo"/>
    <w:rsid w:val="00907C7F"/>
    <w:rPr>
      <w:rFonts w:ascii="CharisSIL" w:hAnsi="CharisSIL" w:hint="default"/>
      <w:b w:val="0"/>
      <w:bCs w:val="0"/>
      <w:i w:val="0"/>
      <w:iCs w:val="0"/>
      <w:color w:val="000000"/>
      <w:sz w:val="14"/>
      <w:szCs w:val="14"/>
    </w:rPr>
  </w:style>
  <w:style w:type="table" w:styleId="Grigliatabella">
    <w:name w:val="Table Grid"/>
    <w:basedOn w:val="Tabellanormale"/>
    <w:uiPriority w:val="39"/>
    <w:rsid w:val="00FF68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65632"/>
    <w:pPr>
      <w:ind w:left="720"/>
      <w:contextualSpacing/>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ihong.Wang@sheffield.ac.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Jide\Desktop\PDRA\2023_04_24_Conferences\2023_10_24_2nd_FERIA_Conference\2022_03_17_RPB_model_updated_Result%20(Autosav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ide\Desktop\PDRA\2023_04_24_Conferences\2023_10_24_2nd_FERIA_Conference\2022_03_17_RPB_model_updated_Result%20(Autosaved).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304809459793137"/>
          <c:y val="4.9645745444905125E-2"/>
          <c:w val="0.75423413536722561"/>
          <c:h val="0.74995104723382222"/>
        </c:manualLayout>
      </c:layout>
      <c:scatterChart>
        <c:scatterStyle val="lineMarker"/>
        <c:varyColors val="0"/>
        <c:ser>
          <c:idx val="3"/>
          <c:order val="3"/>
          <c:tx>
            <c:v>Model </c:v>
          </c:tx>
          <c:spPr>
            <a:ln w="25400" cap="rnd">
              <a:noFill/>
              <a:round/>
            </a:ln>
            <a:effectLst/>
          </c:spPr>
          <c:marker>
            <c:symbol val="square"/>
            <c:size val="5"/>
            <c:spPr>
              <a:solidFill>
                <a:srgbClr val="FF0000"/>
              </a:solidFill>
              <a:ln w="28575" cap="flat">
                <a:solidFill>
                  <a:srgbClr val="FF0000"/>
                </a:solidFill>
                <a:bevel/>
              </a:ln>
              <a:effectLst/>
            </c:spPr>
          </c:marker>
          <c:xVal>
            <c:numRef>
              <c:f>Sheet1!$D$24:$D$28</c:f>
              <c:numCache>
                <c:formatCode>General</c:formatCode>
                <c:ptCount val="5"/>
                <c:pt idx="0">
                  <c:v>0</c:v>
                </c:pt>
                <c:pt idx="1">
                  <c:v>94.9</c:v>
                </c:pt>
                <c:pt idx="2">
                  <c:v>83</c:v>
                </c:pt>
                <c:pt idx="3">
                  <c:v>95.4</c:v>
                </c:pt>
                <c:pt idx="4">
                  <c:v>87</c:v>
                </c:pt>
              </c:numCache>
            </c:numRef>
          </c:xVal>
          <c:yVal>
            <c:numRef>
              <c:f>Sheet1!$H$24:$H$28</c:f>
              <c:numCache>
                <c:formatCode>General</c:formatCode>
                <c:ptCount val="5"/>
                <c:pt idx="1">
                  <c:v>94.642590233545647</c:v>
                </c:pt>
                <c:pt idx="2">
                  <c:v>84.111673913043489</c:v>
                </c:pt>
                <c:pt idx="3">
                  <c:v>99.174107142857139</c:v>
                </c:pt>
                <c:pt idx="4">
                  <c:v>88.741573033707866</c:v>
                </c:pt>
              </c:numCache>
            </c:numRef>
          </c:yVal>
          <c:smooth val="0"/>
          <c:extLst>
            <c:ext xmlns:c16="http://schemas.microsoft.com/office/drawing/2014/chart" uri="{C3380CC4-5D6E-409C-BE32-E72D297353CC}">
              <c16:uniqueId val="{00000000-AB10-4808-866B-6C35DBA752A1}"/>
            </c:ext>
          </c:extLst>
        </c:ser>
        <c:dLbls>
          <c:showLegendKey val="0"/>
          <c:showVal val="0"/>
          <c:showCatName val="0"/>
          <c:showSerName val="0"/>
          <c:showPercent val="0"/>
          <c:showBubbleSize val="0"/>
        </c:dLbls>
        <c:axId val="586409464"/>
        <c:axId val="586405528"/>
      </c:scatterChart>
      <c:scatterChart>
        <c:scatterStyle val="smoothMarker"/>
        <c:varyColors val="0"/>
        <c:ser>
          <c:idx val="0"/>
          <c:order val="0"/>
          <c:tx>
            <c:v>Experiment</c:v>
          </c:tx>
          <c:spPr>
            <a:ln w="19050" cap="rnd">
              <a:solidFill>
                <a:schemeClr val="accent1"/>
              </a:solidFill>
              <a:prstDash val="sysDot"/>
              <a:round/>
            </a:ln>
            <a:effectLst/>
          </c:spPr>
          <c:marker>
            <c:symbol val="none"/>
          </c:marker>
          <c:xVal>
            <c:numRef>
              <c:f>Sheet1!$D$24:$D$29</c:f>
              <c:numCache>
                <c:formatCode>General</c:formatCode>
                <c:ptCount val="6"/>
                <c:pt idx="0">
                  <c:v>0</c:v>
                </c:pt>
                <c:pt idx="1">
                  <c:v>94.9</c:v>
                </c:pt>
                <c:pt idx="2">
                  <c:v>83</c:v>
                </c:pt>
                <c:pt idx="3">
                  <c:v>95.4</c:v>
                </c:pt>
                <c:pt idx="4">
                  <c:v>87</c:v>
                </c:pt>
                <c:pt idx="5">
                  <c:v>100</c:v>
                </c:pt>
              </c:numCache>
            </c:numRef>
          </c:xVal>
          <c:yVal>
            <c:numRef>
              <c:f>Sheet1!$E$24:$E$29</c:f>
              <c:numCache>
                <c:formatCode>General</c:formatCode>
                <c:ptCount val="6"/>
                <c:pt idx="0">
                  <c:v>0</c:v>
                </c:pt>
                <c:pt idx="1">
                  <c:v>94.9</c:v>
                </c:pt>
                <c:pt idx="2">
                  <c:v>83</c:v>
                </c:pt>
                <c:pt idx="3">
                  <c:v>95.4</c:v>
                </c:pt>
                <c:pt idx="4">
                  <c:v>87</c:v>
                </c:pt>
                <c:pt idx="5">
                  <c:v>100</c:v>
                </c:pt>
              </c:numCache>
            </c:numRef>
          </c:yVal>
          <c:smooth val="1"/>
          <c:extLst>
            <c:ext xmlns:c16="http://schemas.microsoft.com/office/drawing/2014/chart" uri="{C3380CC4-5D6E-409C-BE32-E72D297353CC}">
              <c16:uniqueId val="{00000001-AB10-4808-866B-6C35DBA752A1}"/>
            </c:ext>
          </c:extLst>
        </c:ser>
        <c:ser>
          <c:idx val="1"/>
          <c:order val="1"/>
          <c:tx>
            <c:v>+10%</c:v>
          </c:tx>
          <c:spPr>
            <a:ln w="12700" cap="rnd">
              <a:solidFill>
                <a:schemeClr val="accent2"/>
              </a:solidFill>
              <a:round/>
            </a:ln>
            <a:effectLst/>
          </c:spPr>
          <c:marker>
            <c:symbol val="none"/>
          </c:marker>
          <c:xVal>
            <c:numRef>
              <c:f>Sheet1!$D$24:$D$29</c:f>
              <c:numCache>
                <c:formatCode>General</c:formatCode>
                <c:ptCount val="6"/>
                <c:pt idx="0">
                  <c:v>0</c:v>
                </c:pt>
                <c:pt idx="1">
                  <c:v>94.9</c:v>
                </c:pt>
                <c:pt idx="2">
                  <c:v>83</c:v>
                </c:pt>
                <c:pt idx="3">
                  <c:v>95.4</c:v>
                </c:pt>
                <c:pt idx="4">
                  <c:v>87</c:v>
                </c:pt>
                <c:pt idx="5">
                  <c:v>100</c:v>
                </c:pt>
              </c:numCache>
            </c:numRef>
          </c:xVal>
          <c:yVal>
            <c:numRef>
              <c:f>Sheet1!$F$24:$F$29</c:f>
              <c:numCache>
                <c:formatCode>General</c:formatCode>
                <c:ptCount val="6"/>
                <c:pt idx="0">
                  <c:v>0</c:v>
                </c:pt>
                <c:pt idx="1">
                  <c:v>104.39</c:v>
                </c:pt>
                <c:pt idx="2">
                  <c:v>91.3</c:v>
                </c:pt>
                <c:pt idx="3">
                  <c:v>104.94000000000001</c:v>
                </c:pt>
                <c:pt idx="4">
                  <c:v>95.7</c:v>
                </c:pt>
                <c:pt idx="5">
                  <c:v>110</c:v>
                </c:pt>
              </c:numCache>
            </c:numRef>
          </c:yVal>
          <c:smooth val="1"/>
          <c:extLst>
            <c:ext xmlns:c16="http://schemas.microsoft.com/office/drawing/2014/chart" uri="{C3380CC4-5D6E-409C-BE32-E72D297353CC}">
              <c16:uniqueId val="{00000002-AB10-4808-866B-6C35DBA752A1}"/>
            </c:ext>
          </c:extLst>
        </c:ser>
        <c:ser>
          <c:idx val="2"/>
          <c:order val="2"/>
          <c:tx>
            <c:v>-10%</c:v>
          </c:tx>
          <c:spPr>
            <a:ln w="12700" cap="rnd">
              <a:solidFill>
                <a:schemeClr val="accent2"/>
              </a:solidFill>
              <a:round/>
            </a:ln>
            <a:effectLst/>
          </c:spPr>
          <c:marker>
            <c:symbol val="none"/>
          </c:marker>
          <c:xVal>
            <c:numRef>
              <c:f>Sheet1!$D$24:$D$29</c:f>
              <c:numCache>
                <c:formatCode>General</c:formatCode>
                <c:ptCount val="6"/>
                <c:pt idx="0">
                  <c:v>0</c:v>
                </c:pt>
                <c:pt idx="1">
                  <c:v>94.9</c:v>
                </c:pt>
                <c:pt idx="2">
                  <c:v>83</c:v>
                </c:pt>
                <c:pt idx="3">
                  <c:v>95.4</c:v>
                </c:pt>
                <c:pt idx="4">
                  <c:v>87</c:v>
                </c:pt>
                <c:pt idx="5">
                  <c:v>100</c:v>
                </c:pt>
              </c:numCache>
            </c:numRef>
          </c:xVal>
          <c:yVal>
            <c:numRef>
              <c:f>Sheet1!$G$24:$G$29</c:f>
              <c:numCache>
                <c:formatCode>General</c:formatCode>
                <c:ptCount val="6"/>
                <c:pt idx="0">
                  <c:v>0</c:v>
                </c:pt>
                <c:pt idx="1">
                  <c:v>85.410000000000011</c:v>
                </c:pt>
                <c:pt idx="2">
                  <c:v>74.7</c:v>
                </c:pt>
                <c:pt idx="3">
                  <c:v>85.86</c:v>
                </c:pt>
                <c:pt idx="4">
                  <c:v>78.3</c:v>
                </c:pt>
                <c:pt idx="5">
                  <c:v>90</c:v>
                </c:pt>
              </c:numCache>
            </c:numRef>
          </c:yVal>
          <c:smooth val="1"/>
          <c:extLst>
            <c:ext xmlns:c16="http://schemas.microsoft.com/office/drawing/2014/chart" uri="{C3380CC4-5D6E-409C-BE32-E72D297353CC}">
              <c16:uniqueId val="{00000003-AB10-4808-866B-6C35DBA752A1}"/>
            </c:ext>
          </c:extLst>
        </c:ser>
        <c:dLbls>
          <c:showLegendKey val="0"/>
          <c:showVal val="0"/>
          <c:showCatName val="0"/>
          <c:showSerName val="0"/>
          <c:showPercent val="0"/>
          <c:showBubbleSize val="0"/>
        </c:dLbls>
        <c:axId val="586409464"/>
        <c:axId val="586405528"/>
      </c:scatterChart>
      <c:valAx>
        <c:axId val="586409464"/>
        <c:scaling>
          <c:orientation val="minMax"/>
          <c:max val="100"/>
          <c:min val="30"/>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900" b="0" dirty="0">
                    <a:solidFill>
                      <a:sysClr val="windowText" lastClr="000000"/>
                    </a:solidFill>
                    <a:latin typeface="Times New Roman" panose="02020603050405020304" pitchFamily="18" charset="0"/>
                    <a:cs typeface="Times New Roman" panose="02020603050405020304" pitchFamily="18" charset="0"/>
                  </a:rPr>
                  <a:t>Experimental</a:t>
                </a:r>
                <a:r>
                  <a:rPr lang="en-GB" sz="900" b="0" baseline="0" dirty="0">
                    <a:solidFill>
                      <a:sysClr val="windowText" lastClr="000000"/>
                    </a:solidFill>
                    <a:latin typeface="Times New Roman" panose="02020603050405020304" pitchFamily="18" charset="0"/>
                    <a:cs typeface="Times New Roman" panose="02020603050405020304" pitchFamily="18" charset="0"/>
                  </a:rPr>
                  <a:t> CO</a:t>
                </a:r>
                <a:r>
                  <a:rPr lang="en-GB" sz="900" b="0" baseline="-25000" dirty="0">
                    <a:solidFill>
                      <a:sysClr val="windowText" lastClr="000000"/>
                    </a:solidFill>
                    <a:latin typeface="Times New Roman" panose="02020603050405020304" pitchFamily="18" charset="0"/>
                    <a:cs typeface="Times New Roman" panose="02020603050405020304" pitchFamily="18" charset="0"/>
                  </a:rPr>
                  <a:t>2</a:t>
                </a:r>
                <a:r>
                  <a:rPr lang="en-GB" sz="900" b="0" baseline="0" dirty="0">
                    <a:solidFill>
                      <a:sysClr val="windowText" lastClr="000000"/>
                    </a:solidFill>
                    <a:latin typeface="Times New Roman" panose="02020603050405020304" pitchFamily="18" charset="0"/>
                    <a:cs typeface="Times New Roman" panose="02020603050405020304" pitchFamily="18" charset="0"/>
                  </a:rPr>
                  <a:t> capture level (%)</a:t>
                </a:r>
                <a:endParaRPr lang="en-GB" sz="900" b="0" dirty="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t-IT"/>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586405528"/>
        <c:crosses val="autoZero"/>
        <c:crossBetween val="midCat"/>
      </c:valAx>
      <c:valAx>
        <c:axId val="586405528"/>
        <c:scaling>
          <c:orientation val="minMax"/>
          <c:max val="102"/>
          <c:min val="30"/>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900" b="0" baseline="0" dirty="0">
                    <a:solidFill>
                      <a:sysClr val="windowText" lastClr="000000"/>
                    </a:solidFill>
                    <a:latin typeface="Times New Roman" panose="02020603050405020304" pitchFamily="18" charset="0"/>
                    <a:cs typeface="Times New Roman" panose="02020603050405020304" pitchFamily="18" charset="0"/>
                  </a:rPr>
                  <a:t>Predicted CO</a:t>
                </a:r>
                <a:r>
                  <a:rPr lang="en-GB" sz="900" b="0" baseline="-25000" dirty="0">
                    <a:solidFill>
                      <a:sysClr val="windowText" lastClr="000000"/>
                    </a:solidFill>
                    <a:latin typeface="Times New Roman" panose="02020603050405020304" pitchFamily="18" charset="0"/>
                    <a:cs typeface="Times New Roman" panose="02020603050405020304" pitchFamily="18" charset="0"/>
                  </a:rPr>
                  <a:t>2</a:t>
                </a:r>
                <a:r>
                  <a:rPr lang="en-GB" sz="900" b="0" baseline="0" dirty="0">
                    <a:solidFill>
                      <a:sysClr val="windowText" lastClr="000000"/>
                    </a:solidFill>
                    <a:latin typeface="Times New Roman" panose="02020603050405020304" pitchFamily="18" charset="0"/>
                    <a:cs typeface="Times New Roman" panose="02020603050405020304" pitchFamily="18" charset="0"/>
                  </a:rPr>
                  <a:t> capture level (%)</a:t>
                </a:r>
                <a:endParaRPr lang="en-GB" sz="900" b="0" dirty="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t-IT"/>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586409464"/>
        <c:crosses val="autoZero"/>
        <c:crossBetween val="midCat"/>
      </c:valAx>
      <c:spPr>
        <a:solidFill>
          <a:schemeClr val="lt1"/>
        </a:solidFill>
        <a:ln w="6350" cap="flat" cmpd="sng" algn="ctr">
          <a:solidFill>
            <a:schemeClr val="dk1"/>
          </a:solidFill>
          <a:prstDash val="solid"/>
          <a:miter lim="800000"/>
        </a:ln>
        <a:effectLst/>
      </c:spPr>
    </c:plotArea>
    <c:legend>
      <c:legendPos val="r"/>
      <c:layout>
        <c:manualLayout>
          <c:xMode val="edge"/>
          <c:yMode val="edge"/>
          <c:x val="0.22885054002396041"/>
          <c:y val="7.9976768861339143E-2"/>
          <c:w val="0.38637511774442829"/>
          <c:h val="0.30464647929218036"/>
        </c:manualLayout>
      </c:layout>
      <c:overlay val="0"/>
      <c:spPr>
        <a:noFill/>
        <a:ln>
          <a:noFill/>
        </a:ln>
        <a:effectLst/>
      </c:spPr>
      <c:txPr>
        <a:bodyPr rot="0" spcFirstLastPara="1" vertOverflow="ellipsis" vert="horz" wrap="square" anchor="ctr" anchorCtr="1"/>
        <a:lstStyle/>
        <a:p>
          <a:pPr algn="just">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legend>
    <c:plotVisOnly val="1"/>
    <c:dispBlanksAs val="gap"/>
    <c:showDLblsOverMax val="0"/>
  </c:chart>
  <c:spPr>
    <a:solidFill>
      <a:schemeClr val="bg1"/>
    </a:solidFill>
    <a:ln w="9525" cap="flat" cmpd="sng" algn="ctr">
      <a:noFill/>
      <a:round/>
    </a:ln>
    <a:effectLst/>
  </c:spPr>
  <c:txPr>
    <a:bodyPr/>
    <a:lstStyle/>
    <a:p>
      <a:pPr algn="just">
        <a:defRPr/>
      </a:pPr>
      <a:endParaRPr lang="it-IT"/>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927010283369686"/>
          <c:y val="0.10067609059161102"/>
          <c:w val="0.82689959174555494"/>
          <c:h val="0.7038951873754371"/>
        </c:manualLayout>
      </c:layout>
      <c:scatterChart>
        <c:scatterStyle val="smoothMarker"/>
        <c:varyColors val="0"/>
        <c:ser>
          <c:idx val="0"/>
          <c:order val="0"/>
          <c:tx>
            <c:v>30 wt% MEA</c:v>
          </c:tx>
          <c:spPr>
            <a:ln w="19050" cap="rnd">
              <a:solidFill>
                <a:schemeClr val="accent1"/>
              </a:solidFill>
              <a:prstDash val="sysDot"/>
              <a:round/>
            </a:ln>
            <a:effectLst/>
          </c:spPr>
          <c:marker>
            <c:symbol val="triangle"/>
            <c:size val="5"/>
            <c:spPr>
              <a:solidFill>
                <a:schemeClr val="accent1"/>
              </a:solidFill>
              <a:ln w="9525">
                <a:solidFill>
                  <a:schemeClr val="accent1"/>
                </a:solidFill>
              </a:ln>
              <a:effectLst/>
            </c:spPr>
          </c:marker>
          <c:xVal>
            <c:numRef>
              <c:f>'[2022_03_17_RPB_model_updated_Result (Autosaved).xlsx]Sheet3'!$B$33:$B$38</c:f>
              <c:numCache>
                <c:formatCode>General</c:formatCode>
                <c:ptCount val="6"/>
                <c:pt idx="0">
                  <c:v>0.18</c:v>
                </c:pt>
                <c:pt idx="1">
                  <c:v>0.2</c:v>
                </c:pt>
                <c:pt idx="2">
                  <c:v>0.22</c:v>
                </c:pt>
                <c:pt idx="3">
                  <c:v>0.25</c:v>
                </c:pt>
                <c:pt idx="4">
                  <c:v>0.27</c:v>
                </c:pt>
                <c:pt idx="5">
                  <c:v>0.3</c:v>
                </c:pt>
              </c:numCache>
            </c:numRef>
          </c:xVal>
          <c:yVal>
            <c:numRef>
              <c:f>'[2022_03_17_RPB_model_updated_Result (Autosaved).xlsx]Sheet3'!$E$33:$E$38</c:f>
              <c:numCache>
                <c:formatCode>General</c:formatCode>
                <c:ptCount val="6"/>
                <c:pt idx="0">
                  <c:v>93.905809172463108</c:v>
                </c:pt>
                <c:pt idx="1">
                  <c:v>92.773374016771754</c:v>
                </c:pt>
                <c:pt idx="2">
                  <c:v>91.422369661314434</c:v>
                </c:pt>
                <c:pt idx="3">
                  <c:v>88.895655918871469</c:v>
                </c:pt>
                <c:pt idx="4">
                  <c:v>86.801440713774952</c:v>
                </c:pt>
                <c:pt idx="5">
                  <c:v>82.884393486316071</c:v>
                </c:pt>
              </c:numCache>
            </c:numRef>
          </c:yVal>
          <c:smooth val="1"/>
          <c:extLst>
            <c:ext xmlns:c16="http://schemas.microsoft.com/office/drawing/2014/chart" uri="{C3380CC4-5D6E-409C-BE32-E72D297353CC}">
              <c16:uniqueId val="{00000000-4767-4CA8-8571-D99410FD9EE0}"/>
            </c:ext>
          </c:extLst>
        </c:ser>
        <c:ser>
          <c:idx val="1"/>
          <c:order val="1"/>
          <c:tx>
            <c:v>55 wt% MEA</c:v>
          </c:tx>
          <c:spPr>
            <a:ln w="19050" cap="rnd">
              <a:solidFill>
                <a:schemeClr val="accent2"/>
              </a:solidFill>
              <a:prstDash val="sysDot"/>
              <a:round/>
            </a:ln>
            <a:effectLst/>
          </c:spPr>
          <c:marker>
            <c:symbol val="diamond"/>
            <c:size val="5"/>
            <c:spPr>
              <a:solidFill>
                <a:schemeClr val="accent2"/>
              </a:solidFill>
              <a:ln w="9525">
                <a:solidFill>
                  <a:schemeClr val="accent2"/>
                </a:solidFill>
              </a:ln>
              <a:effectLst/>
            </c:spPr>
          </c:marker>
          <c:xVal>
            <c:numRef>
              <c:f>'[2022_03_17_RPB_model_updated_Result (Autosaved).xlsx]Sheet3'!$B$33:$B$38</c:f>
              <c:numCache>
                <c:formatCode>General</c:formatCode>
                <c:ptCount val="6"/>
                <c:pt idx="0">
                  <c:v>0.18</c:v>
                </c:pt>
                <c:pt idx="1">
                  <c:v>0.2</c:v>
                </c:pt>
                <c:pt idx="2">
                  <c:v>0.22</c:v>
                </c:pt>
                <c:pt idx="3">
                  <c:v>0.25</c:v>
                </c:pt>
                <c:pt idx="4">
                  <c:v>0.27</c:v>
                </c:pt>
                <c:pt idx="5">
                  <c:v>0.3</c:v>
                </c:pt>
              </c:numCache>
            </c:numRef>
          </c:xVal>
          <c:yVal>
            <c:numRef>
              <c:f>'[2022_03_17_RPB_model_updated_Result (Autosaved).xlsx]Sheet3'!$H$33:$H$38</c:f>
              <c:numCache>
                <c:formatCode>General</c:formatCode>
                <c:ptCount val="6"/>
                <c:pt idx="0">
                  <c:v>94.523440398319693</c:v>
                </c:pt>
                <c:pt idx="1">
                  <c:v>93.433257668700577</c:v>
                </c:pt>
                <c:pt idx="2">
                  <c:v>92.135916295630523</c:v>
                </c:pt>
                <c:pt idx="3">
                  <c:v>89.719990374174671</c:v>
                </c:pt>
                <c:pt idx="4">
                  <c:v>87.729432738543593</c:v>
                </c:pt>
                <c:pt idx="5">
                  <c:v>84.028999693528888</c:v>
                </c:pt>
              </c:numCache>
            </c:numRef>
          </c:yVal>
          <c:smooth val="1"/>
          <c:extLst>
            <c:ext xmlns:c16="http://schemas.microsoft.com/office/drawing/2014/chart" uri="{C3380CC4-5D6E-409C-BE32-E72D297353CC}">
              <c16:uniqueId val="{00000001-4767-4CA8-8571-D99410FD9EE0}"/>
            </c:ext>
          </c:extLst>
        </c:ser>
        <c:ser>
          <c:idx val="2"/>
          <c:order val="2"/>
          <c:tx>
            <c:v>65 wt% MEA</c:v>
          </c:tx>
          <c:spPr>
            <a:ln w="19050" cap="rnd">
              <a:solidFill>
                <a:schemeClr val="accent3"/>
              </a:solidFill>
              <a:prstDash val="sysDot"/>
              <a:round/>
            </a:ln>
            <a:effectLst/>
          </c:spPr>
          <c:marker>
            <c:symbol val="x"/>
            <c:size val="5"/>
            <c:spPr>
              <a:noFill/>
              <a:ln w="9525">
                <a:solidFill>
                  <a:schemeClr val="accent3"/>
                </a:solidFill>
              </a:ln>
              <a:effectLst/>
            </c:spPr>
          </c:marker>
          <c:xVal>
            <c:numRef>
              <c:f>'[2022_03_17_RPB_model_updated_Result (Autosaved).xlsx]Sheet3'!$B$33:$B$38</c:f>
              <c:numCache>
                <c:formatCode>General</c:formatCode>
                <c:ptCount val="6"/>
                <c:pt idx="0">
                  <c:v>0.18</c:v>
                </c:pt>
                <c:pt idx="1">
                  <c:v>0.2</c:v>
                </c:pt>
                <c:pt idx="2">
                  <c:v>0.22</c:v>
                </c:pt>
                <c:pt idx="3">
                  <c:v>0.25</c:v>
                </c:pt>
                <c:pt idx="4">
                  <c:v>0.27</c:v>
                </c:pt>
                <c:pt idx="5">
                  <c:v>0.3</c:v>
                </c:pt>
              </c:numCache>
            </c:numRef>
          </c:xVal>
          <c:yVal>
            <c:numRef>
              <c:f>'[2022_03_17_RPB_model_updated_Result (Autosaved).xlsx]Sheet3'!$K$33:$K$38</c:f>
              <c:numCache>
                <c:formatCode>General</c:formatCode>
                <c:ptCount val="6"/>
                <c:pt idx="0">
                  <c:v>96.219381303198034</c:v>
                </c:pt>
                <c:pt idx="1">
                  <c:v>95.853476830079671</c:v>
                </c:pt>
                <c:pt idx="2">
                  <c:v>95.388906105181846</c:v>
                </c:pt>
                <c:pt idx="3">
                  <c:v>94.450561137513446</c:v>
                </c:pt>
                <c:pt idx="4">
                  <c:v>93.640629167977352</c:v>
                </c:pt>
                <c:pt idx="5">
                  <c:v>91.897285233258373</c:v>
                </c:pt>
              </c:numCache>
            </c:numRef>
          </c:yVal>
          <c:smooth val="1"/>
          <c:extLst>
            <c:ext xmlns:c16="http://schemas.microsoft.com/office/drawing/2014/chart" uri="{C3380CC4-5D6E-409C-BE32-E72D297353CC}">
              <c16:uniqueId val="{00000002-4767-4CA8-8571-D99410FD9EE0}"/>
            </c:ext>
          </c:extLst>
        </c:ser>
        <c:ser>
          <c:idx val="3"/>
          <c:order val="3"/>
          <c:tx>
            <c:v>75 wt% MEA</c:v>
          </c:tx>
          <c:spPr>
            <a:ln w="19050" cap="rnd">
              <a:solidFill>
                <a:srgbClr val="00B050"/>
              </a:solidFill>
              <a:prstDash val="sysDot"/>
              <a:round/>
            </a:ln>
            <a:effectLst/>
          </c:spPr>
          <c:marker>
            <c:symbol val="square"/>
            <c:size val="5"/>
            <c:spPr>
              <a:solidFill>
                <a:srgbClr val="00B050"/>
              </a:solidFill>
              <a:ln w="9525">
                <a:solidFill>
                  <a:srgbClr val="00B050"/>
                </a:solidFill>
              </a:ln>
              <a:effectLst/>
            </c:spPr>
          </c:marker>
          <c:xVal>
            <c:numRef>
              <c:f>'[2022_03_17_RPB_model_updated_Result (Autosaved).xlsx]Sheet3'!$B$33:$B$38</c:f>
              <c:numCache>
                <c:formatCode>General</c:formatCode>
                <c:ptCount val="6"/>
                <c:pt idx="0">
                  <c:v>0.18</c:v>
                </c:pt>
                <c:pt idx="1">
                  <c:v>0.2</c:v>
                </c:pt>
                <c:pt idx="2">
                  <c:v>0.22</c:v>
                </c:pt>
                <c:pt idx="3">
                  <c:v>0.25</c:v>
                </c:pt>
                <c:pt idx="4">
                  <c:v>0.27</c:v>
                </c:pt>
                <c:pt idx="5">
                  <c:v>0.3</c:v>
                </c:pt>
              </c:numCache>
            </c:numRef>
          </c:xVal>
          <c:yVal>
            <c:numRef>
              <c:f>'[2022_03_17_RPB_model_updated_Result (Autosaved).xlsx]Sheet3'!$N$33:$N$38</c:f>
              <c:numCache>
                <c:formatCode>General</c:formatCode>
                <c:ptCount val="6"/>
                <c:pt idx="0">
                  <c:v>97.41269633472794</c:v>
                </c:pt>
                <c:pt idx="1">
                  <c:v>97.115034228459606</c:v>
                </c:pt>
                <c:pt idx="2">
                  <c:v>96.725974496537418</c:v>
                </c:pt>
                <c:pt idx="3">
                  <c:v>95.912080602592511</c:v>
                </c:pt>
                <c:pt idx="4">
                  <c:v>95.158641906833324</c:v>
                </c:pt>
                <c:pt idx="5">
                  <c:v>93.561152271061133</c:v>
                </c:pt>
              </c:numCache>
            </c:numRef>
          </c:yVal>
          <c:smooth val="1"/>
          <c:extLst>
            <c:ext xmlns:c16="http://schemas.microsoft.com/office/drawing/2014/chart" uri="{C3380CC4-5D6E-409C-BE32-E72D297353CC}">
              <c16:uniqueId val="{00000003-4767-4CA8-8571-D99410FD9EE0}"/>
            </c:ext>
          </c:extLst>
        </c:ser>
        <c:ser>
          <c:idx val="4"/>
          <c:order val="4"/>
          <c:tx>
            <c:v>80 wt% MEA</c:v>
          </c:tx>
          <c:spPr>
            <a:ln w="19050" cap="rnd">
              <a:solidFill>
                <a:schemeClr val="accent5"/>
              </a:solidFill>
              <a:round/>
            </a:ln>
            <a:effectLst/>
          </c:spPr>
          <c:marker>
            <c:symbol val="dash"/>
            <c:size val="5"/>
            <c:spPr>
              <a:solidFill>
                <a:schemeClr val="accent5"/>
              </a:solidFill>
              <a:ln w="9525">
                <a:solidFill>
                  <a:schemeClr val="accent5"/>
                </a:solidFill>
              </a:ln>
              <a:effectLst/>
            </c:spPr>
          </c:marker>
          <c:xVal>
            <c:numRef>
              <c:f>'[2022_03_17_RPB_model_updated_Result (Autosaved).xlsx]Sheet3'!$B$33:$B$38</c:f>
              <c:numCache>
                <c:formatCode>General</c:formatCode>
                <c:ptCount val="6"/>
                <c:pt idx="0">
                  <c:v>0.18</c:v>
                </c:pt>
                <c:pt idx="1">
                  <c:v>0.2</c:v>
                </c:pt>
                <c:pt idx="2">
                  <c:v>0.22</c:v>
                </c:pt>
                <c:pt idx="3">
                  <c:v>0.25</c:v>
                </c:pt>
                <c:pt idx="4">
                  <c:v>0.27</c:v>
                </c:pt>
                <c:pt idx="5">
                  <c:v>0.3</c:v>
                </c:pt>
              </c:numCache>
            </c:numRef>
          </c:xVal>
          <c:yVal>
            <c:numRef>
              <c:f>'[2022_03_17_RPB_model_updated_Result (Autosaved).xlsx]Sheet3'!$S$33:$S$38</c:f>
              <c:numCache>
                <c:formatCode>General</c:formatCode>
                <c:ptCount val="6"/>
                <c:pt idx="0">
                  <c:v>96.438569371380666</c:v>
                </c:pt>
                <c:pt idx="1">
                  <c:v>96.143883886175004</c:v>
                </c:pt>
                <c:pt idx="2">
                  <c:v>95.758714751572043</c:v>
                </c:pt>
                <c:pt idx="3">
                  <c:v>94.952959796566589</c:v>
                </c:pt>
                <c:pt idx="4">
                  <c:v>94.20705548776499</c:v>
                </c:pt>
                <c:pt idx="5">
                  <c:v>92.625540748350517</c:v>
                </c:pt>
              </c:numCache>
            </c:numRef>
          </c:yVal>
          <c:smooth val="1"/>
          <c:extLst>
            <c:ext xmlns:c16="http://schemas.microsoft.com/office/drawing/2014/chart" uri="{C3380CC4-5D6E-409C-BE32-E72D297353CC}">
              <c16:uniqueId val="{00000004-4767-4CA8-8571-D99410FD9EE0}"/>
            </c:ext>
          </c:extLst>
        </c:ser>
        <c:dLbls>
          <c:showLegendKey val="0"/>
          <c:showVal val="0"/>
          <c:showCatName val="0"/>
          <c:showSerName val="0"/>
          <c:showPercent val="0"/>
          <c:showBubbleSize val="0"/>
        </c:dLbls>
        <c:axId val="613960064"/>
        <c:axId val="613961048"/>
      </c:scatterChart>
      <c:valAx>
        <c:axId val="613960064"/>
        <c:scaling>
          <c:orientation val="minMax"/>
          <c:min val="0.16000000000000003"/>
        </c:scaling>
        <c:delete val="0"/>
        <c:axPos val="b"/>
        <c:title>
          <c:tx>
            <c:rich>
              <a:bodyPr rot="0" spcFirstLastPara="1" vertOverflow="ellipsis" vert="horz" wrap="square" anchor="ctr" anchorCtr="1"/>
              <a:lstStyle/>
              <a:p>
                <a:pPr>
                  <a:defRPr sz="1100" b="0" i="0" u="none" strike="noStrike" kern="1200" baseline="0">
                    <a:solidFill>
                      <a:schemeClr val="dk1"/>
                    </a:solidFill>
                    <a:latin typeface="Arial Unicode MS" panose="020B0604020202020204" pitchFamily="34" charset="-128"/>
                    <a:ea typeface="Arial Unicode MS" panose="020B0604020202020204" pitchFamily="34" charset="-128"/>
                    <a:cs typeface="Arial Unicode MS" panose="020B0604020202020204" pitchFamily="34" charset="-128"/>
                  </a:defRPr>
                </a:pPr>
                <a:r>
                  <a:rPr lang="en-GB" sz="1000" b="0">
                    <a:latin typeface="Times New Roman" panose="02020603050405020304" pitchFamily="18" charset="0"/>
                    <a:ea typeface="Arial Unicode MS" panose="020B0604020202020204" pitchFamily="34" charset="-128"/>
                    <a:cs typeface="Times New Roman" panose="02020603050405020304" pitchFamily="18" charset="0"/>
                  </a:rPr>
                  <a:t>Lean CO</a:t>
                </a:r>
                <a:r>
                  <a:rPr lang="en-GB" sz="1000" b="0" baseline="-25000">
                    <a:latin typeface="Times New Roman" panose="02020603050405020304" pitchFamily="18" charset="0"/>
                    <a:ea typeface="Arial Unicode MS" panose="020B0604020202020204" pitchFamily="34" charset="-128"/>
                    <a:cs typeface="Times New Roman" panose="02020603050405020304" pitchFamily="18" charset="0"/>
                  </a:rPr>
                  <a:t>2</a:t>
                </a:r>
                <a:r>
                  <a:rPr lang="en-GB" sz="1000" b="0">
                    <a:latin typeface="Times New Roman" panose="02020603050405020304" pitchFamily="18" charset="0"/>
                    <a:ea typeface="Arial Unicode MS" panose="020B0604020202020204" pitchFamily="34" charset="-128"/>
                    <a:cs typeface="Times New Roman" panose="02020603050405020304" pitchFamily="18" charset="0"/>
                  </a:rPr>
                  <a:t> loading (mol CO</a:t>
                </a:r>
                <a:r>
                  <a:rPr lang="en-GB" sz="1000" b="0" baseline="-25000">
                    <a:latin typeface="Times New Roman" panose="02020603050405020304" pitchFamily="18" charset="0"/>
                    <a:ea typeface="Arial Unicode MS" panose="020B0604020202020204" pitchFamily="34" charset="-128"/>
                    <a:cs typeface="Times New Roman" panose="02020603050405020304" pitchFamily="18" charset="0"/>
                  </a:rPr>
                  <a:t>2</a:t>
                </a:r>
                <a:r>
                  <a:rPr lang="en-GB" sz="1000" b="0">
                    <a:latin typeface="Times New Roman" panose="02020603050405020304" pitchFamily="18" charset="0"/>
                    <a:ea typeface="Arial Unicode MS" panose="020B0604020202020204" pitchFamily="34" charset="-128"/>
                    <a:cs typeface="Times New Roman" panose="02020603050405020304" pitchFamily="18" charset="0"/>
                  </a:rPr>
                  <a:t>/molMEA</a:t>
                </a:r>
                <a:r>
                  <a:rPr lang="en-GB" sz="1100" b="0">
                    <a:latin typeface="Arial Unicode MS" panose="020B0604020202020204" pitchFamily="34" charset="-128"/>
                    <a:ea typeface="Arial Unicode MS" panose="020B0604020202020204" pitchFamily="34" charset="-128"/>
                    <a:cs typeface="Arial Unicode MS" panose="020B0604020202020204" pitchFamily="34" charset="-128"/>
                  </a:rPr>
                  <a:t>)</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dk1"/>
                  </a:solidFill>
                  <a:latin typeface="Arial Unicode MS" panose="020B0604020202020204" pitchFamily="34" charset="-128"/>
                  <a:ea typeface="Arial Unicode MS" panose="020B0604020202020204" pitchFamily="34" charset="-128"/>
                  <a:cs typeface="Arial Unicode MS" panose="020B0604020202020204" pitchFamily="34" charset="-128"/>
                </a:defRPr>
              </a:pPr>
              <a:endParaRPr lang="it-IT"/>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Arial Unicode MS" panose="020B0604020202020204" pitchFamily="34" charset="-128"/>
                <a:cs typeface="Times New Roman" panose="02020603050405020304" pitchFamily="18" charset="0"/>
              </a:defRPr>
            </a:pPr>
            <a:endParaRPr lang="it-IT"/>
          </a:p>
        </c:txPr>
        <c:crossAx val="613961048"/>
        <c:crosses val="autoZero"/>
        <c:crossBetween val="midCat"/>
        <c:majorUnit val="3.0000000000000006E-2"/>
      </c:valAx>
      <c:valAx>
        <c:axId val="6139610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Arial Unicode MS" panose="020B0604020202020204" pitchFamily="34" charset="-128"/>
                    <a:cs typeface="Times New Roman" panose="02020603050405020304" pitchFamily="18" charset="0"/>
                  </a:defRPr>
                </a:pPr>
                <a:r>
                  <a:rPr lang="en-GB" sz="1000" b="0">
                    <a:latin typeface="Times New Roman" panose="02020603050405020304" pitchFamily="18" charset="0"/>
                    <a:ea typeface="Arial Unicode MS" panose="020B0604020202020204" pitchFamily="34" charset="-128"/>
                    <a:cs typeface="Times New Roman" panose="02020603050405020304" pitchFamily="18" charset="0"/>
                  </a:rPr>
                  <a:t>CO</a:t>
                </a:r>
                <a:r>
                  <a:rPr lang="en-GB" sz="1000" b="0" baseline="-25000">
                    <a:latin typeface="Times New Roman" panose="02020603050405020304" pitchFamily="18" charset="0"/>
                    <a:ea typeface="Arial Unicode MS" panose="020B0604020202020204" pitchFamily="34" charset="-128"/>
                    <a:cs typeface="Times New Roman" panose="02020603050405020304" pitchFamily="18" charset="0"/>
                  </a:rPr>
                  <a:t>2</a:t>
                </a:r>
                <a:r>
                  <a:rPr lang="en-GB" sz="1000" b="0">
                    <a:latin typeface="Times New Roman" panose="02020603050405020304" pitchFamily="18" charset="0"/>
                    <a:ea typeface="Arial Unicode MS" panose="020B0604020202020204" pitchFamily="34" charset="-128"/>
                    <a:cs typeface="Times New Roman" panose="02020603050405020304" pitchFamily="18" charset="0"/>
                  </a:rPr>
                  <a:t> capture level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Arial Unicode MS" panose="020B0604020202020204" pitchFamily="34" charset="-128"/>
                  <a:cs typeface="Times New Roman" panose="02020603050405020304" pitchFamily="18" charset="0"/>
                </a:defRPr>
              </a:pPr>
              <a:endParaRPr lang="it-IT"/>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Arial Unicode MS" panose="020B0604020202020204" pitchFamily="34" charset="-128"/>
                <a:cs typeface="Times New Roman" panose="02020603050405020304" pitchFamily="18" charset="0"/>
              </a:defRPr>
            </a:pPr>
            <a:endParaRPr lang="it-IT"/>
          </a:p>
        </c:txPr>
        <c:crossAx val="613960064"/>
        <c:crosses val="autoZero"/>
        <c:crossBetween val="midCat"/>
        <c:majorUnit val="4"/>
      </c:valAx>
      <c:spPr>
        <a:solidFill>
          <a:schemeClr val="lt1"/>
        </a:solidFill>
        <a:ln w="12700" cap="flat" cmpd="sng" algn="ctr">
          <a:solidFill>
            <a:schemeClr val="dk1"/>
          </a:solidFill>
          <a:prstDash val="solid"/>
          <a:miter lim="800000"/>
        </a:ln>
        <a:effectLst/>
      </c:spPr>
    </c:plotArea>
    <c:legend>
      <c:legendPos val="t"/>
      <c:layout>
        <c:manualLayout>
          <c:xMode val="edge"/>
          <c:yMode val="edge"/>
          <c:x val="0.18863603409569923"/>
          <c:y val="0.47690258508149758"/>
          <c:w val="0.34790932215335657"/>
          <c:h val="0.2837481621851210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noFill/>
      <a:prstDash val="solid"/>
      <a:miter lim="800000"/>
    </a:ln>
    <a:effectLst/>
  </c:spPr>
  <c:txPr>
    <a:bodyPr/>
    <a:lstStyle/>
    <a:p>
      <a:pPr>
        <a:defRPr>
          <a:solidFill>
            <a:schemeClr val="dk1"/>
          </a:solidFill>
          <a:latin typeface="+mn-lt"/>
          <a:ea typeface="+mn-ea"/>
          <a:cs typeface="+mn-cs"/>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790367836590375"/>
          <c:y val="7.407407407407407E-2"/>
          <c:w val="0.66794566640219932"/>
          <c:h val="0.7083214385435862"/>
        </c:manualLayout>
      </c:layout>
      <c:scatterChart>
        <c:scatterStyle val="smoothMarker"/>
        <c:varyColors val="0"/>
        <c:ser>
          <c:idx val="0"/>
          <c:order val="0"/>
          <c:tx>
            <c:v>Regeneration energy</c:v>
          </c:tx>
          <c:spPr>
            <a:ln w="25400" cap="rnd">
              <a:solidFill>
                <a:srgbClr val="FF0000"/>
              </a:solidFill>
              <a:prstDash val="sysDot"/>
              <a:round/>
            </a:ln>
            <a:effectLst/>
          </c:spPr>
          <c:marker>
            <c:symbol val="square"/>
            <c:size val="5"/>
            <c:spPr>
              <a:solidFill>
                <a:srgbClr val="FF0000"/>
              </a:solidFill>
              <a:ln w="9525">
                <a:solidFill>
                  <a:srgbClr val="FF0000"/>
                </a:solidFill>
                <a:prstDash val="sysDot"/>
              </a:ln>
              <a:effectLst/>
            </c:spPr>
          </c:marker>
          <c:xVal>
            <c:numRef>
              <c:f>'[2022_03_17_RPB_model_updated_Result (Autosaved).xlsx]Sheet3'!$D$99:$D$103</c:f>
              <c:numCache>
                <c:formatCode>General</c:formatCode>
                <c:ptCount val="5"/>
                <c:pt idx="0">
                  <c:v>30</c:v>
                </c:pt>
                <c:pt idx="1">
                  <c:v>55</c:v>
                </c:pt>
                <c:pt idx="2">
                  <c:v>65</c:v>
                </c:pt>
                <c:pt idx="3">
                  <c:v>75</c:v>
                </c:pt>
                <c:pt idx="4">
                  <c:v>80</c:v>
                </c:pt>
              </c:numCache>
            </c:numRef>
          </c:xVal>
          <c:yVal>
            <c:numRef>
              <c:f>'[2022_03_17_RPB_model_updated_Result (Autosaved).xlsx]Sheet3'!$L$99:$L$103</c:f>
              <c:numCache>
                <c:formatCode>General</c:formatCode>
                <c:ptCount val="5"/>
                <c:pt idx="0">
                  <c:v>5.2435506939431571</c:v>
                </c:pt>
                <c:pt idx="1">
                  <c:v>4.950852813211692</c:v>
                </c:pt>
                <c:pt idx="2">
                  <c:v>4.664876357878101</c:v>
                </c:pt>
                <c:pt idx="3">
                  <c:v>4.4063034335195104</c:v>
                </c:pt>
                <c:pt idx="4">
                  <c:v>4.7899425105818434</c:v>
                </c:pt>
              </c:numCache>
            </c:numRef>
          </c:yVal>
          <c:smooth val="1"/>
          <c:extLst>
            <c:ext xmlns:c16="http://schemas.microsoft.com/office/drawing/2014/chart" uri="{C3380CC4-5D6E-409C-BE32-E72D297353CC}">
              <c16:uniqueId val="{00000000-E84C-48B7-9465-95AAA269794F}"/>
            </c:ext>
          </c:extLst>
        </c:ser>
        <c:dLbls>
          <c:showLegendKey val="0"/>
          <c:showVal val="0"/>
          <c:showCatName val="0"/>
          <c:showSerName val="0"/>
          <c:showPercent val="0"/>
          <c:showBubbleSize val="0"/>
        </c:dLbls>
        <c:axId val="578709128"/>
        <c:axId val="578710768"/>
      </c:scatterChart>
      <c:scatterChart>
        <c:scatterStyle val="smoothMarker"/>
        <c:varyColors val="0"/>
        <c:ser>
          <c:idx val="1"/>
          <c:order val="1"/>
          <c:tx>
            <c:v>Rotation Energy</c:v>
          </c:tx>
          <c:spPr>
            <a:ln w="25400" cap="rnd">
              <a:solidFill>
                <a:srgbClr val="00B050"/>
              </a:solidFill>
              <a:prstDash val="sysDot"/>
              <a:round/>
            </a:ln>
            <a:effectLst/>
          </c:spPr>
          <c:marker>
            <c:symbol val="none"/>
          </c:marker>
          <c:xVal>
            <c:numRef>
              <c:f>'[2022_03_17_RPB_model_updated_Result (Autosaved).xlsx]Sheet3'!$D$99:$D$103</c:f>
              <c:numCache>
                <c:formatCode>General</c:formatCode>
                <c:ptCount val="5"/>
                <c:pt idx="0">
                  <c:v>30</c:v>
                </c:pt>
                <c:pt idx="1">
                  <c:v>55</c:v>
                </c:pt>
                <c:pt idx="2">
                  <c:v>65</c:v>
                </c:pt>
                <c:pt idx="3">
                  <c:v>75</c:v>
                </c:pt>
                <c:pt idx="4">
                  <c:v>80</c:v>
                </c:pt>
              </c:numCache>
            </c:numRef>
          </c:xVal>
          <c:yVal>
            <c:numRef>
              <c:f>'[2022_03_17_RPB_model_updated_Result (Autosaved).xlsx]Sheet3'!$K$99:$K$103</c:f>
              <c:numCache>
                <c:formatCode>General</c:formatCode>
                <c:ptCount val="5"/>
                <c:pt idx="0">
                  <c:v>0.92648356647738273</c:v>
                </c:pt>
                <c:pt idx="1">
                  <c:v>0.74245661905052873</c:v>
                </c:pt>
                <c:pt idx="2">
                  <c:v>0.61233290070414437</c:v>
                </c:pt>
                <c:pt idx="3">
                  <c:v>0.52023581059458202</c:v>
                </c:pt>
                <c:pt idx="4">
                  <c:v>0.40783665134236913</c:v>
                </c:pt>
              </c:numCache>
            </c:numRef>
          </c:yVal>
          <c:smooth val="1"/>
          <c:extLst>
            <c:ext xmlns:c16="http://schemas.microsoft.com/office/drawing/2014/chart" uri="{C3380CC4-5D6E-409C-BE32-E72D297353CC}">
              <c16:uniqueId val="{00000001-E84C-48B7-9465-95AAA269794F}"/>
            </c:ext>
          </c:extLst>
        </c:ser>
        <c:dLbls>
          <c:showLegendKey val="0"/>
          <c:showVal val="0"/>
          <c:showCatName val="0"/>
          <c:showSerName val="0"/>
          <c:showPercent val="0"/>
          <c:showBubbleSize val="0"/>
        </c:dLbls>
        <c:axId val="578749472"/>
        <c:axId val="578752096"/>
      </c:scatterChart>
      <c:valAx>
        <c:axId val="578709128"/>
        <c:scaling>
          <c:orientation val="minMax"/>
          <c:min val="25"/>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solidFill>
                      <a:sysClr val="windowText" lastClr="000000"/>
                    </a:solidFill>
                    <a:latin typeface="Times New Roman" panose="02020603050405020304" pitchFamily="18" charset="0"/>
                    <a:cs typeface="Times New Roman" panose="02020603050405020304" pitchFamily="18" charset="0"/>
                  </a:rPr>
                  <a:t>MEA</a:t>
                </a:r>
                <a:r>
                  <a:rPr lang="en-GB" baseline="0">
                    <a:solidFill>
                      <a:sysClr val="windowText" lastClr="000000"/>
                    </a:solidFill>
                    <a:latin typeface="Times New Roman" panose="02020603050405020304" pitchFamily="18" charset="0"/>
                    <a:cs typeface="Times New Roman" panose="02020603050405020304" pitchFamily="18" charset="0"/>
                  </a:rPr>
                  <a:t> concentration (wt%)</a:t>
                </a:r>
                <a:endParaRPr lang="en-GB">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t-IT"/>
          </a:p>
        </c:txPr>
        <c:crossAx val="578710768"/>
        <c:crosses val="autoZero"/>
        <c:crossBetween val="midCat"/>
      </c:valAx>
      <c:valAx>
        <c:axId val="57871076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baseline="0">
                    <a:solidFill>
                      <a:sysClr val="windowText" lastClr="000000"/>
                    </a:solidFill>
                    <a:latin typeface="Times New Roman" panose="02020603050405020304" pitchFamily="18" charset="0"/>
                    <a:cs typeface="Times New Roman" panose="02020603050405020304" pitchFamily="18" charset="0"/>
                  </a:rPr>
                  <a:t>Regeneration energy (GJ/tCO</a:t>
                </a:r>
                <a:r>
                  <a:rPr lang="en-GB" baseline="-25000">
                    <a:solidFill>
                      <a:sysClr val="windowText" lastClr="000000"/>
                    </a:solidFill>
                    <a:latin typeface="Times New Roman" panose="02020603050405020304" pitchFamily="18" charset="0"/>
                    <a:cs typeface="Times New Roman" panose="02020603050405020304" pitchFamily="18" charset="0"/>
                  </a:rPr>
                  <a:t>2</a:t>
                </a:r>
                <a:r>
                  <a:rPr lang="en-GB" baseline="0">
                    <a:solidFill>
                      <a:sysClr val="windowText" lastClr="000000"/>
                    </a:solidFill>
                    <a:latin typeface="Times New Roman" panose="02020603050405020304" pitchFamily="18" charset="0"/>
                    <a:cs typeface="Times New Roman" panose="02020603050405020304" pitchFamily="18" charset="0"/>
                  </a:rPr>
                  <a:t>)</a:t>
                </a:r>
                <a:endParaRPr lang="en-GB">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6.6969030765606258E-2"/>
              <c:y val="7.8635170603674545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t-IT"/>
          </a:p>
        </c:txPr>
        <c:crossAx val="578709128"/>
        <c:crosses val="autoZero"/>
        <c:crossBetween val="midCat"/>
      </c:valAx>
      <c:valAx>
        <c:axId val="578752096"/>
        <c:scaling>
          <c:orientation val="minMax"/>
          <c:min val="0.30000000000000004"/>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solidFill>
                      <a:sysClr val="windowText" lastClr="000000"/>
                    </a:solidFill>
                    <a:latin typeface="Times New Roman" panose="02020603050405020304" pitchFamily="18" charset="0"/>
                    <a:cs typeface="Times New Roman" panose="02020603050405020304" pitchFamily="18" charset="0"/>
                  </a:rPr>
                  <a:t>Rotation energy (GJ/tCO</a:t>
                </a:r>
                <a:r>
                  <a:rPr lang="en-GB" baseline="-25000">
                    <a:solidFill>
                      <a:sysClr val="windowText" lastClr="000000"/>
                    </a:solidFill>
                    <a:latin typeface="Times New Roman" panose="02020603050405020304" pitchFamily="18" charset="0"/>
                    <a:cs typeface="Times New Roman" panose="02020603050405020304" pitchFamily="18" charset="0"/>
                  </a:rPr>
                  <a:t>2</a:t>
                </a:r>
                <a:r>
                  <a:rPr lang="en-GB">
                    <a:solidFill>
                      <a:sysClr val="windowText" lastClr="000000"/>
                    </a:solidFill>
                    <a:latin typeface="Times New Roman" panose="02020603050405020304" pitchFamily="18" charset="0"/>
                    <a:cs typeface="Times New Roman" panose="02020603050405020304" pitchFamily="18" charset="0"/>
                  </a:rPr>
                  <a:t>)</a:t>
                </a:r>
              </a:p>
            </c:rich>
          </c:tx>
          <c:layout>
            <c:manualLayout>
              <c:xMode val="edge"/>
              <c:yMode val="edge"/>
              <c:x val="0.92486504385935675"/>
              <c:y val="0.1510560626824301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t-IT"/>
          </a:p>
        </c:txPr>
        <c:crossAx val="578749472"/>
        <c:crosses val="max"/>
        <c:crossBetween val="midCat"/>
      </c:valAx>
      <c:valAx>
        <c:axId val="578749472"/>
        <c:scaling>
          <c:orientation val="minMax"/>
          <c:min val="25"/>
        </c:scaling>
        <c:delete val="0"/>
        <c:axPos val="t"/>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t-IT"/>
          </a:p>
        </c:txPr>
        <c:crossAx val="578752096"/>
        <c:crosses val="max"/>
        <c:crossBetween val="midCat"/>
      </c:valAx>
      <c:spPr>
        <a:solidFill>
          <a:schemeClr val="lt1"/>
        </a:solidFill>
        <a:ln w="12700" cap="flat" cmpd="sng" algn="ctr">
          <a:solidFill>
            <a:schemeClr val="dk1"/>
          </a:solidFill>
          <a:prstDash val="solid"/>
          <a:miter lim="800000"/>
        </a:ln>
        <a:effectLst/>
      </c:spPr>
    </c:plotArea>
    <c:legend>
      <c:legendPos val="r"/>
      <c:layout>
        <c:manualLayout>
          <c:xMode val="edge"/>
          <c:yMode val="edge"/>
          <c:x val="0.21426793910571737"/>
          <c:y val="0.4774298319093091"/>
          <c:w val="0.38165310526982504"/>
          <c:h val="0.2145096354106179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legend>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09555-6563-460B-995A-BDD25E353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192</TotalTime>
  <Pages>6</Pages>
  <Words>1919</Words>
  <Characters>36669</Characters>
  <Application>Microsoft Office Word</Application>
  <DocSecurity>0</DocSecurity>
  <Lines>305</Lines>
  <Paragraphs>77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38511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77</cp:revision>
  <cp:lastPrinted>2004-12-17T09:20:00Z</cp:lastPrinted>
  <dcterms:created xsi:type="dcterms:W3CDTF">2023-12-27T12:48:00Z</dcterms:created>
  <dcterms:modified xsi:type="dcterms:W3CDTF">2024-01-16T15:31:00Z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Document_1">
    <vt:lpwstr>True</vt:lpwstr>
  </property>
  <property fmtid="{D5CDD505-2E9C-101B-9397-08002B2CF9AE}" pid="11" name="Mendeley Unique User Id_1">
    <vt:lpwstr>cbff0817-4077-3517-8148-36538cb00e05</vt:lpwstr>
  </property>
  <property fmtid="{D5CDD505-2E9C-101B-9397-08002B2CF9AE}" pid="12" name="Mendeley Citation Style_1">
    <vt:lpwstr>http://www.zotero.org/styles/applied-energy</vt:lpwstr>
  </property>
</Properties>
</file>