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1069045E" w:rsidR="00DD3D9E" w:rsidRPr="00B4388F" w:rsidRDefault="00F77717">
      <w:pPr>
        <w:pStyle w:val="Els-Title"/>
        <w:rPr>
          <w:color w:val="000000" w:themeColor="text1"/>
        </w:rPr>
      </w:pPr>
      <w:bookmarkStart w:id="0" w:name="_GoBack"/>
      <w:bookmarkEnd w:id="0"/>
      <w:r>
        <w:rPr>
          <w:color w:val="000000" w:themeColor="text1"/>
        </w:rPr>
        <w:t>Second-generation</w:t>
      </w:r>
      <w:r w:rsidR="003B3A9D">
        <w:rPr>
          <w:color w:val="000000" w:themeColor="text1"/>
        </w:rPr>
        <w:t xml:space="preserve"> biorefinery location selection in Europe using satellite data and crop </w:t>
      </w:r>
      <w:r w:rsidR="008A665B">
        <w:rPr>
          <w:color w:val="000000" w:themeColor="text1"/>
        </w:rPr>
        <w:t>calendars</w:t>
      </w:r>
    </w:p>
    <w:p w14:paraId="144DE680" w14:textId="705C4D3D" w:rsidR="00DD3D9E" w:rsidRPr="00752003" w:rsidRDefault="003B3A9D">
      <w:pPr>
        <w:pStyle w:val="Els-Author"/>
        <w:rPr>
          <w:lang w:val="it-IT"/>
        </w:rPr>
      </w:pPr>
      <w:r w:rsidRPr="00752003">
        <w:rPr>
          <w:lang w:val="it-IT"/>
        </w:rPr>
        <w:t>Varun Punnathanam</w:t>
      </w:r>
      <w:r w:rsidR="006A045A" w:rsidRPr="00752003">
        <w:rPr>
          <w:vertAlign w:val="superscript"/>
          <w:lang w:val="it-IT"/>
        </w:rPr>
        <w:t>a</w:t>
      </w:r>
      <w:r w:rsidRPr="00752003">
        <w:rPr>
          <w:lang w:val="it-IT"/>
        </w:rPr>
        <w:t>, Raunak Bardia</w:t>
      </w:r>
      <w:r w:rsidR="001B0E15" w:rsidRPr="00752003">
        <w:rPr>
          <w:vertAlign w:val="superscript"/>
          <w:lang w:val="it-IT"/>
        </w:rPr>
        <w:t>a</w:t>
      </w:r>
      <w:r w:rsidRPr="00752003">
        <w:rPr>
          <w:lang w:val="it-IT"/>
        </w:rPr>
        <w:t>, Shirish Potu</w:t>
      </w:r>
      <w:r w:rsidR="001B0E15" w:rsidRPr="00752003">
        <w:rPr>
          <w:vertAlign w:val="superscript"/>
          <w:lang w:val="it-IT"/>
        </w:rPr>
        <w:t>a</w:t>
      </w:r>
      <w:r w:rsidR="00E74964" w:rsidRPr="00752003">
        <w:rPr>
          <w:lang w:val="it-IT"/>
        </w:rPr>
        <w:t>, Nicole Elliott</w:t>
      </w:r>
      <w:r w:rsidR="001B0E15" w:rsidRPr="00752003">
        <w:rPr>
          <w:vertAlign w:val="superscript"/>
          <w:lang w:val="it-IT"/>
        </w:rPr>
        <w:t>b</w:t>
      </w:r>
      <w:r w:rsidR="00D46A7B" w:rsidRPr="00752003">
        <w:rPr>
          <w:lang w:val="it-IT"/>
        </w:rPr>
        <w:t xml:space="preserve">, </w:t>
      </w:r>
      <w:r w:rsidR="002D5538" w:rsidRPr="00752003">
        <w:rPr>
          <w:lang w:val="it-IT"/>
        </w:rPr>
        <w:t>Jose Maria Gonzalez Martinez</w:t>
      </w:r>
      <w:r w:rsidR="002D5538" w:rsidRPr="00752003">
        <w:rPr>
          <w:vertAlign w:val="superscript"/>
          <w:lang w:val="it-IT"/>
        </w:rPr>
        <w:t>c</w:t>
      </w:r>
    </w:p>
    <w:p w14:paraId="688B24E0" w14:textId="476C9003" w:rsidR="006A045A" w:rsidRDefault="002D5538" w:rsidP="002A2D0A">
      <w:pPr>
        <w:pStyle w:val="Els-Affiliation"/>
        <w:jc w:val="left"/>
      </w:pPr>
      <w:r w:rsidRPr="002D5538">
        <w:rPr>
          <w:vertAlign w:val="superscript"/>
        </w:rPr>
        <w:t>a</w:t>
      </w:r>
      <w:r w:rsidR="00AE4E6D">
        <w:t>Shell India Markets Private Limited, Bengaluru</w:t>
      </w:r>
      <w:r w:rsidR="002721AF">
        <w:t xml:space="preserve"> 56</w:t>
      </w:r>
      <w:r w:rsidR="009B1076">
        <w:t>2149</w:t>
      </w:r>
      <w:r>
        <w:br/>
      </w:r>
      <w:r w:rsidR="002A2D0A" w:rsidRPr="00381100">
        <w:rPr>
          <w:vertAlign w:val="superscript"/>
        </w:rPr>
        <w:t>b</w:t>
      </w:r>
      <w:r w:rsidR="002A2D0A" w:rsidRPr="002A2D0A">
        <w:t>Shell International Petroleum Company Limited</w:t>
      </w:r>
      <w:r w:rsidR="002A2D0A">
        <w:t xml:space="preserve">, London </w:t>
      </w:r>
      <w:r w:rsidR="00531273">
        <w:t>SE17NA</w:t>
      </w:r>
      <w:r w:rsidR="00381100">
        <w:br/>
      </w:r>
      <w:r w:rsidR="00381100" w:rsidRPr="007E4987">
        <w:rPr>
          <w:vertAlign w:val="superscript"/>
        </w:rPr>
        <w:t>c</w:t>
      </w:r>
      <w:r w:rsidR="007E4987" w:rsidRPr="007E4987">
        <w:t>Shell Global Solutions International B.V., Amsterdam</w:t>
      </w:r>
      <w:r w:rsidR="00E03F28">
        <w:t xml:space="preserve"> 1031HW</w:t>
      </w:r>
    </w:p>
    <w:p w14:paraId="144DE683" w14:textId="458F13CA" w:rsidR="008D2649" w:rsidRPr="00A94774" w:rsidRDefault="009B1076" w:rsidP="002C1466">
      <w:pPr>
        <w:pStyle w:val="Els-Affiliation"/>
        <w:spacing w:before="0" w:after="120"/>
      </w:pPr>
      <w:r>
        <w:t>Varun.Punnathanam@shell.com</w:t>
      </w:r>
    </w:p>
    <w:p w14:paraId="144DE684" w14:textId="77777777" w:rsidR="008D2649" w:rsidRDefault="008D2649" w:rsidP="008D2649">
      <w:pPr>
        <w:pStyle w:val="Els-Abstract"/>
      </w:pPr>
      <w:r>
        <w:t>Abstract</w:t>
      </w:r>
    </w:p>
    <w:p w14:paraId="724D3BF9" w14:textId="454700FE" w:rsidR="00E00332" w:rsidRDefault="00B11717" w:rsidP="00E00332">
      <w:pPr>
        <w:pStyle w:val="Els-body-text"/>
        <w:spacing w:after="120"/>
        <w:rPr>
          <w:lang w:val="en-GB"/>
        </w:rPr>
      </w:pPr>
      <w:r w:rsidRPr="00BC1272">
        <w:rPr>
          <w:lang w:val="en-GB"/>
        </w:rPr>
        <w:t xml:space="preserve">The feasibility of large-scale second-generation biofuel production is largely dependent on feedstock availability. </w:t>
      </w:r>
      <w:r w:rsidR="003A1A98">
        <w:rPr>
          <w:lang w:val="en-GB"/>
        </w:rPr>
        <w:t xml:space="preserve">Agricultural </w:t>
      </w:r>
      <w:proofErr w:type="gramStart"/>
      <w:r w:rsidR="003A1A98">
        <w:rPr>
          <w:lang w:val="en-GB"/>
        </w:rPr>
        <w:t>residue</w:t>
      </w:r>
      <w:r w:rsidR="006D5F19">
        <w:rPr>
          <w:lang w:val="en-GB"/>
        </w:rPr>
        <w:t xml:space="preserve"> </w:t>
      </w:r>
      <w:r w:rsidR="003A1A98">
        <w:rPr>
          <w:lang w:val="en-GB"/>
        </w:rPr>
        <w:t>based</w:t>
      </w:r>
      <w:proofErr w:type="gramEnd"/>
      <w:r w:rsidR="003A1A98">
        <w:rPr>
          <w:lang w:val="en-GB"/>
        </w:rPr>
        <w:t xml:space="preserve"> feedstock</w:t>
      </w:r>
      <w:r w:rsidRPr="00BC1272">
        <w:rPr>
          <w:lang w:val="en-GB"/>
        </w:rPr>
        <w:t xml:space="preserve"> ha</w:t>
      </w:r>
      <w:r w:rsidR="003A1A98">
        <w:rPr>
          <w:lang w:val="en-GB"/>
        </w:rPr>
        <w:t>ve</w:t>
      </w:r>
      <w:r w:rsidRPr="00BC1272">
        <w:rPr>
          <w:lang w:val="en-GB"/>
        </w:rPr>
        <w:t xml:space="preserve"> temporal variation in addition to regional variation, as these residues are primarily available during the harvesting season.</w:t>
      </w:r>
      <w:r>
        <w:rPr>
          <w:lang w:val="en-GB"/>
        </w:rPr>
        <w:t xml:space="preserve"> </w:t>
      </w:r>
      <w:r w:rsidRPr="00452092">
        <w:rPr>
          <w:lang w:val="en-GB"/>
        </w:rPr>
        <w:t>This work utilizes the open</w:t>
      </w:r>
      <w:r w:rsidR="0054752E">
        <w:rPr>
          <w:lang w:val="en-GB"/>
        </w:rPr>
        <w:t>-</w:t>
      </w:r>
      <w:r w:rsidRPr="00452092">
        <w:rPr>
          <w:lang w:val="en-GB"/>
        </w:rPr>
        <w:t xml:space="preserve">source database EUCROPMAP </w:t>
      </w:r>
      <w:r w:rsidR="003C17EC" w:rsidRPr="00452092">
        <w:rPr>
          <w:lang w:val="en-GB"/>
        </w:rPr>
        <w:t>to generate a map of biomass availability throughout the 27 E</w:t>
      </w:r>
      <w:r w:rsidR="0036354B">
        <w:rPr>
          <w:lang w:val="en-GB"/>
        </w:rPr>
        <w:t>U</w:t>
      </w:r>
      <w:r w:rsidR="003C17EC" w:rsidRPr="00452092">
        <w:rPr>
          <w:lang w:val="en-GB"/>
        </w:rPr>
        <w:t xml:space="preserve"> countries by down</w:t>
      </w:r>
      <w:r w:rsidR="003C17EC">
        <w:rPr>
          <w:lang w:val="en-GB"/>
        </w:rPr>
        <w:t>-</w:t>
      </w:r>
      <w:r w:rsidR="003C17EC" w:rsidRPr="00452092">
        <w:rPr>
          <w:lang w:val="en-GB"/>
        </w:rPr>
        <w:t>sampling from the original 1.75 x 10</w:t>
      </w:r>
      <w:r w:rsidR="003C17EC" w:rsidRPr="00452092">
        <w:rPr>
          <w:vertAlign w:val="superscript"/>
          <w:lang w:val="en-GB"/>
        </w:rPr>
        <w:t>11</w:t>
      </w:r>
      <w:r w:rsidR="003C17EC" w:rsidRPr="00452092">
        <w:rPr>
          <w:lang w:val="en-GB"/>
        </w:rPr>
        <w:t xml:space="preserve"> pixels of resolution 10 m to 2.7 x 10</w:t>
      </w:r>
      <w:r w:rsidR="003C17EC" w:rsidRPr="00452092">
        <w:rPr>
          <w:vertAlign w:val="superscript"/>
          <w:lang w:val="en-GB"/>
        </w:rPr>
        <w:t>6</w:t>
      </w:r>
      <w:r w:rsidR="003C17EC" w:rsidRPr="00452092">
        <w:rPr>
          <w:lang w:val="en-GB"/>
        </w:rPr>
        <w:t xml:space="preserve"> pixels of resolution 2.56 km without loss of land use information. The residue generated per pixel is then calculated as a function of the crop yield using the residue-to-product ratio formula. </w:t>
      </w:r>
      <w:r w:rsidR="003C17EC" w:rsidRPr="00634325">
        <w:rPr>
          <w:lang w:val="en-GB"/>
        </w:rPr>
        <w:t>This is followed by accounting for collectability and availability of the residues using crop-specific factors from literature</w:t>
      </w:r>
      <w:r w:rsidR="003C17EC">
        <w:rPr>
          <w:lang w:val="en-GB"/>
        </w:rPr>
        <w:t xml:space="preserve">. </w:t>
      </w:r>
      <w:r w:rsidR="003C17EC" w:rsidRPr="00452092">
        <w:rPr>
          <w:lang w:val="en-GB"/>
        </w:rPr>
        <w:t>Lastly, heatmaps are generated that showcase the total quantity of biomass that can be procured within a specified collection radius.</w:t>
      </w:r>
      <w:r w:rsidR="003C17EC">
        <w:rPr>
          <w:lang w:val="en-GB"/>
        </w:rPr>
        <w:t xml:space="preserve"> </w:t>
      </w:r>
      <w:r w:rsidR="003C17EC" w:rsidRPr="00452092">
        <w:rPr>
          <w:lang w:val="en-GB"/>
        </w:rPr>
        <w:t>The seasonal variation in feedstock is incorporated by utilizing European crop calendars</w:t>
      </w:r>
      <w:r w:rsidR="003C17EC">
        <w:rPr>
          <w:lang w:val="en-GB"/>
        </w:rPr>
        <w:t xml:space="preserve">. </w:t>
      </w:r>
      <w:r w:rsidR="003C17EC" w:rsidRPr="00452092">
        <w:rPr>
          <w:lang w:val="en-GB"/>
        </w:rPr>
        <w:t xml:space="preserve">Each crop in each country is assigned a harvesting season using this database. The biomass availability hotspots and the </w:t>
      </w:r>
      <w:r w:rsidR="003C17EC">
        <w:rPr>
          <w:lang w:val="en-GB"/>
        </w:rPr>
        <w:t>seasonality</w:t>
      </w:r>
      <w:r w:rsidR="003C17EC" w:rsidRPr="00452092">
        <w:rPr>
          <w:lang w:val="en-GB"/>
        </w:rPr>
        <w:t xml:space="preserve"> data </w:t>
      </w:r>
      <w:r w:rsidR="003C17EC">
        <w:rPr>
          <w:lang w:val="en-GB"/>
        </w:rPr>
        <w:t>are</w:t>
      </w:r>
      <w:r w:rsidR="003C17EC" w:rsidRPr="00452092">
        <w:rPr>
          <w:lang w:val="en-GB"/>
        </w:rPr>
        <w:t xml:space="preserve"> then utilized to recommend biorefinery locations that minimize feedstock storage and transport. </w:t>
      </w:r>
      <w:r w:rsidR="003C17EC">
        <w:rPr>
          <w:lang w:val="en-GB"/>
        </w:rPr>
        <w:t>A case study of France is presented, considering barley, maize, rapeseed, sunflower, and wheat to be crops of interest</w:t>
      </w:r>
      <w:r w:rsidR="003C17EC" w:rsidRPr="00452092">
        <w:rPr>
          <w:lang w:val="en-GB"/>
        </w:rPr>
        <w:t>.</w:t>
      </w:r>
      <w:r w:rsidR="006125B5">
        <w:rPr>
          <w:lang w:val="en-GB"/>
        </w:rPr>
        <w:t xml:space="preserve"> </w:t>
      </w:r>
      <w:r w:rsidR="0025117A">
        <w:rPr>
          <w:lang w:val="en-GB"/>
        </w:rPr>
        <w:t xml:space="preserve">Using seasonality information was shown to </w:t>
      </w:r>
      <w:r w:rsidR="007A0FBE">
        <w:rPr>
          <w:lang w:val="en-GB"/>
        </w:rPr>
        <w:t>drastically change the recommended biorefinery location</w:t>
      </w:r>
      <w:r w:rsidR="00E35DCD">
        <w:rPr>
          <w:lang w:val="en-GB"/>
        </w:rPr>
        <w:t xml:space="preserve"> and </w:t>
      </w:r>
      <w:r w:rsidR="0025117A">
        <w:rPr>
          <w:lang w:val="en-GB"/>
        </w:rPr>
        <w:t>reduce inventory capacity requirement</w:t>
      </w:r>
      <w:r w:rsidR="007A0FBE">
        <w:rPr>
          <w:lang w:val="en-GB"/>
        </w:rPr>
        <w:t xml:space="preserve"> and average feedstock storage</w:t>
      </w:r>
      <w:r w:rsidR="0025117A">
        <w:rPr>
          <w:lang w:val="en-GB"/>
        </w:rPr>
        <w:t xml:space="preserve"> by </w:t>
      </w:r>
      <w:r w:rsidR="007A0FBE">
        <w:rPr>
          <w:lang w:val="en-GB"/>
        </w:rPr>
        <w:t xml:space="preserve">9.7% and 20%, respectively. </w:t>
      </w:r>
      <w:r w:rsidR="00E00332" w:rsidRPr="00452092">
        <w:rPr>
          <w:lang w:val="en-GB"/>
        </w:rPr>
        <w:t xml:space="preserve">The presented information and methodology can </w:t>
      </w:r>
      <w:r w:rsidR="0000156F">
        <w:rPr>
          <w:lang w:val="en-GB"/>
        </w:rPr>
        <w:t xml:space="preserve">help biofuel </w:t>
      </w:r>
      <w:r w:rsidR="00E00332">
        <w:rPr>
          <w:lang w:val="en-GB"/>
        </w:rPr>
        <w:t>producers</w:t>
      </w:r>
      <w:r w:rsidR="00E00332" w:rsidRPr="00452092">
        <w:rPr>
          <w:lang w:val="en-GB"/>
        </w:rPr>
        <w:t xml:space="preserve"> to de-risk </w:t>
      </w:r>
      <w:r w:rsidR="00E00332">
        <w:rPr>
          <w:lang w:val="en-GB"/>
        </w:rPr>
        <w:t>upstream</w:t>
      </w:r>
      <w:r w:rsidR="00E00332" w:rsidRPr="00452092">
        <w:rPr>
          <w:lang w:val="en-GB"/>
        </w:rPr>
        <w:t xml:space="preserve"> supply chain</w:t>
      </w:r>
      <w:r w:rsidR="00E00332">
        <w:rPr>
          <w:lang w:val="en-GB"/>
        </w:rPr>
        <w:t>s</w:t>
      </w:r>
      <w:r w:rsidR="00E00332" w:rsidRPr="00452092">
        <w:rPr>
          <w:lang w:val="en-GB"/>
        </w:rPr>
        <w:t xml:space="preserve"> for bio</w:t>
      </w:r>
      <w:r w:rsidR="00E00332">
        <w:rPr>
          <w:lang w:val="en-GB"/>
        </w:rPr>
        <w:t>refinery</w:t>
      </w:r>
      <w:r w:rsidR="00E00332" w:rsidRPr="00452092">
        <w:rPr>
          <w:lang w:val="en-GB"/>
        </w:rPr>
        <w:t xml:space="preserve"> </w:t>
      </w:r>
      <w:r w:rsidR="00E00332">
        <w:rPr>
          <w:lang w:val="en-GB"/>
        </w:rPr>
        <w:t>investments</w:t>
      </w:r>
      <w:r w:rsidR="00E00332" w:rsidRPr="00452092">
        <w:rPr>
          <w:lang w:val="en-GB"/>
        </w:rPr>
        <w:t>.</w:t>
      </w:r>
    </w:p>
    <w:p w14:paraId="144DE687" w14:textId="435B80CC" w:rsidR="008D2649" w:rsidRDefault="008D2649" w:rsidP="00452092">
      <w:pPr>
        <w:pStyle w:val="Els-body-text"/>
        <w:spacing w:after="120"/>
        <w:rPr>
          <w:lang w:val="en-GB"/>
        </w:rPr>
      </w:pPr>
      <w:r>
        <w:rPr>
          <w:b/>
          <w:bCs/>
          <w:lang w:val="en-GB"/>
        </w:rPr>
        <w:t>Keywords</w:t>
      </w:r>
      <w:r>
        <w:rPr>
          <w:lang w:val="en-GB"/>
        </w:rPr>
        <w:t xml:space="preserve">: </w:t>
      </w:r>
      <w:r w:rsidR="008C5858">
        <w:rPr>
          <w:lang w:val="en-GB"/>
        </w:rPr>
        <w:t>Second generation b</w:t>
      </w:r>
      <w:r w:rsidR="00FC714F">
        <w:rPr>
          <w:lang w:val="en-GB"/>
        </w:rPr>
        <w:t>io</w:t>
      </w:r>
      <w:r w:rsidR="008C5858">
        <w:rPr>
          <w:lang w:val="en-GB"/>
        </w:rPr>
        <w:t xml:space="preserve">fuels, </w:t>
      </w:r>
      <w:r w:rsidR="00840E7E">
        <w:rPr>
          <w:lang w:val="en-GB"/>
        </w:rPr>
        <w:t>f</w:t>
      </w:r>
      <w:r w:rsidR="008C5858">
        <w:rPr>
          <w:lang w:val="en-GB"/>
        </w:rPr>
        <w:t xml:space="preserve">eedstock mapping, </w:t>
      </w:r>
      <w:r w:rsidR="00026748">
        <w:rPr>
          <w:lang w:val="en-GB"/>
        </w:rPr>
        <w:t>biorefinery location</w:t>
      </w:r>
    </w:p>
    <w:p w14:paraId="144DE689" w14:textId="7EEBC519" w:rsidR="008D2649" w:rsidRDefault="00C80B24" w:rsidP="008D2649">
      <w:pPr>
        <w:pStyle w:val="Els-1storder-head"/>
      </w:pPr>
      <w:r>
        <w:t>Introduction</w:t>
      </w:r>
    </w:p>
    <w:p w14:paraId="39E8D057" w14:textId="5195D01D" w:rsidR="0065310C" w:rsidRDefault="009A0655" w:rsidP="0065310C">
      <w:pPr>
        <w:pStyle w:val="Els-body-text"/>
      </w:pPr>
      <w:r>
        <w:t>Renewable fuels of biological origin offer the most immediate and achievable pathway to decarbonize hard-to-abate transport sectors such aviation and marine. Of these, biomass-derived fuels such as cellulosic ethanol</w:t>
      </w:r>
      <w:r w:rsidR="00271A1C">
        <w:t>, biodiesel,</w:t>
      </w:r>
      <w:r>
        <w:t xml:space="preserve"> </w:t>
      </w:r>
      <w:r w:rsidR="0065310C">
        <w:t xml:space="preserve">and sustainable aviation fuel </w:t>
      </w:r>
      <w:r>
        <w:t>have the highest gap to potential</w:t>
      </w:r>
      <w:r w:rsidR="00A24188">
        <w:t xml:space="preserve">, but </w:t>
      </w:r>
      <w:r w:rsidR="001C36C9">
        <w:t xml:space="preserve">have challenges </w:t>
      </w:r>
      <w:r>
        <w:t>due to uncertainties in feedstock availability and supply chain cost. Reducing this cost and the risk associated with procuring feedstock from thinly distributed sources will help stimulate global biorefinery investments needed to meet companies’ and governments’ climate targets and associated biofuel demand. A primary challenge in addressing this risk lies in reliable information on agricultural feedstock availability in a region of intere</w:t>
      </w:r>
      <w:r w:rsidRPr="0065310C">
        <w:t>s</w:t>
      </w:r>
      <w:r>
        <w:t>t.</w:t>
      </w:r>
    </w:p>
    <w:p w14:paraId="0F9B5E13" w14:textId="2EBC0B58" w:rsidR="0029022D" w:rsidRPr="002D193D" w:rsidRDefault="000B7FFB" w:rsidP="00E45758">
      <w:pPr>
        <w:pStyle w:val="Els-body-text"/>
      </w:pPr>
      <w:r w:rsidRPr="000B7FFB">
        <w:lastRenderedPageBreak/>
        <w:t xml:space="preserve">In this paper, we </w:t>
      </w:r>
      <w:r w:rsidR="009A0655">
        <w:t>consider the European Union</w:t>
      </w:r>
      <w:r w:rsidR="00E27416">
        <w:t xml:space="preserve"> (EU)</w:t>
      </w:r>
      <w:r w:rsidR="009A0655">
        <w:t xml:space="preserve"> as the region of interest and present a </w:t>
      </w:r>
      <w:r w:rsidRPr="000B7FFB">
        <w:t>methodology to generate a map of biomass availability at a resolution of 2.56 km</w:t>
      </w:r>
      <w:r w:rsidRPr="009F3435">
        <w:rPr>
          <w:vertAlign w:val="superscript"/>
        </w:rPr>
        <w:t>2</w:t>
      </w:r>
      <w:r w:rsidRPr="000B7FFB">
        <w:t xml:space="preserve"> using open source EUCROPMAP</w:t>
      </w:r>
      <w:r w:rsidR="00404835">
        <w:t xml:space="preserve"> </w:t>
      </w:r>
      <w:sdt>
        <w:sdtPr>
          <w:rPr>
            <w:lang w:val="en-GB"/>
          </w:rPr>
          <w:id w:val="1761880358"/>
          <w:citation/>
        </w:sdtPr>
        <w:sdtEndPr/>
        <w:sdtContent>
          <w:r w:rsidR="00404835">
            <w:rPr>
              <w:lang w:val="en-GB"/>
            </w:rPr>
            <w:fldChar w:fldCharType="begin"/>
          </w:r>
          <w:r w:rsidR="00404835">
            <w:instrText xml:space="preserve"> CITATION dAn21 \l 1033 </w:instrText>
          </w:r>
          <w:r w:rsidR="00404835">
            <w:rPr>
              <w:lang w:val="en-GB"/>
            </w:rPr>
            <w:fldChar w:fldCharType="separate"/>
          </w:r>
          <w:r w:rsidR="00404835">
            <w:rPr>
              <w:noProof/>
            </w:rPr>
            <w:t>(d’Andrimont, et al., 2021)</w:t>
          </w:r>
          <w:r w:rsidR="00404835">
            <w:rPr>
              <w:lang w:val="en-GB"/>
            </w:rPr>
            <w:fldChar w:fldCharType="end"/>
          </w:r>
        </w:sdtContent>
      </w:sdt>
      <w:r w:rsidRPr="000B7FFB">
        <w:t xml:space="preserve"> </w:t>
      </w:r>
      <w:r w:rsidR="008A665B" w:rsidRPr="000B7FFB">
        <w:t>data and</w:t>
      </w:r>
      <w:r w:rsidRPr="000B7FFB">
        <w:t xml:space="preserve"> </w:t>
      </w:r>
      <w:r w:rsidR="009A0655">
        <w:t>provide</w:t>
      </w:r>
      <w:r w:rsidRPr="000B7FFB">
        <w:t xml:space="preserve"> a case study of biorefinery site recommendation for France from a feedstock availability point of view. Section 2 discusses a data assimilation methodology for bio-feedstock mapping without loss of land use </w:t>
      </w:r>
      <w:r w:rsidR="008A665B" w:rsidRPr="000B7FFB">
        <w:t>information and</w:t>
      </w:r>
      <w:r w:rsidRPr="000B7FFB">
        <w:t xml:space="preserve"> provides the estimated residue available for collection in the EU along with heatmaps to identify feedstock hotspots. Section 3 provides a framework to recommend optimal biorefinery location taking seasonal variation of feedstock, harvesting cycle, feedstock collection radius, </w:t>
      </w:r>
      <w:r w:rsidR="008A665B" w:rsidRPr="000B7FFB">
        <w:t>storage,</w:t>
      </w:r>
      <w:r w:rsidRPr="000B7FFB">
        <w:t xml:space="preserve"> and transport into consideration. </w:t>
      </w:r>
      <w:r w:rsidR="00E612EE">
        <w:t>Section 4 presents details on the case study of France</w:t>
      </w:r>
      <w:r w:rsidR="00E45758">
        <w:t>, followed by results and conclusions in Section 5 and Section 6</w:t>
      </w:r>
      <w:r w:rsidR="00B45F97">
        <w:t>, respectively</w:t>
      </w:r>
      <w:r w:rsidR="00E45758">
        <w:t>.</w:t>
      </w:r>
    </w:p>
    <w:p w14:paraId="144DE699" w14:textId="3288501F" w:rsidR="008D2649" w:rsidRDefault="00C80B24" w:rsidP="008D2649">
      <w:pPr>
        <w:pStyle w:val="Els-1storder-head"/>
      </w:pPr>
      <w:r>
        <w:t>Biomass feedstock mapping</w:t>
      </w:r>
    </w:p>
    <w:p w14:paraId="33DEA16A" w14:textId="6AD93174" w:rsidR="008D64CC" w:rsidRPr="00F8002B" w:rsidRDefault="00F66F65" w:rsidP="00F8002B">
      <w:pPr>
        <w:pStyle w:val="Els-body-text"/>
        <w:rPr>
          <w:lang w:val="en-GB"/>
        </w:rPr>
      </w:pPr>
      <w:r>
        <w:t xml:space="preserve">Mapping of residue </w:t>
      </w:r>
      <w:r w:rsidR="003D4815">
        <w:t xml:space="preserve">requires </w:t>
      </w:r>
      <w:r w:rsidR="00F272C3">
        <w:t xml:space="preserve">an understanding of the geospatial distribution of the </w:t>
      </w:r>
      <w:r w:rsidR="00C20592">
        <w:t xml:space="preserve">crops grown in the EU region. This distribution is available as an </w:t>
      </w:r>
      <w:r w:rsidR="00D7173C">
        <w:t>open-source</w:t>
      </w:r>
      <w:r w:rsidR="00C20592">
        <w:t xml:space="preserve"> database </w:t>
      </w:r>
      <w:r w:rsidR="009748F9">
        <w:t xml:space="preserve">from the European </w:t>
      </w:r>
      <w:r w:rsidR="0023134B">
        <w:t>Commission</w:t>
      </w:r>
      <w:r w:rsidR="00A87FE8">
        <w:t xml:space="preserve"> at a spatial resolution of 10</w:t>
      </w:r>
      <w:r w:rsidR="00402262">
        <w:t xml:space="preserve"> </w:t>
      </w:r>
      <w:r w:rsidR="00A87FE8">
        <w:t>m</w:t>
      </w:r>
      <w:r w:rsidR="00A85626">
        <w:t xml:space="preserve"> </w:t>
      </w:r>
      <w:sdt>
        <w:sdtPr>
          <w:id w:val="781003013"/>
          <w:citation/>
        </w:sdtPr>
        <w:sdtEndPr/>
        <w:sdtContent>
          <w:r w:rsidR="00A111DC">
            <w:fldChar w:fldCharType="begin"/>
          </w:r>
          <w:r w:rsidR="00A111DC">
            <w:instrText xml:space="preserve"> CITATION dAn21 \l 1033 </w:instrText>
          </w:r>
          <w:r w:rsidR="00A111DC">
            <w:fldChar w:fldCharType="separate"/>
          </w:r>
          <w:r w:rsidR="00922244">
            <w:rPr>
              <w:noProof/>
            </w:rPr>
            <w:t>(d’Andrimont, et al., 2021)</w:t>
          </w:r>
          <w:r w:rsidR="00A111DC">
            <w:fldChar w:fldCharType="end"/>
          </w:r>
        </w:sdtContent>
      </w:sdt>
      <w:r w:rsidR="00A87FE8">
        <w:t>.</w:t>
      </w:r>
      <w:r w:rsidR="003D4815">
        <w:t xml:space="preserve"> This implies that data is available for over 175 billion data points for the European region.</w:t>
      </w:r>
      <w:r w:rsidR="00BC567B">
        <w:t xml:space="preserve"> The land use pattern information is classified into forest, wasteland, arable land, agricultural land, and urban land categories. </w:t>
      </w:r>
      <w:r w:rsidR="005A1444">
        <w:t>Relevant to this work the agricultural land is further sub-categorized to specify the type of crop grown</w:t>
      </w:r>
      <w:r w:rsidR="00812D91">
        <w:t>.</w:t>
      </w:r>
    </w:p>
    <w:p w14:paraId="144DE69A" w14:textId="18E4D5FB" w:rsidR="008D2649" w:rsidRDefault="002270C3" w:rsidP="008D2649">
      <w:pPr>
        <w:pStyle w:val="Els-2ndorder-head"/>
      </w:pPr>
      <w:r>
        <w:t>Crop area mapping</w:t>
      </w:r>
    </w:p>
    <w:p w14:paraId="705FDABC" w14:textId="41CE8A9D" w:rsidR="00CF7E50" w:rsidRDefault="008D64CC" w:rsidP="00C730A6">
      <w:pPr>
        <w:pStyle w:val="Els-body-text"/>
        <w:rPr>
          <w:lang w:val="en-GB"/>
        </w:rPr>
      </w:pPr>
      <w:r>
        <w:t>While information is available at t</w:t>
      </w:r>
      <w:r w:rsidR="00CE7CA0">
        <w:t>he fine resolution of 10</w:t>
      </w:r>
      <w:r w:rsidR="00B8792F">
        <w:t xml:space="preserve"> </w:t>
      </w:r>
      <w:r w:rsidR="00CE7CA0">
        <w:t>m</w:t>
      </w:r>
      <w:r>
        <w:t>, it</w:t>
      </w:r>
      <w:r w:rsidR="00CE7CA0">
        <w:t xml:space="preserve"> is </w:t>
      </w:r>
      <w:r w:rsidR="00EC0DA6">
        <w:t xml:space="preserve">not practically relevant </w:t>
      </w:r>
      <w:r>
        <w:t xml:space="preserve">to </w:t>
      </w:r>
      <w:r w:rsidR="00D22FBD">
        <w:t>assess</w:t>
      </w:r>
      <w:r w:rsidR="00521645">
        <w:t xml:space="preserve"> agricultural residue grown within a country or in a region</w:t>
      </w:r>
      <w:r w:rsidR="00D22FBD">
        <w:t xml:space="preserve"> at that scale</w:t>
      </w:r>
      <w:r w:rsidR="00521645">
        <w:t xml:space="preserve">. To make the database more tractable for practical use, the information is aggregated over an area of 2.56 km </w:t>
      </w:r>
      <w:r w:rsidR="0093311A">
        <w:t>x 2.56 km.</w:t>
      </w:r>
      <w:r w:rsidR="00B8792F">
        <w:t xml:space="preserve"> </w:t>
      </w:r>
      <w:r w:rsidR="0093598D">
        <w:rPr>
          <w:lang w:val="en-GB"/>
        </w:rPr>
        <w:t>Each coarse pixel aggregates information of 65,536 original 10</w:t>
      </w:r>
      <w:r w:rsidR="00B8792F">
        <w:rPr>
          <w:lang w:val="en-GB"/>
        </w:rPr>
        <w:t xml:space="preserve"> </w:t>
      </w:r>
      <w:r w:rsidR="0093598D">
        <w:rPr>
          <w:lang w:val="en-GB"/>
        </w:rPr>
        <w:t>m pixels</w:t>
      </w:r>
      <w:r w:rsidR="006F5AFA">
        <w:rPr>
          <w:lang w:val="en-GB"/>
        </w:rPr>
        <w:t xml:space="preserve"> </w:t>
      </w:r>
      <w:r w:rsidR="00971DEF">
        <w:rPr>
          <w:lang w:val="en-GB"/>
        </w:rPr>
        <w:t xml:space="preserve">by </w:t>
      </w:r>
      <w:r w:rsidR="00C16CD0">
        <w:rPr>
          <w:lang w:val="en-GB"/>
        </w:rPr>
        <w:t xml:space="preserve">summing up </w:t>
      </w:r>
      <w:r w:rsidR="00B149D0">
        <w:rPr>
          <w:lang w:val="en-GB"/>
        </w:rPr>
        <w:t xml:space="preserve">the </w:t>
      </w:r>
      <w:r w:rsidR="000D1C7F">
        <w:rPr>
          <w:lang w:val="en-GB"/>
        </w:rPr>
        <w:t>number of 10</w:t>
      </w:r>
      <w:r w:rsidR="006F5AFA">
        <w:rPr>
          <w:lang w:val="en-GB"/>
        </w:rPr>
        <w:t xml:space="preserve"> </w:t>
      </w:r>
      <w:r w:rsidR="000D1C7F">
        <w:rPr>
          <w:lang w:val="en-GB"/>
        </w:rPr>
        <w:t>m land parcel</w:t>
      </w:r>
      <w:r w:rsidR="004B15EC">
        <w:rPr>
          <w:lang w:val="en-GB"/>
        </w:rPr>
        <w:t xml:space="preserve">s for each </w:t>
      </w:r>
      <w:r w:rsidR="00795E55">
        <w:rPr>
          <w:lang w:val="en-GB"/>
        </w:rPr>
        <w:t>classification presented above</w:t>
      </w:r>
      <w:r w:rsidR="00523AB6">
        <w:rPr>
          <w:lang w:val="en-GB"/>
        </w:rPr>
        <w:t>. After</w:t>
      </w:r>
      <w:r w:rsidR="00411085">
        <w:rPr>
          <w:lang w:val="en-GB"/>
        </w:rPr>
        <w:t xml:space="preserve"> aggregation, the total number of coarse pixels for the </w:t>
      </w:r>
      <w:r w:rsidR="00523AB6">
        <w:rPr>
          <w:lang w:val="en-GB"/>
        </w:rPr>
        <w:t xml:space="preserve">EU </w:t>
      </w:r>
      <w:r w:rsidR="00411085">
        <w:rPr>
          <w:lang w:val="en-GB"/>
        </w:rPr>
        <w:t xml:space="preserve">region </w:t>
      </w:r>
      <w:r w:rsidR="00E35672">
        <w:rPr>
          <w:lang w:val="en-GB"/>
        </w:rPr>
        <w:t>is ~2.7 million.</w:t>
      </w:r>
      <w:r w:rsidR="004A6304">
        <w:rPr>
          <w:lang w:val="en-GB"/>
        </w:rPr>
        <w:t xml:space="preserve"> </w:t>
      </w:r>
      <w:r w:rsidR="00BA0E5B">
        <w:rPr>
          <w:lang w:val="en-GB"/>
        </w:rPr>
        <w:t>Area under each crop</w:t>
      </w:r>
      <w:r w:rsidR="00A578AF">
        <w:rPr>
          <w:lang w:val="en-GB"/>
        </w:rPr>
        <w:t xml:space="preserve"> (</w:t>
      </w:r>
      <w:r w:rsidR="00335EF9">
        <w:rPr>
          <w:lang w:val="en-GB"/>
        </w:rPr>
        <w:t>j</w:t>
      </w:r>
      <w:r w:rsidR="00A578AF">
        <w:rPr>
          <w:lang w:val="en-GB"/>
        </w:rPr>
        <w:t>)</w:t>
      </w:r>
      <w:r w:rsidR="00BA0E5B">
        <w:rPr>
          <w:lang w:val="en-GB"/>
        </w:rPr>
        <w:t xml:space="preserve"> for each </w:t>
      </w:r>
      <w:r w:rsidR="00A578AF">
        <w:rPr>
          <w:lang w:val="en-GB"/>
        </w:rPr>
        <w:t>coarse pixel (</w:t>
      </w:r>
      <w:r w:rsidR="00335EF9">
        <w:rPr>
          <w:lang w:val="en-GB"/>
        </w:rPr>
        <w:t>i</w:t>
      </w:r>
      <w:r w:rsidR="00A578AF">
        <w:rPr>
          <w:lang w:val="en-GB"/>
        </w:rPr>
        <w:t>) is given by</w:t>
      </w:r>
      <w:r w:rsidR="00DC658A">
        <w:rPr>
          <w:lang w:val="en-GB"/>
        </w:rPr>
        <w:t xml:space="preserve"> Eq</w:t>
      </w:r>
      <w:r w:rsidR="00890EF3">
        <w:rPr>
          <w:lang w:val="en-GB"/>
        </w:rPr>
        <w:t>uation</w:t>
      </w:r>
      <w:r w:rsidR="00DC658A">
        <w:rPr>
          <w:lang w:val="en-GB"/>
        </w:rPr>
        <w:t xml:space="preserve"> 1.</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CF7E50" w14:paraId="3F6F1614" w14:textId="77777777" w:rsidTr="00CF7E50">
        <w:tc>
          <w:tcPr>
            <w:tcW w:w="3538" w:type="dxa"/>
            <w:vAlign w:val="center"/>
          </w:tcPr>
          <w:p w14:paraId="67DC7D67" w14:textId="05B875E6" w:rsidR="00CF7E50" w:rsidRDefault="0071142C" w:rsidP="00CF7E50">
            <w:pPr>
              <w:pStyle w:val="Els-body-text"/>
              <w:jc w:val="left"/>
              <w:rPr>
                <w:lang w:val="en-GB"/>
              </w:rPr>
            </w:pPr>
            <m:oMath>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i,j</m:t>
                  </m:r>
                </m:sub>
              </m:sSub>
              <m:r>
                <w:rPr>
                  <w:rFonts w:ascii="Cambria Math" w:hAnsi="Cambria Math"/>
                  <w:lang w:val="en-GB"/>
                </w:rPr>
                <m:t>=10×10×</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ij</m:t>
                  </m:r>
                </m:sub>
              </m:sSub>
              <m:r>
                <w:rPr>
                  <w:rFonts w:ascii="Cambria Math" w:hAnsi="Cambria Math"/>
                  <w:lang w:val="en-GB"/>
                </w:rPr>
                <m:t xml:space="preserve"> </m:t>
              </m:r>
              <m:sSup>
                <m:sSupPr>
                  <m:ctrlPr>
                    <w:rPr>
                      <w:rFonts w:ascii="Cambria Math" w:hAnsi="Cambria Math"/>
                      <w:i/>
                      <w:lang w:val="en-GB"/>
                    </w:rPr>
                  </m:ctrlPr>
                </m:sSupPr>
                <m:e>
                  <m:r>
                    <w:rPr>
                      <w:rFonts w:ascii="Cambria Math" w:hAnsi="Cambria Math"/>
                      <w:lang w:val="en-GB"/>
                    </w:rPr>
                    <m:t>m</m:t>
                  </m:r>
                </m:e>
                <m:sup>
                  <m:r>
                    <w:rPr>
                      <w:rFonts w:ascii="Cambria Math" w:hAnsi="Cambria Math"/>
                      <w:lang w:val="en-GB"/>
                    </w:rPr>
                    <m:t>2</m:t>
                  </m:r>
                </m:sup>
              </m:sSup>
              <m:r>
                <w:rPr>
                  <w:rFonts w:ascii="Cambria Math" w:hAnsi="Cambria Math"/>
                  <w:lang w:val="en-GB"/>
                </w:rPr>
                <m:t>,</m:t>
              </m:r>
            </m:oMath>
            <w:r w:rsidR="00CF7E50">
              <w:rPr>
                <w:lang w:val="en-GB"/>
              </w:rPr>
              <w:t xml:space="preserve"> </w:t>
            </w:r>
          </w:p>
        </w:tc>
        <w:tc>
          <w:tcPr>
            <w:tcW w:w="3538" w:type="dxa"/>
            <w:vAlign w:val="center"/>
          </w:tcPr>
          <w:p w14:paraId="10C3B7CE" w14:textId="163E6CB7" w:rsidR="00CF7E50" w:rsidRDefault="00D54ACF" w:rsidP="00CF7E50">
            <w:pPr>
              <w:pStyle w:val="Els-body-text"/>
              <w:jc w:val="right"/>
              <w:rPr>
                <w:lang w:val="en-GB"/>
              </w:rPr>
            </w:pPr>
            <w:r>
              <w:rPr>
                <w:lang w:val="en-GB"/>
              </w:rPr>
              <w:t>(</w:t>
            </w:r>
            <w:r w:rsidR="00CF7E50">
              <w:rPr>
                <w:lang w:val="en-GB"/>
              </w:rPr>
              <w:t>1</w:t>
            </w:r>
            <w:r>
              <w:rPr>
                <w:lang w:val="en-GB"/>
              </w:rPr>
              <w:t>)</w:t>
            </w:r>
          </w:p>
        </w:tc>
      </w:tr>
    </w:tbl>
    <w:p w14:paraId="5EFD6E1F" w14:textId="59510A51" w:rsidR="006823F2" w:rsidRDefault="002A2664" w:rsidP="00C730A6">
      <w:pPr>
        <w:pStyle w:val="Els-body-text"/>
        <w:rPr>
          <w:lang w:val="en-GB"/>
        </w:rPr>
      </w:pPr>
      <w:r>
        <w:rPr>
          <w:lang w:val="en-GB"/>
        </w:rPr>
        <w:t>Where</w:t>
      </w:r>
      <w:r w:rsidR="0057378D">
        <w:rPr>
          <w:lang w:val="en-GB"/>
        </w:rPr>
        <w:t>,</w:t>
      </w:r>
      <w:r>
        <w:rPr>
          <w:lang w:val="en-GB"/>
        </w:rPr>
        <w:t xml:space="preserv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ij</m:t>
            </m:r>
          </m:sub>
        </m:sSub>
      </m:oMath>
      <w:r>
        <w:rPr>
          <w:lang w:val="en-GB"/>
        </w:rPr>
        <w:t xml:space="preserve"> refers to the number of </w:t>
      </w:r>
      <w:r w:rsidR="002B020E">
        <w:rPr>
          <w:lang w:val="en-GB"/>
        </w:rPr>
        <w:t>10</w:t>
      </w:r>
      <w:r w:rsidR="0050114B">
        <w:rPr>
          <w:lang w:val="en-GB"/>
        </w:rPr>
        <w:t xml:space="preserve"> </w:t>
      </w:r>
      <w:r w:rsidR="002B020E">
        <w:rPr>
          <w:lang w:val="en-GB"/>
        </w:rPr>
        <w:t xml:space="preserve">m pixels </w:t>
      </w:r>
      <w:r w:rsidR="008074F3">
        <w:rPr>
          <w:lang w:val="en-GB"/>
        </w:rPr>
        <w:t xml:space="preserve">that correspond to the </w:t>
      </w:r>
      <m:oMath>
        <m:sSup>
          <m:sSupPr>
            <m:ctrlPr>
              <w:rPr>
                <w:rFonts w:ascii="Cambria Math" w:hAnsi="Cambria Math"/>
                <w:i/>
                <w:lang w:val="en-GB"/>
              </w:rPr>
            </m:ctrlPr>
          </m:sSupPr>
          <m:e>
            <m:r>
              <w:rPr>
                <w:rFonts w:ascii="Cambria Math" w:hAnsi="Cambria Math"/>
                <w:lang w:val="en-GB"/>
              </w:rPr>
              <m:t>j</m:t>
            </m:r>
          </m:e>
          <m:sup>
            <m:r>
              <w:rPr>
                <w:rFonts w:ascii="Cambria Math" w:hAnsi="Cambria Math"/>
                <w:lang w:val="en-GB"/>
              </w:rPr>
              <m:t>th</m:t>
            </m:r>
          </m:sup>
        </m:sSup>
      </m:oMath>
      <w:r w:rsidR="008074F3">
        <w:rPr>
          <w:lang w:val="en-GB"/>
        </w:rPr>
        <w:t xml:space="preserve"> crop classification in </w:t>
      </w:r>
      <m:oMath>
        <m:sSup>
          <m:sSupPr>
            <m:ctrlPr>
              <w:rPr>
                <w:rFonts w:ascii="Cambria Math" w:hAnsi="Cambria Math"/>
                <w:i/>
                <w:lang w:val="en-GB"/>
              </w:rPr>
            </m:ctrlPr>
          </m:sSupPr>
          <m:e>
            <m:r>
              <w:rPr>
                <w:rFonts w:ascii="Cambria Math" w:hAnsi="Cambria Math"/>
                <w:lang w:val="en-GB"/>
              </w:rPr>
              <m:t>i</m:t>
            </m:r>
          </m:e>
          <m:sup>
            <m:r>
              <w:rPr>
                <w:rFonts w:ascii="Cambria Math" w:hAnsi="Cambria Math"/>
                <w:lang w:val="en-GB"/>
              </w:rPr>
              <m:t>th</m:t>
            </m:r>
          </m:sup>
        </m:sSup>
      </m:oMath>
      <w:r w:rsidR="008074F3">
        <w:rPr>
          <w:lang w:val="en-GB"/>
        </w:rPr>
        <w:t xml:space="preserve"> coarse pixel.</w:t>
      </w:r>
      <w:r w:rsidR="00E713D3">
        <w:rPr>
          <w:lang w:val="en-GB"/>
        </w:rPr>
        <w:t xml:space="preserve"> </w:t>
      </w:r>
      <w:r w:rsidR="006823F2">
        <w:rPr>
          <w:lang w:val="en-GB"/>
        </w:rPr>
        <w:t>A representation of the most prominent common wheat crop in the EU region is show in Fig</w:t>
      </w:r>
      <w:r w:rsidR="00A752D3">
        <w:rPr>
          <w:lang w:val="en-GB"/>
        </w:rPr>
        <w:t>ure</w:t>
      </w:r>
      <w:r w:rsidR="006823F2">
        <w:rPr>
          <w:lang w:val="en-GB"/>
        </w:rPr>
        <w:t xml:space="preserve"> 1.</w:t>
      </w:r>
      <w:r w:rsidR="0060281C">
        <w:rPr>
          <w:lang w:val="en-GB"/>
        </w:rPr>
        <w:t xml:space="preserve"> </w:t>
      </w:r>
      <w:r w:rsidR="001C3332">
        <w:rPr>
          <w:lang w:val="en-GB"/>
        </w:rPr>
        <w:t>Each pixel position is identified by its latitude and longitude position. However, to make the analysis comprehensible, this information is also translated into geographical nomenclature used for statistics, often termed as NUTS regions</w:t>
      </w:r>
      <w:r w:rsidR="00537057">
        <w:rPr>
          <w:lang w:val="en-GB"/>
        </w:rPr>
        <w:t xml:space="preserve"> </w:t>
      </w:r>
      <w:sdt>
        <w:sdtPr>
          <w:rPr>
            <w:lang w:val="en-GB"/>
          </w:rPr>
          <w:id w:val="-591017563"/>
          <w:citation/>
        </w:sdtPr>
        <w:sdtEndPr/>
        <w:sdtContent>
          <w:r w:rsidR="00537057">
            <w:rPr>
              <w:lang w:val="en-GB"/>
            </w:rPr>
            <w:fldChar w:fldCharType="begin"/>
          </w:r>
          <w:r w:rsidR="00537057">
            <w:instrText xml:space="preserve"> CITATION NUT \l 1033 </w:instrText>
          </w:r>
          <w:r w:rsidR="00537057">
            <w:rPr>
              <w:lang w:val="en-GB"/>
            </w:rPr>
            <w:fldChar w:fldCharType="separate"/>
          </w:r>
          <w:r w:rsidR="00537057">
            <w:rPr>
              <w:noProof/>
            </w:rPr>
            <w:t>(NUTS - GISCO - Eurostat, n.d.)</w:t>
          </w:r>
          <w:r w:rsidR="00537057">
            <w:rPr>
              <w:lang w:val="en-GB"/>
            </w:rPr>
            <w:fldChar w:fldCharType="end"/>
          </w:r>
        </w:sdtContent>
      </w:sdt>
      <w:r w:rsidR="001C3332">
        <w:rPr>
          <w:lang w:val="en-GB"/>
        </w:rPr>
        <w:t xml:space="preserve">. </w:t>
      </w:r>
      <w:r w:rsidR="000E0C78">
        <w:rPr>
          <w:lang w:val="en-GB"/>
        </w:rPr>
        <w:t xml:space="preserve">This translation is done by </w:t>
      </w:r>
      <w:r w:rsidR="003020E6">
        <w:rPr>
          <w:lang w:val="en-GB"/>
        </w:rPr>
        <w:t>locating</w:t>
      </w:r>
      <w:r w:rsidR="000E0C78">
        <w:rPr>
          <w:lang w:val="en-GB"/>
        </w:rPr>
        <w:t xml:space="preserve"> each </w:t>
      </w:r>
      <w:r w:rsidR="00BE6D1A">
        <w:rPr>
          <w:lang w:val="en-GB"/>
        </w:rPr>
        <w:t>[</w:t>
      </w:r>
      <w:proofErr w:type="spellStart"/>
      <w:r w:rsidR="003020E6">
        <w:rPr>
          <w:lang w:val="en-GB"/>
        </w:rPr>
        <w:t>lat</w:t>
      </w:r>
      <w:proofErr w:type="spellEnd"/>
      <w:r w:rsidR="003020E6">
        <w:rPr>
          <w:lang w:val="en-GB"/>
        </w:rPr>
        <w:t>, long</w:t>
      </w:r>
      <w:r w:rsidR="00BE6D1A">
        <w:rPr>
          <w:lang w:val="en-GB"/>
        </w:rPr>
        <w:t>]</w:t>
      </w:r>
      <w:r w:rsidR="003020E6">
        <w:rPr>
          <w:lang w:val="en-GB"/>
        </w:rPr>
        <w:t xml:space="preserve"> position in individual NUTS shapes</w:t>
      </w:r>
      <w:r w:rsidR="00794E0A">
        <w:rPr>
          <w:lang w:val="en-GB"/>
        </w:rPr>
        <w:t>.</w:t>
      </w:r>
      <w:r w:rsidR="003020E6">
        <w:rPr>
          <w:lang w:val="en-GB"/>
        </w:rPr>
        <w:t xml:space="preserve"> </w:t>
      </w:r>
    </w:p>
    <w:p w14:paraId="6E071EB2" w14:textId="77777777" w:rsidR="00AB7E39" w:rsidRDefault="00AB7E39" w:rsidP="00AB7E39">
      <w:pPr>
        <w:pStyle w:val="Els-2ndorder-head"/>
      </w:pPr>
      <w:r>
        <w:t>Estimating biomass available for biorefineries</w:t>
      </w:r>
    </w:p>
    <w:p w14:paraId="223174E6" w14:textId="48E56ED8" w:rsidR="00AB7E39" w:rsidRPr="006B3638" w:rsidRDefault="00787A36" w:rsidP="00AB7E39">
      <w:pPr>
        <w:pStyle w:val="Els-2ndorder-head"/>
        <w:numPr>
          <w:ilvl w:val="0"/>
          <w:numId w:val="0"/>
        </w:numPr>
        <w:rPr>
          <w:i w:val="0"/>
          <w:iCs/>
        </w:rPr>
      </w:pPr>
      <w:r>
        <w:rPr>
          <w:i w:val="0"/>
          <w:iCs/>
        </w:rPr>
        <w:t>T</w:t>
      </w:r>
      <w:r w:rsidR="00AB7E39">
        <w:rPr>
          <w:i w:val="0"/>
          <w:iCs/>
        </w:rPr>
        <w:t>he raw data for area under a crop available at each pixel</w:t>
      </w:r>
      <w:r>
        <w:rPr>
          <w:i w:val="0"/>
          <w:iCs/>
        </w:rPr>
        <w:t xml:space="preserve"> </w:t>
      </w:r>
      <w:r w:rsidR="00AB7E39">
        <w:rPr>
          <w:i w:val="0"/>
          <w:iCs/>
        </w:rPr>
        <w:t xml:space="preserve">can be converted to available biomass at each pixel from each crop </w:t>
      </w:r>
      <w:r w:rsidR="00141F5A">
        <w:rPr>
          <w:i w:val="0"/>
          <w:iCs/>
        </w:rPr>
        <w:t>in the following manner</w:t>
      </w:r>
      <w:r w:rsidR="00AB7E39">
        <w:rPr>
          <w:i w:val="0"/>
          <w:iCs/>
        </w:rPr>
        <w:t xml:space="preserve"> </w:t>
      </w:r>
      <w:sdt>
        <w:sdtPr>
          <w:rPr>
            <w:i w:val="0"/>
            <w:iCs/>
          </w:rPr>
          <w:id w:val="1763485762"/>
          <w:citation/>
        </w:sdtPr>
        <w:sdtEndPr/>
        <w:sdtContent>
          <w:r w:rsidR="00AB7E39">
            <w:rPr>
              <w:i w:val="0"/>
              <w:iCs/>
            </w:rPr>
            <w:fldChar w:fldCharType="begin"/>
          </w:r>
          <w:r w:rsidR="00AB7E39">
            <w:rPr>
              <w:i w:val="0"/>
              <w:iCs/>
            </w:rPr>
            <w:instrText xml:space="preserve"> CITATION Cha22 \l 1033 </w:instrText>
          </w:r>
          <w:r w:rsidR="00AB7E39">
            <w:rPr>
              <w:i w:val="0"/>
              <w:iCs/>
            </w:rPr>
            <w:fldChar w:fldCharType="separate"/>
          </w:r>
          <w:r w:rsidR="00AB7E39">
            <w:rPr>
              <w:noProof/>
            </w:rPr>
            <w:t>(Chakraborty, et al., 2022)</w:t>
          </w:r>
          <w:r w:rsidR="00AB7E39">
            <w:rPr>
              <w:i w:val="0"/>
              <w:iCs/>
            </w:rPr>
            <w:fldChar w:fldCharType="end"/>
          </w:r>
        </w:sdtContent>
      </w:sdt>
      <w:r w:rsidR="00AB7E39">
        <w:rPr>
          <w:i w:val="0"/>
          <w:iCs/>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AB7E39" w14:paraId="77E5A2B8" w14:textId="77777777" w:rsidTr="005B04F9">
        <w:tc>
          <w:tcPr>
            <w:tcW w:w="3538" w:type="dxa"/>
            <w:vAlign w:val="center"/>
          </w:tcPr>
          <w:p w14:paraId="5E5E5420" w14:textId="77777777" w:rsidR="00AB7E39" w:rsidRDefault="00AB7E39" w:rsidP="005B04F9">
            <w:pPr>
              <w:pStyle w:val="Els-body-text"/>
              <w:jc w:val="left"/>
              <w:rPr>
                <w:lang w:val="en-GB"/>
              </w:rPr>
            </w:pPr>
            <m:oMath>
              <m:r>
                <w:rPr>
                  <w:rFonts w:ascii="Cambria Math" w:hAnsi="Cambria Math"/>
                  <w:lang w:val="en-GB"/>
                </w:rPr>
                <m:t>α=A×Y×RPR×CF×AF,</m:t>
              </m:r>
            </m:oMath>
            <w:r>
              <w:rPr>
                <w:lang w:val="en-GB"/>
              </w:rPr>
              <w:t xml:space="preserve"> </w:t>
            </w:r>
          </w:p>
        </w:tc>
        <w:tc>
          <w:tcPr>
            <w:tcW w:w="3538" w:type="dxa"/>
            <w:vAlign w:val="center"/>
          </w:tcPr>
          <w:p w14:paraId="63CE2EC8" w14:textId="5535E2A5" w:rsidR="00AB7E39" w:rsidRDefault="00CE77C6" w:rsidP="005B04F9">
            <w:pPr>
              <w:pStyle w:val="Els-body-text"/>
              <w:jc w:val="right"/>
              <w:rPr>
                <w:lang w:val="en-GB"/>
              </w:rPr>
            </w:pPr>
            <w:r>
              <w:rPr>
                <w:lang w:val="en-GB"/>
              </w:rPr>
              <w:t>(2)</w:t>
            </w:r>
          </w:p>
        </w:tc>
      </w:tr>
    </w:tbl>
    <w:p w14:paraId="53C92C73" w14:textId="77777777" w:rsidR="00603854" w:rsidRDefault="00AB7E39" w:rsidP="00603854">
      <w:pPr>
        <w:pStyle w:val="Els-body-text"/>
        <w:rPr>
          <w:iCs/>
        </w:rPr>
      </w:pPr>
      <w:r>
        <w:t xml:space="preserve">Where </w:t>
      </w:r>
      <m:oMath>
        <m:r>
          <w:rPr>
            <w:rFonts w:ascii="Cambria Math" w:hAnsi="Cambria Math"/>
          </w:rPr>
          <m:t>α</m:t>
        </m:r>
      </m:oMath>
      <w:r>
        <w:t xml:space="preserve"> refers to the available biomass, </w:t>
      </w:r>
      <m:oMath>
        <m:r>
          <w:rPr>
            <w:rFonts w:ascii="Cambria Math" w:hAnsi="Cambria Math"/>
          </w:rPr>
          <m:t>A</m:t>
        </m:r>
      </m:oMath>
      <w:r>
        <w:t xml:space="preserve"> is the area under cultivation, </w:t>
      </w:r>
      <m:oMath>
        <m:r>
          <w:rPr>
            <w:rFonts w:ascii="Cambria Math" w:hAnsi="Cambria Math"/>
          </w:rPr>
          <m:t>Y</m:t>
        </m:r>
      </m:oMath>
      <w:r>
        <w:t xml:space="preserve"> is the yield of crop, </w:t>
      </w:r>
      <m:oMath>
        <m:r>
          <w:rPr>
            <w:rFonts w:ascii="Cambria Math" w:hAnsi="Cambria Math"/>
          </w:rPr>
          <m:t>RPR</m:t>
        </m:r>
      </m:oMath>
      <w:r>
        <w:t xml:space="preserve"> is the residue production ratio, </w:t>
      </w:r>
      <m:oMath>
        <m:r>
          <w:rPr>
            <w:rFonts w:ascii="Cambria Math" w:hAnsi="Cambria Math"/>
          </w:rPr>
          <m:t>CF</m:t>
        </m:r>
      </m:oMath>
      <w:r>
        <w:t xml:space="preserve"> is the collection factor, and </w:t>
      </w:r>
      <m:oMath>
        <m:r>
          <w:rPr>
            <w:rFonts w:ascii="Cambria Math" w:hAnsi="Cambria Math"/>
          </w:rPr>
          <m:t>AF</m:t>
        </m:r>
      </m:oMath>
      <w:r>
        <w:t xml:space="preserve"> is the availability factor of the biomass. </w:t>
      </w:r>
      <w:r w:rsidR="00EF1A46">
        <w:t>Note that</w:t>
      </w:r>
      <w:r>
        <w:t xml:space="preserve"> the evaluation of </w:t>
      </w:r>
      <m:oMath>
        <m:r>
          <w:rPr>
            <w:rFonts w:ascii="Cambria Math" w:hAnsi="Cambria Math"/>
          </w:rPr>
          <m:t>α</m:t>
        </m:r>
      </m:oMath>
      <w:r>
        <w:t xml:space="preserve"> can only be an estimate and is dependent on highly variable climatic and agricultural factors that cannot be precisely controlled or predicted.</w:t>
      </w:r>
      <w:r w:rsidR="00603854">
        <w:t xml:space="preserve"> </w:t>
      </w:r>
      <w:r w:rsidR="00042DDC">
        <w:rPr>
          <w:iCs/>
        </w:rPr>
        <w:t xml:space="preserve">Area </w:t>
      </w:r>
      <w:r w:rsidR="00771871">
        <w:rPr>
          <w:iCs/>
        </w:rPr>
        <w:t>information for each pixel is defined from</w:t>
      </w:r>
      <w:r w:rsidR="00042DDC">
        <w:rPr>
          <w:iCs/>
        </w:rPr>
        <w:t xml:space="preserve"> </w:t>
      </w:r>
      <w:r w:rsidR="00702BEE">
        <w:rPr>
          <w:iCs/>
        </w:rPr>
        <w:t xml:space="preserve">Section </w:t>
      </w:r>
      <w:r w:rsidR="00702BEE">
        <w:rPr>
          <w:iCs/>
        </w:rPr>
        <w:lastRenderedPageBreak/>
        <w:t>2.1</w:t>
      </w:r>
      <w:r w:rsidR="008515CE">
        <w:rPr>
          <w:iCs/>
        </w:rPr>
        <w:t xml:space="preserve"> for </w:t>
      </w:r>
      <w:r w:rsidR="00D43269">
        <w:rPr>
          <w:iCs/>
        </w:rPr>
        <w:t>individual crops separately</w:t>
      </w:r>
      <w:r w:rsidR="00702BEE">
        <w:rPr>
          <w:iCs/>
        </w:rPr>
        <w:t xml:space="preserve">. </w:t>
      </w:r>
      <w:r w:rsidR="00702BEE" w:rsidRPr="008D007E">
        <w:rPr>
          <w:iCs/>
        </w:rPr>
        <w:t xml:space="preserve">Yield </w:t>
      </w:r>
      <w:r w:rsidR="0070680A" w:rsidRPr="008D007E">
        <w:rPr>
          <w:iCs/>
        </w:rPr>
        <w:t>is crop and region specific and was taken from</w:t>
      </w:r>
      <w:r w:rsidR="0070680A">
        <w:rPr>
          <w:i/>
          <w:iCs/>
        </w:rPr>
        <w:t xml:space="preserve"> </w:t>
      </w:r>
      <w:r w:rsidR="006027B4">
        <w:rPr>
          <w:iCs/>
        </w:rPr>
        <w:t>the</w:t>
      </w:r>
      <w:r w:rsidR="0040434D">
        <w:rPr>
          <w:iCs/>
        </w:rPr>
        <w:t xml:space="preserve"> Food and Agriculture Organization</w:t>
      </w:r>
      <w:r w:rsidR="00DD20CD">
        <w:rPr>
          <w:iCs/>
        </w:rPr>
        <w:t xml:space="preserve"> </w:t>
      </w:r>
      <w:r w:rsidR="00F5330B">
        <w:rPr>
          <w:iCs/>
        </w:rPr>
        <w:t xml:space="preserve">database </w:t>
      </w:r>
      <w:sdt>
        <w:sdtPr>
          <w:rPr>
            <w:i/>
            <w:iCs/>
          </w:rPr>
          <w:id w:val="1374817164"/>
          <w:citation/>
        </w:sdtPr>
        <w:sdtEndPr/>
        <w:sdtContent>
          <w:r w:rsidR="00DD20CD" w:rsidRPr="00C85C3F">
            <w:rPr>
              <w:i/>
              <w:iCs/>
            </w:rPr>
            <w:fldChar w:fldCharType="begin"/>
          </w:r>
          <w:r w:rsidR="00DD20CD" w:rsidRPr="00C85C3F">
            <w:rPr>
              <w:iCs/>
            </w:rPr>
            <w:instrText xml:space="preserve"> CITATION FAO19 \l 1033 </w:instrText>
          </w:r>
          <w:r w:rsidR="00DD20CD" w:rsidRPr="00C85C3F">
            <w:rPr>
              <w:i/>
              <w:iCs/>
            </w:rPr>
            <w:fldChar w:fldCharType="separate"/>
          </w:r>
          <w:r w:rsidR="00922244" w:rsidRPr="00C85C3F">
            <w:rPr>
              <w:iCs/>
              <w:noProof/>
            </w:rPr>
            <w:t>(FAOSTAT, 2019)</w:t>
          </w:r>
          <w:r w:rsidR="00DD20CD" w:rsidRPr="00C85C3F">
            <w:rPr>
              <w:i/>
              <w:iCs/>
            </w:rPr>
            <w:fldChar w:fldCharType="end"/>
          </w:r>
        </w:sdtContent>
      </w:sdt>
      <w:r w:rsidR="006027B4">
        <w:rPr>
          <w:iCs/>
        </w:rPr>
        <w:t>.</w:t>
      </w:r>
      <w:r w:rsidR="00F5330B">
        <w:rPr>
          <w:iCs/>
        </w:rPr>
        <w:t xml:space="preserve"> </w:t>
      </w:r>
      <w:r w:rsidR="004C1525">
        <w:rPr>
          <w:iCs/>
        </w:rPr>
        <w:t>The key component</w:t>
      </w:r>
    </w:p>
    <w:p w14:paraId="633B24FB" w14:textId="77777777" w:rsidR="00603854" w:rsidRDefault="00603854" w:rsidP="00603854">
      <w:pPr>
        <w:pStyle w:val="Els-body-text"/>
        <w:jc w:val="center"/>
        <w:rPr>
          <w:lang w:val="en-GB"/>
        </w:rPr>
      </w:pPr>
      <w:r w:rsidRPr="00813F1C">
        <w:rPr>
          <w:noProof/>
          <w:lang w:val="en-GB"/>
        </w:rPr>
        <w:drawing>
          <wp:inline distT="0" distB="0" distL="0" distR="0" wp14:anchorId="6A46A8E2" wp14:editId="33C9CEED">
            <wp:extent cx="1596437" cy="1620000"/>
            <wp:effectExtent l="19050" t="19050" r="22860" b="18415"/>
            <wp:docPr id="76" name="Picture 76">
              <a:extLst xmlns:a="http://schemas.openxmlformats.org/drawingml/2006/main">
                <a:ext uri="{FF2B5EF4-FFF2-40B4-BE49-F238E27FC236}">
                  <a16:creationId xmlns:a16="http://schemas.microsoft.com/office/drawing/2014/main" id="{6D78D678-6F86-9D33-7036-79D90AE056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a:extLst>
                        <a:ext uri="{FF2B5EF4-FFF2-40B4-BE49-F238E27FC236}">
                          <a16:creationId xmlns:a16="http://schemas.microsoft.com/office/drawing/2014/main" id="{6D78D678-6F86-9D33-7036-79D90AE0563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6437" cy="1620000"/>
                    </a:xfrm>
                    <a:prstGeom prst="rect">
                      <a:avLst/>
                    </a:prstGeom>
                    <a:ln w="12700">
                      <a:solidFill>
                        <a:schemeClr val="tx1"/>
                      </a:solidFill>
                    </a:ln>
                  </pic:spPr>
                </pic:pic>
              </a:graphicData>
            </a:graphic>
          </wp:inline>
        </w:drawing>
      </w:r>
    </w:p>
    <w:p w14:paraId="6F06931D" w14:textId="52F47C73" w:rsidR="00603854" w:rsidRPr="000140C7" w:rsidRDefault="00603854" w:rsidP="00603854">
      <w:pPr>
        <w:pStyle w:val="Els-1storder-head"/>
        <w:numPr>
          <w:ilvl w:val="0"/>
          <w:numId w:val="0"/>
        </w:numPr>
        <w:spacing w:before="0" w:after="120"/>
        <w:rPr>
          <w:noProof/>
          <w:sz w:val="20"/>
        </w:rPr>
      </w:pPr>
      <w:r w:rsidRPr="003140AD">
        <w:rPr>
          <w:sz w:val="20"/>
          <w:lang w:val="en-GB"/>
        </w:rPr>
        <w:t>Fig. 1</w:t>
      </w:r>
      <w:r>
        <w:rPr>
          <w:sz w:val="20"/>
          <w:lang w:val="en-GB"/>
        </w:rPr>
        <w:t>.</w:t>
      </w:r>
      <w:r w:rsidRPr="003140AD">
        <w:rPr>
          <w:sz w:val="20"/>
          <w:lang w:val="en-GB"/>
        </w:rPr>
        <w:t xml:space="preserve"> Geospatial distribution of wheat </w:t>
      </w:r>
      <w:r>
        <w:rPr>
          <w:sz w:val="20"/>
          <w:lang w:val="en-GB"/>
        </w:rPr>
        <w:t>cropping area</w:t>
      </w:r>
      <w:r w:rsidRPr="003140AD">
        <w:rPr>
          <w:sz w:val="20"/>
          <w:lang w:val="en-GB"/>
        </w:rPr>
        <w:t xml:space="preserve"> in the EU region</w:t>
      </w:r>
      <w:r>
        <w:rPr>
          <w:sz w:val="20"/>
          <w:lang w:val="en-GB"/>
        </w:rPr>
        <w:t xml:space="preserve"> at </w:t>
      </w:r>
      <m:oMath>
        <m:r>
          <m:rPr>
            <m:sty m:val="bi"/>
          </m:rPr>
          <w:rPr>
            <w:rFonts w:ascii="Cambria Math" w:hAnsi="Cambria Math"/>
            <w:sz w:val="20"/>
            <w:lang w:val="en-GB"/>
          </w:rPr>
          <m:t>2.56×2.56 k</m:t>
        </m:r>
        <m:sSup>
          <m:sSupPr>
            <m:ctrlPr>
              <w:rPr>
                <w:rFonts w:ascii="Cambria Math" w:hAnsi="Cambria Math"/>
                <w:i/>
                <w:sz w:val="20"/>
                <w:lang w:val="en-GB"/>
              </w:rPr>
            </m:ctrlPr>
          </m:sSupPr>
          <m:e>
            <m:r>
              <m:rPr>
                <m:sty m:val="bi"/>
              </m:rPr>
              <w:rPr>
                <w:rFonts w:ascii="Cambria Math" w:hAnsi="Cambria Math"/>
                <w:sz w:val="20"/>
                <w:lang w:val="en-GB"/>
              </w:rPr>
              <m:t>m</m:t>
            </m:r>
          </m:e>
          <m:sup>
            <m:r>
              <m:rPr>
                <m:sty m:val="bi"/>
              </m:rPr>
              <w:rPr>
                <w:rFonts w:ascii="Cambria Math" w:hAnsi="Cambria Math"/>
                <w:sz w:val="20"/>
                <w:lang w:val="en-GB"/>
              </w:rPr>
              <m:t>2</m:t>
            </m:r>
          </m:sup>
        </m:sSup>
      </m:oMath>
      <w:r>
        <w:rPr>
          <w:sz w:val="20"/>
          <w:lang w:val="en-GB"/>
        </w:rPr>
        <w:t xml:space="preserve"> </w:t>
      </w:r>
      <w:r w:rsidRPr="003140AD">
        <w:rPr>
          <w:sz w:val="20"/>
          <w:lang w:val="en-GB"/>
        </w:rPr>
        <w:t>resolution. Colour</w:t>
      </w:r>
      <w:r>
        <w:rPr>
          <w:sz w:val="20"/>
          <w:lang w:val="en-GB"/>
        </w:rPr>
        <w:t xml:space="preserve"> </w:t>
      </w:r>
      <w:r w:rsidRPr="003140AD">
        <w:rPr>
          <w:sz w:val="20"/>
          <w:lang w:val="en-GB"/>
        </w:rPr>
        <w:t>bar represents the number of 10</w:t>
      </w:r>
      <w:r>
        <w:rPr>
          <w:sz w:val="20"/>
          <w:lang w:val="en-GB"/>
        </w:rPr>
        <w:t xml:space="preserve"> </w:t>
      </w:r>
      <w:r w:rsidRPr="003140AD">
        <w:rPr>
          <w:sz w:val="20"/>
          <w:lang w:val="en-GB"/>
        </w:rPr>
        <w:t>m pixels</w:t>
      </w:r>
      <w:r>
        <w:rPr>
          <w:sz w:val="20"/>
          <w:lang w:val="en-GB"/>
        </w:rPr>
        <w:t>.</w:t>
      </w:r>
      <w:r w:rsidRPr="003140AD">
        <w:rPr>
          <w:noProof/>
          <w:sz w:val="20"/>
        </w:rPr>
        <w:t xml:space="preserve"> </w:t>
      </w:r>
    </w:p>
    <w:p w14:paraId="342597D3" w14:textId="5C6BE7CB" w:rsidR="00E67BDA" w:rsidRDefault="004C1525" w:rsidP="002F1D75">
      <w:pPr>
        <w:pStyle w:val="Els-body-text"/>
      </w:pPr>
      <w:r>
        <w:rPr>
          <w:iCs/>
        </w:rPr>
        <w:t>to convert crop information to biomass is an estimation of the amount of residue generated</w:t>
      </w:r>
      <w:r w:rsidR="00E76A8C">
        <w:rPr>
          <w:iCs/>
        </w:rPr>
        <w:t xml:space="preserve">, which is highly variable </w:t>
      </w:r>
      <w:r w:rsidR="00D96BD9">
        <w:rPr>
          <w:iCs/>
        </w:rPr>
        <w:t xml:space="preserve">and </w:t>
      </w:r>
      <w:r w:rsidR="00E76A8C">
        <w:rPr>
          <w:iCs/>
        </w:rPr>
        <w:t>depend</w:t>
      </w:r>
      <w:r w:rsidR="00172E73">
        <w:rPr>
          <w:iCs/>
        </w:rPr>
        <w:t>ent</w:t>
      </w:r>
      <w:r w:rsidR="00E76A8C">
        <w:rPr>
          <w:iCs/>
        </w:rPr>
        <w:t xml:space="preserve"> on plant variety, climate conditions, farming practices, </w:t>
      </w:r>
      <w:r w:rsidR="00B0633B">
        <w:rPr>
          <w:iCs/>
        </w:rPr>
        <w:t>and cutting height.</w:t>
      </w:r>
      <w:r w:rsidR="00B41B3B">
        <w:rPr>
          <w:iCs/>
        </w:rPr>
        <w:t xml:space="preserve"> This data is often reported as a ratio compared to the crop </w:t>
      </w:r>
      <w:r w:rsidR="00DE3108">
        <w:rPr>
          <w:iCs/>
        </w:rPr>
        <w:t>yield and</w:t>
      </w:r>
      <w:r w:rsidR="00B41B3B">
        <w:rPr>
          <w:iCs/>
        </w:rPr>
        <w:t xml:space="preserve"> is referred as RPR.</w:t>
      </w:r>
      <w:r w:rsidR="005721E7">
        <w:rPr>
          <w:iCs/>
        </w:rPr>
        <w:t xml:space="preserve"> An approximate estimate of RPR has been defined as an exponential relationship with crop yield by</w:t>
      </w:r>
      <w:r w:rsidR="00B41B3B">
        <w:rPr>
          <w:iCs/>
        </w:rPr>
        <w:t xml:space="preserve"> </w:t>
      </w:r>
      <w:sdt>
        <w:sdtPr>
          <w:rPr>
            <w:i/>
            <w:iCs/>
          </w:rPr>
          <w:id w:val="1666133587"/>
          <w:citation/>
        </w:sdtPr>
        <w:sdtEndPr/>
        <w:sdtContent>
          <w:r w:rsidR="00DE3108" w:rsidRPr="00795371">
            <w:rPr>
              <w:i/>
              <w:iCs/>
            </w:rPr>
            <w:fldChar w:fldCharType="begin"/>
          </w:r>
          <w:r w:rsidR="00DE3108" w:rsidRPr="00795371">
            <w:rPr>
              <w:iCs/>
            </w:rPr>
            <w:instrText xml:space="preserve"> CITATION Kar21 \l 1033 </w:instrText>
          </w:r>
          <w:r w:rsidR="00DE3108" w:rsidRPr="00795371">
            <w:rPr>
              <w:i/>
              <w:iCs/>
            </w:rPr>
            <w:fldChar w:fldCharType="separate"/>
          </w:r>
          <w:r w:rsidR="00922244" w:rsidRPr="00795371">
            <w:rPr>
              <w:iCs/>
              <w:noProof/>
            </w:rPr>
            <w:t>(Karan &amp; Hamelin, 2021)</w:t>
          </w:r>
          <w:r w:rsidR="00DE3108" w:rsidRPr="00795371">
            <w:rPr>
              <w:i/>
              <w:iCs/>
            </w:rPr>
            <w:fldChar w:fldCharType="end"/>
          </w:r>
        </w:sdtContent>
      </w:sdt>
      <w:r w:rsidR="005721E7">
        <w:rPr>
          <w:iCs/>
        </w:rPr>
        <w:t>.</w:t>
      </w:r>
      <w:r w:rsidR="00242469">
        <w:rPr>
          <w:iCs/>
        </w:rPr>
        <w:t xml:space="preserve"> </w:t>
      </w:r>
      <w:r w:rsidR="002D5537" w:rsidRPr="005801F9">
        <w:t>A</w:t>
      </w:r>
      <w:r w:rsidR="00880269" w:rsidRPr="005801F9">
        <w:t xml:space="preserve">ppropriate assumptions are </w:t>
      </w:r>
      <w:r w:rsidR="002D5537" w:rsidRPr="005801F9">
        <w:t xml:space="preserve">made </w:t>
      </w:r>
      <w:r w:rsidR="00C95542" w:rsidRPr="005801F9">
        <w:t>in case</w:t>
      </w:r>
      <w:r w:rsidR="002D5537" w:rsidRPr="005801F9">
        <w:t xml:space="preserve"> of mismatches in </w:t>
      </w:r>
      <w:r w:rsidR="00C95542" w:rsidRPr="005801F9">
        <w:t>crop categorizations</w:t>
      </w:r>
      <w:r w:rsidR="00880269" w:rsidRPr="005801F9">
        <w:t>.</w:t>
      </w:r>
      <w:r w:rsidR="002D794C" w:rsidRPr="005801F9">
        <w:t xml:space="preserve"> </w:t>
      </w:r>
      <w:r w:rsidR="00280903" w:rsidRPr="005801F9">
        <w:t>While RP</w:t>
      </w:r>
      <w:r w:rsidR="00280903">
        <w:t xml:space="preserve">R converts crop information to the amount of generated residue, </w:t>
      </w:r>
      <w:r w:rsidR="002F1D75">
        <w:t>about 50% to 60%</w:t>
      </w:r>
      <w:r w:rsidR="00280903">
        <w:t xml:space="preserve"> residues cannot be collected due to equipment and terrain limitations </w:t>
      </w:r>
      <w:sdt>
        <w:sdtPr>
          <w:id w:val="-1499879687"/>
          <w:citation/>
        </w:sdtPr>
        <w:sdtEndPr/>
        <w:sdtContent>
          <w:r w:rsidR="00280903">
            <w:fldChar w:fldCharType="begin"/>
          </w:r>
          <w:r w:rsidR="00280903">
            <w:instrText xml:space="preserve"> CITATION Mon13 \l 1033 </w:instrText>
          </w:r>
          <w:r w:rsidR="00280903">
            <w:fldChar w:fldCharType="separate"/>
          </w:r>
          <w:r w:rsidR="00280903">
            <w:rPr>
              <w:noProof/>
            </w:rPr>
            <w:t>(Monforti, Bódis, Scarlat, &amp; Dallemand, 2013)</w:t>
          </w:r>
          <w:r w:rsidR="00280903">
            <w:fldChar w:fldCharType="end"/>
          </w:r>
        </w:sdtContent>
      </w:sdt>
      <w:r w:rsidR="00280903">
        <w:t xml:space="preserve">. </w:t>
      </w:r>
      <w:r w:rsidR="005C393F">
        <w:t xml:space="preserve">Additionally, </w:t>
      </w:r>
      <w:r w:rsidR="00835A59">
        <w:t xml:space="preserve">of the collected residues, </w:t>
      </w:r>
      <w:r w:rsidR="002F1D75">
        <w:t>about 10% to 20%</w:t>
      </w:r>
      <w:r w:rsidR="00251BF1">
        <w:t xml:space="preserve"> is usually utilized in-situ for </w:t>
      </w:r>
      <w:r w:rsidR="00E51621">
        <w:t xml:space="preserve">applications such as </w:t>
      </w:r>
      <w:r w:rsidR="002B7DAF">
        <w:t>animal bedding or mulching</w:t>
      </w:r>
      <w:r w:rsidR="00835A59">
        <w:t xml:space="preserve"> </w:t>
      </w:r>
      <w:sdt>
        <w:sdtPr>
          <w:id w:val="499861618"/>
          <w:citation/>
        </w:sdtPr>
        <w:sdtEndPr/>
        <w:sdtContent>
          <w:r w:rsidR="00E51621">
            <w:fldChar w:fldCharType="begin"/>
          </w:r>
          <w:r w:rsidR="00E51621">
            <w:instrText xml:space="preserve"> CITATION Mon13 \l 1033 </w:instrText>
          </w:r>
          <w:r w:rsidR="00E51621">
            <w:fldChar w:fldCharType="separate"/>
          </w:r>
          <w:r w:rsidR="00E51621">
            <w:rPr>
              <w:noProof/>
            </w:rPr>
            <w:t>(Monforti, Bódis, Scarlat, &amp; Dallemand, 2013)</w:t>
          </w:r>
          <w:r w:rsidR="00E51621">
            <w:fldChar w:fldCharType="end"/>
          </w:r>
        </w:sdtContent>
      </w:sdt>
      <w:r w:rsidR="00E51621">
        <w:t xml:space="preserve">. </w:t>
      </w:r>
      <w:r w:rsidR="00C82F04">
        <w:t>Although</w:t>
      </w:r>
      <w:r w:rsidR="002F1D75">
        <w:t xml:space="preserve"> these numbers </w:t>
      </w:r>
      <w:r w:rsidR="00E21743">
        <w:t>may have significant regional and temporal variations,</w:t>
      </w:r>
      <w:r w:rsidR="00E67BDA">
        <w:t xml:space="preserve"> </w:t>
      </w:r>
      <w:r w:rsidR="00E21743">
        <w:t xml:space="preserve">they </w:t>
      </w:r>
      <w:r w:rsidR="00835F5F">
        <w:t xml:space="preserve">are </w:t>
      </w:r>
      <w:r w:rsidR="00E67BDA">
        <w:t>incorporate</w:t>
      </w:r>
      <w:r w:rsidR="00835F5F">
        <w:t>d to provide</w:t>
      </w:r>
      <w:r w:rsidR="00E67BDA">
        <w:t xml:space="preserve"> a more realistic estimate of available biomass.</w:t>
      </w:r>
    </w:p>
    <w:p w14:paraId="5D5636C3" w14:textId="1631B28F" w:rsidR="0075616C" w:rsidRDefault="00DD6382" w:rsidP="0075616C">
      <w:pPr>
        <w:pStyle w:val="Els-body-text"/>
      </w:pPr>
      <w:r>
        <w:t xml:space="preserve">The </w:t>
      </w:r>
      <w:r w:rsidR="00A33B82">
        <w:t xml:space="preserve">available biomass </w:t>
      </w:r>
      <w:r w:rsidR="003555FB">
        <w:t>is</w:t>
      </w:r>
      <w:r w:rsidR="00A33B82">
        <w:t xml:space="preserve"> then utilized</w:t>
      </w:r>
      <w:r w:rsidR="003555FB">
        <w:t xml:space="preserve"> to </w:t>
      </w:r>
      <w:r w:rsidR="00CE5581">
        <w:t xml:space="preserve">a </w:t>
      </w:r>
      <w:r w:rsidR="003555FB">
        <w:t>generate heatmap</w:t>
      </w:r>
      <w:r w:rsidR="00CE5581">
        <w:t xml:space="preserve"> of the feedstock collectable with</w:t>
      </w:r>
      <w:r w:rsidR="00790BFD">
        <w:t>in</w:t>
      </w:r>
      <w:r w:rsidR="00CE5581">
        <w:t xml:space="preserve"> a collection radius, assumed to be 80 km for this study</w:t>
      </w:r>
      <w:r w:rsidR="001408F1">
        <w:t xml:space="preserve">. </w:t>
      </w:r>
      <w:r w:rsidR="00C8784C" w:rsidRPr="00C8784C">
        <w:t xml:space="preserve">For each of </w:t>
      </w:r>
      <w:r w:rsidR="00C8784C">
        <w:t xml:space="preserve">pixel in </w:t>
      </w:r>
      <w:r w:rsidR="00196518">
        <w:t>Fig</w:t>
      </w:r>
      <w:r w:rsidR="00A752D3">
        <w:t>ure</w:t>
      </w:r>
      <w:r w:rsidR="00196518">
        <w:t xml:space="preserve"> </w:t>
      </w:r>
      <w:r w:rsidR="00DE788A">
        <w:t>2</w:t>
      </w:r>
      <w:r w:rsidR="00196518">
        <w:t xml:space="preserve"> (a)</w:t>
      </w:r>
      <w:r w:rsidR="00C8784C" w:rsidRPr="00C8784C">
        <w:t xml:space="preserve">, the </w:t>
      </w:r>
      <w:r w:rsidR="006644D0" w:rsidRPr="00C8784C">
        <w:t>neighboring</w:t>
      </w:r>
      <w:r w:rsidR="00C8784C" w:rsidRPr="00C8784C">
        <w:t xml:space="preserve"> pi</w:t>
      </w:r>
      <w:r w:rsidR="00196518">
        <w:t>xel</w:t>
      </w:r>
      <w:r w:rsidR="00C8784C" w:rsidRPr="00C8784C">
        <w:t>s</w:t>
      </w:r>
      <w:r w:rsidR="003E73ED">
        <w:t xml:space="preserve"> within this collection radius is identified</w:t>
      </w:r>
      <w:r w:rsidR="00C8784C" w:rsidRPr="00C8784C">
        <w:t xml:space="preserve">. This search is conducted smartly and is sped-up by GPU-based parallelization. Next, the total biomass procurable at each point is calculated as the summation of the biomass available at each </w:t>
      </w:r>
      <w:r w:rsidR="006644D0" w:rsidRPr="00C8784C">
        <w:t>neighboring</w:t>
      </w:r>
      <w:r w:rsidR="00C8784C" w:rsidRPr="00C8784C">
        <w:t xml:space="preserve"> point. As a result, each point from Fig</w:t>
      </w:r>
      <w:r w:rsidR="00A752D3">
        <w:t>ure</w:t>
      </w:r>
      <w:r w:rsidR="00C8784C" w:rsidRPr="00C8784C">
        <w:t xml:space="preserve"> </w:t>
      </w:r>
      <w:r w:rsidR="006D3251">
        <w:t>2</w:t>
      </w:r>
      <w:r w:rsidR="006644D0">
        <w:t xml:space="preserve"> (a)</w:t>
      </w:r>
      <w:r w:rsidR="00C8784C" w:rsidRPr="00C8784C">
        <w:t xml:space="preserve"> now has an associated biomass availability within the collection radius. This value can be utilized to visualize the biomass hotspots</w:t>
      </w:r>
      <w:r w:rsidR="006644D0">
        <w:t>, as shown in Fig</w:t>
      </w:r>
      <w:r w:rsidR="00A752D3">
        <w:t>ure</w:t>
      </w:r>
      <w:r w:rsidR="006644D0">
        <w:t xml:space="preserve"> </w:t>
      </w:r>
      <w:r w:rsidR="006D3251">
        <w:t>2</w:t>
      </w:r>
      <w:r w:rsidR="006644D0">
        <w:t xml:space="preserve"> (b)</w:t>
      </w:r>
      <w:r w:rsidR="00C8784C" w:rsidRPr="00C8784C">
        <w:t>.</w:t>
      </w:r>
    </w:p>
    <w:p w14:paraId="144DE6A1" w14:textId="35729357" w:rsidR="008D2649" w:rsidRPr="00A94774" w:rsidRDefault="00170446" w:rsidP="008D2649">
      <w:pPr>
        <w:pStyle w:val="Els-1storder-head"/>
        <w:spacing w:after="120"/>
        <w:rPr>
          <w:lang w:val="en-GB"/>
        </w:rPr>
      </w:pPr>
      <w:r>
        <w:rPr>
          <w:lang w:val="en-GB"/>
        </w:rPr>
        <w:t>Location selection and o</w:t>
      </w:r>
      <w:r w:rsidR="00905C40">
        <w:rPr>
          <w:lang w:val="en-GB"/>
        </w:rPr>
        <w:t>ptimization</w:t>
      </w:r>
    </w:p>
    <w:p w14:paraId="2897E13E" w14:textId="7C63E071" w:rsidR="00CF2FF6" w:rsidRDefault="00CF2FF6" w:rsidP="008D2649">
      <w:pPr>
        <w:pStyle w:val="Els-body-text"/>
        <w:rPr>
          <w:lang w:val="en-GB"/>
        </w:rPr>
      </w:pPr>
      <w:r w:rsidRPr="00CF2FF6">
        <w:rPr>
          <w:lang w:val="en-GB"/>
        </w:rPr>
        <w:t xml:space="preserve">For the present study, the only criterion on selection of biorefinery location is assumed to be the feedstock collectable within the collection radius. </w:t>
      </w:r>
      <w:r w:rsidR="001B2C93">
        <w:rPr>
          <w:lang w:val="en-GB"/>
        </w:rPr>
        <w:t>For this purpose, t</w:t>
      </w:r>
      <w:r w:rsidRPr="00CF2FF6">
        <w:rPr>
          <w:lang w:val="en-GB"/>
        </w:rPr>
        <w:t xml:space="preserve">he first step is to identify the </w:t>
      </w:r>
      <w:r w:rsidR="00A56A0F">
        <w:rPr>
          <w:lang w:val="en-GB"/>
        </w:rPr>
        <w:t>points</w:t>
      </w:r>
      <w:r w:rsidRPr="00CF2FF6">
        <w:rPr>
          <w:lang w:val="en-GB"/>
        </w:rPr>
        <w:t xml:space="preserve"> that meet </w:t>
      </w:r>
      <w:r w:rsidR="00ED5F65">
        <w:rPr>
          <w:lang w:val="en-GB"/>
        </w:rPr>
        <w:t xml:space="preserve">a </w:t>
      </w:r>
      <w:r w:rsidRPr="00CF2FF6">
        <w:rPr>
          <w:lang w:val="en-GB"/>
        </w:rPr>
        <w:t>threshold</w:t>
      </w:r>
      <w:r w:rsidR="006D6E99">
        <w:rPr>
          <w:lang w:val="en-GB"/>
        </w:rPr>
        <w:t xml:space="preserve"> on the feedstock available at each harvest season. </w:t>
      </w:r>
      <w:r w:rsidRPr="00CF2FF6">
        <w:rPr>
          <w:lang w:val="en-GB"/>
        </w:rPr>
        <w:t>The amount of feedstock</w:t>
      </w:r>
      <w:r w:rsidR="00943E22">
        <w:rPr>
          <w:lang w:val="en-GB"/>
        </w:rPr>
        <w:t xml:space="preserve"> </w:t>
      </w:r>
      <w:r w:rsidRPr="00CF2FF6">
        <w:rPr>
          <w:lang w:val="en-GB"/>
        </w:rPr>
        <w:t>procured in each harvest should be at least enough to sustain the biorefinery production till the subsequent harvest. For instance, for a region with two harvests a year in July and</w:t>
      </w:r>
      <w:r w:rsidR="00837F5A">
        <w:rPr>
          <w:lang w:val="en-GB"/>
        </w:rPr>
        <w:t xml:space="preserve"> </w:t>
      </w:r>
      <w:r w:rsidRPr="00CF2FF6">
        <w:rPr>
          <w:lang w:val="en-GB"/>
        </w:rPr>
        <w:t xml:space="preserve">October, the annual requirement of feedstock is divided such that the procurement in July sustains for at least 3 months and the procurement in October sustains for at least nine months. All points that satisfy these thresholds have the possibility of having a balanced feedstock inventory profile at the </w:t>
      </w:r>
      <w:r w:rsidRPr="00CF2FF6">
        <w:rPr>
          <w:lang w:val="en-GB"/>
        </w:rPr>
        <w:lastRenderedPageBreak/>
        <w:t>biorefinery. Among these points, the point with the most biomass available is the recommended biorefinery location.</w:t>
      </w:r>
    </w:p>
    <w:p w14:paraId="394D4E77" w14:textId="77777777" w:rsidR="00A8397A" w:rsidRPr="000E3897" w:rsidRDefault="00A8397A" w:rsidP="00A8397A">
      <w:pPr>
        <w:pStyle w:val="Els-1storder-head"/>
        <w:numPr>
          <w:ilvl w:val="0"/>
          <w:numId w:val="0"/>
        </w:numPr>
        <w:spacing w:before="0" w:after="120"/>
        <w:rPr>
          <w:sz w:val="20"/>
          <w:lang w:val="en-GB"/>
        </w:rPr>
      </w:pPr>
      <w:r w:rsidRPr="00E97FA8">
        <w:rPr>
          <w:noProof/>
          <w:sz w:val="20"/>
          <w:lang w:val="en-GB"/>
        </w:rPr>
        <w:drawing>
          <wp:anchor distT="0" distB="0" distL="114300" distR="114300" simplePos="0" relativeHeight="251668482" behindDoc="0" locked="0" layoutInCell="1" allowOverlap="1" wp14:anchorId="65C7F4BC" wp14:editId="662ABC40">
            <wp:simplePos x="0" y="0"/>
            <wp:positionH relativeFrom="margin">
              <wp:posOffset>312649</wp:posOffset>
            </wp:positionH>
            <wp:positionV relativeFrom="paragraph">
              <wp:posOffset>33655</wp:posOffset>
            </wp:positionV>
            <wp:extent cx="4002405" cy="161988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002405" cy="1619885"/>
                    </a:xfrm>
                    <a:prstGeom prst="rect">
                      <a:avLst/>
                    </a:prstGeom>
                    <a:noFill/>
                  </pic:spPr>
                </pic:pic>
              </a:graphicData>
            </a:graphic>
            <wp14:sizeRelH relativeFrom="margin">
              <wp14:pctWidth>0</wp14:pctWidth>
            </wp14:sizeRelH>
            <wp14:sizeRelV relativeFrom="margin">
              <wp14:pctHeight>0</wp14:pctHeight>
            </wp14:sizeRelV>
          </wp:anchor>
        </w:drawing>
      </w:r>
      <w:r w:rsidRPr="00E97FA8">
        <w:rPr>
          <w:sz w:val="20"/>
          <w:lang w:val="en-GB"/>
        </w:rPr>
        <w:t xml:space="preserve">Fig. </w:t>
      </w:r>
      <w:r>
        <w:rPr>
          <w:sz w:val="20"/>
          <w:lang w:val="en-GB"/>
        </w:rPr>
        <w:t xml:space="preserve">2. </w:t>
      </w:r>
      <w:r w:rsidRPr="00E97FA8">
        <w:rPr>
          <w:sz w:val="20"/>
          <w:lang w:val="en-GB"/>
        </w:rPr>
        <w:t>Annual biomass availability (a) at each pixel and (b) collectable within a radius of 80 km</w:t>
      </w:r>
    </w:p>
    <w:p w14:paraId="7FB076E0" w14:textId="0357566B" w:rsidR="00416EE5" w:rsidRDefault="00927D43" w:rsidP="008D2649">
      <w:pPr>
        <w:pStyle w:val="Els-body-text"/>
        <w:rPr>
          <w:lang w:val="en-GB"/>
        </w:rPr>
      </w:pPr>
      <w:r>
        <w:rPr>
          <w:lang w:val="en-GB"/>
        </w:rPr>
        <w:t xml:space="preserve">The impact of </w:t>
      </w:r>
      <w:r w:rsidR="00C37348">
        <w:rPr>
          <w:lang w:val="en-GB"/>
        </w:rPr>
        <w:t>selecting the</w:t>
      </w:r>
      <w:r>
        <w:rPr>
          <w:lang w:val="en-GB"/>
        </w:rPr>
        <w:t xml:space="preserve"> biorefinery location in this manner is studied by solving a simple optimization problem with the objective of minimizing the </w:t>
      </w:r>
      <w:r w:rsidR="00F4327F">
        <w:rPr>
          <w:lang w:val="en-GB"/>
        </w:rPr>
        <w:t>transport and inventory costs while meeting the demand for feedstock at the biorefinery.</w:t>
      </w:r>
      <w:r w:rsidR="00A84113" w:rsidRPr="00A84113">
        <w:rPr>
          <w:lang w:val="en-GB"/>
        </w:rPr>
        <w:t xml:space="preserve"> </w:t>
      </w:r>
      <w:r w:rsidR="00A84113">
        <w:rPr>
          <w:lang w:val="en-GB"/>
        </w:rPr>
        <w:t xml:space="preserve">The time periods are defined based on harvest seasons. </w:t>
      </w:r>
      <w:r w:rsidR="00F4327F">
        <w:rPr>
          <w:lang w:val="en-GB"/>
        </w:rPr>
        <w:t xml:space="preserve">The objective function is </w:t>
      </w:r>
      <w:r w:rsidR="005955DE">
        <w:rPr>
          <w:lang w:val="en-GB"/>
        </w:rPr>
        <w:t xml:space="preserve">shown in Equation </w:t>
      </w:r>
      <w:r w:rsidR="00BD452B">
        <w:rPr>
          <w:lang w:val="en-GB"/>
        </w:rPr>
        <w:t>3</w:t>
      </w:r>
      <w:r w:rsidR="005955DE">
        <w:rPr>
          <w:lang w:val="en-GB"/>
        </w:rPr>
        <w:t>.</w:t>
      </w:r>
    </w:p>
    <w:tbl>
      <w:tblPr>
        <w:tblStyle w:val="Grigliatabella"/>
        <w:tblW w:w="7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552"/>
      </w:tblGrid>
      <w:tr w:rsidR="00416EE5" w14:paraId="651A7A51" w14:textId="77777777" w:rsidTr="006F5CB7">
        <w:tc>
          <w:tcPr>
            <w:tcW w:w="4678" w:type="dxa"/>
            <w:vAlign w:val="center"/>
          </w:tcPr>
          <w:p w14:paraId="315C857B" w14:textId="6B9C2819" w:rsidR="00416EE5" w:rsidRDefault="00CC2C94" w:rsidP="00AA59DD">
            <w:pPr>
              <w:pStyle w:val="Els-body-text"/>
              <w:ind w:right="-2099"/>
              <w:jc w:val="left"/>
              <w:rPr>
                <w:lang w:val="en-GB"/>
              </w:rPr>
            </w:pPr>
            <m:oMath>
              <m:r>
                <m:rPr>
                  <m:nor/>
                </m:rPr>
                <w:rPr>
                  <w:rFonts w:ascii="Cambria Math" w:hAnsi="Cambria Math"/>
                  <w:lang w:val="en-GB"/>
                </w:rPr>
                <m:t>Min</m:t>
              </m:r>
              <m:r>
                <w:rPr>
                  <w:rFonts w:ascii="Cambria Math" w:hAnsi="Cambria Math"/>
                  <w:lang w:val="en-GB"/>
                </w:rPr>
                <m:t xml:space="preserve"> z=</m:t>
              </m:r>
              <m:sSup>
                <m:sSupPr>
                  <m:ctrlPr>
                    <w:rPr>
                      <w:rFonts w:ascii="Cambria Math" w:hAnsi="Cambria Math"/>
                      <w:i/>
                      <w:lang w:val="en-GB"/>
                    </w:rPr>
                  </m:ctrlPr>
                </m:sSupPr>
                <m:e>
                  <m:r>
                    <w:rPr>
                      <w:rFonts w:ascii="Cambria Math" w:hAnsi="Cambria Math"/>
                      <w:lang w:val="en-GB"/>
                    </w:rPr>
                    <m:t>w</m:t>
                  </m:r>
                </m:e>
                <m:sup>
                  <m:r>
                    <w:rPr>
                      <w:rFonts w:ascii="Cambria Math" w:hAnsi="Cambria Math"/>
                      <w:lang w:val="en-GB"/>
                    </w:rPr>
                    <m:t>tr</m:t>
                  </m:r>
                </m:sup>
              </m:sSup>
              <m:nary>
                <m:naryPr>
                  <m:chr m:val="∑"/>
                  <m:limLoc m:val="undOvr"/>
                  <m:supHide m:val="1"/>
                  <m:ctrlPr>
                    <w:rPr>
                      <w:rFonts w:ascii="Cambria Math" w:hAnsi="Cambria Math"/>
                      <w:i/>
                      <w:lang w:val="en-GB"/>
                    </w:rPr>
                  </m:ctrlPr>
                </m:naryPr>
                <m:sub>
                  <m:r>
                    <w:rPr>
                      <w:rFonts w:ascii="Cambria Math" w:hAnsi="Cambria Math"/>
                      <w:lang w:val="en-GB"/>
                    </w:rPr>
                    <m:t>p,t</m:t>
                  </m:r>
                </m:sub>
                <m:sup/>
                <m:e>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p</m:t>
                      </m:r>
                    </m:sub>
                  </m:sSub>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p,t</m:t>
                      </m:r>
                    </m:sub>
                  </m:sSub>
                </m:e>
              </m:nary>
              <m:r>
                <w:rPr>
                  <w:rFonts w:ascii="Cambria Math" w:hAnsi="Cambria Math"/>
                  <w:lang w:val="en-GB"/>
                </w:rPr>
                <m:t>+</m:t>
              </m:r>
              <m:sSup>
                <m:sSupPr>
                  <m:ctrlPr>
                    <w:rPr>
                      <w:rFonts w:ascii="Cambria Math" w:hAnsi="Cambria Math"/>
                      <w:i/>
                      <w:lang w:val="en-GB"/>
                    </w:rPr>
                  </m:ctrlPr>
                </m:sSupPr>
                <m:e>
                  <m:r>
                    <w:rPr>
                      <w:rFonts w:ascii="Cambria Math" w:hAnsi="Cambria Math"/>
                      <w:lang w:val="en-GB"/>
                    </w:rPr>
                    <m:t>w</m:t>
                  </m:r>
                </m:e>
                <m:sup>
                  <m:r>
                    <w:rPr>
                      <w:rFonts w:ascii="Cambria Math" w:hAnsi="Cambria Math"/>
                      <w:lang w:val="en-GB"/>
                    </w:rPr>
                    <m:t>inv-c</m:t>
                  </m:r>
                </m:sup>
              </m:sSup>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in</m:t>
                  </m:r>
                </m:sub>
              </m:sSub>
              <m:r>
                <w:rPr>
                  <w:rFonts w:ascii="Cambria Math" w:hAnsi="Cambria Math"/>
                  <w:lang w:val="en-GB"/>
                </w:rPr>
                <m:t>+</m:t>
              </m:r>
              <m:sSup>
                <m:sSupPr>
                  <m:ctrlPr>
                    <w:rPr>
                      <w:rFonts w:ascii="Cambria Math" w:hAnsi="Cambria Math"/>
                      <w:i/>
                      <w:lang w:val="en-GB"/>
                    </w:rPr>
                  </m:ctrlPr>
                </m:sSupPr>
                <m:e>
                  <m:r>
                    <w:rPr>
                      <w:rFonts w:ascii="Cambria Math" w:hAnsi="Cambria Math"/>
                      <w:lang w:val="en-GB"/>
                    </w:rPr>
                    <m:t>w</m:t>
                  </m:r>
                </m:e>
                <m:sup>
                  <m:r>
                    <w:rPr>
                      <w:rFonts w:ascii="Cambria Math" w:hAnsi="Cambria Math"/>
                      <w:lang w:val="en-GB"/>
                    </w:rPr>
                    <m:t>inv-o</m:t>
                  </m:r>
                </m:sup>
              </m:sSup>
              <m:nary>
                <m:naryPr>
                  <m:chr m:val="∑"/>
                  <m:limLoc m:val="undOvr"/>
                  <m:supHide m:val="1"/>
                  <m:ctrlPr>
                    <w:rPr>
                      <w:rFonts w:ascii="Cambria Math" w:hAnsi="Cambria Math"/>
                      <w:i/>
                      <w:lang w:val="en-GB"/>
                    </w:rPr>
                  </m:ctrlPr>
                </m:naryPr>
                <m:sub>
                  <m:r>
                    <w:rPr>
                      <w:rFonts w:ascii="Cambria Math" w:hAnsi="Cambria Math"/>
                      <w:lang w:val="en-GB"/>
                    </w:rPr>
                    <m:t>t</m:t>
                  </m:r>
                </m:sub>
                <m:sup/>
                <m:e>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t</m:t>
                      </m:r>
                    </m:sub>
                  </m:sSub>
                </m:e>
              </m:nary>
            </m:oMath>
            <w:r w:rsidR="00416EE5">
              <w:rPr>
                <w:lang w:val="en-GB"/>
              </w:rPr>
              <w:t xml:space="preserve"> </w:t>
            </w:r>
          </w:p>
        </w:tc>
        <w:tc>
          <w:tcPr>
            <w:tcW w:w="2552" w:type="dxa"/>
            <w:vAlign w:val="center"/>
          </w:tcPr>
          <w:p w14:paraId="45799A1F" w14:textId="49DDB729" w:rsidR="00416EE5" w:rsidRDefault="00CE77C6" w:rsidP="005475DA">
            <w:pPr>
              <w:pStyle w:val="Els-body-text"/>
              <w:ind w:left="886" w:firstLine="283"/>
              <w:jc w:val="right"/>
              <w:rPr>
                <w:lang w:val="en-GB"/>
              </w:rPr>
            </w:pPr>
            <w:r>
              <w:rPr>
                <w:lang w:val="en-GB"/>
              </w:rPr>
              <w:t>(3)</w:t>
            </w:r>
          </w:p>
        </w:tc>
      </w:tr>
    </w:tbl>
    <w:p w14:paraId="27D79A1B" w14:textId="1CB8C742" w:rsidR="00BE5AA1" w:rsidRDefault="006B1928" w:rsidP="008D2649">
      <w:pPr>
        <w:pStyle w:val="Els-body-text"/>
        <w:rPr>
          <w:lang w:val="en-GB"/>
        </w:rPr>
      </w:pPr>
      <w:r>
        <w:rPr>
          <w:lang w:val="en-GB"/>
        </w:rPr>
        <w:t xml:space="preserve">Where, </w:t>
      </w:r>
      <m:oMath>
        <m:sSup>
          <m:sSupPr>
            <m:ctrlPr>
              <w:rPr>
                <w:rFonts w:ascii="Cambria Math" w:hAnsi="Cambria Math"/>
                <w:i/>
                <w:lang w:val="en-GB"/>
              </w:rPr>
            </m:ctrlPr>
          </m:sSupPr>
          <m:e>
            <m:r>
              <w:rPr>
                <w:rFonts w:ascii="Cambria Math" w:hAnsi="Cambria Math"/>
                <w:lang w:val="en-GB"/>
              </w:rPr>
              <m:t>w</m:t>
            </m:r>
          </m:e>
          <m:sup>
            <m:r>
              <w:rPr>
                <w:rFonts w:ascii="Cambria Math" w:hAnsi="Cambria Math"/>
                <w:lang w:val="en-GB"/>
              </w:rPr>
              <m:t>tr</m:t>
            </m:r>
          </m:sup>
        </m:sSup>
      </m:oMath>
      <w:r>
        <w:rPr>
          <w:lang w:val="en-GB"/>
        </w:rPr>
        <w:t>,</w:t>
      </w:r>
      <w:r w:rsidR="008D088D" w:rsidRPr="008D088D">
        <w:rPr>
          <w:rFonts w:ascii="Cambria Math" w:hAnsi="Cambria Math"/>
          <w:i/>
          <w:lang w:val="en-GB"/>
        </w:rPr>
        <w:t xml:space="preserve"> </w:t>
      </w:r>
      <m:oMath>
        <m:sSup>
          <m:sSupPr>
            <m:ctrlPr>
              <w:rPr>
                <w:rFonts w:ascii="Cambria Math" w:hAnsi="Cambria Math"/>
                <w:i/>
                <w:lang w:val="en-GB"/>
              </w:rPr>
            </m:ctrlPr>
          </m:sSupPr>
          <m:e>
            <m:r>
              <w:rPr>
                <w:rFonts w:ascii="Cambria Math" w:hAnsi="Cambria Math"/>
                <w:lang w:val="en-GB"/>
              </w:rPr>
              <m:t>w</m:t>
            </m:r>
          </m:e>
          <m:sup>
            <m:r>
              <w:rPr>
                <w:rFonts w:ascii="Cambria Math" w:hAnsi="Cambria Math"/>
                <w:lang w:val="en-GB"/>
              </w:rPr>
              <m:t>inv-c</m:t>
            </m:r>
          </m:sup>
        </m:sSup>
      </m:oMath>
      <w:r w:rsidR="008D088D">
        <w:rPr>
          <w:rFonts w:ascii="Cambria Math" w:hAnsi="Cambria Math"/>
          <w:i/>
          <w:lang w:val="en-GB"/>
        </w:rPr>
        <w:t xml:space="preserve"> </w:t>
      </w:r>
      <w:r>
        <w:rPr>
          <w:lang w:val="en-GB"/>
        </w:rPr>
        <w:t>a</w:t>
      </w:r>
      <w:r w:rsidR="008D088D">
        <w:rPr>
          <w:lang w:val="en-GB"/>
        </w:rPr>
        <w:t xml:space="preserve">nd </w:t>
      </w:r>
      <m:oMath>
        <m:sSup>
          <m:sSupPr>
            <m:ctrlPr>
              <w:rPr>
                <w:rFonts w:ascii="Cambria Math" w:hAnsi="Cambria Math"/>
                <w:i/>
                <w:lang w:val="en-GB"/>
              </w:rPr>
            </m:ctrlPr>
          </m:sSupPr>
          <m:e>
            <m:r>
              <w:rPr>
                <w:rFonts w:ascii="Cambria Math" w:hAnsi="Cambria Math"/>
                <w:lang w:val="en-GB"/>
              </w:rPr>
              <m:t>w</m:t>
            </m:r>
          </m:e>
          <m:sup>
            <m:r>
              <w:rPr>
                <w:rFonts w:ascii="Cambria Math" w:hAnsi="Cambria Math"/>
                <w:lang w:val="en-GB"/>
              </w:rPr>
              <m:t>inv-o</m:t>
            </m:r>
          </m:sup>
        </m:sSup>
      </m:oMath>
      <w:r w:rsidR="008D088D">
        <w:rPr>
          <w:lang w:val="en-GB"/>
        </w:rPr>
        <w:t xml:space="preserve"> are the</w:t>
      </w:r>
      <w:r w:rsidR="00993FF0">
        <w:rPr>
          <w:lang w:val="en-GB"/>
        </w:rPr>
        <w:t xml:space="preserve"> weights associated with transportation</w:t>
      </w:r>
      <w:r w:rsidR="00D3246E">
        <w:rPr>
          <w:lang w:val="en-GB"/>
        </w:rPr>
        <w:t xml:space="preserve"> and</w:t>
      </w:r>
      <w:r w:rsidR="00993FF0">
        <w:rPr>
          <w:lang w:val="en-GB"/>
        </w:rPr>
        <w:t xml:space="preserve"> CAPEX and OPEX associated with </w:t>
      </w:r>
      <w:r w:rsidR="00D3246E">
        <w:rPr>
          <w:lang w:val="en-GB"/>
        </w:rPr>
        <w:t xml:space="preserve">feedstock storage. Note that the weights may be </w:t>
      </w:r>
      <w:r w:rsidR="005F1CBF">
        <w:rPr>
          <w:lang w:val="en-GB"/>
        </w:rPr>
        <w:t xml:space="preserve">replaced with costs as applicable. </w:t>
      </w:r>
      <m:oMath>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p</m:t>
            </m:r>
          </m:sub>
        </m:sSub>
      </m:oMath>
      <w:r w:rsidR="005F1CBF">
        <w:rPr>
          <w:lang w:val="en-GB"/>
        </w:rPr>
        <w:t xml:space="preserve"> is the distance </w:t>
      </w:r>
      <w:r w:rsidR="007733E3">
        <w:rPr>
          <w:lang w:val="en-GB"/>
        </w:rPr>
        <w:t>f</w:t>
      </w:r>
      <w:r w:rsidR="00A866E9">
        <w:rPr>
          <w:lang w:val="en-GB"/>
        </w:rPr>
        <w:t>rom</w:t>
      </w:r>
      <w:r w:rsidR="007733E3">
        <w:rPr>
          <w:lang w:val="en-GB"/>
        </w:rPr>
        <w:t xml:space="preserve"> biomass source</w:t>
      </w:r>
      <w:r w:rsidR="00C13BDC">
        <w:rPr>
          <w:lang w:val="en-GB"/>
        </w:rPr>
        <w:t xml:space="preserve"> </w:t>
      </w:r>
      <w:r w:rsidR="00C13BDC" w:rsidRPr="00A866E9">
        <w:rPr>
          <w:i/>
          <w:iCs/>
          <w:lang w:val="en-GB"/>
        </w:rPr>
        <w:t>p</w:t>
      </w:r>
      <w:r w:rsidR="007733E3">
        <w:rPr>
          <w:lang w:val="en-GB"/>
        </w:rPr>
        <w:t xml:space="preserve"> </w:t>
      </w:r>
      <w:r w:rsidR="00A866E9">
        <w:rPr>
          <w:lang w:val="en-GB"/>
        </w:rPr>
        <w:t>to</w:t>
      </w:r>
      <w:r w:rsidR="007733E3">
        <w:rPr>
          <w:lang w:val="en-GB"/>
        </w:rPr>
        <w:t xml:space="preserve"> biorefinery, </w:t>
      </w:r>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p,t</m:t>
            </m:r>
          </m:sub>
        </m:sSub>
      </m:oMath>
      <w:r w:rsidR="007733E3">
        <w:rPr>
          <w:lang w:val="en-GB"/>
        </w:rPr>
        <w:t xml:space="preserve"> is the feedstock procured from </w:t>
      </w:r>
      <w:r w:rsidR="00C13BDC">
        <w:rPr>
          <w:lang w:val="en-GB"/>
        </w:rPr>
        <w:t xml:space="preserve">biomass source </w:t>
      </w:r>
      <w:proofErr w:type="spellStart"/>
      <w:r w:rsidR="00C13BDC" w:rsidRPr="00C13BDC">
        <w:rPr>
          <w:i/>
          <w:iCs/>
          <w:lang w:val="en-GB"/>
        </w:rPr>
        <w:t>p</w:t>
      </w:r>
      <w:r w:rsidR="00572491">
        <w:rPr>
          <w:i/>
          <w:iCs/>
          <w:lang w:val="en-GB"/>
        </w:rPr>
        <w:t xml:space="preserve"> </w:t>
      </w:r>
      <w:r w:rsidR="00C13BDC">
        <w:rPr>
          <w:lang w:val="en-GB"/>
        </w:rPr>
        <w:t>at</w:t>
      </w:r>
      <w:proofErr w:type="spellEnd"/>
      <w:r w:rsidR="00C13BDC">
        <w:rPr>
          <w:lang w:val="en-GB"/>
        </w:rPr>
        <w:t xml:space="preserve"> time </w:t>
      </w:r>
      <w:r w:rsidR="00C13BDC" w:rsidRPr="00C13BDC">
        <w:rPr>
          <w:i/>
          <w:iCs/>
          <w:lang w:val="en-GB"/>
        </w:rPr>
        <w:t>t</w:t>
      </w:r>
      <w:r w:rsidR="002922E0">
        <w:rPr>
          <w:lang w:val="en-GB"/>
        </w:rPr>
        <w:t xml:space="preserve">, </w:t>
      </w:r>
      <w:r w:rsidR="00C13BDC">
        <w:rPr>
          <w:lang w:val="en-GB"/>
        </w:rPr>
        <w:t xml:space="preserve">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in</m:t>
            </m:r>
          </m:sub>
        </m:sSub>
      </m:oMath>
      <w:r w:rsidR="002922E0">
        <w:rPr>
          <w:lang w:val="en-GB"/>
        </w:rPr>
        <w:t xml:space="preserve"> is the capacity of inventory required, obtained as the maximum feedstock stored at any time period</w:t>
      </w:r>
      <w:r w:rsidR="00A64121">
        <w:rPr>
          <w:lang w:val="en-GB"/>
        </w:rPr>
        <w:t xml:space="preserve">, and </w:t>
      </w:r>
      <m:oMath>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t</m:t>
            </m:r>
          </m:sub>
        </m:sSub>
      </m:oMath>
      <w:r w:rsidR="00A64121">
        <w:rPr>
          <w:lang w:val="en-GB"/>
        </w:rPr>
        <w:t xml:space="preserve"> is the feedstock in the inventory at time </w:t>
      </w:r>
      <w:r w:rsidR="00A64121" w:rsidRPr="00A64121">
        <w:rPr>
          <w:i/>
          <w:iCs/>
          <w:lang w:val="en-GB"/>
        </w:rPr>
        <w:t>t</w:t>
      </w:r>
      <w:r w:rsidR="00A64121">
        <w:rPr>
          <w:lang w:val="en-GB"/>
        </w:rPr>
        <w:t>.</w:t>
      </w:r>
      <w:r w:rsidR="00FE65CA">
        <w:rPr>
          <w:lang w:val="en-GB"/>
        </w:rPr>
        <w:t xml:space="preserve"> </w:t>
      </w:r>
      <w:r w:rsidR="008632E1">
        <w:rPr>
          <w:lang w:val="en-GB"/>
        </w:rPr>
        <w:t xml:space="preserve">Here, all pixels within the collection radius of the biorefinery location </w:t>
      </w:r>
      <w:r w:rsidR="003061E8">
        <w:rPr>
          <w:lang w:val="en-GB"/>
        </w:rPr>
        <w:t>are</w:t>
      </w:r>
      <w:r w:rsidR="008632E1">
        <w:rPr>
          <w:lang w:val="en-GB"/>
        </w:rPr>
        <w:t xml:space="preserve"> biomass sources.</w:t>
      </w:r>
      <w:r w:rsidR="00A84113">
        <w:rPr>
          <w:lang w:val="en-GB"/>
        </w:rPr>
        <w:t xml:space="preserve"> </w:t>
      </w:r>
    </w:p>
    <w:p w14:paraId="7467134E" w14:textId="78C384E9" w:rsidR="00416EE5" w:rsidRDefault="00FE65CA" w:rsidP="008D2649">
      <w:pPr>
        <w:pStyle w:val="Els-body-text"/>
        <w:rPr>
          <w:lang w:val="en-GB"/>
        </w:rPr>
      </w:pPr>
      <w:r>
        <w:rPr>
          <w:lang w:val="en-GB"/>
        </w:rPr>
        <w:t xml:space="preserve">The </w:t>
      </w:r>
      <w:r w:rsidR="00CA14DC">
        <w:rPr>
          <w:lang w:val="en-GB"/>
        </w:rPr>
        <w:t xml:space="preserve">constraints to the optimization problem are the limit of feedstock available from each biomass source, the </w:t>
      </w:r>
      <w:r w:rsidR="00BE5AA1">
        <w:rPr>
          <w:lang w:val="en-GB"/>
        </w:rPr>
        <w:t>inventory balance at each biorefinery, and the demand for feedstock at each</w:t>
      </w:r>
      <w:r w:rsidR="00A00EDC">
        <w:rPr>
          <w:lang w:val="en-GB"/>
        </w:rPr>
        <w:t xml:space="preserve"> time period, and are given </w:t>
      </w:r>
      <w:r w:rsidR="00D72F21">
        <w:rPr>
          <w:lang w:val="en-GB"/>
        </w:rPr>
        <w:t>in Equation 4, Equation 5, and Equation 6. respectively</w:t>
      </w:r>
      <w:r w:rsidR="00A00EDC">
        <w:rPr>
          <w:lang w:val="en-GB"/>
        </w:rPr>
        <w:t>.</w:t>
      </w:r>
    </w:p>
    <w:tbl>
      <w:tblPr>
        <w:tblStyle w:val="Grigliatabella"/>
        <w:tblW w:w="7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552"/>
      </w:tblGrid>
      <w:tr w:rsidR="002662CF" w14:paraId="47333661" w14:textId="77777777" w:rsidTr="002D7498">
        <w:tc>
          <w:tcPr>
            <w:tcW w:w="4678" w:type="dxa"/>
            <w:vAlign w:val="center"/>
          </w:tcPr>
          <w:p w14:paraId="226FED41" w14:textId="38422A02" w:rsidR="002662CF" w:rsidRDefault="0071142C" w:rsidP="005B04F9">
            <w:pPr>
              <w:pStyle w:val="Els-body-text"/>
              <w:ind w:right="-2099"/>
              <w:jc w:val="left"/>
              <w:rPr>
                <w:lang w:val="en-GB"/>
              </w:rPr>
            </w:pPr>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p,t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p,t</m:t>
                  </m:r>
                </m:sub>
              </m:sSub>
            </m:oMath>
            <w:r w:rsidR="002662CF">
              <w:rPr>
                <w:lang w:val="en-GB"/>
              </w:rPr>
              <w:t xml:space="preserve"> </w:t>
            </w:r>
          </w:p>
        </w:tc>
        <w:tc>
          <w:tcPr>
            <w:tcW w:w="2552" w:type="dxa"/>
            <w:vAlign w:val="center"/>
          </w:tcPr>
          <w:p w14:paraId="3AED9328" w14:textId="118BB76D" w:rsidR="002662CF" w:rsidRDefault="00CE77C6" w:rsidP="005B04F9">
            <w:pPr>
              <w:pStyle w:val="Els-body-text"/>
              <w:ind w:left="886" w:firstLine="283"/>
              <w:jc w:val="right"/>
              <w:rPr>
                <w:lang w:val="en-GB"/>
              </w:rPr>
            </w:pPr>
            <w:r>
              <w:rPr>
                <w:lang w:val="en-GB"/>
              </w:rPr>
              <w:t>(4)</w:t>
            </w:r>
          </w:p>
        </w:tc>
      </w:tr>
      <w:tr w:rsidR="002D7498" w14:paraId="25442AE4" w14:textId="77777777" w:rsidTr="002D7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tcBorders>
              <w:top w:val="nil"/>
              <w:left w:val="nil"/>
              <w:bottom w:val="nil"/>
              <w:right w:val="nil"/>
            </w:tcBorders>
          </w:tcPr>
          <w:p w14:paraId="4538A8EB" w14:textId="23BA8644" w:rsidR="002D7498" w:rsidRDefault="0071142C" w:rsidP="005B04F9">
            <w:pPr>
              <w:pStyle w:val="Els-body-text"/>
              <w:ind w:right="-2099"/>
              <w:jc w:val="left"/>
              <w:rPr>
                <w:lang w:val="en-GB"/>
              </w:rPr>
            </w:pPr>
            <m:oMath>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t</m:t>
                  </m:r>
                </m:sub>
              </m:sSub>
              <m:r>
                <w:rPr>
                  <w:rFonts w:ascii="Cambria Math" w:hAnsi="Cambria Math"/>
                  <w:lang w:val="en-GB"/>
                </w:rPr>
                <m:t>=</m:t>
              </m:r>
              <m:sSub>
                <m:sSubPr>
                  <m:ctrlPr>
                    <w:rPr>
                      <w:rFonts w:ascii="Cambria Math" w:hAnsi="Cambria Math"/>
                      <w:i/>
                      <w:lang w:val="en-GB"/>
                    </w:rPr>
                  </m:ctrlPr>
                </m:sSubPr>
                <m:e>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t-1</m:t>
                      </m:r>
                    </m:sub>
                  </m:sSub>
                  <m:r>
                    <w:rPr>
                      <w:rFonts w:ascii="Cambria Math" w:hAnsi="Cambria Math"/>
                      <w:lang w:val="en-GB"/>
                    </w:rPr>
                    <m:t>i</m:t>
                  </m:r>
                </m:e>
                <m:sub>
                  <m:r>
                    <w:rPr>
                      <w:rFonts w:ascii="Cambria Math" w:hAnsi="Cambria Math"/>
                      <w:lang w:val="en-GB"/>
                    </w:rPr>
                    <m:t>t-1</m:t>
                  </m:r>
                </m:sub>
              </m:sSub>
              <m:r>
                <w:rPr>
                  <w:rFonts w:ascii="Cambria Math" w:hAnsi="Cambria Math"/>
                  <w:lang w:val="en-GB"/>
                </w:rPr>
                <m:t>+</m:t>
              </m:r>
              <m:nary>
                <m:naryPr>
                  <m:chr m:val="∑"/>
                  <m:limLoc m:val="undOvr"/>
                  <m:supHide m:val="1"/>
                  <m:ctrlPr>
                    <w:rPr>
                      <w:rFonts w:ascii="Cambria Math" w:hAnsi="Cambria Math"/>
                      <w:i/>
                      <w:lang w:val="en-GB"/>
                    </w:rPr>
                  </m:ctrlPr>
                </m:naryPr>
                <m:sub>
                  <m:r>
                    <w:rPr>
                      <w:rFonts w:ascii="Cambria Math" w:hAnsi="Cambria Math"/>
                      <w:lang w:val="en-GB"/>
                    </w:rPr>
                    <m:t>p</m:t>
                  </m:r>
                </m:sub>
                <m:sup/>
                <m:e>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p,t</m:t>
                      </m:r>
                    </m:sub>
                  </m:sSub>
                </m:e>
              </m:nary>
              <m:r>
                <w:rPr>
                  <w:rFonts w:ascii="Cambria Math" w:hAnsi="Cambria Math"/>
                  <w:lang w:val="en-GB"/>
                </w:rPr>
                <m:t>-</m:t>
              </m:r>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t</m:t>
                  </m:r>
                </m:sub>
              </m:sSub>
            </m:oMath>
            <w:r w:rsidR="002D7498">
              <w:rPr>
                <w:lang w:val="en-GB"/>
              </w:rPr>
              <w:t xml:space="preserve"> </w:t>
            </w:r>
          </w:p>
        </w:tc>
        <w:tc>
          <w:tcPr>
            <w:tcW w:w="2552" w:type="dxa"/>
            <w:tcBorders>
              <w:top w:val="nil"/>
              <w:left w:val="nil"/>
              <w:bottom w:val="nil"/>
              <w:right w:val="nil"/>
            </w:tcBorders>
          </w:tcPr>
          <w:p w14:paraId="29B52473" w14:textId="707AEC19" w:rsidR="002D7498" w:rsidRDefault="00CE77C6" w:rsidP="005B04F9">
            <w:pPr>
              <w:pStyle w:val="Els-body-text"/>
              <w:ind w:left="886" w:firstLine="283"/>
              <w:jc w:val="right"/>
              <w:rPr>
                <w:lang w:val="en-GB"/>
              </w:rPr>
            </w:pPr>
            <w:r>
              <w:rPr>
                <w:lang w:val="en-GB"/>
              </w:rPr>
              <w:t>(5)</w:t>
            </w:r>
          </w:p>
        </w:tc>
      </w:tr>
      <w:tr w:rsidR="005F1A14" w14:paraId="0CC5C1B5" w14:textId="77777777" w:rsidTr="002D7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tcBorders>
              <w:top w:val="nil"/>
              <w:left w:val="nil"/>
              <w:bottom w:val="nil"/>
              <w:right w:val="nil"/>
            </w:tcBorders>
          </w:tcPr>
          <w:p w14:paraId="4DCB82AD" w14:textId="145F907E" w:rsidR="005F1A14" w:rsidRPr="005F1A14" w:rsidRDefault="0071142C" w:rsidP="005B04F9">
            <w:pPr>
              <w:pStyle w:val="Els-body-text"/>
              <w:ind w:right="-2099"/>
              <w:jc w:val="left"/>
              <w:rPr>
                <w:lang w:val="en-GB"/>
              </w:rPr>
            </w:pPr>
            <m:oMathPara>
              <m:oMathParaPr>
                <m:jc m:val="left"/>
              </m:oMathParaPr>
              <m:oMath>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t</m:t>
                    </m:r>
                  </m:sub>
                </m:sSub>
              </m:oMath>
            </m:oMathPara>
          </w:p>
        </w:tc>
        <w:tc>
          <w:tcPr>
            <w:tcW w:w="2552" w:type="dxa"/>
            <w:tcBorders>
              <w:top w:val="nil"/>
              <w:left w:val="nil"/>
              <w:bottom w:val="nil"/>
              <w:right w:val="nil"/>
            </w:tcBorders>
          </w:tcPr>
          <w:p w14:paraId="136109E8" w14:textId="254B2993" w:rsidR="005F1A14" w:rsidRDefault="00CE77C6" w:rsidP="005B04F9">
            <w:pPr>
              <w:pStyle w:val="Els-body-text"/>
              <w:ind w:left="886" w:firstLine="283"/>
              <w:jc w:val="right"/>
              <w:rPr>
                <w:lang w:val="en-GB"/>
              </w:rPr>
            </w:pPr>
            <w:r>
              <w:rPr>
                <w:lang w:val="en-GB"/>
              </w:rPr>
              <w:t>(6)</w:t>
            </w:r>
          </w:p>
        </w:tc>
      </w:tr>
    </w:tbl>
    <w:p w14:paraId="4B8AAF32" w14:textId="6B7C5AEB" w:rsidR="002662CF" w:rsidRPr="0035036E" w:rsidRDefault="00BC4EE6" w:rsidP="008D2649">
      <w:pPr>
        <w:pStyle w:val="Els-body-text"/>
        <w:rPr>
          <w:lang w:val="en-GB"/>
        </w:rPr>
      </w:pPr>
      <w:r>
        <w:rPr>
          <w:lang w:val="en-GB"/>
        </w:rPr>
        <w:t xml:space="preserve">Where, </w:t>
      </w:r>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p,t</m:t>
            </m:r>
          </m:sub>
        </m:sSub>
      </m:oMath>
      <w:r w:rsidR="006618E2">
        <w:rPr>
          <w:lang w:val="en-GB"/>
        </w:rPr>
        <w:t xml:space="preserve"> is the feedstock available in biomass source </w:t>
      </w:r>
      <w:proofErr w:type="spellStart"/>
      <w:r w:rsidR="006618E2" w:rsidRPr="006618E2">
        <w:rPr>
          <w:i/>
          <w:iCs/>
          <w:lang w:val="en-GB"/>
        </w:rPr>
        <w:t>p</w:t>
      </w:r>
      <w:r w:rsidR="006618E2">
        <w:rPr>
          <w:lang w:val="en-GB"/>
        </w:rPr>
        <w:t xml:space="preserve"> at</w:t>
      </w:r>
      <w:proofErr w:type="spellEnd"/>
      <w:r w:rsidR="006618E2">
        <w:rPr>
          <w:lang w:val="en-GB"/>
        </w:rPr>
        <w:t xml:space="preserve"> time </w:t>
      </w:r>
      <w:r w:rsidR="00325F5D" w:rsidRPr="00325F5D">
        <w:rPr>
          <w:i/>
          <w:iCs/>
          <w:lang w:val="en-GB"/>
        </w:rPr>
        <w:t>t</w:t>
      </w:r>
      <w:r w:rsidR="00325F5D">
        <w:rPr>
          <w:lang w:val="en-GB"/>
        </w:rPr>
        <w:t xml:space="preserve">,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t-1</m:t>
            </m:r>
          </m:sub>
        </m:sSub>
      </m:oMath>
      <w:r w:rsidR="00325F5D">
        <w:rPr>
          <w:lang w:val="en-GB"/>
        </w:rPr>
        <w:t xml:space="preserve"> is the feedstock loss f</w:t>
      </w:r>
      <w:r w:rsidR="0035036E">
        <w:rPr>
          <w:lang w:val="en-GB"/>
        </w:rPr>
        <w:t xml:space="preserve">actor at time </w:t>
      </w:r>
      <w:r w:rsidR="0035036E" w:rsidRPr="0035036E">
        <w:rPr>
          <w:i/>
          <w:iCs/>
          <w:lang w:val="en-GB"/>
        </w:rPr>
        <w:t>t-1</w:t>
      </w:r>
      <w:r w:rsidR="0035036E" w:rsidRPr="0035036E">
        <w:rPr>
          <w:lang w:val="en-GB"/>
        </w:rPr>
        <w:t>,</w:t>
      </w:r>
      <w:r w:rsidR="0035036E">
        <w:rPr>
          <w:lang w:val="en-GB"/>
        </w:rPr>
        <w:t xml:space="preserve"> </w:t>
      </w:r>
      <w:r w:rsidR="0035036E">
        <w:rPr>
          <w:i/>
          <w:iCs/>
          <w:lang w:val="en-GB"/>
        </w:rPr>
        <w:t xml:space="preserve"> </w:t>
      </w:r>
      <m:oMath>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t</m:t>
            </m:r>
          </m:sub>
        </m:sSub>
      </m:oMath>
      <w:r w:rsidR="0035036E">
        <w:rPr>
          <w:i/>
          <w:lang w:val="en-GB"/>
        </w:rPr>
        <w:t xml:space="preserve"> </w:t>
      </w:r>
      <w:r w:rsidR="0035036E">
        <w:rPr>
          <w:lang w:val="en-GB"/>
        </w:rPr>
        <w:t xml:space="preserve">is the feedstock processed the biorefinery at time </w:t>
      </w:r>
      <w:r w:rsidR="0035036E" w:rsidRPr="0035036E">
        <w:rPr>
          <w:i/>
          <w:iCs/>
          <w:lang w:val="en-GB"/>
        </w:rPr>
        <w:t>t</w:t>
      </w:r>
      <w:r w:rsidR="0035036E">
        <w:rPr>
          <w:lang w:val="en-GB"/>
        </w:rPr>
        <w:t xml:space="preserve">, and </w:t>
      </w:r>
      <m:oMath>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t</m:t>
            </m:r>
          </m:sub>
        </m:sSub>
        <m:r>
          <w:rPr>
            <w:rFonts w:ascii="Cambria Math" w:hAnsi="Cambria Math"/>
            <w:lang w:val="en-GB"/>
          </w:rPr>
          <m:t xml:space="preserve"> </m:t>
        </m:r>
      </m:oMath>
      <w:r w:rsidR="00464B41">
        <w:rPr>
          <w:lang w:val="en-GB"/>
        </w:rPr>
        <w:t xml:space="preserve">is the demand for feedstock at time </w:t>
      </w:r>
      <w:r w:rsidR="00464B41" w:rsidRPr="00464B41">
        <w:rPr>
          <w:i/>
          <w:iCs/>
          <w:lang w:val="en-GB"/>
        </w:rPr>
        <w:t>t</w:t>
      </w:r>
      <w:r w:rsidR="00464B41">
        <w:rPr>
          <w:lang w:val="en-GB"/>
        </w:rPr>
        <w:t xml:space="preserve">. Note that the intention of the optimization problem is primarily to demonstrate the </w:t>
      </w:r>
      <w:r w:rsidR="008632E1">
        <w:rPr>
          <w:lang w:val="en-GB"/>
        </w:rPr>
        <w:t xml:space="preserve">implications of the biorefinery selection and not </w:t>
      </w:r>
      <w:r w:rsidR="00107CDA">
        <w:rPr>
          <w:lang w:val="en-GB"/>
        </w:rPr>
        <w:t xml:space="preserve">to </w:t>
      </w:r>
      <w:r w:rsidR="008632E1">
        <w:rPr>
          <w:lang w:val="en-GB"/>
        </w:rPr>
        <w:t>perform economic analysis</w:t>
      </w:r>
      <w:r w:rsidR="00BF515A">
        <w:rPr>
          <w:lang w:val="en-GB"/>
        </w:rPr>
        <w:t xml:space="preserve"> of biofuel production</w:t>
      </w:r>
      <w:r w:rsidR="008632E1">
        <w:rPr>
          <w:lang w:val="en-GB"/>
        </w:rPr>
        <w:t>.</w:t>
      </w:r>
    </w:p>
    <w:p w14:paraId="144DE6A5" w14:textId="0F3A605C" w:rsidR="008D2649" w:rsidRPr="00A94774" w:rsidRDefault="00905C40" w:rsidP="008D2649">
      <w:pPr>
        <w:pStyle w:val="Els-1storder-head"/>
        <w:spacing w:after="120"/>
        <w:rPr>
          <w:lang w:val="en-GB"/>
        </w:rPr>
      </w:pPr>
      <w:r>
        <w:rPr>
          <w:lang w:val="en-GB"/>
        </w:rPr>
        <w:t>Case study</w:t>
      </w:r>
    </w:p>
    <w:p w14:paraId="53C65F09" w14:textId="59BA5CF6" w:rsidR="00911151" w:rsidRPr="00122018" w:rsidRDefault="00F16465" w:rsidP="00C7069C">
      <w:pPr>
        <w:pStyle w:val="Els-body-text"/>
        <w:rPr>
          <w:lang w:val="en-GB"/>
        </w:rPr>
      </w:pPr>
      <w:r>
        <w:rPr>
          <w:lang w:val="en-GB"/>
        </w:rPr>
        <w:t xml:space="preserve">The data and method proposed in this work is </w:t>
      </w:r>
      <w:r w:rsidR="00FE7597">
        <w:rPr>
          <w:lang w:val="en-GB"/>
        </w:rPr>
        <w:t>demonstrated for France</w:t>
      </w:r>
      <w:r w:rsidR="00413967">
        <w:rPr>
          <w:lang w:val="en-GB"/>
        </w:rPr>
        <w:t xml:space="preserve">. </w:t>
      </w:r>
      <w:r w:rsidR="007C743C">
        <w:rPr>
          <w:lang w:val="en-GB"/>
        </w:rPr>
        <w:t>Residues from b</w:t>
      </w:r>
      <w:r w:rsidR="00413967" w:rsidRPr="00413967">
        <w:rPr>
          <w:lang w:val="en-GB"/>
        </w:rPr>
        <w:t>arley, maize, rapeseed, sunflower, and wheat</w:t>
      </w:r>
      <w:r w:rsidR="00413967">
        <w:rPr>
          <w:lang w:val="en-GB"/>
        </w:rPr>
        <w:t xml:space="preserve"> </w:t>
      </w:r>
      <w:r w:rsidR="007C743C">
        <w:rPr>
          <w:lang w:val="en-GB"/>
        </w:rPr>
        <w:t>are considered</w:t>
      </w:r>
      <w:r w:rsidR="00A10BFE">
        <w:rPr>
          <w:lang w:val="en-GB"/>
        </w:rPr>
        <w:t xml:space="preserve"> in this work</w:t>
      </w:r>
      <w:r w:rsidR="007C743C">
        <w:rPr>
          <w:lang w:val="en-GB"/>
        </w:rPr>
        <w:t xml:space="preserve"> as they </w:t>
      </w:r>
      <w:r w:rsidR="00413967">
        <w:rPr>
          <w:lang w:val="en-GB"/>
        </w:rPr>
        <w:t xml:space="preserve">account for about 98% </w:t>
      </w:r>
      <w:r w:rsidR="007C743C">
        <w:rPr>
          <w:lang w:val="en-GB"/>
        </w:rPr>
        <w:t>production in the country.</w:t>
      </w:r>
      <w:r w:rsidR="007B42FA">
        <w:rPr>
          <w:lang w:val="en-GB"/>
        </w:rPr>
        <w:t xml:space="preserve"> </w:t>
      </w:r>
      <w:r w:rsidR="000B4FFC">
        <w:rPr>
          <w:lang w:val="en-GB"/>
        </w:rPr>
        <w:t>Based on the cropping calendars</w:t>
      </w:r>
      <w:r w:rsidR="00B11B7F">
        <w:rPr>
          <w:lang w:val="en-GB"/>
        </w:rPr>
        <w:t xml:space="preserve"> </w:t>
      </w:r>
      <w:sdt>
        <w:sdtPr>
          <w:rPr>
            <w:lang w:val="en-GB"/>
          </w:rPr>
          <w:id w:val="1728334614"/>
          <w:citation/>
        </w:sdtPr>
        <w:sdtEndPr/>
        <w:sdtContent>
          <w:r w:rsidR="00146788">
            <w:rPr>
              <w:lang w:val="en-GB"/>
            </w:rPr>
            <w:fldChar w:fldCharType="begin"/>
          </w:r>
          <w:r w:rsidR="00146788">
            <w:instrText xml:space="preserve"> CITATION USD23 \l 1033 </w:instrText>
          </w:r>
          <w:r w:rsidR="00146788">
            <w:rPr>
              <w:lang w:val="en-GB"/>
            </w:rPr>
            <w:fldChar w:fldCharType="separate"/>
          </w:r>
          <w:r w:rsidR="00146788">
            <w:rPr>
              <w:noProof/>
            </w:rPr>
            <w:t>(U.S. Department of Agriculture, 2023)</w:t>
          </w:r>
          <w:r w:rsidR="00146788">
            <w:rPr>
              <w:lang w:val="en-GB"/>
            </w:rPr>
            <w:fldChar w:fldCharType="end"/>
          </w:r>
        </w:sdtContent>
      </w:sdt>
      <w:r w:rsidR="00146788">
        <w:rPr>
          <w:lang w:val="en-GB"/>
        </w:rPr>
        <w:t>,</w:t>
      </w:r>
      <w:r w:rsidR="000B4FFC">
        <w:rPr>
          <w:lang w:val="en-GB"/>
        </w:rPr>
        <w:t xml:space="preserve"> t</w:t>
      </w:r>
      <w:r w:rsidR="00D22A20">
        <w:rPr>
          <w:lang w:val="en-GB"/>
        </w:rPr>
        <w:t xml:space="preserve">he harvest periods of these crops were </w:t>
      </w:r>
      <w:r w:rsidR="000B4FFC">
        <w:rPr>
          <w:lang w:val="en-GB"/>
        </w:rPr>
        <w:t xml:space="preserve">assumed to </w:t>
      </w:r>
      <w:r w:rsidR="002A1DD1">
        <w:rPr>
          <w:lang w:val="en-GB"/>
        </w:rPr>
        <w:t xml:space="preserve">be </w:t>
      </w:r>
      <w:r w:rsidR="002A1DD1">
        <w:rPr>
          <w:lang w:val="en-GB"/>
        </w:rPr>
        <w:lastRenderedPageBreak/>
        <w:t>as follows: July for wheat, barley and rapeseed, and October for corn and sunflower.</w:t>
      </w:r>
      <w:r w:rsidR="00A14038">
        <w:rPr>
          <w:lang w:val="en-GB"/>
        </w:rPr>
        <w:t xml:space="preserve"> </w:t>
      </w:r>
      <w:r w:rsidR="002729A4">
        <w:rPr>
          <w:lang w:val="en-GB"/>
        </w:rPr>
        <w:t xml:space="preserve">The </w:t>
      </w:r>
      <w:r w:rsidR="00097667">
        <w:rPr>
          <w:lang w:val="en-GB"/>
        </w:rPr>
        <w:t xml:space="preserve">feed </w:t>
      </w:r>
      <w:r w:rsidR="002729A4">
        <w:rPr>
          <w:lang w:val="en-GB"/>
        </w:rPr>
        <w:t xml:space="preserve">requirement </w:t>
      </w:r>
      <w:r w:rsidR="00801269">
        <w:rPr>
          <w:lang w:val="en-GB"/>
        </w:rPr>
        <w:t>at</w:t>
      </w:r>
      <w:r w:rsidR="002729A4">
        <w:rPr>
          <w:lang w:val="en-GB"/>
        </w:rPr>
        <w:t xml:space="preserve"> the biorefinery is assumed to be 160 </w:t>
      </w:r>
      <w:proofErr w:type="spellStart"/>
      <w:r w:rsidR="002729A4">
        <w:rPr>
          <w:lang w:val="en-GB"/>
        </w:rPr>
        <w:t>ktpa</w:t>
      </w:r>
      <w:proofErr w:type="spellEnd"/>
      <w:r w:rsidR="002729A4">
        <w:rPr>
          <w:lang w:val="en-GB"/>
        </w:rPr>
        <w:t xml:space="preserve"> of agricultural residues</w:t>
      </w:r>
      <w:r w:rsidR="006067D6">
        <w:rPr>
          <w:lang w:val="en-GB"/>
        </w:rPr>
        <w:t xml:space="preserve"> with a minimum </w:t>
      </w:r>
      <w:r w:rsidR="00BF11D8">
        <w:rPr>
          <w:lang w:val="en-GB"/>
        </w:rPr>
        <w:t>15 kt feedstock in storage</w:t>
      </w:r>
      <w:r w:rsidR="008334FA">
        <w:rPr>
          <w:lang w:val="en-GB"/>
        </w:rPr>
        <w:t xml:space="preserve"> at any time period</w:t>
      </w:r>
      <w:r w:rsidR="00BF11D8">
        <w:rPr>
          <w:lang w:val="en-GB"/>
        </w:rPr>
        <w:t xml:space="preserve"> and a storage loss of 12% pa. </w:t>
      </w:r>
      <w:r w:rsidR="00211248">
        <w:rPr>
          <w:lang w:val="en-GB"/>
        </w:rPr>
        <w:t>To</w:t>
      </w:r>
      <w:r w:rsidR="00E27697">
        <w:rPr>
          <w:lang w:val="en-GB"/>
        </w:rPr>
        <w:t xml:space="preserve"> provide a comparative </w:t>
      </w:r>
      <w:r w:rsidR="00211248">
        <w:rPr>
          <w:lang w:val="en-GB"/>
        </w:rPr>
        <w:t>study, t</w:t>
      </w:r>
      <w:r w:rsidR="00A14038">
        <w:rPr>
          <w:lang w:val="en-GB"/>
        </w:rPr>
        <w:t xml:space="preserve">wo cases are presented in this work: an annual case </w:t>
      </w:r>
      <w:r w:rsidR="00A003ED">
        <w:rPr>
          <w:lang w:val="en-GB"/>
        </w:rPr>
        <w:t xml:space="preserve">and a seasonal case </w:t>
      </w:r>
      <w:r w:rsidR="00A14038">
        <w:rPr>
          <w:lang w:val="en-GB"/>
        </w:rPr>
        <w:t>where the recommendations are based on the annual</w:t>
      </w:r>
      <w:r w:rsidR="00A003ED">
        <w:rPr>
          <w:lang w:val="en-GB"/>
        </w:rPr>
        <w:t xml:space="preserve"> and seasonal</w:t>
      </w:r>
      <w:r w:rsidR="00A14038">
        <w:rPr>
          <w:lang w:val="en-GB"/>
        </w:rPr>
        <w:t xml:space="preserve"> availability data, </w:t>
      </w:r>
      <w:r w:rsidR="00A003ED">
        <w:rPr>
          <w:lang w:val="en-GB"/>
        </w:rPr>
        <w:t>respectively.</w:t>
      </w:r>
      <w:r w:rsidR="00A95742">
        <w:rPr>
          <w:lang w:val="en-GB"/>
        </w:rPr>
        <w:t xml:space="preserve"> </w:t>
      </w:r>
      <w:r w:rsidR="008D7D13">
        <w:rPr>
          <w:lang w:val="en-GB"/>
        </w:rPr>
        <w:t xml:space="preserve">For the annual case, the point with the highest </w:t>
      </w:r>
      <w:r w:rsidR="00491D58">
        <w:rPr>
          <w:lang w:val="en-GB"/>
        </w:rPr>
        <w:t>biomass available within the collection radius is recommended for setting up the biorefinery.</w:t>
      </w:r>
    </w:p>
    <w:p w14:paraId="144DE6AE" w14:textId="03073C23" w:rsidR="008D2649" w:rsidRPr="00A94774" w:rsidRDefault="00905C40" w:rsidP="008D2649">
      <w:pPr>
        <w:pStyle w:val="Els-1storder-head"/>
        <w:spacing w:after="120"/>
        <w:rPr>
          <w:lang w:val="en-GB"/>
        </w:rPr>
      </w:pPr>
      <w:r>
        <w:rPr>
          <w:lang w:val="en-GB"/>
        </w:rPr>
        <w:t>Results and discussion</w:t>
      </w:r>
    </w:p>
    <w:p w14:paraId="1062822E" w14:textId="211B87D2" w:rsidR="008D4579" w:rsidRPr="00E97FA8" w:rsidRDefault="00583EA5" w:rsidP="00D109E2">
      <w:pPr>
        <w:pStyle w:val="Els-body-text"/>
        <w:rPr>
          <w:lang w:val="en-GB"/>
        </w:rPr>
      </w:pPr>
      <w:r w:rsidRPr="00583EA5">
        <w:rPr>
          <w:lang w:val="en-GB"/>
        </w:rPr>
        <w:t>Fi</w:t>
      </w:r>
      <w:r w:rsidR="00077CE5">
        <w:rPr>
          <w:lang w:val="en-GB"/>
        </w:rPr>
        <w:t>gure</w:t>
      </w:r>
      <w:r w:rsidRPr="00583EA5">
        <w:rPr>
          <w:lang w:val="en-GB"/>
        </w:rPr>
        <w:t xml:space="preserve"> </w:t>
      </w:r>
      <w:r w:rsidR="00A447D3">
        <w:rPr>
          <w:lang w:val="en-GB"/>
        </w:rPr>
        <w:t>3</w:t>
      </w:r>
      <w:r w:rsidR="00286C53">
        <w:rPr>
          <w:lang w:val="en-GB"/>
        </w:rPr>
        <w:t xml:space="preserve"> (a)</w:t>
      </w:r>
      <w:r w:rsidRPr="00583EA5">
        <w:rPr>
          <w:lang w:val="en-GB"/>
        </w:rPr>
        <w:t xml:space="preserve"> represents the feedstock availability heatmap on enforcing a minimum threshold of 160 </w:t>
      </w:r>
      <w:proofErr w:type="spellStart"/>
      <w:r w:rsidRPr="00583EA5">
        <w:rPr>
          <w:lang w:val="en-GB"/>
        </w:rPr>
        <w:t>ktpa</w:t>
      </w:r>
      <w:proofErr w:type="spellEnd"/>
      <w:r w:rsidRPr="00583EA5">
        <w:rPr>
          <w:lang w:val="en-GB"/>
        </w:rPr>
        <w:t xml:space="preserve"> for the annual</w:t>
      </w:r>
      <w:r w:rsidR="00286C53">
        <w:rPr>
          <w:lang w:val="en-GB"/>
        </w:rPr>
        <w:t xml:space="preserve"> case</w:t>
      </w:r>
      <w:r w:rsidRPr="00583EA5">
        <w:rPr>
          <w:lang w:val="en-GB"/>
        </w:rPr>
        <w:t>.</w:t>
      </w:r>
      <w:r w:rsidR="00286C53">
        <w:rPr>
          <w:lang w:val="en-GB"/>
        </w:rPr>
        <w:t xml:space="preserve"> For the seasonal case, t</w:t>
      </w:r>
      <w:r w:rsidR="00FB2F4C">
        <w:rPr>
          <w:lang w:val="en-GB"/>
        </w:rPr>
        <w:t xml:space="preserve">he thresholds were </w:t>
      </w:r>
      <w:r w:rsidR="00286C53">
        <w:rPr>
          <w:lang w:val="en-GB"/>
        </w:rPr>
        <w:t xml:space="preserve">40 kt and 120 kt for July and October, respectively, and the </w:t>
      </w:r>
      <w:r w:rsidR="007E7609">
        <w:rPr>
          <w:lang w:val="en-GB"/>
        </w:rPr>
        <w:t>heatmap is presented in Fi</w:t>
      </w:r>
      <w:r w:rsidR="00690392">
        <w:rPr>
          <w:lang w:val="en-GB"/>
        </w:rPr>
        <w:t>g</w:t>
      </w:r>
      <w:r w:rsidR="004347FA">
        <w:rPr>
          <w:lang w:val="en-GB"/>
        </w:rPr>
        <w:t>ure</w:t>
      </w:r>
      <w:r w:rsidR="007E7609">
        <w:rPr>
          <w:lang w:val="en-GB"/>
        </w:rPr>
        <w:t xml:space="preserve"> </w:t>
      </w:r>
      <w:r w:rsidR="00A447D3">
        <w:rPr>
          <w:lang w:val="en-GB"/>
        </w:rPr>
        <w:t>3</w:t>
      </w:r>
      <w:r w:rsidR="007E7609">
        <w:rPr>
          <w:lang w:val="en-GB"/>
        </w:rPr>
        <w:t xml:space="preserve"> (b)</w:t>
      </w:r>
      <w:r w:rsidR="00286C53">
        <w:rPr>
          <w:lang w:val="en-GB"/>
        </w:rPr>
        <w:t xml:space="preserve">. </w:t>
      </w:r>
      <w:r w:rsidRPr="00583EA5">
        <w:rPr>
          <w:lang w:val="en-GB"/>
        </w:rPr>
        <w:t>For the annual case, the heatmap is primarily spread across a large region in the north</w:t>
      </w:r>
      <w:r>
        <w:rPr>
          <w:lang w:val="en-GB"/>
        </w:rPr>
        <w:t>-</w:t>
      </w:r>
      <w:r w:rsidRPr="00583EA5">
        <w:rPr>
          <w:lang w:val="en-GB"/>
        </w:rPr>
        <w:t>west of France. On the other hand, the hotspot is a relatively small region in the south</w:t>
      </w:r>
      <w:r>
        <w:rPr>
          <w:lang w:val="en-GB"/>
        </w:rPr>
        <w:t>-</w:t>
      </w:r>
      <w:r w:rsidRPr="00583EA5">
        <w:rPr>
          <w:lang w:val="en-GB"/>
        </w:rPr>
        <w:t>west of France for the seasonal case. As a result, the recommended biorefinery location is significantly different for both these cases.</w:t>
      </w:r>
    </w:p>
    <w:p w14:paraId="1CAA440A" w14:textId="26DED027" w:rsidR="00476419" w:rsidRPr="00457C60" w:rsidRDefault="00EB3A0F" w:rsidP="009B788A">
      <w:pPr>
        <w:pStyle w:val="Els-body-text"/>
        <w:rPr>
          <w:lang w:val="en-GB"/>
        </w:rPr>
      </w:pPr>
      <w:r w:rsidRPr="00EB3A0F">
        <w:rPr>
          <w:lang w:val="en-GB"/>
        </w:rPr>
        <w:t xml:space="preserve">The implications of the biorefinery location selection </w:t>
      </w:r>
      <w:r>
        <w:rPr>
          <w:lang w:val="en-GB"/>
        </w:rPr>
        <w:t>are</w:t>
      </w:r>
      <w:r w:rsidRPr="00EB3A0F">
        <w:rPr>
          <w:lang w:val="en-GB"/>
        </w:rPr>
        <w:t xml:space="preserve"> obtained by solving the optimization problem. Fi</w:t>
      </w:r>
      <w:r w:rsidR="006E2182">
        <w:rPr>
          <w:lang w:val="en-GB"/>
        </w:rPr>
        <w:t>gure</w:t>
      </w:r>
      <w:r w:rsidRPr="00EB3A0F">
        <w:rPr>
          <w:lang w:val="en-GB"/>
        </w:rPr>
        <w:t xml:space="preserve"> </w:t>
      </w:r>
      <w:r w:rsidR="007F004D">
        <w:rPr>
          <w:lang w:val="en-GB"/>
        </w:rPr>
        <w:t>4</w:t>
      </w:r>
      <w:r w:rsidRPr="00EB3A0F">
        <w:rPr>
          <w:lang w:val="en-GB"/>
        </w:rPr>
        <w:t xml:space="preserve"> showcases the expected feedstock inventory for both cases. In the annual case, seasonality was not considered, and hence, the biorefinery was located in a region that had very high feedstock availability in Jul</w:t>
      </w:r>
      <w:r w:rsidR="00E90224">
        <w:rPr>
          <w:lang w:val="en-GB"/>
        </w:rPr>
        <w:t>y</w:t>
      </w:r>
      <w:r w:rsidRPr="00EB3A0F">
        <w:rPr>
          <w:lang w:val="en-GB"/>
        </w:rPr>
        <w:t>, but less so in Oct</w:t>
      </w:r>
      <w:r w:rsidR="00E90224">
        <w:rPr>
          <w:lang w:val="en-GB"/>
        </w:rPr>
        <w:t>ober</w:t>
      </w:r>
      <w:r w:rsidRPr="00EB3A0F">
        <w:rPr>
          <w:lang w:val="en-GB"/>
        </w:rPr>
        <w:t>. In order to meet the demand for feedstock throughout the year, the biorefinery would require to procure large quantities of feedstock in the Jul</w:t>
      </w:r>
      <w:r w:rsidR="00BE2B84">
        <w:rPr>
          <w:lang w:val="en-GB"/>
        </w:rPr>
        <w:t>y</w:t>
      </w:r>
      <w:r w:rsidRPr="00EB3A0F">
        <w:rPr>
          <w:lang w:val="en-GB"/>
        </w:rPr>
        <w:t xml:space="preserve"> that would be carried forward throughout the year, resulting in a requirement of inventory of capacity 154 kt, annual average storage of 99 kt of feedstock, and peak procurement of about 135 kt in Jul</w:t>
      </w:r>
      <w:r w:rsidR="00BE2B84">
        <w:rPr>
          <w:lang w:val="en-GB"/>
        </w:rPr>
        <w:t>y</w:t>
      </w:r>
      <w:r w:rsidRPr="00EB3A0F">
        <w:rPr>
          <w:lang w:val="en-GB"/>
        </w:rPr>
        <w:t>. On the other hand, the biorefinery location in the seasonality case is such that it would procure similar quantities of feedstock in both months, with larger procurement in Oct</w:t>
      </w:r>
      <w:r w:rsidR="00BE2B84">
        <w:rPr>
          <w:lang w:val="en-GB"/>
        </w:rPr>
        <w:t>ober</w:t>
      </w:r>
      <w:r w:rsidRPr="00EB3A0F">
        <w:rPr>
          <w:lang w:val="en-GB"/>
        </w:rPr>
        <w:t xml:space="preserve"> to account for monthly production till the next harvest season in Jul</w:t>
      </w:r>
      <w:r w:rsidR="00BE2B84">
        <w:rPr>
          <w:lang w:val="en-GB"/>
        </w:rPr>
        <w:t>y</w:t>
      </w:r>
      <w:r w:rsidRPr="00EB3A0F">
        <w:rPr>
          <w:lang w:val="en-GB"/>
        </w:rPr>
        <w:t>. As a result, the inventory capacity requirement would be 139 kt (9.7% lower), annual average storage would be 79 kt (20% lower), and peak procurement would be around 100 kt in Oct</w:t>
      </w:r>
      <w:r w:rsidR="00BE2B84">
        <w:rPr>
          <w:lang w:val="en-GB"/>
        </w:rPr>
        <w:t>ober</w:t>
      </w:r>
      <w:r w:rsidRPr="00EB3A0F">
        <w:rPr>
          <w:lang w:val="en-GB"/>
        </w:rPr>
        <w:t xml:space="preserve"> (26% lower). Thus, the seasonal case solution would incur lesser inventory CAPEX and</w:t>
      </w:r>
      <w:r w:rsidR="00D109E2">
        <w:rPr>
          <w:lang w:val="en-GB"/>
        </w:rPr>
        <w:t xml:space="preserve"> </w:t>
      </w:r>
      <w:r w:rsidRPr="00EB3A0F">
        <w:rPr>
          <w:lang w:val="en-GB"/>
        </w:rPr>
        <w:t>OPEX, lesser feedstock lost at storage, and easier logistics in terms of peak procurement.</w:t>
      </w:r>
    </w:p>
    <w:p w14:paraId="144DE6B5" w14:textId="0C780694" w:rsidR="008D2649" w:rsidRPr="00A94774" w:rsidRDefault="00905C40" w:rsidP="008D2649">
      <w:pPr>
        <w:pStyle w:val="Els-1storder-head"/>
        <w:spacing w:after="120"/>
        <w:rPr>
          <w:lang w:val="en-GB"/>
        </w:rPr>
      </w:pPr>
      <w:r>
        <w:rPr>
          <w:lang w:val="en-GB"/>
        </w:rPr>
        <w:t>Conclusions</w:t>
      </w:r>
    </w:p>
    <w:p w14:paraId="75AA9051" w14:textId="6811299F" w:rsidR="009B788A" w:rsidRDefault="00DB035F" w:rsidP="009B788A">
      <w:pPr>
        <w:pStyle w:val="Els-body-text"/>
        <w:spacing w:after="120"/>
        <w:rPr>
          <w:lang w:val="en-GB"/>
        </w:rPr>
      </w:pPr>
      <w:r w:rsidRPr="00E97FA8">
        <w:rPr>
          <w:noProof/>
          <w:lang w:val="en-GB"/>
        </w:rPr>
        <w:drawing>
          <wp:anchor distT="0" distB="0" distL="114300" distR="114300" simplePos="0" relativeHeight="251672578" behindDoc="0" locked="0" layoutInCell="1" allowOverlap="1" wp14:anchorId="54442FB8" wp14:editId="395487A1">
            <wp:simplePos x="0" y="0"/>
            <wp:positionH relativeFrom="margin">
              <wp:align>center</wp:align>
            </wp:positionH>
            <wp:positionV relativeFrom="paragraph">
              <wp:posOffset>692378</wp:posOffset>
            </wp:positionV>
            <wp:extent cx="3847465" cy="1543050"/>
            <wp:effectExtent l="0" t="0" r="63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847465" cy="1543050"/>
                    </a:xfrm>
                    <a:prstGeom prst="rect">
                      <a:avLst/>
                    </a:prstGeom>
                    <a:noFill/>
                  </pic:spPr>
                </pic:pic>
              </a:graphicData>
            </a:graphic>
            <wp14:sizeRelH relativeFrom="margin">
              <wp14:pctWidth>0</wp14:pctWidth>
            </wp14:sizeRelH>
            <wp14:sizeRelV relativeFrom="margin">
              <wp14:pctHeight>0</wp14:pctHeight>
            </wp14:sizeRelV>
          </wp:anchor>
        </w:drawing>
      </w:r>
      <w:r w:rsidR="00DB665B" w:rsidRPr="00DB665B">
        <w:rPr>
          <w:lang w:val="en-GB"/>
        </w:rPr>
        <w:t>This work presents a methodology to recommend biorefinery locations considering the</w:t>
      </w:r>
      <w:r w:rsidR="00A447D3">
        <w:rPr>
          <w:lang w:val="en-GB"/>
        </w:rPr>
        <w:t xml:space="preserve"> </w:t>
      </w:r>
      <w:r w:rsidR="00DB665B" w:rsidRPr="00DB665B">
        <w:rPr>
          <w:lang w:val="en-GB"/>
        </w:rPr>
        <w:t xml:space="preserve">regional and temporal variation in agricultural residue availability using publicly available data. </w:t>
      </w:r>
      <w:r w:rsidR="00114370" w:rsidRPr="00DB665B">
        <w:rPr>
          <w:lang w:val="en-GB"/>
        </w:rPr>
        <w:t xml:space="preserve">The 10 m resolution information from EUCROPMAP was aggregated to a courser resolution of 2.56 km to improve tractability of mapping feedstock </w:t>
      </w:r>
      <w:r w:rsidR="00114370">
        <w:rPr>
          <w:lang w:val="en-GB"/>
        </w:rPr>
        <w:t>in</w:t>
      </w:r>
      <w:r w:rsidR="00114370" w:rsidRPr="00DB665B">
        <w:rPr>
          <w:lang w:val="en-GB"/>
        </w:rPr>
        <w:t xml:space="preserve"> the EU. </w:t>
      </w:r>
      <w:r w:rsidR="009B788A">
        <w:rPr>
          <w:lang w:val="en-GB"/>
        </w:rPr>
        <w:br/>
      </w:r>
      <w:r w:rsidR="009B788A" w:rsidRPr="00DB035F">
        <w:rPr>
          <w:b/>
          <w:bCs/>
          <w:lang w:val="en-GB"/>
        </w:rPr>
        <w:lastRenderedPageBreak/>
        <w:t>Fig. 3. Heatmap for regions that meet the threshold on (a) annual and (b) seasonal availability and resulting biorefinery location shown as a white cross</w:t>
      </w:r>
      <w:r w:rsidRPr="00DB035F">
        <w:rPr>
          <w:b/>
          <w:bCs/>
          <w:lang w:val="en-GB"/>
        </w:rPr>
        <w:t>.</w:t>
      </w:r>
    </w:p>
    <w:p w14:paraId="6ED9DAAD" w14:textId="77777777" w:rsidR="009B788A" w:rsidRDefault="009B788A" w:rsidP="009B788A">
      <w:pPr>
        <w:pStyle w:val="Els-body-text"/>
        <w:spacing w:after="120"/>
        <w:rPr>
          <w:lang w:val="en-GB"/>
        </w:rPr>
      </w:pPr>
    </w:p>
    <w:p w14:paraId="2BF91735" w14:textId="6B8AF8D0" w:rsidR="00755C15" w:rsidRPr="00476419" w:rsidRDefault="00755C15" w:rsidP="00755C15">
      <w:pPr>
        <w:pStyle w:val="Els-body-text"/>
        <w:spacing w:after="120"/>
        <w:rPr>
          <w:b/>
          <w:bCs/>
          <w:lang w:val="en-GB"/>
        </w:rPr>
      </w:pPr>
      <w:r w:rsidRPr="00533EC9">
        <w:rPr>
          <w:b/>
          <w:bCs/>
          <w:noProof/>
          <w:lang w:val="en-GB"/>
        </w:rPr>
        <w:drawing>
          <wp:anchor distT="0" distB="0" distL="114300" distR="114300" simplePos="0" relativeHeight="251670530" behindDoc="0" locked="0" layoutInCell="1" allowOverlap="1" wp14:anchorId="0DFC1E4E" wp14:editId="7AE3EF38">
            <wp:simplePos x="0" y="0"/>
            <wp:positionH relativeFrom="margin">
              <wp:align>center</wp:align>
            </wp:positionH>
            <wp:positionV relativeFrom="paragraph">
              <wp:posOffset>33655</wp:posOffset>
            </wp:positionV>
            <wp:extent cx="4154754" cy="16200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154754" cy="1620000"/>
                    </a:xfrm>
                    <a:prstGeom prst="rect">
                      <a:avLst/>
                    </a:prstGeom>
                    <a:noFill/>
                  </pic:spPr>
                </pic:pic>
              </a:graphicData>
            </a:graphic>
            <wp14:sizeRelH relativeFrom="margin">
              <wp14:pctWidth>0</wp14:pctWidth>
            </wp14:sizeRelH>
            <wp14:sizeRelV relativeFrom="margin">
              <wp14:pctHeight>0</wp14:pctHeight>
            </wp14:sizeRelV>
          </wp:anchor>
        </w:drawing>
      </w:r>
      <w:r w:rsidRPr="00533EC9">
        <w:rPr>
          <w:b/>
          <w:bCs/>
          <w:lang w:val="en-GB"/>
        </w:rPr>
        <w:t xml:space="preserve">Fig. 4. Feedstock inventory at biorefinery for (a) </w:t>
      </w:r>
      <w:r>
        <w:rPr>
          <w:b/>
          <w:bCs/>
          <w:lang w:val="en-GB"/>
        </w:rPr>
        <w:t xml:space="preserve">annual </w:t>
      </w:r>
      <w:r w:rsidRPr="00533EC9">
        <w:rPr>
          <w:b/>
          <w:bCs/>
          <w:lang w:val="en-GB"/>
        </w:rPr>
        <w:t xml:space="preserve">and (b) </w:t>
      </w:r>
      <w:r>
        <w:rPr>
          <w:b/>
          <w:bCs/>
          <w:lang w:val="en-GB"/>
        </w:rPr>
        <w:t>seasonal case</w:t>
      </w:r>
      <w:r w:rsidRPr="00533EC9">
        <w:rPr>
          <w:b/>
          <w:bCs/>
          <w:lang w:val="en-GB"/>
        </w:rPr>
        <w:t xml:space="preserve">. Positive bars represent the feed entering (at harvest season), negative bars represent the feed processed at each month, and the </w:t>
      </w:r>
      <w:r>
        <w:rPr>
          <w:b/>
          <w:bCs/>
          <w:lang w:val="en-GB"/>
        </w:rPr>
        <w:t xml:space="preserve">solid </w:t>
      </w:r>
      <w:r w:rsidRPr="00533EC9">
        <w:rPr>
          <w:b/>
          <w:bCs/>
          <w:lang w:val="en-GB"/>
        </w:rPr>
        <w:t xml:space="preserve">line </w:t>
      </w:r>
      <w:r>
        <w:rPr>
          <w:b/>
          <w:bCs/>
          <w:lang w:val="en-GB"/>
        </w:rPr>
        <w:t>is</w:t>
      </w:r>
      <w:r w:rsidRPr="00533EC9">
        <w:rPr>
          <w:b/>
          <w:bCs/>
          <w:lang w:val="en-GB"/>
        </w:rPr>
        <w:t xml:space="preserve"> the </w:t>
      </w:r>
      <w:r>
        <w:rPr>
          <w:b/>
          <w:bCs/>
          <w:lang w:val="en-GB"/>
        </w:rPr>
        <w:t>inventory level.</w:t>
      </w:r>
    </w:p>
    <w:p w14:paraId="25CD24E5" w14:textId="628C0077" w:rsidR="00DF0FF7" w:rsidRPr="00D109E2" w:rsidRDefault="00114370" w:rsidP="000C496A">
      <w:pPr>
        <w:pStyle w:val="Els-body-text"/>
        <w:spacing w:after="120"/>
        <w:rPr>
          <w:lang w:val="en-GB"/>
        </w:rPr>
      </w:pPr>
      <w:r w:rsidRPr="00DB665B">
        <w:rPr>
          <w:lang w:val="en-GB"/>
        </w:rPr>
        <w:t xml:space="preserve">A case study of France is presented considering residues from barley, maize, rapeseed, sunflower, and wheat to provide feedstock for a biorefinery. Two </w:t>
      </w:r>
      <w:r w:rsidR="00DB665B" w:rsidRPr="00DB665B">
        <w:rPr>
          <w:lang w:val="en-GB"/>
        </w:rPr>
        <w:t xml:space="preserve">solutions are presented, using annual and seasonal feedstock availability information. The recommended biorefinery location was observed to be different for both cases, with the annual </w:t>
      </w:r>
      <w:r w:rsidR="000C3089">
        <w:rPr>
          <w:lang w:val="en-GB"/>
        </w:rPr>
        <w:t xml:space="preserve">and seasonal </w:t>
      </w:r>
      <w:r w:rsidR="00DB665B" w:rsidRPr="00DB665B">
        <w:rPr>
          <w:lang w:val="en-GB"/>
        </w:rPr>
        <w:t>case recommending north-west</w:t>
      </w:r>
      <w:r w:rsidR="000C3089">
        <w:rPr>
          <w:lang w:val="en-GB"/>
        </w:rPr>
        <w:t xml:space="preserve"> and south-west</w:t>
      </w:r>
      <w:r w:rsidR="00DB665B" w:rsidRPr="00DB665B">
        <w:rPr>
          <w:lang w:val="en-GB"/>
        </w:rPr>
        <w:t xml:space="preserve"> of France</w:t>
      </w:r>
      <w:r w:rsidR="000C3089">
        <w:rPr>
          <w:lang w:val="en-GB"/>
        </w:rPr>
        <w:t>, respectively</w:t>
      </w:r>
      <w:r w:rsidR="00DB665B" w:rsidRPr="00DB665B">
        <w:rPr>
          <w:lang w:val="en-GB"/>
        </w:rPr>
        <w:t>.</w:t>
      </w:r>
      <w:r w:rsidR="00857999">
        <w:rPr>
          <w:lang w:val="en-GB"/>
        </w:rPr>
        <w:t xml:space="preserve"> T</w:t>
      </w:r>
      <w:r w:rsidR="00DB665B" w:rsidRPr="00DB665B">
        <w:rPr>
          <w:lang w:val="en-GB"/>
        </w:rPr>
        <w:t>he seasonal case was observed to result in a better inventory profile, with 9.7% lower inventory capacity requirement and 20% lower average inventory storage as compared to the annual case. Hence, accounting for seasonality was shown to be critical for agricultural residue-based biofuel production and should be considered while deciding asset locations. The data utilized and the methods presented in this work can be replicated for any other country or combination of countries in the EU. Moreover, for designing a large-scale multi-echelon supply chain, the presented method can be used to locate pre-processing facilities rather than biorefineries</w:t>
      </w:r>
      <w:r w:rsidR="000020F1">
        <w:rPr>
          <w:lang w:val="en-GB"/>
        </w:rPr>
        <w:t>.</w:t>
      </w:r>
    </w:p>
    <w:sdt>
      <w:sdtPr>
        <w:rPr>
          <w:rFonts w:ascii="Times New Roman" w:eastAsia="Times New Roman" w:hAnsi="Times New Roman" w:cs="Times New Roman"/>
          <w:color w:val="auto"/>
          <w:sz w:val="20"/>
          <w:szCs w:val="20"/>
          <w:lang w:val="en-GB"/>
        </w:rPr>
        <w:id w:val="-993725732"/>
        <w:docPartObj>
          <w:docPartGallery w:val="Bibliographies"/>
          <w:docPartUnique/>
        </w:docPartObj>
      </w:sdtPr>
      <w:sdtEndPr>
        <w:rPr>
          <w:sz w:val="18"/>
          <w:szCs w:val="18"/>
        </w:rPr>
      </w:sdtEndPr>
      <w:sdtContent>
        <w:p w14:paraId="490CE803" w14:textId="35719B60" w:rsidR="00B607A9" w:rsidRPr="00B607A9" w:rsidRDefault="00B607A9">
          <w:pPr>
            <w:pStyle w:val="Titolo1"/>
            <w:rPr>
              <w:rFonts w:ascii="Times New Roman" w:eastAsia="Times New Roman" w:hAnsi="Times New Roman" w:cs="Times New Roman"/>
              <w:b/>
              <w:color w:val="auto"/>
              <w:sz w:val="22"/>
              <w:szCs w:val="22"/>
            </w:rPr>
          </w:pPr>
          <w:r w:rsidRPr="00B607A9">
            <w:rPr>
              <w:rFonts w:ascii="Times New Roman" w:eastAsia="Times New Roman" w:hAnsi="Times New Roman" w:cs="Times New Roman"/>
              <w:b/>
              <w:color w:val="auto"/>
              <w:sz w:val="22"/>
              <w:szCs w:val="22"/>
            </w:rPr>
            <w:t>References</w:t>
          </w:r>
        </w:p>
        <w:sdt>
          <w:sdtPr>
            <w:id w:val="-573587230"/>
            <w:bibliography/>
          </w:sdtPr>
          <w:sdtEndPr>
            <w:rPr>
              <w:sz w:val="18"/>
              <w:szCs w:val="18"/>
            </w:rPr>
          </w:sdtEndPr>
          <w:sdtContent>
            <w:p w14:paraId="33CE350D" w14:textId="77777777" w:rsidR="00922244" w:rsidRPr="00922244" w:rsidRDefault="00B607A9" w:rsidP="00AB350C">
              <w:pPr>
                <w:pStyle w:val="Bibliografia"/>
                <w:ind w:left="142" w:hanging="142"/>
                <w:rPr>
                  <w:noProof/>
                  <w:sz w:val="18"/>
                  <w:szCs w:val="18"/>
                </w:rPr>
              </w:pPr>
              <w:r w:rsidRPr="00922244">
                <w:rPr>
                  <w:sz w:val="18"/>
                  <w:szCs w:val="18"/>
                </w:rPr>
                <w:fldChar w:fldCharType="begin"/>
              </w:r>
              <w:r w:rsidRPr="00922244">
                <w:rPr>
                  <w:sz w:val="18"/>
                  <w:szCs w:val="18"/>
                </w:rPr>
                <w:instrText xml:space="preserve"> BIBLIOGRAPHY </w:instrText>
              </w:r>
              <w:r w:rsidRPr="00922244">
                <w:rPr>
                  <w:sz w:val="18"/>
                  <w:szCs w:val="18"/>
                </w:rPr>
                <w:fldChar w:fldCharType="separate"/>
              </w:r>
              <w:r w:rsidR="00922244" w:rsidRPr="00922244">
                <w:rPr>
                  <w:noProof/>
                  <w:sz w:val="18"/>
                  <w:szCs w:val="18"/>
                </w:rPr>
                <w:t xml:space="preserve">Chakraborty, A., Biswal, A., Pandey, V., Shadab, S., Kalyandeep, K., Murthy, C. S., . . . Chowdhury, S. (2022). Developing a spatial information system of biomass potential from crop residues over India: A decision support for planning and establishment of biofuel/biomass power plant. </w:t>
              </w:r>
              <w:r w:rsidR="00922244" w:rsidRPr="00922244">
                <w:rPr>
                  <w:i/>
                  <w:iCs/>
                  <w:noProof/>
                  <w:sz w:val="18"/>
                  <w:szCs w:val="18"/>
                </w:rPr>
                <w:t>Renewable and Sustainable Energy Reviews, 165</w:t>
              </w:r>
              <w:r w:rsidR="00922244" w:rsidRPr="00922244">
                <w:rPr>
                  <w:noProof/>
                  <w:sz w:val="18"/>
                  <w:szCs w:val="18"/>
                </w:rPr>
                <w:t>, 112575.</w:t>
              </w:r>
            </w:p>
            <w:p w14:paraId="08D60B18" w14:textId="77777777" w:rsidR="00922244" w:rsidRPr="00922244" w:rsidRDefault="00922244" w:rsidP="00AB350C">
              <w:pPr>
                <w:pStyle w:val="Bibliografia"/>
                <w:spacing w:before="0"/>
                <w:ind w:left="142" w:hanging="142"/>
                <w:rPr>
                  <w:noProof/>
                  <w:sz w:val="18"/>
                  <w:szCs w:val="18"/>
                </w:rPr>
              </w:pPr>
              <w:r w:rsidRPr="00922244">
                <w:rPr>
                  <w:noProof/>
                  <w:sz w:val="18"/>
                  <w:szCs w:val="18"/>
                </w:rPr>
                <w:t xml:space="preserve">d’Andrimont, R., Verhegghen, A., Lemoine, G., Kempeneers, P., Meroni, M., &amp; Van der Velde, M. (2021). From parcel to continental scale–A first European crop type map based on Sentinel-1 and LUCAS Copernicus in-situ observations. </w:t>
              </w:r>
              <w:r w:rsidRPr="00922244">
                <w:rPr>
                  <w:i/>
                  <w:iCs/>
                  <w:noProof/>
                  <w:sz w:val="18"/>
                  <w:szCs w:val="18"/>
                </w:rPr>
                <w:t>Remote sensing of environment</w:t>
              </w:r>
              <w:r w:rsidRPr="00922244">
                <w:rPr>
                  <w:noProof/>
                  <w:sz w:val="18"/>
                  <w:szCs w:val="18"/>
                </w:rPr>
                <w:t>, 112708.</w:t>
              </w:r>
            </w:p>
            <w:p w14:paraId="16744341" w14:textId="77777777" w:rsidR="00922244" w:rsidRPr="00922244" w:rsidRDefault="00922244" w:rsidP="00AB350C">
              <w:pPr>
                <w:pStyle w:val="Bibliografia"/>
                <w:spacing w:before="0"/>
                <w:ind w:left="142" w:hanging="142"/>
                <w:rPr>
                  <w:noProof/>
                  <w:sz w:val="18"/>
                  <w:szCs w:val="18"/>
                </w:rPr>
              </w:pPr>
              <w:r w:rsidRPr="00906616">
                <w:rPr>
                  <w:noProof/>
                  <w:sz w:val="18"/>
                  <w:szCs w:val="18"/>
                </w:rPr>
                <w:t>FAOSTAT.</w:t>
              </w:r>
              <w:r w:rsidRPr="00922244">
                <w:rPr>
                  <w:noProof/>
                  <w:sz w:val="18"/>
                  <w:szCs w:val="18"/>
                </w:rPr>
                <w:t xml:space="preserve"> (2019). (Food and Agriculture Organization fo the United Nations) Retrieved from https://www.fao.org/faostat/en/#data/QCL</w:t>
              </w:r>
            </w:p>
            <w:p w14:paraId="0544DC8C" w14:textId="77777777" w:rsidR="00922244" w:rsidRPr="00922244" w:rsidRDefault="00922244" w:rsidP="00AB350C">
              <w:pPr>
                <w:pStyle w:val="Bibliografia"/>
                <w:spacing w:before="0"/>
                <w:ind w:left="142" w:hanging="142"/>
                <w:rPr>
                  <w:noProof/>
                  <w:sz w:val="18"/>
                  <w:szCs w:val="18"/>
                </w:rPr>
              </w:pPr>
              <w:r w:rsidRPr="00922244">
                <w:rPr>
                  <w:noProof/>
                  <w:sz w:val="18"/>
                  <w:szCs w:val="18"/>
                </w:rPr>
                <w:t xml:space="preserve">Karan, S. K., &amp; Hamelin, L. (2021). Crop residues may be a key feedstock to bioeconomy but how reliable are current estimation methods? </w:t>
              </w:r>
              <w:r w:rsidRPr="00922244">
                <w:rPr>
                  <w:i/>
                  <w:iCs/>
                  <w:noProof/>
                  <w:sz w:val="18"/>
                  <w:szCs w:val="18"/>
                </w:rPr>
                <w:t>Resources, Conservation and Recycling, 164</w:t>
              </w:r>
              <w:r w:rsidRPr="00922244">
                <w:rPr>
                  <w:noProof/>
                  <w:sz w:val="18"/>
                  <w:szCs w:val="18"/>
                </w:rPr>
                <w:t>, 105211.</w:t>
              </w:r>
            </w:p>
            <w:p w14:paraId="3DCDA8B9" w14:textId="77777777" w:rsidR="00922244" w:rsidRPr="00922244" w:rsidRDefault="00922244" w:rsidP="00AB350C">
              <w:pPr>
                <w:pStyle w:val="Bibliografia"/>
                <w:spacing w:before="0"/>
                <w:ind w:left="142" w:hanging="142"/>
                <w:rPr>
                  <w:noProof/>
                  <w:sz w:val="18"/>
                  <w:szCs w:val="18"/>
                </w:rPr>
              </w:pPr>
              <w:r w:rsidRPr="00922244">
                <w:rPr>
                  <w:noProof/>
                  <w:sz w:val="18"/>
                  <w:szCs w:val="18"/>
                </w:rPr>
                <w:t xml:space="preserve">Monforti, F., Bódis, K., Scarlat, N., &amp; Dallemand, J.-F. (2013). The possible contribution of agricultural crop residues to renewable energy targets in Europe: A spatially explicit study. </w:t>
              </w:r>
              <w:r w:rsidRPr="00922244">
                <w:rPr>
                  <w:i/>
                  <w:iCs/>
                  <w:noProof/>
                  <w:sz w:val="18"/>
                  <w:szCs w:val="18"/>
                </w:rPr>
                <w:t>Renewable and Sustainable Energy Reviews, 19</w:t>
              </w:r>
              <w:r w:rsidRPr="00922244">
                <w:rPr>
                  <w:noProof/>
                  <w:sz w:val="18"/>
                  <w:szCs w:val="18"/>
                </w:rPr>
                <w:t>, 666-677.</w:t>
              </w:r>
            </w:p>
            <w:p w14:paraId="4C20820C" w14:textId="55B46142" w:rsidR="00B607A9" w:rsidRPr="00386BB6" w:rsidRDefault="00922244" w:rsidP="00FC2D12">
              <w:pPr>
                <w:pStyle w:val="Bibliografia"/>
                <w:spacing w:before="0"/>
                <w:ind w:left="142" w:hanging="142"/>
                <w:rPr>
                  <w:sz w:val="18"/>
                  <w:szCs w:val="18"/>
                </w:rPr>
              </w:pPr>
              <w:r w:rsidRPr="00906616">
                <w:rPr>
                  <w:noProof/>
                  <w:sz w:val="18"/>
                  <w:szCs w:val="18"/>
                </w:rPr>
                <w:t>NUTS - GISCO - Eurostat.</w:t>
              </w:r>
              <w:r w:rsidRPr="00922244">
                <w:rPr>
                  <w:noProof/>
                  <w:sz w:val="18"/>
                  <w:szCs w:val="18"/>
                </w:rPr>
                <w:t xml:space="preserve"> (n.d.). (European Commission – Eurostat/GISCO) Retrieved from https://ec.europa.eu/eurostat/web/gisco/geodata/reference-data/administrative-units-statistical-units/nuts</w:t>
              </w:r>
              <w:r w:rsidR="00B607A9" w:rsidRPr="00922244">
                <w:rPr>
                  <w:b/>
                  <w:bCs/>
                  <w:noProof/>
                  <w:sz w:val="18"/>
                  <w:szCs w:val="18"/>
                </w:rPr>
                <w:fldChar w:fldCharType="end"/>
              </w:r>
            </w:p>
          </w:sdtContent>
        </w:sdt>
      </w:sdtContent>
    </w:sdt>
    <w:sectPr w:rsidR="00B607A9" w:rsidRPr="00386BB6" w:rsidSect="008B0184">
      <w:headerReference w:type="even" r:id="rId15"/>
      <w:headerReference w:type="default" r:id="rId16"/>
      <w:headerReference w:type="first" r:id="rId17"/>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3702C" w14:textId="77777777" w:rsidR="0071142C" w:rsidRDefault="0071142C">
      <w:r>
        <w:separator/>
      </w:r>
    </w:p>
  </w:endnote>
  <w:endnote w:type="continuationSeparator" w:id="0">
    <w:p w14:paraId="6D958407" w14:textId="77777777" w:rsidR="0071142C" w:rsidRDefault="0071142C">
      <w:r>
        <w:continuationSeparator/>
      </w:r>
    </w:p>
  </w:endnote>
  <w:endnote w:type="continuationNotice" w:id="1">
    <w:p w14:paraId="6A9A3719" w14:textId="77777777" w:rsidR="0071142C" w:rsidRDefault="00711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3DB2C" w14:textId="77777777" w:rsidR="0071142C" w:rsidRDefault="0071142C">
      <w:r>
        <w:separator/>
      </w:r>
    </w:p>
  </w:footnote>
  <w:footnote w:type="continuationSeparator" w:id="0">
    <w:p w14:paraId="49910589" w14:textId="77777777" w:rsidR="0071142C" w:rsidRDefault="0071142C">
      <w:r>
        <w:continuationSeparator/>
      </w:r>
    </w:p>
  </w:footnote>
  <w:footnote w:type="continuationNotice" w:id="1">
    <w:p w14:paraId="76F97635" w14:textId="77777777" w:rsidR="0071142C" w:rsidRDefault="007114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227938F7" w:rsidR="00DD3D9E" w:rsidRDefault="00DD3D9E">
    <w:pPr>
      <w:pStyle w:val="Intestazione"/>
      <w:tabs>
        <w:tab w:val="clear" w:pos="7200"/>
        <w:tab w:val="right" w:pos="7088"/>
      </w:tabs>
    </w:pPr>
    <w:r>
      <w:rPr>
        <w:rStyle w:val="Numeropagina"/>
      </w:rPr>
      <w:tab/>
    </w:r>
    <w:r>
      <w:rPr>
        <w:rStyle w:val="Numeropagina"/>
        <w:i/>
      </w:rPr>
      <w:tab/>
    </w:r>
    <w:r w:rsidR="00A2119E">
      <w:rPr>
        <w:i/>
      </w:rPr>
      <w:t>V. Punnathanam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495999A9" w:rsidR="00DD3D9E" w:rsidRDefault="008A665B" w:rsidP="008A665B">
    <w:pPr>
      <w:pStyle w:val="Intestazione"/>
      <w:tabs>
        <w:tab w:val="clear" w:pos="7200"/>
        <w:tab w:val="right" w:pos="7088"/>
      </w:tabs>
      <w:rPr>
        <w:sz w:val="24"/>
      </w:rPr>
    </w:pPr>
    <w:r w:rsidRPr="008A665B">
      <w:rPr>
        <w:i/>
      </w:rPr>
      <w:t>Second-generation biorefinery location selection in Europe using satellite data and crop calendars</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86225E9"/>
    <w:multiLevelType w:val="hybridMultilevel"/>
    <w:tmpl w:val="13CE2E70"/>
    <w:lvl w:ilvl="0" w:tplc="04090001">
      <w:start w:val="1"/>
      <w:numFmt w:val="bullet"/>
      <w:lvlText w:val=""/>
      <w:lvlJc w:val="left"/>
      <w:pPr>
        <w:tabs>
          <w:tab w:val="num" w:pos="720"/>
        </w:tabs>
        <w:ind w:left="720" w:hanging="360"/>
      </w:pPr>
      <w:rPr>
        <w:rFonts w:ascii="Symbol" w:hAnsi="Symbol" w:hint="default"/>
      </w:rPr>
    </w:lvl>
    <w:lvl w:ilvl="1" w:tplc="78BEA254">
      <w:start w:val="1"/>
      <w:numFmt w:val="bullet"/>
      <w:lvlText w:val=""/>
      <w:lvlJc w:val="left"/>
      <w:pPr>
        <w:tabs>
          <w:tab w:val="num" w:pos="1440"/>
        </w:tabs>
        <w:ind w:left="1440" w:hanging="360"/>
      </w:pPr>
      <w:rPr>
        <w:rFonts w:ascii="Wingdings" w:hAnsi="Wingdings" w:hint="default"/>
      </w:rPr>
    </w:lvl>
    <w:lvl w:ilvl="2" w:tplc="1CECE0FC" w:tentative="1">
      <w:start w:val="1"/>
      <w:numFmt w:val="bullet"/>
      <w:lvlText w:val=""/>
      <w:lvlJc w:val="left"/>
      <w:pPr>
        <w:tabs>
          <w:tab w:val="num" w:pos="2160"/>
        </w:tabs>
        <w:ind w:left="2160" w:hanging="360"/>
      </w:pPr>
      <w:rPr>
        <w:rFonts w:ascii="Wingdings" w:hAnsi="Wingdings" w:hint="default"/>
      </w:rPr>
    </w:lvl>
    <w:lvl w:ilvl="3" w:tplc="CC568C64" w:tentative="1">
      <w:start w:val="1"/>
      <w:numFmt w:val="bullet"/>
      <w:lvlText w:val=""/>
      <w:lvlJc w:val="left"/>
      <w:pPr>
        <w:tabs>
          <w:tab w:val="num" w:pos="2880"/>
        </w:tabs>
        <w:ind w:left="2880" w:hanging="360"/>
      </w:pPr>
      <w:rPr>
        <w:rFonts w:ascii="Wingdings" w:hAnsi="Wingdings" w:hint="default"/>
      </w:rPr>
    </w:lvl>
    <w:lvl w:ilvl="4" w:tplc="681C5AE6" w:tentative="1">
      <w:start w:val="1"/>
      <w:numFmt w:val="bullet"/>
      <w:lvlText w:val=""/>
      <w:lvlJc w:val="left"/>
      <w:pPr>
        <w:tabs>
          <w:tab w:val="num" w:pos="3600"/>
        </w:tabs>
        <w:ind w:left="3600" w:hanging="360"/>
      </w:pPr>
      <w:rPr>
        <w:rFonts w:ascii="Wingdings" w:hAnsi="Wingdings" w:hint="default"/>
      </w:rPr>
    </w:lvl>
    <w:lvl w:ilvl="5" w:tplc="8C0C44C8" w:tentative="1">
      <w:start w:val="1"/>
      <w:numFmt w:val="bullet"/>
      <w:lvlText w:val=""/>
      <w:lvlJc w:val="left"/>
      <w:pPr>
        <w:tabs>
          <w:tab w:val="num" w:pos="4320"/>
        </w:tabs>
        <w:ind w:left="4320" w:hanging="360"/>
      </w:pPr>
      <w:rPr>
        <w:rFonts w:ascii="Wingdings" w:hAnsi="Wingdings" w:hint="default"/>
      </w:rPr>
    </w:lvl>
    <w:lvl w:ilvl="6" w:tplc="0F4E92FA" w:tentative="1">
      <w:start w:val="1"/>
      <w:numFmt w:val="bullet"/>
      <w:lvlText w:val=""/>
      <w:lvlJc w:val="left"/>
      <w:pPr>
        <w:tabs>
          <w:tab w:val="num" w:pos="5040"/>
        </w:tabs>
        <w:ind w:left="5040" w:hanging="360"/>
      </w:pPr>
      <w:rPr>
        <w:rFonts w:ascii="Wingdings" w:hAnsi="Wingdings" w:hint="default"/>
      </w:rPr>
    </w:lvl>
    <w:lvl w:ilvl="7" w:tplc="F5AEBD0A" w:tentative="1">
      <w:start w:val="1"/>
      <w:numFmt w:val="bullet"/>
      <w:lvlText w:val=""/>
      <w:lvlJc w:val="left"/>
      <w:pPr>
        <w:tabs>
          <w:tab w:val="num" w:pos="5760"/>
        </w:tabs>
        <w:ind w:left="5760" w:hanging="360"/>
      </w:pPr>
      <w:rPr>
        <w:rFonts w:ascii="Wingdings" w:hAnsi="Wingdings" w:hint="default"/>
      </w:rPr>
    </w:lvl>
    <w:lvl w:ilvl="8" w:tplc="AA6C5AA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2"/>
  </w:num>
  <w:num w:numId="3">
    <w:abstractNumId w:val="12"/>
  </w:num>
  <w:num w:numId="4">
    <w:abstractNumId w:val="12"/>
  </w:num>
  <w:num w:numId="5">
    <w:abstractNumId w:val="0"/>
  </w:num>
  <w:num w:numId="6">
    <w:abstractNumId w:val="7"/>
  </w:num>
  <w:num w:numId="7">
    <w:abstractNumId w:val="13"/>
  </w:num>
  <w:num w:numId="8">
    <w:abstractNumId w:val="2"/>
  </w:num>
  <w:num w:numId="9">
    <w:abstractNumId w:val="11"/>
  </w:num>
  <w:num w:numId="10">
    <w:abstractNumId w:val="15"/>
  </w:num>
  <w:num w:numId="11">
    <w:abstractNumId w:val="14"/>
  </w:num>
  <w:num w:numId="12">
    <w:abstractNumId w:val="6"/>
  </w:num>
  <w:num w:numId="13">
    <w:abstractNumId w:val="9"/>
  </w:num>
  <w:num w:numId="14">
    <w:abstractNumId w:val="3"/>
  </w:num>
  <w:num w:numId="15">
    <w:abstractNumId w:val="8"/>
  </w:num>
  <w:num w:numId="16">
    <w:abstractNumId w:val="4"/>
  </w:num>
  <w:num w:numId="17">
    <w:abstractNumId w:val="5"/>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156F"/>
    <w:rsid w:val="000020F1"/>
    <w:rsid w:val="000140C7"/>
    <w:rsid w:val="00026748"/>
    <w:rsid w:val="0003077A"/>
    <w:rsid w:val="00042DDC"/>
    <w:rsid w:val="00046813"/>
    <w:rsid w:val="00050EE9"/>
    <w:rsid w:val="00056029"/>
    <w:rsid w:val="0005733C"/>
    <w:rsid w:val="000662BA"/>
    <w:rsid w:val="00067DC0"/>
    <w:rsid w:val="00067DDE"/>
    <w:rsid w:val="00070FD3"/>
    <w:rsid w:val="000734E8"/>
    <w:rsid w:val="00077CE5"/>
    <w:rsid w:val="000858E5"/>
    <w:rsid w:val="00085E37"/>
    <w:rsid w:val="000865BF"/>
    <w:rsid w:val="000954B6"/>
    <w:rsid w:val="00095DED"/>
    <w:rsid w:val="00097667"/>
    <w:rsid w:val="000B17FD"/>
    <w:rsid w:val="000B4FFC"/>
    <w:rsid w:val="000B6A9C"/>
    <w:rsid w:val="000B7FFB"/>
    <w:rsid w:val="000C149A"/>
    <w:rsid w:val="000C2AB3"/>
    <w:rsid w:val="000C3089"/>
    <w:rsid w:val="000C3ACC"/>
    <w:rsid w:val="000C4766"/>
    <w:rsid w:val="000C496A"/>
    <w:rsid w:val="000C49DE"/>
    <w:rsid w:val="000C6B6F"/>
    <w:rsid w:val="000D1C7F"/>
    <w:rsid w:val="000D3D9B"/>
    <w:rsid w:val="000D53CE"/>
    <w:rsid w:val="000E0C78"/>
    <w:rsid w:val="000E3897"/>
    <w:rsid w:val="000E477A"/>
    <w:rsid w:val="000E6D86"/>
    <w:rsid w:val="000F00C5"/>
    <w:rsid w:val="000F3C9B"/>
    <w:rsid w:val="000F4DC6"/>
    <w:rsid w:val="0010137E"/>
    <w:rsid w:val="0010616B"/>
    <w:rsid w:val="00107CDA"/>
    <w:rsid w:val="0011097B"/>
    <w:rsid w:val="00114370"/>
    <w:rsid w:val="00115C51"/>
    <w:rsid w:val="00122018"/>
    <w:rsid w:val="001242D6"/>
    <w:rsid w:val="00124A84"/>
    <w:rsid w:val="001261A0"/>
    <w:rsid w:val="00126986"/>
    <w:rsid w:val="0013211F"/>
    <w:rsid w:val="001349A6"/>
    <w:rsid w:val="001408F1"/>
    <w:rsid w:val="00141F5A"/>
    <w:rsid w:val="00142478"/>
    <w:rsid w:val="00146788"/>
    <w:rsid w:val="00150B79"/>
    <w:rsid w:val="001578AD"/>
    <w:rsid w:val="0016032F"/>
    <w:rsid w:val="00164207"/>
    <w:rsid w:val="00170276"/>
    <w:rsid w:val="00170446"/>
    <w:rsid w:val="00172E73"/>
    <w:rsid w:val="00174DEB"/>
    <w:rsid w:val="00176F67"/>
    <w:rsid w:val="00181887"/>
    <w:rsid w:val="00181CAB"/>
    <w:rsid w:val="00182805"/>
    <w:rsid w:val="001879F6"/>
    <w:rsid w:val="00196518"/>
    <w:rsid w:val="00196E5D"/>
    <w:rsid w:val="001973AE"/>
    <w:rsid w:val="001B0291"/>
    <w:rsid w:val="001B0A4F"/>
    <w:rsid w:val="001B0E15"/>
    <w:rsid w:val="001B2C93"/>
    <w:rsid w:val="001B74F7"/>
    <w:rsid w:val="001C0148"/>
    <w:rsid w:val="001C3332"/>
    <w:rsid w:val="001C36C9"/>
    <w:rsid w:val="001C757E"/>
    <w:rsid w:val="001D145F"/>
    <w:rsid w:val="001D1D37"/>
    <w:rsid w:val="001D436E"/>
    <w:rsid w:val="001E1829"/>
    <w:rsid w:val="001F083D"/>
    <w:rsid w:val="002003E9"/>
    <w:rsid w:val="00200878"/>
    <w:rsid w:val="00200B9F"/>
    <w:rsid w:val="00202D44"/>
    <w:rsid w:val="0020390F"/>
    <w:rsid w:val="00203CA6"/>
    <w:rsid w:val="002060A1"/>
    <w:rsid w:val="00211248"/>
    <w:rsid w:val="00212C65"/>
    <w:rsid w:val="00212F60"/>
    <w:rsid w:val="00214B5A"/>
    <w:rsid w:val="00221B45"/>
    <w:rsid w:val="00222409"/>
    <w:rsid w:val="00222F09"/>
    <w:rsid w:val="002270C3"/>
    <w:rsid w:val="0023134B"/>
    <w:rsid w:val="002325D7"/>
    <w:rsid w:val="00240EE6"/>
    <w:rsid w:val="00242469"/>
    <w:rsid w:val="002450F6"/>
    <w:rsid w:val="00247698"/>
    <w:rsid w:val="0025117A"/>
    <w:rsid w:val="00251BF1"/>
    <w:rsid w:val="00264926"/>
    <w:rsid w:val="002662CF"/>
    <w:rsid w:val="00271A1C"/>
    <w:rsid w:val="002721AF"/>
    <w:rsid w:val="002729A4"/>
    <w:rsid w:val="00277F4E"/>
    <w:rsid w:val="00280903"/>
    <w:rsid w:val="00283287"/>
    <w:rsid w:val="00285BC9"/>
    <w:rsid w:val="002862D2"/>
    <w:rsid w:val="00286C53"/>
    <w:rsid w:val="0029022D"/>
    <w:rsid w:val="002922E0"/>
    <w:rsid w:val="00296D39"/>
    <w:rsid w:val="002A1DD1"/>
    <w:rsid w:val="002A2664"/>
    <w:rsid w:val="002A2D0A"/>
    <w:rsid w:val="002B020E"/>
    <w:rsid w:val="002B1C37"/>
    <w:rsid w:val="002B7791"/>
    <w:rsid w:val="002B7DAF"/>
    <w:rsid w:val="002C1466"/>
    <w:rsid w:val="002C2CD4"/>
    <w:rsid w:val="002D26F8"/>
    <w:rsid w:val="002D4B1A"/>
    <w:rsid w:val="002D5537"/>
    <w:rsid w:val="002D5538"/>
    <w:rsid w:val="002D68FD"/>
    <w:rsid w:val="002D7498"/>
    <w:rsid w:val="002D794C"/>
    <w:rsid w:val="002E2F1B"/>
    <w:rsid w:val="002E7D35"/>
    <w:rsid w:val="002F1D75"/>
    <w:rsid w:val="003010FC"/>
    <w:rsid w:val="003020E6"/>
    <w:rsid w:val="003061E8"/>
    <w:rsid w:val="00307119"/>
    <w:rsid w:val="00312E86"/>
    <w:rsid w:val="00314084"/>
    <w:rsid w:val="003140AD"/>
    <w:rsid w:val="003142F2"/>
    <w:rsid w:val="0032192E"/>
    <w:rsid w:val="00325F5D"/>
    <w:rsid w:val="00326EF7"/>
    <w:rsid w:val="0033169C"/>
    <w:rsid w:val="00335C3E"/>
    <w:rsid w:val="00335EF9"/>
    <w:rsid w:val="00343EC2"/>
    <w:rsid w:val="00347D86"/>
    <w:rsid w:val="0035036E"/>
    <w:rsid w:val="003503B5"/>
    <w:rsid w:val="0035290A"/>
    <w:rsid w:val="00353661"/>
    <w:rsid w:val="003555FB"/>
    <w:rsid w:val="003561E6"/>
    <w:rsid w:val="0036354B"/>
    <w:rsid w:val="00371D21"/>
    <w:rsid w:val="00373D2D"/>
    <w:rsid w:val="00380D4F"/>
    <w:rsid w:val="00381100"/>
    <w:rsid w:val="00386BB6"/>
    <w:rsid w:val="003929DF"/>
    <w:rsid w:val="003A1A98"/>
    <w:rsid w:val="003B16B9"/>
    <w:rsid w:val="003B3A9D"/>
    <w:rsid w:val="003C17EC"/>
    <w:rsid w:val="003C6758"/>
    <w:rsid w:val="003C6871"/>
    <w:rsid w:val="003D0C6C"/>
    <w:rsid w:val="003D1366"/>
    <w:rsid w:val="003D1582"/>
    <w:rsid w:val="003D193A"/>
    <w:rsid w:val="003D1EF6"/>
    <w:rsid w:val="003D4815"/>
    <w:rsid w:val="003D7E4C"/>
    <w:rsid w:val="003E0118"/>
    <w:rsid w:val="003E41C2"/>
    <w:rsid w:val="003E73ED"/>
    <w:rsid w:val="003F3059"/>
    <w:rsid w:val="003F5ECA"/>
    <w:rsid w:val="004017CB"/>
    <w:rsid w:val="00402262"/>
    <w:rsid w:val="0040434D"/>
    <w:rsid w:val="00404835"/>
    <w:rsid w:val="004069C4"/>
    <w:rsid w:val="00411085"/>
    <w:rsid w:val="00413967"/>
    <w:rsid w:val="00416EE5"/>
    <w:rsid w:val="0042321D"/>
    <w:rsid w:val="004234C7"/>
    <w:rsid w:val="00430983"/>
    <w:rsid w:val="004312F3"/>
    <w:rsid w:val="004347FA"/>
    <w:rsid w:val="00442C01"/>
    <w:rsid w:val="0044326C"/>
    <w:rsid w:val="00447EC9"/>
    <w:rsid w:val="00451D23"/>
    <w:rsid w:val="00452092"/>
    <w:rsid w:val="00456B10"/>
    <w:rsid w:val="00457692"/>
    <w:rsid w:val="00457B60"/>
    <w:rsid w:val="00460E00"/>
    <w:rsid w:val="00461064"/>
    <w:rsid w:val="00462ABA"/>
    <w:rsid w:val="00464B41"/>
    <w:rsid w:val="00474422"/>
    <w:rsid w:val="00476419"/>
    <w:rsid w:val="00491D58"/>
    <w:rsid w:val="0049772C"/>
    <w:rsid w:val="00497BD9"/>
    <w:rsid w:val="004A6304"/>
    <w:rsid w:val="004B0D34"/>
    <w:rsid w:val="004B15EC"/>
    <w:rsid w:val="004B273C"/>
    <w:rsid w:val="004C1525"/>
    <w:rsid w:val="004C49F0"/>
    <w:rsid w:val="004C4DC2"/>
    <w:rsid w:val="004D77D3"/>
    <w:rsid w:val="004E5D30"/>
    <w:rsid w:val="004F2716"/>
    <w:rsid w:val="004F5E0E"/>
    <w:rsid w:val="0050114B"/>
    <w:rsid w:val="00511307"/>
    <w:rsid w:val="00521645"/>
    <w:rsid w:val="005235BD"/>
    <w:rsid w:val="00523AB6"/>
    <w:rsid w:val="00531273"/>
    <w:rsid w:val="00532B41"/>
    <w:rsid w:val="00533EC9"/>
    <w:rsid w:val="00537057"/>
    <w:rsid w:val="0054752E"/>
    <w:rsid w:val="005475DA"/>
    <w:rsid w:val="00552EEB"/>
    <w:rsid w:val="00565FEC"/>
    <w:rsid w:val="005664B2"/>
    <w:rsid w:val="005721E7"/>
    <w:rsid w:val="00572491"/>
    <w:rsid w:val="0057378D"/>
    <w:rsid w:val="00575747"/>
    <w:rsid w:val="005801F9"/>
    <w:rsid w:val="00583EA5"/>
    <w:rsid w:val="00586DE3"/>
    <w:rsid w:val="005874DC"/>
    <w:rsid w:val="00592B76"/>
    <w:rsid w:val="00593238"/>
    <w:rsid w:val="005955DE"/>
    <w:rsid w:val="005A05D5"/>
    <w:rsid w:val="005A1444"/>
    <w:rsid w:val="005A4A59"/>
    <w:rsid w:val="005A53BA"/>
    <w:rsid w:val="005A651C"/>
    <w:rsid w:val="005B1B15"/>
    <w:rsid w:val="005B2E01"/>
    <w:rsid w:val="005C393F"/>
    <w:rsid w:val="005C4A0D"/>
    <w:rsid w:val="005C5268"/>
    <w:rsid w:val="005D3379"/>
    <w:rsid w:val="005D3A4C"/>
    <w:rsid w:val="005E2F15"/>
    <w:rsid w:val="005F0C05"/>
    <w:rsid w:val="005F1A14"/>
    <w:rsid w:val="005F1CBF"/>
    <w:rsid w:val="005F4E52"/>
    <w:rsid w:val="005F4FD7"/>
    <w:rsid w:val="006027B4"/>
    <w:rsid w:val="0060281C"/>
    <w:rsid w:val="00603400"/>
    <w:rsid w:val="00603642"/>
    <w:rsid w:val="00603854"/>
    <w:rsid w:val="00603F7D"/>
    <w:rsid w:val="006067D6"/>
    <w:rsid w:val="00610677"/>
    <w:rsid w:val="006125B5"/>
    <w:rsid w:val="00620542"/>
    <w:rsid w:val="00621C1E"/>
    <w:rsid w:val="00630F1D"/>
    <w:rsid w:val="006313E8"/>
    <w:rsid w:val="00631F63"/>
    <w:rsid w:val="00634325"/>
    <w:rsid w:val="00634D4C"/>
    <w:rsid w:val="00634FEC"/>
    <w:rsid w:val="0063512B"/>
    <w:rsid w:val="00640D57"/>
    <w:rsid w:val="00643956"/>
    <w:rsid w:val="0065310C"/>
    <w:rsid w:val="006556F7"/>
    <w:rsid w:val="006618E2"/>
    <w:rsid w:val="006644D0"/>
    <w:rsid w:val="00673E1C"/>
    <w:rsid w:val="00674CB3"/>
    <w:rsid w:val="00680CBD"/>
    <w:rsid w:val="006823F2"/>
    <w:rsid w:val="0068251E"/>
    <w:rsid w:val="0068475A"/>
    <w:rsid w:val="00686187"/>
    <w:rsid w:val="00690392"/>
    <w:rsid w:val="0069206D"/>
    <w:rsid w:val="00695102"/>
    <w:rsid w:val="0069613F"/>
    <w:rsid w:val="006967EB"/>
    <w:rsid w:val="006A045A"/>
    <w:rsid w:val="006A066D"/>
    <w:rsid w:val="006A2072"/>
    <w:rsid w:val="006A240A"/>
    <w:rsid w:val="006A69BF"/>
    <w:rsid w:val="006B1928"/>
    <w:rsid w:val="006B2643"/>
    <w:rsid w:val="006B3638"/>
    <w:rsid w:val="006D3251"/>
    <w:rsid w:val="006D5F19"/>
    <w:rsid w:val="006D6E99"/>
    <w:rsid w:val="006D7361"/>
    <w:rsid w:val="006E1823"/>
    <w:rsid w:val="006E2179"/>
    <w:rsid w:val="006E2182"/>
    <w:rsid w:val="006E6375"/>
    <w:rsid w:val="006F5AFA"/>
    <w:rsid w:val="006F5CB7"/>
    <w:rsid w:val="00702BEE"/>
    <w:rsid w:val="00706209"/>
    <w:rsid w:val="0070680A"/>
    <w:rsid w:val="00707235"/>
    <w:rsid w:val="007110DC"/>
    <w:rsid w:val="0071142C"/>
    <w:rsid w:val="00711DF4"/>
    <w:rsid w:val="00711E8C"/>
    <w:rsid w:val="00716F84"/>
    <w:rsid w:val="00726B95"/>
    <w:rsid w:val="00727B53"/>
    <w:rsid w:val="00730B2E"/>
    <w:rsid w:val="00730F52"/>
    <w:rsid w:val="007346A8"/>
    <w:rsid w:val="00742F7E"/>
    <w:rsid w:val="00744E24"/>
    <w:rsid w:val="00745E2E"/>
    <w:rsid w:val="00747378"/>
    <w:rsid w:val="00752003"/>
    <w:rsid w:val="00752665"/>
    <w:rsid w:val="00755C15"/>
    <w:rsid w:val="0075616C"/>
    <w:rsid w:val="00764221"/>
    <w:rsid w:val="00766239"/>
    <w:rsid w:val="0076659C"/>
    <w:rsid w:val="007708D5"/>
    <w:rsid w:val="00771871"/>
    <w:rsid w:val="00772CF9"/>
    <w:rsid w:val="007733E3"/>
    <w:rsid w:val="0077451D"/>
    <w:rsid w:val="00775CBF"/>
    <w:rsid w:val="00775F08"/>
    <w:rsid w:val="00787A36"/>
    <w:rsid w:val="007907D6"/>
    <w:rsid w:val="00790BFD"/>
    <w:rsid w:val="00794E0A"/>
    <w:rsid w:val="0079509A"/>
    <w:rsid w:val="00795256"/>
    <w:rsid w:val="00795371"/>
    <w:rsid w:val="00795E55"/>
    <w:rsid w:val="007A0FBE"/>
    <w:rsid w:val="007B081E"/>
    <w:rsid w:val="007B154C"/>
    <w:rsid w:val="007B22BE"/>
    <w:rsid w:val="007B42FA"/>
    <w:rsid w:val="007B56EC"/>
    <w:rsid w:val="007C743C"/>
    <w:rsid w:val="007D70A1"/>
    <w:rsid w:val="007E4987"/>
    <w:rsid w:val="007E7609"/>
    <w:rsid w:val="007F004D"/>
    <w:rsid w:val="007F2A70"/>
    <w:rsid w:val="007F2F43"/>
    <w:rsid w:val="00801269"/>
    <w:rsid w:val="008013EF"/>
    <w:rsid w:val="008074F3"/>
    <w:rsid w:val="0081241E"/>
    <w:rsid w:val="008124AA"/>
    <w:rsid w:val="00812D91"/>
    <w:rsid w:val="008132E8"/>
    <w:rsid w:val="00813F1C"/>
    <w:rsid w:val="0082192C"/>
    <w:rsid w:val="00823407"/>
    <w:rsid w:val="00827303"/>
    <w:rsid w:val="008334FA"/>
    <w:rsid w:val="00835A59"/>
    <w:rsid w:val="00835F5F"/>
    <w:rsid w:val="00837F5A"/>
    <w:rsid w:val="00840E7E"/>
    <w:rsid w:val="00843B74"/>
    <w:rsid w:val="00846DBF"/>
    <w:rsid w:val="00850E69"/>
    <w:rsid w:val="00851183"/>
    <w:rsid w:val="008515CE"/>
    <w:rsid w:val="00851CCB"/>
    <w:rsid w:val="00854FE7"/>
    <w:rsid w:val="008568F9"/>
    <w:rsid w:val="00857999"/>
    <w:rsid w:val="008629E9"/>
    <w:rsid w:val="008632E1"/>
    <w:rsid w:val="00866719"/>
    <w:rsid w:val="008711C7"/>
    <w:rsid w:val="00880269"/>
    <w:rsid w:val="00882A2C"/>
    <w:rsid w:val="00890EF3"/>
    <w:rsid w:val="0089478B"/>
    <w:rsid w:val="00895DDA"/>
    <w:rsid w:val="00896683"/>
    <w:rsid w:val="00897986"/>
    <w:rsid w:val="008A0EDA"/>
    <w:rsid w:val="008A2865"/>
    <w:rsid w:val="008A2CAF"/>
    <w:rsid w:val="008A2F49"/>
    <w:rsid w:val="008A38F7"/>
    <w:rsid w:val="008A42E2"/>
    <w:rsid w:val="008A665B"/>
    <w:rsid w:val="008A6713"/>
    <w:rsid w:val="008B0184"/>
    <w:rsid w:val="008C5858"/>
    <w:rsid w:val="008C5D02"/>
    <w:rsid w:val="008D007E"/>
    <w:rsid w:val="008D088D"/>
    <w:rsid w:val="008D0D9F"/>
    <w:rsid w:val="008D2649"/>
    <w:rsid w:val="008D4579"/>
    <w:rsid w:val="008D577B"/>
    <w:rsid w:val="008D64CC"/>
    <w:rsid w:val="008D7D13"/>
    <w:rsid w:val="008E0675"/>
    <w:rsid w:val="008F0BF4"/>
    <w:rsid w:val="008F6925"/>
    <w:rsid w:val="008F7A11"/>
    <w:rsid w:val="00902309"/>
    <w:rsid w:val="00904588"/>
    <w:rsid w:val="00904D6F"/>
    <w:rsid w:val="0090568D"/>
    <w:rsid w:val="00905B95"/>
    <w:rsid w:val="00905C40"/>
    <w:rsid w:val="00906616"/>
    <w:rsid w:val="00911151"/>
    <w:rsid w:val="009125C9"/>
    <w:rsid w:val="00913879"/>
    <w:rsid w:val="00913F85"/>
    <w:rsid w:val="0091657F"/>
    <w:rsid w:val="00917661"/>
    <w:rsid w:val="00922244"/>
    <w:rsid w:val="00927342"/>
    <w:rsid w:val="00927921"/>
    <w:rsid w:val="00927D43"/>
    <w:rsid w:val="00930DDE"/>
    <w:rsid w:val="00931241"/>
    <w:rsid w:val="00931961"/>
    <w:rsid w:val="0093198E"/>
    <w:rsid w:val="0093311A"/>
    <w:rsid w:val="0093598D"/>
    <w:rsid w:val="00937202"/>
    <w:rsid w:val="00937989"/>
    <w:rsid w:val="0094198F"/>
    <w:rsid w:val="00943E22"/>
    <w:rsid w:val="00955765"/>
    <w:rsid w:val="00957762"/>
    <w:rsid w:val="009619E5"/>
    <w:rsid w:val="00967F6D"/>
    <w:rsid w:val="0097084A"/>
    <w:rsid w:val="00970E5D"/>
    <w:rsid w:val="00971DEF"/>
    <w:rsid w:val="009748F9"/>
    <w:rsid w:val="0097701C"/>
    <w:rsid w:val="00980660"/>
    <w:rsid w:val="00980A65"/>
    <w:rsid w:val="00983998"/>
    <w:rsid w:val="009849F1"/>
    <w:rsid w:val="00987603"/>
    <w:rsid w:val="00990916"/>
    <w:rsid w:val="00993FF0"/>
    <w:rsid w:val="00995951"/>
    <w:rsid w:val="00996194"/>
    <w:rsid w:val="009A0655"/>
    <w:rsid w:val="009A089C"/>
    <w:rsid w:val="009B1076"/>
    <w:rsid w:val="009B44F2"/>
    <w:rsid w:val="009B788A"/>
    <w:rsid w:val="009C41AA"/>
    <w:rsid w:val="009C61E6"/>
    <w:rsid w:val="009D43EB"/>
    <w:rsid w:val="009E53DF"/>
    <w:rsid w:val="009F22C3"/>
    <w:rsid w:val="009F3435"/>
    <w:rsid w:val="00A003ED"/>
    <w:rsid w:val="00A00EDC"/>
    <w:rsid w:val="00A10BFE"/>
    <w:rsid w:val="00A111DC"/>
    <w:rsid w:val="00A14038"/>
    <w:rsid w:val="00A15739"/>
    <w:rsid w:val="00A2119E"/>
    <w:rsid w:val="00A232E6"/>
    <w:rsid w:val="00A24188"/>
    <w:rsid w:val="00A25E70"/>
    <w:rsid w:val="00A33765"/>
    <w:rsid w:val="00A33B82"/>
    <w:rsid w:val="00A357B3"/>
    <w:rsid w:val="00A35A24"/>
    <w:rsid w:val="00A363D3"/>
    <w:rsid w:val="00A36963"/>
    <w:rsid w:val="00A37A27"/>
    <w:rsid w:val="00A41CFC"/>
    <w:rsid w:val="00A4438B"/>
    <w:rsid w:val="00A4447E"/>
    <w:rsid w:val="00A447D3"/>
    <w:rsid w:val="00A453EA"/>
    <w:rsid w:val="00A45793"/>
    <w:rsid w:val="00A50388"/>
    <w:rsid w:val="00A557CC"/>
    <w:rsid w:val="00A56A0F"/>
    <w:rsid w:val="00A578AF"/>
    <w:rsid w:val="00A616D4"/>
    <w:rsid w:val="00A63269"/>
    <w:rsid w:val="00A64121"/>
    <w:rsid w:val="00A6516F"/>
    <w:rsid w:val="00A752D3"/>
    <w:rsid w:val="00A81440"/>
    <w:rsid w:val="00A8254D"/>
    <w:rsid w:val="00A838CF"/>
    <w:rsid w:val="00A8397A"/>
    <w:rsid w:val="00A84113"/>
    <w:rsid w:val="00A85626"/>
    <w:rsid w:val="00A866E9"/>
    <w:rsid w:val="00A87FE8"/>
    <w:rsid w:val="00A903D6"/>
    <w:rsid w:val="00A911F7"/>
    <w:rsid w:val="00A92377"/>
    <w:rsid w:val="00A9436F"/>
    <w:rsid w:val="00A95742"/>
    <w:rsid w:val="00A97362"/>
    <w:rsid w:val="00AA01F0"/>
    <w:rsid w:val="00AA2A44"/>
    <w:rsid w:val="00AA5140"/>
    <w:rsid w:val="00AA59DD"/>
    <w:rsid w:val="00AB29ED"/>
    <w:rsid w:val="00AB350C"/>
    <w:rsid w:val="00AB41B5"/>
    <w:rsid w:val="00AB7E39"/>
    <w:rsid w:val="00AC0593"/>
    <w:rsid w:val="00AC50D5"/>
    <w:rsid w:val="00AD5F57"/>
    <w:rsid w:val="00AE18D9"/>
    <w:rsid w:val="00AE4BD8"/>
    <w:rsid w:val="00AE4E6D"/>
    <w:rsid w:val="00AE7111"/>
    <w:rsid w:val="00AF29E9"/>
    <w:rsid w:val="00B04DBD"/>
    <w:rsid w:val="00B05F60"/>
    <w:rsid w:val="00B0633B"/>
    <w:rsid w:val="00B06D86"/>
    <w:rsid w:val="00B11717"/>
    <w:rsid w:val="00B11B7F"/>
    <w:rsid w:val="00B149D0"/>
    <w:rsid w:val="00B201D0"/>
    <w:rsid w:val="00B270B5"/>
    <w:rsid w:val="00B41B3B"/>
    <w:rsid w:val="00B4388F"/>
    <w:rsid w:val="00B4392E"/>
    <w:rsid w:val="00B45F97"/>
    <w:rsid w:val="00B52C65"/>
    <w:rsid w:val="00B54152"/>
    <w:rsid w:val="00B607A9"/>
    <w:rsid w:val="00B610A2"/>
    <w:rsid w:val="00B63237"/>
    <w:rsid w:val="00B6483B"/>
    <w:rsid w:val="00B83B4F"/>
    <w:rsid w:val="00B8792F"/>
    <w:rsid w:val="00B90835"/>
    <w:rsid w:val="00B94916"/>
    <w:rsid w:val="00B97BDB"/>
    <w:rsid w:val="00BA0E5B"/>
    <w:rsid w:val="00BA0F28"/>
    <w:rsid w:val="00BA1BBC"/>
    <w:rsid w:val="00BA410D"/>
    <w:rsid w:val="00BC1272"/>
    <w:rsid w:val="00BC1C39"/>
    <w:rsid w:val="00BC4EE6"/>
    <w:rsid w:val="00BC562D"/>
    <w:rsid w:val="00BC567B"/>
    <w:rsid w:val="00BD452B"/>
    <w:rsid w:val="00BE15B6"/>
    <w:rsid w:val="00BE2B84"/>
    <w:rsid w:val="00BE5145"/>
    <w:rsid w:val="00BE5AA1"/>
    <w:rsid w:val="00BE6D1A"/>
    <w:rsid w:val="00BE7A10"/>
    <w:rsid w:val="00BF083D"/>
    <w:rsid w:val="00BF11D8"/>
    <w:rsid w:val="00BF28E2"/>
    <w:rsid w:val="00BF515A"/>
    <w:rsid w:val="00C13BDC"/>
    <w:rsid w:val="00C16CD0"/>
    <w:rsid w:val="00C20592"/>
    <w:rsid w:val="00C32536"/>
    <w:rsid w:val="00C37348"/>
    <w:rsid w:val="00C44813"/>
    <w:rsid w:val="00C51D92"/>
    <w:rsid w:val="00C602F5"/>
    <w:rsid w:val="00C615DD"/>
    <w:rsid w:val="00C62DFD"/>
    <w:rsid w:val="00C7069C"/>
    <w:rsid w:val="00C71540"/>
    <w:rsid w:val="00C730A6"/>
    <w:rsid w:val="00C80695"/>
    <w:rsid w:val="00C80B24"/>
    <w:rsid w:val="00C81727"/>
    <w:rsid w:val="00C82F04"/>
    <w:rsid w:val="00C83A94"/>
    <w:rsid w:val="00C85C3F"/>
    <w:rsid w:val="00C86E4D"/>
    <w:rsid w:val="00C877EA"/>
    <w:rsid w:val="00C8784C"/>
    <w:rsid w:val="00C92F55"/>
    <w:rsid w:val="00C95542"/>
    <w:rsid w:val="00C960DC"/>
    <w:rsid w:val="00CA0945"/>
    <w:rsid w:val="00CA14DC"/>
    <w:rsid w:val="00CA3D8A"/>
    <w:rsid w:val="00CB054B"/>
    <w:rsid w:val="00CB617E"/>
    <w:rsid w:val="00CC2C94"/>
    <w:rsid w:val="00CD0D2D"/>
    <w:rsid w:val="00CE3F5F"/>
    <w:rsid w:val="00CE5355"/>
    <w:rsid w:val="00CE5581"/>
    <w:rsid w:val="00CE6300"/>
    <w:rsid w:val="00CE77C6"/>
    <w:rsid w:val="00CE7A55"/>
    <w:rsid w:val="00CE7CA0"/>
    <w:rsid w:val="00CF2FF6"/>
    <w:rsid w:val="00CF6BAA"/>
    <w:rsid w:val="00CF7E50"/>
    <w:rsid w:val="00D00A4F"/>
    <w:rsid w:val="00D02C75"/>
    <w:rsid w:val="00D03C4A"/>
    <w:rsid w:val="00D109E2"/>
    <w:rsid w:val="00D10E22"/>
    <w:rsid w:val="00D13D2C"/>
    <w:rsid w:val="00D22A20"/>
    <w:rsid w:val="00D22FBD"/>
    <w:rsid w:val="00D24E69"/>
    <w:rsid w:val="00D265EB"/>
    <w:rsid w:val="00D3246E"/>
    <w:rsid w:val="00D33785"/>
    <w:rsid w:val="00D35A16"/>
    <w:rsid w:val="00D43269"/>
    <w:rsid w:val="00D46A7B"/>
    <w:rsid w:val="00D5002A"/>
    <w:rsid w:val="00D54ACF"/>
    <w:rsid w:val="00D57652"/>
    <w:rsid w:val="00D604A4"/>
    <w:rsid w:val="00D61E59"/>
    <w:rsid w:val="00D6490B"/>
    <w:rsid w:val="00D65501"/>
    <w:rsid w:val="00D7173C"/>
    <w:rsid w:val="00D72F21"/>
    <w:rsid w:val="00D804E6"/>
    <w:rsid w:val="00D82E07"/>
    <w:rsid w:val="00D872DF"/>
    <w:rsid w:val="00D91B1D"/>
    <w:rsid w:val="00D929CC"/>
    <w:rsid w:val="00D92E80"/>
    <w:rsid w:val="00D934BD"/>
    <w:rsid w:val="00D96AA7"/>
    <w:rsid w:val="00D96BD9"/>
    <w:rsid w:val="00DA08FB"/>
    <w:rsid w:val="00DA31F6"/>
    <w:rsid w:val="00DA3F91"/>
    <w:rsid w:val="00DA7A55"/>
    <w:rsid w:val="00DB035F"/>
    <w:rsid w:val="00DB47AD"/>
    <w:rsid w:val="00DB665B"/>
    <w:rsid w:val="00DC2F94"/>
    <w:rsid w:val="00DC5170"/>
    <w:rsid w:val="00DC5CCC"/>
    <w:rsid w:val="00DC658A"/>
    <w:rsid w:val="00DC7C5E"/>
    <w:rsid w:val="00DD20CD"/>
    <w:rsid w:val="00DD3D9E"/>
    <w:rsid w:val="00DD6382"/>
    <w:rsid w:val="00DD6936"/>
    <w:rsid w:val="00DD7908"/>
    <w:rsid w:val="00DE28CE"/>
    <w:rsid w:val="00DE2D81"/>
    <w:rsid w:val="00DE3108"/>
    <w:rsid w:val="00DE6ED0"/>
    <w:rsid w:val="00DE788A"/>
    <w:rsid w:val="00DF0A94"/>
    <w:rsid w:val="00DF0FF7"/>
    <w:rsid w:val="00E00332"/>
    <w:rsid w:val="00E03F28"/>
    <w:rsid w:val="00E10DF7"/>
    <w:rsid w:val="00E20A10"/>
    <w:rsid w:val="00E21743"/>
    <w:rsid w:val="00E26B3B"/>
    <w:rsid w:val="00E27416"/>
    <w:rsid w:val="00E27697"/>
    <w:rsid w:val="00E31EA3"/>
    <w:rsid w:val="00E35672"/>
    <w:rsid w:val="00E35DCD"/>
    <w:rsid w:val="00E45758"/>
    <w:rsid w:val="00E51621"/>
    <w:rsid w:val="00E612EE"/>
    <w:rsid w:val="00E65C16"/>
    <w:rsid w:val="00E67BDA"/>
    <w:rsid w:val="00E713D3"/>
    <w:rsid w:val="00E727AC"/>
    <w:rsid w:val="00E72C24"/>
    <w:rsid w:val="00E73283"/>
    <w:rsid w:val="00E74964"/>
    <w:rsid w:val="00E76A8C"/>
    <w:rsid w:val="00E82297"/>
    <w:rsid w:val="00E82618"/>
    <w:rsid w:val="00E849F6"/>
    <w:rsid w:val="00E90224"/>
    <w:rsid w:val="00E90D81"/>
    <w:rsid w:val="00E93E92"/>
    <w:rsid w:val="00E97FA8"/>
    <w:rsid w:val="00EA70EB"/>
    <w:rsid w:val="00EB3A0F"/>
    <w:rsid w:val="00EC0DA6"/>
    <w:rsid w:val="00EC2A0B"/>
    <w:rsid w:val="00EC4B8B"/>
    <w:rsid w:val="00EC6FB0"/>
    <w:rsid w:val="00ED15EA"/>
    <w:rsid w:val="00ED568C"/>
    <w:rsid w:val="00ED5F65"/>
    <w:rsid w:val="00EE5A2A"/>
    <w:rsid w:val="00EF115D"/>
    <w:rsid w:val="00EF1A46"/>
    <w:rsid w:val="00EF39FD"/>
    <w:rsid w:val="00EF3FE5"/>
    <w:rsid w:val="00F005F0"/>
    <w:rsid w:val="00F06842"/>
    <w:rsid w:val="00F07C6D"/>
    <w:rsid w:val="00F107FD"/>
    <w:rsid w:val="00F11A0F"/>
    <w:rsid w:val="00F13284"/>
    <w:rsid w:val="00F136C1"/>
    <w:rsid w:val="00F16465"/>
    <w:rsid w:val="00F2595B"/>
    <w:rsid w:val="00F272C3"/>
    <w:rsid w:val="00F30351"/>
    <w:rsid w:val="00F32CF8"/>
    <w:rsid w:val="00F3530F"/>
    <w:rsid w:val="00F4327F"/>
    <w:rsid w:val="00F435EB"/>
    <w:rsid w:val="00F45459"/>
    <w:rsid w:val="00F5330B"/>
    <w:rsid w:val="00F60F79"/>
    <w:rsid w:val="00F66F65"/>
    <w:rsid w:val="00F74B8E"/>
    <w:rsid w:val="00F773EB"/>
    <w:rsid w:val="00F77717"/>
    <w:rsid w:val="00F8002B"/>
    <w:rsid w:val="00F82231"/>
    <w:rsid w:val="00F84004"/>
    <w:rsid w:val="00F94BC7"/>
    <w:rsid w:val="00FA236F"/>
    <w:rsid w:val="00FA28C5"/>
    <w:rsid w:val="00FB10E3"/>
    <w:rsid w:val="00FB2F4C"/>
    <w:rsid w:val="00FB4FF4"/>
    <w:rsid w:val="00FB64A8"/>
    <w:rsid w:val="00FB73A2"/>
    <w:rsid w:val="00FC12E0"/>
    <w:rsid w:val="00FC2D12"/>
    <w:rsid w:val="00FC714F"/>
    <w:rsid w:val="00FE65CA"/>
    <w:rsid w:val="00FE759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2ABB6D6-6410-45EF-892A-039DFCB5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pacing w:before="120"/>
        <w:jc w:val="both"/>
      </w:pPr>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1">
    <w:name w:val="heading 1"/>
    <w:basedOn w:val="Normale"/>
    <w:next w:val="Normale"/>
    <w:link w:val="Titolo1Carattere"/>
    <w:uiPriority w:val="9"/>
    <w:qFormat/>
    <w:rsid w:val="00B607A9"/>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after="120"/>
    </w:pPr>
    <w:rPr>
      <w:noProof/>
      <w:lang w:val="en-GB"/>
    </w:rPr>
  </w:style>
  <w:style w:type="paragraph" w:customStyle="1" w:styleId="Els-equation">
    <w:name w:val="Els-equation"/>
    <w:basedOn w:val="Els-body-text"/>
    <w:next w:val="Els-body-text"/>
    <w:rsid w:val="008B0184"/>
    <w:pPr>
      <w:tabs>
        <w:tab w:val="right" w:pos="7088"/>
      </w:tabs>
      <w:spacing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paragraph" w:styleId="NormaleWeb">
    <w:name w:val="Normal (Web)"/>
    <w:basedOn w:val="Normale"/>
    <w:uiPriority w:val="99"/>
    <w:unhideWhenUsed/>
    <w:rsid w:val="00D03C4A"/>
    <w:pPr>
      <w:spacing w:before="100" w:beforeAutospacing="1" w:after="100" w:afterAutospacing="1"/>
    </w:pPr>
    <w:rPr>
      <w:sz w:val="24"/>
      <w:szCs w:val="24"/>
      <w:lang w:val="en-US"/>
    </w:rPr>
  </w:style>
  <w:style w:type="table" w:styleId="Grigliatabella">
    <w:name w:val="Table Grid"/>
    <w:basedOn w:val="Tabellanormale"/>
    <w:rsid w:val="00C86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C3ACC"/>
    <w:rPr>
      <w:lang w:eastAsia="en-US"/>
    </w:rPr>
  </w:style>
  <w:style w:type="character" w:styleId="Testosegnaposto">
    <w:name w:val="Placeholder Text"/>
    <w:basedOn w:val="Carpredefinitoparagrafo"/>
    <w:uiPriority w:val="99"/>
    <w:semiHidden/>
    <w:rsid w:val="00A578AF"/>
    <w:rPr>
      <w:color w:val="808080"/>
    </w:rPr>
  </w:style>
  <w:style w:type="character" w:customStyle="1" w:styleId="Titolo1Carattere">
    <w:name w:val="Titolo 1 Carattere"/>
    <w:basedOn w:val="Carpredefinitoparagrafo"/>
    <w:link w:val="Titolo1"/>
    <w:uiPriority w:val="9"/>
    <w:rsid w:val="00B607A9"/>
    <w:rPr>
      <w:rFonts w:asciiTheme="majorHAnsi" w:eastAsiaTheme="majorEastAsia" w:hAnsiTheme="majorHAnsi" w:cstheme="majorBidi"/>
      <w:color w:val="365F91" w:themeColor="accent1" w:themeShade="BF"/>
      <w:sz w:val="32"/>
      <w:szCs w:val="32"/>
      <w:lang w:val="en-US" w:eastAsia="en-US"/>
    </w:rPr>
  </w:style>
  <w:style w:type="paragraph" w:styleId="Bibliografia">
    <w:name w:val="Bibliography"/>
    <w:basedOn w:val="Normale"/>
    <w:next w:val="Normale"/>
    <w:uiPriority w:val="37"/>
    <w:unhideWhenUsed/>
    <w:rsid w:val="00B60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680">
      <w:bodyDiv w:val="1"/>
      <w:marLeft w:val="0"/>
      <w:marRight w:val="0"/>
      <w:marTop w:val="0"/>
      <w:marBottom w:val="0"/>
      <w:divBdr>
        <w:top w:val="none" w:sz="0" w:space="0" w:color="auto"/>
        <w:left w:val="none" w:sz="0" w:space="0" w:color="auto"/>
        <w:bottom w:val="none" w:sz="0" w:space="0" w:color="auto"/>
        <w:right w:val="none" w:sz="0" w:space="0" w:color="auto"/>
      </w:divBdr>
    </w:div>
    <w:div w:id="47461982">
      <w:bodyDiv w:val="1"/>
      <w:marLeft w:val="0"/>
      <w:marRight w:val="0"/>
      <w:marTop w:val="0"/>
      <w:marBottom w:val="0"/>
      <w:divBdr>
        <w:top w:val="none" w:sz="0" w:space="0" w:color="auto"/>
        <w:left w:val="none" w:sz="0" w:space="0" w:color="auto"/>
        <w:bottom w:val="none" w:sz="0" w:space="0" w:color="auto"/>
        <w:right w:val="none" w:sz="0" w:space="0" w:color="auto"/>
      </w:divBdr>
    </w:div>
    <w:div w:id="153106420">
      <w:bodyDiv w:val="1"/>
      <w:marLeft w:val="0"/>
      <w:marRight w:val="0"/>
      <w:marTop w:val="0"/>
      <w:marBottom w:val="0"/>
      <w:divBdr>
        <w:top w:val="none" w:sz="0" w:space="0" w:color="auto"/>
        <w:left w:val="none" w:sz="0" w:space="0" w:color="auto"/>
        <w:bottom w:val="none" w:sz="0" w:space="0" w:color="auto"/>
        <w:right w:val="none" w:sz="0" w:space="0" w:color="auto"/>
      </w:divBdr>
    </w:div>
    <w:div w:id="236136250">
      <w:bodyDiv w:val="1"/>
      <w:marLeft w:val="0"/>
      <w:marRight w:val="0"/>
      <w:marTop w:val="0"/>
      <w:marBottom w:val="0"/>
      <w:divBdr>
        <w:top w:val="none" w:sz="0" w:space="0" w:color="auto"/>
        <w:left w:val="none" w:sz="0" w:space="0" w:color="auto"/>
        <w:bottom w:val="none" w:sz="0" w:space="0" w:color="auto"/>
        <w:right w:val="none" w:sz="0" w:space="0" w:color="auto"/>
      </w:divBdr>
    </w:div>
    <w:div w:id="262615724">
      <w:bodyDiv w:val="1"/>
      <w:marLeft w:val="0"/>
      <w:marRight w:val="0"/>
      <w:marTop w:val="0"/>
      <w:marBottom w:val="0"/>
      <w:divBdr>
        <w:top w:val="none" w:sz="0" w:space="0" w:color="auto"/>
        <w:left w:val="none" w:sz="0" w:space="0" w:color="auto"/>
        <w:bottom w:val="none" w:sz="0" w:space="0" w:color="auto"/>
        <w:right w:val="none" w:sz="0" w:space="0" w:color="auto"/>
      </w:divBdr>
      <w:divsChild>
        <w:div w:id="750353277">
          <w:marLeft w:val="1166"/>
          <w:marRight w:val="0"/>
          <w:marTop w:val="0"/>
          <w:marBottom w:val="0"/>
          <w:divBdr>
            <w:top w:val="none" w:sz="0" w:space="0" w:color="auto"/>
            <w:left w:val="none" w:sz="0" w:space="0" w:color="auto"/>
            <w:bottom w:val="none" w:sz="0" w:space="0" w:color="auto"/>
            <w:right w:val="none" w:sz="0" w:space="0" w:color="auto"/>
          </w:divBdr>
        </w:div>
        <w:div w:id="1597403806">
          <w:marLeft w:val="1166"/>
          <w:marRight w:val="0"/>
          <w:marTop w:val="0"/>
          <w:marBottom w:val="0"/>
          <w:divBdr>
            <w:top w:val="none" w:sz="0" w:space="0" w:color="auto"/>
            <w:left w:val="none" w:sz="0" w:space="0" w:color="auto"/>
            <w:bottom w:val="none" w:sz="0" w:space="0" w:color="auto"/>
            <w:right w:val="none" w:sz="0" w:space="0" w:color="auto"/>
          </w:divBdr>
        </w:div>
        <w:div w:id="546725753">
          <w:marLeft w:val="1166"/>
          <w:marRight w:val="0"/>
          <w:marTop w:val="0"/>
          <w:marBottom w:val="0"/>
          <w:divBdr>
            <w:top w:val="none" w:sz="0" w:space="0" w:color="auto"/>
            <w:left w:val="none" w:sz="0" w:space="0" w:color="auto"/>
            <w:bottom w:val="none" w:sz="0" w:space="0" w:color="auto"/>
            <w:right w:val="none" w:sz="0" w:space="0" w:color="auto"/>
          </w:divBdr>
        </w:div>
        <w:div w:id="1663317049">
          <w:marLeft w:val="1166"/>
          <w:marRight w:val="0"/>
          <w:marTop w:val="0"/>
          <w:marBottom w:val="0"/>
          <w:divBdr>
            <w:top w:val="none" w:sz="0" w:space="0" w:color="auto"/>
            <w:left w:val="none" w:sz="0" w:space="0" w:color="auto"/>
            <w:bottom w:val="none" w:sz="0" w:space="0" w:color="auto"/>
            <w:right w:val="none" w:sz="0" w:space="0" w:color="auto"/>
          </w:divBdr>
        </w:div>
      </w:divsChild>
    </w:div>
    <w:div w:id="284780229">
      <w:bodyDiv w:val="1"/>
      <w:marLeft w:val="0"/>
      <w:marRight w:val="0"/>
      <w:marTop w:val="0"/>
      <w:marBottom w:val="0"/>
      <w:divBdr>
        <w:top w:val="none" w:sz="0" w:space="0" w:color="auto"/>
        <w:left w:val="none" w:sz="0" w:space="0" w:color="auto"/>
        <w:bottom w:val="none" w:sz="0" w:space="0" w:color="auto"/>
        <w:right w:val="none" w:sz="0" w:space="0" w:color="auto"/>
      </w:divBdr>
    </w:div>
    <w:div w:id="354768764">
      <w:bodyDiv w:val="1"/>
      <w:marLeft w:val="0"/>
      <w:marRight w:val="0"/>
      <w:marTop w:val="0"/>
      <w:marBottom w:val="0"/>
      <w:divBdr>
        <w:top w:val="none" w:sz="0" w:space="0" w:color="auto"/>
        <w:left w:val="none" w:sz="0" w:space="0" w:color="auto"/>
        <w:bottom w:val="none" w:sz="0" w:space="0" w:color="auto"/>
        <w:right w:val="none" w:sz="0" w:space="0" w:color="auto"/>
      </w:divBdr>
    </w:div>
    <w:div w:id="359598359">
      <w:bodyDiv w:val="1"/>
      <w:marLeft w:val="0"/>
      <w:marRight w:val="0"/>
      <w:marTop w:val="0"/>
      <w:marBottom w:val="0"/>
      <w:divBdr>
        <w:top w:val="none" w:sz="0" w:space="0" w:color="auto"/>
        <w:left w:val="none" w:sz="0" w:space="0" w:color="auto"/>
        <w:bottom w:val="none" w:sz="0" w:space="0" w:color="auto"/>
        <w:right w:val="none" w:sz="0" w:space="0" w:color="auto"/>
      </w:divBdr>
    </w:div>
    <w:div w:id="394931089">
      <w:bodyDiv w:val="1"/>
      <w:marLeft w:val="0"/>
      <w:marRight w:val="0"/>
      <w:marTop w:val="0"/>
      <w:marBottom w:val="0"/>
      <w:divBdr>
        <w:top w:val="none" w:sz="0" w:space="0" w:color="auto"/>
        <w:left w:val="none" w:sz="0" w:space="0" w:color="auto"/>
        <w:bottom w:val="none" w:sz="0" w:space="0" w:color="auto"/>
        <w:right w:val="none" w:sz="0" w:space="0" w:color="auto"/>
      </w:divBdr>
    </w:div>
    <w:div w:id="418723724">
      <w:bodyDiv w:val="1"/>
      <w:marLeft w:val="0"/>
      <w:marRight w:val="0"/>
      <w:marTop w:val="0"/>
      <w:marBottom w:val="0"/>
      <w:divBdr>
        <w:top w:val="none" w:sz="0" w:space="0" w:color="auto"/>
        <w:left w:val="none" w:sz="0" w:space="0" w:color="auto"/>
        <w:bottom w:val="none" w:sz="0" w:space="0" w:color="auto"/>
        <w:right w:val="none" w:sz="0" w:space="0" w:color="auto"/>
      </w:divBdr>
    </w:div>
    <w:div w:id="456072740">
      <w:bodyDiv w:val="1"/>
      <w:marLeft w:val="0"/>
      <w:marRight w:val="0"/>
      <w:marTop w:val="0"/>
      <w:marBottom w:val="0"/>
      <w:divBdr>
        <w:top w:val="none" w:sz="0" w:space="0" w:color="auto"/>
        <w:left w:val="none" w:sz="0" w:space="0" w:color="auto"/>
        <w:bottom w:val="none" w:sz="0" w:space="0" w:color="auto"/>
        <w:right w:val="none" w:sz="0" w:space="0" w:color="auto"/>
      </w:divBdr>
    </w:div>
    <w:div w:id="492333459">
      <w:bodyDiv w:val="1"/>
      <w:marLeft w:val="0"/>
      <w:marRight w:val="0"/>
      <w:marTop w:val="0"/>
      <w:marBottom w:val="0"/>
      <w:divBdr>
        <w:top w:val="none" w:sz="0" w:space="0" w:color="auto"/>
        <w:left w:val="none" w:sz="0" w:space="0" w:color="auto"/>
        <w:bottom w:val="none" w:sz="0" w:space="0" w:color="auto"/>
        <w:right w:val="none" w:sz="0" w:space="0" w:color="auto"/>
      </w:divBdr>
    </w:div>
    <w:div w:id="494031150">
      <w:bodyDiv w:val="1"/>
      <w:marLeft w:val="0"/>
      <w:marRight w:val="0"/>
      <w:marTop w:val="0"/>
      <w:marBottom w:val="0"/>
      <w:divBdr>
        <w:top w:val="none" w:sz="0" w:space="0" w:color="auto"/>
        <w:left w:val="none" w:sz="0" w:space="0" w:color="auto"/>
        <w:bottom w:val="none" w:sz="0" w:space="0" w:color="auto"/>
        <w:right w:val="none" w:sz="0" w:space="0" w:color="auto"/>
      </w:divBdr>
    </w:div>
    <w:div w:id="555121190">
      <w:bodyDiv w:val="1"/>
      <w:marLeft w:val="0"/>
      <w:marRight w:val="0"/>
      <w:marTop w:val="0"/>
      <w:marBottom w:val="0"/>
      <w:divBdr>
        <w:top w:val="none" w:sz="0" w:space="0" w:color="auto"/>
        <w:left w:val="none" w:sz="0" w:space="0" w:color="auto"/>
        <w:bottom w:val="none" w:sz="0" w:space="0" w:color="auto"/>
        <w:right w:val="none" w:sz="0" w:space="0" w:color="auto"/>
      </w:divBdr>
    </w:div>
    <w:div w:id="605118249">
      <w:bodyDiv w:val="1"/>
      <w:marLeft w:val="0"/>
      <w:marRight w:val="0"/>
      <w:marTop w:val="0"/>
      <w:marBottom w:val="0"/>
      <w:divBdr>
        <w:top w:val="none" w:sz="0" w:space="0" w:color="auto"/>
        <w:left w:val="none" w:sz="0" w:space="0" w:color="auto"/>
        <w:bottom w:val="none" w:sz="0" w:space="0" w:color="auto"/>
        <w:right w:val="none" w:sz="0" w:space="0" w:color="auto"/>
      </w:divBdr>
    </w:div>
    <w:div w:id="765728591">
      <w:bodyDiv w:val="1"/>
      <w:marLeft w:val="0"/>
      <w:marRight w:val="0"/>
      <w:marTop w:val="0"/>
      <w:marBottom w:val="0"/>
      <w:divBdr>
        <w:top w:val="none" w:sz="0" w:space="0" w:color="auto"/>
        <w:left w:val="none" w:sz="0" w:space="0" w:color="auto"/>
        <w:bottom w:val="none" w:sz="0" w:space="0" w:color="auto"/>
        <w:right w:val="none" w:sz="0" w:space="0" w:color="auto"/>
      </w:divBdr>
    </w:div>
    <w:div w:id="803235611">
      <w:bodyDiv w:val="1"/>
      <w:marLeft w:val="0"/>
      <w:marRight w:val="0"/>
      <w:marTop w:val="0"/>
      <w:marBottom w:val="0"/>
      <w:divBdr>
        <w:top w:val="none" w:sz="0" w:space="0" w:color="auto"/>
        <w:left w:val="none" w:sz="0" w:space="0" w:color="auto"/>
        <w:bottom w:val="none" w:sz="0" w:space="0" w:color="auto"/>
        <w:right w:val="none" w:sz="0" w:space="0" w:color="auto"/>
      </w:divBdr>
    </w:div>
    <w:div w:id="809248482">
      <w:bodyDiv w:val="1"/>
      <w:marLeft w:val="0"/>
      <w:marRight w:val="0"/>
      <w:marTop w:val="0"/>
      <w:marBottom w:val="0"/>
      <w:divBdr>
        <w:top w:val="none" w:sz="0" w:space="0" w:color="auto"/>
        <w:left w:val="none" w:sz="0" w:space="0" w:color="auto"/>
        <w:bottom w:val="none" w:sz="0" w:space="0" w:color="auto"/>
        <w:right w:val="none" w:sz="0" w:space="0" w:color="auto"/>
      </w:divBdr>
    </w:div>
    <w:div w:id="879123292">
      <w:bodyDiv w:val="1"/>
      <w:marLeft w:val="0"/>
      <w:marRight w:val="0"/>
      <w:marTop w:val="0"/>
      <w:marBottom w:val="0"/>
      <w:divBdr>
        <w:top w:val="none" w:sz="0" w:space="0" w:color="auto"/>
        <w:left w:val="none" w:sz="0" w:space="0" w:color="auto"/>
        <w:bottom w:val="none" w:sz="0" w:space="0" w:color="auto"/>
        <w:right w:val="none" w:sz="0" w:space="0" w:color="auto"/>
      </w:divBdr>
    </w:div>
    <w:div w:id="927152467">
      <w:bodyDiv w:val="1"/>
      <w:marLeft w:val="0"/>
      <w:marRight w:val="0"/>
      <w:marTop w:val="0"/>
      <w:marBottom w:val="0"/>
      <w:divBdr>
        <w:top w:val="none" w:sz="0" w:space="0" w:color="auto"/>
        <w:left w:val="none" w:sz="0" w:space="0" w:color="auto"/>
        <w:bottom w:val="none" w:sz="0" w:space="0" w:color="auto"/>
        <w:right w:val="none" w:sz="0" w:space="0" w:color="auto"/>
      </w:divBdr>
    </w:div>
    <w:div w:id="939489997">
      <w:bodyDiv w:val="1"/>
      <w:marLeft w:val="0"/>
      <w:marRight w:val="0"/>
      <w:marTop w:val="0"/>
      <w:marBottom w:val="0"/>
      <w:divBdr>
        <w:top w:val="none" w:sz="0" w:space="0" w:color="auto"/>
        <w:left w:val="none" w:sz="0" w:space="0" w:color="auto"/>
        <w:bottom w:val="none" w:sz="0" w:space="0" w:color="auto"/>
        <w:right w:val="none" w:sz="0" w:space="0" w:color="auto"/>
      </w:divBdr>
    </w:div>
    <w:div w:id="952442277">
      <w:bodyDiv w:val="1"/>
      <w:marLeft w:val="0"/>
      <w:marRight w:val="0"/>
      <w:marTop w:val="0"/>
      <w:marBottom w:val="0"/>
      <w:divBdr>
        <w:top w:val="none" w:sz="0" w:space="0" w:color="auto"/>
        <w:left w:val="none" w:sz="0" w:space="0" w:color="auto"/>
        <w:bottom w:val="none" w:sz="0" w:space="0" w:color="auto"/>
        <w:right w:val="none" w:sz="0" w:space="0" w:color="auto"/>
      </w:divBdr>
    </w:div>
    <w:div w:id="1091320243">
      <w:bodyDiv w:val="1"/>
      <w:marLeft w:val="0"/>
      <w:marRight w:val="0"/>
      <w:marTop w:val="0"/>
      <w:marBottom w:val="0"/>
      <w:divBdr>
        <w:top w:val="none" w:sz="0" w:space="0" w:color="auto"/>
        <w:left w:val="none" w:sz="0" w:space="0" w:color="auto"/>
        <w:bottom w:val="none" w:sz="0" w:space="0" w:color="auto"/>
        <w:right w:val="none" w:sz="0" w:space="0" w:color="auto"/>
      </w:divBdr>
    </w:div>
    <w:div w:id="1119371816">
      <w:bodyDiv w:val="1"/>
      <w:marLeft w:val="0"/>
      <w:marRight w:val="0"/>
      <w:marTop w:val="0"/>
      <w:marBottom w:val="0"/>
      <w:divBdr>
        <w:top w:val="none" w:sz="0" w:space="0" w:color="auto"/>
        <w:left w:val="none" w:sz="0" w:space="0" w:color="auto"/>
        <w:bottom w:val="none" w:sz="0" w:space="0" w:color="auto"/>
        <w:right w:val="none" w:sz="0" w:space="0" w:color="auto"/>
      </w:divBdr>
    </w:div>
    <w:div w:id="1129863668">
      <w:bodyDiv w:val="1"/>
      <w:marLeft w:val="0"/>
      <w:marRight w:val="0"/>
      <w:marTop w:val="0"/>
      <w:marBottom w:val="0"/>
      <w:divBdr>
        <w:top w:val="none" w:sz="0" w:space="0" w:color="auto"/>
        <w:left w:val="none" w:sz="0" w:space="0" w:color="auto"/>
        <w:bottom w:val="none" w:sz="0" w:space="0" w:color="auto"/>
        <w:right w:val="none" w:sz="0" w:space="0" w:color="auto"/>
      </w:divBdr>
    </w:div>
    <w:div w:id="1156872700">
      <w:bodyDiv w:val="1"/>
      <w:marLeft w:val="0"/>
      <w:marRight w:val="0"/>
      <w:marTop w:val="0"/>
      <w:marBottom w:val="0"/>
      <w:divBdr>
        <w:top w:val="none" w:sz="0" w:space="0" w:color="auto"/>
        <w:left w:val="none" w:sz="0" w:space="0" w:color="auto"/>
        <w:bottom w:val="none" w:sz="0" w:space="0" w:color="auto"/>
        <w:right w:val="none" w:sz="0" w:space="0" w:color="auto"/>
      </w:divBdr>
    </w:div>
    <w:div w:id="1181314995">
      <w:bodyDiv w:val="1"/>
      <w:marLeft w:val="0"/>
      <w:marRight w:val="0"/>
      <w:marTop w:val="0"/>
      <w:marBottom w:val="0"/>
      <w:divBdr>
        <w:top w:val="none" w:sz="0" w:space="0" w:color="auto"/>
        <w:left w:val="none" w:sz="0" w:space="0" w:color="auto"/>
        <w:bottom w:val="none" w:sz="0" w:space="0" w:color="auto"/>
        <w:right w:val="none" w:sz="0" w:space="0" w:color="auto"/>
      </w:divBdr>
    </w:div>
    <w:div w:id="1184976183">
      <w:bodyDiv w:val="1"/>
      <w:marLeft w:val="0"/>
      <w:marRight w:val="0"/>
      <w:marTop w:val="0"/>
      <w:marBottom w:val="0"/>
      <w:divBdr>
        <w:top w:val="none" w:sz="0" w:space="0" w:color="auto"/>
        <w:left w:val="none" w:sz="0" w:space="0" w:color="auto"/>
        <w:bottom w:val="none" w:sz="0" w:space="0" w:color="auto"/>
        <w:right w:val="none" w:sz="0" w:space="0" w:color="auto"/>
      </w:divBdr>
    </w:div>
    <w:div w:id="1245184654">
      <w:bodyDiv w:val="1"/>
      <w:marLeft w:val="0"/>
      <w:marRight w:val="0"/>
      <w:marTop w:val="0"/>
      <w:marBottom w:val="0"/>
      <w:divBdr>
        <w:top w:val="none" w:sz="0" w:space="0" w:color="auto"/>
        <w:left w:val="none" w:sz="0" w:space="0" w:color="auto"/>
        <w:bottom w:val="none" w:sz="0" w:space="0" w:color="auto"/>
        <w:right w:val="none" w:sz="0" w:space="0" w:color="auto"/>
      </w:divBdr>
    </w:div>
    <w:div w:id="1361707647">
      <w:bodyDiv w:val="1"/>
      <w:marLeft w:val="0"/>
      <w:marRight w:val="0"/>
      <w:marTop w:val="0"/>
      <w:marBottom w:val="0"/>
      <w:divBdr>
        <w:top w:val="none" w:sz="0" w:space="0" w:color="auto"/>
        <w:left w:val="none" w:sz="0" w:space="0" w:color="auto"/>
        <w:bottom w:val="none" w:sz="0" w:space="0" w:color="auto"/>
        <w:right w:val="none" w:sz="0" w:space="0" w:color="auto"/>
      </w:divBdr>
    </w:div>
    <w:div w:id="1418332883">
      <w:bodyDiv w:val="1"/>
      <w:marLeft w:val="0"/>
      <w:marRight w:val="0"/>
      <w:marTop w:val="0"/>
      <w:marBottom w:val="0"/>
      <w:divBdr>
        <w:top w:val="none" w:sz="0" w:space="0" w:color="auto"/>
        <w:left w:val="none" w:sz="0" w:space="0" w:color="auto"/>
        <w:bottom w:val="none" w:sz="0" w:space="0" w:color="auto"/>
        <w:right w:val="none" w:sz="0" w:space="0" w:color="auto"/>
      </w:divBdr>
    </w:div>
    <w:div w:id="1429540194">
      <w:bodyDiv w:val="1"/>
      <w:marLeft w:val="0"/>
      <w:marRight w:val="0"/>
      <w:marTop w:val="0"/>
      <w:marBottom w:val="0"/>
      <w:divBdr>
        <w:top w:val="none" w:sz="0" w:space="0" w:color="auto"/>
        <w:left w:val="none" w:sz="0" w:space="0" w:color="auto"/>
        <w:bottom w:val="none" w:sz="0" w:space="0" w:color="auto"/>
        <w:right w:val="none" w:sz="0" w:space="0" w:color="auto"/>
      </w:divBdr>
    </w:div>
    <w:div w:id="1486697779">
      <w:bodyDiv w:val="1"/>
      <w:marLeft w:val="0"/>
      <w:marRight w:val="0"/>
      <w:marTop w:val="0"/>
      <w:marBottom w:val="0"/>
      <w:divBdr>
        <w:top w:val="none" w:sz="0" w:space="0" w:color="auto"/>
        <w:left w:val="none" w:sz="0" w:space="0" w:color="auto"/>
        <w:bottom w:val="none" w:sz="0" w:space="0" w:color="auto"/>
        <w:right w:val="none" w:sz="0" w:space="0" w:color="auto"/>
      </w:divBdr>
    </w:div>
    <w:div w:id="1526600302">
      <w:bodyDiv w:val="1"/>
      <w:marLeft w:val="0"/>
      <w:marRight w:val="0"/>
      <w:marTop w:val="0"/>
      <w:marBottom w:val="0"/>
      <w:divBdr>
        <w:top w:val="none" w:sz="0" w:space="0" w:color="auto"/>
        <w:left w:val="none" w:sz="0" w:space="0" w:color="auto"/>
        <w:bottom w:val="none" w:sz="0" w:space="0" w:color="auto"/>
        <w:right w:val="none" w:sz="0" w:space="0" w:color="auto"/>
      </w:divBdr>
    </w:div>
    <w:div w:id="1587617719">
      <w:bodyDiv w:val="1"/>
      <w:marLeft w:val="0"/>
      <w:marRight w:val="0"/>
      <w:marTop w:val="0"/>
      <w:marBottom w:val="0"/>
      <w:divBdr>
        <w:top w:val="none" w:sz="0" w:space="0" w:color="auto"/>
        <w:left w:val="none" w:sz="0" w:space="0" w:color="auto"/>
        <w:bottom w:val="none" w:sz="0" w:space="0" w:color="auto"/>
        <w:right w:val="none" w:sz="0" w:space="0" w:color="auto"/>
      </w:divBdr>
    </w:div>
    <w:div w:id="1606619479">
      <w:bodyDiv w:val="1"/>
      <w:marLeft w:val="0"/>
      <w:marRight w:val="0"/>
      <w:marTop w:val="0"/>
      <w:marBottom w:val="0"/>
      <w:divBdr>
        <w:top w:val="none" w:sz="0" w:space="0" w:color="auto"/>
        <w:left w:val="none" w:sz="0" w:space="0" w:color="auto"/>
        <w:bottom w:val="none" w:sz="0" w:space="0" w:color="auto"/>
        <w:right w:val="none" w:sz="0" w:space="0" w:color="auto"/>
      </w:divBdr>
    </w:div>
    <w:div w:id="1614704988">
      <w:bodyDiv w:val="1"/>
      <w:marLeft w:val="0"/>
      <w:marRight w:val="0"/>
      <w:marTop w:val="0"/>
      <w:marBottom w:val="0"/>
      <w:divBdr>
        <w:top w:val="none" w:sz="0" w:space="0" w:color="auto"/>
        <w:left w:val="none" w:sz="0" w:space="0" w:color="auto"/>
        <w:bottom w:val="none" w:sz="0" w:space="0" w:color="auto"/>
        <w:right w:val="none" w:sz="0" w:space="0" w:color="auto"/>
      </w:divBdr>
    </w:div>
    <w:div w:id="1807552261">
      <w:bodyDiv w:val="1"/>
      <w:marLeft w:val="0"/>
      <w:marRight w:val="0"/>
      <w:marTop w:val="0"/>
      <w:marBottom w:val="0"/>
      <w:divBdr>
        <w:top w:val="none" w:sz="0" w:space="0" w:color="auto"/>
        <w:left w:val="none" w:sz="0" w:space="0" w:color="auto"/>
        <w:bottom w:val="none" w:sz="0" w:space="0" w:color="auto"/>
        <w:right w:val="none" w:sz="0" w:space="0" w:color="auto"/>
      </w:divBdr>
    </w:div>
    <w:div w:id="1994751845">
      <w:bodyDiv w:val="1"/>
      <w:marLeft w:val="0"/>
      <w:marRight w:val="0"/>
      <w:marTop w:val="0"/>
      <w:marBottom w:val="0"/>
      <w:divBdr>
        <w:top w:val="none" w:sz="0" w:space="0" w:color="auto"/>
        <w:left w:val="none" w:sz="0" w:space="0" w:color="auto"/>
        <w:bottom w:val="none" w:sz="0" w:space="0" w:color="auto"/>
        <w:right w:val="none" w:sz="0" w:space="0" w:color="auto"/>
      </w:divBdr>
    </w:div>
    <w:div w:id="2002349228">
      <w:bodyDiv w:val="1"/>
      <w:marLeft w:val="0"/>
      <w:marRight w:val="0"/>
      <w:marTop w:val="0"/>
      <w:marBottom w:val="0"/>
      <w:divBdr>
        <w:top w:val="none" w:sz="0" w:space="0" w:color="auto"/>
        <w:left w:val="none" w:sz="0" w:space="0" w:color="auto"/>
        <w:bottom w:val="none" w:sz="0" w:space="0" w:color="auto"/>
        <w:right w:val="none" w:sz="0" w:space="0" w:color="auto"/>
      </w:divBdr>
    </w:div>
    <w:div w:id="2008095713">
      <w:bodyDiv w:val="1"/>
      <w:marLeft w:val="0"/>
      <w:marRight w:val="0"/>
      <w:marTop w:val="0"/>
      <w:marBottom w:val="0"/>
      <w:divBdr>
        <w:top w:val="none" w:sz="0" w:space="0" w:color="auto"/>
        <w:left w:val="none" w:sz="0" w:space="0" w:color="auto"/>
        <w:bottom w:val="none" w:sz="0" w:space="0" w:color="auto"/>
        <w:right w:val="none" w:sz="0" w:space="0" w:color="auto"/>
      </w:divBdr>
    </w:div>
    <w:div w:id="2038776013">
      <w:bodyDiv w:val="1"/>
      <w:marLeft w:val="0"/>
      <w:marRight w:val="0"/>
      <w:marTop w:val="0"/>
      <w:marBottom w:val="0"/>
      <w:divBdr>
        <w:top w:val="none" w:sz="0" w:space="0" w:color="auto"/>
        <w:left w:val="none" w:sz="0" w:space="0" w:color="auto"/>
        <w:bottom w:val="none" w:sz="0" w:space="0" w:color="auto"/>
        <w:right w:val="none" w:sz="0" w:space="0" w:color="auto"/>
      </w:divBdr>
    </w:div>
    <w:div w:id="205311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ell Document" ma:contentTypeID="0x0101006F0A470EEB1140E7AA14F4CE8A50B54C0001CB1477F4DD432AA86DD56CC3887AF4006FF232C8D3B1024DB88DDD134CB22922" ma:contentTypeVersion="16" ma:contentTypeDescription="Shell Document Content Type" ma:contentTypeScope="" ma:versionID="4cf45a6c32b1019cb60f01deec533b06">
  <xsd:schema xmlns:xsd="http://www.w3.org/2001/XMLSchema" xmlns:xs="http://www.w3.org/2001/XMLSchema" xmlns:p="http://schemas.microsoft.com/office/2006/metadata/properties" xmlns:ns1="http://schemas.microsoft.com/sharepoint/v3" xmlns:ns2="b1e1f361-e759-46b7-9c6d-dde34a466eca" xmlns:ns3="7e16052c-a47a-48b1-9941-904d415a9126" targetNamespace="http://schemas.microsoft.com/office/2006/metadata/properties" ma:root="true" ma:fieldsID="0f6c51a5201050b12f86c90ab79a5323" ns1:_="" ns2:_="" ns3:_="">
    <xsd:import namespace="http://schemas.microsoft.com/sharepoint/v3"/>
    <xsd:import namespace="b1e1f361-e759-46b7-9c6d-dde34a466eca"/>
    <xsd:import namespace="7e16052c-a47a-48b1-9941-904d415a9126"/>
    <xsd:element name="properties">
      <xsd:complexType>
        <xsd:sequence>
          <xsd:element name="documentManagement">
            <xsd:complexType>
              <xsd:all>
                <xsd:element ref="ns1:SAEFSecurityClassificationTaxHTField0"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2:SharedWithUsers" minOccurs="0"/>
                <xsd:element ref="ns2:SharedWithDetail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AEFSecurityClassificationTaxHTField0" ma:index="8" ma:taxonomy="true" ma:internalName="SAEFSecurityClassificationTaxHTField0" ma:taxonomyFieldName="SAEFSecurityClassification" ma:displayName="Security Classification" ma:default="1;#Confidential|e4bc29b2-6e76-48cc-b090-8b544c0802ae" ma:fieldId="{2ce2f798-4e95-48f9-a317-73f854109466}" ma:sspId="e3aebf70-341c-4d91-bdd3-aba9df361687" ma:termSetId="daf890f0-167e-4ee2-a9fd-a81536ed816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e1f361-e759-46b7-9c6d-dde34a466ec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163ff2f-12f3-4c29-acd1-2e709786268d}" ma:internalName="TaxCatchAll" ma:showField="CatchAllData" ma:web="b1e1f361-e759-46b7-9c6d-dde34a466ec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163ff2f-12f3-4c29-acd1-2e709786268d}" ma:internalName="TaxCatchAllLabel" ma:readOnly="true" ma:showField="CatchAllDataLabel" ma:web="b1e1f361-e759-46b7-9c6d-dde34a466ec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16052c-a47a-48b1-9941-904d415a912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aebf70-341c-4d91-bdd3-aba9df36168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1e1f361-e759-46b7-9c6d-dde34a466eca">
      <Value>1</Value>
    </TaxCatchAll>
    <lcf76f155ced4ddcb4097134ff3c332f xmlns="7e16052c-a47a-48b1-9941-904d415a9126">
      <Terms xmlns="http://schemas.microsoft.com/office/infopath/2007/PartnerControls"/>
    </lcf76f155ced4ddcb4097134ff3c332f>
    <SAEF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Confidential</TermName>
          <TermId xmlns="http://schemas.microsoft.com/office/infopath/2007/PartnerControls">e4bc29b2-6e76-48cc-b090-8b544c0802ae</TermId>
        </TermInfo>
      </Terms>
    </SAEFSecurityClassification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dAn21</b:Tag>
    <b:SourceType>JournalArticle</b:SourceType>
    <b:Guid>{B64FF9CF-D9A4-4598-85E6-4C4CE821E1A2}</b:Guid>
    <b:Title>From parcel to continental scale–A first European crop type map based on Sentinel-1 and LUCAS Copernicus in-situ observations</b:Title>
    <b:Year>2021</b:Year>
    <b:JournalName>Remote sensing of environment</b:JournalName>
    <b:Pages>112708</b:Pages>
    <b:Author>
      <b:Author>
        <b:NameList>
          <b:Person>
            <b:Last>d’Andrimont</b:Last>
            <b:First>R.</b:First>
          </b:Person>
          <b:Person>
            <b:Last>Verhegghen</b:Last>
            <b:First>A.</b:First>
          </b:Person>
          <b:Person>
            <b:Last>Lemoine</b:Last>
            <b:First>G.</b:First>
          </b:Person>
          <b:Person>
            <b:Last>Kempeneers</b:Last>
            <b:First>P.</b:First>
          </b:Person>
          <b:Person>
            <b:Last>Meroni</b:Last>
            <b:First>M.</b:First>
          </b:Person>
          <b:Person>
            <b:Last>Van der Velde</b:Last>
            <b:First>M.</b:First>
          </b:Person>
        </b:NameList>
      </b:Author>
    </b:Author>
    <b:RefOrder>1</b:RefOrder>
  </b:Source>
  <b:Source>
    <b:Tag>NUT</b:Tag>
    <b:SourceType>InternetSite</b:SourceType>
    <b:Guid>{1B59C6FE-2FBE-477E-B0D9-8C5A544FE3C8}</b:Guid>
    <b:Title>NUTS - GISCO - Eurostat</b:Title>
    <b:ProductionCompany>European Commission – Eurostat/GISCO</b:ProductionCompany>
    <b:URL>https://ec.europa.eu/eurostat/web/gisco/geodata/reference-data/administrative-units-statistical-units/nuts</b:URL>
    <b:RefOrder>2</b:RefOrder>
  </b:Source>
  <b:Source>
    <b:Tag>Cha22</b:Tag>
    <b:SourceType>JournalArticle</b:SourceType>
    <b:Guid>{09B9CD3C-2E52-49BA-B0D4-AB4A371BDB3E}</b:Guid>
    <b:Title>Developing a spatial information system of biomass potential from crop residues over India: A decision support for planning and establishment of biofuel/biomass power plant</b:Title>
    <b:Year>2022</b:Year>
    <b:JournalName>Renewable and Sustainable Energy Reviews</b:JournalName>
    <b:Pages>112575</b:Pages>
    <b:Volume>165</b:Volume>
    <b:Author>
      <b:Author>
        <b:NameList>
          <b:Person>
            <b:Last>Chakraborty</b:Last>
            <b:First>Abhishek</b:First>
          </b:Person>
          <b:Person>
            <b:Last>Biswal</b:Last>
            <b:First>Anima</b:First>
          </b:Person>
          <b:Person>
            <b:Last>Pandey</b:Last>
            <b:First>Varun</b:First>
          </b:Person>
          <b:Person>
            <b:Last>Shadab</b:Last>
            <b:First>Syed</b:First>
          </b:Person>
          <b:Person>
            <b:Last>Kalyandeep</b:Last>
            <b:First>K.</b:First>
          </b:Person>
          <b:Person>
            <b:Last>Murthy</b:Last>
            <b:Middle>S.</b:Middle>
            <b:First>C.</b:First>
          </b:Person>
          <b:Person>
            <b:Last>Seshasai</b:Last>
            <b:Middle>V. R.</b:Middle>
            <b:First>M.</b:First>
          </b:Person>
          <b:Person>
            <b:Last>Rao</b:Last>
            <b:Middle>V. N.</b:Middle>
            <b:First>P.</b:First>
          </b:Person>
          <b:Person>
            <b:Last>Jain</b:Last>
            <b:First>Niveta</b:First>
          </b:Person>
          <b:Person>
            <b:Last>Sehgal</b:Last>
            <b:Middle>K.</b:Middle>
            <b:First>V.</b:First>
          </b:Person>
          <b:Person>
            <b:Last>Kaushik</b:Last>
            <b:First>Nirmala</b:First>
          </b:Person>
          <b:Person>
            <b:Last>Singh</b:Last>
            <b:First>Sanjay</b:First>
          </b:Person>
          <b:Person>
            <b:Last>Chowdhury</b:Last>
            <b:First>S.</b:First>
          </b:Person>
        </b:NameList>
      </b:Author>
    </b:Author>
    <b:RefOrder>3</b:RefOrder>
  </b:Source>
  <b:Source>
    <b:Tag>FAO19</b:Tag>
    <b:SourceType>InternetSite</b:SourceType>
    <b:Guid>{EA155023-2E4E-4D43-8104-1CF8C93907DB}</b:Guid>
    <b:Title>FAOSTAT</b:Title>
    <b:Year>2019</b:Year>
    <b:URL>https://www.fao.org/faostat/en/#data/QCL</b:URL>
    <b:ProductionCompany>Food and Agriculture Organization fo the United Nations</b:ProductionCompany>
    <b:RefOrder>4</b:RefOrder>
  </b:Source>
  <b:Source>
    <b:Tag>Kar21</b:Tag>
    <b:SourceType>JournalArticle</b:SourceType>
    <b:Guid>{2BF7FB92-9871-4A0B-80E3-E8853FA79059}</b:Guid>
    <b:Title>Crop residues may be a key feedstock to bioeconomy but how reliable are current estimation methods?</b:Title>
    <b:Year>2021</b:Year>
    <b:JournalName>Resources, Conservation and Recycling</b:JournalName>
    <b:Pages>105211</b:Pages>
    <b:Volume>164</b:Volume>
    <b:Author>
      <b:Author>
        <b:NameList>
          <b:Person>
            <b:Last>Karan</b:Last>
            <b:Middle>K.</b:Middle>
            <b:First>S.</b:First>
          </b:Person>
          <b:Person>
            <b:Last>Hamelin</b:Last>
            <b:First>L.</b:First>
          </b:Person>
        </b:NameList>
      </b:Author>
    </b:Author>
    <b:RefOrder>5</b:RefOrder>
  </b:Source>
  <b:Source>
    <b:Tag>Mon13</b:Tag>
    <b:SourceType>JournalArticle</b:SourceType>
    <b:Guid>{8DC796B5-07D0-4C4C-B8E6-52BC73A3E66A}</b:Guid>
    <b:Title>The possible contribution of agricultural crop residues to renewable energy targets in Europe: A spatially explicit study</b:Title>
    <b:JournalName>Renewable and Sustainable Energy Reviews</b:JournalName>
    <b:Year>2013</b:Year>
    <b:Pages>666-677</b:Pages>
    <b:Volume>19</b:Volume>
    <b:Author>
      <b:Author>
        <b:NameList>
          <b:Person>
            <b:Last>Monforti</b:Last>
            <b:First>F.</b:First>
          </b:Person>
          <b:Person>
            <b:Last>Bódis</b:Last>
            <b:First>K.</b:First>
          </b:Person>
          <b:Person>
            <b:Last>Scarlat</b:Last>
            <b:First>N.</b:First>
          </b:Person>
          <b:Person>
            <b:Last>Dallemand</b:Last>
            <b:First>J.-F.</b:First>
          </b:Person>
        </b:NameList>
      </b:Author>
    </b:Author>
    <b:RefOrder>6</b:RefOrder>
  </b:Source>
  <b:Source>
    <b:Tag>USD23</b:Tag>
    <b:SourceType>InternetSite</b:SourceType>
    <b:Guid>{1426E7B5-C0E4-41E5-B63E-72854AF81338}</b:Guid>
    <b:Author>
      <b:Author>
        <b:NameList>
          <b:Person>
            <b:Last>U.S. Department of Agriculture</b:Last>
            <b:Middle>
						</b:Middle>
            <b:First>
						</b:First>
          </b:Person>
        </b:NameList>
      </b:Author>
    </b:Author>
    <b:Title>Crop Calendars for Europe</b:Title>
    <b:Year>2023</b:Year>
    <b:Month>11</b:Month>
    <b:Day>16</b:Day>
    <b:URL>https://ipad.fas.usda.gov/rssiws/al/crop_calendar/europe.aspx</b:URL>
    <b:RefOrder>7</b:RefOrder>
  </b:Source>
</b:Sources>
</file>

<file path=customXml/itemProps1.xml><?xml version="1.0" encoding="utf-8"?>
<ds:datastoreItem xmlns:ds="http://schemas.openxmlformats.org/officeDocument/2006/customXml" ds:itemID="{6A87E61D-0F62-48BE-88A1-B44032A14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e1f361-e759-46b7-9c6d-dde34a466eca"/>
    <ds:schemaRef ds:uri="7e16052c-a47a-48b1-9941-904d415a9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AA2271-6D50-472B-8E26-22396E0A531B}">
  <ds:schemaRefs>
    <ds:schemaRef ds:uri="http://schemas.microsoft.com/office/2006/metadata/properties"/>
    <ds:schemaRef ds:uri="http://schemas.microsoft.com/office/infopath/2007/PartnerControls"/>
    <ds:schemaRef ds:uri="b1e1f361-e759-46b7-9c6d-dde34a466eca"/>
    <ds:schemaRef ds:uri="7e16052c-a47a-48b1-9941-904d415a9126"/>
    <ds:schemaRef ds:uri="http://schemas.microsoft.com/sharepoint/v3"/>
  </ds:schemaRefs>
</ds:datastoreItem>
</file>

<file path=customXml/itemProps3.xml><?xml version="1.0" encoding="utf-8"?>
<ds:datastoreItem xmlns:ds="http://schemas.openxmlformats.org/officeDocument/2006/customXml" ds:itemID="{F8D9CDDE-9055-46D2-9778-1350D1B12378}">
  <ds:schemaRefs>
    <ds:schemaRef ds:uri="http://schemas.microsoft.com/sharepoint/v3/contenttype/forms"/>
  </ds:schemaRefs>
</ds:datastoreItem>
</file>

<file path=customXml/itemProps4.xml><?xml version="1.0" encoding="utf-8"?>
<ds:datastoreItem xmlns:ds="http://schemas.openxmlformats.org/officeDocument/2006/customXml" ds:itemID="{9C8AECAA-BB09-4283-B2D6-70C17EB167F9}">
  <ds:schemaRefs>
    <ds:schemaRef ds:uri="http://schemas.openxmlformats.org/officeDocument/2006/bibliography"/>
  </ds:schemaRefs>
</ds:datastoreItem>
</file>

<file path=docMetadata/LabelInfo.xml><?xml version="1.0" encoding="utf-8"?>
<clbl:labelList xmlns:clbl="http://schemas.microsoft.com/office/2020/mipLabelMetadata">
  <clbl:label id="{d0cb1e24-a0e2-4a4c-9340-733297c9cd7c}" enabled="1" method="Privileged" siteId="{db1e96a8-a3da-442a-930b-235cac24cd5c}" removed="0"/>
</clbl:labelList>
</file>

<file path=docProps/app.xml><?xml version="1.0" encoding="utf-8"?>
<Properties xmlns="http://schemas.openxmlformats.org/officeDocument/2006/extended-properties" xmlns:vt="http://schemas.openxmlformats.org/officeDocument/2006/docPropsVTypes">
  <Template>Chapter.dotx</Template>
  <TotalTime>0</TotalTime>
  <Pages>6</Pages>
  <Words>2664</Words>
  <Characters>15188</Characters>
  <Application>Microsoft Office Word</Application>
  <DocSecurity>0</DocSecurity>
  <Lines>126</Lines>
  <Paragraphs>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cp:lastModifiedBy>Sauro Pierucci</cp:lastModifiedBy>
  <cp:revision>2</cp:revision>
  <cp:lastPrinted>2023-11-30T06:14:00Z</cp:lastPrinted>
  <dcterms:created xsi:type="dcterms:W3CDTF">2024-01-25T11:19:00Z</dcterms:created>
  <dcterms:modified xsi:type="dcterms:W3CDTF">2024-01-25T11:19:00Z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ediaServiceImageTags">
    <vt:lpwstr/>
  </property>
  <property fmtid="{D5CDD505-2E9C-101B-9397-08002B2CF9AE}" pid="11" name="ContentTypeId">
    <vt:lpwstr>0x0101006F0A470EEB1140E7AA14F4CE8A50B54C0001CB1477F4DD432AA86DD56CC3887AF4006FF232C8D3B1024DB88DDD134CB22922</vt:lpwstr>
  </property>
  <property fmtid="{D5CDD505-2E9C-101B-9397-08002B2CF9AE}" pid="12" name="SAEFSecurityClassification">
    <vt:lpwstr>1;#Confidential|e4bc29b2-6e76-48cc-b090-8b544c0802ae</vt:lpwstr>
  </property>
</Properties>
</file>