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7248433E" w:rsidR="00DD3D9E" w:rsidRPr="0010152C" w:rsidRDefault="00D675E0" w:rsidP="006D221E">
      <w:pPr>
        <w:pStyle w:val="Els-Title"/>
        <w:spacing w:before="0" w:after="60"/>
        <w:jc w:val="both"/>
        <w:rPr>
          <w:color w:val="000000" w:themeColor="text1"/>
          <w:sz w:val="28"/>
          <w:szCs w:val="28"/>
        </w:rPr>
      </w:pPr>
      <w:r w:rsidRPr="00D675E0">
        <w:rPr>
          <w:color w:val="000000" w:themeColor="text1"/>
          <w:sz w:val="28"/>
          <w:szCs w:val="28"/>
        </w:rPr>
        <w:t>Refining SOFC Performance: Parameter Estimation and Model Validation for Dynamic Energy System Optimization</w:t>
      </w:r>
    </w:p>
    <w:p w14:paraId="2F8AAC37" w14:textId="3A29F6EF" w:rsidR="0010152C" w:rsidRPr="00135CD5" w:rsidRDefault="00B26BA3" w:rsidP="009503F6">
      <w:pPr>
        <w:pStyle w:val="Els-Affiliation"/>
        <w:jc w:val="both"/>
        <w:rPr>
          <w:color w:val="000000"/>
          <w:sz w:val="18"/>
          <w:szCs w:val="18"/>
          <w:lang w:val="en-US"/>
        </w:rPr>
      </w:pPr>
      <w:r w:rsidRPr="00135CD5">
        <w:rPr>
          <w:color w:val="000000"/>
          <w:sz w:val="18"/>
          <w:szCs w:val="18"/>
          <w:lang w:val="en-US"/>
        </w:rPr>
        <w:t>Arthur Waeber</w:t>
      </w:r>
      <w:r w:rsidRPr="00135CD5">
        <w:rPr>
          <w:color w:val="000000"/>
          <w:sz w:val="18"/>
          <w:szCs w:val="18"/>
          <w:vertAlign w:val="superscript"/>
          <w:lang w:val="en-US"/>
        </w:rPr>
        <w:t>a</w:t>
      </w:r>
      <w:r>
        <w:rPr>
          <w:color w:val="000000"/>
          <w:sz w:val="18"/>
          <w:szCs w:val="18"/>
          <w:lang w:val="en-US"/>
        </w:rPr>
        <w:t xml:space="preserve">, </w:t>
      </w:r>
      <w:r w:rsidR="0010152C" w:rsidRPr="00135CD5">
        <w:rPr>
          <w:color w:val="000000"/>
          <w:sz w:val="18"/>
          <w:szCs w:val="18"/>
          <w:lang w:val="en-US"/>
        </w:rPr>
        <w:t>Xinyi Wei</w:t>
      </w:r>
      <w:r w:rsidR="0010152C" w:rsidRPr="00135CD5">
        <w:rPr>
          <w:color w:val="000000"/>
          <w:sz w:val="18"/>
          <w:szCs w:val="18"/>
          <w:vertAlign w:val="superscript"/>
          <w:lang w:val="en-US"/>
        </w:rPr>
        <w:t>a,b</w:t>
      </w:r>
      <w:r w:rsidR="0010152C" w:rsidRPr="00135CD5">
        <w:rPr>
          <w:color w:val="000000"/>
          <w:sz w:val="18"/>
          <w:szCs w:val="18"/>
          <w:lang w:val="en-US"/>
        </w:rPr>
        <w:t>, Shivom Sharma</w:t>
      </w:r>
      <w:r w:rsidR="0010152C" w:rsidRPr="00135CD5">
        <w:rPr>
          <w:color w:val="000000"/>
          <w:sz w:val="18"/>
          <w:szCs w:val="18"/>
          <w:vertAlign w:val="superscript"/>
          <w:lang w:val="en-US"/>
        </w:rPr>
        <w:t>a</w:t>
      </w:r>
      <w:r w:rsidR="0010152C" w:rsidRPr="00135CD5">
        <w:rPr>
          <w:color w:val="000000"/>
          <w:sz w:val="18"/>
          <w:szCs w:val="18"/>
          <w:lang w:val="en-US"/>
        </w:rPr>
        <w:t>, Jan Van Herle</w:t>
      </w:r>
      <w:r w:rsidR="0010152C" w:rsidRPr="00135CD5">
        <w:rPr>
          <w:color w:val="000000"/>
          <w:sz w:val="18"/>
          <w:szCs w:val="18"/>
          <w:vertAlign w:val="superscript"/>
          <w:lang w:val="en-US"/>
        </w:rPr>
        <w:t>b</w:t>
      </w:r>
      <w:r w:rsidR="0010152C" w:rsidRPr="00135CD5">
        <w:rPr>
          <w:color w:val="000000"/>
          <w:sz w:val="18"/>
          <w:szCs w:val="18"/>
          <w:lang w:val="en-US"/>
        </w:rPr>
        <w:t>, Francois Marechal</w:t>
      </w:r>
      <w:r w:rsidR="0010152C" w:rsidRPr="00135CD5">
        <w:rPr>
          <w:color w:val="000000"/>
          <w:sz w:val="18"/>
          <w:szCs w:val="18"/>
          <w:vertAlign w:val="superscript"/>
          <w:lang w:val="en-US"/>
        </w:rPr>
        <w:t>a</w:t>
      </w:r>
    </w:p>
    <w:p w14:paraId="75FD814F" w14:textId="77777777" w:rsidR="0010152C" w:rsidRPr="00424489" w:rsidRDefault="0010152C" w:rsidP="009503F6">
      <w:pPr>
        <w:pStyle w:val="Els-Affiliation"/>
        <w:jc w:val="both"/>
        <w:rPr>
          <w:sz w:val="18"/>
          <w:szCs w:val="18"/>
          <w:lang w:val="en-US"/>
        </w:rPr>
      </w:pPr>
      <w:r w:rsidRPr="00424489">
        <w:rPr>
          <w:sz w:val="18"/>
          <w:szCs w:val="18"/>
          <w:vertAlign w:val="superscript"/>
          <w:lang w:val="en-US"/>
        </w:rPr>
        <w:t>a</w:t>
      </w:r>
      <w:r w:rsidRPr="00424489">
        <w:rPr>
          <w:sz w:val="18"/>
          <w:szCs w:val="18"/>
          <w:lang w:val="en-US"/>
        </w:rPr>
        <w:t>IPESE, EPFL Valais Wallis, 1950 Sion, Switzerland</w:t>
      </w:r>
    </w:p>
    <w:p w14:paraId="20826E68" w14:textId="4479864C" w:rsidR="0010152C" w:rsidRPr="00424489" w:rsidRDefault="0010152C" w:rsidP="009503F6">
      <w:pPr>
        <w:pStyle w:val="Els-Affiliation"/>
        <w:jc w:val="both"/>
        <w:rPr>
          <w:sz w:val="18"/>
          <w:szCs w:val="18"/>
          <w:lang w:val="en-US"/>
        </w:rPr>
      </w:pPr>
      <w:r w:rsidRPr="00424489">
        <w:rPr>
          <w:sz w:val="18"/>
          <w:szCs w:val="18"/>
          <w:vertAlign w:val="superscript"/>
          <w:lang w:val="en-US"/>
        </w:rPr>
        <w:t>b</w:t>
      </w:r>
      <w:r w:rsidRPr="00424489">
        <w:rPr>
          <w:sz w:val="18"/>
          <w:szCs w:val="18"/>
          <w:lang w:val="en-US"/>
        </w:rPr>
        <w:t>GEM, EPFL Valais Wallis, 1950 Sion, Switzerland</w:t>
      </w:r>
    </w:p>
    <w:p w14:paraId="144DE683" w14:textId="04418481" w:rsidR="008D2649" w:rsidRPr="00076600" w:rsidRDefault="00B26BA3" w:rsidP="00CB0A72">
      <w:pPr>
        <w:pStyle w:val="Els-Affiliation"/>
        <w:spacing w:after="60"/>
        <w:jc w:val="both"/>
        <w:rPr>
          <w:sz w:val="18"/>
          <w:szCs w:val="18"/>
          <w:lang w:val="en-US"/>
        </w:rPr>
      </w:pPr>
      <w:r>
        <w:rPr>
          <w:sz w:val="18"/>
          <w:szCs w:val="18"/>
          <w:lang w:val="en-US"/>
        </w:rPr>
        <w:t>arthur.waeber</w:t>
      </w:r>
      <w:r w:rsidR="0010152C" w:rsidRPr="00135CD5">
        <w:rPr>
          <w:sz w:val="18"/>
          <w:szCs w:val="18"/>
          <w:lang w:val="en-US"/>
        </w:rPr>
        <w:t>@epfl.ch</w:t>
      </w:r>
    </w:p>
    <w:p w14:paraId="144DE684" w14:textId="77777777" w:rsidR="008D2649" w:rsidRDefault="008D2649" w:rsidP="009503F6">
      <w:pPr>
        <w:pStyle w:val="Els-Abstract"/>
        <w:spacing w:before="60"/>
      </w:pPr>
      <w:r>
        <w:t>Abstract</w:t>
      </w:r>
    </w:p>
    <w:p w14:paraId="7896B110" w14:textId="12FB4C6E" w:rsidR="00A82CB6" w:rsidRDefault="007B68BC" w:rsidP="00CB0A72">
      <w:pPr>
        <w:pStyle w:val="Els-body-text"/>
        <w:spacing w:after="60"/>
        <w:rPr>
          <w:lang w:val="en-GB"/>
        </w:rPr>
      </w:pPr>
      <w:r w:rsidRPr="00FB3734">
        <w:rPr>
          <w:lang w:val="en-GB"/>
        </w:rPr>
        <w:t xml:space="preserve">As environmental concerns intensify and energy demand rises, the global quest for sustainable energy sources becomes crucial. </w:t>
      </w:r>
      <w:r w:rsidR="00956A49" w:rsidRPr="00956A49">
        <w:rPr>
          <w:lang w:val="en-GB"/>
        </w:rPr>
        <w:t xml:space="preserve">Given the intermittent nature of </w:t>
      </w:r>
      <w:r w:rsidR="009503F6">
        <w:rPr>
          <w:lang w:val="en-GB"/>
        </w:rPr>
        <w:t xml:space="preserve">renewable </w:t>
      </w:r>
      <w:r w:rsidR="00956A49" w:rsidRPr="00956A49">
        <w:rPr>
          <w:lang w:val="en-GB"/>
        </w:rPr>
        <w:t>electricity, the quest for transient solutions becomes imperative to ensure energy security.</w:t>
      </w:r>
      <w:r w:rsidR="008F0070">
        <w:rPr>
          <w:lang w:val="en-GB"/>
        </w:rPr>
        <w:t xml:space="preserve"> </w:t>
      </w:r>
      <w:r w:rsidR="009503F6">
        <w:rPr>
          <w:lang w:val="en-GB"/>
        </w:rPr>
        <w:t>S</w:t>
      </w:r>
      <w:r w:rsidR="00605463" w:rsidRPr="00605463">
        <w:rPr>
          <w:lang w:val="en-GB"/>
        </w:rPr>
        <w:t>olid oxide fuel cell (SOFC) stands out as a promising technology, characterized by its high electrical efficiency, fuel flexibility, and the capability for co-producing heat.</w:t>
      </w:r>
      <w:r w:rsidR="00952D90">
        <w:rPr>
          <w:lang w:val="en-GB"/>
        </w:rPr>
        <w:t xml:space="preserve"> </w:t>
      </w:r>
      <w:r w:rsidR="009A022E" w:rsidRPr="009A022E">
        <w:rPr>
          <w:lang w:val="en-GB"/>
        </w:rPr>
        <w:t xml:space="preserve">Integrating SOFC into an energy system necessitates a dynamic model capable of handling fluctuations in electricity demand profiles. This underscores the significance of a reliable and reusable SOFC dynamic model. The present study focuses on constructing a detailed electrochemical SOFC stack model using </w:t>
      </w:r>
      <w:proofErr w:type="spellStart"/>
      <w:r w:rsidR="009A022E" w:rsidRPr="009A022E">
        <w:rPr>
          <w:lang w:val="en-GB"/>
        </w:rPr>
        <w:t>gPROMS</w:t>
      </w:r>
      <w:proofErr w:type="spellEnd"/>
      <w:r w:rsidR="009A022E" w:rsidRPr="009A022E">
        <w:rPr>
          <w:lang w:val="en-GB"/>
        </w:rPr>
        <w:t>. Laboratory data is employed</w:t>
      </w:r>
      <w:r w:rsidR="009A022E">
        <w:rPr>
          <w:lang w:val="en-GB"/>
        </w:rPr>
        <w:t xml:space="preserve"> to perform model validation</w:t>
      </w:r>
      <w:r w:rsidR="009503F6">
        <w:rPr>
          <w:lang w:val="en-GB"/>
        </w:rPr>
        <w:t xml:space="preserve"> after </w:t>
      </w:r>
      <w:r w:rsidR="00A82CB6">
        <w:rPr>
          <w:lang w:val="en-GB"/>
        </w:rPr>
        <w:t xml:space="preserve">mathematical </w:t>
      </w:r>
      <w:r w:rsidR="00B26BA3" w:rsidRPr="00A82CB6">
        <w:rPr>
          <w:lang w:val="en-GB"/>
        </w:rPr>
        <w:t>pre-treatment</w:t>
      </w:r>
      <w:r w:rsidR="009503F6">
        <w:rPr>
          <w:lang w:val="en-GB"/>
        </w:rPr>
        <w:t xml:space="preserve">. </w:t>
      </w:r>
      <w:r w:rsidR="008404D0">
        <w:rPr>
          <w:lang w:val="en-GB"/>
        </w:rPr>
        <w:t xml:space="preserve">Furthermore, </w:t>
      </w:r>
      <w:r w:rsidR="009503F6">
        <w:rPr>
          <w:lang w:val="en-GB"/>
        </w:rPr>
        <w:t xml:space="preserve">a </w:t>
      </w:r>
      <w:r w:rsidR="00B26BA3">
        <w:rPr>
          <w:lang w:val="en-GB"/>
        </w:rPr>
        <w:t>s</w:t>
      </w:r>
      <w:r w:rsidR="00A82CB6" w:rsidRPr="00A82CB6">
        <w:rPr>
          <w:lang w:val="en-GB"/>
        </w:rPr>
        <w:t xml:space="preserve">ensitivity analysis was employed to select the most </w:t>
      </w:r>
      <w:r w:rsidR="00B26BA3">
        <w:rPr>
          <w:lang w:val="en-GB"/>
        </w:rPr>
        <w:t>crucial</w:t>
      </w:r>
      <w:r w:rsidR="00A82CB6" w:rsidRPr="00A82CB6">
        <w:rPr>
          <w:lang w:val="en-GB"/>
        </w:rPr>
        <w:t xml:space="preserve"> parameter</w:t>
      </w:r>
      <w:r w:rsidR="00B26BA3">
        <w:rPr>
          <w:lang w:val="en-GB"/>
        </w:rPr>
        <w:t>s</w:t>
      </w:r>
      <w:r w:rsidR="00A82CB6" w:rsidRPr="00A82CB6">
        <w:rPr>
          <w:lang w:val="en-GB"/>
        </w:rPr>
        <w:t>. Subsequently, parameter estimation was executed by minimizing the likelihood function. To assess the proximity between model predictions and experimental data and to evaluate the potential reuse of the model based on estimated parameter values, statistical analysis incorporated goodness of fit and t-test measures</w:t>
      </w:r>
      <w:r w:rsidR="00B26BA3">
        <w:rPr>
          <w:lang w:val="en-GB"/>
        </w:rPr>
        <w:t xml:space="preserve"> was performed</w:t>
      </w:r>
      <w:r w:rsidR="00A82CB6" w:rsidRPr="00A82CB6">
        <w:rPr>
          <w:lang w:val="en-GB"/>
        </w:rPr>
        <w:t>.</w:t>
      </w:r>
      <w:r w:rsidR="00FB097E">
        <w:rPr>
          <w:lang w:val="en-GB"/>
        </w:rPr>
        <w:t xml:space="preserve"> </w:t>
      </w:r>
    </w:p>
    <w:p w14:paraId="144DE687" w14:textId="4A12072F" w:rsidR="008D2649" w:rsidRPr="00F846AA" w:rsidRDefault="008D2649" w:rsidP="00CB0A72">
      <w:pPr>
        <w:pStyle w:val="Els-body-text"/>
        <w:spacing w:after="60"/>
        <w:rPr>
          <w:lang w:val="en-GB"/>
        </w:rPr>
      </w:pPr>
      <w:r w:rsidRPr="00F846AA">
        <w:rPr>
          <w:b/>
          <w:bCs/>
          <w:lang w:val="en-GB"/>
        </w:rPr>
        <w:t>Keywords</w:t>
      </w:r>
      <w:r w:rsidRPr="00F846AA">
        <w:rPr>
          <w:lang w:val="en-GB"/>
        </w:rPr>
        <w:t xml:space="preserve">: </w:t>
      </w:r>
      <w:r w:rsidR="003743D7" w:rsidRPr="00F846AA">
        <w:rPr>
          <w:lang w:val="en-GB"/>
        </w:rPr>
        <w:t xml:space="preserve">Solid Oxide Fuel Cell, </w:t>
      </w:r>
      <w:r w:rsidR="00FB097E" w:rsidRPr="00F846AA">
        <w:rPr>
          <w:lang w:val="en-GB"/>
        </w:rPr>
        <w:t>Model Validation</w:t>
      </w:r>
      <w:r w:rsidR="0027230F" w:rsidRPr="00F846AA">
        <w:rPr>
          <w:lang w:val="en-GB"/>
        </w:rPr>
        <w:t>, Parameter Estimation</w:t>
      </w:r>
      <w:r w:rsidRPr="00F846AA">
        <w:rPr>
          <w:lang w:val="en-GB"/>
        </w:rPr>
        <w:t>.</w:t>
      </w:r>
    </w:p>
    <w:p w14:paraId="7BD85A7B" w14:textId="431C58A5" w:rsidR="00FD4893" w:rsidRPr="00FD4893" w:rsidRDefault="00A84A3E" w:rsidP="009503F6">
      <w:pPr>
        <w:pStyle w:val="Els-1storder-head"/>
        <w:spacing w:before="60"/>
      </w:pPr>
      <w:r w:rsidRPr="00BD7748">
        <w:t>Introduction</w:t>
      </w:r>
    </w:p>
    <w:p w14:paraId="41BCE64A" w14:textId="5D7A4A8B" w:rsidR="009503F6" w:rsidRPr="00D853AF" w:rsidRDefault="00D853AF" w:rsidP="009503F6">
      <w:pPr>
        <w:pStyle w:val="Els-body-text"/>
        <w:rPr>
          <w:sz w:val="10"/>
          <w:szCs w:val="10"/>
        </w:rPr>
      </w:pPr>
      <w:r w:rsidRPr="00D853AF">
        <w:t xml:space="preserve">Escalating energy problems have led </w:t>
      </w:r>
      <w:r w:rsidRPr="001E2D55">
        <w:t xml:space="preserve">to a greater emphasis on the </w:t>
      </w:r>
      <w:r>
        <w:t>study</w:t>
      </w:r>
      <w:r w:rsidRPr="001E2D55">
        <w:t xml:space="preserve"> of alternativ</w:t>
      </w:r>
      <w:r>
        <w:t>e e</w:t>
      </w:r>
      <w:r w:rsidRPr="00D853AF">
        <w:t>nergy sources. However, the viability of these renewable energy sources is heavily influenced by geographical location, and their intermittency poses limitations, particularly in areas requiring constant energy availability, such as hospitals. While green hydrogen offers promising alternatives to fossil fuels, a full switch to renewables requires modifications to existing pipelines, indicating a gradual process (Sharma et al., 2018). It is therefore necessary to identify interim solutions to provide stable electricity</w:t>
      </w:r>
      <w:r>
        <w:t>.</w:t>
      </w:r>
    </w:p>
    <w:p w14:paraId="7CA6FEBB" w14:textId="77777777" w:rsidR="00D853AF" w:rsidRDefault="00D853AF" w:rsidP="009503F6">
      <w:pPr>
        <w:pStyle w:val="Els-body-text"/>
        <w:rPr>
          <w:sz w:val="10"/>
          <w:szCs w:val="10"/>
        </w:rPr>
      </w:pPr>
    </w:p>
    <w:p w14:paraId="43E57196" w14:textId="0502B07B" w:rsidR="00B10E7E" w:rsidRDefault="00D853AF" w:rsidP="009503F6">
      <w:pPr>
        <w:pStyle w:val="Els-body-text"/>
      </w:pPr>
      <w:r w:rsidRPr="00D853AF">
        <w:t>Solid oxide fuel cells (SOFCs) can convert</w:t>
      </w:r>
      <w:r>
        <w:t xml:space="preserve"> </w:t>
      </w:r>
      <w:r w:rsidRPr="00D853AF">
        <w:t>chemical energy into electricity. Recent attention has focused on the remarkable efficiency of these systems, which exceeds 60%, and their high operating temperature of 800°C. This high temperature facilitates the production of heat as a valuable co-product (Xu et al., 2022). This high temperature facilitates the production of heat as a valuable co-product (Xu et al., 2022). This high temperature facilitates the production of heat as a valuable co-product (Xu et al., 2022). In addition, SOFC is flexible in the use of various fuel sources, including hydrocarbons, syngas, hydrogen and biofuels. The incorporation of biofuels indicates that it is possible to consider this electricity generation technology as carbon neutral.</w:t>
      </w:r>
      <w:r>
        <w:t xml:space="preserve"> </w:t>
      </w:r>
      <w:r w:rsidRPr="00D853AF">
        <w:t>If combined with downstream carbon capture, it can even be considered carbon n</w:t>
      </w:r>
      <w:r>
        <w:t>egative</w:t>
      </w:r>
      <w:r w:rsidRPr="00D853AF">
        <w:t xml:space="preserve">. When using a SOFC system to generate electricity, it is essential to take account of dynamic </w:t>
      </w:r>
      <w:r>
        <w:t>responses</w:t>
      </w:r>
      <w:r w:rsidRPr="00D853AF">
        <w:t xml:space="preserve">, particularly in residential areas. This behavior can be effectively managed with SOFC by simply adjusting the fuel input. However, it is essential to understand the performance of the system and refine the process conditions, which highlights the need for a validated dynamic model for the SOFC system. Previous validations of SOFC models can be found </w:t>
      </w:r>
      <w:r w:rsidRPr="00D853AF">
        <w:lastRenderedPageBreak/>
        <w:t xml:space="preserve">in the literature, but they are mainly based on steady-state performance or simplified mathematical models that significantly reduce the set of parameters. In this research, an elaborate electrochemical SOFC model was developed in the </w:t>
      </w:r>
      <w:proofErr w:type="spellStart"/>
      <w:r w:rsidRPr="00D853AF">
        <w:t>gPROMS</w:t>
      </w:r>
      <w:proofErr w:type="spellEnd"/>
      <w:r w:rsidRPr="00D853AF">
        <w:t xml:space="preserve"> library. The experimental data was provided by the Energy Materials Group (GEM) laboratory at EPFL, which is renowned for its expertise in the field of fuel cells</w:t>
      </w:r>
      <w:r w:rsidR="00E13DDF" w:rsidRPr="00E13DDF">
        <w:t>. The subsequent critical step involved the validation of the model using the acquired experimental data</w:t>
      </w:r>
      <w:r w:rsidR="00B26BA3">
        <w:t>,</w:t>
      </w:r>
      <w:r w:rsidR="002D0A1F">
        <w:t xml:space="preserve"> </w:t>
      </w:r>
      <w:r w:rsidR="00B26BA3">
        <w:t>correctly accounting for the propagated error due to the intrinsic uncertainty of the measuring instruments.</w:t>
      </w:r>
    </w:p>
    <w:p w14:paraId="39CB769A" w14:textId="77777777" w:rsidR="00B10E7E" w:rsidRPr="00B10E7E" w:rsidRDefault="00B10E7E" w:rsidP="009503F6">
      <w:pPr>
        <w:pStyle w:val="Els-body-text"/>
        <w:rPr>
          <w:sz w:val="11"/>
          <w:szCs w:val="11"/>
        </w:rPr>
      </w:pPr>
    </w:p>
    <w:p w14:paraId="64E14141" w14:textId="21D09621" w:rsidR="00DF5F87" w:rsidRDefault="0032601B" w:rsidP="009503F6">
      <w:pPr>
        <w:pStyle w:val="Els-body-text"/>
      </w:pPr>
      <w:r>
        <w:t>This</w:t>
      </w:r>
      <w:r w:rsidR="00F91742" w:rsidRPr="00F91742">
        <w:t xml:space="preserve"> SOFC </w:t>
      </w:r>
      <w:r w:rsidR="00F91742">
        <w:t xml:space="preserve">stack </w:t>
      </w:r>
      <w:r w:rsidR="00F91742" w:rsidRPr="00F91742">
        <w:t xml:space="preserve">model encompasses more than </w:t>
      </w:r>
      <w:r w:rsidR="00B26BA3">
        <w:t>7</w:t>
      </w:r>
      <w:r w:rsidR="00F91742" w:rsidRPr="00F91742">
        <w:t xml:space="preserve">0 parameters. These parameters include pivotal factors such as </w:t>
      </w:r>
      <w:r>
        <w:t xml:space="preserve">exchange </w:t>
      </w:r>
      <w:r w:rsidR="00F91742" w:rsidRPr="00F91742">
        <w:t xml:space="preserve">current density, stack area, and </w:t>
      </w:r>
      <w:r w:rsidR="00B26BA3">
        <w:t xml:space="preserve">electrical </w:t>
      </w:r>
      <w:r w:rsidR="00F91742" w:rsidRPr="00F91742">
        <w:t xml:space="preserve">conductivity, directly impacting the SOFC stack's performance. </w:t>
      </w:r>
      <w:r w:rsidR="00B26BA3">
        <w:t>Additionally</w:t>
      </w:r>
      <w:r w:rsidR="00F91742" w:rsidRPr="00F91742">
        <w:t>, parameters</w:t>
      </w:r>
      <w:r w:rsidR="00B26BA3">
        <w:t xml:space="preserve"> defining the microscopic structure of the electrodes (</w:t>
      </w:r>
      <w:r w:rsidR="00F91742" w:rsidRPr="00F91742">
        <w:t>porosity</w:t>
      </w:r>
      <w:r w:rsidR="00B26BA3">
        <w:t xml:space="preserve">, tortuosity or even equivalent pore radius) may </w:t>
      </w:r>
      <w:r w:rsidR="00F91742" w:rsidRPr="00F91742">
        <w:t>exert a significant influence</w:t>
      </w:r>
      <w:r w:rsidR="00B26BA3">
        <w:t xml:space="preserve"> on the activation overpotentials or on the gas diffusion</w:t>
      </w:r>
      <w:r w:rsidR="00F91742" w:rsidRPr="00F91742">
        <w:t>. Consequently, there arises a</w:t>
      </w:r>
      <w:r>
        <w:t xml:space="preserve"> </w:t>
      </w:r>
      <w:r w:rsidR="00F91742" w:rsidRPr="00F91742">
        <w:t>necessary task of discerning which sets of parameters are indispensable for estimation, particularly when confronted with a limited number of experiments</w:t>
      </w:r>
      <w:r w:rsidR="00B26BA3">
        <w:t xml:space="preserve"> to avoid overfitting</w:t>
      </w:r>
      <w:r w:rsidR="00F91742" w:rsidRPr="00F91742">
        <w:t>. While parameter estimation is acknowledged as the initial step</w:t>
      </w:r>
      <w:r w:rsidR="00B26BA3">
        <w:t xml:space="preserve"> of a wider dynamical study</w:t>
      </w:r>
      <w:r w:rsidR="00F91742" w:rsidRPr="00F91742">
        <w:t>, it is a fundamental</w:t>
      </w:r>
      <w:r>
        <w:t xml:space="preserve"> </w:t>
      </w:r>
      <w:r w:rsidR="00F91742" w:rsidRPr="00F91742">
        <w:t>and pivotal process. This paper introduces and executes the processing and pretreatment of experimental data,</w:t>
      </w:r>
      <w:r w:rsidR="00B26BA3">
        <w:t xml:space="preserve"> and its error propagation, </w:t>
      </w:r>
      <w:r w:rsidR="00F91742" w:rsidRPr="00F91742">
        <w:t>alongside detailed parameter estimation.</w:t>
      </w:r>
      <w:r w:rsidR="00085505">
        <w:t xml:space="preserve"> </w:t>
      </w:r>
      <w:r w:rsidR="00EF67DA" w:rsidRPr="00EF67DA">
        <w:t>The results of this study highlight the robust and dependable nature of the SOFC stack model, rendering it well-suited for application in later stages of dynamic energy system development</w:t>
      </w:r>
      <w:r w:rsidR="00EF67DA">
        <w:t xml:space="preserve">. </w:t>
      </w:r>
    </w:p>
    <w:p w14:paraId="144DE699" w14:textId="0A34CE99" w:rsidR="008D2649" w:rsidRDefault="00A84A3E" w:rsidP="009503F6">
      <w:pPr>
        <w:pStyle w:val="Els-1storder-head"/>
        <w:spacing w:before="60"/>
      </w:pPr>
      <w:r>
        <w:t xml:space="preserve">Methodology </w:t>
      </w:r>
    </w:p>
    <w:p w14:paraId="38778196" w14:textId="351A2051" w:rsidR="00424489" w:rsidRDefault="00192FE8" w:rsidP="009503F6">
      <w:pPr>
        <w:pStyle w:val="Els-2ndorder-head"/>
      </w:pPr>
      <w:r>
        <w:t xml:space="preserve">SOFC </w:t>
      </w:r>
      <w:r w:rsidR="008A7748">
        <w:t>stack model description</w:t>
      </w:r>
      <w:r w:rsidR="009611FB">
        <w:t xml:space="preserve"> </w:t>
      </w:r>
    </w:p>
    <w:p w14:paraId="1201FCE1" w14:textId="2B628E22" w:rsidR="009503F6" w:rsidRDefault="00424489" w:rsidP="009503F6">
      <w:pPr>
        <w:pStyle w:val="Els-body-text"/>
        <w:rPr>
          <w:sz w:val="18"/>
          <w:szCs w:val="18"/>
        </w:rPr>
      </w:pPr>
      <w:proofErr w:type="spellStart"/>
      <w:r>
        <w:t>gPROMS</w:t>
      </w:r>
      <w:proofErr w:type="spellEnd"/>
      <w:r>
        <w:t xml:space="preserve"> Process Academic Research is among the most advanced modelling software available today. It features Global System analysis, together with design of experiments and model validation tools that can be carried out on highly sophisticated models. In this section, the electrochemical model of an SOFC is briefly described to enable a good overview of its </w:t>
      </w:r>
      <w:r w:rsidRPr="009503F6">
        <w:t>structure</w:t>
      </w:r>
      <w:r w:rsidRPr="009503F6">
        <w:rPr>
          <w:sz w:val="18"/>
          <w:szCs w:val="18"/>
        </w:rPr>
        <w:t>.</w:t>
      </w:r>
    </w:p>
    <w:p w14:paraId="5D6F4BFC" w14:textId="77777777" w:rsidR="007E4DA3" w:rsidRPr="007E4DA3" w:rsidRDefault="007E4DA3" w:rsidP="009503F6">
      <w:pPr>
        <w:pStyle w:val="Els-body-text"/>
        <w:rPr>
          <w:sz w:val="6"/>
          <w:szCs w:val="6"/>
        </w:rPr>
      </w:pPr>
    </w:p>
    <w:p w14:paraId="1043944C" w14:textId="79E1DEB5" w:rsidR="009503F6" w:rsidRDefault="002529C5" w:rsidP="009503F6">
      <w:pPr>
        <w:pStyle w:val="Els-body-text"/>
        <w:keepNext/>
        <w:jc w:val="center"/>
      </w:pPr>
      <w:r>
        <w:rPr>
          <w:noProof/>
        </w:rPr>
        <w:drawing>
          <wp:inline distT="0" distB="0" distL="0" distR="0" wp14:anchorId="73BF9894" wp14:editId="286525D7">
            <wp:extent cx="3033373" cy="1821051"/>
            <wp:effectExtent l="0" t="0" r="2540" b="0"/>
            <wp:docPr id="2041052072" name="Picture 6" descr="A diagram of an anode f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052072" name="Picture 6" descr="A diagram of an anode flow&#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62499" cy="1958604"/>
                    </a:xfrm>
                    <a:prstGeom prst="rect">
                      <a:avLst/>
                    </a:prstGeom>
                  </pic:spPr>
                </pic:pic>
              </a:graphicData>
            </a:graphic>
          </wp:inline>
        </w:drawing>
      </w:r>
    </w:p>
    <w:p w14:paraId="65EF4702" w14:textId="5C87D9D9" w:rsidR="00195313" w:rsidRPr="00195313" w:rsidRDefault="009503F6" w:rsidP="00195313">
      <w:pPr>
        <w:pStyle w:val="Caption"/>
        <w:spacing w:before="60" w:after="60"/>
        <w:jc w:val="center"/>
        <w:rPr>
          <w:sz w:val="16"/>
          <w:szCs w:val="18"/>
        </w:rPr>
      </w:pPr>
      <w:bookmarkStart w:id="0" w:name="_Ref152274853"/>
      <w:r w:rsidRPr="009503F6">
        <w:rPr>
          <w:sz w:val="16"/>
          <w:szCs w:val="18"/>
        </w:rPr>
        <w:t xml:space="preserve">Figure </w:t>
      </w:r>
      <w:r w:rsidRPr="009503F6">
        <w:rPr>
          <w:sz w:val="16"/>
          <w:szCs w:val="18"/>
        </w:rPr>
        <w:fldChar w:fldCharType="begin"/>
      </w:r>
      <w:r w:rsidRPr="009503F6">
        <w:rPr>
          <w:sz w:val="16"/>
          <w:szCs w:val="18"/>
        </w:rPr>
        <w:instrText xml:space="preserve"> SEQ Figure \* ARABIC </w:instrText>
      </w:r>
      <w:r w:rsidRPr="009503F6">
        <w:rPr>
          <w:sz w:val="16"/>
          <w:szCs w:val="18"/>
        </w:rPr>
        <w:fldChar w:fldCharType="separate"/>
      </w:r>
      <w:r w:rsidR="003A5258">
        <w:rPr>
          <w:noProof/>
          <w:sz w:val="16"/>
          <w:szCs w:val="18"/>
        </w:rPr>
        <w:t>1</w:t>
      </w:r>
      <w:r w:rsidRPr="009503F6">
        <w:rPr>
          <w:sz w:val="16"/>
          <w:szCs w:val="18"/>
        </w:rPr>
        <w:fldChar w:fldCharType="end"/>
      </w:r>
      <w:bookmarkEnd w:id="0"/>
      <w:r w:rsidRPr="009503F6">
        <w:rPr>
          <w:sz w:val="16"/>
          <w:szCs w:val="18"/>
        </w:rPr>
        <w:t xml:space="preserve">. </w:t>
      </w:r>
      <w:proofErr w:type="spellStart"/>
      <w:r w:rsidRPr="009503F6">
        <w:rPr>
          <w:sz w:val="16"/>
          <w:szCs w:val="18"/>
        </w:rPr>
        <w:t>gPROMS</w:t>
      </w:r>
      <w:proofErr w:type="spellEnd"/>
      <w:r w:rsidRPr="009503F6">
        <w:rPr>
          <w:sz w:val="16"/>
          <w:szCs w:val="18"/>
        </w:rPr>
        <w:t xml:space="preserve"> SOFC model - modelling structure</w:t>
      </w:r>
    </w:p>
    <w:p w14:paraId="4B13BF44" w14:textId="2F2514E5" w:rsidR="009503F6" w:rsidRPr="009503F6" w:rsidRDefault="009503F6" w:rsidP="009503F6">
      <w:pPr>
        <w:pStyle w:val="Els-body-text"/>
      </w:pPr>
      <w:r w:rsidRPr="009503F6">
        <w:rPr>
          <w:color w:val="000000" w:themeColor="text1"/>
        </w:rPr>
        <w:t xml:space="preserve">In </w:t>
      </w:r>
      <w:r w:rsidR="00330079" w:rsidRPr="00330079">
        <w:rPr>
          <w:color w:val="000000" w:themeColor="text1"/>
        </w:rPr>
        <w:fldChar w:fldCharType="begin"/>
      </w:r>
      <w:r w:rsidR="00330079" w:rsidRPr="00330079">
        <w:rPr>
          <w:color w:val="000000" w:themeColor="text1"/>
        </w:rPr>
        <w:instrText xml:space="preserve"> REF _Ref152274853 \h </w:instrText>
      </w:r>
      <w:r w:rsidR="00330079">
        <w:rPr>
          <w:color w:val="000000" w:themeColor="text1"/>
        </w:rPr>
        <w:instrText xml:space="preserve"> \* MERGEFORMAT </w:instrText>
      </w:r>
      <w:r w:rsidR="00330079" w:rsidRPr="00330079">
        <w:rPr>
          <w:color w:val="000000" w:themeColor="text1"/>
        </w:rPr>
      </w:r>
      <w:r w:rsidR="00330079" w:rsidRPr="00330079">
        <w:rPr>
          <w:color w:val="000000" w:themeColor="text1"/>
        </w:rPr>
        <w:fldChar w:fldCharType="separate"/>
      </w:r>
      <w:r w:rsidR="00330079" w:rsidRPr="00330079">
        <w:t xml:space="preserve">Figure </w:t>
      </w:r>
      <w:r w:rsidR="00330079" w:rsidRPr="00330079">
        <w:rPr>
          <w:noProof/>
        </w:rPr>
        <w:t>1</w:t>
      </w:r>
      <w:r w:rsidR="00330079" w:rsidRPr="00330079">
        <w:rPr>
          <w:color w:val="000000" w:themeColor="text1"/>
        </w:rPr>
        <w:fldChar w:fldCharType="end"/>
      </w:r>
      <w:r w:rsidR="00330079">
        <w:rPr>
          <w:color w:val="000000" w:themeColor="text1"/>
        </w:rPr>
        <w:t xml:space="preserve"> </w:t>
      </w:r>
      <w:r w:rsidRPr="009503F6">
        <w:t>a process flow</w:t>
      </w:r>
      <w:r>
        <w:t xml:space="preserve"> diagram illustrates the different layers for a precise SOFC modelling. The gas</w:t>
      </w:r>
      <w:r w:rsidR="00C4386B">
        <w:t>es</w:t>
      </w:r>
      <w:r>
        <w:t xml:space="preserve"> with a defined composition, temperature and pressure are injected through the flow channel in co-flow configuration. There, the molecules will diffuse through the backing layers (i.e. substrate layers) to reach the catalyst layer where the effective electrochemical reactions will take place. Each of these layers can be precisely characterized in terms of thickness, diffusion properties, thermal conductivity or even chemical reactivity. Between the 2 electrodes, the membrane should enable the </w:t>
      </w:r>
      <w:r>
        <w:lastRenderedPageBreak/>
        <w:t>propagation of O</w:t>
      </w:r>
      <w:r>
        <w:rPr>
          <w:vertAlign w:val="superscript"/>
        </w:rPr>
        <w:t>2—</w:t>
      </w:r>
      <w:r>
        <w:t xml:space="preserve">ions, while limiting its electric conductivity to avoid any significant losses in the cell voltage. The electrons are then transferred to the current collector through interconnect, where, between others, the contact resistance and electrical conductivity can again be specified. This complex modelling enables very precise calculations even along the flow direction, requiring obviously a large set of parameters. </w:t>
      </w:r>
    </w:p>
    <w:p w14:paraId="2F86EDFB" w14:textId="7CBC7597" w:rsidR="004A5921" w:rsidRDefault="00424489" w:rsidP="009503F6">
      <w:pPr>
        <w:pStyle w:val="Els-2ndorder-head"/>
      </w:pPr>
      <w:r>
        <w:t xml:space="preserve">Methodology for the Model Validation </w:t>
      </w:r>
      <w:r w:rsidR="009503F6">
        <w:t>mechanism</w:t>
      </w:r>
    </w:p>
    <w:p w14:paraId="59F75AB7" w14:textId="198BC4A6" w:rsidR="00424489" w:rsidRDefault="00424489" w:rsidP="009503F6">
      <w:pPr>
        <w:jc w:val="both"/>
        <w:rPr>
          <w:sz w:val="20"/>
          <w:szCs w:val="20"/>
        </w:rPr>
      </w:pPr>
      <w:r w:rsidRPr="009503F6">
        <w:rPr>
          <w:sz w:val="20"/>
          <w:szCs w:val="20"/>
        </w:rPr>
        <w:t xml:space="preserve">The model validation process is part of a more general scientific approach. </w:t>
      </w:r>
      <w:r w:rsidR="009503F6" w:rsidRPr="009503F6">
        <w:rPr>
          <w:sz w:val="20"/>
          <w:szCs w:val="20"/>
          <w:lang w:val="en-US"/>
        </w:rPr>
        <w:t>As sho</w:t>
      </w:r>
      <w:r w:rsidR="009503F6">
        <w:rPr>
          <w:sz w:val="20"/>
          <w:szCs w:val="20"/>
          <w:lang w:val="en-US"/>
        </w:rPr>
        <w:t xml:space="preserve">wn in </w:t>
      </w:r>
      <w:r w:rsidR="009503F6" w:rsidRPr="009503F6">
        <w:rPr>
          <w:sz w:val="20"/>
          <w:szCs w:val="20"/>
          <w:lang w:val="en-US"/>
        </w:rPr>
        <w:fldChar w:fldCharType="begin"/>
      </w:r>
      <w:r w:rsidR="009503F6" w:rsidRPr="009503F6">
        <w:rPr>
          <w:sz w:val="20"/>
          <w:szCs w:val="20"/>
          <w:lang w:val="en-US"/>
        </w:rPr>
        <w:instrText xml:space="preserve"> REF _Ref152261152 \h  \* MERGEFORMAT </w:instrText>
      </w:r>
      <w:r w:rsidR="009503F6" w:rsidRPr="009503F6">
        <w:rPr>
          <w:sz w:val="20"/>
          <w:szCs w:val="20"/>
          <w:lang w:val="en-US"/>
        </w:rPr>
      </w:r>
      <w:r w:rsidR="009503F6" w:rsidRPr="009503F6">
        <w:rPr>
          <w:sz w:val="20"/>
          <w:szCs w:val="20"/>
          <w:lang w:val="en-US"/>
        </w:rPr>
        <w:fldChar w:fldCharType="separate"/>
      </w:r>
      <w:r w:rsidR="003A5258" w:rsidRPr="003A5258">
        <w:rPr>
          <w:sz w:val="20"/>
          <w:szCs w:val="20"/>
        </w:rPr>
        <w:t xml:space="preserve">Figure </w:t>
      </w:r>
      <w:r w:rsidR="003A5258" w:rsidRPr="003A5258">
        <w:rPr>
          <w:noProof/>
          <w:sz w:val="20"/>
          <w:szCs w:val="20"/>
        </w:rPr>
        <w:t>2</w:t>
      </w:r>
      <w:r w:rsidR="009503F6" w:rsidRPr="009503F6">
        <w:rPr>
          <w:sz w:val="20"/>
          <w:szCs w:val="20"/>
          <w:lang w:val="en-US"/>
        </w:rPr>
        <w:fldChar w:fldCharType="end"/>
      </w:r>
      <w:r w:rsidR="009503F6">
        <w:rPr>
          <w:sz w:val="20"/>
          <w:szCs w:val="20"/>
          <w:lang w:val="en-US"/>
        </w:rPr>
        <w:t>, i</w:t>
      </w:r>
      <w:r w:rsidR="00C4386B" w:rsidRPr="00C4386B">
        <w:rPr>
          <w:sz w:val="20"/>
          <w:szCs w:val="20"/>
          <w:lang w:val="en-US"/>
        </w:rPr>
        <w:t>t</w:t>
      </w:r>
      <w:r w:rsidR="00C4386B">
        <w:rPr>
          <w:sz w:val="20"/>
          <w:szCs w:val="20"/>
          <w:lang w:val="en-US"/>
        </w:rPr>
        <w:t xml:space="preserve"> </w:t>
      </w:r>
      <w:r w:rsidRPr="009503F6">
        <w:rPr>
          <w:sz w:val="20"/>
          <w:szCs w:val="20"/>
        </w:rPr>
        <w:t>includes primarily the laboratory work like carrying out the experimental tests, processing the data and the extracting the interesting experiments. Secondly, the error propagation and sensitivity analysis for selecting the crucial parameters have to be performed. Once these first steps are accepted, one can finally turn to the model validation followed by a statistical analysis to assess the results. This procedure can then be repeated several times in order to gain accuracy on the final validated model. Indeed, after a first trial, one might want to diversify the experiments, or seek for new parameters to be estimated. Each of these steps is detailed in the results to stress out their importance and enable a clear overview of the procedure.</w:t>
      </w:r>
    </w:p>
    <w:p w14:paraId="46A0FDAA" w14:textId="77777777" w:rsidR="007E4DA3" w:rsidRPr="007E4DA3" w:rsidRDefault="007E4DA3" w:rsidP="009503F6">
      <w:pPr>
        <w:jc w:val="both"/>
        <w:rPr>
          <w:sz w:val="4"/>
          <w:szCs w:val="4"/>
        </w:rPr>
      </w:pPr>
    </w:p>
    <w:p w14:paraId="2847A707" w14:textId="45E957B1" w:rsidR="009503F6" w:rsidRPr="009503F6" w:rsidRDefault="002529C5" w:rsidP="009503F6">
      <w:pPr>
        <w:keepNext/>
        <w:jc w:val="center"/>
        <w:rPr>
          <w:lang w:val="fr-CH"/>
        </w:rPr>
      </w:pPr>
      <w:r>
        <w:rPr>
          <w:noProof/>
          <w:sz w:val="16"/>
          <w:szCs w:val="18"/>
        </w:rPr>
        <w:drawing>
          <wp:inline distT="0" distB="0" distL="0" distR="0" wp14:anchorId="23D5F513" wp14:editId="505F3362">
            <wp:extent cx="3031958" cy="1408582"/>
            <wp:effectExtent l="0" t="0" r="3810" b="1270"/>
            <wp:docPr id="788929098" name="Picture 7"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929098" name="Picture 7" descr="A diagram of a proces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98427" cy="1439462"/>
                    </a:xfrm>
                    <a:prstGeom prst="rect">
                      <a:avLst/>
                    </a:prstGeom>
                  </pic:spPr>
                </pic:pic>
              </a:graphicData>
            </a:graphic>
          </wp:inline>
        </w:drawing>
      </w:r>
    </w:p>
    <w:p w14:paraId="75C7D4C4" w14:textId="068DC31D" w:rsidR="00676AF3" w:rsidRPr="009503F6" w:rsidRDefault="009503F6" w:rsidP="00195313">
      <w:pPr>
        <w:pStyle w:val="Caption"/>
        <w:spacing w:before="60" w:after="60"/>
        <w:jc w:val="center"/>
        <w:rPr>
          <w:sz w:val="16"/>
          <w:szCs w:val="18"/>
        </w:rPr>
      </w:pPr>
      <w:bookmarkStart w:id="1" w:name="_Ref152261152"/>
      <w:r w:rsidRPr="009503F6">
        <w:rPr>
          <w:sz w:val="16"/>
          <w:szCs w:val="18"/>
        </w:rPr>
        <w:t xml:space="preserve">Figure </w:t>
      </w:r>
      <w:r w:rsidRPr="009503F6">
        <w:rPr>
          <w:sz w:val="16"/>
          <w:szCs w:val="18"/>
        </w:rPr>
        <w:fldChar w:fldCharType="begin"/>
      </w:r>
      <w:r w:rsidRPr="009503F6">
        <w:rPr>
          <w:sz w:val="16"/>
          <w:szCs w:val="18"/>
        </w:rPr>
        <w:instrText xml:space="preserve"> SEQ Figure \* ARABIC </w:instrText>
      </w:r>
      <w:r w:rsidRPr="009503F6">
        <w:rPr>
          <w:sz w:val="16"/>
          <w:szCs w:val="18"/>
        </w:rPr>
        <w:fldChar w:fldCharType="separate"/>
      </w:r>
      <w:r w:rsidR="003A5258">
        <w:rPr>
          <w:noProof/>
          <w:sz w:val="16"/>
          <w:szCs w:val="18"/>
        </w:rPr>
        <w:t>2</w:t>
      </w:r>
      <w:r w:rsidRPr="009503F6">
        <w:rPr>
          <w:sz w:val="16"/>
          <w:szCs w:val="18"/>
        </w:rPr>
        <w:fldChar w:fldCharType="end"/>
      </w:r>
      <w:bookmarkEnd w:id="1"/>
      <w:r w:rsidRPr="009503F6">
        <w:rPr>
          <w:sz w:val="16"/>
          <w:szCs w:val="18"/>
        </w:rPr>
        <w:t>. Working mechanism of model validation</w:t>
      </w:r>
    </w:p>
    <w:p w14:paraId="144DE6A1" w14:textId="0A8FA395" w:rsidR="008D2649" w:rsidRDefault="00A84A3E" w:rsidP="009503F6">
      <w:pPr>
        <w:pStyle w:val="Els-1storder-head"/>
        <w:spacing w:before="60"/>
        <w:rPr>
          <w:lang w:val="en-GB"/>
        </w:rPr>
      </w:pPr>
      <w:r>
        <w:rPr>
          <w:lang w:val="en-GB"/>
        </w:rPr>
        <w:t xml:space="preserve">Results and </w:t>
      </w:r>
      <w:r w:rsidR="00466CD8">
        <w:rPr>
          <w:lang w:val="en-GB"/>
        </w:rPr>
        <w:t>Discussions</w:t>
      </w:r>
    </w:p>
    <w:p w14:paraId="126A98CB" w14:textId="1BF17586" w:rsidR="00F77A84" w:rsidRDefault="004C2F1A" w:rsidP="009503F6">
      <w:pPr>
        <w:pStyle w:val="Els-2ndorder-head"/>
      </w:pPr>
      <w:r>
        <w:t>Lab data analysis</w:t>
      </w:r>
    </w:p>
    <w:p w14:paraId="6FC44388" w14:textId="542B6AC2" w:rsidR="00330562" w:rsidRDefault="00F02155" w:rsidP="009503F6">
      <w:pPr>
        <w:pStyle w:val="Els-body-text"/>
      </w:pPr>
      <w:r w:rsidRPr="00F02155">
        <w:t xml:space="preserve">The experimental data, sourced from </w:t>
      </w:r>
      <w:r w:rsidR="00324879">
        <w:t>GEM</w:t>
      </w:r>
      <w:r w:rsidR="0032601B">
        <w:t xml:space="preserve"> lab</w:t>
      </w:r>
      <w:r w:rsidRPr="00F02155">
        <w:t xml:space="preserve">, is intended for the analysis of </w:t>
      </w:r>
      <w:r w:rsidR="0032601B">
        <w:t xml:space="preserve">a </w:t>
      </w:r>
      <w:proofErr w:type="spellStart"/>
      <w:r w:rsidRPr="00F02155">
        <w:t>SolydEra</w:t>
      </w:r>
      <w:proofErr w:type="spellEnd"/>
      <w:r w:rsidRPr="00F02155">
        <w:t xml:space="preserve"> short stack performance. </w:t>
      </w:r>
      <w:r w:rsidR="0032601B">
        <w:t>This</w:t>
      </w:r>
      <w:r w:rsidRPr="00F02155">
        <w:t xml:space="preserve"> stack comprises 6 cells</w:t>
      </w:r>
      <w:r w:rsidR="0032601B">
        <w:t xml:space="preserve"> in series</w:t>
      </w:r>
      <w:r w:rsidRPr="00F02155">
        <w:t>, each possessing an active surface area of 80 cm</w:t>
      </w:r>
      <w:r w:rsidRPr="00593E84">
        <w:rPr>
          <w:vertAlign w:val="superscript"/>
        </w:rPr>
        <w:t>2</w:t>
      </w:r>
      <w:r w:rsidRPr="00F02155">
        <w:t>. Over a duration of 6 months,</w:t>
      </w:r>
      <w:r w:rsidR="0032601B">
        <w:t xml:space="preserve"> </w:t>
      </w:r>
      <w:r w:rsidRPr="00F02155">
        <w:t xml:space="preserve">measurements were conducted at the anode/cathode inlet and outlet, </w:t>
      </w:r>
      <w:r w:rsidR="0032601B">
        <w:t>and</w:t>
      </w:r>
      <w:r w:rsidRPr="00F02155">
        <w:t xml:space="preserve"> on individual cell performance.</w:t>
      </w:r>
      <w:r w:rsidR="00BE6D72">
        <w:t xml:space="preserve"> </w:t>
      </w:r>
      <w:r w:rsidR="00EE41F2">
        <w:t xml:space="preserve">The </w:t>
      </w:r>
      <w:r w:rsidR="00BE6D72">
        <w:t>extensive set</w:t>
      </w:r>
      <w:r w:rsidR="00EE41F2">
        <w:t xml:space="preserve"> of measurements </w:t>
      </w:r>
      <w:r w:rsidR="00BE6D72">
        <w:t>underwent processing</w:t>
      </w:r>
      <w:r w:rsidR="00EE41F2">
        <w:t xml:space="preserve">, and 4 current ramps were </w:t>
      </w:r>
      <w:r w:rsidR="00C4386B">
        <w:t>isolated</w:t>
      </w:r>
      <w:r w:rsidR="00EE41F2">
        <w:t>.</w:t>
      </w:r>
      <w:r w:rsidR="00714135">
        <w:t xml:space="preserve"> </w:t>
      </w:r>
      <w:r w:rsidR="00265C79" w:rsidRPr="00265C79">
        <w:t>Notably, the "dry ramps," involving a H</w:t>
      </w:r>
      <w:r w:rsidR="00265C79" w:rsidRPr="00C85AA4">
        <w:rPr>
          <w:vertAlign w:val="subscript"/>
        </w:rPr>
        <w:t>2</w:t>
      </w:r>
      <w:r w:rsidR="00265C79" w:rsidRPr="00265C79">
        <w:t>/N</w:t>
      </w:r>
      <w:r w:rsidR="00265C79" w:rsidRPr="00C85AA4">
        <w:rPr>
          <w:vertAlign w:val="subscript"/>
        </w:rPr>
        <w:t>2</w:t>
      </w:r>
      <w:r w:rsidR="00265C79" w:rsidRPr="00265C79">
        <w:t xml:space="preserve"> mixture at the anode inlet, are distinguished from "wet ramps," where steam, </w:t>
      </w:r>
      <w:r w:rsidR="00714135">
        <w:t>CO</w:t>
      </w:r>
      <w:r w:rsidR="00714135">
        <w:rPr>
          <w:vertAlign w:val="subscript"/>
        </w:rPr>
        <w:t>2</w:t>
      </w:r>
      <w:r w:rsidR="00265C79" w:rsidRPr="00265C79">
        <w:t>, and methane are additionally injected at the fuel electrode.</w:t>
      </w:r>
    </w:p>
    <w:p w14:paraId="3721BC88" w14:textId="54E7DD4B" w:rsidR="00330562" w:rsidRPr="00330562" w:rsidRDefault="00330562" w:rsidP="009503F6">
      <w:pPr>
        <w:pStyle w:val="Els-3rdorder-head"/>
      </w:pPr>
      <w:r>
        <w:t>Error propagation</w:t>
      </w:r>
    </w:p>
    <w:p w14:paraId="76E26E92" w14:textId="643FCEA8" w:rsidR="00330562" w:rsidRDefault="00BA1F16" w:rsidP="009503F6">
      <w:pPr>
        <w:pStyle w:val="Els-body-text"/>
      </w:pPr>
      <w:r w:rsidRPr="00BA1F16">
        <w:t xml:space="preserve">Given the complexity of the </w:t>
      </w:r>
      <w:proofErr w:type="spellStart"/>
      <w:r w:rsidRPr="00BA1F16">
        <w:t>gPROMS</w:t>
      </w:r>
      <w:proofErr w:type="spellEnd"/>
      <w:r w:rsidRPr="00BA1F16">
        <w:t xml:space="preserve"> model, a non-mathematical approach has been favored, opting for error calculation through the </w:t>
      </w:r>
      <w:proofErr w:type="spellStart"/>
      <w:r w:rsidRPr="00BA1F16">
        <w:t>Sobol</w:t>
      </w:r>
      <w:proofErr w:type="spellEnd"/>
      <w:r w:rsidRPr="00BA1F16">
        <w:t xml:space="preserve"> sampling method. Assuming normally distributed errors, the </w:t>
      </w:r>
      <w:proofErr w:type="spellStart"/>
      <w:r w:rsidRPr="00BA1F16">
        <w:t>gPROMS</w:t>
      </w:r>
      <w:proofErr w:type="spellEnd"/>
      <w:r w:rsidRPr="00BA1F16">
        <w:t xml:space="preserve"> model underwent 1000 calculations, selecting input conditions quasi-randomly based on their mean and standard deviation</w:t>
      </w:r>
      <w:r w:rsidR="009503F6">
        <w:t xml:space="preserve">. </w:t>
      </w:r>
      <w:r w:rsidR="009503F6" w:rsidRPr="009503F6">
        <w:rPr>
          <w:highlight w:val="yellow"/>
        </w:rPr>
        <w:fldChar w:fldCharType="begin"/>
      </w:r>
      <w:r w:rsidR="009503F6" w:rsidRPr="009503F6">
        <w:instrText xml:space="preserve"> REF _Ref152261459 \h </w:instrText>
      </w:r>
      <w:r w:rsidR="009503F6">
        <w:rPr>
          <w:highlight w:val="yellow"/>
        </w:rPr>
        <w:instrText xml:space="preserve"> \* MERGEFORMAT </w:instrText>
      </w:r>
      <w:r w:rsidR="009503F6" w:rsidRPr="009503F6">
        <w:rPr>
          <w:highlight w:val="yellow"/>
        </w:rPr>
      </w:r>
      <w:r w:rsidR="009503F6" w:rsidRPr="009503F6">
        <w:rPr>
          <w:highlight w:val="yellow"/>
        </w:rPr>
        <w:fldChar w:fldCharType="separate"/>
      </w:r>
      <w:r w:rsidR="003A5258" w:rsidRPr="003A5258">
        <w:t xml:space="preserve">Figure </w:t>
      </w:r>
      <w:r w:rsidR="003A5258" w:rsidRPr="003A5258">
        <w:rPr>
          <w:noProof/>
        </w:rPr>
        <w:t>3</w:t>
      </w:r>
      <w:r w:rsidR="009503F6" w:rsidRPr="009503F6">
        <w:rPr>
          <w:highlight w:val="yellow"/>
        </w:rPr>
        <w:fldChar w:fldCharType="end"/>
      </w:r>
      <w:r w:rsidR="009503F6" w:rsidRPr="009503F6">
        <w:t xml:space="preserve"> shows the j</w:t>
      </w:r>
      <w:r w:rsidR="009503F6">
        <w:t>-</w:t>
      </w:r>
      <w:r w:rsidR="009503F6" w:rsidRPr="009503F6">
        <w:t>V</w:t>
      </w:r>
      <w:r w:rsidR="009503F6">
        <w:t xml:space="preserve"> </w:t>
      </w:r>
      <w:r w:rsidR="009503F6" w:rsidRPr="009503F6">
        <w:t>curve</w:t>
      </w:r>
      <w:r w:rsidR="009503F6">
        <w:t xml:space="preserve"> with the 95%-interval for the dry and the wet experiments. It clearly emphasizes that the error on the voltage increases with increasing current densities and </w:t>
      </w:r>
      <w:r w:rsidR="009503F6" w:rsidRPr="001C4104">
        <w:t>underscores that wet experiments are more susceptible to significant deviations from the actual value</w:t>
      </w:r>
      <w:r w:rsidR="009503F6">
        <w:t xml:space="preserve">. </w:t>
      </w:r>
      <w:r w:rsidR="009503F6" w:rsidRPr="00D03D19">
        <w:t xml:space="preserve">It is important to clarify that a literature-based </w:t>
      </w:r>
      <w:proofErr w:type="spellStart"/>
      <w:r w:rsidR="009503F6">
        <w:t>gPROMS</w:t>
      </w:r>
      <w:proofErr w:type="spellEnd"/>
      <w:r w:rsidR="009503F6">
        <w:t xml:space="preserve"> </w:t>
      </w:r>
      <w:r w:rsidR="009503F6" w:rsidRPr="00D03D19">
        <w:t>model was employed at this stage, potentially introducing some relaxation i</w:t>
      </w:r>
      <w:r w:rsidR="0032601B">
        <w:t>n the computed errors</w:t>
      </w:r>
      <w:r w:rsidR="009503F6" w:rsidRPr="00D03D19">
        <w:t>. Additionally,</w:t>
      </w:r>
      <w:r w:rsidR="0032601B">
        <w:t xml:space="preserve"> </w:t>
      </w:r>
      <w:r w:rsidR="009503F6" w:rsidRPr="00D03D19">
        <w:t>for wet experiments, the system transitions to the concentration-limited regime</w:t>
      </w:r>
      <w:r w:rsidR="0032601B">
        <w:t xml:space="preserve"> at relatively low current density</w:t>
      </w:r>
      <w:r w:rsidR="009503F6" w:rsidRPr="00D03D19">
        <w:t>, resulting in a wider error range. This finding serves as a guideline for further experiment design.</w:t>
      </w:r>
    </w:p>
    <w:p w14:paraId="205A5137" w14:textId="004D52E1" w:rsidR="00BE7D73" w:rsidRPr="00BE7D73" w:rsidRDefault="0032601B" w:rsidP="00BE7D73">
      <w:pPr>
        <w:pStyle w:val="Els-body-text"/>
        <w:jc w:val="center"/>
        <w:rPr>
          <w:sz w:val="15"/>
          <w:szCs w:val="15"/>
        </w:rPr>
      </w:pPr>
      <w:r>
        <w:rPr>
          <w:noProof/>
        </w:rPr>
        <w:lastRenderedPageBreak/>
        <w:drawing>
          <wp:inline distT="0" distB="0" distL="0" distR="0" wp14:anchorId="3F998196" wp14:editId="4A221D20">
            <wp:extent cx="3420533" cy="2032000"/>
            <wp:effectExtent l="0" t="0" r="0" b="0"/>
            <wp:docPr id="1803180270" name="Picture 1" descr="A graph of a graph showing the growth of a pla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180270" name="Picture 1" descr="A graph of a graph showing the growth of a plant&#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26860" cy="2035758"/>
                    </a:xfrm>
                    <a:prstGeom prst="rect">
                      <a:avLst/>
                    </a:prstGeom>
                  </pic:spPr>
                </pic:pic>
              </a:graphicData>
            </a:graphic>
          </wp:inline>
        </w:drawing>
      </w:r>
      <w:bookmarkStart w:id="2" w:name="_Ref152261459"/>
    </w:p>
    <w:p w14:paraId="2E2B6B56" w14:textId="5D083EB3" w:rsidR="009503F6" w:rsidRPr="009503F6" w:rsidRDefault="009503F6" w:rsidP="00195313">
      <w:pPr>
        <w:pStyle w:val="Caption"/>
        <w:spacing w:before="60" w:after="60"/>
        <w:jc w:val="center"/>
        <w:rPr>
          <w:sz w:val="16"/>
          <w:szCs w:val="16"/>
        </w:rPr>
      </w:pPr>
      <w:r w:rsidRPr="009503F6">
        <w:rPr>
          <w:sz w:val="16"/>
          <w:szCs w:val="16"/>
        </w:rPr>
        <w:t xml:space="preserve">Figure </w:t>
      </w:r>
      <w:r w:rsidRPr="009503F6">
        <w:rPr>
          <w:sz w:val="16"/>
          <w:szCs w:val="16"/>
        </w:rPr>
        <w:fldChar w:fldCharType="begin"/>
      </w:r>
      <w:r w:rsidRPr="009503F6">
        <w:rPr>
          <w:sz w:val="16"/>
          <w:szCs w:val="16"/>
        </w:rPr>
        <w:instrText xml:space="preserve"> SEQ Figure \* ARABIC </w:instrText>
      </w:r>
      <w:r w:rsidRPr="009503F6">
        <w:rPr>
          <w:sz w:val="16"/>
          <w:szCs w:val="16"/>
        </w:rPr>
        <w:fldChar w:fldCharType="separate"/>
      </w:r>
      <w:r w:rsidR="003A5258">
        <w:rPr>
          <w:noProof/>
          <w:sz w:val="16"/>
          <w:szCs w:val="16"/>
        </w:rPr>
        <w:t>3</w:t>
      </w:r>
      <w:r w:rsidRPr="009503F6">
        <w:rPr>
          <w:sz w:val="16"/>
          <w:szCs w:val="16"/>
        </w:rPr>
        <w:fldChar w:fldCharType="end"/>
      </w:r>
      <w:bookmarkEnd w:id="2"/>
      <w:r w:rsidRPr="009503F6">
        <w:rPr>
          <w:sz w:val="16"/>
          <w:szCs w:val="16"/>
        </w:rPr>
        <w:t>. Error propagation of dry and wet experiments</w:t>
      </w:r>
    </w:p>
    <w:p w14:paraId="770C914A" w14:textId="2A04C31F" w:rsidR="00330562" w:rsidRPr="00330562" w:rsidRDefault="00F57618" w:rsidP="009503F6">
      <w:pPr>
        <w:pStyle w:val="Els-2ndorder-head"/>
      </w:pPr>
      <w:r w:rsidRPr="00F57618">
        <w:t>Sensitivity Analysis for Parameter Selection</w:t>
      </w:r>
    </w:p>
    <w:p w14:paraId="3A1C4E08" w14:textId="665068DC" w:rsidR="00BE0769" w:rsidRDefault="00805535" w:rsidP="003F6024">
      <w:pPr>
        <w:pStyle w:val="Els-body-text"/>
      </w:pPr>
      <w:r w:rsidRPr="00805535">
        <w:t>Employing a 2D-SOFC model offers advantages in comprehending the bidirectional behaviors of the stack.</w:t>
      </w:r>
      <w:r w:rsidR="009503F6">
        <w:t xml:space="preserve"> </w:t>
      </w:r>
      <w:r w:rsidR="000B5321" w:rsidRPr="000B5321">
        <w:t>Nevertheless, constructing such a highly sophisticated mathematical model relies on numerous equations and variables.</w:t>
      </w:r>
      <w:r w:rsidR="000B5321">
        <w:t xml:space="preserve"> </w:t>
      </w:r>
      <w:r w:rsidR="00C10758" w:rsidRPr="00C10758">
        <w:t>Given the limited quantity of data, discerning sensitive variables is crucial for enabling efficient validation.</w:t>
      </w:r>
      <w:r w:rsidR="00C10758">
        <w:t xml:space="preserve"> </w:t>
      </w:r>
      <w:r w:rsidR="00F809D2">
        <w:t xml:space="preserve">A </w:t>
      </w:r>
      <w:r w:rsidR="00142797" w:rsidRPr="00142797">
        <w:t>sensitivity analysis was</w:t>
      </w:r>
      <w:r w:rsidR="00F809D2">
        <w:t xml:space="preserve"> hence</w:t>
      </w:r>
      <w:r w:rsidR="00142797" w:rsidRPr="00142797">
        <w:t xml:space="preserve"> conducted on all relevant parameters across various current densities.</w:t>
      </w:r>
      <w:r w:rsidR="00142797">
        <w:t xml:space="preserve"> </w:t>
      </w:r>
      <w:r w:rsidR="009503F6" w:rsidRPr="009503F6">
        <w:rPr>
          <w:highlight w:val="yellow"/>
        </w:rPr>
        <w:fldChar w:fldCharType="begin"/>
      </w:r>
      <w:r w:rsidR="009503F6" w:rsidRPr="009503F6">
        <w:rPr>
          <w:highlight w:val="yellow"/>
        </w:rPr>
        <w:instrText xml:space="preserve"> REF _Ref152262751 \h </w:instrText>
      </w:r>
      <w:r w:rsidR="009503F6">
        <w:rPr>
          <w:highlight w:val="yellow"/>
        </w:rPr>
        <w:instrText xml:space="preserve"> \* MERGEFORMAT </w:instrText>
      </w:r>
      <w:r w:rsidR="009503F6" w:rsidRPr="009503F6">
        <w:rPr>
          <w:highlight w:val="yellow"/>
        </w:rPr>
      </w:r>
      <w:r w:rsidR="009503F6" w:rsidRPr="009503F6">
        <w:rPr>
          <w:highlight w:val="yellow"/>
        </w:rPr>
        <w:fldChar w:fldCharType="separate"/>
      </w:r>
      <w:r w:rsidR="003A5258" w:rsidRPr="003A5258">
        <w:t xml:space="preserve">Figure </w:t>
      </w:r>
      <w:r w:rsidR="003A5258" w:rsidRPr="003A5258">
        <w:rPr>
          <w:noProof/>
        </w:rPr>
        <w:t>4</w:t>
      </w:r>
      <w:r w:rsidR="009503F6" w:rsidRPr="009503F6">
        <w:rPr>
          <w:highlight w:val="yellow"/>
        </w:rPr>
        <w:fldChar w:fldCharType="end"/>
      </w:r>
      <w:r w:rsidR="009503F6">
        <w:t xml:space="preserve"> </w:t>
      </w:r>
      <w:r w:rsidR="00C74A7D" w:rsidRPr="00C74A7D">
        <w:t>depicts the methodology for four typical parameters.</w:t>
      </w:r>
      <w:r w:rsidR="009503F6">
        <w:t xml:space="preserve"> </w:t>
      </w:r>
      <w:r w:rsidR="00F809D2">
        <w:t xml:space="preserve">It </w:t>
      </w:r>
      <w:r w:rsidR="009503F6" w:rsidRPr="005A1118">
        <w:t>appears that only the parameter defining the membrane's electrical conductivity has a discernible impact on the open circuit voltage.</w:t>
      </w:r>
      <w:r w:rsidR="009503F6">
        <w:t xml:space="preserve"> </w:t>
      </w:r>
      <w:r w:rsidR="009503F6" w:rsidRPr="00330562">
        <w:t>While the mass specific area of the anode catalyst has a major impact on voltage at medium current densities, the parameter describing the mass transfer at the anode has a considerable influence close to the limiting current density.</w:t>
      </w:r>
      <w:r w:rsidR="00F809D2">
        <w:t xml:space="preserve"> On the </w:t>
      </w:r>
      <w:r w:rsidR="00F809D2" w:rsidRPr="00330562">
        <w:t xml:space="preserve">contrary, a variation in the density of the anode </w:t>
      </w:r>
      <w:r w:rsidR="00F809D2">
        <w:t>backing</w:t>
      </w:r>
      <w:r w:rsidR="00F809D2" w:rsidRPr="00330562">
        <w:t xml:space="preserve"> layer produces a flat voltage response</w:t>
      </w:r>
      <w:r w:rsidR="00F809D2">
        <w:t xml:space="preserve"> which indicates that the density is not crucial for this analysis.</w:t>
      </w:r>
      <w:r w:rsidR="0032601B">
        <w:t xml:space="preserve"> E</w:t>
      </w:r>
      <w:r w:rsidR="0032601B" w:rsidRPr="00005562">
        <w:t>mploying this strategy allowed the reduction of parameters relevant for model validation from 70 to 8</w:t>
      </w:r>
      <w:r w:rsidR="0032601B">
        <w:t>, which are</w:t>
      </w:r>
      <w:r w:rsidR="0032601B" w:rsidRPr="00005562">
        <w:t xml:space="preserve"> detailed in </w:t>
      </w:r>
      <w:r w:rsidR="0032601B" w:rsidRPr="009503F6">
        <w:rPr>
          <w:highlight w:val="yellow"/>
        </w:rPr>
        <w:fldChar w:fldCharType="begin"/>
      </w:r>
      <w:r w:rsidR="0032601B" w:rsidRPr="009503F6">
        <w:instrText xml:space="preserve"> REF _Ref152262820 \h </w:instrText>
      </w:r>
      <w:r w:rsidR="0032601B">
        <w:rPr>
          <w:highlight w:val="yellow"/>
        </w:rPr>
        <w:instrText xml:space="preserve"> \* MERGEFORMAT </w:instrText>
      </w:r>
      <w:r w:rsidR="0032601B" w:rsidRPr="009503F6">
        <w:rPr>
          <w:highlight w:val="yellow"/>
        </w:rPr>
      </w:r>
      <w:r w:rsidR="0032601B" w:rsidRPr="009503F6">
        <w:rPr>
          <w:highlight w:val="yellow"/>
        </w:rPr>
        <w:fldChar w:fldCharType="separate"/>
      </w:r>
      <w:r w:rsidR="0032601B" w:rsidRPr="003A5258">
        <w:t xml:space="preserve">Table </w:t>
      </w:r>
      <w:r w:rsidR="0032601B" w:rsidRPr="003A5258">
        <w:rPr>
          <w:noProof/>
        </w:rPr>
        <w:t>1</w:t>
      </w:r>
      <w:r w:rsidR="0032601B" w:rsidRPr="009503F6">
        <w:rPr>
          <w:highlight w:val="yellow"/>
        </w:rPr>
        <w:fldChar w:fldCharType="end"/>
      </w:r>
      <w:r w:rsidR="0032601B">
        <w:t>.</w:t>
      </w:r>
    </w:p>
    <w:p w14:paraId="6650FCC7" w14:textId="35D39DF5" w:rsidR="0032601B" w:rsidRPr="0032601B" w:rsidRDefault="00C73C8D" w:rsidP="003F6024">
      <w:pPr>
        <w:pStyle w:val="Els-body-text"/>
        <w:rPr>
          <w:sz w:val="10"/>
          <w:szCs w:val="10"/>
        </w:rPr>
      </w:pPr>
      <w:r>
        <w:rPr>
          <w:noProof/>
        </w:rPr>
        <w:drawing>
          <wp:anchor distT="0" distB="0" distL="114300" distR="114300" simplePos="0" relativeHeight="251658240" behindDoc="0" locked="0" layoutInCell="1" allowOverlap="1" wp14:anchorId="4054259C" wp14:editId="410F8406">
            <wp:simplePos x="0" y="0"/>
            <wp:positionH relativeFrom="column">
              <wp:posOffset>-267970</wp:posOffset>
            </wp:positionH>
            <wp:positionV relativeFrom="paragraph">
              <wp:posOffset>85090</wp:posOffset>
            </wp:positionV>
            <wp:extent cx="4789805" cy="2668270"/>
            <wp:effectExtent l="0" t="0" r="0" b="0"/>
            <wp:wrapSquare wrapText="bothSides"/>
            <wp:docPr id="1119477041" name="Picture 3" descr="A graph of different parame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477041" name="Picture 3" descr="A graph of different parameters&#10;&#10;Description automatically generated with medium confidence"/>
                    <pic:cNvPicPr/>
                  </pic:nvPicPr>
                  <pic:blipFill rotWithShape="1">
                    <a:blip r:embed="rId11" cstate="print">
                      <a:extLst>
                        <a:ext uri="{28A0092B-C50C-407E-A947-70E740481C1C}">
                          <a14:useLocalDpi xmlns:a14="http://schemas.microsoft.com/office/drawing/2010/main" val="0"/>
                        </a:ext>
                      </a:extLst>
                    </a:blip>
                    <a:srcRect l="4301" t="3633" r="8420" b="6302"/>
                    <a:stretch/>
                  </pic:blipFill>
                  <pic:spPr bwMode="auto">
                    <a:xfrm>
                      <a:off x="0" y="0"/>
                      <a:ext cx="4789805" cy="2668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EA6B49" w14:textId="17C771D7" w:rsidR="00BE0769" w:rsidRDefault="00BE0769" w:rsidP="00BE0769">
      <w:pPr>
        <w:pStyle w:val="Caption"/>
        <w:spacing w:before="60" w:after="60"/>
        <w:jc w:val="center"/>
        <w:rPr>
          <w:sz w:val="16"/>
          <w:szCs w:val="16"/>
        </w:rPr>
      </w:pPr>
      <w:bookmarkStart w:id="3" w:name="_Ref152262751"/>
      <w:bookmarkStart w:id="4" w:name="_Ref152262745"/>
      <w:r w:rsidRPr="009503F6">
        <w:rPr>
          <w:sz w:val="16"/>
          <w:szCs w:val="16"/>
        </w:rPr>
        <w:t xml:space="preserve">Figure </w:t>
      </w:r>
      <w:r w:rsidRPr="009503F6">
        <w:rPr>
          <w:sz w:val="16"/>
          <w:szCs w:val="16"/>
        </w:rPr>
        <w:fldChar w:fldCharType="begin"/>
      </w:r>
      <w:r w:rsidRPr="009503F6">
        <w:rPr>
          <w:sz w:val="16"/>
          <w:szCs w:val="16"/>
        </w:rPr>
        <w:instrText xml:space="preserve"> SEQ Figure \* ARABIC </w:instrText>
      </w:r>
      <w:r w:rsidRPr="009503F6">
        <w:rPr>
          <w:sz w:val="16"/>
          <w:szCs w:val="16"/>
        </w:rPr>
        <w:fldChar w:fldCharType="separate"/>
      </w:r>
      <w:r>
        <w:rPr>
          <w:noProof/>
          <w:sz w:val="16"/>
          <w:szCs w:val="16"/>
        </w:rPr>
        <w:t>4</w:t>
      </w:r>
      <w:r w:rsidRPr="009503F6">
        <w:rPr>
          <w:sz w:val="16"/>
          <w:szCs w:val="16"/>
        </w:rPr>
        <w:fldChar w:fldCharType="end"/>
      </w:r>
      <w:bookmarkEnd w:id="3"/>
      <w:r w:rsidRPr="009503F6">
        <w:rPr>
          <w:sz w:val="16"/>
          <w:szCs w:val="16"/>
        </w:rPr>
        <w:t>. Sensitivity analysis on stack parameters</w:t>
      </w:r>
      <w:bookmarkEnd w:id="4"/>
    </w:p>
    <w:p w14:paraId="21907759" w14:textId="58B8A37A" w:rsidR="003A5258" w:rsidRPr="007E4DA3" w:rsidRDefault="003A5258" w:rsidP="009503F6">
      <w:pPr>
        <w:pStyle w:val="Els-body-text"/>
        <w:rPr>
          <w:sz w:val="6"/>
          <w:szCs w:val="6"/>
        </w:rPr>
      </w:pPr>
    </w:p>
    <w:p w14:paraId="22A5FD3D" w14:textId="7551B996" w:rsidR="009503F6" w:rsidRPr="009503F6" w:rsidRDefault="009503F6" w:rsidP="00195313">
      <w:pPr>
        <w:pStyle w:val="Caption"/>
        <w:keepNext/>
        <w:spacing w:before="60" w:after="60"/>
        <w:jc w:val="center"/>
        <w:rPr>
          <w:sz w:val="16"/>
          <w:szCs w:val="18"/>
        </w:rPr>
      </w:pPr>
      <w:bookmarkStart w:id="5" w:name="_Ref152262820"/>
      <w:r w:rsidRPr="009503F6">
        <w:rPr>
          <w:sz w:val="16"/>
          <w:szCs w:val="18"/>
        </w:rPr>
        <w:t xml:space="preserve">Table </w:t>
      </w:r>
      <w:r w:rsidRPr="009503F6">
        <w:rPr>
          <w:sz w:val="16"/>
          <w:szCs w:val="18"/>
        </w:rPr>
        <w:fldChar w:fldCharType="begin"/>
      </w:r>
      <w:r w:rsidRPr="009503F6">
        <w:rPr>
          <w:sz w:val="16"/>
          <w:szCs w:val="18"/>
        </w:rPr>
        <w:instrText xml:space="preserve"> SEQ Table \* ARABIC </w:instrText>
      </w:r>
      <w:r w:rsidRPr="009503F6">
        <w:rPr>
          <w:sz w:val="16"/>
          <w:szCs w:val="18"/>
        </w:rPr>
        <w:fldChar w:fldCharType="separate"/>
      </w:r>
      <w:r w:rsidR="003A5258">
        <w:rPr>
          <w:noProof/>
          <w:sz w:val="16"/>
          <w:szCs w:val="18"/>
        </w:rPr>
        <w:t>1</w:t>
      </w:r>
      <w:r w:rsidRPr="009503F6">
        <w:rPr>
          <w:sz w:val="16"/>
          <w:szCs w:val="18"/>
        </w:rPr>
        <w:fldChar w:fldCharType="end"/>
      </w:r>
      <w:bookmarkEnd w:id="5"/>
      <w:r w:rsidRPr="009503F6">
        <w:rPr>
          <w:sz w:val="16"/>
          <w:szCs w:val="18"/>
        </w:rPr>
        <w:t>. List of potential variables for parameter estimation</w:t>
      </w:r>
    </w:p>
    <w:tbl>
      <w:tblPr>
        <w:tblStyle w:val="TableGrid"/>
        <w:tblW w:w="70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2127"/>
        <w:gridCol w:w="1275"/>
        <w:gridCol w:w="1134"/>
        <w:gridCol w:w="704"/>
      </w:tblGrid>
      <w:tr w:rsidR="009503F6" w:rsidRPr="00033000" w14:paraId="1F53A1F8" w14:textId="77777777" w:rsidTr="00CF0798">
        <w:trPr>
          <w:jc w:val="center"/>
        </w:trPr>
        <w:tc>
          <w:tcPr>
            <w:tcW w:w="1848" w:type="dxa"/>
            <w:tcBorders>
              <w:top w:val="single" w:sz="4" w:space="0" w:color="auto"/>
              <w:bottom w:val="single" w:sz="4" w:space="0" w:color="auto"/>
            </w:tcBorders>
            <w:vAlign w:val="center"/>
          </w:tcPr>
          <w:p w14:paraId="54F0D89D" w14:textId="77777777" w:rsidR="009503F6" w:rsidRPr="00033000" w:rsidRDefault="009503F6" w:rsidP="00CF0798">
            <w:pPr>
              <w:pStyle w:val="Els-body-text"/>
              <w:spacing w:line="360" w:lineRule="auto"/>
              <w:rPr>
                <w:b/>
                <w:bCs/>
                <w:sz w:val="16"/>
                <w:szCs w:val="16"/>
              </w:rPr>
            </w:pPr>
            <w:r w:rsidRPr="00033000">
              <w:rPr>
                <w:b/>
                <w:bCs/>
                <w:sz w:val="16"/>
                <w:szCs w:val="16"/>
              </w:rPr>
              <w:t>Location</w:t>
            </w:r>
          </w:p>
        </w:tc>
        <w:tc>
          <w:tcPr>
            <w:tcW w:w="2127" w:type="dxa"/>
            <w:tcBorders>
              <w:top w:val="single" w:sz="4" w:space="0" w:color="auto"/>
              <w:bottom w:val="single" w:sz="4" w:space="0" w:color="auto"/>
            </w:tcBorders>
            <w:vAlign w:val="center"/>
          </w:tcPr>
          <w:p w14:paraId="36B2D581" w14:textId="77777777" w:rsidR="009503F6" w:rsidRPr="00033000" w:rsidRDefault="009503F6" w:rsidP="00CF0798">
            <w:pPr>
              <w:pStyle w:val="Els-body-text"/>
              <w:spacing w:line="360" w:lineRule="auto"/>
              <w:rPr>
                <w:b/>
                <w:bCs/>
                <w:sz w:val="16"/>
                <w:szCs w:val="16"/>
              </w:rPr>
            </w:pPr>
            <w:r w:rsidRPr="00033000">
              <w:rPr>
                <w:b/>
                <w:bCs/>
                <w:sz w:val="16"/>
                <w:szCs w:val="16"/>
              </w:rPr>
              <w:t>Variables</w:t>
            </w:r>
          </w:p>
        </w:tc>
        <w:tc>
          <w:tcPr>
            <w:tcW w:w="1275" w:type="dxa"/>
            <w:tcBorders>
              <w:top w:val="single" w:sz="4" w:space="0" w:color="auto"/>
              <w:bottom w:val="single" w:sz="4" w:space="0" w:color="auto"/>
            </w:tcBorders>
            <w:vAlign w:val="center"/>
          </w:tcPr>
          <w:p w14:paraId="05B580DF" w14:textId="77777777" w:rsidR="009503F6" w:rsidRPr="00033000" w:rsidRDefault="009503F6" w:rsidP="00CF0798">
            <w:pPr>
              <w:pStyle w:val="Els-body-text"/>
              <w:spacing w:line="360" w:lineRule="auto"/>
              <w:rPr>
                <w:b/>
                <w:bCs/>
                <w:sz w:val="16"/>
                <w:szCs w:val="16"/>
              </w:rPr>
            </w:pPr>
            <w:r w:rsidRPr="00033000">
              <w:rPr>
                <w:b/>
                <w:bCs/>
                <w:sz w:val="16"/>
                <w:szCs w:val="16"/>
              </w:rPr>
              <w:t>Default Value</w:t>
            </w:r>
          </w:p>
        </w:tc>
        <w:tc>
          <w:tcPr>
            <w:tcW w:w="1134" w:type="dxa"/>
            <w:tcBorders>
              <w:top w:val="single" w:sz="4" w:space="0" w:color="auto"/>
              <w:bottom w:val="single" w:sz="4" w:space="0" w:color="auto"/>
            </w:tcBorders>
            <w:vAlign w:val="center"/>
          </w:tcPr>
          <w:p w14:paraId="1F1D97AC" w14:textId="77777777" w:rsidR="009503F6" w:rsidRPr="00033000" w:rsidRDefault="009503F6" w:rsidP="00CF0798">
            <w:pPr>
              <w:pStyle w:val="Els-body-text"/>
              <w:spacing w:line="360" w:lineRule="auto"/>
              <w:rPr>
                <w:b/>
                <w:bCs/>
                <w:sz w:val="16"/>
                <w:szCs w:val="16"/>
              </w:rPr>
            </w:pPr>
            <w:r w:rsidRPr="00033000">
              <w:rPr>
                <w:b/>
                <w:bCs/>
                <w:sz w:val="16"/>
                <w:szCs w:val="16"/>
              </w:rPr>
              <w:t>Range</w:t>
            </w:r>
          </w:p>
        </w:tc>
        <w:tc>
          <w:tcPr>
            <w:tcW w:w="704" w:type="dxa"/>
            <w:tcBorders>
              <w:top w:val="single" w:sz="4" w:space="0" w:color="auto"/>
              <w:bottom w:val="single" w:sz="4" w:space="0" w:color="auto"/>
            </w:tcBorders>
            <w:vAlign w:val="center"/>
          </w:tcPr>
          <w:p w14:paraId="4D505EDA" w14:textId="77777777" w:rsidR="009503F6" w:rsidRPr="00033000" w:rsidRDefault="009503F6" w:rsidP="00CF0798">
            <w:pPr>
              <w:pStyle w:val="Els-body-text"/>
              <w:spacing w:line="360" w:lineRule="auto"/>
              <w:rPr>
                <w:b/>
                <w:bCs/>
                <w:sz w:val="16"/>
                <w:szCs w:val="16"/>
              </w:rPr>
            </w:pPr>
            <w:r w:rsidRPr="00033000">
              <w:rPr>
                <w:b/>
                <w:bCs/>
                <w:sz w:val="16"/>
                <w:szCs w:val="16"/>
              </w:rPr>
              <w:t>Unit</w:t>
            </w:r>
          </w:p>
        </w:tc>
      </w:tr>
      <w:tr w:rsidR="009503F6" w:rsidRPr="00033000" w14:paraId="10D43983" w14:textId="77777777" w:rsidTr="00CF0798">
        <w:trPr>
          <w:jc w:val="center"/>
        </w:trPr>
        <w:tc>
          <w:tcPr>
            <w:tcW w:w="1848" w:type="dxa"/>
            <w:tcBorders>
              <w:top w:val="single" w:sz="4" w:space="0" w:color="auto"/>
            </w:tcBorders>
            <w:vAlign w:val="center"/>
          </w:tcPr>
          <w:p w14:paraId="66797996" w14:textId="77777777" w:rsidR="009503F6" w:rsidRPr="00033000" w:rsidRDefault="009503F6" w:rsidP="00CF0798">
            <w:pPr>
              <w:pStyle w:val="Els-body-text"/>
              <w:rPr>
                <w:sz w:val="16"/>
                <w:szCs w:val="16"/>
              </w:rPr>
            </w:pPr>
            <w:r w:rsidRPr="00033000">
              <w:rPr>
                <w:sz w:val="16"/>
                <w:szCs w:val="16"/>
              </w:rPr>
              <w:t>Anode Backing Layer</w:t>
            </w:r>
          </w:p>
        </w:tc>
        <w:tc>
          <w:tcPr>
            <w:tcW w:w="2127" w:type="dxa"/>
            <w:tcBorders>
              <w:top w:val="single" w:sz="4" w:space="0" w:color="auto"/>
            </w:tcBorders>
            <w:vAlign w:val="center"/>
          </w:tcPr>
          <w:p w14:paraId="5D3A6F2B" w14:textId="77777777" w:rsidR="009503F6" w:rsidRPr="00033000" w:rsidRDefault="009503F6" w:rsidP="00CF0798">
            <w:pPr>
              <w:pStyle w:val="Els-body-text"/>
              <w:rPr>
                <w:sz w:val="16"/>
                <w:szCs w:val="16"/>
              </w:rPr>
            </w:pPr>
            <w:r w:rsidRPr="00033000">
              <w:rPr>
                <w:sz w:val="16"/>
                <w:szCs w:val="16"/>
              </w:rPr>
              <w:t>Tortuosity</w:t>
            </w:r>
          </w:p>
        </w:tc>
        <w:tc>
          <w:tcPr>
            <w:tcW w:w="1275" w:type="dxa"/>
            <w:tcBorders>
              <w:top w:val="single" w:sz="4" w:space="0" w:color="auto"/>
            </w:tcBorders>
            <w:vAlign w:val="center"/>
          </w:tcPr>
          <w:p w14:paraId="25C7B23E" w14:textId="77777777" w:rsidR="009503F6" w:rsidRPr="00033000" w:rsidRDefault="009503F6" w:rsidP="00CF0798">
            <w:pPr>
              <w:pStyle w:val="Els-body-text"/>
              <w:rPr>
                <w:sz w:val="16"/>
                <w:szCs w:val="16"/>
              </w:rPr>
            </w:pPr>
            <w:r w:rsidRPr="00033000">
              <w:rPr>
                <w:sz w:val="16"/>
                <w:szCs w:val="16"/>
              </w:rPr>
              <w:t>2</w:t>
            </w:r>
          </w:p>
        </w:tc>
        <w:tc>
          <w:tcPr>
            <w:tcW w:w="1134" w:type="dxa"/>
            <w:tcBorders>
              <w:top w:val="single" w:sz="4" w:space="0" w:color="auto"/>
            </w:tcBorders>
            <w:vAlign w:val="center"/>
          </w:tcPr>
          <w:p w14:paraId="790DC465" w14:textId="77777777" w:rsidR="009503F6" w:rsidRPr="00033000" w:rsidRDefault="009503F6" w:rsidP="00CF0798">
            <w:pPr>
              <w:pStyle w:val="Els-body-text"/>
              <w:rPr>
                <w:sz w:val="16"/>
                <w:szCs w:val="16"/>
              </w:rPr>
            </w:pPr>
            <w:r w:rsidRPr="00033000">
              <w:rPr>
                <w:sz w:val="16"/>
                <w:szCs w:val="16"/>
              </w:rPr>
              <w:t>[1 – 9]</w:t>
            </w:r>
          </w:p>
        </w:tc>
        <w:tc>
          <w:tcPr>
            <w:tcW w:w="704" w:type="dxa"/>
            <w:tcBorders>
              <w:top w:val="single" w:sz="4" w:space="0" w:color="auto"/>
            </w:tcBorders>
            <w:vAlign w:val="center"/>
          </w:tcPr>
          <w:p w14:paraId="203448A9" w14:textId="77777777" w:rsidR="009503F6" w:rsidRPr="00033000" w:rsidRDefault="009503F6" w:rsidP="00CF0798">
            <w:pPr>
              <w:pStyle w:val="Els-body-text"/>
              <w:rPr>
                <w:sz w:val="16"/>
                <w:szCs w:val="16"/>
              </w:rPr>
            </w:pPr>
            <w:r w:rsidRPr="00033000">
              <w:rPr>
                <w:sz w:val="16"/>
                <w:szCs w:val="16"/>
              </w:rPr>
              <w:t>-</w:t>
            </w:r>
          </w:p>
        </w:tc>
      </w:tr>
      <w:tr w:rsidR="009503F6" w:rsidRPr="00033000" w14:paraId="09FE61F6" w14:textId="77777777" w:rsidTr="00CF0798">
        <w:trPr>
          <w:jc w:val="center"/>
        </w:trPr>
        <w:tc>
          <w:tcPr>
            <w:tcW w:w="1848" w:type="dxa"/>
            <w:vAlign w:val="center"/>
          </w:tcPr>
          <w:p w14:paraId="38AF2052" w14:textId="77777777" w:rsidR="009503F6" w:rsidRPr="00033000" w:rsidRDefault="009503F6" w:rsidP="00CF0798">
            <w:pPr>
              <w:pStyle w:val="Els-body-text"/>
              <w:rPr>
                <w:sz w:val="16"/>
                <w:szCs w:val="16"/>
              </w:rPr>
            </w:pPr>
            <w:r w:rsidRPr="00033000">
              <w:rPr>
                <w:sz w:val="16"/>
                <w:szCs w:val="16"/>
              </w:rPr>
              <w:t>Anode Catalyst Layer</w:t>
            </w:r>
          </w:p>
        </w:tc>
        <w:tc>
          <w:tcPr>
            <w:tcW w:w="2127" w:type="dxa"/>
            <w:vAlign w:val="center"/>
          </w:tcPr>
          <w:p w14:paraId="3177B970" w14:textId="77777777" w:rsidR="009503F6" w:rsidRPr="00033000" w:rsidRDefault="009503F6" w:rsidP="00CF0798">
            <w:pPr>
              <w:pStyle w:val="Els-body-text"/>
              <w:rPr>
                <w:sz w:val="16"/>
                <w:szCs w:val="16"/>
              </w:rPr>
            </w:pPr>
            <w:r w:rsidRPr="00033000">
              <w:rPr>
                <w:sz w:val="16"/>
                <w:szCs w:val="16"/>
              </w:rPr>
              <w:t>Catalyst loading</w:t>
            </w:r>
          </w:p>
        </w:tc>
        <w:tc>
          <w:tcPr>
            <w:tcW w:w="1275" w:type="dxa"/>
            <w:vAlign w:val="center"/>
          </w:tcPr>
          <w:p w14:paraId="5911DABF" w14:textId="77777777" w:rsidR="009503F6" w:rsidRPr="00033000" w:rsidRDefault="009503F6" w:rsidP="00CF0798">
            <w:pPr>
              <w:pStyle w:val="Els-body-text"/>
              <w:rPr>
                <w:sz w:val="16"/>
                <w:szCs w:val="16"/>
              </w:rPr>
            </w:pPr>
            <w:r w:rsidRPr="00033000">
              <w:rPr>
                <w:sz w:val="16"/>
                <w:szCs w:val="16"/>
              </w:rPr>
              <w:t>0.005</w:t>
            </w:r>
          </w:p>
        </w:tc>
        <w:tc>
          <w:tcPr>
            <w:tcW w:w="1134" w:type="dxa"/>
            <w:vAlign w:val="center"/>
          </w:tcPr>
          <w:p w14:paraId="1D01C228" w14:textId="77777777" w:rsidR="009503F6" w:rsidRPr="00033000" w:rsidRDefault="009503F6" w:rsidP="00CF0798">
            <w:pPr>
              <w:pStyle w:val="Els-body-text"/>
              <w:rPr>
                <w:sz w:val="16"/>
                <w:szCs w:val="16"/>
              </w:rPr>
            </w:pPr>
            <w:r w:rsidRPr="00033000">
              <w:rPr>
                <w:sz w:val="16"/>
                <w:szCs w:val="16"/>
              </w:rPr>
              <w:t>[0.001 – 0.1]</w:t>
            </w:r>
          </w:p>
        </w:tc>
        <w:tc>
          <w:tcPr>
            <w:tcW w:w="704" w:type="dxa"/>
            <w:vAlign w:val="center"/>
          </w:tcPr>
          <w:p w14:paraId="67823A2B" w14:textId="77777777" w:rsidR="009503F6" w:rsidRPr="00033000" w:rsidRDefault="009503F6" w:rsidP="00CF0798">
            <w:pPr>
              <w:pStyle w:val="Els-body-text"/>
              <w:rPr>
                <w:sz w:val="16"/>
                <w:szCs w:val="16"/>
                <w:vertAlign w:val="superscript"/>
              </w:rPr>
            </w:pPr>
            <w:r w:rsidRPr="00033000">
              <w:rPr>
                <w:sz w:val="16"/>
                <w:szCs w:val="16"/>
              </w:rPr>
              <w:t>kg/m</w:t>
            </w:r>
            <w:r w:rsidRPr="00033000">
              <w:rPr>
                <w:sz w:val="16"/>
                <w:szCs w:val="16"/>
                <w:vertAlign w:val="superscript"/>
              </w:rPr>
              <w:t>2</w:t>
            </w:r>
          </w:p>
        </w:tc>
      </w:tr>
      <w:tr w:rsidR="009503F6" w:rsidRPr="00033000" w14:paraId="4411623D" w14:textId="77777777" w:rsidTr="00CF0798">
        <w:trPr>
          <w:jc w:val="center"/>
        </w:trPr>
        <w:tc>
          <w:tcPr>
            <w:tcW w:w="1848" w:type="dxa"/>
            <w:vAlign w:val="center"/>
          </w:tcPr>
          <w:p w14:paraId="7F00C1C7" w14:textId="77777777" w:rsidR="009503F6" w:rsidRPr="00033000" w:rsidRDefault="009503F6" w:rsidP="00CF0798">
            <w:pPr>
              <w:pStyle w:val="Els-body-text"/>
              <w:rPr>
                <w:sz w:val="16"/>
                <w:szCs w:val="16"/>
              </w:rPr>
            </w:pPr>
            <w:r w:rsidRPr="00033000">
              <w:rPr>
                <w:sz w:val="16"/>
                <w:szCs w:val="16"/>
              </w:rPr>
              <w:t>Anode Catalyst Layer</w:t>
            </w:r>
          </w:p>
        </w:tc>
        <w:tc>
          <w:tcPr>
            <w:tcW w:w="2127" w:type="dxa"/>
            <w:vAlign w:val="center"/>
          </w:tcPr>
          <w:p w14:paraId="5B16DDF6" w14:textId="77777777" w:rsidR="009503F6" w:rsidRPr="00033000" w:rsidRDefault="009503F6" w:rsidP="00CF0798">
            <w:pPr>
              <w:pStyle w:val="Els-body-text"/>
              <w:rPr>
                <w:sz w:val="16"/>
                <w:szCs w:val="16"/>
              </w:rPr>
            </w:pPr>
            <w:r w:rsidRPr="00033000">
              <w:rPr>
                <w:sz w:val="16"/>
                <w:szCs w:val="16"/>
              </w:rPr>
              <w:t>Mass specific area of catalyst</w:t>
            </w:r>
          </w:p>
        </w:tc>
        <w:tc>
          <w:tcPr>
            <w:tcW w:w="1275" w:type="dxa"/>
            <w:vAlign w:val="center"/>
          </w:tcPr>
          <w:p w14:paraId="174E0B26" w14:textId="77777777" w:rsidR="009503F6" w:rsidRPr="00033000" w:rsidRDefault="009503F6" w:rsidP="00CF0798">
            <w:pPr>
              <w:pStyle w:val="Els-body-text"/>
              <w:rPr>
                <w:sz w:val="16"/>
                <w:szCs w:val="16"/>
              </w:rPr>
            </w:pPr>
            <w:r w:rsidRPr="00033000">
              <w:rPr>
                <w:sz w:val="16"/>
                <w:szCs w:val="16"/>
              </w:rPr>
              <w:t>10</w:t>
            </w:r>
          </w:p>
        </w:tc>
        <w:tc>
          <w:tcPr>
            <w:tcW w:w="1134" w:type="dxa"/>
            <w:vAlign w:val="center"/>
          </w:tcPr>
          <w:p w14:paraId="280E700C" w14:textId="77777777" w:rsidR="009503F6" w:rsidRPr="00033000" w:rsidRDefault="009503F6" w:rsidP="00CF0798">
            <w:pPr>
              <w:pStyle w:val="Els-body-text"/>
              <w:rPr>
                <w:sz w:val="16"/>
                <w:szCs w:val="16"/>
              </w:rPr>
            </w:pPr>
            <w:r w:rsidRPr="00033000">
              <w:rPr>
                <w:sz w:val="16"/>
                <w:szCs w:val="16"/>
              </w:rPr>
              <w:t>[2 – 20]</w:t>
            </w:r>
          </w:p>
        </w:tc>
        <w:tc>
          <w:tcPr>
            <w:tcW w:w="704" w:type="dxa"/>
            <w:vAlign w:val="center"/>
          </w:tcPr>
          <w:p w14:paraId="4CED3B86" w14:textId="77777777" w:rsidR="009503F6" w:rsidRPr="00033000" w:rsidRDefault="009503F6" w:rsidP="00CF0798">
            <w:pPr>
              <w:pStyle w:val="Els-body-text"/>
              <w:rPr>
                <w:sz w:val="16"/>
                <w:szCs w:val="16"/>
              </w:rPr>
            </w:pPr>
            <w:r w:rsidRPr="00033000">
              <w:rPr>
                <w:sz w:val="16"/>
                <w:szCs w:val="16"/>
              </w:rPr>
              <w:t>m</w:t>
            </w:r>
            <w:r w:rsidRPr="00033000">
              <w:rPr>
                <w:sz w:val="16"/>
                <w:szCs w:val="16"/>
                <w:vertAlign w:val="superscript"/>
              </w:rPr>
              <w:t>2</w:t>
            </w:r>
            <w:r w:rsidRPr="00033000">
              <w:rPr>
                <w:sz w:val="16"/>
                <w:szCs w:val="16"/>
              </w:rPr>
              <w:t>/g</w:t>
            </w:r>
          </w:p>
        </w:tc>
      </w:tr>
      <w:tr w:rsidR="009503F6" w:rsidRPr="00033000" w14:paraId="49B583F7" w14:textId="77777777" w:rsidTr="00CF0798">
        <w:trPr>
          <w:jc w:val="center"/>
        </w:trPr>
        <w:tc>
          <w:tcPr>
            <w:tcW w:w="1848" w:type="dxa"/>
            <w:shd w:val="clear" w:color="auto" w:fill="D9D9D9" w:themeFill="background1" w:themeFillShade="D9"/>
            <w:vAlign w:val="center"/>
          </w:tcPr>
          <w:p w14:paraId="69F2A0D7" w14:textId="77777777" w:rsidR="009503F6" w:rsidRPr="00033000" w:rsidRDefault="009503F6" w:rsidP="00CF0798">
            <w:pPr>
              <w:pStyle w:val="Els-body-text"/>
              <w:rPr>
                <w:sz w:val="16"/>
                <w:szCs w:val="16"/>
              </w:rPr>
            </w:pPr>
            <w:r w:rsidRPr="00033000">
              <w:rPr>
                <w:sz w:val="16"/>
                <w:szCs w:val="16"/>
              </w:rPr>
              <w:t>Anode Electrochemistry</w:t>
            </w:r>
          </w:p>
        </w:tc>
        <w:tc>
          <w:tcPr>
            <w:tcW w:w="2127" w:type="dxa"/>
            <w:shd w:val="clear" w:color="auto" w:fill="D9D9D9" w:themeFill="background1" w:themeFillShade="D9"/>
            <w:vAlign w:val="center"/>
          </w:tcPr>
          <w:p w14:paraId="1C113A6A" w14:textId="77777777" w:rsidR="009503F6" w:rsidRPr="00033000" w:rsidRDefault="009503F6" w:rsidP="00CF0798">
            <w:pPr>
              <w:pStyle w:val="Els-body-text"/>
              <w:rPr>
                <w:sz w:val="16"/>
                <w:szCs w:val="16"/>
              </w:rPr>
            </w:pPr>
            <w:r w:rsidRPr="00033000">
              <w:rPr>
                <w:sz w:val="16"/>
                <w:szCs w:val="16"/>
              </w:rPr>
              <w:t>Parameter for mass transfer</w:t>
            </w:r>
          </w:p>
        </w:tc>
        <w:tc>
          <w:tcPr>
            <w:tcW w:w="1275" w:type="dxa"/>
            <w:shd w:val="clear" w:color="auto" w:fill="D9D9D9" w:themeFill="background1" w:themeFillShade="D9"/>
            <w:vAlign w:val="center"/>
          </w:tcPr>
          <w:p w14:paraId="5BFAB3F8" w14:textId="77777777" w:rsidR="009503F6" w:rsidRPr="00033000" w:rsidRDefault="009503F6" w:rsidP="00CF0798">
            <w:pPr>
              <w:pStyle w:val="Els-body-text"/>
              <w:rPr>
                <w:sz w:val="16"/>
                <w:szCs w:val="16"/>
              </w:rPr>
            </w:pPr>
            <w:r w:rsidRPr="00033000">
              <w:rPr>
                <w:sz w:val="16"/>
                <w:szCs w:val="16"/>
              </w:rPr>
              <w:t>0.05</w:t>
            </w:r>
          </w:p>
        </w:tc>
        <w:tc>
          <w:tcPr>
            <w:tcW w:w="1134" w:type="dxa"/>
            <w:shd w:val="clear" w:color="auto" w:fill="D9D9D9" w:themeFill="background1" w:themeFillShade="D9"/>
            <w:vAlign w:val="center"/>
          </w:tcPr>
          <w:p w14:paraId="3BD72B87" w14:textId="77777777" w:rsidR="009503F6" w:rsidRPr="00033000" w:rsidRDefault="009503F6" w:rsidP="00CF0798">
            <w:pPr>
              <w:pStyle w:val="Els-body-text"/>
              <w:rPr>
                <w:sz w:val="16"/>
                <w:szCs w:val="16"/>
              </w:rPr>
            </w:pPr>
            <w:r w:rsidRPr="00033000">
              <w:rPr>
                <w:sz w:val="16"/>
                <w:szCs w:val="16"/>
              </w:rPr>
              <w:t>[0.005 – 0.1]</w:t>
            </w:r>
          </w:p>
        </w:tc>
        <w:tc>
          <w:tcPr>
            <w:tcW w:w="704" w:type="dxa"/>
            <w:shd w:val="clear" w:color="auto" w:fill="D9D9D9" w:themeFill="background1" w:themeFillShade="D9"/>
            <w:vAlign w:val="center"/>
          </w:tcPr>
          <w:p w14:paraId="48ADAC3D" w14:textId="77777777" w:rsidR="009503F6" w:rsidRPr="00033000" w:rsidRDefault="009503F6" w:rsidP="00CF0798">
            <w:pPr>
              <w:pStyle w:val="Els-body-text"/>
              <w:rPr>
                <w:sz w:val="16"/>
                <w:szCs w:val="16"/>
              </w:rPr>
            </w:pPr>
            <w:r w:rsidRPr="00033000">
              <w:rPr>
                <w:sz w:val="16"/>
                <w:szCs w:val="16"/>
              </w:rPr>
              <w:t>-</w:t>
            </w:r>
          </w:p>
        </w:tc>
      </w:tr>
      <w:tr w:rsidR="009503F6" w:rsidRPr="00033000" w14:paraId="272B9301" w14:textId="77777777" w:rsidTr="00CF0798">
        <w:trPr>
          <w:jc w:val="center"/>
        </w:trPr>
        <w:tc>
          <w:tcPr>
            <w:tcW w:w="1848" w:type="dxa"/>
            <w:shd w:val="clear" w:color="auto" w:fill="D9D9D9" w:themeFill="background1" w:themeFillShade="D9"/>
            <w:vAlign w:val="center"/>
          </w:tcPr>
          <w:p w14:paraId="53947278" w14:textId="77777777" w:rsidR="009503F6" w:rsidRPr="00033000" w:rsidRDefault="009503F6" w:rsidP="00CF0798">
            <w:pPr>
              <w:pStyle w:val="Els-body-text"/>
              <w:rPr>
                <w:sz w:val="16"/>
                <w:szCs w:val="16"/>
              </w:rPr>
            </w:pPr>
            <w:r w:rsidRPr="00033000">
              <w:rPr>
                <w:sz w:val="16"/>
                <w:szCs w:val="16"/>
              </w:rPr>
              <w:t>Anode Electrochemistry</w:t>
            </w:r>
          </w:p>
        </w:tc>
        <w:tc>
          <w:tcPr>
            <w:tcW w:w="2127" w:type="dxa"/>
            <w:shd w:val="clear" w:color="auto" w:fill="D9D9D9" w:themeFill="background1" w:themeFillShade="D9"/>
            <w:vAlign w:val="center"/>
          </w:tcPr>
          <w:p w14:paraId="00F85A56" w14:textId="77777777" w:rsidR="009503F6" w:rsidRPr="00033000" w:rsidRDefault="009503F6" w:rsidP="00CF0798">
            <w:pPr>
              <w:pStyle w:val="Els-body-text"/>
              <w:rPr>
                <w:sz w:val="16"/>
                <w:szCs w:val="16"/>
              </w:rPr>
            </w:pPr>
            <w:r w:rsidRPr="00033000">
              <w:rPr>
                <w:sz w:val="16"/>
                <w:szCs w:val="16"/>
              </w:rPr>
              <w:t>Reference exchange current density</w:t>
            </w:r>
          </w:p>
        </w:tc>
        <w:tc>
          <w:tcPr>
            <w:tcW w:w="1275" w:type="dxa"/>
            <w:shd w:val="clear" w:color="auto" w:fill="D9D9D9" w:themeFill="background1" w:themeFillShade="D9"/>
            <w:vAlign w:val="center"/>
          </w:tcPr>
          <w:p w14:paraId="52AE4891" w14:textId="77777777" w:rsidR="009503F6" w:rsidRPr="00033000" w:rsidRDefault="009503F6" w:rsidP="00CF0798">
            <w:pPr>
              <w:pStyle w:val="Els-body-text"/>
              <w:rPr>
                <w:sz w:val="16"/>
                <w:szCs w:val="16"/>
              </w:rPr>
            </w:pPr>
            <w:r w:rsidRPr="00033000">
              <w:rPr>
                <w:sz w:val="16"/>
                <w:szCs w:val="16"/>
              </w:rPr>
              <w:t>18</w:t>
            </w:r>
          </w:p>
        </w:tc>
        <w:tc>
          <w:tcPr>
            <w:tcW w:w="1134" w:type="dxa"/>
            <w:shd w:val="clear" w:color="auto" w:fill="D9D9D9" w:themeFill="background1" w:themeFillShade="D9"/>
            <w:vAlign w:val="center"/>
          </w:tcPr>
          <w:p w14:paraId="0322CCC8" w14:textId="77777777" w:rsidR="009503F6" w:rsidRPr="00033000" w:rsidRDefault="009503F6" w:rsidP="00CF0798">
            <w:pPr>
              <w:pStyle w:val="Els-body-text"/>
              <w:rPr>
                <w:sz w:val="16"/>
                <w:szCs w:val="16"/>
              </w:rPr>
            </w:pPr>
            <w:r w:rsidRPr="00033000">
              <w:rPr>
                <w:sz w:val="16"/>
                <w:szCs w:val="16"/>
              </w:rPr>
              <w:t>[10 – 1000]</w:t>
            </w:r>
          </w:p>
        </w:tc>
        <w:tc>
          <w:tcPr>
            <w:tcW w:w="704" w:type="dxa"/>
            <w:shd w:val="clear" w:color="auto" w:fill="D9D9D9" w:themeFill="background1" w:themeFillShade="D9"/>
            <w:vAlign w:val="center"/>
          </w:tcPr>
          <w:p w14:paraId="6916B506" w14:textId="77777777" w:rsidR="009503F6" w:rsidRPr="00033000" w:rsidRDefault="009503F6" w:rsidP="00CF0798">
            <w:pPr>
              <w:pStyle w:val="Els-body-text"/>
              <w:rPr>
                <w:sz w:val="16"/>
                <w:szCs w:val="16"/>
              </w:rPr>
            </w:pPr>
            <w:r w:rsidRPr="00033000">
              <w:rPr>
                <w:sz w:val="16"/>
                <w:szCs w:val="16"/>
              </w:rPr>
              <w:t>A/m</w:t>
            </w:r>
            <w:r w:rsidRPr="00033000">
              <w:rPr>
                <w:sz w:val="16"/>
                <w:szCs w:val="16"/>
                <w:vertAlign w:val="superscript"/>
              </w:rPr>
              <w:t>2</w:t>
            </w:r>
          </w:p>
        </w:tc>
      </w:tr>
      <w:tr w:rsidR="009503F6" w:rsidRPr="00033000" w14:paraId="7FDF5CD7" w14:textId="77777777" w:rsidTr="00CF0798">
        <w:trPr>
          <w:jc w:val="center"/>
        </w:trPr>
        <w:tc>
          <w:tcPr>
            <w:tcW w:w="1848" w:type="dxa"/>
            <w:vAlign w:val="center"/>
          </w:tcPr>
          <w:p w14:paraId="4DB36674" w14:textId="77777777" w:rsidR="009503F6" w:rsidRPr="00033000" w:rsidRDefault="009503F6" w:rsidP="00CF0798">
            <w:pPr>
              <w:pStyle w:val="Els-body-text"/>
              <w:rPr>
                <w:sz w:val="16"/>
                <w:szCs w:val="16"/>
              </w:rPr>
            </w:pPr>
            <w:r w:rsidRPr="00033000">
              <w:rPr>
                <w:sz w:val="16"/>
                <w:szCs w:val="16"/>
              </w:rPr>
              <w:t>Membrane</w:t>
            </w:r>
          </w:p>
        </w:tc>
        <w:tc>
          <w:tcPr>
            <w:tcW w:w="2127" w:type="dxa"/>
            <w:vAlign w:val="center"/>
          </w:tcPr>
          <w:p w14:paraId="766E48DA" w14:textId="77777777" w:rsidR="009503F6" w:rsidRPr="00033000" w:rsidRDefault="009503F6" w:rsidP="00CF0798">
            <w:pPr>
              <w:pStyle w:val="Els-body-text"/>
              <w:rPr>
                <w:sz w:val="16"/>
                <w:szCs w:val="16"/>
              </w:rPr>
            </w:pPr>
            <w:r w:rsidRPr="00033000">
              <w:rPr>
                <w:sz w:val="16"/>
                <w:szCs w:val="16"/>
              </w:rPr>
              <w:t>Ionic conductivity</w:t>
            </w:r>
          </w:p>
        </w:tc>
        <w:tc>
          <w:tcPr>
            <w:tcW w:w="1275" w:type="dxa"/>
            <w:vAlign w:val="center"/>
          </w:tcPr>
          <w:p w14:paraId="7FEDD5CB" w14:textId="77777777" w:rsidR="009503F6" w:rsidRPr="00033000" w:rsidRDefault="009503F6" w:rsidP="00CF0798">
            <w:pPr>
              <w:pStyle w:val="Els-body-text"/>
              <w:rPr>
                <w:sz w:val="16"/>
                <w:szCs w:val="16"/>
              </w:rPr>
            </w:pPr>
            <w:r w:rsidRPr="00033000">
              <w:rPr>
                <w:sz w:val="16"/>
                <w:szCs w:val="16"/>
              </w:rPr>
              <w:t>5</w:t>
            </w:r>
          </w:p>
        </w:tc>
        <w:tc>
          <w:tcPr>
            <w:tcW w:w="1134" w:type="dxa"/>
            <w:vAlign w:val="center"/>
          </w:tcPr>
          <w:p w14:paraId="622FBDA9" w14:textId="77777777" w:rsidR="009503F6" w:rsidRPr="00033000" w:rsidRDefault="009503F6" w:rsidP="00CF0798">
            <w:pPr>
              <w:pStyle w:val="Els-body-text"/>
              <w:rPr>
                <w:sz w:val="16"/>
                <w:szCs w:val="16"/>
              </w:rPr>
            </w:pPr>
            <w:r w:rsidRPr="00033000">
              <w:rPr>
                <w:sz w:val="16"/>
                <w:szCs w:val="16"/>
              </w:rPr>
              <w:t>[1 – 50]</w:t>
            </w:r>
          </w:p>
        </w:tc>
        <w:tc>
          <w:tcPr>
            <w:tcW w:w="704" w:type="dxa"/>
            <w:vAlign w:val="center"/>
          </w:tcPr>
          <w:p w14:paraId="5C8BF268" w14:textId="77777777" w:rsidR="009503F6" w:rsidRPr="00033000" w:rsidRDefault="009503F6" w:rsidP="00CF0798">
            <w:pPr>
              <w:pStyle w:val="Els-body-text"/>
              <w:rPr>
                <w:sz w:val="16"/>
                <w:szCs w:val="16"/>
              </w:rPr>
            </w:pPr>
            <w:r w:rsidRPr="00033000">
              <w:rPr>
                <w:sz w:val="16"/>
                <w:szCs w:val="16"/>
              </w:rPr>
              <w:t>-</w:t>
            </w:r>
          </w:p>
        </w:tc>
      </w:tr>
      <w:tr w:rsidR="009503F6" w:rsidRPr="00033000" w14:paraId="182C16C9" w14:textId="77777777" w:rsidTr="00CF0798">
        <w:trPr>
          <w:jc w:val="center"/>
        </w:trPr>
        <w:tc>
          <w:tcPr>
            <w:tcW w:w="1848" w:type="dxa"/>
            <w:shd w:val="clear" w:color="auto" w:fill="D9D9D9" w:themeFill="background1" w:themeFillShade="D9"/>
            <w:vAlign w:val="center"/>
          </w:tcPr>
          <w:p w14:paraId="36F994E0" w14:textId="77777777" w:rsidR="009503F6" w:rsidRPr="00033000" w:rsidRDefault="009503F6" w:rsidP="00CF0798">
            <w:pPr>
              <w:pStyle w:val="Els-body-text"/>
              <w:rPr>
                <w:sz w:val="16"/>
                <w:szCs w:val="16"/>
              </w:rPr>
            </w:pPr>
            <w:r w:rsidRPr="00033000">
              <w:rPr>
                <w:sz w:val="16"/>
                <w:szCs w:val="16"/>
              </w:rPr>
              <w:t>Membrane</w:t>
            </w:r>
          </w:p>
        </w:tc>
        <w:tc>
          <w:tcPr>
            <w:tcW w:w="2127" w:type="dxa"/>
            <w:shd w:val="clear" w:color="auto" w:fill="D9D9D9" w:themeFill="background1" w:themeFillShade="D9"/>
            <w:vAlign w:val="center"/>
          </w:tcPr>
          <w:p w14:paraId="1FD11717" w14:textId="77777777" w:rsidR="009503F6" w:rsidRPr="00033000" w:rsidRDefault="009503F6" w:rsidP="00CF0798">
            <w:pPr>
              <w:pStyle w:val="Els-body-text"/>
              <w:rPr>
                <w:sz w:val="16"/>
                <w:szCs w:val="16"/>
              </w:rPr>
            </w:pPr>
            <w:r w:rsidRPr="00033000">
              <w:rPr>
                <w:sz w:val="16"/>
                <w:szCs w:val="16"/>
              </w:rPr>
              <w:t>Parameter for electrical conductivity</w:t>
            </w:r>
          </w:p>
        </w:tc>
        <w:tc>
          <w:tcPr>
            <w:tcW w:w="1275" w:type="dxa"/>
            <w:shd w:val="clear" w:color="auto" w:fill="D9D9D9" w:themeFill="background1" w:themeFillShade="D9"/>
            <w:vAlign w:val="center"/>
          </w:tcPr>
          <w:p w14:paraId="336F8C4C" w14:textId="77777777" w:rsidR="009503F6" w:rsidRPr="00033000" w:rsidRDefault="009503F6" w:rsidP="00CF0798">
            <w:pPr>
              <w:pStyle w:val="Els-body-text"/>
              <w:rPr>
                <w:sz w:val="16"/>
                <w:szCs w:val="16"/>
              </w:rPr>
            </w:pPr>
            <w:r w:rsidRPr="00033000">
              <w:rPr>
                <w:sz w:val="16"/>
                <w:szCs w:val="16"/>
              </w:rPr>
              <w:t>1E-5</w:t>
            </w:r>
          </w:p>
        </w:tc>
        <w:tc>
          <w:tcPr>
            <w:tcW w:w="1134" w:type="dxa"/>
            <w:shd w:val="clear" w:color="auto" w:fill="D9D9D9" w:themeFill="background1" w:themeFillShade="D9"/>
            <w:vAlign w:val="center"/>
          </w:tcPr>
          <w:p w14:paraId="59660943" w14:textId="77777777" w:rsidR="009503F6" w:rsidRPr="00033000" w:rsidRDefault="009503F6" w:rsidP="00CF0798">
            <w:pPr>
              <w:pStyle w:val="Els-body-text"/>
              <w:rPr>
                <w:sz w:val="16"/>
                <w:szCs w:val="16"/>
              </w:rPr>
            </w:pPr>
            <w:r w:rsidRPr="00033000">
              <w:rPr>
                <w:sz w:val="16"/>
                <w:szCs w:val="16"/>
              </w:rPr>
              <w:t>[1E-6 – 1E-4]</w:t>
            </w:r>
          </w:p>
        </w:tc>
        <w:tc>
          <w:tcPr>
            <w:tcW w:w="704" w:type="dxa"/>
            <w:shd w:val="clear" w:color="auto" w:fill="D9D9D9" w:themeFill="background1" w:themeFillShade="D9"/>
            <w:vAlign w:val="center"/>
          </w:tcPr>
          <w:p w14:paraId="3A7E3E62" w14:textId="77777777" w:rsidR="009503F6" w:rsidRPr="00033000" w:rsidRDefault="009503F6" w:rsidP="00CF0798">
            <w:pPr>
              <w:pStyle w:val="Els-body-text"/>
              <w:rPr>
                <w:sz w:val="16"/>
                <w:szCs w:val="16"/>
              </w:rPr>
            </w:pPr>
            <w:r w:rsidRPr="00033000">
              <w:rPr>
                <w:sz w:val="16"/>
                <w:szCs w:val="16"/>
              </w:rPr>
              <w:t>-</w:t>
            </w:r>
          </w:p>
        </w:tc>
      </w:tr>
      <w:tr w:rsidR="009503F6" w:rsidRPr="00033000" w14:paraId="079F39A0" w14:textId="77777777" w:rsidTr="00CF0798">
        <w:trPr>
          <w:jc w:val="center"/>
        </w:trPr>
        <w:tc>
          <w:tcPr>
            <w:tcW w:w="1848" w:type="dxa"/>
            <w:tcBorders>
              <w:bottom w:val="single" w:sz="4" w:space="0" w:color="auto"/>
            </w:tcBorders>
            <w:vAlign w:val="center"/>
          </w:tcPr>
          <w:p w14:paraId="6E72E70C" w14:textId="77777777" w:rsidR="009503F6" w:rsidRPr="00033000" w:rsidRDefault="009503F6" w:rsidP="00CF0798">
            <w:pPr>
              <w:pStyle w:val="Els-body-text"/>
              <w:rPr>
                <w:sz w:val="16"/>
                <w:szCs w:val="16"/>
              </w:rPr>
            </w:pPr>
            <w:r w:rsidRPr="00033000">
              <w:rPr>
                <w:sz w:val="16"/>
                <w:szCs w:val="16"/>
              </w:rPr>
              <w:t>Membrane</w:t>
            </w:r>
          </w:p>
        </w:tc>
        <w:tc>
          <w:tcPr>
            <w:tcW w:w="2127" w:type="dxa"/>
            <w:tcBorders>
              <w:bottom w:val="single" w:sz="4" w:space="0" w:color="auto"/>
            </w:tcBorders>
            <w:vAlign w:val="center"/>
          </w:tcPr>
          <w:p w14:paraId="4916A2E2" w14:textId="77777777" w:rsidR="009503F6" w:rsidRPr="00033000" w:rsidRDefault="009503F6" w:rsidP="00CF0798">
            <w:pPr>
              <w:pStyle w:val="Els-body-text"/>
              <w:rPr>
                <w:sz w:val="16"/>
                <w:szCs w:val="16"/>
              </w:rPr>
            </w:pPr>
            <w:r w:rsidRPr="00033000">
              <w:rPr>
                <w:sz w:val="16"/>
                <w:szCs w:val="16"/>
              </w:rPr>
              <w:t>Thickness</w:t>
            </w:r>
          </w:p>
        </w:tc>
        <w:tc>
          <w:tcPr>
            <w:tcW w:w="1275" w:type="dxa"/>
            <w:tcBorders>
              <w:bottom w:val="single" w:sz="4" w:space="0" w:color="auto"/>
            </w:tcBorders>
            <w:vAlign w:val="center"/>
          </w:tcPr>
          <w:p w14:paraId="047384C2" w14:textId="77777777" w:rsidR="009503F6" w:rsidRPr="00033000" w:rsidRDefault="009503F6" w:rsidP="00CF0798">
            <w:pPr>
              <w:pStyle w:val="Els-body-text"/>
              <w:rPr>
                <w:sz w:val="16"/>
                <w:szCs w:val="16"/>
              </w:rPr>
            </w:pPr>
            <w:r w:rsidRPr="00033000">
              <w:rPr>
                <w:sz w:val="16"/>
                <w:szCs w:val="16"/>
              </w:rPr>
              <w:t>5</w:t>
            </w:r>
          </w:p>
        </w:tc>
        <w:tc>
          <w:tcPr>
            <w:tcW w:w="1134" w:type="dxa"/>
            <w:tcBorders>
              <w:bottom w:val="single" w:sz="4" w:space="0" w:color="auto"/>
            </w:tcBorders>
            <w:vAlign w:val="center"/>
          </w:tcPr>
          <w:p w14:paraId="5EB8B2FC" w14:textId="77777777" w:rsidR="009503F6" w:rsidRPr="00033000" w:rsidRDefault="009503F6" w:rsidP="00CF0798">
            <w:pPr>
              <w:pStyle w:val="Els-body-text"/>
              <w:rPr>
                <w:sz w:val="16"/>
                <w:szCs w:val="16"/>
              </w:rPr>
            </w:pPr>
            <w:r w:rsidRPr="00033000">
              <w:rPr>
                <w:sz w:val="16"/>
                <w:szCs w:val="16"/>
              </w:rPr>
              <w:t>[2 – 20]</w:t>
            </w:r>
          </w:p>
        </w:tc>
        <w:tc>
          <w:tcPr>
            <w:tcW w:w="704" w:type="dxa"/>
            <w:tcBorders>
              <w:bottom w:val="single" w:sz="4" w:space="0" w:color="auto"/>
            </w:tcBorders>
            <w:vAlign w:val="center"/>
          </w:tcPr>
          <w:p w14:paraId="6EB74356" w14:textId="77777777" w:rsidR="009503F6" w:rsidRPr="00033000" w:rsidRDefault="009503F6" w:rsidP="00CF0798">
            <w:pPr>
              <w:pStyle w:val="Els-body-text"/>
              <w:rPr>
                <w:sz w:val="16"/>
                <w:szCs w:val="16"/>
              </w:rPr>
            </w:pPr>
            <w:r w:rsidRPr="00033000">
              <w:rPr>
                <w:sz w:val="16"/>
                <w:szCs w:val="16"/>
              </w:rPr>
              <w:t>µm</w:t>
            </w:r>
          </w:p>
        </w:tc>
      </w:tr>
    </w:tbl>
    <w:p w14:paraId="584F1B3B" w14:textId="63E49AB4" w:rsidR="00B46CFE" w:rsidRDefault="00F57618" w:rsidP="009503F6">
      <w:pPr>
        <w:pStyle w:val="Els-2ndorder-head"/>
      </w:pPr>
      <w:r>
        <w:t>Parameter estimation</w:t>
      </w:r>
    </w:p>
    <w:p w14:paraId="7BD2643F" w14:textId="7E289D8D" w:rsidR="00B46CFE" w:rsidRPr="00B46CFE" w:rsidRDefault="00692C6E" w:rsidP="009503F6">
      <w:pPr>
        <w:pStyle w:val="Els-body-text"/>
      </w:pPr>
      <w:r>
        <w:t>With</w:t>
      </w:r>
      <w:r w:rsidR="000438FC" w:rsidRPr="000438FC">
        <w:t xml:space="preserve"> limited experimental data, the selection of parameters becomes a critical aspect. </w:t>
      </w:r>
      <w:r w:rsidR="009503F6">
        <w:t>A</w:t>
      </w:r>
      <w:r w:rsidR="000438FC" w:rsidRPr="000438FC">
        <w:t>ttempting to estimate too many parameters simultaneously would inevitably result in overfitting.</w:t>
      </w:r>
      <w:r w:rsidR="00B51750" w:rsidRPr="00B51750">
        <w:t xml:space="preserve"> </w:t>
      </w:r>
      <w:r w:rsidR="00F362D0" w:rsidRPr="00F362D0">
        <w:t>Therefore, to prevent</w:t>
      </w:r>
      <w:r w:rsidR="009503F6">
        <w:t xml:space="preserve"> this, </w:t>
      </w:r>
      <w:r w:rsidR="00F362D0" w:rsidRPr="00F362D0">
        <w:t>three parameters</w:t>
      </w:r>
      <w:r w:rsidR="009503F6">
        <w:t xml:space="preserve"> </w:t>
      </w:r>
      <w:r w:rsidR="00F362D0" w:rsidRPr="00F362D0">
        <w:t>have been selected, as p</w:t>
      </w:r>
      <w:r>
        <w:t>re</w:t>
      </w:r>
      <w:r w:rsidR="00F362D0" w:rsidRPr="00F362D0">
        <w:t xml:space="preserve">-analysis indicates that these parameters </w:t>
      </w:r>
      <w:r>
        <w:t>induce a strong impact on the stack average voltage</w:t>
      </w:r>
      <w:r w:rsidR="00F362D0" w:rsidRPr="00F362D0">
        <w:t>.</w:t>
      </w:r>
      <w:r w:rsidR="00F362D0">
        <w:t xml:space="preserve"> </w:t>
      </w:r>
      <w:r w:rsidR="00777B8B" w:rsidRPr="00777B8B">
        <w:t>In this section, the outcomes of the parameter estimation are presented and discussed in statistical terms to thoroughly evaluate the fitting performance.</w:t>
      </w:r>
    </w:p>
    <w:p w14:paraId="3273DF74" w14:textId="33C95184" w:rsidR="00424489" w:rsidRDefault="00CD0E3A" w:rsidP="009503F6">
      <w:pPr>
        <w:pStyle w:val="Els-3rdorder-head"/>
      </w:pPr>
      <w:r>
        <w:t xml:space="preserve">Overall system performance </w:t>
      </w:r>
    </w:p>
    <w:p w14:paraId="67D6E871" w14:textId="77777777" w:rsidR="006D221E" w:rsidRPr="009503F6" w:rsidRDefault="00424489" w:rsidP="006D221E">
      <w:pPr>
        <w:pStyle w:val="Els-body-text"/>
      </w:pPr>
      <w:r>
        <w:t xml:space="preserve">In this section, a visual interpretation of the model validation performance is given and fitting performance are briefly discussed. From </w:t>
      </w:r>
      <w:r w:rsidR="009503F6" w:rsidRPr="009503F6">
        <w:fldChar w:fldCharType="begin"/>
      </w:r>
      <w:r w:rsidR="009503F6" w:rsidRPr="009503F6">
        <w:instrText xml:space="preserve"> REF _Ref152262052 \h </w:instrText>
      </w:r>
      <w:r w:rsidR="009503F6">
        <w:instrText xml:space="preserve"> \* MERGEFORMAT </w:instrText>
      </w:r>
      <w:r w:rsidR="009503F6" w:rsidRPr="009503F6">
        <w:fldChar w:fldCharType="separate"/>
      </w:r>
      <w:r w:rsidR="003A5258" w:rsidRPr="003A5258">
        <w:t xml:space="preserve">Figure </w:t>
      </w:r>
      <w:r w:rsidR="003A5258" w:rsidRPr="003A5258">
        <w:rPr>
          <w:noProof/>
        </w:rPr>
        <w:t>5</w:t>
      </w:r>
      <w:r w:rsidR="009503F6" w:rsidRPr="009503F6">
        <w:fldChar w:fldCharType="end"/>
      </w:r>
      <w:r>
        <w:t xml:space="preserve">, one can directly see that the validated model provides a better fit of the experimental </w:t>
      </w:r>
      <w:r w:rsidR="006F025A">
        <w:t xml:space="preserve">data </w:t>
      </w:r>
      <w:r>
        <w:t xml:space="preserve">compared to the </w:t>
      </w:r>
      <w:r w:rsidR="00C4386B">
        <w:t>original</w:t>
      </w:r>
      <w:r>
        <w:t xml:space="preserve"> non-validated model</w:t>
      </w:r>
      <w:r w:rsidR="006F025A">
        <w:t>.</w:t>
      </w:r>
      <w:r w:rsidR="006D221E">
        <w:t xml:space="preserve"> The fitting performance appears to be slightly better for the first experiment, probably due to the higher number of points. For the same reason, the wet experiment is slightly disregarded, and the fitting performance is lower. This fact is also explained by the larger error in the wet experiment, due to the presence of water. Finally, the overall performance seems to be satisfying at least from a visual interpretation. Further investigations on the statistical analysis will decide and evaluate more deeply the validity of this fit. </w:t>
      </w:r>
    </w:p>
    <w:p w14:paraId="02C38E2F" w14:textId="3AA01D41" w:rsidR="00E33768" w:rsidRPr="007E4DA3" w:rsidRDefault="00E33768" w:rsidP="00E33768">
      <w:pPr>
        <w:pStyle w:val="Els-body-text"/>
        <w:rPr>
          <w:sz w:val="6"/>
          <w:szCs w:val="6"/>
        </w:rPr>
      </w:pPr>
    </w:p>
    <w:p w14:paraId="194810AF" w14:textId="198EF50A" w:rsidR="00E33768" w:rsidRDefault="00030F57" w:rsidP="00E33768">
      <w:pPr>
        <w:pStyle w:val="Els-body-text"/>
        <w:keepNext/>
        <w:jc w:val="center"/>
      </w:pPr>
      <w:r>
        <w:rPr>
          <w:noProof/>
        </w:rPr>
        <w:drawing>
          <wp:inline distT="0" distB="0" distL="0" distR="0" wp14:anchorId="1C5B4F3C" wp14:editId="5A4E0D2B">
            <wp:extent cx="4465893" cy="2029378"/>
            <wp:effectExtent l="0" t="0" r="5080" b="3175"/>
            <wp:docPr id="1774065774" name="Picture 5" descr="A group of graphs showing different types of resul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065774" name="Picture 5" descr="A group of graphs showing different types of results&#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7571" cy="2307335"/>
                    </a:xfrm>
                    <a:prstGeom prst="rect">
                      <a:avLst/>
                    </a:prstGeom>
                  </pic:spPr>
                </pic:pic>
              </a:graphicData>
            </a:graphic>
          </wp:inline>
        </w:drawing>
      </w:r>
    </w:p>
    <w:p w14:paraId="18AA4863" w14:textId="0DC0B3E4" w:rsidR="00B46CFE" w:rsidRDefault="009503F6" w:rsidP="00E33768">
      <w:pPr>
        <w:pStyle w:val="Caption"/>
        <w:spacing w:before="60" w:after="60"/>
        <w:jc w:val="center"/>
        <w:rPr>
          <w:sz w:val="16"/>
          <w:szCs w:val="18"/>
        </w:rPr>
      </w:pPr>
      <w:bookmarkStart w:id="6" w:name="_Ref152262052"/>
      <w:r w:rsidRPr="009503F6">
        <w:rPr>
          <w:sz w:val="16"/>
          <w:szCs w:val="18"/>
        </w:rPr>
        <w:t xml:space="preserve">Figure </w:t>
      </w:r>
      <w:r w:rsidRPr="009503F6">
        <w:rPr>
          <w:sz w:val="16"/>
          <w:szCs w:val="18"/>
        </w:rPr>
        <w:fldChar w:fldCharType="begin"/>
      </w:r>
      <w:r w:rsidRPr="009503F6">
        <w:rPr>
          <w:sz w:val="16"/>
          <w:szCs w:val="18"/>
        </w:rPr>
        <w:instrText xml:space="preserve"> SEQ Figure \* ARABIC </w:instrText>
      </w:r>
      <w:r w:rsidRPr="009503F6">
        <w:rPr>
          <w:sz w:val="16"/>
          <w:szCs w:val="18"/>
        </w:rPr>
        <w:fldChar w:fldCharType="separate"/>
      </w:r>
      <w:r w:rsidR="003A5258">
        <w:rPr>
          <w:noProof/>
          <w:sz w:val="16"/>
          <w:szCs w:val="18"/>
        </w:rPr>
        <w:t>5</w:t>
      </w:r>
      <w:r w:rsidRPr="009503F6">
        <w:rPr>
          <w:sz w:val="16"/>
          <w:szCs w:val="18"/>
        </w:rPr>
        <w:fldChar w:fldCharType="end"/>
      </w:r>
      <w:bookmarkEnd w:id="6"/>
      <w:r w:rsidRPr="009503F6">
        <w:rPr>
          <w:sz w:val="16"/>
          <w:szCs w:val="18"/>
        </w:rPr>
        <w:t>. Visual interpretation - Original vs. validated model</w:t>
      </w:r>
    </w:p>
    <w:p w14:paraId="37ED173C" w14:textId="5625FC22" w:rsidR="00B46CFE" w:rsidRPr="00B46CFE" w:rsidRDefault="00CD0E3A" w:rsidP="009503F6">
      <w:pPr>
        <w:pStyle w:val="Els-3rdorder-head"/>
      </w:pPr>
      <w:r>
        <w:t>Goodness of fit</w:t>
      </w:r>
    </w:p>
    <w:p w14:paraId="70871E3C" w14:textId="72A5A91E" w:rsidR="00F202F5" w:rsidRDefault="00CF49BE" w:rsidP="009503F6">
      <w:pPr>
        <w:pStyle w:val="Els-body-text"/>
      </w:pPr>
      <w:r w:rsidRPr="00CF49BE">
        <w:t xml:space="preserve">The primary goal in parameter estimation is to minimize the likelihood function, which serves as a measure of the agreement between experimental and model data. </w:t>
      </w:r>
      <w:r w:rsidR="00355238" w:rsidRPr="00355238">
        <w:t xml:space="preserve">Nevertheless, depending solely on the likelihood function for assessment poses difficulties in gauging the model's ability to faithfully depict reality. </w:t>
      </w:r>
      <w:r w:rsidR="00F13AEB" w:rsidRPr="00F13AEB">
        <w:t xml:space="preserve">Goodness of fit encompasses a broader </w:t>
      </w:r>
      <w:r w:rsidR="00F13AEB" w:rsidRPr="00F13AEB">
        <w:lastRenderedPageBreak/>
        <w:t>perspective by evaluating how well the model aligns with the observed data across various dimensions.</w:t>
      </w:r>
      <w:r w:rsidR="009503F6">
        <w:t xml:space="preserve"> </w:t>
      </w:r>
      <w:r w:rsidR="007A00C0">
        <w:t>A</w:t>
      </w:r>
      <w:r w:rsidR="009D49B2" w:rsidRPr="009D49B2">
        <w:t xml:space="preserve"> chi-squared test </w:t>
      </w:r>
      <w:r w:rsidR="000036D2">
        <w:t>has been</w:t>
      </w:r>
      <w:r w:rsidR="009D49B2" w:rsidRPr="009D49B2">
        <w:t xml:space="preserve"> conducted</w:t>
      </w:r>
      <w:r w:rsidR="009503F6">
        <w:t xml:space="preserve">, </w:t>
      </w:r>
      <w:r w:rsidR="009D49B2" w:rsidRPr="009D49B2">
        <w:t>to compare the weighted residuals with the expected weighted residuals derived from the dataset.</w:t>
      </w:r>
      <w:r w:rsidR="009D49B2">
        <w:t xml:space="preserve"> </w:t>
      </w:r>
      <w:r w:rsidR="00A454C1" w:rsidRPr="00A454C1">
        <w:t>A chi-squared value below the critical threshold indicates that the experiment is suitably fitted by the model.</w:t>
      </w:r>
      <w:r w:rsidR="007A00C0">
        <w:t xml:space="preserve"> </w:t>
      </w:r>
      <w:r w:rsidR="009503F6" w:rsidRPr="009503F6">
        <w:fldChar w:fldCharType="begin"/>
      </w:r>
      <w:r w:rsidR="009503F6" w:rsidRPr="009503F6">
        <w:instrText xml:space="preserve"> REF _Ref152262325 \h </w:instrText>
      </w:r>
      <w:r w:rsidR="009503F6">
        <w:instrText xml:space="preserve"> \* MERGEFORMAT </w:instrText>
      </w:r>
      <w:r w:rsidR="009503F6" w:rsidRPr="009503F6">
        <w:fldChar w:fldCharType="separate"/>
      </w:r>
      <w:r w:rsidR="003A5258" w:rsidRPr="003A5258">
        <w:t xml:space="preserve">Table </w:t>
      </w:r>
      <w:r w:rsidR="003A5258" w:rsidRPr="003A5258">
        <w:rPr>
          <w:noProof/>
        </w:rPr>
        <w:t>2</w:t>
      </w:r>
      <w:r w:rsidR="009503F6" w:rsidRPr="009503F6">
        <w:fldChar w:fldCharType="end"/>
      </w:r>
      <w:r w:rsidR="009503F6">
        <w:t xml:space="preserve"> </w:t>
      </w:r>
      <w:r w:rsidR="006B3546" w:rsidRPr="006B3546">
        <w:t>indicate</w:t>
      </w:r>
      <w:r w:rsidR="009503F6">
        <w:t>s</w:t>
      </w:r>
      <w:r w:rsidR="006B3546" w:rsidRPr="006B3546">
        <w:t xml:space="preserve"> that all </w:t>
      </w:r>
      <w:r w:rsidR="009503F6">
        <w:t>experiments</w:t>
      </w:r>
      <w:r w:rsidR="006B3546" w:rsidRPr="006B3546">
        <w:t xml:space="preserve"> have successfully passed, affirming the model's capability to accurately represent the experimental data.</w:t>
      </w:r>
    </w:p>
    <w:p w14:paraId="54266A72" w14:textId="7CFD28DF" w:rsidR="00BB7C9C" w:rsidRPr="009503F6" w:rsidRDefault="003515F5" w:rsidP="00195313">
      <w:pPr>
        <w:pStyle w:val="Caption"/>
        <w:spacing w:before="60" w:after="60"/>
        <w:jc w:val="center"/>
        <w:rPr>
          <w:sz w:val="16"/>
          <w:szCs w:val="16"/>
        </w:rPr>
      </w:pPr>
      <w:bookmarkStart w:id="7" w:name="_Ref152262325"/>
      <w:r w:rsidRPr="009503F6">
        <w:rPr>
          <w:sz w:val="16"/>
          <w:szCs w:val="16"/>
        </w:rPr>
        <w:t xml:space="preserve">Table </w:t>
      </w:r>
      <w:r w:rsidRPr="009503F6">
        <w:rPr>
          <w:sz w:val="16"/>
          <w:szCs w:val="16"/>
        </w:rPr>
        <w:fldChar w:fldCharType="begin"/>
      </w:r>
      <w:r w:rsidRPr="009503F6">
        <w:rPr>
          <w:sz w:val="16"/>
          <w:szCs w:val="16"/>
        </w:rPr>
        <w:instrText xml:space="preserve"> SEQ Table \* ARABIC </w:instrText>
      </w:r>
      <w:r w:rsidRPr="009503F6">
        <w:rPr>
          <w:sz w:val="16"/>
          <w:szCs w:val="16"/>
        </w:rPr>
        <w:fldChar w:fldCharType="separate"/>
      </w:r>
      <w:r w:rsidR="003A5258">
        <w:rPr>
          <w:noProof/>
          <w:sz w:val="16"/>
          <w:szCs w:val="16"/>
        </w:rPr>
        <w:t>2</w:t>
      </w:r>
      <w:r w:rsidRPr="009503F6">
        <w:rPr>
          <w:sz w:val="16"/>
          <w:szCs w:val="16"/>
        </w:rPr>
        <w:fldChar w:fldCharType="end"/>
      </w:r>
      <w:bookmarkEnd w:id="7"/>
      <w:r w:rsidRPr="009503F6">
        <w:rPr>
          <w:sz w:val="16"/>
          <w:szCs w:val="16"/>
        </w:rPr>
        <w:t xml:space="preserve">: Goodness of fit - </w:t>
      </w:r>
      <w:r w:rsidRPr="009503F6">
        <w:rPr>
          <w:sz w:val="16"/>
          <w:szCs w:val="16"/>
        </w:rPr>
        <w:sym w:font="Symbol" w:char="F063"/>
      </w:r>
      <w:r w:rsidRPr="009503F6">
        <w:rPr>
          <w:sz w:val="16"/>
          <w:szCs w:val="16"/>
          <w:vertAlign w:val="superscript"/>
        </w:rPr>
        <w:t>2</w:t>
      </w:r>
      <w:r w:rsidRPr="009503F6">
        <w:rPr>
          <w:sz w:val="16"/>
          <w:szCs w:val="16"/>
        </w:rPr>
        <w:t xml:space="preserve"> results for Exp 1, Exp 2, Exp 3: Dry ramps, Exp 4: Wet </w:t>
      </w:r>
      <w:proofErr w:type="gramStart"/>
      <w:r w:rsidRPr="009503F6">
        <w:rPr>
          <w:sz w:val="16"/>
          <w:szCs w:val="16"/>
        </w:rPr>
        <w:t>ramp</w:t>
      </w:r>
      <w:proofErr w:type="gramEnd"/>
    </w:p>
    <w:tbl>
      <w:tblPr>
        <w:tblStyle w:val="TableGrid"/>
        <w:tblW w:w="71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
        <w:gridCol w:w="667"/>
        <w:gridCol w:w="790"/>
        <w:gridCol w:w="778"/>
        <w:gridCol w:w="647"/>
        <w:gridCol w:w="781"/>
        <w:gridCol w:w="647"/>
        <w:gridCol w:w="776"/>
        <w:gridCol w:w="647"/>
        <w:gridCol w:w="777"/>
      </w:tblGrid>
      <w:tr w:rsidR="009503F6" w:rsidRPr="003515F5" w14:paraId="6804E9D9" w14:textId="77777777" w:rsidTr="009503F6">
        <w:trPr>
          <w:trHeight w:hRule="exact" w:val="227"/>
          <w:jc w:val="center"/>
        </w:trPr>
        <w:tc>
          <w:tcPr>
            <w:tcW w:w="1276" w:type="dxa"/>
            <w:gridSpan w:val="2"/>
            <w:tcBorders>
              <w:top w:val="single" w:sz="4" w:space="0" w:color="auto"/>
              <w:bottom w:val="single" w:sz="4" w:space="0" w:color="auto"/>
              <w:right w:val="single" w:sz="4" w:space="0" w:color="auto"/>
            </w:tcBorders>
            <w:vAlign w:val="center"/>
          </w:tcPr>
          <w:p w14:paraId="6E883FCA" w14:textId="0A76F974" w:rsidR="00424489" w:rsidRPr="003515F5" w:rsidRDefault="00424489" w:rsidP="009503F6">
            <w:pPr>
              <w:pStyle w:val="Els-body-text"/>
              <w:spacing w:line="360" w:lineRule="auto"/>
              <w:rPr>
                <w:b/>
                <w:bCs/>
                <w:sz w:val="16"/>
                <w:szCs w:val="16"/>
              </w:rPr>
            </w:pPr>
            <w:r w:rsidRPr="003515F5">
              <w:rPr>
                <w:b/>
                <w:bCs/>
                <w:sz w:val="16"/>
                <w:szCs w:val="16"/>
              </w:rPr>
              <w:t>Ex</w:t>
            </w:r>
            <w:r w:rsidR="003515F5">
              <w:rPr>
                <w:b/>
                <w:bCs/>
                <w:sz w:val="16"/>
                <w:szCs w:val="16"/>
              </w:rPr>
              <w:t>p</w:t>
            </w:r>
            <w:r w:rsidRPr="003515F5">
              <w:rPr>
                <w:b/>
                <w:bCs/>
                <w:sz w:val="16"/>
                <w:szCs w:val="16"/>
              </w:rPr>
              <w:t xml:space="preserve"> 1</w:t>
            </w: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46B852B0" w14:textId="797941EB" w:rsidR="00424489" w:rsidRPr="003515F5" w:rsidRDefault="00424489" w:rsidP="009503F6">
            <w:pPr>
              <w:pStyle w:val="Els-body-text"/>
              <w:spacing w:line="360" w:lineRule="auto"/>
              <w:rPr>
                <w:b/>
                <w:bCs/>
                <w:sz w:val="16"/>
                <w:szCs w:val="16"/>
              </w:rPr>
            </w:pPr>
            <w:r w:rsidRPr="003515F5">
              <w:rPr>
                <w:b/>
                <w:bCs/>
                <w:sz w:val="16"/>
                <w:szCs w:val="16"/>
              </w:rPr>
              <w:t>Exp 2</w:t>
            </w:r>
          </w:p>
        </w:tc>
        <w:tc>
          <w:tcPr>
            <w:tcW w:w="1428" w:type="dxa"/>
            <w:gridSpan w:val="2"/>
            <w:tcBorders>
              <w:top w:val="single" w:sz="4" w:space="0" w:color="auto"/>
              <w:left w:val="single" w:sz="4" w:space="0" w:color="auto"/>
              <w:bottom w:val="single" w:sz="4" w:space="0" w:color="auto"/>
              <w:right w:val="single" w:sz="4" w:space="0" w:color="auto"/>
            </w:tcBorders>
            <w:vAlign w:val="center"/>
          </w:tcPr>
          <w:p w14:paraId="137642BA" w14:textId="4ACC1560" w:rsidR="00424489" w:rsidRPr="003515F5" w:rsidRDefault="00424489" w:rsidP="009503F6">
            <w:pPr>
              <w:pStyle w:val="Els-body-text"/>
              <w:spacing w:line="360" w:lineRule="auto"/>
              <w:rPr>
                <w:b/>
                <w:bCs/>
                <w:sz w:val="16"/>
                <w:szCs w:val="16"/>
              </w:rPr>
            </w:pPr>
            <w:r w:rsidRPr="003515F5">
              <w:rPr>
                <w:b/>
                <w:bCs/>
                <w:sz w:val="16"/>
                <w:szCs w:val="16"/>
              </w:rPr>
              <w:t>Exp</w:t>
            </w:r>
            <w:r w:rsidR="009503F6">
              <w:rPr>
                <w:b/>
                <w:bCs/>
                <w:sz w:val="16"/>
                <w:szCs w:val="16"/>
              </w:rPr>
              <w:t xml:space="preserve"> 3</w:t>
            </w:r>
          </w:p>
        </w:tc>
        <w:tc>
          <w:tcPr>
            <w:tcW w:w="1423" w:type="dxa"/>
            <w:gridSpan w:val="2"/>
            <w:tcBorders>
              <w:top w:val="single" w:sz="4" w:space="0" w:color="auto"/>
              <w:left w:val="single" w:sz="4" w:space="0" w:color="auto"/>
              <w:bottom w:val="single" w:sz="4" w:space="0" w:color="auto"/>
              <w:right w:val="single" w:sz="4" w:space="0" w:color="auto"/>
            </w:tcBorders>
            <w:vAlign w:val="center"/>
          </w:tcPr>
          <w:p w14:paraId="55AFFA52" w14:textId="1B0C7815" w:rsidR="00424489" w:rsidRPr="003515F5" w:rsidRDefault="00424489" w:rsidP="009503F6">
            <w:pPr>
              <w:pStyle w:val="Els-body-text"/>
              <w:spacing w:line="360" w:lineRule="auto"/>
              <w:rPr>
                <w:b/>
                <w:bCs/>
                <w:sz w:val="16"/>
                <w:szCs w:val="16"/>
              </w:rPr>
            </w:pPr>
            <w:r w:rsidRPr="003515F5">
              <w:rPr>
                <w:b/>
                <w:bCs/>
                <w:sz w:val="16"/>
                <w:szCs w:val="16"/>
              </w:rPr>
              <w:t>Exp</w:t>
            </w:r>
            <w:r w:rsidR="009503F6">
              <w:rPr>
                <w:b/>
                <w:bCs/>
                <w:sz w:val="16"/>
                <w:szCs w:val="16"/>
              </w:rPr>
              <w:t xml:space="preserve"> 4</w:t>
            </w:r>
          </w:p>
        </w:tc>
        <w:tc>
          <w:tcPr>
            <w:tcW w:w="1424" w:type="dxa"/>
            <w:gridSpan w:val="2"/>
            <w:tcBorders>
              <w:top w:val="single" w:sz="4" w:space="0" w:color="auto"/>
              <w:left w:val="single" w:sz="4" w:space="0" w:color="auto"/>
              <w:bottom w:val="single" w:sz="4" w:space="0" w:color="auto"/>
            </w:tcBorders>
            <w:vAlign w:val="center"/>
          </w:tcPr>
          <w:p w14:paraId="5B22FB06" w14:textId="2A322C6A" w:rsidR="00424489" w:rsidRPr="003515F5" w:rsidRDefault="009503F6" w:rsidP="009503F6">
            <w:pPr>
              <w:pStyle w:val="Els-body-text"/>
              <w:spacing w:line="360" w:lineRule="auto"/>
              <w:rPr>
                <w:b/>
                <w:bCs/>
                <w:sz w:val="16"/>
                <w:szCs w:val="16"/>
              </w:rPr>
            </w:pPr>
            <w:r>
              <w:rPr>
                <w:b/>
                <w:bCs/>
                <w:sz w:val="16"/>
                <w:szCs w:val="16"/>
              </w:rPr>
              <w:t>Overall results</w:t>
            </w:r>
          </w:p>
        </w:tc>
      </w:tr>
      <w:tr w:rsidR="009503F6" w:rsidRPr="003515F5" w14:paraId="37FC6A1D" w14:textId="77777777" w:rsidTr="009503F6">
        <w:trPr>
          <w:trHeight w:hRule="exact" w:val="227"/>
          <w:jc w:val="center"/>
        </w:trPr>
        <w:tc>
          <w:tcPr>
            <w:tcW w:w="609" w:type="dxa"/>
            <w:tcBorders>
              <w:top w:val="single" w:sz="4" w:space="0" w:color="auto"/>
            </w:tcBorders>
            <w:vAlign w:val="center"/>
          </w:tcPr>
          <w:p w14:paraId="1F8C0D6A" w14:textId="77777777" w:rsidR="00424489" w:rsidRPr="003515F5" w:rsidRDefault="00424489" w:rsidP="009503F6">
            <w:pPr>
              <w:pStyle w:val="Els-body-text"/>
              <w:spacing w:line="360" w:lineRule="auto"/>
              <w:rPr>
                <w:sz w:val="16"/>
                <w:szCs w:val="16"/>
              </w:rPr>
            </w:pPr>
            <w:r w:rsidRPr="003515F5">
              <w:rPr>
                <w:sz w:val="16"/>
                <w:szCs w:val="16"/>
              </w:rPr>
              <w:sym w:font="Symbol" w:char="F063"/>
            </w:r>
            <w:r w:rsidRPr="003515F5">
              <w:rPr>
                <w:sz w:val="16"/>
                <w:szCs w:val="16"/>
                <w:vertAlign w:val="superscript"/>
              </w:rPr>
              <w:t>2</w:t>
            </w:r>
          </w:p>
        </w:tc>
        <w:tc>
          <w:tcPr>
            <w:tcW w:w="667" w:type="dxa"/>
            <w:tcBorders>
              <w:top w:val="single" w:sz="4" w:space="0" w:color="auto"/>
              <w:right w:val="single" w:sz="4" w:space="0" w:color="auto"/>
            </w:tcBorders>
            <w:vAlign w:val="center"/>
          </w:tcPr>
          <w:p w14:paraId="5AEB5E58" w14:textId="77777777" w:rsidR="00424489" w:rsidRPr="003515F5" w:rsidRDefault="00424489" w:rsidP="009503F6">
            <w:pPr>
              <w:pStyle w:val="Els-body-text"/>
              <w:spacing w:line="360" w:lineRule="auto"/>
              <w:rPr>
                <w:sz w:val="16"/>
                <w:szCs w:val="16"/>
                <w:vertAlign w:val="subscript"/>
              </w:rPr>
            </w:pPr>
            <w:r w:rsidRPr="003515F5">
              <w:rPr>
                <w:sz w:val="16"/>
                <w:szCs w:val="16"/>
              </w:rPr>
              <w:sym w:font="Symbol" w:char="F063"/>
            </w:r>
            <w:r w:rsidRPr="003515F5">
              <w:rPr>
                <w:sz w:val="16"/>
                <w:szCs w:val="16"/>
                <w:vertAlign w:val="superscript"/>
              </w:rPr>
              <w:t>2</w:t>
            </w:r>
            <w:r w:rsidRPr="003515F5">
              <w:rPr>
                <w:sz w:val="16"/>
                <w:szCs w:val="16"/>
                <w:vertAlign w:val="subscript"/>
              </w:rPr>
              <w:t>critical</w:t>
            </w:r>
          </w:p>
        </w:tc>
        <w:tc>
          <w:tcPr>
            <w:tcW w:w="790" w:type="dxa"/>
            <w:tcBorders>
              <w:top w:val="single" w:sz="4" w:space="0" w:color="auto"/>
              <w:left w:val="single" w:sz="4" w:space="0" w:color="auto"/>
            </w:tcBorders>
            <w:vAlign w:val="center"/>
          </w:tcPr>
          <w:p w14:paraId="128F30B6" w14:textId="77777777" w:rsidR="00424489" w:rsidRPr="003515F5" w:rsidRDefault="00424489" w:rsidP="009503F6">
            <w:pPr>
              <w:pStyle w:val="Els-body-text"/>
              <w:spacing w:line="360" w:lineRule="auto"/>
              <w:rPr>
                <w:sz w:val="16"/>
                <w:szCs w:val="16"/>
              </w:rPr>
            </w:pPr>
            <w:r w:rsidRPr="003515F5">
              <w:rPr>
                <w:sz w:val="16"/>
                <w:szCs w:val="16"/>
              </w:rPr>
              <w:sym w:font="Symbol" w:char="F063"/>
            </w:r>
            <w:r w:rsidRPr="003515F5">
              <w:rPr>
                <w:sz w:val="16"/>
                <w:szCs w:val="16"/>
                <w:vertAlign w:val="superscript"/>
              </w:rPr>
              <w:t>2</w:t>
            </w:r>
          </w:p>
        </w:tc>
        <w:tc>
          <w:tcPr>
            <w:tcW w:w="778" w:type="dxa"/>
            <w:tcBorders>
              <w:top w:val="single" w:sz="4" w:space="0" w:color="auto"/>
              <w:right w:val="single" w:sz="4" w:space="0" w:color="auto"/>
            </w:tcBorders>
            <w:vAlign w:val="center"/>
          </w:tcPr>
          <w:p w14:paraId="1A4C6852" w14:textId="77777777" w:rsidR="00424489" w:rsidRPr="003515F5" w:rsidRDefault="00424489" w:rsidP="009503F6">
            <w:pPr>
              <w:pStyle w:val="Els-body-text"/>
              <w:spacing w:line="360" w:lineRule="auto"/>
              <w:rPr>
                <w:sz w:val="16"/>
                <w:szCs w:val="16"/>
                <w:vertAlign w:val="subscript"/>
              </w:rPr>
            </w:pPr>
            <w:r w:rsidRPr="003515F5">
              <w:rPr>
                <w:sz w:val="16"/>
                <w:szCs w:val="16"/>
              </w:rPr>
              <w:sym w:font="Symbol" w:char="F063"/>
            </w:r>
            <w:r w:rsidRPr="003515F5">
              <w:rPr>
                <w:sz w:val="16"/>
                <w:szCs w:val="16"/>
                <w:vertAlign w:val="superscript"/>
              </w:rPr>
              <w:t>2</w:t>
            </w:r>
            <w:r w:rsidRPr="003515F5">
              <w:rPr>
                <w:sz w:val="16"/>
                <w:szCs w:val="16"/>
                <w:vertAlign w:val="subscript"/>
              </w:rPr>
              <w:t xml:space="preserve"> critical</w:t>
            </w:r>
          </w:p>
        </w:tc>
        <w:tc>
          <w:tcPr>
            <w:tcW w:w="647" w:type="dxa"/>
            <w:tcBorders>
              <w:top w:val="single" w:sz="4" w:space="0" w:color="auto"/>
              <w:left w:val="single" w:sz="4" w:space="0" w:color="auto"/>
            </w:tcBorders>
            <w:vAlign w:val="center"/>
          </w:tcPr>
          <w:p w14:paraId="004AE018" w14:textId="77777777" w:rsidR="00424489" w:rsidRPr="003515F5" w:rsidRDefault="00424489" w:rsidP="009503F6">
            <w:pPr>
              <w:pStyle w:val="Els-body-text"/>
              <w:spacing w:line="360" w:lineRule="auto"/>
              <w:rPr>
                <w:sz w:val="16"/>
                <w:szCs w:val="16"/>
              </w:rPr>
            </w:pPr>
            <w:r w:rsidRPr="003515F5">
              <w:rPr>
                <w:sz w:val="16"/>
                <w:szCs w:val="16"/>
              </w:rPr>
              <w:sym w:font="Symbol" w:char="F063"/>
            </w:r>
            <w:r w:rsidRPr="003515F5">
              <w:rPr>
                <w:sz w:val="16"/>
                <w:szCs w:val="16"/>
                <w:vertAlign w:val="superscript"/>
              </w:rPr>
              <w:t>2</w:t>
            </w:r>
          </w:p>
        </w:tc>
        <w:tc>
          <w:tcPr>
            <w:tcW w:w="781" w:type="dxa"/>
            <w:tcBorders>
              <w:top w:val="single" w:sz="4" w:space="0" w:color="auto"/>
              <w:right w:val="single" w:sz="4" w:space="0" w:color="auto"/>
            </w:tcBorders>
            <w:vAlign w:val="center"/>
          </w:tcPr>
          <w:p w14:paraId="5383A513" w14:textId="77777777" w:rsidR="00424489" w:rsidRPr="003515F5" w:rsidRDefault="00424489" w:rsidP="009503F6">
            <w:pPr>
              <w:pStyle w:val="Els-body-text"/>
              <w:spacing w:line="360" w:lineRule="auto"/>
              <w:rPr>
                <w:sz w:val="16"/>
                <w:szCs w:val="16"/>
                <w:vertAlign w:val="subscript"/>
              </w:rPr>
            </w:pPr>
            <w:r w:rsidRPr="003515F5">
              <w:rPr>
                <w:sz w:val="16"/>
                <w:szCs w:val="16"/>
              </w:rPr>
              <w:sym w:font="Symbol" w:char="F063"/>
            </w:r>
            <w:r w:rsidRPr="003515F5">
              <w:rPr>
                <w:sz w:val="16"/>
                <w:szCs w:val="16"/>
                <w:vertAlign w:val="superscript"/>
              </w:rPr>
              <w:t>2</w:t>
            </w:r>
            <w:r w:rsidRPr="003515F5">
              <w:rPr>
                <w:sz w:val="16"/>
                <w:szCs w:val="16"/>
                <w:vertAlign w:val="subscript"/>
              </w:rPr>
              <w:t xml:space="preserve"> critical</w:t>
            </w:r>
          </w:p>
        </w:tc>
        <w:tc>
          <w:tcPr>
            <w:tcW w:w="647" w:type="dxa"/>
            <w:tcBorders>
              <w:top w:val="single" w:sz="4" w:space="0" w:color="auto"/>
              <w:left w:val="single" w:sz="4" w:space="0" w:color="auto"/>
            </w:tcBorders>
            <w:vAlign w:val="center"/>
          </w:tcPr>
          <w:p w14:paraId="7C60B81F" w14:textId="77777777" w:rsidR="00424489" w:rsidRPr="003515F5" w:rsidRDefault="00424489" w:rsidP="009503F6">
            <w:pPr>
              <w:pStyle w:val="Els-body-text"/>
              <w:spacing w:line="360" w:lineRule="auto"/>
              <w:rPr>
                <w:sz w:val="16"/>
                <w:szCs w:val="16"/>
              </w:rPr>
            </w:pPr>
            <w:r w:rsidRPr="003515F5">
              <w:rPr>
                <w:sz w:val="16"/>
                <w:szCs w:val="16"/>
              </w:rPr>
              <w:sym w:font="Symbol" w:char="F063"/>
            </w:r>
            <w:r w:rsidRPr="003515F5">
              <w:rPr>
                <w:sz w:val="16"/>
                <w:szCs w:val="16"/>
                <w:vertAlign w:val="superscript"/>
              </w:rPr>
              <w:t>2</w:t>
            </w:r>
          </w:p>
        </w:tc>
        <w:tc>
          <w:tcPr>
            <w:tcW w:w="776" w:type="dxa"/>
            <w:tcBorders>
              <w:top w:val="single" w:sz="4" w:space="0" w:color="auto"/>
              <w:right w:val="single" w:sz="4" w:space="0" w:color="auto"/>
            </w:tcBorders>
            <w:vAlign w:val="center"/>
          </w:tcPr>
          <w:p w14:paraId="25846CE8" w14:textId="77777777" w:rsidR="00424489" w:rsidRPr="003515F5" w:rsidRDefault="00424489" w:rsidP="009503F6">
            <w:pPr>
              <w:pStyle w:val="Els-body-text"/>
              <w:spacing w:line="360" w:lineRule="auto"/>
              <w:rPr>
                <w:sz w:val="16"/>
                <w:szCs w:val="16"/>
                <w:vertAlign w:val="subscript"/>
              </w:rPr>
            </w:pPr>
            <w:r w:rsidRPr="003515F5">
              <w:rPr>
                <w:sz w:val="16"/>
                <w:szCs w:val="16"/>
              </w:rPr>
              <w:sym w:font="Symbol" w:char="F063"/>
            </w:r>
            <w:r w:rsidRPr="003515F5">
              <w:rPr>
                <w:sz w:val="16"/>
                <w:szCs w:val="16"/>
                <w:vertAlign w:val="superscript"/>
              </w:rPr>
              <w:t>2</w:t>
            </w:r>
            <w:r w:rsidRPr="003515F5">
              <w:rPr>
                <w:sz w:val="16"/>
                <w:szCs w:val="16"/>
                <w:vertAlign w:val="subscript"/>
              </w:rPr>
              <w:t xml:space="preserve"> critical</w:t>
            </w:r>
          </w:p>
        </w:tc>
        <w:tc>
          <w:tcPr>
            <w:tcW w:w="647" w:type="dxa"/>
            <w:tcBorders>
              <w:top w:val="single" w:sz="4" w:space="0" w:color="auto"/>
              <w:left w:val="single" w:sz="4" w:space="0" w:color="auto"/>
            </w:tcBorders>
            <w:vAlign w:val="center"/>
          </w:tcPr>
          <w:p w14:paraId="6452CC7B" w14:textId="77777777" w:rsidR="00424489" w:rsidRPr="003515F5" w:rsidRDefault="00424489" w:rsidP="009503F6">
            <w:pPr>
              <w:pStyle w:val="Els-body-text"/>
              <w:spacing w:line="360" w:lineRule="auto"/>
              <w:rPr>
                <w:sz w:val="16"/>
                <w:szCs w:val="16"/>
              </w:rPr>
            </w:pPr>
            <w:r w:rsidRPr="003515F5">
              <w:rPr>
                <w:sz w:val="16"/>
                <w:szCs w:val="16"/>
              </w:rPr>
              <w:sym w:font="Symbol" w:char="F063"/>
            </w:r>
            <w:r w:rsidRPr="003515F5">
              <w:rPr>
                <w:sz w:val="16"/>
                <w:szCs w:val="16"/>
                <w:vertAlign w:val="superscript"/>
              </w:rPr>
              <w:t>2</w:t>
            </w:r>
          </w:p>
        </w:tc>
        <w:tc>
          <w:tcPr>
            <w:tcW w:w="777" w:type="dxa"/>
            <w:tcBorders>
              <w:top w:val="single" w:sz="4" w:space="0" w:color="auto"/>
            </w:tcBorders>
            <w:vAlign w:val="center"/>
          </w:tcPr>
          <w:p w14:paraId="577B8078" w14:textId="77777777" w:rsidR="00424489" w:rsidRPr="003515F5" w:rsidRDefault="00424489" w:rsidP="009503F6">
            <w:pPr>
              <w:pStyle w:val="Els-body-text"/>
              <w:spacing w:line="360" w:lineRule="auto"/>
              <w:rPr>
                <w:sz w:val="16"/>
                <w:szCs w:val="16"/>
                <w:vertAlign w:val="subscript"/>
              </w:rPr>
            </w:pPr>
            <w:r w:rsidRPr="003515F5">
              <w:rPr>
                <w:sz w:val="16"/>
                <w:szCs w:val="16"/>
              </w:rPr>
              <w:sym w:font="Symbol" w:char="F063"/>
            </w:r>
            <w:r w:rsidRPr="003515F5">
              <w:rPr>
                <w:sz w:val="16"/>
                <w:szCs w:val="16"/>
                <w:vertAlign w:val="superscript"/>
              </w:rPr>
              <w:t>2</w:t>
            </w:r>
            <w:r w:rsidRPr="003515F5">
              <w:rPr>
                <w:sz w:val="16"/>
                <w:szCs w:val="16"/>
                <w:vertAlign w:val="subscript"/>
              </w:rPr>
              <w:t xml:space="preserve"> critical</w:t>
            </w:r>
          </w:p>
        </w:tc>
      </w:tr>
      <w:tr w:rsidR="009503F6" w:rsidRPr="003515F5" w14:paraId="4C022509" w14:textId="77777777" w:rsidTr="009503F6">
        <w:trPr>
          <w:trHeight w:hRule="exact" w:val="227"/>
          <w:jc w:val="center"/>
        </w:trPr>
        <w:tc>
          <w:tcPr>
            <w:tcW w:w="609" w:type="dxa"/>
            <w:tcBorders>
              <w:bottom w:val="single" w:sz="4" w:space="0" w:color="auto"/>
            </w:tcBorders>
            <w:vAlign w:val="center"/>
          </w:tcPr>
          <w:p w14:paraId="697FB14D" w14:textId="77777777" w:rsidR="00424489" w:rsidRPr="003515F5" w:rsidRDefault="00424489" w:rsidP="009503F6">
            <w:pPr>
              <w:pStyle w:val="Els-body-text"/>
              <w:spacing w:line="360" w:lineRule="auto"/>
              <w:rPr>
                <w:sz w:val="16"/>
                <w:szCs w:val="16"/>
              </w:rPr>
            </w:pPr>
            <w:r w:rsidRPr="003515F5">
              <w:rPr>
                <w:sz w:val="16"/>
                <w:szCs w:val="16"/>
              </w:rPr>
              <w:t>31.29</w:t>
            </w:r>
          </w:p>
        </w:tc>
        <w:tc>
          <w:tcPr>
            <w:tcW w:w="667" w:type="dxa"/>
            <w:tcBorders>
              <w:bottom w:val="single" w:sz="4" w:space="0" w:color="auto"/>
              <w:right w:val="single" w:sz="4" w:space="0" w:color="auto"/>
            </w:tcBorders>
            <w:vAlign w:val="center"/>
          </w:tcPr>
          <w:p w14:paraId="62C1BDD9" w14:textId="77777777" w:rsidR="00424489" w:rsidRPr="003515F5" w:rsidRDefault="00424489" w:rsidP="009503F6">
            <w:pPr>
              <w:pStyle w:val="Els-body-text"/>
              <w:spacing w:line="360" w:lineRule="auto"/>
              <w:rPr>
                <w:sz w:val="16"/>
                <w:szCs w:val="16"/>
              </w:rPr>
            </w:pPr>
            <w:r w:rsidRPr="003515F5">
              <w:rPr>
                <w:sz w:val="16"/>
                <w:szCs w:val="16"/>
              </w:rPr>
              <w:t>89.39</w:t>
            </w:r>
          </w:p>
        </w:tc>
        <w:tc>
          <w:tcPr>
            <w:tcW w:w="790" w:type="dxa"/>
            <w:tcBorders>
              <w:left w:val="single" w:sz="4" w:space="0" w:color="auto"/>
              <w:bottom w:val="single" w:sz="4" w:space="0" w:color="auto"/>
            </w:tcBorders>
            <w:vAlign w:val="center"/>
          </w:tcPr>
          <w:p w14:paraId="3D9D16BB" w14:textId="77777777" w:rsidR="00424489" w:rsidRPr="003515F5" w:rsidRDefault="00424489" w:rsidP="009503F6">
            <w:pPr>
              <w:pStyle w:val="Els-body-text"/>
              <w:spacing w:line="360" w:lineRule="auto"/>
              <w:rPr>
                <w:sz w:val="16"/>
                <w:szCs w:val="16"/>
              </w:rPr>
            </w:pPr>
            <w:r w:rsidRPr="003515F5">
              <w:rPr>
                <w:sz w:val="16"/>
                <w:szCs w:val="16"/>
              </w:rPr>
              <w:t>30.59</w:t>
            </w:r>
          </w:p>
        </w:tc>
        <w:tc>
          <w:tcPr>
            <w:tcW w:w="778" w:type="dxa"/>
            <w:tcBorders>
              <w:bottom w:val="single" w:sz="4" w:space="0" w:color="auto"/>
              <w:right w:val="single" w:sz="4" w:space="0" w:color="auto"/>
            </w:tcBorders>
            <w:vAlign w:val="center"/>
          </w:tcPr>
          <w:p w14:paraId="4E7DE929" w14:textId="77777777" w:rsidR="00424489" w:rsidRPr="003515F5" w:rsidRDefault="00424489" w:rsidP="009503F6">
            <w:pPr>
              <w:pStyle w:val="Els-body-text"/>
              <w:spacing w:line="360" w:lineRule="auto"/>
              <w:rPr>
                <w:sz w:val="16"/>
                <w:szCs w:val="16"/>
              </w:rPr>
            </w:pPr>
            <w:r w:rsidRPr="003515F5">
              <w:rPr>
                <w:sz w:val="16"/>
                <w:szCs w:val="16"/>
              </w:rPr>
              <w:t>48.60</w:t>
            </w:r>
          </w:p>
        </w:tc>
        <w:tc>
          <w:tcPr>
            <w:tcW w:w="647" w:type="dxa"/>
            <w:tcBorders>
              <w:left w:val="single" w:sz="4" w:space="0" w:color="auto"/>
              <w:bottom w:val="single" w:sz="4" w:space="0" w:color="auto"/>
            </w:tcBorders>
            <w:vAlign w:val="center"/>
          </w:tcPr>
          <w:p w14:paraId="4F66B2F2" w14:textId="77777777" w:rsidR="00424489" w:rsidRPr="003515F5" w:rsidRDefault="00424489" w:rsidP="009503F6">
            <w:pPr>
              <w:pStyle w:val="Els-body-text"/>
              <w:spacing w:line="360" w:lineRule="auto"/>
              <w:rPr>
                <w:sz w:val="16"/>
                <w:szCs w:val="16"/>
              </w:rPr>
            </w:pPr>
            <w:r w:rsidRPr="003515F5">
              <w:rPr>
                <w:sz w:val="16"/>
                <w:szCs w:val="16"/>
              </w:rPr>
              <w:t>12.51</w:t>
            </w:r>
          </w:p>
        </w:tc>
        <w:tc>
          <w:tcPr>
            <w:tcW w:w="781" w:type="dxa"/>
            <w:tcBorders>
              <w:bottom w:val="single" w:sz="4" w:space="0" w:color="auto"/>
              <w:right w:val="single" w:sz="4" w:space="0" w:color="auto"/>
            </w:tcBorders>
            <w:vAlign w:val="center"/>
          </w:tcPr>
          <w:p w14:paraId="31EBBAB7" w14:textId="77777777" w:rsidR="00424489" w:rsidRPr="003515F5" w:rsidRDefault="00424489" w:rsidP="009503F6">
            <w:pPr>
              <w:pStyle w:val="Els-body-text"/>
              <w:spacing w:line="360" w:lineRule="auto"/>
              <w:rPr>
                <w:sz w:val="16"/>
                <w:szCs w:val="16"/>
              </w:rPr>
            </w:pPr>
            <w:r w:rsidRPr="003515F5">
              <w:rPr>
                <w:sz w:val="16"/>
                <w:szCs w:val="16"/>
              </w:rPr>
              <w:t>41.34</w:t>
            </w:r>
          </w:p>
        </w:tc>
        <w:tc>
          <w:tcPr>
            <w:tcW w:w="647" w:type="dxa"/>
            <w:tcBorders>
              <w:left w:val="single" w:sz="4" w:space="0" w:color="auto"/>
              <w:bottom w:val="single" w:sz="4" w:space="0" w:color="auto"/>
            </w:tcBorders>
            <w:vAlign w:val="center"/>
          </w:tcPr>
          <w:p w14:paraId="3B66DF4A" w14:textId="77777777" w:rsidR="00424489" w:rsidRPr="003515F5" w:rsidRDefault="00424489" w:rsidP="009503F6">
            <w:pPr>
              <w:pStyle w:val="Els-body-text"/>
              <w:spacing w:line="360" w:lineRule="auto"/>
              <w:rPr>
                <w:sz w:val="16"/>
                <w:szCs w:val="16"/>
              </w:rPr>
            </w:pPr>
            <w:r w:rsidRPr="003515F5">
              <w:rPr>
                <w:sz w:val="16"/>
                <w:szCs w:val="16"/>
              </w:rPr>
              <w:t>16.04</w:t>
            </w:r>
          </w:p>
        </w:tc>
        <w:tc>
          <w:tcPr>
            <w:tcW w:w="776" w:type="dxa"/>
            <w:tcBorders>
              <w:bottom w:val="single" w:sz="4" w:space="0" w:color="auto"/>
              <w:right w:val="single" w:sz="4" w:space="0" w:color="auto"/>
            </w:tcBorders>
            <w:vAlign w:val="center"/>
          </w:tcPr>
          <w:p w14:paraId="7490E76E" w14:textId="77777777" w:rsidR="00424489" w:rsidRPr="003515F5" w:rsidRDefault="00424489" w:rsidP="009503F6">
            <w:pPr>
              <w:pStyle w:val="Els-body-text"/>
              <w:spacing w:line="360" w:lineRule="auto"/>
              <w:rPr>
                <w:sz w:val="16"/>
                <w:szCs w:val="16"/>
              </w:rPr>
            </w:pPr>
            <w:r w:rsidRPr="003515F5">
              <w:rPr>
                <w:sz w:val="16"/>
                <w:szCs w:val="16"/>
              </w:rPr>
              <w:t>30.14</w:t>
            </w:r>
          </w:p>
        </w:tc>
        <w:tc>
          <w:tcPr>
            <w:tcW w:w="647" w:type="dxa"/>
            <w:tcBorders>
              <w:left w:val="single" w:sz="4" w:space="0" w:color="auto"/>
              <w:bottom w:val="single" w:sz="4" w:space="0" w:color="auto"/>
            </w:tcBorders>
            <w:vAlign w:val="center"/>
          </w:tcPr>
          <w:p w14:paraId="760B6716" w14:textId="77777777" w:rsidR="00424489" w:rsidRPr="003515F5" w:rsidRDefault="00424489" w:rsidP="009503F6">
            <w:pPr>
              <w:pStyle w:val="Els-body-text"/>
              <w:spacing w:line="360" w:lineRule="auto"/>
              <w:rPr>
                <w:sz w:val="16"/>
                <w:szCs w:val="16"/>
              </w:rPr>
            </w:pPr>
            <w:r w:rsidRPr="003515F5">
              <w:rPr>
                <w:sz w:val="16"/>
                <w:szCs w:val="16"/>
              </w:rPr>
              <w:t>90.43</w:t>
            </w:r>
          </w:p>
        </w:tc>
        <w:tc>
          <w:tcPr>
            <w:tcW w:w="777" w:type="dxa"/>
            <w:tcBorders>
              <w:bottom w:val="single" w:sz="4" w:space="0" w:color="auto"/>
            </w:tcBorders>
            <w:vAlign w:val="center"/>
          </w:tcPr>
          <w:p w14:paraId="2E7EA80F" w14:textId="77777777" w:rsidR="00424489" w:rsidRPr="003515F5" w:rsidRDefault="00424489" w:rsidP="009503F6">
            <w:pPr>
              <w:pStyle w:val="Els-body-text"/>
              <w:spacing w:line="360" w:lineRule="auto"/>
              <w:rPr>
                <w:sz w:val="16"/>
                <w:szCs w:val="16"/>
              </w:rPr>
            </w:pPr>
            <w:r w:rsidRPr="003515F5">
              <w:rPr>
                <w:sz w:val="16"/>
                <w:szCs w:val="16"/>
              </w:rPr>
              <w:t>189.42</w:t>
            </w:r>
          </w:p>
        </w:tc>
      </w:tr>
    </w:tbl>
    <w:p w14:paraId="2C79DCBB" w14:textId="52A8323B" w:rsidR="00B46CFE" w:rsidRDefault="00CD0E3A" w:rsidP="009503F6">
      <w:pPr>
        <w:pStyle w:val="Els-3rdorder-head"/>
      </w:pPr>
      <w:r>
        <w:t>T-test</w:t>
      </w:r>
    </w:p>
    <w:p w14:paraId="4E02DD13" w14:textId="7D60ADC1" w:rsidR="009503F6" w:rsidRDefault="009503F6" w:rsidP="009503F6">
      <w:pPr>
        <w:pStyle w:val="Els-body-text"/>
      </w:pPr>
      <w:r>
        <w:t>A</w:t>
      </w:r>
      <w:r w:rsidR="000D4D90" w:rsidRPr="000D4D90">
        <w:t>n additional consideration pertains to the reusability of the model, signifying the importance of ascertaining the confidence in the estimated parameters.</w:t>
      </w:r>
      <w:r>
        <w:t xml:space="preserve"> </w:t>
      </w:r>
      <w:r w:rsidR="001953A7" w:rsidRPr="001953A7">
        <w:t>To assess the confidence in estimated parameters, a pertinent statistical tool is the t-test. The application of the t-test enables a formal evaluation of the reliability of parameter estimates</w:t>
      </w:r>
      <w:r w:rsidR="001953A7">
        <w:t xml:space="preserve">. </w:t>
      </w:r>
    </w:p>
    <w:p w14:paraId="11C91E57" w14:textId="0D62F08B" w:rsidR="009503F6" w:rsidRPr="009503F6" w:rsidRDefault="009503F6" w:rsidP="00E33768">
      <w:pPr>
        <w:pStyle w:val="Caption"/>
        <w:keepNext/>
        <w:spacing w:before="60" w:after="60"/>
        <w:jc w:val="center"/>
        <w:rPr>
          <w:sz w:val="16"/>
          <w:szCs w:val="18"/>
        </w:rPr>
      </w:pPr>
      <w:bookmarkStart w:id="8" w:name="_Ref152262371"/>
      <w:bookmarkStart w:id="9" w:name="_Ref152262276"/>
      <w:r w:rsidRPr="009503F6">
        <w:rPr>
          <w:sz w:val="16"/>
          <w:szCs w:val="18"/>
        </w:rPr>
        <w:t xml:space="preserve">Table </w:t>
      </w:r>
      <w:r w:rsidRPr="009503F6">
        <w:rPr>
          <w:sz w:val="16"/>
          <w:szCs w:val="18"/>
        </w:rPr>
        <w:fldChar w:fldCharType="begin"/>
      </w:r>
      <w:r w:rsidRPr="009503F6">
        <w:rPr>
          <w:sz w:val="16"/>
          <w:szCs w:val="18"/>
        </w:rPr>
        <w:instrText xml:space="preserve"> SEQ Table \* ARABIC </w:instrText>
      </w:r>
      <w:r w:rsidRPr="009503F6">
        <w:rPr>
          <w:sz w:val="16"/>
          <w:szCs w:val="18"/>
        </w:rPr>
        <w:fldChar w:fldCharType="separate"/>
      </w:r>
      <w:r w:rsidR="003A5258">
        <w:rPr>
          <w:noProof/>
          <w:sz w:val="16"/>
          <w:szCs w:val="18"/>
        </w:rPr>
        <w:t>3</w:t>
      </w:r>
      <w:r w:rsidRPr="009503F6">
        <w:rPr>
          <w:sz w:val="16"/>
          <w:szCs w:val="18"/>
        </w:rPr>
        <w:fldChar w:fldCharType="end"/>
      </w:r>
      <w:bookmarkEnd w:id="8"/>
      <w:r w:rsidRPr="009503F6">
        <w:rPr>
          <w:sz w:val="16"/>
          <w:szCs w:val="18"/>
        </w:rPr>
        <w:t>. t-value for the estimated parameters</w:t>
      </w:r>
      <w:bookmarkEnd w:id="9"/>
    </w:p>
    <w:tbl>
      <w:tblPr>
        <w:tblStyle w:val="TableGrid"/>
        <w:tblW w:w="70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275"/>
        <w:gridCol w:w="1134"/>
        <w:gridCol w:w="1134"/>
        <w:gridCol w:w="1418"/>
      </w:tblGrid>
      <w:tr w:rsidR="009503F6" w:rsidRPr="00B429E3" w14:paraId="5FE94994" w14:textId="77777777" w:rsidTr="00CB0A72">
        <w:trPr>
          <w:jc w:val="center"/>
        </w:trPr>
        <w:tc>
          <w:tcPr>
            <w:tcW w:w="2127" w:type="dxa"/>
            <w:tcBorders>
              <w:top w:val="single" w:sz="4" w:space="0" w:color="auto"/>
              <w:bottom w:val="single" w:sz="4" w:space="0" w:color="auto"/>
            </w:tcBorders>
            <w:vAlign w:val="center"/>
          </w:tcPr>
          <w:p w14:paraId="19C7A871" w14:textId="77777777" w:rsidR="009503F6" w:rsidRPr="00B429E3" w:rsidRDefault="009503F6" w:rsidP="00CF0798">
            <w:pPr>
              <w:pStyle w:val="Els-body-text"/>
              <w:spacing w:line="360" w:lineRule="auto"/>
              <w:rPr>
                <w:b/>
                <w:bCs/>
                <w:sz w:val="16"/>
                <w:szCs w:val="16"/>
              </w:rPr>
            </w:pPr>
            <w:r w:rsidRPr="00B429E3">
              <w:rPr>
                <w:b/>
                <w:bCs/>
                <w:sz w:val="16"/>
                <w:szCs w:val="16"/>
              </w:rPr>
              <w:t>Model Parameters</w:t>
            </w:r>
          </w:p>
        </w:tc>
        <w:tc>
          <w:tcPr>
            <w:tcW w:w="1275" w:type="dxa"/>
            <w:tcBorders>
              <w:top w:val="single" w:sz="4" w:space="0" w:color="auto"/>
              <w:bottom w:val="single" w:sz="4" w:space="0" w:color="auto"/>
            </w:tcBorders>
            <w:vAlign w:val="center"/>
          </w:tcPr>
          <w:p w14:paraId="1B95A86E" w14:textId="77777777" w:rsidR="009503F6" w:rsidRPr="00B429E3" w:rsidRDefault="009503F6" w:rsidP="00CF0798">
            <w:pPr>
              <w:pStyle w:val="Els-body-text"/>
              <w:spacing w:line="360" w:lineRule="auto"/>
              <w:rPr>
                <w:b/>
                <w:bCs/>
                <w:sz w:val="16"/>
                <w:szCs w:val="16"/>
              </w:rPr>
            </w:pPr>
            <w:r w:rsidRPr="00B429E3">
              <w:rPr>
                <w:b/>
                <w:bCs/>
                <w:sz w:val="16"/>
                <w:szCs w:val="16"/>
              </w:rPr>
              <w:t>Initial Value</w:t>
            </w:r>
          </w:p>
        </w:tc>
        <w:tc>
          <w:tcPr>
            <w:tcW w:w="1134" w:type="dxa"/>
            <w:tcBorders>
              <w:top w:val="single" w:sz="4" w:space="0" w:color="auto"/>
              <w:bottom w:val="single" w:sz="4" w:space="0" w:color="auto"/>
            </w:tcBorders>
            <w:vAlign w:val="center"/>
          </w:tcPr>
          <w:p w14:paraId="576B5256" w14:textId="77777777" w:rsidR="009503F6" w:rsidRPr="00B429E3" w:rsidRDefault="009503F6" w:rsidP="00CF0798">
            <w:pPr>
              <w:pStyle w:val="Els-body-text"/>
              <w:spacing w:line="360" w:lineRule="auto"/>
              <w:rPr>
                <w:b/>
                <w:bCs/>
                <w:sz w:val="16"/>
                <w:szCs w:val="16"/>
              </w:rPr>
            </w:pPr>
            <w:r w:rsidRPr="00B429E3">
              <w:rPr>
                <w:b/>
                <w:bCs/>
                <w:sz w:val="16"/>
                <w:szCs w:val="16"/>
              </w:rPr>
              <w:t>Final Value</w:t>
            </w:r>
          </w:p>
        </w:tc>
        <w:tc>
          <w:tcPr>
            <w:tcW w:w="1134" w:type="dxa"/>
            <w:tcBorders>
              <w:top w:val="single" w:sz="4" w:space="0" w:color="auto"/>
              <w:bottom w:val="single" w:sz="4" w:space="0" w:color="auto"/>
            </w:tcBorders>
            <w:vAlign w:val="center"/>
          </w:tcPr>
          <w:p w14:paraId="4B4286EE" w14:textId="77777777" w:rsidR="009503F6" w:rsidRPr="00B429E3" w:rsidRDefault="009503F6" w:rsidP="00CF0798">
            <w:pPr>
              <w:pStyle w:val="Els-body-text"/>
              <w:spacing w:line="360" w:lineRule="auto"/>
              <w:rPr>
                <w:b/>
                <w:bCs/>
                <w:sz w:val="16"/>
                <w:szCs w:val="16"/>
              </w:rPr>
            </w:pPr>
            <w:r w:rsidRPr="00B429E3">
              <w:rPr>
                <w:b/>
                <w:bCs/>
                <w:sz w:val="16"/>
                <w:szCs w:val="16"/>
              </w:rPr>
              <w:t>CI 95%</w:t>
            </w:r>
          </w:p>
        </w:tc>
        <w:tc>
          <w:tcPr>
            <w:tcW w:w="1418" w:type="dxa"/>
            <w:tcBorders>
              <w:top w:val="single" w:sz="4" w:space="0" w:color="auto"/>
              <w:bottom w:val="single" w:sz="4" w:space="0" w:color="auto"/>
            </w:tcBorders>
            <w:vAlign w:val="center"/>
          </w:tcPr>
          <w:p w14:paraId="523F428F" w14:textId="77777777" w:rsidR="009503F6" w:rsidRPr="00B429E3" w:rsidRDefault="009503F6" w:rsidP="00CF0798">
            <w:pPr>
              <w:pStyle w:val="Els-body-text"/>
              <w:spacing w:line="360" w:lineRule="auto"/>
              <w:rPr>
                <w:b/>
                <w:bCs/>
                <w:sz w:val="16"/>
                <w:szCs w:val="16"/>
              </w:rPr>
            </w:pPr>
            <w:r w:rsidRPr="00B429E3">
              <w:rPr>
                <w:b/>
                <w:bCs/>
                <w:sz w:val="16"/>
                <w:szCs w:val="16"/>
              </w:rPr>
              <w:t>95% t-value</w:t>
            </w:r>
          </w:p>
        </w:tc>
      </w:tr>
      <w:tr w:rsidR="009503F6" w:rsidRPr="00B429E3" w14:paraId="357184E8" w14:textId="77777777" w:rsidTr="00CB0A72">
        <w:trPr>
          <w:jc w:val="center"/>
        </w:trPr>
        <w:tc>
          <w:tcPr>
            <w:tcW w:w="2127" w:type="dxa"/>
            <w:tcBorders>
              <w:top w:val="single" w:sz="4" w:space="0" w:color="auto"/>
            </w:tcBorders>
            <w:vAlign w:val="center"/>
          </w:tcPr>
          <w:p w14:paraId="13B8A69C" w14:textId="77777777" w:rsidR="009503F6" w:rsidRPr="00B429E3" w:rsidRDefault="009503F6" w:rsidP="00CF0798">
            <w:pPr>
              <w:pStyle w:val="Els-body-text"/>
              <w:rPr>
                <w:sz w:val="16"/>
                <w:szCs w:val="16"/>
              </w:rPr>
            </w:pPr>
            <w:r w:rsidRPr="00B429E3">
              <w:rPr>
                <w:sz w:val="16"/>
                <w:szCs w:val="16"/>
              </w:rPr>
              <w:t xml:space="preserve">Exchange current density </w:t>
            </w:r>
          </w:p>
        </w:tc>
        <w:tc>
          <w:tcPr>
            <w:tcW w:w="1275" w:type="dxa"/>
            <w:tcBorders>
              <w:top w:val="single" w:sz="4" w:space="0" w:color="auto"/>
            </w:tcBorders>
            <w:vAlign w:val="center"/>
          </w:tcPr>
          <w:p w14:paraId="2DDC5B1B" w14:textId="77777777" w:rsidR="009503F6" w:rsidRPr="00B429E3" w:rsidRDefault="009503F6" w:rsidP="00CF0798">
            <w:pPr>
              <w:pStyle w:val="Els-body-text"/>
              <w:rPr>
                <w:sz w:val="16"/>
                <w:szCs w:val="16"/>
              </w:rPr>
            </w:pPr>
            <w:r w:rsidRPr="00B429E3">
              <w:rPr>
                <w:sz w:val="16"/>
                <w:szCs w:val="16"/>
              </w:rPr>
              <w:t>18</w:t>
            </w:r>
          </w:p>
        </w:tc>
        <w:tc>
          <w:tcPr>
            <w:tcW w:w="1134" w:type="dxa"/>
            <w:tcBorders>
              <w:top w:val="single" w:sz="4" w:space="0" w:color="auto"/>
            </w:tcBorders>
            <w:vAlign w:val="center"/>
          </w:tcPr>
          <w:p w14:paraId="799FE9A1" w14:textId="77777777" w:rsidR="009503F6" w:rsidRPr="00B429E3" w:rsidRDefault="009503F6" w:rsidP="00CF0798">
            <w:pPr>
              <w:pStyle w:val="Els-body-text"/>
              <w:rPr>
                <w:sz w:val="16"/>
                <w:szCs w:val="16"/>
              </w:rPr>
            </w:pPr>
            <w:r w:rsidRPr="00B429E3">
              <w:rPr>
                <w:sz w:val="16"/>
                <w:szCs w:val="16"/>
              </w:rPr>
              <w:t>142.63</w:t>
            </w:r>
          </w:p>
        </w:tc>
        <w:tc>
          <w:tcPr>
            <w:tcW w:w="1134" w:type="dxa"/>
            <w:tcBorders>
              <w:top w:val="single" w:sz="4" w:space="0" w:color="auto"/>
            </w:tcBorders>
            <w:vAlign w:val="center"/>
          </w:tcPr>
          <w:p w14:paraId="06D2C8FE" w14:textId="77777777" w:rsidR="009503F6" w:rsidRPr="00B429E3" w:rsidRDefault="009503F6" w:rsidP="00CF0798">
            <w:pPr>
              <w:pStyle w:val="Els-body-text"/>
              <w:rPr>
                <w:sz w:val="16"/>
                <w:szCs w:val="16"/>
              </w:rPr>
            </w:pPr>
            <w:r w:rsidRPr="00B429E3">
              <w:rPr>
                <w:sz w:val="16"/>
                <w:szCs w:val="16"/>
              </w:rPr>
              <w:t>24.05</w:t>
            </w:r>
          </w:p>
        </w:tc>
        <w:tc>
          <w:tcPr>
            <w:tcW w:w="1418" w:type="dxa"/>
            <w:tcBorders>
              <w:top w:val="single" w:sz="4" w:space="0" w:color="auto"/>
            </w:tcBorders>
            <w:vAlign w:val="center"/>
          </w:tcPr>
          <w:p w14:paraId="5F75635B" w14:textId="77777777" w:rsidR="009503F6" w:rsidRPr="00B429E3" w:rsidRDefault="009503F6" w:rsidP="00CF0798">
            <w:pPr>
              <w:pStyle w:val="Els-body-text"/>
              <w:rPr>
                <w:sz w:val="16"/>
                <w:szCs w:val="16"/>
              </w:rPr>
            </w:pPr>
            <w:r w:rsidRPr="00B429E3">
              <w:rPr>
                <w:sz w:val="16"/>
                <w:szCs w:val="16"/>
              </w:rPr>
              <w:t>5.93</w:t>
            </w:r>
          </w:p>
        </w:tc>
      </w:tr>
      <w:tr w:rsidR="009503F6" w:rsidRPr="00B429E3" w14:paraId="33F69CC5" w14:textId="77777777" w:rsidTr="00CB0A72">
        <w:trPr>
          <w:jc w:val="center"/>
        </w:trPr>
        <w:tc>
          <w:tcPr>
            <w:tcW w:w="2127" w:type="dxa"/>
            <w:vAlign w:val="center"/>
          </w:tcPr>
          <w:p w14:paraId="5F0492DE" w14:textId="042B9E3A" w:rsidR="009503F6" w:rsidRPr="00B429E3" w:rsidRDefault="009503F6" w:rsidP="00CF0798">
            <w:pPr>
              <w:pStyle w:val="Els-body-text"/>
              <w:rPr>
                <w:sz w:val="16"/>
                <w:szCs w:val="16"/>
              </w:rPr>
            </w:pPr>
            <w:r w:rsidRPr="00B429E3">
              <w:rPr>
                <w:sz w:val="16"/>
                <w:szCs w:val="16"/>
              </w:rPr>
              <w:t>Param</w:t>
            </w:r>
            <w:r w:rsidR="00CB0A72">
              <w:rPr>
                <w:sz w:val="16"/>
                <w:szCs w:val="16"/>
              </w:rPr>
              <w:t>.</w:t>
            </w:r>
            <w:r w:rsidRPr="00B429E3">
              <w:rPr>
                <w:sz w:val="16"/>
                <w:szCs w:val="16"/>
              </w:rPr>
              <w:t xml:space="preserve"> for mass transfer</w:t>
            </w:r>
          </w:p>
        </w:tc>
        <w:tc>
          <w:tcPr>
            <w:tcW w:w="1275" w:type="dxa"/>
            <w:vAlign w:val="center"/>
          </w:tcPr>
          <w:p w14:paraId="4D833FA4" w14:textId="77777777" w:rsidR="009503F6" w:rsidRPr="00B429E3" w:rsidRDefault="009503F6" w:rsidP="00CF0798">
            <w:pPr>
              <w:pStyle w:val="Els-body-text"/>
              <w:rPr>
                <w:sz w:val="16"/>
                <w:szCs w:val="16"/>
              </w:rPr>
            </w:pPr>
            <w:r w:rsidRPr="00B429E3">
              <w:rPr>
                <w:sz w:val="16"/>
                <w:szCs w:val="16"/>
              </w:rPr>
              <w:t>0.05</w:t>
            </w:r>
          </w:p>
        </w:tc>
        <w:tc>
          <w:tcPr>
            <w:tcW w:w="1134" w:type="dxa"/>
            <w:vAlign w:val="center"/>
          </w:tcPr>
          <w:p w14:paraId="3F2D4D1F" w14:textId="77777777" w:rsidR="009503F6" w:rsidRPr="00B429E3" w:rsidRDefault="009503F6" w:rsidP="00CF0798">
            <w:pPr>
              <w:pStyle w:val="Els-body-text"/>
              <w:rPr>
                <w:sz w:val="16"/>
                <w:szCs w:val="16"/>
              </w:rPr>
            </w:pPr>
            <w:r w:rsidRPr="00B429E3">
              <w:rPr>
                <w:sz w:val="16"/>
                <w:szCs w:val="16"/>
              </w:rPr>
              <w:t>0.0083</w:t>
            </w:r>
          </w:p>
        </w:tc>
        <w:tc>
          <w:tcPr>
            <w:tcW w:w="1134" w:type="dxa"/>
            <w:vAlign w:val="center"/>
          </w:tcPr>
          <w:p w14:paraId="47F4703C" w14:textId="77777777" w:rsidR="009503F6" w:rsidRPr="00B429E3" w:rsidRDefault="009503F6" w:rsidP="00CF0798">
            <w:pPr>
              <w:pStyle w:val="Els-body-text"/>
              <w:rPr>
                <w:sz w:val="16"/>
                <w:szCs w:val="16"/>
                <w:vertAlign w:val="superscript"/>
              </w:rPr>
            </w:pPr>
            <w:r w:rsidRPr="00B429E3">
              <w:rPr>
                <w:sz w:val="16"/>
                <w:szCs w:val="16"/>
              </w:rPr>
              <w:t>0.0021</w:t>
            </w:r>
          </w:p>
        </w:tc>
        <w:tc>
          <w:tcPr>
            <w:tcW w:w="1418" w:type="dxa"/>
            <w:vAlign w:val="center"/>
          </w:tcPr>
          <w:p w14:paraId="07827CB3" w14:textId="77777777" w:rsidR="009503F6" w:rsidRPr="00B429E3" w:rsidRDefault="009503F6" w:rsidP="00CF0798">
            <w:pPr>
              <w:pStyle w:val="Els-body-text"/>
              <w:rPr>
                <w:sz w:val="16"/>
                <w:szCs w:val="16"/>
              </w:rPr>
            </w:pPr>
            <w:r w:rsidRPr="00B429E3">
              <w:rPr>
                <w:sz w:val="16"/>
                <w:szCs w:val="16"/>
              </w:rPr>
              <w:t>3.91</w:t>
            </w:r>
          </w:p>
        </w:tc>
      </w:tr>
      <w:tr w:rsidR="009503F6" w:rsidRPr="00B429E3" w14:paraId="5D0FFC14" w14:textId="77777777" w:rsidTr="00CB0A72">
        <w:trPr>
          <w:jc w:val="center"/>
        </w:trPr>
        <w:tc>
          <w:tcPr>
            <w:tcW w:w="2127" w:type="dxa"/>
            <w:tcBorders>
              <w:bottom w:val="single" w:sz="4" w:space="0" w:color="auto"/>
            </w:tcBorders>
            <w:vAlign w:val="center"/>
          </w:tcPr>
          <w:p w14:paraId="16E8FED2" w14:textId="7CA0F7A3" w:rsidR="009503F6" w:rsidRPr="00B429E3" w:rsidRDefault="009503F6" w:rsidP="00CF0798">
            <w:pPr>
              <w:pStyle w:val="Els-body-text"/>
              <w:rPr>
                <w:sz w:val="16"/>
                <w:szCs w:val="16"/>
              </w:rPr>
            </w:pPr>
            <w:r w:rsidRPr="00B429E3">
              <w:rPr>
                <w:sz w:val="16"/>
                <w:szCs w:val="16"/>
              </w:rPr>
              <w:t>Param</w:t>
            </w:r>
            <w:r w:rsidR="00CB0A72">
              <w:rPr>
                <w:sz w:val="16"/>
                <w:szCs w:val="16"/>
              </w:rPr>
              <w:t xml:space="preserve">. </w:t>
            </w:r>
            <w:r w:rsidRPr="00B429E3">
              <w:rPr>
                <w:sz w:val="16"/>
                <w:szCs w:val="16"/>
              </w:rPr>
              <w:t>for elec</w:t>
            </w:r>
            <w:r w:rsidR="00CB0A72">
              <w:rPr>
                <w:sz w:val="16"/>
                <w:szCs w:val="16"/>
              </w:rPr>
              <w:t xml:space="preserve">. </w:t>
            </w:r>
            <w:r w:rsidRPr="00B429E3">
              <w:rPr>
                <w:sz w:val="16"/>
                <w:szCs w:val="16"/>
              </w:rPr>
              <w:t>conductivity</w:t>
            </w:r>
          </w:p>
        </w:tc>
        <w:tc>
          <w:tcPr>
            <w:tcW w:w="1275" w:type="dxa"/>
            <w:tcBorders>
              <w:bottom w:val="single" w:sz="4" w:space="0" w:color="auto"/>
            </w:tcBorders>
            <w:vAlign w:val="center"/>
          </w:tcPr>
          <w:p w14:paraId="03847C2F" w14:textId="77777777" w:rsidR="009503F6" w:rsidRPr="00B429E3" w:rsidRDefault="009503F6" w:rsidP="00CF0798">
            <w:pPr>
              <w:pStyle w:val="Els-body-text"/>
              <w:rPr>
                <w:sz w:val="16"/>
                <w:szCs w:val="16"/>
              </w:rPr>
            </w:pPr>
            <w:r w:rsidRPr="00B429E3">
              <w:rPr>
                <w:sz w:val="16"/>
                <w:szCs w:val="16"/>
              </w:rPr>
              <w:t>1E-5</w:t>
            </w:r>
          </w:p>
        </w:tc>
        <w:tc>
          <w:tcPr>
            <w:tcW w:w="1134" w:type="dxa"/>
            <w:tcBorders>
              <w:bottom w:val="single" w:sz="4" w:space="0" w:color="auto"/>
            </w:tcBorders>
            <w:vAlign w:val="center"/>
          </w:tcPr>
          <w:p w14:paraId="0C9CCBE7" w14:textId="77777777" w:rsidR="009503F6" w:rsidRPr="00B429E3" w:rsidRDefault="009503F6" w:rsidP="00CF0798">
            <w:pPr>
              <w:pStyle w:val="Els-body-text"/>
              <w:rPr>
                <w:sz w:val="16"/>
                <w:szCs w:val="16"/>
              </w:rPr>
            </w:pPr>
            <w:r w:rsidRPr="00B429E3">
              <w:rPr>
                <w:sz w:val="16"/>
                <w:szCs w:val="16"/>
              </w:rPr>
              <w:t>5.4E-5</w:t>
            </w:r>
          </w:p>
        </w:tc>
        <w:tc>
          <w:tcPr>
            <w:tcW w:w="1134" w:type="dxa"/>
            <w:tcBorders>
              <w:bottom w:val="single" w:sz="4" w:space="0" w:color="auto"/>
            </w:tcBorders>
            <w:vAlign w:val="center"/>
          </w:tcPr>
          <w:p w14:paraId="76471290" w14:textId="77777777" w:rsidR="009503F6" w:rsidRPr="00B429E3" w:rsidRDefault="009503F6" w:rsidP="00CF0798">
            <w:pPr>
              <w:pStyle w:val="Els-body-text"/>
              <w:rPr>
                <w:sz w:val="16"/>
                <w:szCs w:val="16"/>
              </w:rPr>
            </w:pPr>
            <w:r w:rsidRPr="00B429E3">
              <w:rPr>
                <w:sz w:val="16"/>
                <w:szCs w:val="16"/>
              </w:rPr>
              <w:t>2.7E-5</w:t>
            </w:r>
          </w:p>
        </w:tc>
        <w:tc>
          <w:tcPr>
            <w:tcW w:w="1418" w:type="dxa"/>
            <w:tcBorders>
              <w:bottom w:val="single" w:sz="4" w:space="0" w:color="auto"/>
            </w:tcBorders>
            <w:vAlign w:val="center"/>
          </w:tcPr>
          <w:p w14:paraId="1FA0209D" w14:textId="77777777" w:rsidR="009503F6" w:rsidRPr="00B429E3" w:rsidRDefault="009503F6" w:rsidP="00CF0798">
            <w:pPr>
              <w:pStyle w:val="Els-body-text"/>
              <w:rPr>
                <w:sz w:val="16"/>
                <w:szCs w:val="16"/>
              </w:rPr>
            </w:pPr>
            <w:r w:rsidRPr="00B429E3">
              <w:rPr>
                <w:sz w:val="16"/>
                <w:szCs w:val="16"/>
              </w:rPr>
              <w:t>1.99</w:t>
            </w:r>
          </w:p>
        </w:tc>
      </w:tr>
    </w:tbl>
    <w:p w14:paraId="760599CC" w14:textId="77777777" w:rsidR="00B46CFE" w:rsidRPr="00C03DA4" w:rsidRDefault="00B46CFE" w:rsidP="009503F6">
      <w:pPr>
        <w:pStyle w:val="Els-body-text"/>
        <w:rPr>
          <w:sz w:val="11"/>
          <w:szCs w:val="11"/>
        </w:rPr>
      </w:pPr>
    </w:p>
    <w:p w14:paraId="27D77931" w14:textId="05F9E34F" w:rsidR="006F025A" w:rsidRDefault="00B46CFE" w:rsidP="009503F6">
      <w:pPr>
        <w:pStyle w:val="Els-body-text"/>
      </w:pPr>
      <w:r>
        <w:t>Firstly, a ref</w:t>
      </w:r>
      <w:r w:rsidR="009503F6">
        <w:t>.</w:t>
      </w:r>
      <w:r>
        <w:t xml:space="preserve"> t-value is calculated for the set of experiments that w</w:t>
      </w:r>
      <w:r w:rsidR="009503F6">
        <w:t>as</w:t>
      </w:r>
      <w:r>
        <w:t xml:space="preserve"> provided. In this study, it amounts to 1.654. </w:t>
      </w:r>
      <w:r w:rsidR="00C4386B">
        <w:t>Each</w:t>
      </w:r>
      <w:r>
        <w:t xml:space="preserve"> parameter is</w:t>
      </w:r>
      <w:r w:rsidR="00C4386B">
        <w:t xml:space="preserve"> then</w:t>
      </w:r>
      <w:r>
        <w:t xml:space="preserve"> individually analyzed with a given final value and </w:t>
      </w:r>
      <w:r w:rsidR="009503F6">
        <w:t xml:space="preserve">a </w:t>
      </w:r>
      <w:r>
        <w:t>95% t-valu</w:t>
      </w:r>
      <w:r w:rsidR="009503F6">
        <w:t>e</w:t>
      </w:r>
      <w:r>
        <w:t xml:space="preserve">.  For the available data to be sufficient to estimate the set of parameters, the t-value of each parameter should be greater than the reference one. </w:t>
      </w:r>
      <w:r w:rsidR="009503F6">
        <w:t>I</w:t>
      </w:r>
      <w:r w:rsidR="00B52B7A" w:rsidRPr="00B52B7A">
        <w:t>n</w:t>
      </w:r>
      <w:r w:rsidR="009503F6">
        <w:t xml:space="preserve"> </w:t>
      </w:r>
      <w:r w:rsidR="009503F6" w:rsidRPr="009503F6">
        <w:fldChar w:fldCharType="begin"/>
      </w:r>
      <w:r w:rsidR="009503F6" w:rsidRPr="009503F6">
        <w:instrText xml:space="preserve"> REF _Ref152262371 \h </w:instrText>
      </w:r>
      <w:r w:rsidR="009503F6">
        <w:instrText xml:space="preserve"> \* MERGEFORMAT </w:instrText>
      </w:r>
      <w:r w:rsidR="009503F6" w:rsidRPr="009503F6">
        <w:fldChar w:fldCharType="separate"/>
      </w:r>
      <w:r w:rsidR="003A5258" w:rsidRPr="003A5258">
        <w:t xml:space="preserve">Table </w:t>
      </w:r>
      <w:r w:rsidR="003A5258" w:rsidRPr="003A5258">
        <w:rPr>
          <w:noProof/>
        </w:rPr>
        <w:t>3</w:t>
      </w:r>
      <w:r w:rsidR="009503F6" w:rsidRPr="009503F6">
        <w:fldChar w:fldCharType="end"/>
      </w:r>
      <w:r w:rsidR="00B52B7A" w:rsidRPr="00B52B7A">
        <w:t>, it is noteworthy that all parameters have successfully passed the t-tes</w:t>
      </w:r>
      <w:r w:rsidR="009503F6">
        <w:t xml:space="preserve">t, signifying </w:t>
      </w:r>
      <w:r w:rsidR="00B52B7A" w:rsidRPr="00B52B7A">
        <w:t>a high confidence in the estimated parameters</w:t>
      </w:r>
      <w:r w:rsidR="009503F6">
        <w:t xml:space="preserve"> and the </w:t>
      </w:r>
      <w:r w:rsidR="00B52B7A" w:rsidRPr="00B52B7A">
        <w:t xml:space="preserve">potential reuse </w:t>
      </w:r>
      <w:r w:rsidR="009503F6">
        <w:t>of this model.</w:t>
      </w:r>
    </w:p>
    <w:p w14:paraId="683AFB0B" w14:textId="5D4A6000" w:rsidR="00F11890" w:rsidRDefault="008D2649" w:rsidP="00BE7D73">
      <w:pPr>
        <w:pStyle w:val="Els-1storder-head"/>
        <w:spacing w:before="120"/>
        <w:rPr>
          <w:lang w:val="en-GB"/>
        </w:rPr>
      </w:pPr>
      <w:r w:rsidRPr="00A94774">
        <w:rPr>
          <w:lang w:val="en-GB"/>
        </w:rPr>
        <w:t>Conclusions</w:t>
      </w:r>
    </w:p>
    <w:p w14:paraId="68E110F3" w14:textId="1D5417CA" w:rsidR="00BE7D73" w:rsidRPr="009503F6" w:rsidRDefault="006D221E" w:rsidP="009503F6">
      <w:pPr>
        <w:pStyle w:val="Els-body-text"/>
        <w:rPr>
          <w:lang w:val="en-GB"/>
        </w:rPr>
      </w:pPr>
      <w:r>
        <w:rPr>
          <w:lang w:val="en-GB"/>
        </w:rPr>
        <w:t>In this study, the use of experimental data</w:t>
      </w:r>
      <w:r w:rsidR="00CB0A72">
        <w:rPr>
          <w:lang w:val="en-GB"/>
        </w:rPr>
        <w:t xml:space="preserve">, </w:t>
      </w:r>
      <w:r>
        <w:rPr>
          <w:lang w:val="en-GB"/>
        </w:rPr>
        <w:t>sensitivity analysis and parameter estimation have been conducted and could provide a validated SOFC model.</w:t>
      </w:r>
      <w:r>
        <w:t xml:space="preserve"> </w:t>
      </w:r>
      <w:r w:rsidR="00CB0A72">
        <w:t xml:space="preserve">This work emphasizes further the need for other testing conditions, in presence of steam, thus allowing more parameters to be estimated and yielding more precise fitting results. </w:t>
      </w:r>
      <w:r w:rsidR="006F025A">
        <w:t xml:space="preserve">The outlet temperatures and pressures could also be included. </w:t>
      </w:r>
      <w:r w:rsidR="00CB0A72">
        <w:t>Moreover,</w:t>
      </w:r>
      <w:r w:rsidR="006F025A">
        <w:t xml:space="preserve"> linking this model with other programming languages could be an interesting dimension for further study in this field. Finally, this validated model should be tested in real case application, where the dynamics is crucial for system efficiency calculation or even meeting electricity demand profiles.</w:t>
      </w:r>
      <w:r w:rsidR="009503F6">
        <w:rPr>
          <w:lang w:val="en-GB"/>
        </w:rPr>
        <w:t xml:space="preserve"> </w:t>
      </w:r>
      <w:r w:rsidR="00CB0A72">
        <w:rPr>
          <w:lang w:val="en-GB"/>
        </w:rPr>
        <w:t>It is hence to</w:t>
      </w:r>
      <w:r w:rsidR="009503F6">
        <w:rPr>
          <w:lang w:val="en-GB"/>
        </w:rPr>
        <w:t xml:space="preserve"> be integrated in dynamic energy system for further applications. </w:t>
      </w:r>
    </w:p>
    <w:p w14:paraId="144DE6BF" w14:textId="608D0AD6" w:rsidR="008D2649" w:rsidRDefault="008D2649" w:rsidP="00BE7D73">
      <w:pPr>
        <w:pStyle w:val="Els-reference-head"/>
        <w:spacing w:before="120"/>
      </w:pPr>
      <w:r>
        <w:t>References</w:t>
      </w:r>
    </w:p>
    <w:p w14:paraId="57E4A1D1" w14:textId="2B001FBF" w:rsidR="00061155" w:rsidRPr="002529C5" w:rsidRDefault="0066610E" w:rsidP="001C58DF">
      <w:pPr>
        <w:pStyle w:val="Els-referenceno-number"/>
        <w:ind w:left="0" w:firstLine="0"/>
        <w:jc w:val="both"/>
        <w:rPr>
          <w:szCs w:val="18"/>
        </w:rPr>
      </w:pPr>
      <w:r w:rsidRPr="002529C5">
        <w:rPr>
          <w:szCs w:val="18"/>
          <w:lang w:val="en-US"/>
        </w:rPr>
        <w:t xml:space="preserve">H. </w:t>
      </w:r>
      <w:r w:rsidRPr="002529C5">
        <w:rPr>
          <w:szCs w:val="18"/>
        </w:rPr>
        <w:t>Alhumade</w:t>
      </w:r>
      <w:r w:rsidRPr="002529C5">
        <w:rPr>
          <w:szCs w:val="18"/>
          <w:lang w:val="en-US"/>
        </w:rPr>
        <w:t xml:space="preserve">, A. </w:t>
      </w:r>
      <w:r w:rsidRPr="002529C5">
        <w:rPr>
          <w:szCs w:val="18"/>
        </w:rPr>
        <w:t>Fathy</w:t>
      </w:r>
      <w:r w:rsidRPr="002529C5">
        <w:rPr>
          <w:szCs w:val="18"/>
          <w:lang w:val="en-US"/>
        </w:rPr>
        <w:t xml:space="preserve">, A. </w:t>
      </w:r>
      <w:r w:rsidRPr="002529C5">
        <w:rPr>
          <w:szCs w:val="18"/>
        </w:rPr>
        <w:t>Al-Zahrani,</w:t>
      </w:r>
      <w:r w:rsidRPr="002529C5">
        <w:rPr>
          <w:szCs w:val="18"/>
          <w:lang w:val="en-US"/>
        </w:rPr>
        <w:t xml:space="preserve"> M.J</w:t>
      </w:r>
      <w:r w:rsidRPr="002529C5">
        <w:rPr>
          <w:szCs w:val="18"/>
        </w:rPr>
        <w:t xml:space="preserve"> Rawa,</w:t>
      </w:r>
      <w:r w:rsidRPr="002529C5">
        <w:rPr>
          <w:szCs w:val="18"/>
          <w:lang w:val="en-US"/>
        </w:rPr>
        <w:t xml:space="preserve"> H.</w:t>
      </w:r>
      <w:r w:rsidRPr="002529C5">
        <w:rPr>
          <w:szCs w:val="18"/>
        </w:rPr>
        <w:t xml:space="preserve"> Rezk,</w:t>
      </w:r>
      <w:r w:rsidRPr="002529C5">
        <w:rPr>
          <w:szCs w:val="18"/>
          <w:lang w:val="en-US"/>
        </w:rPr>
        <w:t xml:space="preserve"> 2021,</w:t>
      </w:r>
      <w:r w:rsidRPr="002529C5">
        <w:rPr>
          <w:szCs w:val="18"/>
        </w:rPr>
        <w:t xml:space="preserve"> Optimal Parameter Estimation Methodology of Solid Oxide Fuel Cell Using Modern Optimization. </w:t>
      </w:r>
      <w:r w:rsidRPr="002529C5">
        <w:rPr>
          <w:i/>
          <w:iCs/>
          <w:szCs w:val="18"/>
        </w:rPr>
        <w:t>Mathematics</w:t>
      </w:r>
      <w:r w:rsidRPr="002529C5">
        <w:rPr>
          <w:szCs w:val="18"/>
        </w:rPr>
        <w:t>,</w:t>
      </w:r>
      <w:r w:rsidRPr="002529C5">
        <w:rPr>
          <w:szCs w:val="18"/>
          <w:lang w:val="en-US"/>
        </w:rPr>
        <w:t xml:space="preserve"> no. </w:t>
      </w:r>
      <w:r w:rsidRPr="002529C5">
        <w:rPr>
          <w:i/>
          <w:iCs/>
          <w:szCs w:val="18"/>
        </w:rPr>
        <w:t>9</w:t>
      </w:r>
      <w:r w:rsidRPr="002529C5">
        <w:rPr>
          <w:szCs w:val="18"/>
        </w:rPr>
        <w:t>,</w:t>
      </w:r>
      <w:r w:rsidRPr="002529C5">
        <w:rPr>
          <w:szCs w:val="18"/>
          <w:lang w:val="en-US"/>
        </w:rPr>
        <w:t xml:space="preserve"> p. </w:t>
      </w:r>
      <w:r w:rsidRPr="002529C5">
        <w:rPr>
          <w:szCs w:val="18"/>
        </w:rPr>
        <w:t xml:space="preserve">1066 </w:t>
      </w:r>
      <w:r w:rsidR="00061155" w:rsidRPr="002529C5">
        <w:rPr>
          <w:color w:val="222222"/>
          <w:szCs w:val="18"/>
          <w:shd w:val="clear" w:color="auto" w:fill="FFFFFF"/>
          <w:lang w:val="en-CH"/>
        </w:rPr>
        <w:t xml:space="preserve">A. </w:t>
      </w:r>
      <w:r w:rsidR="00061155" w:rsidRPr="002529C5">
        <w:rPr>
          <w:color w:val="222222"/>
          <w:szCs w:val="18"/>
          <w:shd w:val="clear" w:color="auto" w:fill="FFFFFF"/>
        </w:rPr>
        <w:t xml:space="preserve">Rahayu, Purhadi, Sutikno, </w:t>
      </w:r>
      <w:r w:rsidR="00061155" w:rsidRPr="002529C5">
        <w:rPr>
          <w:color w:val="222222"/>
          <w:szCs w:val="18"/>
          <w:shd w:val="clear" w:color="auto" w:fill="FFFFFF"/>
          <w:lang w:val="en-CH"/>
        </w:rPr>
        <w:t xml:space="preserve">DD. </w:t>
      </w:r>
      <w:r w:rsidR="00061155" w:rsidRPr="002529C5">
        <w:rPr>
          <w:color w:val="222222"/>
          <w:szCs w:val="18"/>
          <w:shd w:val="clear" w:color="auto" w:fill="FFFFFF"/>
        </w:rPr>
        <w:t>Prastyo</w:t>
      </w:r>
      <w:r w:rsidR="00061155" w:rsidRPr="002529C5">
        <w:rPr>
          <w:color w:val="222222"/>
          <w:szCs w:val="18"/>
          <w:shd w:val="clear" w:color="auto" w:fill="FFFFFF"/>
          <w:lang w:val="en-US"/>
        </w:rPr>
        <w:t>, 2020,</w:t>
      </w:r>
      <w:r w:rsidR="00061155" w:rsidRPr="002529C5">
        <w:rPr>
          <w:color w:val="222222"/>
          <w:szCs w:val="18"/>
          <w:shd w:val="clear" w:color="auto" w:fill="FFFFFF"/>
        </w:rPr>
        <w:t xml:space="preserve"> Multivariate Gamma Regression: Parameter Estimation, Hypothesis Testing, and Its Application.</w:t>
      </w:r>
      <w:r w:rsidR="00061155" w:rsidRPr="002529C5">
        <w:rPr>
          <w:rStyle w:val="apple-converted-space"/>
          <w:color w:val="222222"/>
          <w:szCs w:val="18"/>
          <w:shd w:val="clear" w:color="auto" w:fill="FFFFFF"/>
        </w:rPr>
        <w:t> </w:t>
      </w:r>
      <w:r w:rsidR="00061155" w:rsidRPr="002529C5">
        <w:rPr>
          <w:rStyle w:val="Emphasis"/>
          <w:color w:val="222222"/>
          <w:szCs w:val="18"/>
        </w:rPr>
        <w:t>Symmetr</w:t>
      </w:r>
      <w:r w:rsidR="00061155" w:rsidRPr="00F809D2">
        <w:rPr>
          <w:rStyle w:val="Emphasis"/>
          <w:color w:val="222222"/>
          <w:szCs w:val="18"/>
          <w:lang w:val="en-US"/>
        </w:rPr>
        <w:t xml:space="preserve">y, no. </w:t>
      </w:r>
      <w:r w:rsidR="00061155" w:rsidRPr="002529C5">
        <w:rPr>
          <w:color w:val="222222"/>
          <w:szCs w:val="18"/>
          <w:shd w:val="clear" w:color="auto" w:fill="FFFFFF"/>
        </w:rPr>
        <w:t>12(5</w:t>
      </w:r>
      <w:r w:rsidR="00061155" w:rsidRPr="00F809D2">
        <w:rPr>
          <w:color w:val="222222"/>
          <w:szCs w:val="18"/>
          <w:shd w:val="clear" w:color="auto" w:fill="FFFFFF"/>
          <w:lang w:val="en-US"/>
        </w:rPr>
        <w:t>), p.</w:t>
      </w:r>
      <w:r w:rsidR="00061155" w:rsidRPr="002529C5">
        <w:rPr>
          <w:color w:val="222222"/>
          <w:szCs w:val="18"/>
          <w:shd w:val="clear" w:color="auto" w:fill="FFFFFF"/>
        </w:rPr>
        <w:t>813</w:t>
      </w:r>
    </w:p>
    <w:p w14:paraId="68780760" w14:textId="315E7A96" w:rsidR="00F809D2" w:rsidRPr="002529C5" w:rsidRDefault="00F809D2" w:rsidP="00F809D2">
      <w:pPr>
        <w:pStyle w:val="Els-referenceno-number"/>
        <w:ind w:left="0" w:firstLine="0"/>
        <w:jc w:val="both"/>
        <w:rPr>
          <w:szCs w:val="18"/>
          <w:lang w:val="en-US"/>
        </w:rPr>
      </w:pPr>
      <w:r w:rsidRPr="002529C5">
        <w:rPr>
          <w:szCs w:val="18"/>
          <w:lang w:val="en-US"/>
        </w:rPr>
        <w:t>S. Sharma</w:t>
      </w:r>
      <w:r w:rsidR="009A1621">
        <w:rPr>
          <w:szCs w:val="18"/>
          <w:lang w:val="en-US"/>
        </w:rPr>
        <w:t>,</w:t>
      </w:r>
      <w:r w:rsidRPr="002529C5">
        <w:rPr>
          <w:szCs w:val="18"/>
          <w:lang w:val="en-US"/>
        </w:rPr>
        <w:t xml:space="preserve"> F. Maréchal, 2018, Robust Multi-Objective Optimization of Solid Oxide Fuel Cell–Gas Turbine Hybrid Cycle and Uncertainty Analysis, Electrochem. Energy Convers. Storage, vol. 15, no. 4, p. 041007</w:t>
      </w:r>
    </w:p>
    <w:p w14:paraId="393A36B5" w14:textId="2C0ECF2A" w:rsidR="002D0A1F" w:rsidRPr="002D0A1F" w:rsidRDefault="00F809D2" w:rsidP="009503F6">
      <w:pPr>
        <w:pStyle w:val="Els-referenceno-number"/>
        <w:ind w:left="0" w:firstLine="0"/>
        <w:jc w:val="both"/>
        <w:rPr>
          <w:szCs w:val="18"/>
          <w:lang w:val="en-US"/>
        </w:rPr>
      </w:pPr>
      <w:r w:rsidRPr="002529C5">
        <w:rPr>
          <w:szCs w:val="18"/>
          <w:lang w:val="en-US"/>
        </w:rPr>
        <w:t>Q. Xu, Z. Guo, L. Xia, Q. He, Z. Li, I.T. Bello, M. Ni, 2022, A comprehensive review of solid oxide fuel cells operating on various promising alternative fuels, Energy Conversion and Management, no. 253, p. 115175.</w:t>
      </w:r>
    </w:p>
    <w:sectPr w:rsidR="002D0A1F" w:rsidRPr="002D0A1F" w:rsidSect="002D5BA8">
      <w:headerReference w:type="even" r:id="rId13"/>
      <w:headerReference w:type="default" r:id="rId14"/>
      <w:headerReference w:type="first" r:id="rId15"/>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9037D" w14:textId="77777777" w:rsidR="002D5BA8" w:rsidRDefault="002D5BA8">
      <w:r>
        <w:separator/>
      </w:r>
    </w:p>
  </w:endnote>
  <w:endnote w:type="continuationSeparator" w:id="0">
    <w:p w14:paraId="5F73A077" w14:textId="77777777" w:rsidR="002D5BA8" w:rsidRDefault="002D5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A5638" w14:textId="77777777" w:rsidR="002D5BA8" w:rsidRDefault="002D5BA8">
      <w:r>
        <w:separator/>
      </w:r>
    </w:p>
  </w:footnote>
  <w:footnote w:type="continuationSeparator" w:id="0">
    <w:p w14:paraId="3B68BF6B" w14:textId="77777777" w:rsidR="002D5BA8" w:rsidRDefault="002D5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79B0A581" w:rsidR="00DD3D9E" w:rsidRDefault="00DD3D9E">
    <w:pPr>
      <w:pStyle w:val="Header"/>
      <w:tabs>
        <w:tab w:val="clear" w:pos="7200"/>
        <w:tab w:val="right" w:pos="7088"/>
      </w:tabs>
    </w:pPr>
    <w:r>
      <w:rPr>
        <w:rStyle w:val="PageNumber"/>
      </w:rPr>
      <w:tab/>
    </w:r>
    <w:r>
      <w:rPr>
        <w:rStyle w:val="PageNumber"/>
        <w:i/>
      </w:rPr>
      <w:tab/>
    </w:r>
    <w:r w:rsidR="00934338">
      <w:rPr>
        <w:i/>
      </w:rPr>
      <w:t xml:space="preserve">W. </w:t>
    </w:r>
    <w:r w:rsidR="00AA0609">
      <w:rPr>
        <w:i/>
      </w:rPr>
      <w:t>Arthur</w:t>
    </w:r>
    <w:r w:rsidR="00934338">
      <w:rPr>
        <w:i/>
      </w:rPr>
      <w:t xml:space="preserve">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1A243C8C" w:rsidR="00DD3D9E" w:rsidRDefault="00F11890" w:rsidP="00D8657E">
    <w:pPr>
      <w:pStyle w:val="Header"/>
      <w:tabs>
        <w:tab w:val="clear" w:pos="7200"/>
        <w:tab w:val="right" w:pos="7088"/>
      </w:tabs>
      <w:rPr>
        <w:sz w:val="24"/>
      </w:rPr>
    </w:pPr>
    <w:r w:rsidRPr="00F11890">
      <w:rPr>
        <w:i/>
      </w:rPr>
      <w:t>Refining SOFC Performance: Parameter Estimation and Model Validation for Dynamic Energy System Optimization</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w:t>
    </w:r>
    <w:proofErr w:type="spellStart"/>
    <w:r w:rsidRPr="0068162C">
      <w:rPr>
        <w:color w:val="auto"/>
        <w:sz w:val="18"/>
        <w:szCs w:val="18"/>
      </w:rPr>
      <w:t>Manenti</w:t>
    </w:r>
    <w:proofErr w:type="spellEnd"/>
    <w:r w:rsidRPr="0068162C">
      <w:rPr>
        <w:color w:val="auto"/>
        <w:sz w:val="18"/>
        <w:szCs w:val="18"/>
      </w:rPr>
      <w:t xml:space="preserve">, </w:t>
    </w:r>
    <w:proofErr w:type="spellStart"/>
    <w:r w:rsidRPr="0068162C">
      <w:rPr>
        <w:color w:val="auto"/>
        <w:sz w:val="18"/>
        <w:szCs w:val="18"/>
      </w:rPr>
      <w:t>Gintaras</w:t>
    </w:r>
    <w:proofErr w:type="spellEnd"/>
    <w:r w:rsidRPr="0068162C">
      <w:rPr>
        <w:color w:val="auto"/>
        <w:sz w:val="18"/>
        <w:szCs w:val="18"/>
      </w:rPr>
      <w:t xml:space="preserve">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36D2"/>
    <w:rsid w:val="00005562"/>
    <w:rsid w:val="00006130"/>
    <w:rsid w:val="0001052A"/>
    <w:rsid w:val="00014599"/>
    <w:rsid w:val="0001790D"/>
    <w:rsid w:val="0002281D"/>
    <w:rsid w:val="00022FED"/>
    <w:rsid w:val="00030F57"/>
    <w:rsid w:val="00033000"/>
    <w:rsid w:val="00036216"/>
    <w:rsid w:val="000417D5"/>
    <w:rsid w:val="000438FC"/>
    <w:rsid w:val="0005050B"/>
    <w:rsid w:val="000510E3"/>
    <w:rsid w:val="00061155"/>
    <w:rsid w:val="00063BD0"/>
    <w:rsid w:val="000719E1"/>
    <w:rsid w:val="00076600"/>
    <w:rsid w:val="00085505"/>
    <w:rsid w:val="00085529"/>
    <w:rsid w:val="00087DE2"/>
    <w:rsid w:val="000A1175"/>
    <w:rsid w:val="000A30F9"/>
    <w:rsid w:val="000A3F17"/>
    <w:rsid w:val="000B08E1"/>
    <w:rsid w:val="000B25B8"/>
    <w:rsid w:val="000B3811"/>
    <w:rsid w:val="000B5321"/>
    <w:rsid w:val="000B5413"/>
    <w:rsid w:val="000B5E2C"/>
    <w:rsid w:val="000C09FB"/>
    <w:rsid w:val="000C2BB9"/>
    <w:rsid w:val="000C3503"/>
    <w:rsid w:val="000C59C9"/>
    <w:rsid w:val="000C76E9"/>
    <w:rsid w:val="000D3677"/>
    <w:rsid w:val="000D3772"/>
    <w:rsid w:val="000D3D9B"/>
    <w:rsid w:val="000D4D90"/>
    <w:rsid w:val="000E4BCA"/>
    <w:rsid w:val="000F2C64"/>
    <w:rsid w:val="000F4D86"/>
    <w:rsid w:val="0010152C"/>
    <w:rsid w:val="001132A0"/>
    <w:rsid w:val="00117608"/>
    <w:rsid w:val="0012305C"/>
    <w:rsid w:val="001270EB"/>
    <w:rsid w:val="00135B5B"/>
    <w:rsid w:val="00135CD5"/>
    <w:rsid w:val="00142797"/>
    <w:rsid w:val="0014398A"/>
    <w:rsid w:val="0015108E"/>
    <w:rsid w:val="00152F5A"/>
    <w:rsid w:val="00157827"/>
    <w:rsid w:val="0016032F"/>
    <w:rsid w:val="00164558"/>
    <w:rsid w:val="00165A29"/>
    <w:rsid w:val="00187491"/>
    <w:rsid w:val="001879F6"/>
    <w:rsid w:val="00190259"/>
    <w:rsid w:val="00190644"/>
    <w:rsid w:val="00192FE8"/>
    <w:rsid w:val="00195313"/>
    <w:rsid w:val="001953A7"/>
    <w:rsid w:val="001A25B6"/>
    <w:rsid w:val="001A5BE7"/>
    <w:rsid w:val="001C0148"/>
    <w:rsid w:val="001C4104"/>
    <w:rsid w:val="001C58DF"/>
    <w:rsid w:val="001C757E"/>
    <w:rsid w:val="001D1B97"/>
    <w:rsid w:val="001E1655"/>
    <w:rsid w:val="001E2D55"/>
    <w:rsid w:val="001F37C1"/>
    <w:rsid w:val="001F4133"/>
    <w:rsid w:val="001F4954"/>
    <w:rsid w:val="001F7C67"/>
    <w:rsid w:val="00200C11"/>
    <w:rsid w:val="0020390F"/>
    <w:rsid w:val="00207C07"/>
    <w:rsid w:val="00212AB2"/>
    <w:rsid w:val="00215F13"/>
    <w:rsid w:val="002171CA"/>
    <w:rsid w:val="00234BFC"/>
    <w:rsid w:val="00241C9D"/>
    <w:rsid w:val="00245667"/>
    <w:rsid w:val="00245A11"/>
    <w:rsid w:val="002470D0"/>
    <w:rsid w:val="00250928"/>
    <w:rsid w:val="002529C5"/>
    <w:rsid w:val="002541DB"/>
    <w:rsid w:val="00260338"/>
    <w:rsid w:val="002626CE"/>
    <w:rsid w:val="0026286D"/>
    <w:rsid w:val="00263CA1"/>
    <w:rsid w:val="00264926"/>
    <w:rsid w:val="00265C79"/>
    <w:rsid w:val="0026673C"/>
    <w:rsid w:val="0027230F"/>
    <w:rsid w:val="002727C2"/>
    <w:rsid w:val="00276350"/>
    <w:rsid w:val="0028082D"/>
    <w:rsid w:val="0029073C"/>
    <w:rsid w:val="002A3CFE"/>
    <w:rsid w:val="002A4A12"/>
    <w:rsid w:val="002A53B7"/>
    <w:rsid w:val="002D0A1F"/>
    <w:rsid w:val="002D11B7"/>
    <w:rsid w:val="002D2342"/>
    <w:rsid w:val="002D5885"/>
    <w:rsid w:val="002D5BA8"/>
    <w:rsid w:val="002F4436"/>
    <w:rsid w:val="003040B4"/>
    <w:rsid w:val="00311D31"/>
    <w:rsid w:val="00313BED"/>
    <w:rsid w:val="00317213"/>
    <w:rsid w:val="0031751C"/>
    <w:rsid w:val="00324879"/>
    <w:rsid w:val="0032601B"/>
    <w:rsid w:val="00330079"/>
    <w:rsid w:val="00330562"/>
    <w:rsid w:val="00331859"/>
    <w:rsid w:val="00346E55"/>
    <w:rsid w:val="003515F5"/>
    <w:rsid w:val="00355238"/>
    <w:rsid w:val="003720AD"/>
    <w:rsid w:val="003743D7"/>
    <w:rsid w:val="003758D0"/>
    <w:rsid w:val="00376E78"/>
    <w:rsid w:val="00377D73"/>
    <w:rsid w:val="00383453"/>
    <w:rsid w:val="00385F6F"/>
    <w:rsid w:val="00386E6F"/>
    <w:rsid w:val="00387768"/>
    <w:rsid w:val="00393944"/>
    <w:rsid w:val="003A5258"/>
    <w:rsid w:val="003B49B9"/>
    <w:rsid w:val="003C7923"/>
    <w:rsid w:val="003D1582"/>
    <w:rsid w:val="003D2C11"/>
    <w:rsid w:val="003D4605"/>
    <w:rsid w:val="003D7E4C"/>
    <w:rsid w:val="003E0280"/>
    <w:rsid w:val="003E203A"/>
    <w:rsid w:val="003E41C2"/>
    <w:rsid w:val="003F027D"/>
    <w:rsid w:val="003F6024"/>
    <w:rsid w:val="004006A6"/>
    <w:rsid w:val="004201B1"/>
    <w:rsid w:val="00420EAC"/>
    <w:rsid w:val="004215C1"/>
    <w:rsid w:val="00424489"/>
    <w:rsid w:val="004279EF"/>
    <w:rsid w:val="004316F5"/>
    <w:rsid w:val="0043756F"/>
    <w:rsid w:val="00442746"/>
    <w:rsid w:val="0044514A"/>
    <w:rsid w:val="00456F79"/>
    <w:rsid w:val="004653AB"/>
    <w:rsid w:val="00466CD8"/>
    <w:rsid w:val="00475E1B"/>
    <w:rsid w:val="004847E3"/>
    <w:rsid w:val="00487C42"/>
    <w:rsid w:val="00492691"/>
    <w:rsid w:val="0049772C"/>
    <w:rsid w:val="004A1983"/>
    <w:rsid w:val="004A5921"/>
    <w:rsid w:val="004A7032"/>
    <w:rsid w:val="004B537D"/>
    <w:rsid w:val="004C0997"/>
    <w:rsid w:val="004C2F1A"/>
    <w:rsid w:val="004C6434"/>
    <w:rsid w:val="004D19D1"/>
    <w:rsid w:val="004E1F7C"/>
    <w:rsid w:val="004E30C4"/>
    <w:rsid w:val="004E5D53"/>
    <w:rsid w:val="004F3345"/>
    <w:rsid w:val="00502660"/>
    <w:rsid w:val="00502D5B"/>
    <w:rsid w:val="0050401B"/>
    <w:rsid w:val="00504085"/>
    <w:rsid w:val="0054020B"/>
    <w:rsid w:val="005468C1"/>
    <w:rsid w:val="005516C7"/>
    <w:rsid w:val="005520AA"/>
    <w:rsid w:val="0055229A"/>
    <w:rsid w:val="00552EEB"/>
    <w:rsid w:val="00553D3C"/>
    <w:rsid w:val="00555FBF"/>
    <w:rsid w:val="00561001"/>
    <w:rsid w:val="00564327"/>
    <w:rsid w:val="0057120B"/>
    <w:rsid w:val="00574FE0"/>
    <w:rsid w:val="005754D8"/>
    <w:rsid w:val="00581F67"/>
    <w:rsid w:val="005830BD"/>
    <w:rsid w:val="0058470E"/>
    <w:rsid w:val="00586D60"/>
    <w:rsid w:val="00593E84"/>
    <w:rsid w:val="005A1118"/>
    <w:rsid w:val="005A4A42"/>
    <w:rsid w:val="005A7784"/>
    <w:rsid w:val="005B0B0A"/>
    <w:rsid w:val="005C1C46"/>
    <w:rsid w:val="005C3ECB"/>
    <w:rsid w:val="005C5CB7"/>
    <w:rsid w:val="005C61D2"/>
    <w:rsid w:val="005C65D8"/>
    <w:rsid w:val="005D011B"/>
    <w:rsid w:val="005E4F1C"/>
    <w:rsid w:val="005F75F9"/>
    <w:rsid w:val="00601812"/>
    <w:rsid w:val="00601ED0"/>
    <w:rsid w:val="006043B6"/>
    <w:rsid w:val="00605463"/>
    <w:rsid w:val="006162EB"/>
    <w:rsid w:val="0062260B"/>
    <w:rsid w:val="00622EB9"/>
    <w:rsid w:val="00623861"/>
    <w:rsid w:val="00624D59"/>
    <w:rsid w:val="0063073C"/>
    <w:rsid w:val="00632F64"/>
    <w:rsid w:val="006367A0"/>
    <w:rsid w:val="00646D8A"/>
    <w:rsid w:val="0066145F"/>
    <w:rsid w:val="00661D08"/>
    <w:rsid w:val="00663241"/>
    <w:rsid w:val="0066610E"/>
    <w:rsid w:val="0067191F"/>
    <w:rsid w:val="006738DC"/>
    <w:rsid w:val="00673D9B"/>
    <w:rsid w:val="006753AA"/>
    <w:rsid w:val="0067547F"/>
    <w:rsid w:val="00676AF3"/>
    <w:rsid w:val="006811F3"/>
    <w:rsid w:val="00683388"/>
    <w:rsid w:val="00684E6B"/>
    <w:rsid w:val="00692C6E"/>
    <w:rsid w:val="0069632C"/>
    <w:rsid w:val="006968D2"/>
    <w:rsid w:val="006973F6"/>
    <w:rsid w:val="006A2CD9"/>
    <w:rsid w:val="006A427A"/>
    <w:rsid w:val="006A69BF"/>
    <w:rsid w:val="006B06AC"/>
    <w:rsid w:val="006B152B"/>
    <w:rsid w:val="006B2800"/>
    <w:rsid w:val="006B3546"/>
    <w:rsid w:val="006B781D"/>
    <w:rsid w:val="006C06DD"/>
    <w:rsid w:val="006D1445"/>
    <w:rsid w:val="006D221E"/>
    <w:rsid w:val="006E08FB"/>
    <w:rsid w:val="006E1A2C"/>
    <w:rsid w:val="006E7928"/>
    <w:rsid w:val="006F025A"/>
    <w:rsid w:val="006F623E"/>
    <w:rsid w:val="007077E4"/>
    <w:rsid w:val="00711DF4"/>
    <w:rsid w:val="00714135"/>
    <w:rsid w:val="00714D9C"/>
    <w:rsid w:val="00722182"/>
    <w:rsid w:val="00733E4D"/>
    <w:rsid w:val="00740DF9"/>
    <w:rsid w:val="007431BA"/>
    <w:rsid w:val="00761FB2"/>
    <w:rsid w:val="00772084"/>
    <w:rsid w:val="0077563C"/>
    <w:rsid w:val="00775894"/>
    <w:rsid w:val="00777B8B"/>
    <w:rsid w:val="00780201"/>
    <w:rsid w:val="0079239D"/>
    <w:rsid w:val="007945C8"/>
    <w:rsid w:val="007A00C0"/>
    <w:rsid w:val="007A0D9E"/>
    <w:rsid w:val="007A16E3"/>
    <w:rsid w:val="007B68BC"/>
    <w:rsid w:val="007B7F40"/>
    <w:rsid w:val="007C394C"/>
    <w:rsid w:val="007C5CC6"/>
    <w:rsid w:val="007C708A"/>
    <w:rsid w:val="007D70A1"/>
    <w:rsid w:val="007D7D4E"/>
    <w:rsid w:val="007E03A2"/>
    <w:rsid w:val="007E4DA3"/>
    <w:rsid w:val="007E5782"/>
    <w:rsid w:val="007E6F9A"/>
    <w:rsid w:val="007F1AC4"/>
    <w:rsid w:val="007F5BBE"/>
    <w:rsid w:val="007F5E97"/>
    <w:rsid w:val="007F6B62"/>
    <w:rsid w:val="00805535"/>
    <w:rsid w:val="00807E3A"/>
    <w:rsid w:val="008132E8"/>
    <w:rsid w:val="00816124"/>
    <w:rsid w:val="00817ECC"/>
    <w:rsid w:val="008226A7"/>
    <w:rsid w:val="00823407"/>
    <w:rsid w:val="008245CB"/>
    <w:rsid w:val="008304EB"/>
    <w:rsid w:val="00836A61"/>
    <w:rsid w:val="008404D0"/>
    <w:rsid w:val="0084230B"/>
    <w:rsid w:val="00844589"/>
    <w:rsid w:val="00850332"/>
    <w:rsid w:val="00854196"/>
    <w:rsid w:val="00855993"/>
    <w:rsid w:val="00860470"/>
    <w:rsid w:val="00876990"/>
    <w:rsid w:val="00882B42"/>
    <w:rsid w:val="0088573D"/>
    <w:rsid w:val="00890B31"/>
    <w:rsid w:val="00892DCB"/>
    <w:rsid w:val="00892E1E"/>
    <w:rsid w:val="0089526E"/>
    <w:rsid w:val="00895386"/>
    <w:rsid w:val="008A546A"/>
    <w:rsid w:val="008A7748"/>
    <w:rsid w:val="008B0184"/>
    <w:rsid w:val="008B28F9"/>
    <w:rsid w:val="008B2DF3"/>
    <w:rsid w:val="008C5D02"/>
    <w:rsid w:val="008C6B37"/>
    <w:rsid w:val="008D0F0D"/>
    <w:rsid w:val="008D2649"/>
    <w:rsid w:val="008F0070"/>
    <w:rsid w:val="0090568D"/>
    <w:rsid w:val="009125C9"/>
    <w:rsid w:val="00913879"/>
    <w:rsid w:val="00914EAA"/>
    <w:rsid w:val="00915EAD"/>
    <w:rsid w:val="00917661"/>
    <w:rsid w:val="00922D22"/>
    <w:rsid w:val="0092633E"/>
    <w:rsid w:val="00930BCA"/>
    <w:rsid w:val="0093193E"/>
    <w:rsid w:val="00934338"/>
    <w:rsid w:val="0094348F"/>
    <w:rsid w:val="009503F6"/>
    <w:rsid w:val="00952D90"/>
    <w:rsid w:val="00956A49"/>
    <w:rsid w:val="00957882"/>
    <w:rsid w:val="0096096E"/>
    <w:rsid w:val="009611FB"/>
    <w:rsid w:val="00963D37"/>
    <w:rsid w:val="00970E5D"/>
    <w:rsid w:val="0097701C"/>
    <w:rsid w:val="00980A65"/>
    <w:rsid w:val="00983123"/>
    <w:rsid w:val="00987C24"/>
    <w:rsid w:val="00993AD9"/>
    <w:rsid w:val="009A022E"/>
    <w:rsid w:val="009A1621"/>
    <w:rsid w:val="009A1F13"/>
    <w:rsid w:val="009A4848"/>
    <w:rsid w:val="009A4B17"/>
    <w:rsid w:val="009A7CE6"/>
    <w:rsid w:val="009B0019"/>
    <w:rsid w:val="009B61C0"/>
    <w:rsid w:val="009C0785"/>
    <w:rsid w:val="009C3A89"/>
    <w:rsid w:val="009C687E"/>
    <w:rsid w:val="009D0D98"/>
    <w:rsid w:val="009D49B2"/>
    <w:rsid w:val="009D6C84"/>
    <w:rsid w:val="009D7B7E"/>
    <w:rsid w:val="009E621C"/>
    <w:rsid w:val="009E7AFF"/>
    <w:rsid w:val="009F0D0F"/>
    <w:rsid w:val="009F0F9C"/>
    <w:rsid w:val="009F63B4"/>
    <w:rsid w:val="00A045F9"/>
    <w:rsid w:val="00A06E05"/>
    <w:rsid w:val="00A15E6D"/>
    <w:rsid w:val="00A16F64"/>
    <w:rsid w:val="00A22D0B"/>
    <w:rsid w:val="00A25B86"/>
    <w:rsid w:val="00A25E70"/>
    <w:rsid w:val="00A271B0"/>
    <w:rsid w:val="00A33765"/>
    <w:rsid w:val="00A354E7"/>
    <w:rsid w:val="00A454C1"/>
    <w:rsid w:val="00A455A1"/>
    <w:rsid w:val="00A561CA"/>
    <w:rsid w:val="00A63269"/>
    <w:rsid w:val="00A82CB6"/>
    <w:rsid w:val="00A83624"/>
    <w:rsid w:val="00A84A3E"/>
    <w:rsid w:val="00A91C4A"/>
    <w:rsid w:val="00A92377"/>
    <w:rsid w:val="00AA0609"/>
    <w:rsid w:val="00AA20B9"/>
    <w:rsid w:val="00AA3DAD"/>
    <w:rsid w:val="00AA7AE7"/>
    <w:rsid w:val="00AB29ED"/>
    <w:rsid w:val="00AC2003"/>
    <w:rsid w:val="00AC4870"/>
    <w:rsid w:val="00AC6337"/>
    <w:rsid w:val="00AD45FD"/>
    <w:rsid w:val="00AD5D24"/>
    <w:rsid w:val="00AE431E"/>
    <w:rsid w:val="00AE4BD8"/>
    <w:rsid w:val="00AE5677"/>
    <w:rsid w:val="00AE7747"/>
    <w:rsid w:val="00AF5BF6"/>
    <w:rsid w:val="00B02F29"/>
    <w:rsid w:val="00B10E7E"/>
    <w:rsid w:val="00B12E9C"/>
    <w:rsid w:val="00B1716D"/>
    <w:rsid w:val="00B22F90"/>
    <w:rsid w:val="00B2391B"/>
    <w:rsid w:val="00B26ABB"/>
    <w:rsid w:val="00B26BA3"/>
    <w:rsid w:val="00B27237"/>
    <w:rsid w:val="00B27E86"/>
    <w:rsid w:val="00B364FD"/>
    <w:rsid w:val="00B429E3"/>
    <w:rsid w:val="00B42E31"/>
    <w:rsid w:val="00B43415"/>
    <w:rsid w:val="00B4388F"/>
    <w:rsid w:val="00B454EC"/>
    <w:rsid w:val="00B46949"/>
    <w:rsid w:val="00B46CFE"/>
    <w:rsid w:val="00B47D50"/>
    <w:rsid w:val="00B5070E"/>
    <w:rsid w:val="00B51750"/>
    <w:rsid w:val="00B52B7A"/>
    <w:rsid w:val="00B53D86"/>
    <w:rsid w:val="00B53F0F"/>
    <w:rsid w:val="00B63237"/>
    <w:rsid w:val="00B658AB"/>
    <w:rsid w:val="00B6661B"/>
    <w:rsid w:val="00B7546B"/>
    <w:rsid w:val="00B777C6"/>
    <w:rsid w:val="00B814BA"/>
    <w:rsid w:val="00B91AB6"/>
    <w:rsid w:val="00B91E84"/>
    <w:rsid w:val="00B92ED1"/>
    <w:rsid w:val="00B94CC1"/>
    <w:rsid w:val="00B977A0"/>
    <w:rsid w:val="00BA0A9B"/>
    <w:rsid w:val="00BA0ABB"/>
    <w:rsid w:val="00BA1F16"/>
    <w:rsid w:val="00BB0A5D"/>
    <w:rsid w:val="00BB7C9C"/>
    <w:rsid w:val="00BC0625"/>
    <w:rsid w:val="00BC0C46"/>
    <w:rsid w:val="00BC3724"/>
    <w:rsid w:val="00BC58DA"/>
    <w:rsid w:val="00BD130C"/>
    <w:rsid w:val="00BD371A"/>
    <w:rsid w:val="00BD4D8A"/>
    <w:rsid w:val="00BD7748"/>
    <w:rsid w:val="00BE0769"/>
    <w:rsid w:val="00BE4087"/>
    <w:rsid w:val="00BE6D72"/>
    <w:rsid w:val="00BE7D73"/>
    <w:rsid w:val="00BE7EC0"/>
    <w:rsid w:val="00BF536C"/>
    <w:rsid w:val="00C02752"/>
    <w:rsid w:val="00C03DA4"/>
    <w:rsid w:val="00C10758"/>
    <w:rsid w:val="00C17015"/>
    <w:rsid w:val="00C27E1E"/>
    <w:rsid w:val="00C31901"/>
    <w:rsid w:val="00C321AA"/>
    <w:rsid w:val="00C42D81"/>
    <w:rsid w:val="00C4386B"/>
    <w:rsid w:val="00C43C07"/>
    <w:rsid w:val="00C471FF"/>
    <w:rsid w:val="00C47943"/>
    <w:rsid w:val="00C514F6"/>
    <w:rsid w:val="00C60D71"/>
    <w:rsid w:val="00C73C8D"/>
    <w:rsid w:val="00C74A7D"/>
    <w:rsid w:val="00C74FDC"/>
    <w:rsid w:val="00C7723A"/>
    <w:rsid w:val="00C77F21"/>
    <w:rsid w:val="00C84825"/>
    <w:rsid w:val="00C85471"/>
    <w:rsid w:val="00C85814"/>
    <w:rsid w:val="00C85AA4"/>
    <w:rsid w:val="00C87C73"/>
    <w:rsid w:val="00C95285"/>
    <w:rsid w:val="00C960DC"/>
    <w:rsid w:val="00C96709"/>
    <w:rsid w:val="00C96929"/>
    <w:rsid w:val="00CA2E0C"/>
    <w:rsid w:val="00CA3237"/>
    <w:rsid w:val="00CA6D50"/>
    <w:rsid w:val="00CB0943"/>
    <w:rsid w:val="00CB0A72"/>
    <w:rsid w:val="00CB6AF8"/>
    <w:rsid w:val="00CC2F41"/>
    <w:rsid w:val="00CC5B74"/>
    <w:rsid w:val="00CD0E3A"/>
    <w:rsid w:val="00CD1503"/>
    <w:rsid w:val="00CD3B3D"/>
    <w:rsid w:val="00CD4331"/>
    <w:rsid w:val="00CD61C6"/>
    <w:rsid w:val="00CD6DB2"/>
    <w:rsid w:val="00CD7816"/>
    <w:rsid w:val="00CE2D88"/>
    <w:rsid w:val="00CF3364"/>
    <w:rsid w:val="00CF49BE"/>
    <w:rsid w:val="00D02C75"/>
    <w:rsid w:val="00D03D19"/>
    <w:rsid w:val="00D10E22"/>
    <w:rsid w:val="00D13D2C"/>
    <w:rsid w:val="00D175FD"/>
    <w:rsid w:val="00D22CE1"/>
    <w:rsid w:val="00D25BD8"/>
    <w:rsid w:val="00D26087"/>
    <w:rsid w:val="00D303AD"/>
    <w:rsid w:val="00D32F85"/>
    <w:rsid w:val="00D42A04"/>
    <w:rsid w:val="00D43994"/>
    <w:rsid w:val="00D51F0D"/>
    <w:rsid w:val="00D61E56"/>
    <w:rsid w:val="00D6546C"/>
    <w:rsid w:val="00D675E0"/>
    <w:rsid w:val="00D754F0"/>
    <w:rsid w:val="00D82031"/>
    <w:rsid w:val="00D8238A"/>
    <w:rsid w:val="00D853AF"/>
    <w:rsid w:val="00D8657E"/>
    <w:rsid w:val="00D877BE"/>
    <w:rsid w:val="00D90607"/>
    <w:rsid w:val="00D958AE"/>
    <w:rsid w:val="00D959A9"/>
    <w:rsid w:val="00DA514E"/>
    <w:rsid w:val="00DB5DA0"/>
    <w:rsid w:val="00DC2F94"/>
    <w:rsid w:val="00DC42BA"/>
    <w:rsid w:val="00DC57E8"/>
    <w:rsid w:val="00DC5EDE"/>
    <w:rsid w:val="00DC67A5"/>
    <w:rsid w:val="00DD22F7"/>
    <w:rsid w:val="00DD3D9E"/>
    <w:rsid w:val="00DD4F9E"/>
    <w:rsid w:val="00DD7908"/>
    <w:rsid w:val="00DE095D"/>
    <w:rsid w:val="00DE297C"/>
    <w:rsid w:val="00DE3757"/>
    <w:rsid w:val="00DE43EF"/>
    <w:rsid w:val="00DF0F22"/>
    <w:rsid w:val="00DF5F87"/>
    <w:rsid w:val="00E05C43"/>
    <w:rsid w:val="00E13DDF"/>
    <w:rsid w:val="00E20E91"/>
    <w:rsid w:val="00E33768"/>
    <w:rsid w:val="00E3709E"/>
    <w:rsid w:val="00E42DAF"/>
    <w:rsid w:val="00E450D2"/>
    <w:rsid w:val="00E562FF"/>
    <w:rsid w:val="00E6277A"/>
    <w:rsid w:val="00E65ADE"/>
    <w:rsid w:val="00E6647E"/>
    <w:rsid w:val="00E70914"/>
    <w:rsid w:val="00E777A5"/>
    <w:rsid w:val="00E82297"/>
    <w:rsid w:val="00E84B8A"/>
    <w:rsid w:val="00E85CD7"/>
    <w:rsid w:val="00E874FB"/>
    <w:rsid w:val="00E94CEA"/>
    <w:rsid w:val="00E94D19"/>
    <w:rsid w:val="00EA4F85"/>
    <w:rsid w:val="00EB032C"/>
    <w:rsid w:val="00EB0AE4"/>
    <w:rsid w:val="00EB7F21"/>
    <w:rsid w:val="00ED620E"/>
    <w:rsid w:val="00ED7CE5"/>
    <w:rsid w:val="00ED7F11"/>
    <w:rsid w:val="00EE1E77"/>
    <w:rsid w:val="00EE41F2"/>
    <w:rsid w:val="00EE6024"/>
    <w:rsid w:val="00EF39FD"/>
    <w:rsid w:val="00EF67DA"/>
    <w:rsid w:val="00F02155"/>
    <w:rsid w:val="00F0278E"/>
    <w:rsid w:val="00F035B1"/>
    <w:rsid w:val="00F06842"/>
    <w:rsid w:val="00F107FD"/>
    <w:rsid w:val="00F11890"/>
    <w:rsid w:val="00F120AA"/>
    <w:rsid w:val="00F13AEB"/>
    <w:rsid w:val="00F14223"/>
    <w:rsid w:val="00F17C62"/>
    <w:rsid w:val="00F17E63"/>
    <w:rsid w:val="00F202F5"/>
    <w:rsid w:val="00F25492"/>
    <w:rsid w:val="00F265DC"/>
    <w:rsid w:val="00F33ACF"/>
    <w:rsid w:val="00F3569B"/>
    <w:rsid w:val="00F362D0"/>
    <w:rsid w:val="00F47A45"/>
    <w:rsid w:val="00F5065F"/>
    <w:rsid w:val="00F5127D"/>
    <w:rsid w:val="00F57618"/>
    <w:rsid w:val="00F64B4E"/>
    <w:rsid w:val="00F73276"/>
    <w:rsid w:val="00F77A84"/>
    <w:rsid w:val="00F80420"/>
    <w:rsid w:val="00F809D2"/>
    <w:rsid w:val="00F846AA"/>
    <w:rsid w:val="00F91742"/>
    <w:rsid w:val="00F9287F"/>
    <w:rsid w:val="00F9356D"/>
    <w:rsid w:val="00F96D2C"/>
    <w:rsid w:val="00FB097E"/>
    <w:rsid w:val="00FB3734"/>
    <w:rsid w:val="00FB64A8"/>
    <w:rsid w:val="00FB7D17"/>
    <w:rsid w:val="00FC672F"/>
    <w:rsid w:val="00FD4893"/>
    <w:rsid w:val="00FE103D"/>
    <w:rsid w:val="00FF08EB"/>
    <w:rsid w:val="00FF0A22"/>
    <w:rsid w:val="00FF3F5D"/>
    <w:rsid w:val="00FF5A76"/>
    <w:rsid w:val="00FF5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5DA0"/>
    <w:rPr>
      <w:sz w:val="24"/>
      <w:szCs w:val="24"/>
      <w:lang w:val="en-CH"/>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sz w:val="20"/>
      <w:szCs w:val="20"/>
      <w:lang w:val="en-GB" w:eastAsia="en-U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rPr>
      <w:sz w:val="20"/>
      <w:szCs w:val="20"/>
      <w:lang w:val="en-GB" w:eastAsia="en-US"/>
    </w:rPr>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lang w:val="en-GB" w:eastAsia="en-US"/>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lang w:val="en-US" w:eastAsia="en-US"/>
    </w:rPr>
  </w:style>
  <w:style w:type="table" w:styleId="TableGrid">
    <w:name w:val="Table Grid"/>
    <w:basedOn w:val="TableNormal"/>
    <w:rsid w:val="005B0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B0B0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B364FD"/>
    <w:rPr>
      <w:lang w:eastAsia="en-US"/>
    </w:rPr>
  </w:style>
  <w:style w:type="paragraph" w:styleId="NormalWeb">
    <w:name w:val="Normal (Web)"/>
    <w:basedOn w:val="Normal"/>
    <w:uiPriority w:val="99"/>
    <w:semiHidden/>
    <w:unhideWhenUsed/>
    <w:rsid w:val="0066610E"/>
    <w:pPr>
      <w:spacing w:before="100" w:beforeAutospacing="1" w:after="100" w:afterAutospacing="1"/>
    </w:pPr>
  </w:style>
  <w:style w:type="character" w:customStyle="1" w:styleId="apple-converted-space">
    <w:name w:val="apple-converted-space"/>
    <w:basedOn w:val="DefaultParagraphFont"/>
    <w:rsid w:val="00061155"/>
  </w:style>
  <w:style w:type="character" w:styleId="Emphasis">
    <w:name w:val="Emphasis"/>
    <w:basedOn w:val="DefaultParagraphFont"/>
    <w:uiPriority w:val="20"/>
    <w:qFormat/>
    <w:rsid w:val="000611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987">
      <w:bodyDiv w:val="1"/>
      <w:marLeft w:val="0"/>
      <w:marRight w:val="0"/>
      <w:marTop w:val="0"/>
      <w:marBottom w:val="0"/>
      <w:divBdr>
        <w:top w:val="none" w:sz="0" w:space="0" w:color="auto"/>
        <w:left w:val="none" w:sz="0" w:space="0" w:color="auto"/>
        <w:bottom w:val="none" w:sz="0" w:space="0" w:color="auto"/>
        <w:right w:val="none" w:sz="0" w:space="0" w:color="auto"/>
      </w:divBdr>
      <w:divsChild>
        <w:div w:id="344554918">
          <w:marLeft w:val="0"/>
          <w:marRight w:val="0"/>
          <w:marTop w:val="0"/>
          <w:marBottom w:val="0"/>
          <w:divBdr>
            <w:top w:val="none" w:sz="0" w:space="0" w:color="auto"/>
            <w:left w:val="none" w:sz="0" w:space="0" w:color="auto"/>
            <w:bottom w:val="none" w:sz="0" w:space="0" w:color="auto"/>
            <w:right w:val="none" w:sz="0" w:space="0" w:color="auto"/>
          </w:divBdr>
          <w:divsChild>
            <w:div w:id="988485267">
              <w:marLeft w:val="0"/>
              <w:marRight w:val="0"/>
              <w:marTop w:val="0"/>
              <w:marBottom w:val="0"/>
              <w:divBdr>
                <w:top w:val="none" w:sz="0" w:space="0" w:color="auto"/>
                <w:left w:val="none" w:sz="0" w:space="0" w:color="auto"/>
                <w:bottom w:val="none" w:sz="0" w:space="0" w:color="auto"/>
                <w:right w:val="none" w:sz="0" w:space="0" w:color="auto"/>
              </w:divBdr>
              <w:divsChild>
                <w:div w:id="139345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496581">
      <w:bodyDiv w:val="1"/>
      <w:marLeft w:val="0"/>
      <w:marRight w:val="0"/>
      <w:marTop w:val="0"/>
      <w:marBottom w:val="0"/>
      <w:divBdr>
        <w:top w:val="none" w:sz="0" w:space="0" w:color="auto"/>
        <w:left w:val="none" w:sz="0" w:space="0" w:color="auto"/>
        <w:bottom w:val="none" w:sz="0" w:space="0" w:color="auto"/>
        <w:right w:val="none" w:sz="0" w:space="0" w:color="auto"/>
      </w:divBdr>
    </w:div>
    <w:div w:id="537663038">
      <w:bodyDiv w:val="1"/>
      <w:marLeft w:val="0"/>
      <w:marRight w:val="0"/>
      <w:marTop w:val="0"/>
      <w:marBottom w:val="0"/>
      <w:divBdr>
        <w:top w:val="none" w:sz="0" w:space="0" w:color="auto"/>
        <w:left w:val="none" w:sz="0" w:space="0" w:color="auto"/>
        <w:bottom w:val="none" w:sz="0" w:space="0" w:color="auto"/>
        <w:right w:val="none" w:sz="0" w:space="0" w:color="auto"/>
      </w:divBdr>
      <w:divsChild>
        <w:div w:id="1664158194">
          <w:marLeft w:val="0"/>
          <w:marRight w:val="0"/>
          <w:marTop w:val="0"/>
          <w:marBottom w:val="0"/>
          <w:divBdr>
            <w:top w:val="none" w:sz="0" w:space="0" w:color="auto"/>
            <w:left w:val="none" w:sz="0" w:space="0" w:color="auto"/>
            <w:bottom w:val="none" w:sz="0" w:space="0" w:color="auto"/>
            <w:right w:val="none" w:sz="0" w:space="0" w:color="auto"/>
          </w:divBdr>
          <w:divsChild>
            <w:div w:id="1873491224">
              <w:marLeft w:val="0"/>
              <w:marRight w:val="0"/>
              <w:marTop w:val="0"/>
              <w:marBottom w:val="0"/>
              <w:divBdr>
                <w:top w:val="none" w:sz="0" w:space="0" w:color="auto"/>
                <w:left w:val="none" w:sz="0" w:space="0" w:color="auto"/>
                <w:bottom w:val="none" w:sz="0" w:space="0" w:color="auto"/>
                <w:right w:val="none" w:sz="0" w:space="0" w:color="auto"/>
              </w:divBdr>
              <w:divsChild>
                <w:div w:id="18730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10444">
      <w:bodyDiv w:val="1"/>
      <w:marLeft w:val="0"/>
      <w:marRight w:val="0"/>
      <w:marTop w:val="0"/>
      <w:marBottom w:val="0"/>
      <w:divBdr>
        <w:top w:val="none" w:sz="0" w:space="0" w:color="auto"/>
        <w:left w:val="none" w:sz="0" w:space="0" w:color="auto"/>
        <w:bottom w:val="none" w:sz="0" w:space="0" w:color="auto"/>
        <w:right w:val="none" w:sz="0" w:space="0" w:color="auto"/>
      </w:divBdr>
      <w:divsChild>
        <w:div w:id="490340466">
          <w:marLeft w:val="0"/>
          <w:marRight w:val="0"/>
          <w:marTop w:val="0"/>
          <w:marBottom w:val="0"/>
          <w:divBdr>
            <w:top w:val="none" w:sz="0" w:space="0" w:color="auto"/>
            <w:left w:val="none" w:sz="0" w:space="0" w:color="auto"/>
            <w:bottom w:val="none" w:sz="0" w:space="0" w:color="auto"/>
            <w:right w:val="none" w:sz="0" w:space="0" w:color="auto"/>
          </w:divBdr>
          <w:divsChild>
            <w:div w:id="2056391338">
              <w:marLeft w:val="0"/>
              <w:marRight w:val="0"/>
              <w:marTop w:val="0"/>
              <w:marBottom w:val="0"/>
              <w:divBdr>
                <w:top w:val="none" w:sz="0" w:space="0" w:color="auto"/>
                <w:left w:val="none" w:sz="0" w:space="0" w:color="auto"/>
                <w:bottom w:val="none" w:sz="0" w:space="0" w:color="auto"/>
                <w:right w:val="none" w:sz="0" w:space="0" w:color="auto"/>
              </w:divBdr>
              <w:divsChild>
                <w:div w:id="201268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005136">
      <w:bodyDiv w:val="1"/>
      <w:marLeft w:val="0"/>
      <w:marRight w:val="0"/>
      <w:marTop w:val="0"/>
      <w:marBottom w:val="0"/>
      <w:divBdr>
        <w:top w:val="none" w:sz="0" w:space="0" w:color="auto"/>
        <w:left w:val="none" w:sz="0" w:space="0" w:color="auto"/>
        <w:bottom w:val="none" w:sz="0" w:space="0" w:color="auto"/>
        <w:right w:val="none" w:sz="0" w:space="0" w:color="auto"/>
      </w:divBdr>
    </w:div>
    <w:div w:id="1031220241">
      <w:bodyDiv w:val="1"/>
      <w:marLeft w:val="0"/>
      <w:marRight w:val="0"/>
      <w:marTop w:val="0"/>
      <w:marBottom w:val="0"/>
      <w:divBdr>
        <w:top w:val="none" w:sz="0" w:space="0" w:color="auto"/>
        <w:left w:val="none" w:sz="0" w:space="0" w:color="auto"/>
        <w:bottom w:val="none" w:sz="0" w:space="0" w:color="auto"/>
        <w:right w:val="none" w:sz="0" w:space="0" w:color="auto"/>
      </w:divBdr>
    </w:div>
    <w:div w:id="1063531013">
      <w:bodyDiv w:val="1"/>
      <w:marLeft w:val="0"/>
      <w:marRight w:val="0"/>
      <w:marTop w:val="0"/>
      <w:marBottom w:val="0"/>
      <w:divBdr>
        <w:top w:val="none" w:sz="0" w:space="0" w:color="auto"/>
        <w:left w:val="none" w:sz="0" w:space="0" w:color="auto"/>
        <w:bottom w:val="none" w:sz="0" w:space="0" w:color="auto"/>
        <w:right w:val="none" w:sz="0" w:space="0" w:color="auto"/>
      </w:divBdr>
      <w:divsChild>
        <w:div w:id="1456827918">
          <w:marLeft w:val="0"/>
          <w:marRight w:val="0"/>
          <w:marTop w:val="0"/>
          <w:marBottom w:val="0"/>
          <w:divBdr>
            <w:top w:val="none" w:sz="0" w:space="0" w:color="auto"/>
            <w:left w:val="none" w:sz="0" w:space="0" w:color="auto"/>
            <w:bottom w:val="none" w:sz="0" w:space="0" w:color="auto"/>
            <w:right w:val="none" w:sz="0" w:space="0" w:color="auto"/>
          </w:divBdr>
          <w:divsChild>
            <w:div w:id="1480880515">
              <w:marLeft w:val="0"/>
              <w:marRight w:val="0"/>
              <w:marTop w:val="0"/>
              <w:marBottom w:val="0"/>
              <w:divBdr>
                <w:top w:val="none" w:sz="0" w:space="0" w:color="auto"/>
                <w:left w:val="none" w:sz="0" w:space="0" w:color="auto"/>
                <w:bottom w:val="none" w:sz="0" w:space="0" w:color="auto"/>
                <w:right w:val="none" w:sz="0" w:space="0" w:color="auto"/>
              </w:divBdr>
              <w:divsChild>
                <w:div w:id="19288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96966">
      <w:bodyDiv w:val="1"/>
      <w:marLeft w:val="0"/>
      <w:marRight w:val="0"/>
      <w:marTop w:val="0"/>
      <w:marBottom w:val="0"/>
      <w:divBdr>
        <w:top w:val="none" w:sz="0" w:space="0" w:color="auto"/>
        <w:left w:val="none" w:sz="0" w:space="0" w:color="auto"/>
        <w:bottom w:val="none" w:sz="0" w:space="0" w:color="auto"/>
        <w:right w:val="none" w:sz="0" w:space="0" w:color="auto"/>
      </w:divBdr>
      <w:divsChild>
        <w:div w:id="1113867877">
          <w:marLeft w:val="0"/>
          <w:marRight w:val="0"/>
          <w:marTop w:val="0"/>
          <w:marBottom w:val="0"/>
          <w:divBdr>
            <w:top w:val="single" w:sz="2" w:space="0" w:color="D9D9E3"/>
            <w:left w:val="single" w:sz="2" w:space="0" w:color="D9D9E3"/>
            <w:bottom w:val="single" w:sz="2" w:space="0" w:color="D9D9E3"/>
            <w:right w:val="single" w:sz="2" w:space="0" w:color="D9D9E3"/>
          </w:divBdr>
          <w:divsChild>
            <w:div w:id="116022837">
              <w:marLeft w:val="0"/>
              <w:marRight w:val="0"/>
              <w:marTop w:val="0"/>
              <w:marBottom w:val="0"/>
              <w:divBdr>
                <w:top w:val="single" w:sz="2" w:space="0" w:color="D9D9E3"/>
                <w:left w:val="single" w:sz="2" w:space="0" w:color="D9D9E3"/>
                <w:bottom w:val="single" w:sz="2" w:space="0" w:color="D9D9E3"/>
                <w:right w:val="single" w:sz="2" w:space="0" w:color="D9D9E3"/>
              </w:divBdr>
              <w:divsChild>
                <w:div w:id="926575987">
                  <w:marLeft w:val="0"/>
                  <w:marRight w:val="0"/>
                  <w:marTop w:val="0"/>
                  <w:marBottom w:val="0"/>
                  <w:divBdr>
                    <w:top w:val="single" w:sz="2" w:space="0" w:color="D9D9E3"/>
                    <w:left w:val="single" w:sz="2" w:space="0" w:color="D9D9E3"/>
                    <w:bottom w:val="single" w:sz="2" w:space="0" w:color="D9D9E3"/>
                    <w:right w:val="single" w:sz="2" w:space="0" w:color="D9D9E3"/>
                  </w:divBdr>
                  <w:divsChild>
                    <w:div w:id="1089817483">
                      <w:marLeft w:val="0"/>
                      <w:marRight w:val="0"/>
                      <w:marTop w:val="0"/>
                      <w:marBottom w:val="0"/>
                      <w:divBdr>
                        <w:top w:val="single" w:sz="2" w:space="0" w:color="D9D9E3"/>
                        <w:left w:val="single" w:sz="2" w:space="0" w:color="D9D9E3"/>
                        <w:bottom w:val="single" w:sz="2" w:space="0" w:color="D9D9E3"/>
                        <w:right w:val="single" w:sz="2" w:space="0" w:color="D9D9E3"/>
                      </w:divBdr>
                      <w:divsChild>
                        <w:div w:id="11787393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01082349">
          <w:marLeft w:val="0"/>
          <w:marRight w:val="0"/>
          <w:marTop w:val="0"/>
          <w:marBottom w:val="0"/>
          <w:divBdr>
            <w:top w:val="single" w:sz="2" w:space="0" w:color="D9D9E3"/>
            <w:left w:val="single" w:sz="2" w:space="0" w:color="D9D9E3"/>
            <w:bottom w:val="single" w:sz="2" w:space="0" w:color="D9D9E3"/>
            <w:right w:val="single" w:sz="2" w:space="0" w:color="D9D9E3"/>
          </w:divBdr>
          <w:divsChild>
            <w:div w:id="543299420">
              <w:marLeft w:val="0"/>
              <w:marRight w:val="0"/>
              <w:marTop w:val="0"/>
              <w:marBottom w:val="0"/>
              <w:divBdr>
                <w:top w:val="single" w:sz="2" w:space="0" w:color="D9D9E3"/>
                <w:left w:val="single" w:sz="2" w:space="0" w:color="D9D9E3"/>
                <w:bottom w:val="single" w:sz="2" w:space="0" w:color="D9D9E3"/>
                <w:right w:val="single" w:sz="2" w:space="0" w:color="D9D9E3"/>
              </w:divBdr>
            </w:div>
            <w:div w:id="60564455">
              <w:marLeft w:val="0"/>
              <w:marRight w:val="0"/>
              <w:marTop w:val="0"/>
              <w:marBottom w:val="0"/>
              <w:divBdr>
                <w:top w:val="single" w:sz="2" w:space="0" w:color="D9D9E3"/>
                <w:left w:val="single" w:sz="2" w:space="0" w:color="D9D9E3"/>
                <w:bottom w:val="single" w:sz="2" w:space="0" w:color="D9D9E3"/>
                <w:right w:val="single" w:sz="2" w:space="0" w:color="D9D9E3"/>
              </w:divBdr>
              <w:divsChild>
                <w:div w:id="1173181142">
                  <w:marLeft w:val="0"/>
                  <w:marRight w:val="0"/>
                  <w:marTop w:val="0"/>
                  <w:marBottom w:val="0"/>
                  <w:divBdr>
                    <w:top w:val="single" w:sz="2" w:space="0" w:color="D9D9E3"/>
                    <w:left w:val="single" w:sz="2" w:space="0" w:color="D9D9E3"/>
                    <w:bottom w:val="single" w:sz="2" w:space="0" w:color="D9D9E3"/>
                    <w:right w:val="single" w:sz="2" w:space="0" w:color="D9D9E3"/>
                  </w:divBdr>
                  <w:divsChild>
                    <w:div w:id="286544009">
                      <w:marLeft w:val="0"/>
                      <w:marRight w:val="0"/>
                      <w:marTop w:val="0"/>
                      <w:marBottom w:val="0"/>
                      <w:divBdr>
                        <w:top w:val="single" w:sz="2" w:space="0" w:color="D9D9E3"/>
                        <w:left w:val="single" w:sz="2" w:space="0" w:color="D9D9E3"/>
                        <w:bottom w:val="single" w:sz="2" w:space="0" w:color="D9D9E3"/>
                        <w:right w:val="single" w:sz="2" w:space="0" w:color="D9D9E3"/>
                      </w:divBdr>
                      <w:divsChild>
                        <w:div w:id="8530371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03342131">
      <w:bodyDiv w:val="1"/>
      <w:marLeft w:val="0"/>
      <w:marRight w:val="0"/>
      <w:marTop w:val="0"/>
      <w:marBottom w:val="0"/>
      <w:divBdr>
        <w:top w:val="none" w:sz="0" w:space="0" w:color="auto"/>
        <w:left w:val="none" w:sz="0" w:space="0" w:color="auto"/>
        <w:bottom w:val="none" w:sz="0" w:space="0" w:color="auto"/>
        <w:right w:val="none" w:sz="0" w:space="0" w:color="auto"/>
      </w:divBdr>
    </w:div>
    <w:div w:id="1350640175">
      <w:bodyDiv w:val="1"/>
      <w:marLeft w:val="0"/>
      <w:marRight w:val="0"/>
      <w:marTop w:val="0"/>
      <w:marBottom w:val="0"/>
      <w:divBdr>
        <w:top w:val="none" w:sz="0" w:space="0" w:color="auto"/>
        <w:left w:val="none" w:sz="0" w:space="0" w:color="auto"/>
        <w:bottom w:val="none" w:sz="0" w:space="0" w:color="auto"/>
        <w:right w:val="none" w:sz="0" w:space="0" w:color="auto"/>
      </w:divBdr>
    </w:div>
    <w:div w:id="1361935878">
      <w:bodyDiv w:val="1"/>
      <w:marLeft w:val="0"/>
      <w:marRight w:val="0"/>
      <w:marTop w:val="0"/>
      <w:marBottom w:val="0"/>
      <w:divBdr>
        <w:top w:val="none" w:sz="0" w:space="0" w:color="auto"/>
        <w:left w:val="none" w:sz="0" w:space="0" w:color="auto"/>
        <w:bottom w:val="none" w:sz="0" w:space="0" w:color="auto"/>
        <w:right w:val="none" w:sz="0" w:space="0" w:color="auto"/>
      </w:divBdr>
      <w:divsChild>
        <w:div w:id="1059481337">
          <w:marLeft w:val="0"/>
          <w:marRight w:val="0"/>
          <w:marTop w:val="0"/>
          <w:marBottom w:val="0"/>
          <w:divBdr>
            <w:top w:val="single" w:sz="2" w:space="0" w:color="D9D9E3"/>
            <w:left w:val="single" w:sz="2" w:space="0" w:color="D9D9E3"/>
            <w:bottom w:val="single" w:sz="2" w:space="0" w:color="D9D9E3"/>
            <w:right w:val="single" w:sz="2" w:space="0" w:color="D9D9E3"/>
          </w:divBdr>
          <w:divsChild>
            <w:div w:id="1172840702">
              <w:marLeft w:val="0"/>
              <w:marRight w:val="0"/>
              <w:marTop w:val="0"/>
              <w:marBottom w:val="0"/>
              <w:divBdr>
                <w:top w:val="single" w:sz="2" w:space="0" w:color="D9D9E3"/>
                <w:left w:val="single" w:sz="2" w:space="0" w:color="D9D9E3"/>
                <w:bottom w:val="single" w:sz="2" w:space="0" w:color="D9D9E3"/>
                <w:right w:val="single" w:sz="2" w:space="0" w:color="D9D9E3"/>
              </w:divBdr>
              <w:divsChild>
                <w:div w:id="476340172">
                  <w:marLeft w:val="0"/>
                  <w:marRight w:val="0"/>
                  <w:marTop w:val="0"/>
                  <w:marBottom w:val="0"/>
                  <w:divBdr>
                    <w:top w:val="single" w:sz="2" w:space="0" w:color="D9D9E3"/>
                    <w:left w:val="single" w:sz="2" w:space="0" w:color="D9D9E3"/>
                    <w:bottom w:val="single" w:sz="2" w:space="0" w:color="D9D9E3"/>
                    <w:right w:val="single" w:sz="2" w:space="0" w:color="D9D9E3"/>
                  </w:divBdr>
                  <w:divsChild>
                    <w:div w:id="1749306921">
                      <w:marLeft w:val="0"/>
                      <w:marRight w:val="0"/>
                      <w:marTop w:val="0"/>
                      <w:marBottom w:val="0"/>
                      <w:divBdr>
                        <w:top w:val="single" w:sz="2" w:space="0" w:color="D9D9E3"/>
                        <w:left w:val="single" w:sz="2" w:space="0" w:color="D9D9E3"/>
                        <w:bottom w:val="single" w:sz="2" w:space="0" w:color="D9D9E3"/>
                        <w:right w:val="single" w:sz="2" w:space="0" w:color="D9D9E3"/>
                      </w:divBdr>
                      <w:divsChild>
                        <w:div w:id="10533887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59290604">
          <w:marLeft w:val="0"/>
          <w:marRight w:val="0"/>
          <w:marTop w:val="0"/>
          <w:marBottom w:val="0"/>
          <w:divBdr>
            <w:top w:val="single" w:sz="2" w:space="0" w:color="D9D9E3"/>
            <w:left w:val="single" w:sz="2" w:space="0" w:color="D9D9E3"/>
            <w:bottom w:val="single" w:sz="2" w:space="0" w:color="D9D9E3"/>
            <w:right w:val="single" w:sz="2" w:space="0" w:color="D9D9E3"/>
          </w:divBdr>
          <w:divsChild>
            <w:div w:id="332220757">
              <w:marLeft w:val="0"/>
              <w:marRight w:val="0"/>
              <w:marTop w:val="0"/>
              <w:marBottom w:val="0"/>
              <w:divBdr>
                <w:top w:val="single" w:sz="2" w:space="0" w:color="D9D9E3"/>
                <w:left w:val="single" w:sz="2" w:space="0" w:color="D9D9E3"/>
                <w:bottom w:val="single" w:sz="2" w:space="0" w:color="D9D9E3"/>
                <w:right w:val="single" w:sz="2" w:space="0" w:color="D9D9E3"/>
              </w:divBdr>
            </w:div>
            <w:div w:id="220870615">
              <w:marLeft w:val="0"/>
              <w:marRight w:val="0"/>
              <w:marTop w:val="0"/>
              <w:marBottom w:val="0"/>
              <w:divBdr>
                <w:top w:val="single" w:sz="2" w:space="0" w:color="D9D9E3"/>
                <w:left w:val="single" w:sz="2" w:space="0" w:color="D9D9E3"/>
                <w:bottom w:val="single" w:sz="2" w:space="0" w:color="D9D9E3"/>
                <w:right w:val="single" w:sz="2" w:space="0" w:color="D9D9E3"/>
              </w:divBdr>
              <w:divsChild>
                <w:div w:id="642933087">
                  <w:marLeft w:val="0"/>
                  <w:marRight w:val="0"/>
                  <w:marTop w:val="0"/>
                  <w:marBottom w:val="0"/>
                  <w:divBdr>
                    <w:top w:val="single" w:sz="2" w:space="0" w:color="D9D9E3"/>
                    <w:left w:val="single" w:sz="2" w:space="0" w:color="D9D9E3"/>
                    <w:bottom w:val="single" w:sz="2" w:space="0" w:color="D9D9E3"/>
                    <w:right w:val="single" w:sz="2" w:space="0" w:color="D9D9E3"/>
                  </w:divBdr>
                  <w:divsChild>
                    <w:div w:id="743145395">
                      <w:marLeft w:val="0"/>
                      <w:marRight w:val="0"/>
                      <w:marTop w:val="0"/>
                      <w:marBottom w:val="0"/>
                      <w:divBdr>
                        <w:top w:val="single" w:sz="2" w:space="0" w:color="D9D9E3"/>
                        <w:left w:val="single" w:sz="2" w:space="0" w:color="D9D9E3"/>
                        <w:bottom w:val="single" w:sz="2" w:space="0" w:color="D9D9E3"/>
                        <w:right w:val="single" w:sz="2" w:space="0" w:color="D9D9E3"/>
                      </w:divBdr>
                      <w:divsChild>
                        <w:div w:id="13319544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85181251">
      <w:bodyDiv w:val="1"/>
      <w:marLeft w:val="0"/>
      <w:marRight w:val="0"/>
      <w:marTop w:val="0"/>
      <w:marBottom w:val="0"/>
      <w:divBdr>
        <w:top w:val="none" w:sz="0" w:space="0" w:color="auto"/>
        <w:left w:val="none" w:sz="0" w:space="0" w:color="auto"/>
        <w:bottom w:val="none" w:sz="0" w:space="0" w:color="auto"/>
        <w:right w:val="none" w:sz="0" w:space="0" w:color="auto"/>
      </w:divBdr>
      <w:divsChild>
        <w:div w:id="1175727640">
          <w:marLeft w:val="0"/>
          <w:marRight w:val="0"/>
          <w:marTop w:val="0"/>
          <w:marBottom w:val="0"/>
          <w:divBdr>
            <w:top w:val="none" w:sz="0" w:space="0" w:color="auto"/>
            <w:left w:val="none" w:sz="0" w:space="0" w:color="auto"/>
            <w:bottom w:val="none" w:sz="0" w:space="0" w:color="auto"/>
            <w:right w:val="none" w:sz="0" w:space="0" w:color="auto"/>
          </w:divBdr>
          <w:divsChild>
            <w:div w:id="461772961">
              <w:marLeft w:val="0"/>
              <w:marRight w:val="0"/>
              <w:marTop w:val="0"/>
              <w:marBottom w:val="0"/>
              <w:divBdr>
                <w:top w:val="none" w:sz="0" w:space="0" w:color="auto"/>
                <w:left w:val="none" w:sz="0" w:space="0" w:color="auto"/>
                <w:bottom w:val="none" w:sz="0" w:space="0" w:color="auto"/>
                <w:right w:val="none" w:sz="0" w:space="0" w:color="auto"/>
              </w:divBdr>
              <w:divsChild>
                <w:div w:id="2000111501">
                  <w:marLeft w:val="0"/>
                  <w:marRight w:val="0"/>
                  <w:marTop w:val="0"/>
                  <w:marBottom w:val="0"/>
                  <w:divBdr>
                    <w:top w:val="none" w:sz="0" w:space="0" w:color="auto"/>
                    <w:left w:val="none" w:sz="0" w:space="0" w:color="auto"/>
                    <w:bottom w:val="none" w:sz="0" w:space="0" w:color="auto"/>
                    <w:right w:val="none" w:sz="0" w:space="0" w:color="auto"/>
                  </w:divBdr>
                </w:div>
              </w:divsChild>
            </w:div>
            <w:div w:id="149565178">
              <w:marLeft w:val="0"/>
              <w:marRight w:val="0"/>
              <w:marTop w:val="0"/>
              <w:marBottom w:val="0"/>
              <w:divBdr>
                <w:top w:val="none" w:sz="0" w:space="0" w:color="auto"/>
                <w:left w:val="none" w:sz="0" w:space="0" w:color="auto"/>
                <w:bottom w:val="none" w:sz="0" w:space="0" w:color="auto"/>
                <w:right w:val="none" w:sz="0" w:space="0" w:color="auto"/>
              </w:divBdr>
              <w:divsChild>
                <w:div w:id="186628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70257">
      <w:bodyDiv w:val="1"/>
      <w:marLeft w:val="0"/>
      <w:marRight w:val="0"/>
      <w:marTop w:val="0"/>
      <w:marBottom w:val="0"/>
      <w:divBdr>
        <w:top w:val="none" w:sz="0" w:space="0" w:color="auto"/>
        <w:left w:val="none" w:sz="0" w:space="0" w:color="auto"/>
        <w:bottom w:val="none" w:sz="0" w:space="0" w:color="auto"/>
        <w:right w:val="none" w:sz="0" w:space="0" w:color="auto"/>
      </w:divBdr>
      <w:divsChild>
        <w:div w:id="194076058">
          <w:marLeft w:val="0"/>
          <w:marRight w:val="0"/>
          <w:marTop w:val="0"/>
          <w:marBottom w:val="0"/>
          <w:divBdr>
            <w:top w:val="single" w:sz="2" w:space="0" w:color="D9D9E3"/>
            <w:left w:val="single" w:sz="2" w:space="0" w:color="D9D9E3"/>
            <w:bottom w:val="single" w:sz="2" w:space="0" w:color="D9D9E3"/>
            <w:right w:val="single" w:sz="2" w:space="0" w:color="D9D9E3"/>
          </w:divBdr>
          <w:divsChild>
            <w:div w:id="1298805056">
              <w:marLeft w:val="0"/>
              <w:marRight w:val="0"/>
              <w:marTop w:val="0"/>
              <w:marBottom w:val="0"/>
              <w:divBdr>
                <w:top w:val="single" w:sz="2" w:space="0" w:color="D9D9E3"/>
                <w:left w:val="single" w:sz="2" w:space="0" w:color="D9D9E3"/>
                <w:bottom w:val="single" w:sz="2" w:space="0" w:color="D9D9E3"/>
                <w:right w:val="single" w:sz="2" w:space="0" w:color="D9D9E3"/>
              </w:divBdr>
              <w:divsChild>
                <w:div w:id="1178353440">
                  <w:marLeft w:val="0"/>
                  <w:marRight w:val="0"/>
                  <w:marTop w:val="0"/>
                  <w:marBottom w:val="0"/>
                  <w:divBdr>
                    <w:top w:val="single" w:sz="2" w:space="0" w:color="D9D9E3"/>
                    <w:left w:val="single" w:sz="2" w:space="0" w:color="D9D9E3"/>
                    <w:bottom w:val="single" w:sz="2" w:space="0" w:color="D9D9E3"/>
                    <w:right w:val="single" w:sz="2" w:space="0" w:color="D9D9E3"/>
                  </w:divBdr>
                  <w:divsChild>
                    <w:div w:id="1602254531">
                      <w:marLeft w:val="0"/>
                      <w:marRight w:val="0"/>
                      <w:marTop w:val="0"/>
                      <w:marBottom w:val="0"/>
                      <w:divBdr>
                        <w:top w:val="single" w:sz="2" w:space="0" w:color="D9D9E3"/>
                        <w:left w:val="single" w:sz="2" w:space="0" w:color="D9D9E3"/>
                        <w:bottom w:val="single" w:sz="2" w:space="0" w:color="D9D9E3"/>
                        <w:right w:val="single" w:sz="2" w:space="0" w:color="D9D9E3"/>
                      </w:divBdr>
                      <w:divsChild>
                        <w:div w:id="17062521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49311774">
          <w:marLeft w:val="0"/>
          <w:marRight w:val="0"/>
          <w:marTop w:val="0"/>
          <w:marBottom w:val="0"/>
          <w:divBdr>
            <w:top w:val="single" w:sz="2" w:space="0" w:color="D9D9E3"/>
            <w:left w:val="single" w:sz="2" w:space="0" w:color="D9D9E3"/>
            <w:bottom w:val="single" w:sz="2" w:space="0" w:color="D9D9E3"/>
            <w:right w:val="single" w:sz="2" w:space="0" w:color="D9D9E3"/>
          </w:divBdr>
          <w:divsChild>
            <w:div w:id="163859650">
              <w:marLeft w:val="0"/>
              <w:marRight w:val="0"/>
              <w:marTop w:val="0"/>
              <w:marBottom w:val="0"/>
              <w:divBdr>
                <w:top w:val="single" w:sz="2" w:space="0" w:color="D9D9E3"/>
                <w:left w:val="single" w:sz="2" w:space="0" w:color="D9D9E3"/>
                <w:bottom w:val="single" w:sz="2" w:space="0" w:color="D9D9E3"/>
                <w:right w:val="single" w:sz="2" w:space="0" w:color="D9D9E3"/>
              </w:divBdr>
            </w:div>
            <w:div w:id="1881286686">
              <w:marLeft w:val="0"/>
              <w:marRight w:val="0"/>
              <w:marTop w:val="0"/>
              <w:marBottom w:val="0"/>
              <w:divBdr>
                <w:top w:val="single" w:sz="2" w:space="0" w:color="D9D9E3"/>
                <w:left w:val="single" w:sz="2" w:space="0" w:color="D9D9E3"/>
                <w:bottom w:val="single" w:sz="2" w:space="0" w:color="D9D9E3"/>
                <w:right w:val="single" w:sz="2" w:space="0" w:color="D9D9E3"/>
              </w:divBdr>
              <w:divsChild>
                <w:div w:id="924068756">
                  <w:marLeft w:val="0"/>
                  <w:marRight w:val="0"/>
                  <w:marTop w:val="0"/>
                  <w:marBottom w:val="0"/>
                  <w:divBdr>
                    <w:top w:val="single" w:sz="2" w:space="0" w:color="D9D9E3"/>
                    <w:left w:val="single" w:sz="2" w:space="0" w:color="D9D9E3"/>
                    <w:bottom w:val="single" w:sz="2" w:space="0" w:color="D9D9E3"/>
                    <w:right w:val="single" w:sz="2" w:space="0" w:color="D9D9E3"/>
                  </w:divBdr>
                  <w:divsChild>
                    <w:div w:id="914322391">
                      <w:marLeft w:val="0"/>
                      <w:marRight w:val="0"/>
                      <w:marTop w:val="0"/>
                      <w:marBottom w:val="0"/>
                      <w:divBdr>
                        <w:top w:val="single" w:sz="2" w:space="0" w:color="D9D9E3"/>
                        <w:left w:val="single" w:sz="2" w:space="0" w:color="D9D9E3"/>
                        <w:bottom w:val="single" w:sz="2" w:space="0" w:color="D9D9E3"/>
                        <w:right w:val="single" w:sz="2" w:space="0" w:color="D9D9E3"/>
                      </w:divBdr>
                      <w:divsChild>
                        <w:div w:id="12834646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30196482">
      <w:bodyDiv w:val="1"/>
      <w:marLeft w:val="0"/>
      <w:marRight w:val="0"/>
      <w:marTop w:val="0"/>
      <w:marBottom w:val="0"/>
      <w:divBdr>
        <w:top w:val="none" w:sz="0" w:space="0" w:color="auto"/>
        <w:left w:val="none" w:sz="0" w:space="0" w:color="auto"/>
        <w:bottom w:val="none" w:sz="0" w:space="0" w:color="auto"/>
        <w:right w:val="none" w:sz="0" w:space="0" w:color="auto"/>
      </w:divBdr>
    </w:div>
    <w:div w:id="1452086473">
      <w:bodyDiv w:val="1"/>
      <w:marLeft w:val="0"/>
      <w:marRight w:val="0"/>
      <w:marTop w:val="0"/>
      <w:marBottom w:val="0"/>
      <w:divBdr>
        <w:top w:val="none" w:sz="0" w:space="0" w:color="auto"/>
        <w:left w:val="none" w:sz="0" w:space="0" w:color="auto"/>
        <w:bottom w:val="none" w:sz="0" w:space="0" w:color="auto"/>
        <w:right w:val="none" w:sz="0" w:space="0" w:color="auto"/>
      </w:divBdr>
    </w:div>
    <w:div w:id="1473058642">
      <w:bodyDiv w:val="1"/>
      <w:marLeft w:val="0"/>
      <w:marRight w:val="0"/>
      <w:marTop w:val="0"/>
      <w:marBottom w:val="0"/>
      <w:divBdr>
        <w:top w:val="none" w:sz="0" w:space="0" w:color="auto"/>
        <w:left w:val="none" w:sz="0" w:space="0" w:color="auto"/>
        <w:bottom w:val="none" w:sz="0" w:space="0" w:color="auto"/>
        <w:right w:val="none" w:sz="0" w:space="0" w:color="auto"/>
      </w:divBdr>
      <w:divsChild>
        <w:div w:id="1617518170">
          <w:marLeft w:val="0"/>
          <w:marRight w:val="0"/>
          <w:marTop w:val="0"/>
          <w:marBottom w:val="0"/>
          <w:divBdr>
            <w:top w:val="none" w:sz="0" w:space="0" w:color="auto"/>
            <w:left w:val="none" w:sz="0" w:space="0" w:color="auto"/>
            <w:bottom w:val="none" w:sz="0" w:space="0" w:color="auto"/>
            <w:right w:val="none" w:sz="0" w:space="0" w:color="auto"/>
          </w:divBdr>
          <w:divsChild>
            <w:div w:id="1235775662">
              <w:marLeft w:val="0"/>
              <w:marRight w:val="0"/>
              <w:marTop w:val="0"/>
              <w:marBottom w:val="0"/>
              <w:divBdr>
                <w:top w:val="none" w:sz="0" w:space="0" w:color="auto"/>
                <w:left w:val="none" w:sz="0" w:space="0" w:color="auto"/>
                <w:bottom w:val="none" w:sz="0" w:space="0" w:color="auto"/>
                <w:right w:val="none" w:sz="0" w:space="0" w:color="auto"/>
              </w:divBdr>
              <w:divsChild>
                <w:div w:id="72171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82133">
      <w:bodyDiv w:val="1"/>
      <w:marLeft w:val="0"/>
      <w:marRight w:val="0"/>
      <w:marTop w:val="0"/>
      <w:marBottom w:val="0"/>
      <w:divBdr>
        <w:top w:val="none" w:sz="0" w:space="0" w:color="auto"/>
        <w:left w:val="none" w:sz="0" w:space="0" w:color="auto"/>
        <w:bottom w:val="none" w:sz="0" w:space="0" w:color="auto"/>
        <w:right w:val="none" w:sz="0" w:space="0" w:color="auto"/>
      </w:divBdr>
    </w:div>
    <w:div w:id="1788743302">
      <w:bodyDiv w:val="1"/>
      <w:marLeft w:val="0"/>
      <w:marRight w:val="0"/>
      <w:marTop w:val="0"/>
      <w:marBottom w:val="0"/>
      <w:divBdr>
        <w:top w:val="none" w:sz="0" w:space="0" w:color="auto"/>
        <w:left w:val="none" w:sz="0" w:space="0" w:color="auto"/>
        <w:bottom w:val="none" w:sz="0" w:space="0" w:color="auto"/>
        <w:right w:val="none" w:sz="0" w:space="0" w:color="auto"/>
      </w:divBdr>
    </w:div>
    <w:div w:id="1917470961">
      <w:bodyDiv w:val="1"/>
      <w:marLeft w:val="0"/>
      <w:marRight w:val="0"/>
      <w:marTop w:val="0"/>
      <w:marBottom w:val="0"/>
      <w:divBdr>
        <w:top w:val="none" w:sz="0" w:space="0" w:color="auto"/>
        <w:left w:val="none" w:sz="0" w:space="0" w:color="auto"/>
        <w:bottom w:val="none" w:sz="0" w:space="0" w:color="auto"/>
        <w:right w:val="none" w:sz="0" w:space="0" w:color="auto"/>
      </w:divBdr>
    </w:div>
    <w:div w:id="2025397334">
      <w:bodyDiv w:val="1"/>
      <w:marLeft w:val="0"/>
      <w:marRight w:val="0"/>
      <w:marTop w:val="0"/>
      <w:marBottom w:val="0"/>
      <w:divBdr>
        <w:top w:val="none" w:sz="0" w:space="0" w:color="auto"/>
        <w:left w:val="none" w:sz="0" w:space="0" w:color="auto"/>
        <w:bottom w:val="none" w:sz="0" w:space="0" w:color="auto"/>
        <w:right w:val="none" w:sz="0" w:space="0" w:color="auto"/>
      </w:divBdr>
    </w:div>
    <w:div w:id="2031448874">
      <w:bodyDiv w:val="1"/>
      <w:marLeft w:val="0"/>
      <w:marRight w:val="0"/>
      <w:marTop w:val="0"/>
      <w:marBottom w:val="0"/>
      <w:divBdr>
        <w:top w:val="none" w:sz="0" w:space="0" w:color="auto"/>
        <w:left w:val="none" w:sz="0" w:space="0" w:color="auto"/>
        <w:bottom w:val="none" w:sz="0" w:space="0" w:color="auto"/>
        <w:right w:val="none" w:sz="0" w:space="0" w:color="auto"/>
      </w:divBdr>
    </w:div>
    <w:div w:id="2083478352">
      <w:bodyDiv w:val="1"/>
      <w:marLeft w:val="0"/>
      <w:marRight w:val="0"/>
      <w:marTop w:val="0"/>
      <w:marBottom w:val="0"/>
      <w:divBdr>
        <w:top w:val="none" w:sz="0" w:space="0" w:color="auto"/>
        <w:left w:val="none" w:sz="0" w:space="0" w:color="auto"/>
        <w:bottom w:val="none" w:sz="0" w:space="0" w:color="auto"/>
        <w:right w:val="none" w:sz="0" w:space="0" w:color="auto"/>
      </w:divBdr>
      <w:divsChild>
        <w:div w:id="2095081099">
          <w:marLeft w:val="0"/>
          <w:marRight w:val="0"/>
          <w:marTop w:val="0"/>
          <w:marBottom w:val="0"/>
          <w:divBdr>
            <w:top w:val="none" w:sz="0" w:space="0" w:color="auto"/>
            <w:left w:val="none" w:sz="0" w:space="0" w:color="auto"/>
            <w:bottom w:val="none" w:sz="0" w:space="0" w:color="auto"/>
            <w:right w:val="none" w:sz="0" w:space="0" w:color="auto"/>
          </w:divBdr>
          <w:divsChild>
            <w:div w:id="2144107552">
              <w:marLeft w:val="0"/>
              <w:marRight w:val="0"/>
              <w:marTop w:val="0"/>
              <w:marBottom w:val="0"/>
              <w:divBdr>
                <w:top w:val="none" w:sz="0" w:space="0" w:color="auto"/>
                <w:left w:val="none" w:sz="0" w:space="0" w:color="auto"/>
                <w:bottom w:val="none" w:sz="0" w:space="0" w:color="auto"/>
                <w:right w:val="none" w:sz="0" w:space="0" w:color="auto"/>
              </w:divBdr>
              <w:divsChild>
                <w:div w:id="20272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63809">
      <w:bodyDiv w:val="1"/>
      <w:marLeft w:val="0"/>
      <w:marRight w:val="0"/>
      <w:marTop w:val="0"/>
      <w:marBottom w:val="0"/>
      <w:divBdr>
        <w:top w:val="none" w:sz="0" w:space="0" w:color="auto"/>
        <w:left w:val="none" w:sz="0" w:space="0" w:color="auto"/>
        <w:bottom w:val="none" w:sz="0" w:space="0" w:color="auto"/>
        <w:right w:val="none" w:sz="0" w:space="0" w:color="auto"/>
      </w:divBdr>
      <w:divsChild>
        <w:div w:id="497889977">
          <w:marLeft w:val="0"/>
          <w:marRight w:val="0"/>
          <w:marTop w:val="0"/>
          <w:marBottom w:val="0"/>
          <w:divBdr>
            <w:top w:val="none" w:sz="0" w:space="0" w:color="auto"/>
            <w:left w:val="none" w:sz="0" w:space="0" w:color="auto"/>
            <w:bottom w:val="none" w:sz="0" w:space="0" w:color="auto"/>
            <w:right w:val="none" w:sz="0" w:space="0" w:color="auto"/>
          </w:divBdr>
          <w:divsChild>
            <w:div w:id="885291965">
              <w:marLeft w:val="0"/>
              <w:marRight w:val="0"/>
              <w:marTop w:val="0"/>
              <w:marBottom w:val="0"/>
              <w:divBdr>
                <w:top w:val="none" w:sz="0" w:space="0" w:color="auto"/>
                <w:left w:val="none" w:sz="0" w:space="0" w:color="auto"/>
                <w:bottom w:val="none" w:sz="0" w:space="0" w:color="auto"/>
                <w:right w:val="none" w:sz="0" w:space="0" w:color="auto"/>
              </w:divBdr>
              <w:divsChild>
                <w:div w:id="189504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C:\Users\marinakisk\KOSTAS-10 July 2017\books\book proposals\Computer Aided Chemical Engineering\Instructions\Chapter.dotx</Template>
  <TotalTime>0</TotalTime>
  <Pages>6</Pages>
  <Words>2574</Words>
  <Characters>14673</Characters>
  <Application>Microsoft Office Word</Application>
  <DocSecurity>0</DocSecurity>
  <Lines>122</Lines>
  <Paragraphs>34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Arthur Waeber</cp:lastModifiedBy>
  <cp:revision>2</cp:revision>
  <cp:lastPrinted>2023-11-30T21:12:00Z</cp:lastPrinted>
  <dcterms:created xsi:type="dcterms:W3CDTF">2023-12-19T09:14:00Z</dcterms:created>
  <dcterms:modified xsi:type="dcterms:W3CDTF">2023-12-19T09:14:00Z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