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4A40292" w:rsidR="00DD3D9E" w:rsidRPr="00B4388F" w:rsidRDefault="00F65AD7">
      <w:pPr>
        <w:pStyle w:val="Els-Title"/>
        <w:rPr>
          <w:color w:val="000000" w:themeColor="text1"/>
        </w:rPr>
      </w:pPr>
      <w:r w:rsidRPr="00545F45">
        <w:rPr>
          <w:sz w:val="28"/>
          <w:szCs w:val="28"/>
        </w:rPr>
        <w:t>Coupling Electrodialysis with bipolar membranes with renewable energies through advanced control strategies</w:t>
      </w:r>
    </w:p>
    <w:p w14:paraId="74F53526" w14:textId="644219EB" w:rsidR="00F65AD7" w:rsidRPr="00F65AD7" w:rsidRDefault="00F65AD7">
      <w:pPr>
        <w:pStyle w:val="Els-Affiliation"/>
        <w:rPr>
          <w:i w:val="0"/>
          <w:iCs/>
          <w:vertAlign w:val="superscript"/>
          <w:lang w:val="it-IT"/>
        </w:rPr>
      </w:pPr>
      <w:r w:rsidRPr="00F65AD7">
        <w:rPr>
          <w:i w:val="0"/>
          <w:iCs/>
          <w:lang w:val="it-IT"/>
        </w:rPr>
        <w:t>Calogero Cassaro</w:t>
      </w:r>
      <w:r w:rsidRPr="00F65AD7">
        <w:rPr>
          <w:i w:val="0"/>
          <w:iCs/>
          <w:vertAlign w:val="superscript"/>
          <w:lang w:val="it-IT"/>
        </w:rPr>
        <w:t>a</w:t>
      </w:r>
      <w:r w:rsidRPr="00F65AD7">
        <w:rPr>
          <w:i w:val="0"/>
          <w:iCs/>
          <w:lang w:val="it-IT"/>
        </w:rPr>
        <w:t>, Giovanni Virruso</w:t>
      </w:r>
      <w:r w:rsidRPr="00F65AD7">
        <w:rPr>
          <w:i w:val="0"/>
          <w:iCs/>
          <w:vertAlign w:val="superscript"/>
          <w:lang w:val="it-IT"/>
        </w:rPr>
        <w:t>a</w:t>
      </w:r>
      <w:r w:rsidRPr="00F65AD7">
        <w:rPr>
          <w:i w:val="0"/>
          <w:iCs/>
          <w:lang w:val="it-IT"/>
        </w:rPr>
        <w:t>, Andrea Cipollina</w:t>
      </w:r>
      <w:r w:rsidRPr="00F65AD7">
        <w:rPr>
          <w:i w:val="0"/>
          <w:iCs/>
          <w:vertAlign w:val="superscript"/>
          <w:lang w:val="it-IT"/>
        </w:rPr>
        <w:t>a,b*</w:t>
      </w:r>
      <w:r w:rsidRPr="00F65AD7">
        <w:rPr>
          <w:i w:val="0"/>
          <w:iCs/>
          <w:lang w:val="it-IT"/>
        </w:rPr>
        <w:t>, Adriano Fagiolini</w:t>
      </w:r>
      <w:r w:rsidRPr="00F65AD7">
        <w:rPr>
          <w:i w:val="0"/>
          <w:iCs/>
          <w:vertAlign w:val="superscript"/>
          <w:lang w:val="it-IT"/>
        </w:rPr>
        <w:t>a</w:t>
      </w:r>
      <w:r w:rsidRPr="00F65AD7">
        <w:rPr>
          <w:i w:val="0"/>
          <w:iCs/>
          <w:lang w:val="it-IT"/>
        </w:rPr>
        <w:t>, Alessandro Tamburini</w:t>
      </w:r>
      <w:r w:rsidRPr="00F65AD7">
        <w:rPr>
          <w:i w:val="0"/>
          <w:iCs/>
          <w:vertAlign w:val="superscript"/>
          <w:lang w:val="it-IT"/>
        </w:rPr>
        <w:t>a,b</w:t>
      </w:r>
      <w:r w:rsidRPr="00F65AD7">
        <w:rPr>
          <w:i w:val="0"/>
          <w:iCs/>
          <w:lang w:val="it-IT"/>
        </w:rPr>
        <w:t>, Giorgio Micale</w:t>
      </w:r>
      <w:r w:rsidRPr="00F65AD7">
        <w:rPr>
          <w:i w:val="0"/>
          <w:iCs/>
          <w:vertAlign w:val="superscript"/>
          <w:lang w:val="it-IT"/>
        </w:rPr>
        <w:t>a,b</w:t>
      </w:r>
    </w:p>
    <w:p w14:paraId="144DE681" w14:textId="4503BD67" w:rsidR="00DD3D9E" w:rsidRPr="00F65AD7" w:rsidRDefault="00F65AD7">
      <w:pPr>
        <w:pStyle w:val="Els-Affiliation"/>
        <w:rPr>
          <w:sz w:val="16"/>
          <w:szCs w:val="16"/>
          <w:lang w:val="it-IT"/>
        </w:rPr>
      </w:pPr>
      <w:r w:rsidRPr="00F65AD7">
        <w:rPr>
          <w:iCs/>
          <w:vertAlign w:val="superscript"/>
          <w:lang w:val="it-IT"/>
        </w:rPr>
        <w:t>a</w:t>
      </w:r>
      <w:r w:rsidRPr="00F65AD7">
        <w:rPr>
          <w:iCs/>
          <w:lang w:val="it-IT"/>
        </w:rPr>
        <w:t>Dipartimento di ingegneria, Università degli studi di Palermo, Viale delle scienze Ed. 6, Palermo, 90128, Italy</w:t>
      </w:r>
    </w:p>
    <w:p w14:paraId="144DE682" w14:textId="07E64DDE" w:rsidR="00DD3D9E" w:rsidRPr="00F65AD7" w:rsidRDefault="00F65AD7" w:rsidP="00F65AD7">
      <w:pPr>
        <w:pStyle w:val="Paragrafoelenco"/>
        <w:ind w:left="0" w:right="-29"/>
        <w:rPr>
          <w:rFonts w:ascii="Times New Roman" w:hAnsi="Times New Roman" w:cs="Times New Roman"/>
          <w:i/>
          <w:sz w:val="20"/>
          <w:szCs w:val="20"/>
        </w:rPr>
      </w:pPr>
      <w:proofErr w:type="spellStart"/>
      <w:r w:rsidRPr="00F65AD7">
        <w:rPr>
          <w:rFonts w:ascii="Times New Roman" w:hAnsi="Times New Roman" w:cs="Times New Roman"/>
          <w:i/>
          <w:sz w:val="20"/>
          <w:szCs w:val="20"/>
          <w:vertAlign w:val="superscript"/>
        </w:rPr>
        <w:t>b</w:t>
      </w:r>
      <w:r w:rsidRPr="00F65AD7">
        <w:rPr>
          <w:rFonts w:ascii="Times New Roman" w:hAnsi="Times New Roman" w:cs="Times New Roman"/>
          <w:i/>
          <w:sz w:val="20"/>
          <w:szCs w:val="20"/>
        </w:rPr>
        <w:t>ResourSEAs</w:t>
      </w:r>
      <w:proofErr w:type="spellEnd"/>
      <w:r w:rsidRPr="00F65AD7">
        <w:rPr>
          <w:rFonts w:ascii="Times New Roman" w:hAnsi="Times New Roman" w:cs="Times New Roman"/>
          <w:i/>
          <w:sz w:val="20"/>
          <w:szCs w:val="20"/>
        </w:rPr>
        <w:t xml:space="preserve"> </w:t>
      </w:r>
      <w:proofErr w:type="spellStart"/>
      <w:r w:rsidRPr="00F65AD7">
        <w:rPr>
          <w:rFonts w:ascii="Times New Roman" w:hAnsi="Times New Roman" w:cs="Times New Roman"/>
          <w:i/>
          <w:sz w:val="20"/>
          <w:szCs w:val="20"/>
        </w:rPr>
        <w:t>srl</w:t>
      </w:r>
      <w:proofErr w:type="spellEnd"/>
      <w:r w:rsidRPr="00F65AD7">
        <w:rPr>
          <w:rFonts w:ascii="Times New Roman" w:hAnsi="Times New Roman" w:cs="Times New Roman"/>
          <w:i/>
          <w:sz w:val="20"/>
          <w:szCs w:val="20"/>
        </w:rPr>
        <w:t>, Palermo, Italy</w:t>
      </w:r>
    </w:p>
    <w:p w14:paraId="20268A7A" w14:textId="77777777" w:rsidR="00F65AD7" w:rsidRPr="00F65AD7" w:rsidRDefault="00F65AD7" w:rsidP="00F65AD7">
      <w:pPr>
        <w:pStyle w:val="Paragrafoelenco"/>
        <w:spacing w:line="480" w:lineRule="auto"/>
        <w:ind w:left="0"/>
        <w:rPr>
          <w:rFonts w:ascii="Times New Roman" w:eastAsia="Times New Roman" w:hAnsi="Times New Roman" w:cs="Times New Roman"/>
          <w:i/>
          <w:iCs/>
          <w:color w:val="0000FF" w:themeColor="hyperlink"/>
          <w:sz w:val="20"/>
          <w:szCs w:val="20"/>
          <w:u w:val="single"/>
        </w:rPr>
      </w:pPr>
      <w:r w:rsidRPr="00F65AD7">
        <w:rPr>
          <w:rFonts w:ascii="Times New Roman" w:eastAsia="Times New Roman" w:hAnsi="Times New Roman" w:cs="Times New Roman"/>
          <w:i/>
          <w:iCs/>
          <w:sz w:val="20"/>
          <w:szCs w:val="20"/>
        </w:rPr>
        <w:t>*</w:t>
      </w:r>
      <w:proofErr w:type="gramStart"/>
      <w:r w:rsidRPr="00F65AD7">
        <w:rPr>
          <w:rFonts w:ascii="Times New Roman" w:eastAsia="Times New Roman" w:hAnsi="Times New Roman" w:cs="Times New Roman"/>
          <w:i/>
          <w:iCs/>
          <w:sz w:val="20"/>
          <w:szCs w:val="20"/>
        </w:rPr>
        <w:t>corresponding</w:t>
      </w:r>
      <w:proofErr w:type="gramEnd"/>
      <w:r w:rsidRPr="00F65AD7">
        <w:rPr>
          <w:rFonts w:ascii="Times New Roman" w:eastAsia="Times New Roman" w:hAnsi="Times New Roman" w:cs="Times New Roman"/>
          <w:i/>
          <w:iCs/>
          <w:sz w:val="20"/>
          <w:szCs w:val="20"/>
        </w:rPr>
        <w:t xml:space="preserve"> author: </w:t>
      </w:r>
      <w:hyperlink r:id="rId11" w:history="1">
        <w:r w:rsidRPr="00F65AD7">
          <w:rPr>
            <w:rStyle w:val="Collegamentoipertestuale"/>
            <w:rFonts w:ascii="Times New Roman" w:eastAsia="Times New Roman" w:hAnsi="Times New Roman" w:cs="Times New Roman"/>
            <w:i/>
            <w:iCs/>
            <w:sz w:val="20"/>
            <w:szCs w:val="20"/>
          </w:rPr>
          <w:t>andrea.cipollina@unipa.it</w:t>
        </w:r>
      </w:hyperlink>
    </w:p>
    <w:p w14:paraId="144DE684" w14:textId="77777777" w:rsidR="008D2649" w:rsidRDefault="008D2649" w:rsidP="008D2649">
      <w:pPr>
        <w:pStyle w:val="Els-Abstract"/>
      </w:pPr>
      <w:r>
        <w:t>Abstract</w:t>
      </w:r>
    </w:p>
    <w:p w14:paraId="0D4BE6D7" w14:textId="1ACBA805" w:rsidR="0056435D" w:rsidRDefault="000350B4" w:rsidP="0056435D">
      <w:pPr>
        <w:jc w:val="both"/>
        <w:rPr>
          <w:lang w:val="en-US"/>
        </w:rPr>
      </w:pPr>
      <w:r>
        <w:rPr>
          <w:lang w:val="en-US"/>
        </w:rPr>
        <w:t>Recently</w:t>
      </w:r>
      <w:r w:rsidR="00602370">
        <w:rPr>
          <w:lang w:val="en-US"/>
        </w:rPr>
        <w:t>,</w:t>
      </w:r>
      <w:r>
        <w:rPr>
          <w:lang w:val="en-US"/>
        </w:rPr>
        <w:t xml:space="preserve"> </w:t>
      </w:r>
      <w:r w:rsidR="00963C46">
        <w:rPr>
          <w:lang w:val="en-US"/>
        </w:rPr>
        <w:t>EU</w:t>
      </w:r>
      <w:r>
        <w:rPr>
          <w:lang w:val="en-US"/>
        </w:rPr>
        <w:t xml:space="preserve"> </w:t>
      </w:r>
      <w:r w:rsidR="00F057BF">
        <w:rPr>
          <w:lang w:val="en-US"/>
        </w:rPr>
        <w:t xml:space="preserve">is </w:t>
      </w:r>
      <w:r w:rsidR="00602370">
        <w:rPr>
          <w:lang w:val="en-US"/>
        </w:rPr>
        <w:t xml:space="preserve">directing its priorities </w:t>
      </w:r>
      <w:r w:rsidR="00835D1C">
        <w:rPr>
          <w:lang w:val="en-US"/>
        </w:rPr>
        <w:t xml:space="preserve">to </w:t>
      </w:r>
      <w:r w:rsidR="00A47B66">
        <w:rPr>
          <w:lang w:val="en-US"/>
        </w:rPr>
        <w:t xml:space="preserve">the implementation of </w:t>
      </w:r>
      <w:r w:rsidR="00F43A4C">
        <w:rPr>
          <w:lang w:val="en-US"/>
        </w:rPr>
        <w:t xml:space="preserve">innovative </w:t>
      </w:r>
      <w:r w:rsidR="00766EC6">
        <w:rPr>
          <w:lang w:val="en-US"/>
        </w:rPr>
        <w:t xml:space="preserve">strategies </w:t>
      </w:r>
      <w:r w:rsidR="00963C46">
        <w:rPr>
          <w:lang w:val="en-US"/>
        </w:rPr>
        <w:t xml:space="preserve">for waste </w:t>
      </w:r>
      <w:proofErr w:type="spellStart"/>
      <w:r w:rsidR="00F43A4C">
        <w:rPr>
          <w:lang w:val="en-US"/>
        </w:rPr>
        <w:t>valorisation</w:t>
      </w:r>
      <w:proofErr w:type="spellEnd"/>
      <w:r w:rsidR="00F43A4C">
        <w:rPr>
          <w:lang w:val="en-US"/>
        </w:rPr>
        <w:t xml:space="preserve"> and smart use </w:t>
      </w:r>
      <w:r w:rsidR="00693436">
        <w:rPr>
          <w:lang w:val="en-US"/>
        </w:rPr>
        <w:t>of energy</w:t>
      </w:r>
      <w:r w:rsidR="00C8014A">
        <w:rPr>
          <w:lang w:val="en-US"/>
        </w:rPr>
        <w:t xml:space="preserve">, </w:t>
      </w:r>
      <w:r w:rsidR="00963C46">
        <w:rPr>
          <w:lang w:val="en-US"/>
        </w:rPr>
        <w:t>pushing towards</w:t>
      </w:r>
      <w:r w:rsidR="0056435D" w:rsidRPr="00F25346">
        <w:rPr>
          <w:lang w:val="en-US"/>
        </w:rPr>
        <w:t xml:space="preserve"> ecological transition</w:t>
      </w:r>
      <w:r w:rsidR="00E96BE5">
        <w:rPr>
          <w:lang w:val="en-US"/>
        </w:rPr>
        <w:t>.</w:t>
      </w:r>
      <w:r w:rsidR="0056435D" w:rsidRPr="00F25346">
        <w:rPr>
          <w:lang w:val="en-US"/>
        </w:rPr>
        <w:t xml:space="preserve"> Powering water treatment technologies with renewable energies, using the process buffering capacity </w:t>
      </w:r>
      <w:proofErr w:type="gramStart"/>
      <w:r w:rsidR="0056435D" w:rsidRPr="00F25346">
        <w:rPr>
          <w:lang w:val="en-US"/>
        </w:rPr>
        <w:t>as a way to</w:t>
      </w:r>
      <w:proofErr w:type="gramEnd"/>
      <w:r w:rsidR="0056435D" w:rsidRPr="00F25346">
        <w:rPr>
          <w:lang w:val="en-US"/>
        </w:rPr>
        <w:t xml:space="preserve"> indirectly store energy</w:t>
      </w:r>
      <w:r w:rsidR="00963C46">
        <w:rPr>
          <w:lang w:val="en-US"/>
        </w:rPr>
        <w:t>,</w:t>
      </w:r>
      <w:r w:rsidR="0056435D" w:rsidRPr="00F25346">
        <w:rPr>
          <w:lang w:val="en-US"/>
        </w:rPr>
        <w:t xml:space="preserve"> has been recently proposed as an effective strategy for smart energy use. With this respect, electrodialysis with bipolar membranes (EDBM) can be particularly suitable due to the high energy intensity</w:t>
      </w:r>
      <w:r w:rsidR="0056435D">
        <w:rPr>
          <w:lang w:val="en-US"/>
        </w:rPr>
        <w:t>,</w:t>
      </w:r>
      <w:r w:rsidR="0056435D" w:rsidRPr="00F25346">
        <w:rPr>
          <w:lang w:val="en-US"/>
        </w:rPr>
        <w:t xml:space="preserve"> coupled with an extreme flexibility </w:t>
      </w:r>
      <w:r w:rsidR="00963C46">
        <w:rPr>
          <w:lang w:val="en-US"/>
        </w:rPr>
        <w:t>of its operational modes</w:t>
      </w:r>
      <w:r w:rsidR="0056435D" w:rsidRPr="00F25346">
        <w:rPr>
          <w:lang w:val="en-US"/>
        </w:rPr>
        <w:t>. EDBM is an electro</w:t>
      </w:r>
      <w:r w:rsidR="00963C46">
        <w:rPr>
          <w:lang w:val="en-US"/>
        </w:rPr>
        <w:t>-</w:t>
      </w:r>
      <w:r w:rsidR="0056435D" w:rsidRPr="00F25346">
        <w:rPr>
          <w:lang w:val="en-US"/>
        </w:rPr>
        <w:t xml:space="preserve">membrane process able to convert </w:t>
      </w:r>
      <w:r w:rsidR="00835D1C">
        <w:rPr>
          <w:lang w:val="en-US"/>
        </w:rPr>
        <w:t>saline wastewater</w:t>
      </w:r>
      <w:r w:rsidR="0056435D" w:rsidRPr="00F25346">
        <w:rPr>
          <w:lang w:val="en-US"/>
        </w:rPr>
        <w:t xml:space="preserve"> into </w:t>
      </w:r>
      <w:r w:rsidR="00835D1C">
        <w:rPr>
          <w:lang w:val="en-US"/>
        </w:rPr>
        <w:t xml:space="preserve">valuable </w:t>
      </w:r>
      <w:r w:rsidR="0056435D" w:rsidRPr="00F25346">
        <w:rPr>
          <w:lang w:val="en-US"/>
        </w:rPr>
        <w:t xml:space="preserve">products such as acids and bases, simply </w:t>
      </w:r>
      <w:r w:rsidR="00835D1C">
        <w:rPr>
          <w:lang w:val="en-US"/>
        </w:rPr>
        <w:t>by supplying</w:t>
      </w:r>
      <w:r w:rsidR="0056435D" w:rsidRPr="00F25346">
        <w:rPr>
          <w:lang w:val="en-US"/>
        </w:rPr>
        <w:t xml:space="preserve"> electric power. This work </w:t>
      </w:r>
      <w:r w:rsidR="00312423">
        <w:rPr>
          <w:lang w:val="en-US"/>
        </w:rPr>
        <w:t>was</w:t>
      </w:r>
      <w:r w:rsidR="0056435D" w:rsidRPr="00F25346">
        <w:rPr>
          <w:lang w:val="en-US"/>
        </w:rPr>
        <w:t xml:space="preserve"> focused on the development of advanced control</w:t>
      </w:r>
      <w:r w:rsidR="0056435D" w:rsidRPr="00AD4E6A">
        <w:rPr>
          <w:lang w:val="en-US"/>
        </w:rPr>
        <w:t xml:space="preserve"> systems allow</w:t>
      </w:r>
      <w:r w:rsidR="0056435D">
        <w:rPr>
          <w:lang w:val="en-US"/>
        </w:rPr>
        <w:t>ing</w:t>
      </w:r>
      <w:r w:rsidR="0056435D" w:rsidRPr="00AD4E6A">
        <w:rPr>
          <w:lang w:val="en-US"/>
        </w:rPr>
        <w:t xml:space="preserve"> EDBM to </w:t>
      </w:r>
      <w:r w:rsidR="0056435D">
        <w:rPr>
          <w:lang w:val="en-US"/>
        </w:rPr>
        <w:t xml:space="preserve">operate under transitory regimes following the </w:t>
      </w:r>
      <w:r w:rsidR="0056435D" w:rsidRPr="00AD4E6A">
        <w:rPr>
          <w:lang w:val="en-US"/>
        </w:rPr>
        <w:t xml:space="preserve">highly variable trend </w:t>
      </w:r>
      <w:r w:rsidR="0056435D">
        <w:rPr>
          <w:lang w:val="en-US"/>
        </w:rPr>
        <w:t xml:space="preserve">of renewable energy availability, adapting </w:t>
      </w:r>
      <w:r w:rsidR="0056435D" w:rsidRPr="00AD4E6A">
        <w:rPr>
          <w:lang w:val="en-US"/>
        </w:rPr>
        <w:t xml:space="preserve">the operating conditions and the process targets according to the </w:t>
      </w:r>
      <w:r w:rsidR="0056435D">
        <w:rPr>
          <w:lang w:val="en-US"/>
        </w:rPr>
        <w:t>variable power input offered</w:t>
      </w:r>
      <w:r w:rsidR="0056435D" w:rsidRPr="00AD4E6A">
        <w:rPr>
          <w:lang w:val="en-US"/>
        </w:rPr>
        <w:t xml:space="preserve"> during a </w:t>
      </w:r>
      <w:r w:rsidR="00963C46">
        <w:rPr>
          <w:lang w:val="en-US"/>
        </w:rPr>
        <w:t>normal</w:t>
      </w:r>
      <w:r w:rsidR="00963C46" w:rsidRPr="00AD4E6A">
        <w:rPr>
          <w:lang w:val="en-US"/>
        </w:rPr>
        <w:t xml:space="preserve"> </w:t>
      </w:r>
      <w:r w:rsidR="0056435D" w:rsidRPr="00AD4E6A">
        <w:rPr>
          <w:lang w:val="en-US"/>
        </w:rPr>
        <w:t>day.</w:t>
      </w:r>
      <w:r w:rsidR="0056435D">
        <w:rPr>
          <w:lang w:val="en-US"/>
        </w:rPr>
        <w:t xml:space="preserve"> To </w:t>
      </w:r>
      <w:r w:rsidR="00835D1C">
        <w:rPr>
          <w:lang w:val="en-US"/>
        </w:rPr>
        <w:t>this aim</w:t>
      </w:r>
      <w:r w:rsidR="0056435D">
        <w:rPr>
          <w:lang w:val="en-US"/>
        </w:rPr>
        <w:t>, a</w:t>
      </w:r>
      <w:r w:rsidR="00963C46">
        <w:rPr>
          <w:lang w:val="en-US"/>
        </w:rPr>
        <w:t xml:space="preserve"> pilot scale</w:t>
      </w:r>
      <w:r w:rsidR="0056435D">
        <w:rPr>
          <w:lang w:val="en-US"/>
        </w:rPr>
        <w:t xml:space="preserve"> EDBM </w:t>
      </w:r>
      <w:r w:rsidR="00963C46">
        <w:rPr>
          <w:lang w:val="en-US"/>
        </w:rPr>
        <w:t xml:space="preserve">unit </w:t>
      </w:r>
      <w:r w:rsidR="0056435D">
        <w:rPr>
          <w:lang w:val="en-US"/>
        </w:rPr>
        <w:t>(</w:t>
      </w:r>
      <w:r w:rsidR="0056435D" w:rsidRPr="00F25346">
        <w:rPr>
          <w:color w:val="000000"/>
          <w:lang w:val="en-US"/>
        </w:rPr>
        <w:t xml:space="preserve">provided by </w:t>
      </w:r>
      <w:proofErr w:type="spellStart"/>
      <w:r w:rsidR="0056435D" w:rsidRPr="00F25346">
        <w:rPr>
          <w:color w:val="000000"/>
          <w:lang w:val="en-US"/>
        </w:rPr>
        <w:t>FuMA</w:t>
      </w:r>
      <w:proofErr w:type="spellEnd"/>
      <w:r w:rsidR="0056435D" w:rsidRPr="00F25346">
        <w:rPr>
          <w:color w:val="000000"/>
          <w:lang w:val="en-US"/>
        </w:rPr>
        <w:t>-Tech GmbH</w:t>
      </w:r>
      <w:r w:rsidR="0056435D">
        <w:rPr>
          <w:color w:val="000000"/>
          <w:lang w:val="en-US"/>
        </w:rPr>
        <w:t>)</w:t>
      </w:r>
      <w:r w:rsidR="0056435D" w:rsidRPr="00F25346">
        <w:rPr>
          <w:color w:val="000000"/>
          <w:lang w:val="en-US"/>
        </w:rPr>
        <w:t xml:space="preserve"> </w:t>
      </w:r>
      <w:r w:rsidR="00312423">
        <w:rPr>
          <w:color w:val="000000"/>
          <w:lang w:val="en-US"/>
        </w:rPr>
        <w:t>was</w:t>
      </w:r>
      <w:r w:rsidR="0056435D" w:rsidRPr="00F25346">
        <w:rPr>
          <w:color w:val="000000"/>
          <w:lang w:val="en-US"/>
        </w:rPr>
        <w:t xml:space="preserve"> operated and tested in </w:t>
      </w:r>
      <w:proofErr w:type="gramStart"/>
      <w:r w:rsidR="0056435D" w:rsidRPr="00F25346">
        <w:rPr>
          <w:color w:val="000000"/>
          <w:lang w:val="en-US"/>
        </w:rPr>
        <w:t xml:space="preserve">Lampedusa </w:t>
      </w:r>
      <w:r w:rsidR="00312423">
        <w:rPr>
          <w:color w:val="000000"/>
          <w:lang w:val="en-US"/>
        </w:rPr>
        <w:t>island</w:t>
      </w:r>
      <w:proofErr w:type="gramEnd"/>
      <w:r w:rsidR="00312423">
        <w:rPr>
          <w:color w:val="000000"/>
          <w:lang w:val="en-US"/>
        </w:rPr>
        <w:t xml:space="preserve"> (Italy) </w:t>
      </w:r>
      <w:r w:rsidR="0056435D">
        <w:rPr>
          <w:color w:val="000000"/>
          <w:lang w:val="en-US"/>
        </w:rPr>
        <w:t xml:space="preserve">in feed </w:t>
      </w:r>
      <w:r w:rsidR="00A72B8D">
        <w:rPr>
          <w:color w:val="000000"/>
          <w:lang w:val="en-US"/>
        </w:rPr>
        <w:t>and</w:t>
      </w:r>
      <w:r w:rsidR="00963C46">
        <w:rPr>
          <w:color w:val="000000"/>
          <w:lang w:val="en-US"/>
        </w:rPr>
        <w:t xml:space="preserve"> </w:t>
      </w:r>
      <w:r w:rsidR="0056435D">
        <w:rPr>
          <w:color w:val="000000"/>
          <w:lang w:val="en-US"/>
        </w:rPr>
        <w:t>bleed</w:t>
      </w:r>
      <w:r w:rsidR="00963C46">
        <w:rPr>
          <w:color w:val="000000"/>
          <w:lang w:val="en-US"/>
        </w:rPr>
        <w:t xml:space="preserve"> configuration</w:t>
      </w:r>
      <w:r w:rsidR="0056435D">
        <w:rPr>
          <w:color w:val="000000"/>
          <w:lang w:val="en-US"/>
        </w:rPr>
        <w:t xml:space="preserve"> under two different </w:t>
      </w:r>
      <w:r w:rsidR="00835D1C">
        <w:rPr>
          <w:color w:val="000000"/>
          <w:lang w:val="en-US"/>
        </w:rPr>
        <w:t>scenarios</w:t>
      </w:r>
      <w:r w:rsidR="00963C46">
        <w:rPr>
          <w:color w:val="000000"/>
          <w:lang w:val="en-US"/>
        </w:rPr>
        <w:t xml:space="preserve"> </w:t>
      </w:r>
      <w:r w:rsidR="0056435D">
        <w:rPr>
          <w:color w:val="000000"/>
          <w:lang w:val="en-US"/>
        </w:rPr>
        <w:t xml:space="preserve">(summer and winter) at </w:t>
      </w:r>
      <w:r w:rsidR="00835D1C">
        <w:rPr>
          <w:color w:val="000000"/>
          <w:lang w:val="en-US"/>
        </w:rPr>
        <w:t xml:space="preserve">a </w:t>
      </w:r>
      <w:r w:rsidR="0056435D">
        <w:rPr>
          <w:color w:val="000000"/>
          <w:lang w:val="en-US"/>
        </w:rPr>
        <w:t xml:space="preserve">fixed </w:t>
      </w:r>
      <w:r w:rsidR="00835D1C">
        <w:rPr>
          <w:color w:val="000000"/>
          <w:lang w:val="en-US"/>
        </w:rPr>
        <w:t xml:space="preserve">concentration </w:t>
      </w:r>
      <w:r w:rsidR="0056435D">
        <w:rPr>
          <w:color w:val="000000"/>
          <w:lang w:val="en-US"/>
        </w:rPr>
        <w:t xml:space="preserve">target </w:t>
      </w:r>
      <w:r w:rsidR="00835D1C">
        <w:rPr>
          <w:color w:val="000000"/>
          <w:lang w:val="en-US"/>
        </w:rPr>
        <w:t xml:space="preserve">of acids and base </w:t>
      </w:r>
      <w:r w:rsidR="0056435D">
        <w:rPr>
          <w:color w:val="000000"/>
          <w:lang w:val="en-US"/>
        </w:rPr>
        <w:t>(0.5</w:t>
      </w:r>
      <w:r w:rsidR="0096283B">
        <w:rPr>
          <w:color w:val="000000"/>
          <w:lang w:val="en-US"/>
        </w:rPr>
        <w:t xml:space="preserve"> M</w:t>
      </w:r>
      <w:r w:rsidR="0056435D">
        <w:rPr>
          <w:color w:val="000000"/>
          <w:lang w:val="en-US"/>
        </w:rPr>
        <w:t xml:space="preserve"> of NaOH an</w:t>
      </w:r>
      <w:r w:rsidR="00835D1C">
        <w:rPr>
          <w:color w:val="000000"/>
          <w:lang w:val="en-US"/>
        </w:rPr>
        <w:t>d</w:t>
      </w:r>
      <w:r w:rsidR="0056435D">
        <w:rPr>
          <w:color w:val="000000"/>
          <w:lang w:val="en-US"/>
        </w:rPr>
        <w:t xml:space="preserve"> HCl)</w:t>
      </w:r>
      <w:r w:rsidR="0056435D" w:rsidRPr="00F25346">
        <w:rPr>
          <w:color w:val="000000"/>
          <w:lang w:val="en-US"/>
        </w:rPr>
        <w:t>.</w:t>
      </w:r>
      <w:r w:rsidR="0056435D" w:rsidRPr="00AD4E6A">
        <w:rPr>
          <w:lang w:val="en-US"/>
        </w:rPr>
        <w:t xml:space="preserve"> </w:t>
      </w:r>
      <w:r w:rsidR="0056435D">
        <w:rPr>
          <w:lang w:val="en-US"/>
        </w:rPr>
        <w:t>I</w:t>
      </w:r>
      <w:r w:rsidR="0056435D" w:rsidRPr="00AD4E6A">
        <w:rPr>
          <w:lang w:val="en-US"/>
        </w:rPr>
        <w:t xml:space="preserve">n the hours of the day </w:t>
      </w:r>
      <w:r w:rsidR="0056435D">
        <w:rPr>
          <w:lang w:val="en-US"/>
        </w:rPr>
        <w:t xml:space="preserve">with </w:t>
      </w:r>
      <w:r w:rsidR="00835D1C">
        <w:rPr>
          <w:lang w:val="en-US"/>
        </w:rPr>
        <w:t xml:space="preserve">an </w:t>
      </w:r>
      <w:r w:rsidR="0056435D">
        <w:rPr>
          <w:lang w:val="en-US"/>
        </w:rPr>
        <w:t xml:space="preserve">available power higher than a minimum threshold </w:t>
      </w:r>
      <w:r w:rsidR="00835D1C">
        <w:rPr>
          <w:lang w:val="en-US"/>
        </w:rPr>
        <w:t xml:space="preserve">value </w:t>
      </w:r>
      <w:r w:rsidR="0056435D">
        <w:rPr>
          <w:lang w:val="en-US"/>
        </w:rPr>
        <w:t>(</w:t>
      </w:r>
      <w:r w:rsidR="006713A3">
        <w:rPr>
          <w:lang w:val="en-US"/>
        </w:rPr>
        <w:t>2.0</w:t>
      </w:r>
      <w:r w:rsidR="0056435D">
        <w:rPr>
          <w:lang w:val="en-US"/>
        </w:rPr>
        <w:t>-6.5 kW),</w:t>
      </w:r>
      <w:r w:rsidR="0056435D" w:rsidRPr="00AD4E6A">
        <w:rPr>
          <w:lang w:val="en-US"/>
        </w:rPr>
        <w:t xml:space="preserve"> the controller </w:t>
      </w:r>
      <w:r w:rsidR="0056435D">
        <w:rPr>
          <w:lang w:val="en-US"/>
        </w:rPr>
        <w:t xml:space="preserve">was able to </w:t>
      </w:r>
      <w:r w:rsidR="00C80101">
        <w:rPr>
          <w:lang w:val="en-US"/>
        </w:rPr>
        <w:t>keep</w:t>
      </w:r>
      <w:r w:rsidR="00835D1C">
        <w:rPr>
          <w:lang w:val="en-US"/>
        </w:rPr>
        <w:t xml:space="preserve"> </w:t>
      </w:r>
      <w:r w:rsidR="0056435D">
        <w:rPr>
          <w:lang w:val="en-US"/>
        </w:rPr>
        <w:t xml:space="preserve">the </w:t>
      </w:r>
      <w:r w:rsidR="00C80101">
        <w:rPr>
          <w:lang w:val="en-US"/>
        </w:rPr>
        <w:t xml:space="preserve">outlet concentration at its </w:t>
      </w:r>
      <w:r w:rsidR="00835D1C">
        <w:rPr>
          <w:lang w:val="en-US"/>
        </w:rPr>
        <w:t>target (</w:t>
      </w:r>
      <w:r w:rsidR="00835D1C">
        <w:rPr>
          <w:color w:val="000000"/>
          <w:lang w:val="en-US"/>
        </w:rPr>
        <w:t>0.5</w:t>
      </w:r>
      <w:r w:rsidR="0096283B">
        <w:rPr>
          <w:color w:val="000000"/>
          <w:lang w:val="en-US"/>
        </w:rPr>
        <w:t xml:space="preserve"> </w:t>
      </w:r>
      <w:r w:rsidR="004E0FFA">
        <w:rPr>
          <w:color w:val="000000"/>
          <w:lang w:val="en-US"/>
        </w:rPr>
        <w:t>M</w:t>
      </w:r>
      <w:r w:rsidR="00835D1C">
        <w:rPr>
          <w:color w:val="000000"/>
          <w:lang w:val="en-US"/>
        </w:rPr>
        <w:t xml:space="preserve"> of NaOH and HCl)</w:t>
      </w:r>
      <w:r w:rsidR="0056435D">
        <w:rPr>
          <w:lang w:val="en-US"/>
        </w:rPr>
        <w:t xml:space="preserve"> </w:t>
      </w:r>
      <w:r w:rsidR="00835D1C">
        <w:rPr>
          <w:lang w:val="en-US"/>
        </w:rPr>
        <w:t xml:space="preserve">by letting </w:t>
      </w:r>
      <w:r w:rsidR="0056435D">
        <w:rPr>
          <w:lang w:val="en-US"/>
        </w:rPr>
        <w:t xml:space="preserve">the outlet flowrate of the product </w:t>
      </w:r>
      <w:r w:rsidR="00835D1C">
        <w:rPr>
          <w:lang w:val="en-US"/>
        </w:rPr>
        <w:t xml:space="preserve">to vary </w:t>
      </w:r>
      <w:r w:rsidR="0056435D">
        <w:rPr>
          <w:lang w:val="en-US"/>
        </w:rPr>
        <w:t xml:space="preserve">from 0.5 up to 3 l </w:t>
      </w:r>
      <w:proofErr w:type="gramStart"/>
      <w:r w:rsidR="0056435D">
        <w:rPr>
          <w:lang w:val="en-US"/>
        </w:rPr>
        <w:t>min</w:t>
      </w:r>
      <w:r w:rsidR="0056435D" w:rsidRPr="00F25346">
        <w:rPr>
          <w:vertAlign w:val="superscript"/>
          <w:lang w:val="en-US"/>
        </w:rPr>
        <w:t>-1</w:t>
      </w:r>
      <w:proofErr w:type="gramEnd"/>
      <w:r w:rsidR="0056435D">
        <w:rPr>
          <w:lang w:val="en-US"/>
        </w:rPr>
        <w:t>. In these operating conditions, the controller was able to guarantee</w:t>
      </w:r>
      <w:r w:rsidR="0056435D" w:rsidRPr="00AD4E6A">
        <w:rPr>
          <w:lang w:val="en-US"/>
        </w:rPr>
        <w:t xml:space="preserve"> </w:t>
      </w:r>
      <w:r w:rsidR="0056435D">
        <w:rPr>
          <w:lang w:val="en-US"/>
        </w:rPr>
        <w:t xml:space="preserve">high </w:t>
      </w:r>
      <w:r w:rsidR="0056435D" w:rsidRPr="00AD4E6A">
        <w:rPr>
          <w:lang w:val="en-US"/>
        </w:rPr>
        <w:t>product quality</w:t>
      </w:r>
      <w:r w:rsidR="00EB4179">
        <w:rPr>
          <w:lang w:val="en-US"/>
        </w:rPr>
        <w:t>,</w:t>
      </w:r>
      <w:r w:rsidR="0056435D" w:rsidRPr="00AD4E6A">
        <w:rPr>
          <w:lang w:val="en-US"/>
        </w:rPr>
        <w:t xml:space="preserve"> still </w:t>
      </w:r>
      <w:r w:rsidR="0056435D">
        <w:rPr>
          <w:lang w:val="en-US"/>
        </w:rPr>
        <w:t>retaining</w:t>
      </w:r>
      <w:r w:rsidR="0056435D" w:rsidRPr="00AD4E6A">
        <w:rPr>
          <w:lang w:val="en-US"/>
        </w:rPr>
        <w:t xml:space="preserve"> high </w:t>
      </w:r>
      <w:r w:rsidR="0056435D">
        <w:rPr>
          <w:lang w:val="en-US"/>
        </w:rPr>
        <w:t xml:space="preserve">specific </w:t>
      </w:r>
      <w:r w:rsidR="0056435D" w:rsidRPr="00AD4E6A">
        <w:rPr>
          <w:lang w:val="en-US"/>
        </w:rPr>
        <w:t>productivity</w:t>
      </w:r>
      <w:r w:rsidR="0056435D">
        <w:rPr>
          <w:lang w:val="en-US"/>
        </w:rPr>
        <w:t xml:space="preserve"> (in the range of 0.1-0.2 kg h</w:t>
      </w:r>
      <w:r w:rsidR="0056435D" w:rsidRPr="00BC7CE3">
        <w:rPr>
          <w:vertAlign w:val="superscript"/>
          <w:lang w:val="en-US"/>
        </w:rPr>
        <w:t>-1</w:t>
      </w:r>
      <w:r w:rsidR="0056435D">
        <w:rPr>
          <w:lang w:val="en-US"/>
        </w:rPr>
        <w:t>m</w:t>
      </w:r>
      <w:r w:rsidR="0056435D" w:rsidRPr="00BC7CE3">
        <w:rPr>
          <w:vertAlign w:val="superscript"/>
          <w:lang w:val="en-US"/>
        </w:rPr>
        <w:t>-2</w:t>
      </w:r>
      <w:r w:rsidR="0056435D">
        <w:rPr>
          <w:lang w:val="en-US"/>
        </w:rPr>
        <w:t>)</w:t>
      </w:r>
      <w:r w:rsidR="0056435D" w:rsidRPr="00AD4E6A">
        <w:rPr>
          <w:lang w:val="en-US"/>
        </w:rPr>
        <w:t xml:space="preserve"> and low consumption</w:t>
      </w:r>
      <w:r w:rsidR="0056435D">
        <w:rPr>
          <w:lang w:val="en-US"/>
        </w:rPr>
        <w:t xml:space="preserve"> (in the range of 1.3- 1.9 kWh kg</w:t>
      </w:r>
      <w:r w:rsidR="0056435D" w:rsidRPr="00BC7CE3">
        <w:rPr>
          <w:vertAlign w:val="superscript"/>
          <w:lang w:val="en-US"/>
        </w:rPr>
        <w:t>-1</w:t>
      </w:r>
      <w:r w:rsidR="0056435D">
        <w:rPr>
          <w:lang w:val="en-US"/>
        </w:rPr>
        <w:t xml:space="preserve"> of NaOH and 1.8- 2.4 kWh kg</w:t>
      </w:r>
      <w:r w:rsidR="0056435D" w:rsidRPr="00BC7CE3">
        <w:rPr>
          <w:vertAlign w:val="superscript"/>
          <w:lang w:val="en-US"/>
        </w:rPr>
        <w:t>-1</w:t>
      </w:r>
      <w:r w:rsidR="0056435D">
        <w:rPr>
          <w:lang w:val="en-US"/>
        </w:rPr>
        <w:t xml:space="preserve"> of HCl).</w:t>
      </w:r>
      <w:r w:rsidR="0056435D" w:rsidRPr="00AD4E6A">
        <w:rPr>
          <w:lang w:val="en-US"/>
        </w:rPr>
        <w:t xml:space="preserve"> </w:t>
      </w:r>
      <w:r w:rsidR="0056435D">
        <w:rPr>
          <w:lang w:val="en-US"/>
        </w:rPr>
        <w:t xml:space="preserve">In all cases, the parallel control logic allowed to tune the applied voltage </w:t>
      </w:r>
      <w:proofErr w:type="gramStart"/>
      <w:r w:rsidR="0056435D">
        <w:rPr>
          <w:lang w:val="en-US"/>
        </w:rPr>
        <w:t>in order to</w:t>
      </w:r>
      <w:proofErr w:type="gramEnd"/>
      <w:r w:rsidR="0056435D">
        <w:rPr>
          <w:lang w:val="en-US"/>
        </w:rPr>
        <w:t xml:space="preserve"> meet the electric power availability, while manipulating the outlet flowrate to meet the desired product specification. The</w:t>
      </w:r>
      <w:r w:rsidR="0056435D" w:rsidRPr="00AD4E6A">
        <w:rPr>
          <w:lang w:val="en-US"/>
        </w:rPr>
        <w:t xml:space="preserve"> obtained </w:t>
      </w:r>
      <w:r w:rsidR="0056435D">
        <w:rPr>
          <w:lang w:val="en-US"/>
        </w:rPr>
        <w:t xml:space="preserve">results </w:t>
      </w:r>
      <w:r w:rsidR="0056435D" w:rsidRPr="00AD4E6A">
        <w:rPr>
          <w:lang w:val="en-US"/>
        </w:rPr>
        <w:t>demonstrate</w:t>
      </w:r>
      <w:r w:rsidR="0056435D">
        <w:rPr>
          <w:lang w:val="en-US"/>
        </w:rPr>
        <w:t xml:space="preserve"> for </w:t>
      </w:r>
      <w:r w:rsidR="00FE150F">
        <w:rPr>
          <w:lang w:val="en-US"/>
        </w:rPr>
        <w:t xml:space="preserve">the </w:t>
      </w:r>
      <w:r w:rsidR="0056435D">
        <w:rPr>
          <w:lang w:val="en-US"/>
        </w:rPr>
        <w:t>first time at the pilot scale</w:t>
      </w:r>
      <w:r w:rsidR="0056435D" w:rsidRPr="00AD4E6A">
        <w:rPr>
          <w:lang w:val="en-US"/>
        </w:rPr>
        <w:t xml:space="preserve"> how EDBM </w:t>
      </w:r>
      <w:r w:rsidR="00EB4179">
        <w:rPr>
          <w:lang w:val="en-US"/>
        </w:rPr>
        <w:t>can be</w:t>
      </w:r>
      <w:r w:rsidR="0056435D" w:rsidRPr="00AD4E6A">
        <w:rPr>
          <w:lang w:val="en-US"/>
        </w:rPr>
        <w:t xml:space="preserve"> particularly suitable </w:t>
      </w:r>
      <w:r w:rsidR="0056435D">
        <w:rPr>
          <w:lang w:val="en-US"/>
        </w:rPr>
        <w:t xml:space="preserve">to </w:t>
      </w:r>
      <w:proofErr w:type="spellStart"/>
      <w:r w:rsidR="0056435D">
        <w:rPr>
          <w:lang w:val="en-US"/>
        </w:rPr>
        <w:t>valorise</w:t>
      </w:r>
      <w:proofErr w:type="spellEnd"/>
      <w:r w:rsidR="0056435D">
        <w:rPr>
          <w:lang w:val="en-US"/>
        </w:rPr>
        <w:t>, in</w:t>
      </w:r>
      <w:r w:rsidR="0056435D" w:rsidRPr="00AD4E6A">
        <w:rPr>
          <w:lang w:val="en-US"/>
        </w:rPr>
        <w:t xml:space="preserve"> industrial</w:t>
      </w:r>
      <w:r w:rsidR="0056435D">
        <w:rPr>
          <w:lang w:val="en-US"/>
        </w:rPr>
        <w:t xml:space="preserve"> relevant</w:t>
      </w:r>
      <w:r w:rsidR="0056435D" w:rsidRPr="00AD4E6A">
        <w:rPr>
          <w:lang w:val="en-US"/>
        </w:rPr>
        <w:t xml:space="preserve"> </w:t>
      </w:r>
      <w:r w:rsidR="0056435D">
        <w:rPr>
          <w:lang w:val="en-US"/>
        </w:rPr>
        <w:t>scenarios, available saline streams and unstable energy sources, thus pushing towards the industrial implementation according to sustainable and circular values approaches.</w:t>
      </w:r>
    </w:p>
    <w:p w14:paraId="144DE687" w14:textId="65F3E461" w:rsidR="008D2649" w:rsidRDefault="008D2649" w:rsidP="008D2649">
      <w:pPr>
        <w:pStyle w:val="Els-body-text"/>
        <w:spacing w:after="120"/>
      </w:pPr>
      <w:r>
        <w:rPr>
          <w:b/>
          <w:bCs/>
          <w:lang w:val="en-GB"/>
        </w:rPr>
        <w:t>Keywords</w:t>
      </w:r>
      <w:r w:rsidR="006904B0" w:rsidRPr="00600F58">
        <w:t>: brine mining, renewable energy, electro-membrane, circular economy, advanced control</w:t>
      </w:r>
    </w:p>
    <w:p w14:paraId="35D03F1C" w14:textId="77777777" w:rsidR="007C28CC" w:rsidRDefault="007C28CC" w:rsidP="008D2649">
      <w:pPr>
        <w:pStyle w:val="Els-body-text"/>
        <w:spacing w:after="120"/>
      </w:pPr>
    </w:p>
    <w:p w14:paraId="30EA555F" w14:textId="77777777" w:rsidR="007C28CC" w:rsidRDefault="007C28CC" w:rsidP="008D2649">
      <w:pPr>
        <w:pStyle w:val="Els-body-text"/>
        <w:spacing w:after="120"/>
        <w:rPr>
          <w:lang w:val="en-GB"/>
        </w:rPr>
      </w:pPr>
    </w:p>
    <w:p w14:paraId="144DE689" w14:textId="42B10354" w:rsidR="008D2649" w:rsidRDefault="00526982" w:rsidP="008D2649">
      <w:pPr>
        <w:pStyle w:val="Els-1storder-head"/>
      </w:pPr>
      <w:r>
        <w:lastRenderedPageBreak/>
        <w:t>Introduction</w:t>
      </w:r>
    </w:p>
    <w:p w14:paraId="5C731B65" w14:textId="60DF55D2" w:rsidR="00511F78" w:rsidRPr="00511F78" w:rsidRDefault="00EE7CA1" w:rsidP="00AB6BA2">
      <w:pPr>
        <w:pStyle w:val="Els-body-text"/>
        <w:rPr>
          <w:lang w:eastAsia="it-IT"/>
        </w:rPr>
      </w:pPr>
      <w:r>
        <w:rPr>
          <w:lang w:eastAsia="it-IT"/>
        </w:rPr>
        <w:t>Nowadays</w:t>
      </w:r>
      <w:r w:rsidR="00A7790F">
        <w:rPr>
          <w:lang w:eastAsia="it-IT"/>
        </w:rPr>
        <w:t xml:space="preserve">, </w:t>
      </w:r>
      <w:r w:rsidR="00AF3FC9">
        <w:rPr>
          <w:lang w:eastAsia="it-IT"/>
        </w:rPr>
        <w:t xml:space="preserve">researchers are </w:t>
      </w:r>
      <w:r w:rsidR="00D346B7">
        <w:rPr>
          <w:lang w:eastAsia="it-IT"/>
        </w:rPr>
        <w:t>focus</w:t>
      </w:r>
      <w:r w:rsidR="00411E47">
        <w:rPr>
          <w:lang w:eastAsia="it-IT"/>
        </w:rPr>
        <w:t>ing</w:t>
      </w:r>
      <w:r w:rsidR="00AF3FC9">
        <w:rPr>
          <w:lang w:eastAsia="it-IT"/>
        </w:rPr>
        <w:t xml:space="preserve"> </w:t>
      </w:r>
      <w:r w:rsidR="00D346B7">
        <w:rPr>
          <w:lang w:eastAsia="it-IT"/>
        </w:rPr>
        <w:t xml:space="preserve">their efforts </w:t>
      </w:r>
      <w:r w:rsidR="00AF3FC9">
        <w:rPr>
          <w:lang w:eastAsia="it-IT"/>
        </w:rPr>
        <w:t xml:space="preserve">to find </w:t>
      </w:r>
      <w:r w:rsidR="00CB74A4">
        <w:rPr>
          <w:lang w:eastAsia="it-IT"/>
        </w:rPr>
        <w:t>new strategies</w:t>
      </w:r>
      <w:r w:rsidR="0056309C">
        <w:rPr>
          <w:lang w:eastAsia="it-IT"/>
        </w:rPr>
        <w:t xml:space="preserve"> </w:t>
      </w:r>
      <w:r w:rsidR="00411E47">
        <w:rPr>
          <w:lang w:eastAsia="it-IT"/>
        </w:rPr>
        <w:t xml:space="preserve">for </w:t>
      </w:r>
      <w:r w:rsidR="00C7558C">
        <w:rPr>
          <w:lang w:eastAsia="it-IT"/>
        </w:rPr>
        <w:t>a</w:t>
      </w:r>
      <w:r w:rsidR="007608ED">
        <w:rPr>
          <w:lang w:eastAsia="it-IT"/>
        </w:rPr>
        <w:t xml:space="preserve"> sustainable </w:t>
      </w:r>
      <w:r w:rsidR="00411E47">
        <w:rPr>
          <w:lang w:eastAsia="it-IT"/>
        </w:rPr>
        <w:t xml:space="preserve">exploitation of </w:t>
      </w:r>
      <w:r w:rsidR="007608ED">
        <w:rPr>
          <w:lang w:eastAsia="it-IT"/>
        </w:rPr>
        <w:t xml:space="preserve">energy sources </w:t>
      </w:r>
      <w:r w:rsidR="00687985">
        <w:rPr>
          <w:lang w:eastAsia="it-IT"/>
        </w:rPr>
        <w:t xml:space="preserve">through the </w:t>
      </w:r>
      <w:r w:rsidR="003701FD">
        <w:rPr>
          <w:lang w:eastAsia="it-IT"/>
        </w:rPr>
        <w:t xml:space="preserve">valorization of </w:t>
      </w:r>
      <w:r w:rsidR="00B27CFE">
        <w:rPr>
          <w:lang w:eastAsia="it-IT"/>
        </w:rPr>
        <w:t>concentrated brines coming from industrial processes.</w:t>
      </w:r>
      <w:r w:rsidR="00CB74A4">
        <w:rPr>
          <w:lang w:eastAsia="it-IT"/>
        </w:rPr>
        <w:t xml:space="preserve"> </w:t>
      </w:r>
      <w:r w:rsidR="001B01D7">
        <w:rPr>
          <w:lang w:eastAsia="it-IT"/>
        </w:rPr>
        <w:t>Currently</w:t>
      </w:r>
      <w:r w:rsidR="00D542BB" w:rsidRPr="00D542BB">
        <w:rPr>
          <w:lang w:eastAsia="it-IT"/>
        </w:rPr>
        <w:t>, the world desalination capacity stands at</w:t>
      </w:r>
      <w:r w:rsidR="00E92C9E">
        <w:rPr>
          <w:lang w:eastAsia="it-IT"/>
        </w:rPr>
        <w:t>,</w:t>
      </w:r>
      <w:r w:rsidR="00D542BB" w:rsidRPr="00D542BB">
        <w:rPr>
          <w:lang w:eastAsia="it-IT"/>
        </w:rPr>
        <w:t xml:space="preserve"> approximatively</w:t>
      </w:r>
      <w:r w:rsidR="00E92C9E">
        <w:rPr>
          <w:lang w:eastAsia="it-IT"/>
        </w:rPr>
        <w:t>,</w:t>
      </w:r>
      <w:r w:rsidR="00D542BB" w:rsidRPr="00D542BB">
        <w:rPr>
          <w:lang w:eastAsia="it-IT"/>
        </w:rPr>
        <w:t xml:space="preserve"> </w:t>
      </w:r>
      <w:r w:rsidR="00A1385E">
        <w:rPr>
          <w:lang w:eastAsia="it-IT"/>
        </w:rPr>
        <w:t>100</w:t>
      </w:r>
      <w:r w:rsidR="00D542BB" w:rsidRPr="00D542BB">
        <w:rPr>
          <w:lang w:eastAsia="it-IT"/>
        </w:rPr>
        <w:t xml:space="preserve"> million</w:t>
      </w:r>
      <w:r w:rsidR="00AF7640">
        <w:rPr>
          <w:lang w:eastAsia="it-IT"/>
        </w:rPr>
        <w:t>s</w:t>
      </w:r>
      <w:r w:rsidR="00D542BB" w:rsidRPr="00D542BB">
        <w:rPr>
          <w:lang w:eastAsia="it-IT"/>
        </w:rPr>
        <w:t xml:space="preserve"> of cubic meter</w:t>
      </w:r>
      <w:r w:rsidR="00AF7640">
        <w:rPr>
          <w:lang w:eastAsia="it-IT"/>
        </w:rPr>
        <w:t>s</w:t>
      </w:r>
      <w:r w:rsidR="00D542BB" w:rsidRPr="00D542BB">
        <w:rPr>
          <w:lang w:eastAsia="it-IT"/>
        </w:rPr>
        <w:t xml:space="preserve"> per day</w:t>
      </w:r>
      <w:r w:rsidR="006D19D6">
        <w:rPr>
          <w:lang w:eastAsia="it-IT"/>
        </w:rPr>
        <w:t xml:space="preserve"> </w:t>
      </w:r>
      <w:r w:rsidR="00D542BB" w:rsidRPr="00D542BB">
        <w:rPr>
          <w:lang w:eastAsia="it-IT"/>
        </w:rPr>
        <w:fldChar w:fldCharType="begin" w:fldLock="1"/>
      </w:r>
      <w:r w:rsidR="00A82DAF">
        <w:rPr>
          <w:lang w:eastAsia="it-IT"/>
        </w:rPr>
        <w:instrText>ADDIN CSL_CITATION {"citationItems":[{"id":"ITEM-1","itemData":{"DOI":"10.1016/j.scitotenv.2021.146585","ISSN":"18791026","abstract":"The desalination of seawater is perceived as one of the most viable processes to fulfill the mounting demand for freshwater. Despite enormous economic, social, and health benefits offered by desalination, there are several concerns regarding its prospective environmental impacts (EIs). The objective of this work is to critically evaluate the potential EIs of seawater desalination, and assess the prospects of greener desalination. The EIs of desalination on marine environment, land, groundwater, and air quality was systematically reviewed. An attempt has been made to analyze the actuality of these so-called impacts with reference to evidence from real desalination plants. The mitigative measures to counterbalance these unfavorable impacts are critically appraised. Furthermore, the brine management technologies for the disposal of reject stream, the recovery of precious materials and water, and the production of useful chemicals are also reviewed. Current challenges to minimize the adverse impacts of desalination and prospects of sustainable greener desalination to overwhelm global water scarcities are also discussed. The current desalination approaches have moderate and minor negative EIs. However, with proper mitigation and utilization of modern technologies, these impacts can be lessened. Furthermore, by employing various modern techniques, reject brine can be utilized for several useful applications while reducing its adverse impacts simultaneously. Recent advancements in desalination technologies have also offered many alternative approaches that provide a roadmap towards greener desalination. This review article will be beneficial for all the stakeholders in the desalination industry.","author":[{"dropping-particle":"","family":"Ihsanullah","given":"Ihsanullah","non-dropping-particle":"","parse-names":false,"suffix":""},{"dropping-particle":"","family":"Atieh","given":"Muataz A.","non-dropping-particle":"","parse-names":false,"suffix":""},{"dropping-particle":"","family":"Sajid","given":"Muhammad","non-dropping-particle":"","parse-names":false,"suffix":""},{"dropping-particle":"","family":"Nazal","given":"Mazen K.","non-dropping-particle":"","parse-names":false,"suffix":""}],"container-title":"Science of the Total Environment","id":"ITEM-1","issued":{"date-parts":[["2021"]]},"title":"Desalination and environment: A critical analysis of impacts, mitigation strategies, and greener desalination technologies","type":"article","volume":"780"},"uris":["http://www.mendeley.com/documents/?uuid=7f699429-bb1d-3409-a046-805079c3eb7b"]}],"mendeley":{"formattedCitation":"(Ihsanullah et al. 2021)","plainTextFormattedCitation":"(Ihsanullah et al. 2021)","previouslyFormattedCitation":"(Ihsanullah et al. 2021)"},"properties":{"noteIndex":0},"schema":"https://github.com/citation-style-language/schema/raw/master/csl-citation.json"}</w:instrText>
      </w:r>
      <w:r w:rsidR="00D542BB" w:rsidRPr="00D542BB">
        <w:rPr>
          <w:lang w:eastAsia="it-IT"/>
        </w:rPr>
        <w:fldChar w:fldCharType="separate"/>
      </w:r>
      <w:r w:rsidR="006D19D6" w:rsidRPr="006D19D6">
        <w:rPr>
          <w:noProof/>
          <w:lang w:eastAsia="it-IT"/>
        </w:rPr>
        <w:t>(Ihsanullah et al. 2021)</w:t>
      </w:r>
      <w:r w:rsidR="00D542BB" w:rsidRPr="00D542BB">
        <w:rPr>
          <w:lang w:eastAsia="it-IT"/>
        </w:rPr>
        <w:fldChar w:fldCharType="end"/>
      </w:r>
      <w:r w:rsidR="00A1385E">
        <w:rPr>
          <w:lang w:eastAsia="it-IT"/>
        </w:rPr>
        <w:t xml:space="preserve">, being dominated </w:t>
      </w:r>
      <w:r w:rsidR="00537928">
        <w:rPr>
          <w:lang w:eastAsia="it-IT"/>
        </w:rPr>
        <w:t>by membrane processes</w:t>
      </w:r>
      <w:r w:rsidR="00D542BB" w:rsidRPr="00D542BB">
        <w:rPr>
          <w:lang w:eastAsia="it-IT"/>
        </w:rPr>
        <w:t>. The most used membrane technology in the world is reverse osmosis (RO)</w:t>
      </w:r>
      <w:r w:rsidR="00591143">
        <w:rPr>
          <w:lang w:eastAsia="it-IT"/>
        </w:rPr>
        <w:t xml:space="preserve"> covering</w:t>
      </w:r>
      <w:r w:rsidR="00D542BB" w:rsidRPr="00D542BB">
        <w:rPr>
          <w:lang w:eastAsia="it-IT"/>
        </w:rPr>
        <w:t xml:space="preserve"> the </w:t>
      </w:r>
      <w:r w:rsidR="007A40B3">
        <w:rPr>
          <w:lang w:eastAsia="it-IT"/>
        </w:rPr>
        <w:t>70</w:t>
      </w:r>
      <w:r w:rsidR="00D542BB" w:rsidRPr="00D542BB">
        <w:rPr>
          <w:lang w:eastAsia="it-IT"/>
        </w:rPr>
        <w:t>% of the global production of desalinated water</w:t>
      </w:r>
      <w:r w:rsidR="00294B2D">
        <w:rPr>
          <w:lang w:eastAsia="it-IT"/>
        </w:rPr>
        <w:t xml:space="preserve"> </w:t>
      </w:r>
      <w:r w:rsidR="00D542BB" w:rsidRPr="00D542BB">
        <w:rPr>
          <w:lang w:eastAsia="it-IT"/>
        </w:rPr>
        <w:fldChar w:fldCharType="begin" w:fldLock="1"/>
      </w:r>
      <w:r w:rsidR="00A82DAF">
        <w:rPr>
          <w:lang w:eastAsia="it-IT"/>
        </w:rPr>
        <w:instrText>ADDIN CSL_CITATION {"citationItems":[{"id":"ITEM-1","itemData":{"DOI":"10.1016/j.scitotenv.2018.12.076","ISSN":"18791026","abstract":"Rising water demands and diminishing water supplies are exacerbating water scarcity in most world regions. Conventional approaches relying on rainfall and river runoff in water scarce areas are no longer sufficient to meet human demands. Unconventional water resources, such as desalinated water, are expected to play a key role in narrowing the water demand-supply gap. Our synthesis of desalination data suggests that there are 15,906 operational desalination plants producing around 95 million m3/day of desalinated water for human use, of which 48% is produced in the Middle East and North Africa region. A major challenge associated with desalination technologies is the production of a typically hypersaline concentrate (termed ‘brine’) discharge that requires disposal, which is both costly and associated with negative environmental impacts. Our estimates reveal brine production to be around 142 million m3/day, approximately 50% greater than previous quantifications. Brine production in Saudi Arabia, UAE, Kuwait and Qatar accounts for 55% of the total global share. Improved brine management strategies are required to limit the negative environmental impacts and reduce the economic cost of disposal, thereby stimulating further developments in desalination facilities to safeguard water supplies for current and future generations.","author":[{"dropping-particle":"","family":"Jones","given":"Edward","non-dropping-particle":"","parse-names":false,"suffix":""},{"dropping-particle":"","family":"Qadir","given":"Manzoor","non-dropping-particle":"","parse-names":false,"suffix":""},{"dropping-particle":"","family":"Vliet","given":"Michelle T.H.","non-dropping-particle":"van","parse-names":false,"suffix":""},{"dropping-particle":"","family":"Smakhtin","given":"Vladimir","non-dropping-particle":"","parse-names":false,"suffix":""},{"dropping-particle":"","family":"Kang","given":"Seong mu","non-dropping-particle":"","parse-names":false,"suffix":""}],"container-title":"Science of the Total Environment","id":"ITEM-1","issued":{"date-parts":[["2019"]]},"title":"The state of desalination and brine production: A global outlook","type":"article","volume":"657"},"uris":["http://www.mendeley.com/documents/?uuid=9e41df37-3cf6-3b6b-91c1-cb4010db50cd"]}],"mendeley":{"formattedCitation":"(Jones et al. 2019)","plainTextFormattedCitation":"(Jones et al. 2019)","previouslyFormattedCitation":"(Jones et al. 2019)"},"properties":{"noteIndex":0},"schema":"https://github.com/citation-style-language/schema/raw/master/csl-citation.json"}</w:instrText>
      </w:r>
      <w:r w:rsidR="00D542BB" w:rsidRPr="00D542BB">
        <w:rPr>
          <w:lang w:eastAsia="it-IT"/>
        </w:rPr>
        <w:fldChar w:fldCharType="separate"/>
      </w:r>
      <w:r w:rsidR="006D19D6" w:rsidRPr="006D19D6">
        <w:rPr>
          <w:noProof/>
          <w:lang w:eastAsia="it-IT"/>
        </w:rPr>
        <w:t>(Jones et al. 2019)</w:t>
      </w:r>
      <w:r w:rsidR="00D542BB" w:rsidRPr="00D542BB">
        <w:rPr>
          <w:lang w:eastAsia="it-IT"/>
        </w:rPr>
        <w:fldChar w:fldCharType="end"/>
      </w:r>
      <w:r w:rsidR="00D542BB" w:rsidRPr="00D542BB">
        <w:rPr>
          <w:lang w:eastAsia="it-IT"/>
        </w:rPr>
        <w:t xml:space="preserve">. However, this process has </w:t>
      </w:r>
      <w:r w:rsidR="00AF7640">
        <w:rPr>
          <w:lang w:eastAsia="it-IT"/>
        </w:rPr>
        <w:t xml:space="preserve">two main </w:t>
      </w:r>
      <w:r w:rsidR="00D542BB" w:rsidRPr="00D542BB">
        <w:rPr>
          <w:lang w:eastAsia="it-IT"/>
        </w:rPr>
        <w:t>drawbacks</w:t>
      </w:r>
      <w:r w:rsidR="00AF7640">
        <w:rPr>
          <w:lang w:eastAsia="it-IT"/>
        </w:rPr>
        <w:t>: (</w:t>
      </w:r>
      <w:proofErr w:type="spellStart"/>
      <w:r w:rsidR="00AF7640">
        <w:rPr>
          <w:lang w:eastAsia="it-IT"/>
        </w:rPr>
        <w:t>i</w:t>
      </w:r>
      <w:proofErr w:type="spellEnd"/>
      <w:r w:rsidR="00AF7640">
        <w:rPr>
          <w:lang w:eastAsia="it-IT"/>
        </w:rPr>
        <w:t xml:space="preserve">) </w:t>
      </w:r>
      <w:r w:rsidR="00D542BB" w:rsidRPr="00D542BB">
        <w:rPr>
          <w:lang w:eastAsia="it-IT"/>
        </w:rPr>
        <w:t>the production of a desalination waste</w:t>
      </w:r>
      <w:r w:rsidR="00AF7640">
        <w:rPr>
          <w:lang w:eastAsia="it-IT"/>
        </w:rPr>
        <w:t xml:space="preserve"> (</w:t>
      </w:r>
      <w:r w:rsidR="00D542BB" w:rsidRPr="00D542BB">
        <w:rPr>
          <w:lang w:eastAsia="it-IT"/>
        </w:rPr>
        <w:t xml:space="preserve">which represents </w:t>
      </w:r>
      <w:r w:rsidR="00C156E0">
        <w:rPr>
          <w:lang w:eastAsia="it-IT"/>
        </w:rPr>
        <w:t xml:space="preserve">the </w:t>
      </w:r>
      <w:r w:rsidR="00D542BB" w:rsidRPr="00D542BB">
        <w:rPr>
          <w:lang w:eastAsia="it-IT"/>
        </w:rPr>
        <w:t>60% of the treated water</w:t>
      </w:r>
      <w:r w:rsidR="00AF7640">
        <w:rPr>
          <w:lang w:eastAsia="it-IT"/>
        </w:rPr>
        <w:t>)</w:t>
      </w:r>
      <w:r w:rsidR="00D542BB" w:rsidRPr="00D542BB">
        <w:rPr>
          <w:lang w:eastAsia="it-IT"/>
        </w:rPr>
        <w:t xml:space="preserve"> and </w:t>
      </w:r>
      <w:r w:rsidR="00AF7640">
        <w:rPr>
          <w:lang w:eastAsia="it-IT"/>
        </w:rPr>
        <w:t xml:space="preserve">(ii) </w:t>
      </w:r>
      <w:r w:rsidR="00D542BB" w:rsidRPr="00D542BB">
        <w:rPr>
          <w:lang w:eastAsia="it-IT"/>
        </w:rPr>
        <w:t xml:space="preserve">the </w:t>
      </w:r>
      <w:r w:rsidR="00AF7640">
        <w:rPr>
          <w:lang w:eastAsia="it-IT"/>
        </w:rPr>
        <w:t>significant</w:t>
      </w:r>
      <w:r w:rsidR="00AF7640" w:rsidRPr="00D542BB">
        <w:rPr>
          <w:lang w:eastAsia="it-IT"/>
        </w:rPr>
        <w:t xml:space="preserve"> </w:t>
      </w:r>
      <w:r w:rsidR="00D542BB" w:rsidRPr="00D542BB">
        <w:rPr>
          <w:lang w:eastAsia="it-IT"/>
        </w:rPr>
        <w:t xml:space="preserve">energy consumption. </w:t>
      </w:r>
      <w:r w:rsidR="00AF7640">
        <w:rPr>
          <w:lang w:eastAsia="it-IT"/>
        </w:rPr>
        <w:t xml:space="preserve">In order to make the process more sustainable and reduce its environmental </w:t>
      </w:r>
      <w:proofErr w:type="gramStart"/>
      <w:r w:rsidR="00AF7640">
        <w:rPr>
          <w:lang w:eastAsia="it-IT"/>
        </w:rPr>
        <w:t>foot</w:t>
      </w:r>
      <w:r w:rsidR="008E64E1">
        <w:rPr>
          <w:lang w:eastAsia="it-IT"/>
        </w:rPr>
        <w:t>-</w:t>
      </w:r>
      <w:r w:rsidR="00AF7640">
        <w:rPr>
          <w:lang w:eastAsia="it-IT"/>
        </w:rPr>
        <w:t>print</w:t>
      </w:r>
      <w:proofErr w:type="gramEnd"/>
      <w:r w:rsidR="00AF7640">
        <w:rPr>
          <w:lang w:eastAsia="it-IT"/>
        </w:rPr>
        <w:t xml:space="preserve">, different treatment chains based on Minimum/Zero Liquid </w:t>
      </w:r>
      <w:r w:rsidR="008E64E1">
        <w:rPr>
          <w:lang w:eastAsia="it-IT"/>
        </w:rPr>
        <w:t>D</w:t>
      </w:r>
      <w:r w:rsidR="00AF7640">
        <w:rPr>
          <w:lang w:eastAsia="it-IT"/>
        </w:rPr>
        <w:t xml:space="preserve">ischarge approaches have been proposed so far </w:t>
      </w:r>
      <w:r w:rsidR="00B1740B">
        <w:rPr>
          <w:lang w:eastAsia="it-IT"/>
        </w:rPr>
        <w:t>to valorize</w:t>
      </w:r>
      <w:r w:rsidR="00877381">
        <w:rPr>
          <w:lang w:eastAsia="it-IT"/>
        </w:rPr>
        <w:t xml:space="preserve"> waste brines</w:t>
      </w:r>
      <w:r w:rsidR="00AF7640">
        <w:rPr>
          <w:lang w:eastAsia="it-IT"/>
        </w:rPr>
        <w:t xml:space="preserve"> by extracting valuable raw materials and energy from them. With this respect</w:t>
      </w:r>
      <w:r w:rsidR="002F769D">
        <w:rPr>
          <w:lang w:eastAsia="it-IT"/>
        </w:rPr>
        <w:t xml:space="preserve">, electrodialysis with bipolar membranes </w:t>
      </w:r>
      <w:r w:rsidR="007C3E5E">
        <w:rPr>
          <w:lang w:eastAsia="it-IT"/>
        </w:rPr>
        <w:t xml:space="preserve">(EDBM) </w:t>
      </w:r>
      <w:r w:rsidR="00B85CF0">
        <w:rPr>
          <w:lang w:eastAsia="it-IT"/>
        </w:rPr>
        <w:fldChar w:fldCharType="begin" w:fldLock="1"/>
      </w:r>
      <w:r w:rsidR="00B85CF0">
        <w:rPr>
          <w:lang w:eastAsia="it-IT"/>
        </w:rPr>
        <w:instrText>ADDIN CSL_CITATION {"citationItems":[{"id":"ITEM-1","itemData":{"DOI":"10.1016/J.CEJ.2023.143673","ISSN":"1385-8947","abstract":"Electrodialysis with Bipolar Membranes (EDBM) has become a key technology for valorising waste brine streams as a new chemical production route. Even though its application has been widely studied using single electrolyte solutions (e.g., NaCl or Na2SO4), there is still a lack of knowledge about using multi-ionic mixtures. For the first time, this work aims to evaluate the EDBM performance when treating synthetic solutions mimicking the waste brines produced in a integrated process for the valorisation of solar saltworks bitterns. The behaviour of a lab-scale EDBM unit was assessed using SUEZ ion exchange membranes (IEMs), operating at 300 A m−2, and the ion transport through IEMs was investigated, based on the calculation of apparent transport numbers and selectivities. The results highlighted that multi-ionic solutions barely affected the production of hydroxide ions. Chlorides were transported up to 7 times faster than sulphates across the anion-exchange membranes, while the cation-exchange membranes exhibited slightly higher selectivity for potassium than for sodium (</w:instrText>
      </w:r>
      <w:r w:rsidR="00B85CF0">
        <w:rPr>
          <w:rFonts w:ascii="Cambria Math" w:hAnsi="Cambria Math" w:cs="Cambria Math"/>
          <w:lang w:eastAsia="it-IT"/>
        </w:rPr>
        <w:instrText>∼</w:instrText>
      </w:r>
      <w:r w:rsidR="00B85CF0">
        <w:rPr>
          <w:lang w:eastAsia="it-IT"/>
        </w:rPr>
        <w:instrText>1.2). The current efficiencies ranged between 70 % and 80 %, while a minimum specific energy consumption of 1.60 kWh kg-1NaOH was obtained for the most concentrated brine at 1 mol L-1 OH–. These results provide novel and valuable information to support the development and implementation of EDBM as a sustainable technology for supporting a resource-efficient and competitive economy through on-site and delocalized chemicals production routes.","author":[{"dropping-particle":"","family":"Filingeri","given":"Antonia","non-dropping-particle":"","parse-names":false,"suffix":""},{"dropping-particle":"","family":"Lopez","given":"Julio","non-dropping-particle":"","parse-names":false,"suffix":""},{"dropping-particle":"","family":"Culcasi","given":"Andrea","non-dropping-particle":"","parse-names":false,"suffix":""},{"dropping-particle":"","family":"Leon","given":"Tamara","non-dropping-particle":"","parse-names":false,"suffix":""},{"dropping-particle":"","family":"Tamburini","given":"Alessandro","non-dropping-particle":"","parse-names":false,"suffix":""},{"dropping-particle":"","family":"Luis Cortina","given":"José","non-dropping-particle":"","parse-names":false,"suffix":""},{"dropping-particle":"","family":"Micale","given":"Giorgio","non-dropping-particle":"","parse-names":false,"suffix":""},{"dropping-particle":"","family":"Cipollina","given":"Andrea","non-dropping-particle":"","parse-names":false,"suffix":""}],"container-title":"Chemical Engineering Journal","id":"ITEM-1","issued":{"date-parts":[["2023","7","15"]]},"page":"143673","publisher":"Elsevier","title":"In-depth insights on multi-ionic transport in Electrodialysis with bipolar membrane systems","type":"article-journal","volume":"468"},"uris":["http://www.mendeley.com/documents/?uuid=b297d302-2a63-3063-967a-a416563c6dd4"]}],"mendeley":{"formattedCitation":"(Filingeri et al. 2023)","plainTextFormattedCitation":"(Filingeri et al. 2023)","previouslyFormattedCitation":"(Filingeri et al. 2023)"},"properties":{"noteIndex":0},"schema":"https://github.com/citation-style-language/schema/raw/master/csl-citation.json"}</w:instrText>
      </w:r>
      <w:r w:rsidR="00B85CF0">
        <w:rPr>
          <w:lang w:eastAsia="it-IT"/>
        </w:rPr>
        <w:fldChar w:fldCharType="separate"/>
      </w:r>
      <w:r w:rsidR="00B85CF0" w:rsidRPr="00B85CF0">
        <w:rPr>
          <w:noProof/>
          <w:lang w:eastAsia="it-IT"/>
        </w:rPr>
        <w:t>(Filingeri et al. 2023)</w:t>
      </w:r>
      <w:r w:rsidR="00B85CF0">
        <w:rPr>
          <w:lang w:eastAsia="it-IT"/>
        </w:rPr>
        <w:fldChar w:fldCharType="end"/>
      </w:r>
      <w:r w:rsidR="00B85CF0">
        <w:rPr>
          <w:lang w:eastAsia="it-IT"/>
        </w:rPr>
        <w:t xml:space="preserve"> </w:t>
      </w:r>
      <w:r w:rsidR="00A72C81">
        <w:rPr>
          <w:lang w:eastAsia="it-IT"/>
        </w:rPr>
        <w:t xml:space="preserve">plays a key role </w:t>
      </w:r>
      <w:r w:rsidR="007F1BBE">
        <w:rPr>
          <w:lang w:eastAsia="it-IT"/>
        </w:rPr>
        <w:t xml:space="preserve">allowing the </w:t>
      </w:r>
      <w:r w:rsidR="005B3601">
        <w:rPr>
          <w:lang w:eastAsia="it-IT"/>
        </w:rPr>
        <w:t>production</w:t>
      </w:r>
      <w:r w:rsidR="0003269A">
        <w:rPr>
          <w:lang w:eastAsia="it-IT"/>
        </w:rPr>
        <w:t xml:space="preserve"> of </w:t>
      </w:r>
      <w:r w:rsidR="007A70E6">
        <w:rPr>
          <w:lang w:eastAsia="it-IT"/>
        </w:rPr>
        <w:t>chemical reagent</w:t>
      </w:r>
      <w:r w:rsidR="005B3601">
        <w:rPr>
          <w:lang w:eastAsia="it-IT"/>
        </w:rPr>
        <w:t>s</w:t>
      </w:r>
      <w:r w:rsidR="007A70E6">
        <w:rPr>
          <w:lang w:eastAsia="it-IT"/>
        </w:rPr>
        <w:t xml:space="preserve"> </w:t>
      </w:r>
      <w:r w:rsidR="005B3601">
        <w:rPr>
          <w:lang w:eastAsia="it-IT"/>
        </w:rPr>
        <w:t xml:space="preserve">which can </w:t>
      </w:r>
      <w:r w:rsidR="003B416F">
        <w:rPr>
          <w:lang w:eastAsia="it-IT"/>
        </w:rPr>
        <w:t xml:space="preserve">be </w:t>
      </w:r>
      <w:r w:rsidR="00825D5F">
        <w:rPr>
          <w:lang w:eastAsia="it-IT"/>
        </w:rPr>
        <w:t>reused in-situ in accordance to</w:t>
      </w:r>
      <w:r w:rsidR="00AB09D5">
        <w:rPr>
          <w:lang w:eastAsia="it-IT"/>
        </w:rPr>
        <w:t xml:space="preserve"> a circular economy approach.</w:t>
      </w:r>
      <w:r w:rsidR="006759FE">
        <w:rPr>
          <w:lang w:eastAsia="it-IT"/>
        </w:rPr>
        <w:t xml:space="preserve"> </w:t>
      </w:r>
      <w:r w:rsidR="00BF0F0F" w:rsidRPr="004C1FE5">
        <w:t xml:space="preserve">EDBM is an electro-membrane </w:t>
      </w:r>
      <w:r w:rsidR="002E0070">
        <w:t>technology</w:t>
      </w:r>
      <w:r w:rsidR="00BF0F0F" w:rsidRPr="004C1FE5">
        <w:t xml:space="preserve">, </w:t>
      </w:r>
      <w:r w:rsidR="00407C61">
        <w:t>enabling</w:t>
      </w:r>
      <w:r w:rsidR="001B1D01">
        <w:t xml:space="preserve"> the synthesis </w:t>
      </w:r>
      <w:r w:rsidR="00BF0F0F" w:rsidRPr="004C1FE5">
        <w:t xml:space="preserve">of chemicals </w:t>
      </w:r>
      <w:r w:rsidR="00032602">
        <w:t xml:space="preserve">as </w:t>
      </w:r>
      <w:r w:rsidR="00BF0F0F" w:rsidRPr="004C1FE5">
        <w:t>acids and bases</w:t>
      </w:r>
      <w:r w:rsidR="00423B47">
        <w:t>,</w:t>
      </w:r>
      <w:r w:rsidR="00BF0F0F" w:rsidRPr="004C1FE5">
        <w:t xml:space="preserve"> from </w:t>
      </w:r>
      <w:r w:rsidR="00032602">
        <w:t>waste saline waters</w:t>
      </w:r>
      <w:r w:rsidR="00423B47">
        <w:t>,</w:t>
      </w:r>
      <w:r w:rsidR="00BF0F0F" w:rsidRPr="004C1FE5">
        <w:t xml:space="preserve"> </w:t>
      </w:r>
      <w:r w:rsidR="009A6C95">
        <w:t xml:space="preserve">applying </w:t>
      </w:r>
      <w:r w:rsidR="00032602">
        <w:t xml:space="preserve">an </w:t>
      </w:r>
      <w:r w:rsidR="009A6C95">
        <w:t xml:space="preserve">electrical </w:t>
      </w:r>
      <w:r w:rsidR="00032602">
        <w:t>field</w:t>
      </w:r>
      <w:r w:rsidR="00BF0F0F" w:rsidRPr="00BF0F0F">
        <w:t xml:space="preserve">. </w:t>
      </w:r>
      <w:r w:rsidR="003036BA">
        <w:t>The repeating unit of a</w:t>
      </w:r>
      <w:r w:rsidR="00BF0F0F" w:rsidRPr="00BF0F0F">
        <w:t xml:space="preserve">n EDBM stack </w:t>
      </w:r>
      <w:r w:rsidR="003036BA">
        <w:t>is</w:t>
      </w:r>
      <w:r w:rsidR="00BF0F0F" w:rsidRPr="00BF0F0F">
        <w:t xml:space="preserve"> called triplet</w:t>
      </w:r>
      <w:r w:rsidR="00423B47">
        <w:t xml:space="preserve"> </w:t>
      </w:r>
      <w:r w:rsidR="003036BA">
        <w:t xml:space="preserve">and </w:t>
      </w:r>
      <w:r w:rsidR="00BF0F0F" w:rsidRPr="00BF0F0F">
        <w:t xml:space="preserve">consists of a sequence of three ion exchange membranes, namely cationic, </w:t>
      </w:r>
      <w:proofErr w:type="gramStart"/>
      <w:r w:rsidR="00BF0F0F" w:rsidRPr="00BF0F0F">
        <w:t>bipolar</w:t>
      </w:r>
      <w:proofErr w:type="gramEnd"/>
      <w:r w:rsidR="00BF0F0F" w:rsidRPr="00BF0F0F">
        <w:t xml:space="preserve"> and anionic one, and three channels: basic, acid and salt channel</w:t>
      </w:r>
      <w:r w:rsidR="00423B47">
        <w:t xml:space="preserve"> </w:t>
      </w:r>
      <w:r w:rsidR="00423B47">
        <w:t>(</w:t>
      </w:r>
      <w:r w:rsidR="00423B47">
        <w:fldChar w:fldCharType="begin"/>
      </w:r>
      <w:r w:rsidR="00423B47">
        <w:instrText xml:space="preserve"> REF _Ref155619979 \h </w:instrText>
      </w:r>
      <w:r w:rsidR="00423B47">
        <w:fldChar w:fldCharType="separate"/>
      </w:r>
      <w:r w:rsidR="00423B47">
        <w:t>Fig</w:t>
      </w:r>
      <w:r w:rsidR="00423B47">
        <w:t>u</w:t>
      </w:r>
      <w:r w:rsidR="00423B47">
        <w:t xml:space="preserve">re </w:t>
      </w:r>
      <w:r w:rsidR="00423B47">
        <w:rPr>
          <w:noProof/>
        </w:rPr>
        <w:t>1</w:t>
      </w:r>
      <w:r w:rsidR="00423B47">
        <w:fldChar w:fldCharType="end"/>
      </w:r>
      <w:r w:rsidR="00423B47">
        <w:t>)</w:t>
      </w:r>
      <w:r w:rsidR="00BF0F0F" w:rsidRPr="00BF0F0F">
        <w:t xml:space="preserve">. Through the application of an external electric field, the cations and anions </w:t>
      </w:r>
      <w:r w:rsidR="00423B47">
        <w:t>dissolved</w:t>
      </w:r>
      <w:r w:rsidR="00D01C6A" w:rsidRPr="00BF0F0F">
        <w:t xml:space="preserve"> </w:t>
      </w:r>
      <w:r w:rsidR="00BF0F0F" w:rsidRPr="00BF0F0F">
        <w:t xml:space="preserve">in the saline solution migrate selectively towards the cathode and towards the anode, respectively, encountering the protons and </w:t>
      </w:r>
      <w:r w:rsidR="00032602" w:rsidRPr="00BF0F0F">
        <w:t>hydrox</w:t>
      </w:r>
      <w:r w:rsidR="00032602">
        <w:t>ide</w:t>
      </w:r>
      <w:r w:rsidR="00032602" w:rsidRPr="00BF0F0F">
        <w:t xml:space="preserve"> </w:t>
      </w:r>
      <w:r w:rsidR="00BF0F0F" w:rsidRPr="00BF0F0F">
        <w:t>ions generated inside the bipolar membrane in the acid and base channel, respectively</w:t>
      </w:r>
      <w:r w:rsidR="00665424">
        <w:t xml:space="preserve"> </w:t>
      </w:r>
      <w:r w:rsidR="00BF0F0F" w:rsidRPr="00BF0F0F">
        <w:rPr>
          <w:lang w:eastAsia="it-IT"/>
        </w:rPr>
        <w:fldChar w:fldCharType="begin" w:fldLock="1"/>
      </w:r>
      <w:r w:rsidR="00A82DAF">
        <w:rPr>
          <w:lang w:eastAsia="it-IT"/>
        </w:rPr>
        <w:instrText>ADDIN CSL_CITATION {"citationItems":[{"id":"ITEM-1","itemData":{"DOI":"10.1016/j.jclepro.2022.133143","ISSN":"09596526","abstract":"European policy encourages the adoption of sustainable systems that promote the efficient use and recovery of minerals and chemicals. In this respect, desalination brines do contain a dramatic amount of valuable minerals and can be valorized through appropriate treatments rather than releasing them into the environment. This paper proposes an innovative brine recovery system for obtaining high purity chemicals through the integration of Eutectic Freeze Crystallization (EFC) and Electrodialysis with Bipolar Membrane (EDBM) technologies. Two separate laboratory-scale experimental campaigns were carried out to validate the potential integration of the two processes. Mirabilite (Na2SO4∙10H2O) has been recovered with a purity of 99.9% using the EFC, and a feed rich in NaCl with low impurities has been further processed in an EDBM unit. EDBM tests with feed solutions simulating EFC effluents have shown that it is possible to produce acidic and basic solutions with high purity (&gt;99%), despite the presence of impurities in the feed. Interestingly, the low EDBM specific consumptions of 0.9–1.1 kWh kg−1NaOH at 100 A m−2 and 1.3–1.6 kWh kg−1NaOH at 300 A m−2 were comparable with and without impurities. In the context of the circular economy strategy promoted by the EU-H2020 Water Mining project, the current study demonstrates that this integrated system effectively minimizes waste, promoting sustainability while providing a potential economic return.","author":[{"dropping-particle":"","family":"Culcasi","given":"A.","non-dropping-particle":"","parse-names":false,"suffix":""},{"dropping-particle":"","family":"Ktori","given":"R.","non-dropping-particle":"","parse-names":false,"suffix":""},{"dropping-particle":"","family":"Pellegrino","given":"A.","non-dropping-particle":"","parse-names":false,"suffix":""},{"dropping-particle":"","family":"Rodriguez-Pascual","given":"M.","non-dropping-particle":"","parse-names":false,"suffix":""},{"dropping-particle":"","family":"Loosdrecht","given":"M. C.M.","non-dropping-particle":"van","parse-names":false,"suffix":""},{"dropping-particle":"","family":"Tamburini","given":"A.","non-dropping-particle":"","parse-names":false,"suffix":""},{"dropping-particle":"","family":"Cipollina","given":"A.","non-dropping-particle":"","parse-names":false,"suffix":""},{"dropping-particle":"","family":"Xevgenos","given":"D.","non-dropping-particle":"","parse-names":false,"suffix":""},{"dropping-particle":"","family":"Micale","given":"G.","non-dropping-particle":"","parse-names":false,"suffix":""}],"container-title":"Journal of Cleaner Production","id":"ITEM-1","issued":{"date-parts":[["2022"]]},"title":"Towards sustainable production of minerals and chemicals through seawater brine treatment using Eutectic freeze crystallization and Electrodialysis with bipolar membranes","type":"article-journal","volume":"368"},"uris":["http://www.mendeley.com/documents/?uuid=31b4c992-dda1-37ea-a369-db0f2e507e9d"]}],"mendeley":{"formattedCitation":"(Culcasi et al. 2022)","plainTextFormattedCitation":"(Culcasi et al. 2022)","previouslyFormattedCitation":"(Culcasi et al. 2022)"},"properties":{"noteIndex":0},"schema":"https://github.com/citation-style-language/schema/raw/master/csl-citation.json"}</w:instrText>
      </w:r>
      <w:r w:rsidR="00BF0F0F" w:rsidRPr="00BF0F0F">
        <w:rPr>
          <w:lang w:eastAsia="it-IT"/>
        </w:rPr>
        <w:fldChar w:fldCharType="separate"/>
      </w:r>
      <w:r w:rsidR="006D19D6" w:rsidRPr="006D19D6">
        <w:rPr>
          <w:noProof/>
          <w:lang w:eastAsia="it-IT"/>
        </w:rPr>
        <w:t>(Culcasi et al. 2022)</w:t>
      </w:r>
      <w:r w:rsidR="00BF0F0F" w:rsidRPr="00BF0F0F">
        <w:rPr>
          <w:lang w:eastAsia="it-IT"/>
        </w:rPr>
        <w:fldChar w:fldCharType="end"/>
      </w:r>
      <w:r w:rsidR="006F6D77">
        <w:rPr>
          <w:lang w:eastAsia="it-IT"/>
        </w:rPr>
        <w:t xml:space="preserve">. </w:t>
      </w:r>
      <w:r w:rsidR="00DB10DE">
        <w:rPr>
          <w:lang w:eastAsia="it-IT"/>
        </w:rPr>
        <w:t>Additional</w:t>
      </w:r>
      <w:r w:rsidR="006F6D77">
        <w:rPr>
          <w:lang w:eastAsia="it-IT"/>
        </w:rPr>
        <w:t xml:space="preserve"> information </w:t>
      </w:r>
      <w:r w:rsidR="00831225">
        <w:rPr>
          <w:lang w:eastAsia="it-IT"/>
        </w:rPr>
        <w:t xml:space="preserve">about the working principle of the EDBM unit can be found </w:t>
      </w:r>
      <w:r w:rsidR="000D67BE">
        <w:rPr>
          <w:lang w:eastAsia="it-IT"/>
        </w:rPr>
        <w:t xml:space="preserve">in </w:t>
      </w:r>
      <w:r w:rsidR="00D75AC3">
        <w:rPr>
          <w:lang w:eastAsia="it-IT"/>
        </w:rPr>
        <w:t>Strat</w:t>
      </w:r>
      <w:r w:rsidR="00C53A00">
        <w:rPr>
          <w:lang w:eastAsia="it-IT"/>
        </w:rPr>
        <w:t xml:space="preserve">hmann’s book </w:t>
      </w:r>
      <w:r w:rsidR="00A63F1F">
        <w:rPr>
          <w:lang w:eastAsia="it-IT"/>
        </w:rPr>
        <w:fldChar w:fldCharType="begin" w:fldLock="1"/>
      </w:r>
      <w:r w:rsidR="000427CC">
        <w:rPr>
          <w:lang w:eastAsia="it-IT"/>
        </w:rPr>
        <w:instrText>ADDIN CSL_CITATION {"citationItems":[{"id":"ITEM-1","itemData":{"DOI":"10.1007/s13398-014-0173-7.2","author":[{"dropping-particle":"","family":"Strathmann","given":"H.","non-dropping-particle":"","parse-names":false,"suffix":""}],"container-title":"Elsevier Science","id":"ITEM-1","issued":{"date-parts":[["2004"]]},"publisher":"Elsevier","publisher-place":"Amsterdam","title":"Ion-Exchange Membrane Separation Processes, First ed.","type":"book","volume":"9"},"uris":["http://www.mendeley.com/documents/?uuid=70c9481b-cc6c-442d-a07d-085db65f176f"]}],"mendeley":{"formattedCitation":"(Strathmann 2004)","plainTextFormattedCitation":"(Strathmann 2004)","previouslyFormattedCitation":"(Strathmann 2004)"},"properties":{"noteIndex":0},"schema":"https://github.com/citation-style-language/schema/raw/master/csl-citation.json"}</w:instrText>
      </w:r>
      <w:r w:rsidR="00A63F1F">
        <w:rPr>
          <w:lang w:eastAsia="it-IT"/>
        </w:rPr>
        <w:fldChar w:fldCharType="separate"/>
      </w:r>
      <w:r w:rsidR="00A63F1F" w:rsidRPr="00A63F1F">
        <w:rPr>
          <w:noProof/>
          <w:lang w:eastAsia="it-IT"/>
        </w:rPr>
        <w:t>(Strathmann 2004)</w:t>
      </w:r>
      <w:r w:rsidR="00A63F1F">
        <w:rPr>
          <w:lang w:eastAsia="it-IT"/>
        </w:rPr>
        <w:fldChar w:fldCharType="end"/>
      </w:r>
      <w:r w:rsidR="00BF0F0F" w:rsidRPr="00BF0F0F">
        <w:t>.</w:t>
      </w:r>
      <w:r w:rsidR="004F3178">
        <w:t xml:space="preserve"> </w:t>
      </w:r>
      <w:r w:rsidR="00AC6EE7">
        <w:t>T</w:t>
      </w:r>
      <w:r w:rsidR="007F714A" w:rsidRPr="007F714A">
        <w:rPr>
          <w:lang w:eastAsia="it-IT"/>
        </w:rPr>
        <w:t>he</w:t>
      </w:r>
      <w:r w:rsidR="00AC6EE7">
        <w:rPr>
          <w:lang w:eastAsia="it-IT"/>
        </w:rPr>
        <w:t xml:space="preserve"> utilization of</w:t>
      </w:r>
      <w:r w:rsidR="007F714A" w:rsidRPr="007F714A">
        <w:rPr>
          <w:lang w:eastAsia="it-IT"/>
        </w:rPr>
        <w:t xml:space="preserve"> EDBM technology </w:t>
      </w:r>
      <w:r w:rsidR="00AC6EE7">
        <w:rPr>
          <w:lang w:eastAsia="it-IT"/>
        </w:rPr>
        <w:t xml:space="preserve">in MLD/ZLD </w:t>
      </w:r>
      <w:r w:rsidR="000F1440">
        <w:rPr>
          <w:lang w:eastAsia="it-IT"/>
        </w:rPr>
        <w:t xml:space="preserve">treatment chain </w:t>
      </w:r>
      <w:r w:rsidR="00CE0FE0">
        <w:rPr>
          <w:lang w:eastAsia="it-IT"/>
        </w:rPr>
        <w:t xml:space="preserve">has </w:t>
      </w:r>
      <w:r w:rsidR="009A28F4">
        <w:rPr>
          <w:lang w:eastAsia="it-IT"/>
        </w:rPr>
        <w:t xml:space="preserve">energetic benefits </w:t>
      </w:r>
      <w:r w:rsidR="00041F17">
        <w:rPr>
          <w:lang w:eastAsia="it-IT"/>
        </w:rPr>
        <w:t>due</w:t>
      </w:r>
      <w:r w:rsidR="007C31A9">
        <w:rPr>
          <w:lang w:eastAsia="it-IT"/>
        </w:rPr>
        <w:t xml:space="preserve"> to the smart use of </w:t>
      </w:r>
      <w:r w:rsidR="0063307F">
        <w:rPr>
          <w:lang w:eastAsia="it-IT"/>
        </w:rPr>
        <w:t xml:space="preserve">renewable energy sources </w:t>
      </w:r>
      <w:r w:rsidR="00D01C6A">
        <w:rPr>
          <w:lang w:eastAsia="it-IT"/>
        </w:rPr>
        <w:t xml:space="preserve">(RESs) </w:t>
      </w:r>
      <w:r w:rsidR="00AF13E0">
        <w:rPr>
          <w:lang w:eastAsia="it-IT"/>
        </w:rPr>
        <w:t>to produce</w:t>
      </w:r>
      <w:r w:rsidR="00297068">
        <w:rPr>
          <w:lang w:eastAsia="it-IT"/>
        </w:rPr>
        <w:t xml:space="preserve"> </w:t>
      </w:r>
      <w:r w:rsidR="00CC50D1">
        <w:rPr>
          <w:lang w:eastAsia="it-IT"/>
        </w:rPr>
        <w:t>valuable product</w:t>
      </w:r>
      <w:r w:rsidR="00881F58">
        <w:rPr>
          <w:lang w:eastAsia="it-IT"/>
        </w:rPr>
        <w:t xml:space="preserve"> </w:t>
      </w:r>
      <w:r w:rsidR="00881F58">
        <w:rPr>
          <w:lang w:eastAsia="it-IT"/>
        </w:rPr>
        <w:fldChar w:fldCharType="begin" w:fldLock="1"/>
      </w:r>
      <w:r w:rsidR="00B960A0">
        <w:rPr>
          <w:lang w:eastAsia="it-IT"/>
        </w:rPr>
        <w:instrText>ADDIN CSL_CITATION {"citationItems":[{"id":"ITEM-1","itemData":{"DOI":"10.3303/CET23105013","ISBN":"9791281206045","author":[{"dropping-particle":"","family":"Virruso","given":"Giovanni","non-dropping-particle":"","parse-names":false,"suffix":""},{"dropping-particle":"","family":"Cassaro","given":"Calogero","non-dropping-particle":"","parse-names":false,"suffix":""},{"dropping-particle":"","family":"Tamburini","given":"Alessandro","non-dropping-particle":"","parse-names":false,"suffix":""},{"dropping-particle":"","family":"Cipollina","given":"Andrea","non-dropping-particle":"","parse-names":false,"suffix":""},{"dropping-particle":"","family":"Micale","given":"Giorgio D M","non-dropping-particle":"","parse-names":false,"suffix":""}],"id":"ITEM-1","issue":"February","issued":{"date-parts":[["2023"]]},"page":"73-78","title":"Performance Evaluation of an Electrodialysis with Bipolar Membranes Pilot Plant Operated in Feed &amp; Bleed Mode","type":"article-journal","volume":"105"},"uris":["http://www.mendeley.com/documents/?uuid=1eb81239-a7bc-447a-bd76-d2116e42ca17"]}],"mendeley":{"formattedCitation":"(Virruso et al. 2023)","plainTextFormattedCitation":"(Virruso et al. 2023)","previouslyFormattedCitation":"(Virruso et al. 2023)"},"properties":{"noteIndex":0},"schema":"https://github.com/citation-style-language/schema/raw/master/csl-citation.json"}</w:instrText>
      </w:r>
      <w:r w:rsidR="00881F58">
        <w:rPr>
          <w:lang w:eastAsia="it-IT"/>
        </w:rPr>
        <w:fldChar w:fldCharType="separate"/>
      </w:r>
      <w:r w:rsidR="00881F58" w:rsidRPr="00881F58">
        <w:rPr>
          <w:noProof/>
          <w:lang w:eastAsia="it-IT"/>
        </w:rPr>
        <w:t>(Virruso et al. 2023)</w:t>
      </w:r>
      <w:r w:rsidR="00881F58">
        <w:rPr>
          <w:lang w:eastAsia="it-IT"/>
        </w:rPr>
        <w:fldChar w:fldCharType="end"/>
      </w:r>
      <w:r w:rsidR="00297068">
        <w:rPr>
          <w:lang w:eastAsia="it-IT"/>
        </w:rPr>
        <w:t>.</w:t>
      </w:r>
      <w:r w:rsidR="007F714A" w:rsidRPr="007F714A">
        <w:rPr>
          <w:lang w:eastAsia="it-IT"/>
        </w:rPr>
        <w:t xml:space="preserve"> </w:t>
      </w:r>
      <w:bookmarkStart w:id="0" w:name="_Hlk152618802"/>
      <w:r w:rsidR="00B21C42">
        <w:rPr>
          <w:lang w:eastAsia="it-IT"/>
        </w:rPr>
        <w:t xml:space="preserve">Furthermore, </w:t>
      </w:r>
      <w:r w:rsidR="00B21C42" w:rsidRPr="00B21C42">
        <w:t xml:space="preserve">the utilization of RESs could allow </w:t>
      </w:r>
      <w:r w:rsidR="00210C5B">
        <w:t>an off grid</w:t>
      </w:r>
      <w:r w:rsidR="006713A3">
        <w:t>-</w:t>
      </w:r>
      <w:r w:rsidR="00210C5B">
        <w:t>spreading of this process in remote areas.</w:t>
      </w:r>
      <w:bookmarkEnd w:id="0"/>
      <w:r w:rsidR="00511F78" w:rsidRPr="00835D1C">
        <w:rPr>
          <w:lang w:val="nl-NL" w:eastAsia="it-IT"/>
        </w:rPr>
        <w:t xml:space="preserve"> Herrero-Gonzalez et al.</w:t>
      </w:r>
      <w:r w:rsidR="009346B6">
        <w:rPr>
          <w:lang w:val="nl-NL" w:eastAsia="it-IT"/>
        </w:rPr>
        <w:t xml:space="preserve"> </w:t>
      </w:r>
      <w:r w:rsidR="00511F78" w:rsidRPr="00511F78">
        <w:rPr>
          <w:lang w:eastAsia="it-IT"/>
        </w:rPr>
        <w:fldChar w:fldCharType="begin" w:fldLock="1"/>
      </w:r>
      <w:r w:rsidR="00A82DAF" w:rsidRPr="00835D1C">
        <w:rPr>
          <w:lang w:val="nl-NL" w:eastAsia="it-IT"/>
        </w:rPr>
        <w:instrText>ADDIN CSL_CITATION {"citationItems":[{"id":"ITEM-1","itemData":{"DOI":"10.1016/j.desal.2018.01.015","ISSN":"00119164","abstract":"Electrochemical process like Electrodialysis (ED) and Electrodialysis with Bipolar Membranes (EDBM) can contribute to the production of freshwater and to the valorization of waste streams. In particular, EDBM can valorize the waste from desalination technologies using electric power, producing acids (HCl) and basis (NaOH) from seawater rejected brines. The use of a variable current intensity coming from a low-carbon source such as photovoltaic (PV) solar energy means a decrease of the associated carbon footprint of the obtained products. In this work, the reduction of the Specific Energy Consumption (SEC) of the acid from an EDBM process thanks to a feedback control loop under variable current intensity is presented. The EDBM process works in continuous or semi-continuous mode under constant or variable current intensity by means of a PV solar array simulator for 30 h. A concentration around 1 mol·L−1 HCl has been obtained in all experiments even under variable current intensity. A noticeable drop in the SEC from a reference value of 7.3 kWh·kg−1 HCl (constant current intensity) to 4.4 kWh·kg−1 HCl (variable current intensity and feedback control loop) was reported.","author":[{"dropping-particle":"","family":"Herrero-Gonzalez","given":"Marta","non-dropping-particle":"","parse-names":false,"suffix":""},{"dropping-particle":"","family":"Diaz-Guridi","given":"Pedro","non-dropping-particle":"","parse-names":false,"suffix":""},{"dropping-particle":"","family":"Dominguez-Ramos","given":"Antonio","non-dropping-particle":"","parse-names":false,"suffix":""},{"dropping-particle":"","family":"Ibañez","given":"Raquel","non-dropping-particle":"","parse-names":false,"suffix":""},{"dropping-particle":"","family":"Irabien","given":"Angel","non-dropping-particle":"","parse-names":false,"suffix":""}],"container-title":"Desalination","id":"ITEM-1","issued":{"date-parts":[["2018"]]},"title":"Photovoltaic solar electrodialysis with bipolar membranes","type":"article-journal","volume":"433"},"uris":["http://www.mendeley.com/documents/?uuid=9495b7d2-8a38-3783-bb48-94690f94e5b6"]}],"mendeley":{"formattedCitation":"(Herrero-Gonzalez et al. 2018)","plainTextFormattedCitation":"(Herrero-Gonzalez et al. 2018)","previouslyFormattedCitation":"(Herrero-Gonzalez et al. 2018)"},"properties":{"noteIndex":0},"schema":"https://github.com/citation-style-language/schema/raw/master/csl-citation.json"}</w:instrText>
      </w:r>
      <w:r w:rsidR="00511F78" w:rsidRPr="00511F78">
        <w:rPr>
          <w:lang w:eastAsia="it-IT"/>
        </w:rPr>
        <w:fldChar w:fldCharType="separate"/>
      </w:r>
      <w:r w:rsidR="006D19D6" w:rsidRPr="00835D1C">
        <w:rPr>
          <w:noProof/>
          <w:lang w:val="nl-NL" w:eastAsia="it-IT"/>
        </w:rPr>
        <w:t>(Herrero-Gonzalez et al. 2018)</w:t>
      </w:r>
      <w:r w:rsidR="00511F78" w:rsidRPr="00511F78">
        <w:rPr>
          <w:lang w:eastAsia="it-IT"/>
        </w:rPr>
        <w:fldChar w:fldCharType="end"/>
      </w:r>
      <w:r w:rsidR="00511F78" w:rsidRPr="00835D1C">
        <w:rPr>
          <w:lang w:val="nl-NL" w:eastAsia="it-IT"/>
        </w:rPr>
        <w:t xml:space="preserve"> have </w:t>
      </w:r>
      <w:r w:rsidR="00FE313E" w:rsidRPr="00835D1C">
        <w:rPr>
          <w:lang w:val="nl-NL" w:eastAsia="it-IT"/>
        </w:rPr>
        <w:t>proposed</w:t>
      </w:r>
      <w:r w:rsidR="00511F78" w:rsidRPr="00835D1C">
        <w:rPr>
          <w:lang w:val="nl-NL" w:eastAsia="it-IT"/>
        </w:rPr>
        <w:t xml:space="preserve"> a PV-EDBM set-up coupling a lab-scale EDBM stack (A</w:t>
      </w:r>
      <w:r w:rsidR="00511F78" w:rsidRPr="00835D1C">
        <w:rPr>
          <w:vertAlign w:val="subscript"/>
          <w:lang w:val="nl-NL" w:eastAsia="it-IT"/>
        </w:rPr>
        <w:t>m</w:t>
      </w:r>
      <w:r w:rsidR="00511F78" w:rsidRPr="00835D1C">
        <w:rPr>
          <w:lang w:val="nl-NL" w:eastAsia="it-IT"/>
        </w:rPr>
        <w:t>=0.01 m</w:t>
      </w:r>
      <w:r w:rsidR="00511F78" w:rsidRPr="00835D1C">
        <w:rPr>
          <w:vertAlign w:val="superscript"/>
          <w:lang w:val="nl-NL" w:eastAsia="it-IT"/>
        </w:rPr>
        <w:t>2</w:t>
      </w:r>
      <w:r w:rsidR="00511F78" w:rsidRPr="00835D1C">
        <w:rPr>
          <w:lang w:val="nl-NL" w:eastAsia="it-IT"/>
        </w:rPr>
        <w:t xml:space="preserve">) with a PV solar array simulator. </w:t>
      </w:r>
      <w:r w:rsidR="00511F78" w:rsidRPr="00511F78">
        <w:rPr>
          <w:lang w:eastAsia="it-IT"/>
        </w:rPr>
        <w:t xml:space="preserve">The system was operated in semi-batch configuration </w:t>
      </w:r>
      <w:r w:rsidR="009A6250">
        <w:rPr>
          <w:lang w:eastAsia="it-IT"/>
        </w:rPr>
        <w:t>switching</w:t>
      </w:r>
      <w:r w:rsidR="002572DF">
        <w:rPr>
          <w:lang w:eastAsia="it-IT"/>
        </w:rPr>
        <w:t xml:space="preserve"> </w:t>
      </w:r>
      <w:r w:rsidR="00511F78" w:rsidRPr="00511F78">
        <w:rPr>
          <w:lang w:eastAsia="it-IT"/>
        </w:rPr>
        <w:t>on</w:t>
      </w:r>
      <w:r w:rsidR="009A6250">
        <w:rPr>
          <w:lang w:eastAsia="it-IT"/>
        </w:rPr>
        <w:t xml:space="preserve"> and </w:t>
      </w:r>
      <w:r w:rsidR="00511F78" w:rsidRPr="00511F78">
        <w:rPr>
          <w:lang w:eastAsia="it-IT"/>
        </w:rPr>
        <w:t xml:space="preserve">off </w:t>
      </w:r>
      <w:r w:rsidR="00AD0666" w:rsidRPr="00511F78">
        <w:rPr>
          <w:lang w:eastAsia="it-IT"/>
        </w:rPr>
        <w:t>the outlet flowrate</w:t>
      </w:r>
      <w:r w:rsidR="00AD0666">
        <w:rPr>
          <w:lang w:eastAsia="it-IT"/>
        </w:rPr>
        <w:t>s</w:t>
      </w:r>
      <w:r w:rsidR="00AD0666" w:rsidRPr="00511F78">
        <w:rPr>
          <w:lang w:eastAsia="it-IT"/>
        </w:rPr>
        <w:t xml:space="preserve"> </w:t>
      </w:r>
      <w:r w:rsidR="009A6250">
        <w:rPr>
          <w:lang w:eastAsia="it-IT"/>
        </w:rPr>
        <w:t xml:space="preserve">according to the pH </w:t>
      </w:r>
      <w:r w:rsidR="00AD0666">
        <w:rPr>
          <w:lang w:eastAsia="it-IT"/>
        </w:rPr>
        <w:t xml:space="preserve">of the acid tank </w:t>
      </w:r>
      <w:r w:rsidR="00511F78" w:rsidRPr="00511F78">
        <w:rPr>
          <w:lang w:eastAsia="it-IT"/>
        </w:rPr>
        <w:t>and the conductivity of the sal</w:t>
      </w:r>
      <w:r w:rsidR="00AD0666">
        <w:rPr>
          <w:lang w:eastAsia="it-IT"/>
        </w:rPr>
        <w:t>t tank</w:t>
      </w:r>
      <w:r w:rsidR="00511F78" w:rsidRPr="00511F78">
        <w:rPr>
          <w:lang w:eastAsia="it-IT"/>
        </w:rPr>
        <w:t xml:space="preserve">. They have demonstrated that the use of </w:t>
      </w:r>
      <w:r w:rsidR="006349B0">
        <w:rPr>
          <w:lang w:eastAsia="it-IT"/>
        </w:rPr>
        <w:t xml:space="preserve">a rudimental </w:t>
      </w:r>
      <w:r w:rsidR="00511F78" w:rsidRPr="00511F78">
        <w:rPr>
          <w:lang w:eastAsia="it-IT"/>
        </w:rPr>
        <w:t xml:space="preserve">control system could </w:t>
      </w:r>
      <w:r w:rsidR="0042432A">
        <w:rPr>
          <w:lang w:eastAsia="it-IT"/>
        </w:rPr>
        <w:t xml:space="preserve">already </w:t>
      </w:r>
      <w:r w:rsidR="00511F78" w:rsidRPr="00511F78">
        <w:rPr>
          <w:lang w:eastAsia="it-IT"/>
        </w:rPr>
        <w:t xml:space="preserve">lead to </w:t>
      </w:r>
      <w:r w:rsidR="0042432A">
        <w:rPr>
          <w:lang w:eastAsia="it-IT"/>
        </w:rPr>
        <w:t xml:space="preserve">an improvement </w:t>
      </w:r>
      <w:r w:rsidR="00F446D7">
        <w:rPr>
          <w:lang w:eastAsia="it-IT"/>
        </w:rPr>
        <w:t>in</w:t>
      </w:r>
      <w:r w:rsidR="00EE6F61">
        <w:rPr>
          <w:lang w:eastAsia="it-IT"/>
        </w:rPr>
        <w:t xml:space="preserve"> the performance indicators</w:t>
      </w:r>
      <w:r w:rsidR="00F446D7">
        <w:rPr>
          <w:lang w:eastAsia="it-IT"/>
        </w:rPr>
        <w:t>,</w:t>
      </w:r>
      <w:r w:rsidR="00EE6F61">
        <w:rPr>
          <w:lang w:eastAsia="it-IT"/>
        </w:rPr>
        <w:t xml:space="preserve"> reducing </w:t>
      </w:r>
      <w:r w:rsidR="00511F78" w:rsidRPr="00511F78">
        <w:rPr>
          <w:lang w:eastAsia="it-IT"/>
        </w:rPr>
        <w:t>the specific energy consumption (SEC) of the acid from 7.3 kWh kg</w:t>
      </w:r>
      <w:r w:rsidR="00511F78" w:rsidRPr="00511F78">
        <w:rPr>
          <w:vertAlign w:val="superscript"/>
          <w:lang w:eastAsia="it-IT"/>
        </w:rPr>
        <w:t>-1</w:t>
      </w:r>
      <w:r w:rsidR="00511F78" w:rsidRPr="00511F78">
        <w:rPr>
          <w:lang w:eastAsia="it-IT"/>
        </w:rPr>
        <w:t xml:space="preserve"> (at fixed current density) to 4.4 kWh kg</w:t>
      </w:r>
      <w:r w:rsidR="00511F78" w:rsidRPr="00511F78">
        <w:rPr>
          <w:vertAlign w:val="superscript"/>
          <w:lang w:eastAsia="it-IT"/>
        </w:rPr>
        <w:t>-1</w:t>
      </w:r>
      <w:r w:rsidR="00511F78" w:rsidRPr="00511F78">
        <w:rPr>
          <w:lang w:eastAsia="it-IT"/>
        </w:rPr>
        <w:t xml:space="preserve"> (at variable current density)</w:t>
      </w:r>
      <w:r w:rsidR="00E1280E">
        <w:rPr>
          <w:lang w:eastAsia="it-IT"/>
        </w:rPr>
        <w:t>.</w:t>
      </w:r>
    </w:p>
    <w:p w14:paraId="57643FD0" w14:textId="3C38E687" w:rsidR="007C28CC" w:rsidRDefault="00511F78" w:rsidP="00A414B9">
      <w:pPr>
        <w:jc w:val="both"/>
        <w:rPr>
          <w:lang w:eastAsia="it-IT"/>
        </w:rPr>
      </w:pPr>
      <w:r w:rsidRPr="00511F78">
        <w:rPr>
          <w:lang w:eastAsia="it-IT"/>
        </w:rPr>
        <w:t xml:space="preserve">The </w:t>
      </w:r>
      <w:r w:rsidR="00B01C2D">
        <w:rPr>
          <w:lang w:eastAsia="it-IT"/>
        </w:rPr>
        <w:t>purpose</w:t>
      </w:r>
      <w:r w:rsidRPr="00511F78">
        <w:rPr>
          <w:lang w:eastAsia="it-IT"/>
        </w:rPr>
        <w:t xml:space="preserve"> of this work </w:t>
      </w:r>
      <w:r w:rsidR="00663AED">
        <w:rPr>
          <w:lang w:eastAsia="it-IT"/>
        </w:rPr>
        <w:t>was</w:t>
      </w:r>
      <w:r w:rsidRPr="00511F78">
        <w:rPr>
          <w:lang w:eastAsia="it-IT"/>
        </w:rPr>
        <w:t xml:space="preserve"> to </w:t>
      </w:r>
      <w:r w:rsidR="00B01C2D">
        <w:rPr>
          <w:lang w:eastAsia="it-IT"/>
        </w:rPr>
        <w:t>pair</w:t>
      </w:r>
      <w:r w:rsidRPr="00511F78">
        <w:rPr>
          <w:lang w:eastAsia="it-IT"/>
        </w:rPr>
        <w:t xml:space="preserve"> a pre-industrial scale EDBM plant</w:t>
      </w:r>
      <w:r w:rsidR="00782906">
        <w:rPr>
          <w:lang w:eastAsia="it-IT"/>
        </w:rPr>
        <w:t xml:space="preserve"> </w:t>
      </w:r>
      <w:r w:rsidRPr="00511F78">
        <w:rPr>
          <w:lang w:eastAsia="it-IT"/>
        </w:rPr>
        <w:fldChar w:fldCharType="begin" w:fldLock="1"/>
      </w:r>
      <w:r w:rsidR="00A82DAF">
        <w:rPr>
          <w:lang w:eastAsia="it-IT"/>
        </w:rPr>
        <w:instrText>ADDIN CSL_CITATION {"citationItems":[{"id":"ITEM-1","itemData":{"DOI":"10.3390/membranes13020200","ISSN":"20770375","abstract":"In agreement with the Water Framework Directive, Circular Economy and European Union (EU) Green Deal packages, the EU-funded WATER-MINING project aims to validate next-generation water resource solutions at the pre-commercial demonstration scale in order to provide water management and recovery of valuable materials from alternative sources. In the framework of the WATER-MINING project, desalination brines from the Lampedusa (Italy) seawater reverse osmosis (SWRO) plant will be used to produce freshwater and recover valuable salts by integrating different technologies. In particular, electrodialysis with bipolar membranes (EDBM) will be used to produce chemicals (NaOH and HCl). A novel EDBM pilot plant (6.4 m2, FuMa-Tech) has been installed and operated. The performance of EDBM for single pass under different flowrates (2–8 L·min−1) for acid, base and saline channels, and two current densities (200 and 400 A·m−2), has been analyzed in terms of specific energy consumption (SEC) and current efficiency (CE). Results showed that by increasing the flowrates, generation of HCl and NaOH slightly increased. For example, ΔOH− shifted from 0.76 to 0.79 mol·min−1 when the flowrate increased from 2 to 7.5 L·min−1 at 200 A·m−2. Moreover, SEC decreased (1.18–1.05 kWh·kg−1) while CE increased (87.0–93.4%), achieving minimum (1.02 kWh·kg−1) and maximum (99.4%) values, respectively, at 6 L·min−1.","author":[{"dropping-particle":"","family":"Herrero-Gonzalez","given":"Marta","non-dropping-particle":"","parse-names":false,"suffix":""},{"dropping-particle":"","family":"López","given":"Julio","non-dropping-particle":"","parse-names":false,"suffix":""},{"dropping-particle":"","family":"Virruso","given":"Giovanni","non-dropping-particle":"","parse-names":false,"suffix":""},{"dropping-particle":"","family":"Cassaro","given":"Calogero","non-dropping-particle":"","parse-names":false,"suffix":""},{"dropping-particle":"","family":"Tamburini","given":"Alessandro","non-dropping-particle":"","parse-names":false,"suffix":""},{"dropping-particle":"","family":"Cipollina","given":"Andrea","non-dropping-particle":"","parse-names":false,"suffix":""},{"dropping-particle":"","family":"Cortina","given":"Jose Luis","non-dropping-particle":"","parse-names":false,"suffix":""},{"dropping-particle":"","family":"Ibañez","given":"Raquel","non-dropping-particle":"","parse-names":false,"suffix":""},{"dropping-particle":"","family":"Micale","given":"Giorgio","non-dropping-particle":"","parse-names":false,"suffix":""}],"container-title":"Membranes","id":"ITEM-1","issue":"2","issued":{"date-parts":[["2023"]]},"title":"Analysis of Operational Parameters in Acid and Base Production Using an Electrodialysis with Bipolar Membranes Pilot Plant","type":"article-journal","volume":"13"},"uris":["http://www.mendeley.com/documents/?uuid=d5be25d7-06f6-3b19-9833-df1734677bf4"]}],"mendeley":{"formattedCitation":"(Herrero-Gonzalez et al. 2023)","plainTextFormattedCitation":"(Herrero-Gonzalez et al. 2023)","previouslyFormattedCitation":"(Herrero-Gonzalez et al. 2023)"},"properties":{"noteIndex":0},"schema":"https://github.com/citation-style-language/schema/raw/master/csl-citation.json"}</w:instrText>
      </w:r>
      <w:r w:rsidRPr="00511F78">
        <w:rPr>
          <w:lang w:eastAsia="it-IT"/>
        </w:rPr>
        <w:fldChar w:fldCharType="separate"/>
      </w:r>
      <w:r w:rsidR="006D19D6" w:rsidRPr="006D19D6">
        <w:rPr>
          <w:noProof/>
          <w:lang w:eastAsia="it-IT"/>
        </w:rPr>
        <w:t>(Herrero-Gonzalez et al. 2023)</w:t>
      </w:r>
      <w:r w:rsidRPr="00511F78">
        <w:rPr>
          <w:lang w:eastAsia="it-IT"/>
        </w:rPr>
        <w:fldChar w:fldCharType="end"/>
      </w:r>
      <w:r w:rsidRPr="00511F78">
        <w:rPr>
          <w:lang w:eastAsia="it-IT"/>
        </w:rPr>
        <w:t xml:space="preserve"> with a renewable energy source. To reach this </w:t>
      </w:r>
      <w:r w:rsidR="000319E0">
        <w:rPr>
          <w:lang w:eastAsia="it-IT"/>
        </w:rPr>
        <w:t>aim</w:t>
      </w:r>
      <w:r w:rsidRPr="00511F78">
        <w:rPr>
          <w:lang w:eastAsia="it-IT"/>
        </w:rPr>
        <w:t xml:space="preserve">, advanced control systems </w:t>
      </w:r>
      <w:r w:rsidR="00663AED">
        <w:rPr>
          <w:lang w:eastAsia="it-IT"/>
        </w:rPr>
        <w:t>were</w:t>
      </w:r>
      <w:r w:rsidRPr="00511F78">
        <w:rPr>
          <w:lang w:eastAsia="it-IT"/>
        </w:rPr>
        <w:t xml:space="preserve"> developed and tested </w:t>
      </w:r>
      <w:r w:rsidR="00663AED" w:rsidRPr="00511F78">
        <w:rPr>
          <w:lang w:eastAsia="it-IT"/>
        </w:rPr>
        <w:t>first</w:t>
      </w:r>
      <w:r w:rsidR="00663AED">
        <w:rPr>
          <w:lang w:eastAsia="it-IT"/>
        </w:rPr>
        <w:t>ly</w:t>
      </w:r>
      <w:r w:rsidR="00663AED" w:rsidRPr="00511F78">
        <w:rPr>
          <w:lang w:eastAsia="it-IT"/>
        </w:rPr>
        <w:t xml:space="preserve"> </w:t>
      </w:r>
      <w:r w:rsidRPr="00511F78">
        <w:rPr>
          <w:lang w:eastAsia="it-IT"/>
        </w:rPr>
        <w:t xml:space="preserve">through the </w:t>
      </w:r>
      <w:proofErr w:type="spellStart"/>
      <w:r w:rsidR="00663AED" w:rsidRPr="00511F78">
        <w:rPr>
          <w:lang w:eastAsia="it-IT"/>
        </w:rPr>
        <w:t>Matlab</w:t>
      </w:r>
      <w:proofErr w:type="spellEnd"/>
      <w:r w:rsidR="00663AED" w:rsidRPr="00511F78">
        <w:rPr>
          <w:lang w:eastAsia="it-IT"/>
        </w:rPr>
        <w:t xml:space="preserve"> </w:t>
      </w:r>
      <w:r w:rsidRPr="00511F78">
        <w:rPr>
          <w:lang w:eastAsia="it-IT"/>
        </w:rPr>
        <w:t xml:space="preserve">dynamic simulation toolbox (Simulink). Subsequently, the controllers </w:t>
      </w:r>
      <w:r w:rsidR="00663AED">
        <w:rPr>
          <w:lang w:eastAsia="it-IT"/>
        </w:rPr>
        <w:t>were</w:t>
      </w:r>
      <w:r w:rsidRPr="00511F78">
        <w:rPr>
          <w:lang w:eastAsia="it-IT"/>
        </w:rPr>
        <w:t xml:space="preserve"> implemented in LabVIEW </w:t>
      </w:r>
      <w:r w:rsidR="000319E0">
        <w:rPr>
          <w:lang w:eastAsia="it-IT"/>
        </w:rPr>
        <w:t>software</w:t>
      </w:r>
      <w:r w:rsidRPr="00511F78">
        <w:rPr>
          <w:lang w:eastAsia="it-IT"/>
        </w:rPr>
        <w:t xml:space="preserve"> and tested in the real plant </w:t>
      </w:r>
      <w:r w:rsidR="000319E0">
        <w:rPr>
          <w:lang w:eastAsia="it-IT"/>
        </w:rPr>
        <w:t>mimicking</w:t>
      </w:r>
      <w:r w:rsidRPr="00511F78">
        <w:rPr>
          <w:lang w:eastAsia="it-IT"/>
        </w:rPr>
        <w:t xml:space="preserve"> </w:t>
      </w:r>
      <w:r w:rsidR="000319E0">
        <w:rPr>
          <w:lang w:eastAsia="it-IT"/>
        </w:rPr>
        <w:t xml:space="preserve">a </w:t>
      </w:r>
      <w:r w:rsidRPr="00511F78">
        <w:rPr>
          <w:lang w:eastAsia="it-IT"/>
        </w:rPr>
        <w:t xml:space="preserve">PV </w:t>
      </w:r>
      <w:r w:rsidR="000319E0">
        <w:rPr>
          <w:lang w:eastAsia="it-IT"/>
        </w:rPr>
        <w:t>array</w:t>
      </w:r>
      <w:r w:rsidRPr="00511F78">
        <w:rPr>
          <w:lang w:eastAsia="it-IT"/>
        </w:rPr>
        <w:t xml:space="preserve">. The </w:t>
      </w:r>
      <w:r w:rsidR="00FD014C">
        <w:rPr>
          <w:lang w:eastAsia="it-IT"/>
        </w:rPr>
        <w:t>objective</w:t>
      </w:r>
      <w:r w:rsidRPr="00511F78">
        <w:rPr>
          <w:lang w:eastAsia="it-IT"/>
        </w:rPr>
        <w:t xml:space="preserve"> of the control system </w:t>
      </w:r>
      <w:r w:rsidR="00663AED">
        <w:rPr>
          <w:lang w:eastAsia="it-IT"/>
        </w:rPr>
        <w:t>was</w:t>
      </w:r>
      <w:r w:rsidRPr="00511F78">
        <w:rPr>
          <w:lang w:eastAsia="it-IT"/>
        </w:rPr>
        <w:t xml:space="preserve"> to allow continuous operation of the equipment in highly transitory regimes, to reach and maintain the set-point concentration for both, </w:t>
      </w:r>
      <w:proofErr w:type="gramStart"/>
      <w:r w:rsidRPr="00511F78">
        <w:rPr>
          <w:lang w:eastAsia="it-IT"/>
        </w:rPr>
        <w:t>acid</w:t>
      </w:r>
      <w:proofErr w:type="gramEnd"/>
      <w:r w:rsidRPr="00511F78">
        <w:rPr>
          <w:lang w:eastAsia="it-IT"/>
        </w:rPr>
        <w:t xml:space="preserve"> and base. At the same time, the controller ensured stability over</w:t>
      </w:r>
      <w:r w:rsidR="00F26D18">
        <w:rPr>
          <w:lang w:eastAsia="it-IT"/>
        </w:rPr>
        <w:t xml:space="preserve"> </w:t>
      </w:r>
      <w:r w:rsidRPr="00511F78">
        <w:rPr>
          <w:lang w:eastAsia="it-IT"/>
        </w:rPr>
        <w:t xml:space="preserve">time maximizing the use of the available energy in terms of performance </w:t>
      </w:r>
      <w:r w:rsidR="00473091">
        <w:rPr>
          <w:lang w:eastAsia="it-IT"/>
        </w:rPr>
        <w:t>indicators</w:t>
      </w:r>
      <w:r w:rsidRPr="00511F78">
        <w:rPr>
          <w:lang w:eastAsia="it-IT"/>
        </w:rPr>
        <w:t>.</w:t>
      </w:r>
    </w:p>
    <w:p w14:paraId="0C5F89DE" w14:textId="3F9E80D2" w:rsidR="00E46A45" w:rsidRDefault="00437E81" w:rsidP="00E46A45">
      <w:pPr>
        <w:keepNext/>
        <w:jc w:val="center"/>
      </w:pPr>
      <w:r w:rsidRPr="00437E81">
        <w:lastRenderedPageBreak/>
        <w:drawing>
          <wp:inline distT="0" distB="0" distL="0" distR="0" wp14:anchorId="0D590C8B" wp14:editId="1122C00D">
            <wp:extent cx="2574325" cy="2319652"/>
            <wp:effectExtent l="0" t="0" r="0" b="0"/>
            <wp:docPr id="37501049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0573" cy="2325282"/>
                    </a:xfrm>
                    <a:prstGeom prst="rect">
                      <a:avLst/>
                    </a:prstGeom>
                    <a:noFill/>
                    <a:ln>
                      <a:noFill/>
                    </a:ln>
                  </pic:spPr>
                </pic:pic>
              </a:graphicData>
            </a:graphic>
          </wp:inline>
        </w:drawing>
      </w:r>
    </w:p>
    <w:p w14:paraId="6664EF47" w14:textId="21128490" w:rsidR="00925DF6" w:rsidRPr="007C28CC" w:rsidRDefault="00E46A45" w:rsidP="004B4374">
      <w:pPr>
        <w:pStyle w:val="Didascalia"/>
        <w:rPr>
          <w:lang w:eastAsia="it-IT"/>
        </w:rPr>
      </w:pPr>
      <w:bookmarkStart w:id="1" w:name="_Ref155619979"/>
      <w:r>
        <w:t xml:space="preserve">Figure </w:t>
      </w:r>
      <w:r>
        <w:fldChar w:fldCharType="begin"/>
      </w:r>
      <w:r>
        <w:instrText xml:space="preserve"> SEQ Figure \* ARABIC </w:instrText>
      </w:r>
      <w:r>
        <w:fldChar w:fldCharType="separate"/>
      </w:r>
      <w:r>
        <w:rPr>
          <w:noProof/>
        </w:rPr>
        <w:t>1</w:t>
      </w:r>
      <w:r>
        <w:fldChar w:fldCharType="end"/>
      </w:r>
      <w:bookmarkEnd w:id="1"/>
      <w:r w:rsidR="00F7311F">
        <w:t xml:space="preserve">. </w:t>
      </w:r>
      <w:r w:rsidR="000575D3">
        <w:t>Schematic representation of the repe</w:t>
      </w:r>
      <w:r w:rsidR="001E0AC7">
        <w:t>titive</w:t>
      </w:r>
      <w:r w:rsidR="000575D3">
        <w:t xml:space="preserve"> unit </w:t>
      </w:r>
      <w:r w:rsidR="004B4374">
        <w:t>(triplet) of an EDBM stack</w:t>
      </w:r>
    </w:p>
    <w:p w14:paraId="144DE699" w14:textId="3D5AF625" w:rsidR="008D2649" w:rsidRDefault="0081213A" w:rsidP="008D2649">
      <w:pPr>
        <w:pStyle w:val="Els-1storder-head"/>
      </w:pPr>
      <w:r>
        <w:rPr>
          <w:lang w:val="en-GB"/>
        </w:rPr>
        <w:t xml:space="preserve">Description of the pilot and its </w:t>
      </w:r>
      <w:r w:rsidR="00A72457">
        <w:rPr>
          <w:lang w:val="en-GB"/>
        </w:rPr>
        <w:t>control schemes</w:t>
      </w:r>
    </w:p>
    <w:p w14:paraId="144DE69D" w14:textId="3DC5F862" w:rsidR="008D2649" w:rsidRDefault="00103C7E" w:rsidP="00A72B8D">
      <w:pPr>
        <w:pStyle w:val="Els-2ndorder-head"/>
        <w:spacing w:before="0"/>
      </w:pPr>
      <w:r>
        <w:t>The EDBM pilot plant</w:t>
      </w:r>
    </w:p>
    <w:p w14:paraId="69C63FE3" w14:textId="37ECCD51" w:rsidR="006D7020" w:rsidRPr="006759FE" w:rsidRDefault="00103C7E" w:rsidP="006759FE">
      <w:pPr>
        <w:pStyle w:val="Els-body-text"/>
      </w:pPr>
      <w:r>
        <w:t xml:space="preserve">The </w:t>
      </w:r>
      <w:r w:rsidR="000E037F">
        <w:t>EDBM pilot</w:t>
      </w:r>
      <w:r w:rsidR="00EB4179">
        <w:t>,</w:t>
      </w:r>
      <w:r w:rsidR="000E037F">
        <w:t xml:space="preserve"> built </w:t>
      </w:r>
      <w:r w:rsidR="00EB4179">
        <w:t>with</w:t>
      </w:r>
      <w:r w:rsidR="000E037F">
        <w:t xml:space="preserve">in the framework of the </w:t>
      </w:r>
      <w:r w:rsidR="00647B2C">
        <w:t xml:space="preserve">Water Mining </w:t>
      </w:r>
      <w:r w:rsidR="00E31C42">
        <w:t>project</w:t>
      </w:r>
      <w:r w:rsidR="00EB4179">
        <w:t>,</w:t>
      </w:r>
      <w:r w:rsidR="00E14A44">
        <w:t xml:space="preserve"> </w:t>
      </w:r>
      <w:r w:rsidR="00647B2C">
        <w:t>consists of</w:t>
      </w:r>
      <w:r w:rsidR="00AE6E0F">
        <w:t xml:space="preserve"> two fund</w:t>
      </w:r>
      <w:r w:rsidR="004174C5">
        <w:t>amental parts</w:t>
      </w:r>
      <w:r w:rsidR="007C28CC">
        <w:t>: the hydraulic pumping station and the EDBM stack itself.</w:t>
      </w:r>
      <w:r w:rsidR="005C54C6">
        <w:t xml:space="preserve"> The pumping station </w:t>
      </w:r>
      <w:r w:rsidR="00782A0E">
        <w:t xml:space="preserve">housed all the hydraulic </w:t>
      </w:r>
      <w:r w:rsidR="00764857">
        <w:t>line</w:t>
      </w:r>
      <w:r w:rsidR="00647B2C">
        <w:t>s</w:t>
      </w:r>
      <w:r w:rsidR="00764857">
        <w:t xml:space="preserve"> as well as the </w:t>
      </w:r>
      <w:r w:rsidR="00DB312E">
        <w:t xml:space="preserve">monitoring and control </w:t>
      </w:r>
      <w:r w:rsidR="000A5CA5">
        <w:t xml:space="preserve">instrumentation such as </w:t>
      </w:r>
      <w:r w:rsidR="00140769">
        <w:t xml:space="preserve">flowmeters, </w:t>
      </w:r>
      <w:r w:rsidR="000A5CA5">
        <w:t xml:space="preserve">conductivity meters, </w:t>
      </w:r>
      <w:r w:rsidR="00140769">
        <w:t xml:space="preserve">pressure </w:t>
      </w:r>
      <w:r w:rsidR="009A0D8A">
        <w:t>transducers</w:t>
      </w:r>
      <w:r w:rsidR="007B2C1B">
        <w:t xml:space="preserve">, </w:t>
      </w:r>
      <w:proofErr w:type="gramStart"/>
      <w:r w:rsidR="007B2C1B">
        <w:t>pumps</w:t>
      </w:r>
      <w:proofErr w:type="gramEnd"/>
      <w:r w:rsidR="007B2C1B">
        <w:t xml:space="preserve"> and </w:t>
      </w:r>
      <w:r w:rsidR="007B3EFB">
        <w:t>electro-actuated</w:t>
      </w:r>
      <w:r w:rsidR="007B2C1B">
        <w:t xml:space="preserve"> valves.</w:t>
      </w:r>
      <w:r w:rsidR="002D556E">
        <w:t xml:space="preserve"> Furthermore, </w:t>
      </w:r>
      <w:r w:rsidR="00274370">
        <w:t xml:space="preserve">the hydraulic skid </w:t>
      </w:r>
      <w:r w:rsidR="001F216F">
        <w:t xml:space="preserve">included </w:t>
      </w:r>
      <w:r w:rsidR="00A57685">
        <w:t xml:space="preserve">the electrical cabinet </w:t>
      </w:r>
      <w:r w:rsidR="00881DF2">
        <w:t>w</w:t>
      </w:r>
      <w:r w:rsidR="008B5C9C">
        <w:t>h</w:t>
      </w:r>
      <w:r w:rsidR="00881DF2">
        <w:t xml:space="preserve">ere the acquisition </w:t>
      </w:r>
      <w:r w:rsidR="0085217B">
        <w:t xml:space="preserve">and command hardware </w:t>
      </w:r>
      <w:r w:rsidR="00064A42">
        <w:t>were</w:t>
      </w:r>
      <w:r w:rsidR="0085217B">
        <w:t xml:space="preserve"> located. </w:t>
      </w:r>
      <w:r w:rsidR="00647B2C">
        <w:t xml:space="preserve">More precisely, </w:t>
      </w:r>
      <w:r w:rsidR="00083372">
        <w:t xml:space="preserve">a chassis </w:t>
      </w:r>
      <w:r w:rsidR="00903E4A">
        <w:t xml:space="preserve">with analog acquisition and command cards </w:t>
      </w:r>
      <w:r w:rsidR="00647B2C">
        <w:t xml:space="preserve">was employed </w:t>
      </w:r>
      <w:r w:rsidR="00BC6D35">
        <w:t xml:space="preserve">to collect data and provide signals to </w:t>
      </w:r>
      <w:r w:rsidR="00960DCC">
        <w:t xml:space="preserve">the </w:t>
      </w:r>
      <w:r w:rsidR="00E8176C">
        <w:t>actuators.</w:t>
      </w:r>
      <w:r w:rsidR="00274370">
        <w:t xml:space="preserve"> </w:t>
      </w:r>
      <w:r w:rsidR="00795EAD">
        <w:t xml:space="preserve">The acquisition and command hardware </w:t>
      </w:r>
      <w:r w:rsidR="00064A42">
        <w:t>were</w:t>
      </w:r>
      <w:r w:rsidR="006256A9">
        <w:t xml:space="preserve"> </w:t>
      </w:r>
      <w:r w:rsidR="00393E67">
        <w:t xml:space="preserve">provided by National </w:t>
      </w:r>
      <w:r w:rsidR="00772167">
        <w:t>I</w:t>
      </w:r>
      <w:r w:rsidR="00393E67">
        <w:t>nstrument</w:t>
      </w:r>
      <w:r w:rsidR="00772167">
        <w:t xml:space="preserve">. </w:t>
      </w:r>
      <w:r w:rsidR="009B6775">
        <w:t>LabVIEW</w:t>
      </w:r>
      <w:r w:rsidR="00393E67">
        <w:t xml:space="preserve"> </w:t>
      </w:r>
      <w:r w:rsidR="00772167">
        <w:t xml:space="preserve">was employed </w:t>
      </w:r>
      <w:r w:rsidR="00C07858">
        <w:t xml:space="preserve">as software to develop the </w:t>
      </w:r>
      <w:r w:rsidR="002A09C4">
        <w:t>Programmable Logic Controller (PLC) and the Human Machine Interface (HMI) of the plant.</w:t>
      </w:r>
      <w:r w:rsidR="00F31B93">
        <w:t xml:space="preserve"> </w:t>
      </w:r>
      <w:r w:rsidR="006D7020" w:rsidRPr="006D7020">
        <w:rPr>
          <w:iCs/>
          <w:color w:val="000000"/>
        </w:rPr>
        <w:t xml:space="preserve">The EDBM stack </w:t>
      </w:r>
      <w:r w:rsidR="00FD2D09">
        <w:rPr>
          <w:iCs/>
          <w:color w:val="000000"/>
        </w:rPr>
        <w:t>was</w:t>
      </w:r>
      <w:r w:rsidR="006D7020" w:rsidRPr="006D7020">
        <w:rPr>
          <w:iCs/>
          <w:color w:val="000000"/>
        </w:rPr>
        <w:t xml:space="preserve"> an FT-ED1600-3 unit provided by </w:t>
      </w:r>
      <w:proofErr w:type="spellStart"/>
      <w:r w:rsidR="006D7020" w:rsidRPr="006D7020">
        <w:rPr>
          <w:iCs/>
          <w:color w:val="000000"/>
        </w:rPr>
        <w:t>FuMA</w:t>
      </w:r>
      <w:proofErr w:type="spellEnd"/>
      <w:r w:rsidR="006D7020" w:rsidRPr="006D7020">
        <w:rPr>
          <w:iCs/>
          <w:color w:val="000000"/>
        </w:rPr>
        <w:t>-Tech GmbH (Germany). The stack consisted of 40 triplets divided into two modules with 20 triplets each, reaching a total active membrane area of 19.2 m</w:t>
      </w:r>
      <w:r w:rsidR="006D7020" w:rsidRPr="006D7020">
        <w:rPr>
          <w:iCs/>
          <w:color w:val="000000"/>
          <w:vertAlign w:val="superscript"/>
        </w:rPr>
        <w:t>2</w:t>
      </w:r>
      <w:r w:rsidR="006D7020" w:rsidRPr="006D7020">
        <w:rPr>
          <w:iCs/>
          <w:color w:val="000000"/>
        </w:rPr>
        <w:t>. These two modules were put in communication in series using as internal staging the channels derived in the anode plate.</w:t>
      </w:r>
    </w:p>
    <w:p w14:paraId="7B1C962E" w14:textId="7A0A8530" w:rsidR="00D31DED" w:rsidRPr="00E834F8" w:rsidRDefault="00554158" w:rsidP="00E834F8">
      <w:pPr>
        <w:jc w:val="both"/>
        <w:rPr>
          <w:iCs/>
          <w:color w:val="000000"/>
        </w:rPr>
      </w:pPr>
      <w:r>
        <w:rPr>
          <w:iCs/>
          <w:color w:val="000000"/>
        </w:rPr>
        <w:t xml:space="preserve">The EDBM </w:t>
      </w:r>
      <w:r w:rsidR="00D7604D">
        <w:rPr>
          <w:iCs/>
          <w:color w:val="000000"/>
        </w:rPr>
        <w:t>was</w:t>
      </w:r>
      <w:r w:rsidR="00A27B79">
        <w:rPr>
          <w:iCs/>
          <w:color w:val="000000"/>
        </w:rPr>
        <w:t xml:space="preserve"> powered using a Rectifier </w:t>
      </w:r>
      <w:r w:rsidR="008D65BE" w:rsidRPr="00465788">
        <w:t xml:space="preserve">(GIUSSANI </w:t>
      </w:r>
      <w:proofErr w:type="spellStart"/>
      <w:r w:rsidR="008D65BE" w:rsidRPr="00465788">
        <w:t>Srl</w:t>
      </w:r>
      <w:proofErr w:type="spellEnd"/>
      <w:r w:rsidR="008D65BE" w:rsidRPr="00465788">
        <w:t>)</w:t>
      </w:r>
      <w:r w:rsidR="00465788">
        <w:t xml:space="preserve"> </w:t>
      </w:r>
      <w:r w:rsidR="00A27B79">
        <w:rPr>
          <w:iCs/>
          <w:color w:val="000000"/>
        </w:rPr>
        <w:t>able to re</w:t>
      </w:r>
      <w:r w:rsidR="00F16A99">
        <w:rPr>
          <w:iCs/>
          <w:color w:val="000000"/>
        </w:rPr>
        <w:t>lease a maximum power of 17</w:t>
      </w:r>
      <w:r w:rsidR="00465788">
        <w:rPr>
          <w:iCs/>
          <w:color w:val="000000"/>
        </w:rPr>
        <w:t>.5</w:t>
      </w:r>
      <w:r w:rsidR="00F16A99">
        <w:rPr>
          <w:iCs/>
          <w:color w:val="000000"/>
        </w:rPr>
        <w:t>kW corresponding to 80V and 200</w:t>
      </w:r>
      <w:r w:rsidR="00C62442">
        <w:rPr>
          <w:iCs/>
          <w:color w:val="000000"/>
        </w:rPr>
        <w:t>A.</w:t>
      </w:r>
      <w:r w:rsidR="000021F2">
        <w:rPr>
          <w:iCs/>
          <w:color w:val="000000"/>
        </w:rPr>
        <w:t xml:space="preserve"> </w:t>
      </w:r>
      <w:r w:rsidR="003A0D6A">
        <w:rPr>
          <w:iCs/>
          <w:color w:val="000000"/>
        </w:rPr>
        <w:t>Additional information</w:t>
      </w:r>
      <w:r w:rsidR="001845DE">
        <w:rPr>
          <w:iCs/>
          <w:color w:val="000000"/>
        </w:rPr>
        <w:t xml:space="preserve"> </w:t>
      </w:r>
      <w:r w:rsidR="00D7604D">
        <w:rPr>
          <w:iCs/>
          <w:color w:val="000000"/>
        </w:rPr>
        <w:t>were</w:t>
      </w:r>
      <w:r w:rsidR="001845DE">
        <w:rPr>
          <w:iCs/>
          <w:color w:val="000000"/>
        </w:rPr>
        <w:t xml:space="preserve"> reported in </w:t>
      </w:r>
      <w:r w:rsidR="00CC247D">
        <w:rPr>
          <w:iCs/>
          <w:color w:val="000000"/>
        </w:rPr>
        <w:t xml:space="preserve">a </w:t>
      </w:r>
      <w:r w:rsidR="001845DE">
        <w:rPr>
          <w:iCs/>
          <w:color w:val="000000"/>
        </w:rPr>
        <w:t>previous work</w:t>
      </w:r>
      <w:r w:rsidR="008E67A6">
        <w:rPr>
          <w:iCs/>
          <w:color w:val="000000"/>
        </w:rPr>
        <w:t xml:space="preserve"> </w:t>
      </w:r>
      <w:r w:rsidR="00E8492A">
        <w:rPr>
          <w:iCs/>
          <w:color w:val="000000"/>
        </w:rPr>
        <w:fldChar w:fldCharType="begin" w:fldLock="1"/>
      </w:r>
      <w:r w:rsidR="006D19D6">
        <w:rPr>
          <w:iCs/>
          <w:color w:val="000000"/>
        </w:rPr>
        <w:instrText>ADDIN CSL_CITATION {"citationItems":[{"id":"ITEM-1","itemData":{"DOI":"10.1021/acssuschemeng.2c06636","ISSN":"21680485","abstract":"Environmental concerns regarding the disposal of seawater reverse osmosis brines require the development of new valorization strategies. Electrodialysis with bipolar membrane (EDBM) technology enables the production of acid and base from a salty waste stream. In this study, an EDBM pilot plant with a membrane area of 19.2 m2 was tested. This total membrane area results much larger (i.e., more than 16 times larger) than those reported in the literature so far for the production of HCl and NaOH aqueous solutions, starting from NaCl brines. The pilot unit was tested both in continuous and discontinuous operation modes, at different current densities (200-500 A m-2). Particularly, three different process configurations were evaluated, namely, closed-loop, feed and bleed, and fed-batch. At lower applied current density (200 A m-2), the closed-loop had a lower specific energy consumption (SEC) (1.4 kWh kg-1) and a higher current efficiency (CE) (80%). When the current density was increased (300-500 A m-2), the feed and bleed mode was more appropriate due to its low values of SEC (1.9-2.6 kWh kg-1) as well as high values of specific production (SP) (0.82-1.3 ton year-1 m-2) and current efficiency (63-67%). These results showed the effect of various process configurations on the performance of the EDBM, thereby guiding the selection of the most suitable process configuration when varying the operating conditions and representing a first important step toward the implementation of this technology at industrial scale.","author":[{"dropping-particle":"","family":"Cassaro","given":"Calogero","non-dropping-particle":"","parse-names":false,"suffix":""},{"dropping-particle":"","family":"Virruso","given":"Giovanni","non-dropping-particle":"","parse-names":false,"suffix":""},{"dropping-particle":"","family":"Culcasi","given":"Andrea","non-dropping-particle":"","parse-names":false,"suffix":""},{"dropping-particle":"","family":"Cipollina","given":"Andrea","non-dropping-particle":"","parse-names":false,"suffix":""},{"dropping-particle":"","family":"Tamburini","given":"Alessandro","non-dropping-particle":"","parse-names":false,"suffix":""},{"dropping-particle":"","family":"Micale","given":"Giorgio","non-dropping-particle":"","parse-names":false,"suffix":""}],"container-title":"ACS Sustainable Chemistry and Engineering","id":"ITEM-1","issue":"7","issued":{"date-parts":[["2023"]]},"title":"Electrodialysis with Bipolar Membranes for the Sustainable Production of Chemicals from Seawater Brines at Pilot Plant Scale","type":"article-journal","volume":"11"},"uris":["http://www.mendeley.com/documents/?uuid=cd72dc70-0559-390d-88da-4be86a4f3d95"]}],"mendeley":{"formattedCitation":"(Cassaro et al. 2023)","plainTextFormattedCitation":"(Cassaro et al. 2023)","previouslyFormattedCitation":"(Cassaro et al. 2023)"},"properties":{"noteIndex":0},"schema":"https://github.com/citation-style-language/schema/raw/master/csl-citation.json"}</w:instrText>
      </w:r>
      <w:r w:rsidR="00E8492A">
        <w:rPr>
          <w:iCs/>
          <w:color w:val="000000"/>
        </w:rPr>
        <w:fldChar w:fldCharType="separate"/>
      </w:r>
      <w:r w:rsidR="00E8492A" w:rsidRPr="00E8492A">
        <w:rPr>
          <w:iCs/>
          <w:noProof/>
          <w:color w:val="000000"/>
        </w:rPr>
        <w:t>(Cassaro et al. 2023)</w:t>
      </w:r>
      <w:r w:rsidR="00E8492A">
        <w:rPr>
          <w:iCs/>
          <w:color w:val="000000"/>
        </w:rPr>
        <w:fldChar w:fldCharType="end"/>
      </w:r>
      <w:r w:rsidR="00162DB9">
        <w:rPr>
          <w:iCs/>
          <w:color w:val="000000"/>
        </w:rPr>
        <w:t>.</w:t>
      </w:r>
      <w:r w:rsidR="00E834F8">
        <w:rPr>
          <w:iCs/>
          <w:color w:val="000000"/>
        </w:rPr>
        <w:t xml:space="preserve"> </w:t>
      </w:r>
      <w:r w:rsidR="00D31DED" w:rsidRPr="00D31DED">
        <w:rPr>
          <w:bCs/>
        </w:rPr>
        <w:t xml:space="preserve">The plant </w:t>
      </w:r>
      <w:r w:rsidR="004A0C71">
        <w:rPr>
          <w:bCs/>
        </w:rPr>
        <w:t>was</w:t>
      </w:r>
      <w:r w:rsidR="00D31DED" w:rsidRPr="00D31DED">
        <w:rPr>
          <w:bCs/>
        </w:rPr>
        <w:t xml:space="preserve"> operated</w:t>
      </w:r>
      <w:r w:rsidR="009D2399">
        <w:rPr>
          <w:bCs/>
        </w:rPr>
        <w:t xml:space="preserve"> in feed and bleed </w:t>
      </w:r>
      <w:r w:rsidR="004A0C71">
        <w:rPr>
          <w:bCs/>
        </w:rPr>
        <w:t>configuration</w:t>
      </w:r>
      <w:r w:rsidR="00FA151A">
        <w:rPr>
          <w:bCs/>
        </w:rPr>
        <w:t>,</w:t>
      </w:r>
      <w:r w:rsidR="00D31DED" w:rsidRPr="00D31DED">
        <w:rPr>
          <w:bCs/>
        </w:rPr>
        <w:t xml:space="preserve"> feeding continuously acid, base and salt solutions, while the electrode rinse solution was always operated in closed-loop mode.</w:t>
      </w:r>
      <w:r w:rsidR="00FA151A">
        <w:rPr>
          <w:bCs/>
        </w:rPr>
        <w:t xml:space="preserve"> </w:t>
      </w:r>
    </w:p>
    <w:p w14:paraId="4E00ED01" w14:textId="379FF1B6" w:rsidR="0085707E" w:rsidRDefault="0085707E" w:rsidP="0085707E">
      <w:pPr>
        <w:pStyle w:val="Els-2ndorder-head"/>
      </w:pPr>
      <w:r>
        <w:t>Advanced control strategies</w:t>
      </w:r>
    </w:p>
    <w:p w14:paraId="5EF45105" w14:textId="231DC6CE" w:rsidR="0085707E" w:rsidRDefault="003D52D4" w:rsidP="00103C7E">
      <w:pPr>
        <w:pStyle w:val="Els-body-text"/>
        <w:rPr>
          <w:lang w:val="en-GB"/>
        </w:rPr>
      </w:pPr>
      <w:r>
        <w:rPr>
          <w:lang w:val="en-GB"/>
        </w:rPr>
        <w:t xml:space="preserve">Several control systems </w:t>
      </w:r>
      <w:r w:rsidR="00792AD5">
        <w:rPr>
          <w:lang w:val="en-GB"/>
        </w:rPr>
        <w:t>were</w:t>
      </w:r>
      <w:r>
        <w:rPr>
          <w:lang w:val="en-GB"/>
        </w:rPr>
        <w:t xml:space="preserve"> designed and implemented inside the PLC </w:t>
      </w:r>
      <w:r w:rsidR="0000131B">
        <w:rPr>
          <w:lang w:val="en-GB"/>
        </w:rPr>
        <w:t xml:space="preserve">to make the EDBM plant able to </w:t>
      </w:r>
      <w:r w:rsidR="004E3034">
        <w:rPr>
          <w:lang w:val="en-GB"/>
        </w:rPr>
        <w:t xml:space="preserve">work </w:t>
      </w:r>
      <w:r w:rsidR="00721225">
        <w:rPr>
          <w:lang w:val="en-GB"/>
        </w:rPr>
        <w:t xml:space="preserve">automatically </w:t>
      </w:r>
      <w:r w:rsidR="004E3034">
        <w:rPr>
          <w:lang w:val="en-GB"/>
        </w:rPr>
        <w:t xml:space="preserve">under </w:t>
      </w:r>
      <w:r w:rsidR="00516F44">
        <w:rPr>
          <w:lang w:val="en-GB"/>
        </w:rPr>
        <w:t xml:space="preserve">dynamic conditions. </w:t>
      </w:r>
      <w:r w:rsidR="00721225">
        <w:rPr>
          <w:lang w:val="en-GB"/>
        </w:rPr>
        <w:t>Part</w:t>
      </w:r>
      <w:r w:rsidR="00721225" w:rsidRPr="00000976">
        <w:rPr>
          <w:lang w:val="en-GB"/>
        </w:rPr>
        <w:t>icularly</w:t>
      </w:r>
      <w:r w:rsidR="00385A8A" w:rsidRPr="00000976">
        <w:rPr>
          <w:lang w:val="en-GB"/>
        </w:rPr>
        <w:t>,</w:t>
      </w:r>
      <w:r w:rsidR="00385A8A" w:rsidRPr="00000976">
        <w:rPr>
          <w:lang w:eastAsia="it-IT"/>
        </w:rPr>
        <w:t xml:space="preserve"> </w:t>
      </w:r>
      <w:r w:rsidR="00000976" w:rsidRPr="00000976">
        <w:rPr>
          <w:bCs/>
        </w:rPr>
        <w:t xml:space="preserve">the </w:t>
      </w:r>
      <w:r w:rsidR="000257A7">
        <w:rPr>
          <w:bCs/>
        </w:rPr>
        <w:t>dynamic</w:t>
      </w:r>
      <w:r w:rsidR="000257A7" w:rsidRPr="00000976">
        <w:rPr>
          <w:bCs/>
        </w:rPr>
        <w:t xml:space="preserve"> </w:t>
      </w:r>
      <w:r w:rsidR="00000976" w:rsidRPr="00000976">
        <w:rPr>
          <w:bCs/>
        </w:rPr>
        <w:t xml:space="preserve">behavior of the uncontrolled system </w:t>
      </w:r>
      <w:r w:rsidR="000257A7">
        <w:rPr>
          <w:bCs/>
        </w:rPr>
        <w:t>was</w:t>
      </w:r>
      <w:r w:rsidR="007D6B6C">
        <w:rPr>
          <w:bCs/>
        </w:rPr>
        <w:t xml:space="preserve"> investigated</w:t>
      </w:r>
      <w:r w:rsidR="00000976" w:rsidRPr="00000976">
        <w:rPr>
          <w:bCs/>
        </w:rPr>
        <w:t xml:space="preserve">, </w:t>
      </w:r>
      <w:proofErr w:type="gramStart"/>
      <w:r w:rsidR="00000976" w:rsidRPr="00000976">
        <w:rPr>
          <w:bCs/>
        </w:rPr>
        <w:t>in order to</w:t>
      </w:r>
      <w:proofErr w:type="gramEnd"/>
      <w:r w:rsidR="00000976" w:rsidRPr="00000976">
        <w:rPr>
          <w:bCs/>
        </w:rPr>
        <w:t xml:space="preserve"> </w:t>
      </w:r>
      <w:r w:rsidR="007D6B6C">
        <w:rPr>
          <w:bCs/>
        </w:rPr>
        <w:t>understand</w:t>
      </w:r>
      <w:r w:rsidR="00000976" w:rsidRPr="00000976">
        <w:rPr>
          <w:bCs/>
        </w:rPr>
        <w:t xml:space="preserve"> the dynamic features of </w:t>
      </w:r>
      <w:r w:rsidR="006B2EEF">
        <w:rPr>
          <w:bCs/>
        </w:rPr>
        <w:t>main variables involved in the process</w:t>
      </w:r>
      <w:r w:rsidR="00000976" w:rsidRPr="00000976">
        <w:rPr>
          <w:bCs/>
        </w:rPr>
        <w:t xml:space="preserve">. </w:t>
      </w:r>
      <w:r w:rsidR="00385A8A" w:rsidRPr="00385A8A">
        <w:rPr>
          <w:lang w:eastAsia="it-IT"/>
        </w:rPr>
        <w:t xml:space="preserve">The dynamic trends collected from the experimental campaign </w:t>
      </w:r>
      <w:r w:rsidR="000257A7">
        <w:rPr>
          <w:lang w:eastAsia="it-IT"/>
        </w:rPr>
        <w:t>were</w:t>
      </w:r>
      <w:r w:rsidR="00385A8A" w:rsidRPr="00385A8A">
        <w:rPr>
          <w:lang w:eastAsia="it-IT"/>
        </w:rPr>
        <w:t xml:space="preserve"> fitted, using </w:t>
      </w:r>
      <w:r w:rsidR="00A71B3E">
        <w:rPr>
          <w:lang w:eastAsia="it-IT"/>
        </w:rPr>
        <w:t xml:space="preserve">first order </w:t>
      </w:r>
      <w:r w:rsidR="00385A8A" w:rsidRPr="00385A8A">
        <w:rPr>
          <w:lang w:eastAsia="it-IT"/>
        </w:rPr>
        <w:t>transfer function model, to obtain reliable relationship</w:t>
      </w:r>
      <w:r w:rsidR="000257A7">
        <w:rPr>
          <w:lang w:eastAsia="it-IT"/>
        </w:rPr>
        <w:t>s</w:t>
      </w:r>
      <w:r w:rsidR="00385A8A" w:rsidRPr="00385A8A">
        <w:rPr>
          <w:lang w:eastAsia="it-IT"/>
        </w:rPr>
        <w:t xml:space="preserve"> having the outlet variables as a function of the inlet ones</w:t>
      </w:r>
      <w:r w:rsidR="004D6103">
        <w:rPr>
          <w:lang w:eastAsia="it-IT"/>
        </w:rPr>
        <w:t>.</w:t>
      </w:r>
      <w:r w:rsidR="006F0281">
        <w:rPr>
          <w:lang w:eastAsia="it-IT"/>
        </w:rPr>
        <w:t xml:space="preserve"> This investigation </w:t>
      </w:r>
      <w:r w:rsidR="00617B8C">
        <w:rPr>
          <w:lang w:val="en-GB"/>
        </w:rPr>
        <w:t xml:space="preserve">led to the </w:t>
      </w:r>
      <w:r w:rsidR="00A14AA2">
        <w:rPr>
          <w:lang w:val="en-GB"/>
        </w:rPr>
        <w:t xml:space="preserve">development of </w:t>
      </w:r>
      <w:r w:rsidR="005A719F">
        <w:rPr>
          <w:lang w:val="en-GB"/>
        </w:rPr>
        <w:t>four advanced controllers</w:t>
      </w:r>
      <w:r w:rsidR="000257A7">
        <w:rPr>
          <w:lang w:val="en-GB"/>
        </w:rPr>
        <w:t>: (</w:t>
      </w:r>
      <w:proofErr w:type="spellStart"/>
      <w:r w:rsidR="000257A7">
        <w:rPr>
          <w:lang w:val="en-GB"/>
        </w:rPr>
        <w:t>i</w:t>
      </w:r>
      <w:proofErr w:type="spellEnd"/>
      <w:r w:rsidR="000257A7">
        <w:rPr>
          <w:lang w:val="en-GB"/>
        </w:rPr>
        <w:t>)</w:t>
      </w:r>
      <w:r w:rsidR="00757D76">
        <w:rPr>
          <w:lang w:val="en-GB"/>
        </w:rPr>
        <w:t xml:space="preserve"> </w:t>
      </w:r>
      <w:r w:rsidR="008569DB" w:rsidRPr="006E7B4B">
        <w:rPr>
          <w:lang w:eastAsia="it-IT"/>
        </w:rPr>
        <w:t xml:space="preserve">the </w:t>
      </w:r>
      <w:r w:rsidR="008569DB" w:rsidRPr="006E7B4B">
        <w:rPr>
          <w:lang w:eastAsia="it-IT"/>
        </w:rPr>
        <w:lastRenderedPageBreak/>
        <w:t>recirculation flowrate-maximum pressure using override logic</w:t>
      </w:r>
      <w:r w:rsidR="00F87D17">
        <w:rPr>
          <w:lang w:eastAsia="it-IT"/>
        </w:rPr>
        <w:t xml:space="preserve"> to prevent from </w:t>
      </w:r>
      <w:r w:rsidR="004116E2">
        <w:rPr>
          <w:lang w:eastAsia="it-IT"/>
        </w:rPr>
        <w:t>possible clogging phenomena</w:t>
      </w:r>
      <w:r w:rsidR="00CF27D5">
        <w:rPr>
          <w:lang w:eastAsia="it-IT"/>
        </w:rPr>
        <w:t xml:space="preserve"> which could </w:t>
      </w:r>
      <w:r w:rsidR="009220FD">
        <w:rPr>
          <w:lang w:eastAsia="it-IT"/>
        </w:rPr>
        <w:t>damage the stack</w:t>
      </w:r>
      <w:r w:rsidR="00D03990">
        <w:rPr>
          <w:lang w:eastAsia="it-IT"/>
        </w:rPr>
        <w:t>;</w:t>
      </w:r>
      <w:r w:rsidR="000257A7">
        <w:rPr>
          <w:lang w:eastAsia="it-IT"/>
        </w:rPr>
        <w:t xml:space="preserve"> (ii) the </w:t>
      </w:r>
      <w:r w:rsidR="00DB6B54" w:rsidRPr="006E7B4B">
        <w:rPr>
          <w:lang w:eastAsia="it-IT"/>
        </w:rPr>
        <w:t xml:space="preserve">product quality </w:t>
      </w:r>
      <w:r w:rsidR="000257A7">
        <w:rPr>
          <w:lang w:eastAsia="it-IT"/>
        </w:rPr>
        <w:t xml:space="preserve">cascade </w:t>
      </w:r>
      <w:r w:rsidR="00DB6B54" w:rsidRPr="006E7B4B">
        <w:rPr>
          <w:lang w:eastAsia="it-IT"/>
        </w:rPr>
        <w:t>control</w:t>
      </w:r>
      <w:r w:rsidR="000257A7">
        <w:rPr>
          <w:lang w:eastAsia="it-IT"/>
        </w:rPr>
        <w:t xml:space="preserve">, </w:t>
      </w:r>
      <w:r w:rsidR="0070487D">
        <w:rPr>
          <w:lang w:eastAsia="it-IT"/>
        </w:rPr>
        <w:t xml:space="preserve">where the </w:t>
      </w:r>
      <w:r w:rsidR="00FE2EAC">
        <w:rPr>
          <w:lang w:eastAsia="it-IT"/>
        </w:rPr>
        <w:t xml:space="preserve">slave controller </w:t>
      </w:r>
      <w:r w:rsidR="000257A7">
        <w:rPr>
          <w:lang w:eastAsia="it-IT"/>
        </w:rPr>
        <w:t xml:space="preserve">was </w:t>
      </w:r>
      <w:r w:rsidR="00FE2EAC">
        <w:rPr>
          <w:lang w:eastAsia="it-IT"/>
        </w:rPr>
        <w:t xml:space="preserve">an outlet flowrate controller </w:t>
      </w:r>
      <w:r w:rsidR="003C27E1">
        <w:rPr>
          <w:lang w:eastAsia="it-IT"/>
        </w:rPr>
        <w:t>w</w:t>
      </w:r>
      <w:r w:rsidR="00FE2EAC">
        <w:rPr>
          <w:lang w:eastAsia="it-IT"/>
        </w:rPr>
        <w:t xml:space="preserve">ith split range logic while </w:t>
      </w:r>
      <w:r w:rsidR="00BD34AA">
        <w:rPr>
          <w:lang w:eastAsia="it-IT"/>
        </w:rPr>
        <w:t xml:space="preserve">the master </w:t>
      </w:r>
      <w:r w:rsidR="000257A7">
        <w:rPr>
          <w:lang w:eastAsia="it-IT"/>
        </w:rPr>
        <w:t>was</w:t>
      </w:r>
      <w:r w:rsidR="00BD34AA">
        <w:rPr>
          <w:lang w:eastAsia="it-IT"/>
        </w:rPr>
        <w:t xml:space="preserve"> a conductivity control,</w:t>
      </w:r>
      <w:r w:rsidR="00715618">
        <w:rPr>
          <w:lang w:eastAsia="it-IT"/>
        </w:rPr>
        <w:t xml:space="preserve"> to </w:t>
      </w:r>
      <w:r w:rsidR="004B4BC0">
        <w:rPr>
          <w:lang w:eastAsia="it-IT"/>
        </w:rPr>
        <w:t>manage</w:t>
      </w:r>
      <w:r w:rsidR="00DA0F8D">
        <w:rPr>
          <w:lang w:eastAsia="it-IT"/>
        </w:rPr>
        <w:t xml:space="preserve"> the concentration of the </w:t>
      </w:r>
      <w:r w:rsidR="00D03990">
        <w:rPr>
          <w:lang w:eastAsia="it-IT"/>
        </w:rPr>
        <w:t>acid and base products;</w:t>
      </w:r>
      <w:r w:rsidR="00BD34AA">
        <w:rPr>
          <w:lang w:eastAsia="it-IT"/>
        </w:rPr>
        <w:t xml:space="preserve"> </w:t>
      </w:r>
      <w:r w:rsidR="000257A7">
        <w:rPr>
          <w:lang w:eastAsia="it-IT"/>
        </w:rPr>
        <w:t xml:space="preserve">(iii) </w:t>
      </w:r>
      <w:r w:rsidR="00BD34AA">
        <w:rPr>
          <w:lang w:eastAsia="it-IT"/>
        </w:rPr>
        <w:t>the ratio control bet</w:t>
      </w:r>
      <w:r w:rsidR="0073304B">
        <w:rPr>
          <w:lang w:eastAsia="it-IT"/>
        </w:rPr>
        <w:t xml:space="preserve">ween the salty and alkaline streams </w:t>
      </w:r>
      <w:r w:rsidR="00D03990">
        <w:rPr>
          <w:lang w:eastAsia="it-IT"/>
        </w:rPr>
        <w:t xml:space="preserve">to guarantee </w:t>
      </w:r>
      <w:r w:rsidR="00D82E65">
        <w:rPr>
          <w:lang w:eastAsia="it-IT"/>
        </w:rPr>
        <w:t xml:space="preserve">the desired molar ratio among </w:t>
      </w:r>
      <w:r w:rsidR="00365B5E">
        <w:rPr>
          <w:lang w:eastAsia="it-IT"/>
        </w:rPr>
        <w:t>feed and product;</w:t>
      </w:r>
      <w:r w:rsidR="000257A7">
        <w:rPr>
          <w:lang w:eastAsia="it-IT"/>
        </w:rPr>
        <w:t xml:space="preserve">(iv) </w:t>
      </w:r>
      <w:r w:rsidR="0073304B">
        <w:rPr>
          <w:lang w:eastAsia="it-IT"/>
        </w:rPr>
        <w:t xml:space="preserve">the </w:t>
      </w:r>
      <w:r w:rsidR="00BB1EF8" w:rsidRPr="006E7B4B">
        <w:rPr>
          <w:lang w:eastAsia="it-IT"/>
        </w:rPr>
        <w:t>DC drive control for PV maximum power point tracker (MPPT)</w:t>
      </w:r>
      <w:r w:rsidR="00BB1EF8">
        <w:rPr>
          <w:lang w:eastAsia="it-IT"/>
        </w:rPr>
        <w:t xml:space="preserve">. </w:t>
      </w:r>
      <w:r w:rsidR="001B3233">
        <w:rPr>
          <w:lang w:eastAsia="it-IT"/>
        </w:rPr>
        <w:t>The latter</w:t>
      </w:r>
      <w:r w:rsidR="00BB1EF8">
        <w:rPr>
          <w:lang w:eastAsia="it-IT"/>
        </w:rPr>
        <w:t xml:space="preserve"> </w:t>
      </w:r>
      <w:r w:rsidR="000257A7">
        <w:rPr>
          <w:lang w:eastAsia="it-IT"/>
        </w:rPr>
        <w:t>was</w:t>
      </w:r>
      <w:r w:rsidR="00F97E57" w:rsidRPr="001B3233">
        <w:rPr>
          <w:lang w:eastAsia="it-IT"/>
        </w:rPr>
        <w:t xml:space="preserve"> realized to operate </w:t>
      </w:r>
      <w:r w:rsidR="00BA4435" w:rsidRPr="001B3233">
        <w:rPr>
          <w:lang w:eastAsia="it-IT"/>
        </w:rPr>
        <w:t xml:space="preserve">the system </w:t>
      </w:r>
      <w:r w:rsidR="00F97E57" w:rsidRPr="001B3233">
        <w:rPr>
          <w:lang w:eastAsia="it-IT"/>
        </w:rPr>
        <w:t xml:space="preserve">with dynamic </w:t>
      </w:r>
      <w:r w:rsidR="00BA4435" w:rsidRPr="001B3233">
        <w:rPr>
          <w:lang w:eastAsia="it-IT"/>
        </w:rPr>
        <w:t xml:space="preserve">power </w:t>
      </w:r>
      <w:r w:rsidR="00F97E57" w:rsidRPr="001B3233">
        <w:rPr>
          <w:lang w:eastAsia="it-IT"/>
        </w:rPr>
        <w:t>set-point</w:t>
      </w:r>
      <w:r w:rsidR="00C21D47">
        <w:rPr>
          <w:lang w:eastAsia="it-IT"/>
        </w:rPr>
        <w:t>,</w:t>
      </w:r>
      <w:r w:rsidR="00F97E57" w:rsidRPr="001B3233">
        <w:rPr>
          <w:lang w:eastAsia="it-IT"/>
        </w:rPr>
        <w:t xml:space="preserve"> through the use of a gaussian function fitting the real power </w:t>
      </w:r>
      <w:r w:rsidR="00D175CC">
        <w:rPr>
          <w:lang w:eastAsia="it-IT"/>
        </w:rPr>
        <w:t>produced by</w:t>
      </w:r>
      <w:r w:rsidR="00F97E57" w:rsidRPr="001B3233">
        <w:rPr>
          <w:lang w:eastAsia="it-IT"/>
        </w:rPr>
        <w:t xml:space="preserve"> a solar field</w:t>
      </w:r>
      <w:r w:rsidR="00794861" w:rsidRPr="00794861">
        <w:rPr>
          <w:lang w:eastAsia="it-IT"/>
        </w:rPr>
        <w:t xml:space="preserve"> </w:t>
      </w:r>
      <w:r w:rsidR="002C350E">
        <w:rPr>
          <w:lang w:eastAsia="it-IT"/>
        </w:rPr>
        <w:fldChar w:fldCharType="begin" w:fldLock="1"/>
      </w:r>
      <w:r w:rsidR="00A63F1F">
        <w:rPr>
          <w:lang w:eastAsia="it-IT"/>
        </w:rPr>
        <w:instrText>ADDIN CSL_CITATION {"citationItems":[{"id":"ITEM-1","itemData":{"URL":"https://joint-research-centre.ec.europa.eu/photovoltaic-geographical-information-system-pvgis_en","author":[{"dropping-particle":"","family":"EU","given":"","non-dropping-particle":"","parse-names":false,"suffix":""}],"id":"ITEM-1","issued":{"date-parts":[["2023"]]},"title":"PV-GIS","type":"webpage"},"uris":["http://www.mendeley.com/documents/?uuid=9562e4eb-ac21-4d56-8744-d6a8dab8de2a"]}],"mendeley":{"formattedCitation":"(EU 2023)","plainTextFormattedCitation":"(EU 2023)","previouslyFormattedCitation":"(EU 2023)"},"properties":{"noteIndex":0},"schema":"https://github.com/citation-style-language/schema/raw/master/csl-citation.json"}</w:instrText>
      </w:r>
      <w:r w:rsidR="002C350E">
        <w:rPr>
          <w:lang w:eastAsia="it-IT"/>
        </w:rPr>
        <w:fldChar w:fldCharType="separate"/>
      </w:r>
      <w:r w:rsidR="002C350E" w:rsidRPr="002C350E">
        <w:rPr>
          <w:noProof/>
          <w:lang w:eastAsia="it-IT"/>
        </w:rPr>
        <w:t>(EU 2023)</w:t>
      </w:r>
      <w:r w:rsidR="002C350E">
        <w:rPr>
          <w:lang w:eastAsia="it-IT"/>
        </w:rPr>
        <w:fldChar w:fldCharType="end"/>
      </w:r>
      <w:r w:rsidR="002C350E">
        <w:rPr>
          <w:lang w:eastAsia="it-IT"/>
        </w:rPr>
        <w:t xml:space="preserve"> as showed in </w:t>
      </w:r>
      <w:r w:rsidR="00794861">
        <w:rPr>
          <w:lang w:eastAsia="it-IT"/>
        </w:rPr>
        <w:fldChar w:fldCharType="begin"/>
      </w:r>
      <w:r w:rsidR="00794861">
        <w:rPr>
          <w:lang w:eastAsia="it-IT"/>
        </w:rPr>
        <w:instrText xml:space="preserve"> REF _Ref152101724 \h </w:instrText>
      </w:r>
      <w:r w:rsidR="00794861">
        <w:rPr>
          <w:lang w:eastAsia="it-IT"/>
        </w:rPr>
      </w:r>
      <w:r w:rsidR="00794861">
        <w:rPr>
          <w:lang w:eastAsia="it-IT"/>
        </w:rPr>
        <w:fldChar w:fldCharType="separate"/>
      </w:r>
      <w:r w:rsidR="003C42FA">
        <w:t xml:space="preserve">Figure </w:t>
      </w:r>
      <w:r w:rsidR="003C42FA">
        <w:rPr>
          <w:noProof/>
        </w:rPr>
        <w:t>1</w:t>
      </w:r>
      <w:r w:rsidR="00794861">
        <w:rPr>
          <w:lang w:eastAsia="it-IT"/>
        </w:rPr>
        <w:fldChar w:fldCharType="end"/>
      </w:r>
      <w:r w:rsidR="000257A7">
        <w:rPr>
          <w:lang w:eastAsia="it-IT"/>
        </w:rPr>
        <w:t>.</w:t>
      </w:r>
    </w:p>
    <w:p w14:paraId="44A51C73" w14:textId="66704899" w:rsidR="001B3233" w:rsidRDefault="00EE050F" w:rsidP="00EE050F">
      <w:pPr>
        <w:pStyle w:val="Els-body-text"/>
        <w:keepNext/>
        <w:jc w:val="center"/>
      </w:pPr>
      <w:r w:rsidRPr="00EE050F">
        <w:rPr>
          <w:noProof/>
        </w:rPr>
        <w:drawing>
          <wp:inline distT="0" distB="0" distL="0" distR="0" wp14:anchorId="65BF34D9" wp14:editId="25D5D85F">
            <wp:extent cx="4398982" cy="1534615"/>
            <wp:effectExtent l="0" t="0" r="1905" b="0"/>
            <wp:docPr id="54323439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7181" cy="1540964"/>
                    </a:xfrm>
                    <a:prstGeom prst="rect">
                      <a:avLst/>
                    </a:prstGeom>
                    <a:noFill/>
                    <a:ln>
                      <a:noFill/>
                    </a:ln>
                  </pic:spPr>
                </pic:pic>
              </a:graphicData>
            </a:graphic>
          </wp:inline>
        </w:drawing>
      </w:r>
    </w:p>
    <w:p w14:paraId="69262F77" w14:textId="37A59412" w:rsidR="00DB0D27" w:rsidRDefault="001B3233" w:rsidP="001B3233">
      <w:pPr>
        <w:pStyle w:val="Didascalia"/>
        <w:jc w:val="both"/>
      </w:pPr>
      <w:bookmarkStart w:id="2" w:name="_Ref152101724"/>
      <w:r>
        <w:t xml:space="preserve">Figure </w:t>
      </w:r>
      <w:r>
        <w:fldChar w:fldCharType="begin"/>
      </w:r>
      <w:r>
        <w:instrText xml:space="preserve"> SEQ Figure \* ARABIC </w:instrText>
      </w:r>
      <w:r>
        <w:fldChar w:fldCharType="separate"/>
      </w:r>
      <w:r w:rsidR="00E46A45">
        <w:rPr>
          <w:noProof/>
        </w:rPr>
        <w:t>2</w:t>
      </w:r>
      <w:r>
        <w:fldChar w:fldCharType="end"/>
      </w:r>
      <w:bookmarkEnd w:id="2"/>
      <w:r w:rsidR="00FC065C">
        <w:t xml:space="preserve">. </w:t>
      </w:r>
      <w:r w:rsidR="00FC065C" w:rsidRPr="00FC065C">
        <w:rPr>
          <w:szCs w:val="18"/>
        </w:rPr>
        <w:t>a) Comparison between the real and the simulated power; b) DC drive feedback control</w:t>
      </w:r>
      <w:r w:rsidR="00F9213D">
        <w:rPr>
          <w:szCs w:val="18"/>
        </w:rPr>
        <w:t>.</w:t>
      </w:r>
    </w:p>
    <w:p w14:paraId="144DE6A1" w14:textId="2FB5DC3E" w:rsidR="008D2649" w:rsidRDefault="00C6777D" w:rsidP="008D2649">
      <w:pPr>
        <w:pStyle w:val="Els-1storder-head"/>
        <w:spacing w:after="120"/>
        <w:rPr>
          <w:lang w:val="en-GB"/>
        </w:rPr>
      </w:pPr>
      <w:r>
        <w:rPr>
          <w:lang w:val="en-GB"/>
        </w:rPr>
        <w:t>Results</w:t>
      </w:r>
    </w:p>
    <w:p w14:paraId="7C27B2F5" w14:textId="47DEDBB3" w:rsidR="00481F59" w:rsidRDefault="00481F59" w:rsidP="00481F59">
      <w:pPr>
        <w:pStyle w:val="Els-body-text"/>
      </w:pPr>
      <w:r>
        <w:t xml:space="preserve">In this section, a </w:t>
      </w:r>
      <w:r w:rsidR="009C2172">
        <w:t xml:space="preserve">summary of the obtained results </w:t>
      </w:r>
      <w:r w:rsidR="00D175CC">
        <w:t xml:space="preserve">relevant to </w:t>
      </w:r>
      <w:r>
        <w:t xml:space="preserve">the summer and winter scenario </w:t>
      </w:r>
      <w:r w:rsidR="00D175CC">
        <w:t>was</w:t>
      </w:r>
      <w:r>
        <w:t xml:space="preserve"> reported. </w:t>
      </w:r>
      <w:r w:rsidR="0089230A">
        <w:t xml:space="preserve">In both cases, the </w:t>
      </w:r>
      <w:r w:rsidR="00C45E1C">
        <w:t xml:space="preserve">quality of the product, for </w:t>
      </w:r>
      <w:r w:rsidR="0092650E">
        <w:t xml:space="preserve">both acid and base, </w:t>
      </w:r>
      <w:r w:rsidR="00D175CC">
        <w:t>was</w:t>
      </w:r>
      <w:r w:rsidR="0092650E">
        <w:t xml:space="preserve"> controlled via cascade composition controller</w:t>
      </w:r>
      <w:r w:rsidR="00D175CC">
        <w:t xml:space="preserve"> (i.e. controller (ii))</w:t>
      </w:r>
      <w:r w:rsidR="00BC5586">
        <w:t xml:space="preserve">. </w:t>
      </w:r>
      <w:proofErr w:type="gramStart"/>
      <w:r w:rsidR="00D175CC">
        <w:t>As a consequence</w:t>
      </w:r>
      <w:proofErr w:type="gramEnd"/>
      <w:r w:rsidR="00BC5586">
        <w:t xml:space="preserve">, the </w:t>
      </w:r>
      <w:r w:rsidR="005B5379">
        <w:t>flowrates of the outlet stream</w:t>
      </w:r>
      <w:r w:rsidR="008A28E9">
        <w:t>s</w:t>
      </w:r>
      <w:r w:rsidR="005B5379">
        <w:t xml:space="preserve"> </w:t>
      </w:r>
      <w:r w:rsidR="00D175CC">
        <w:t>were</w:t>
      </w:r>
      <w:r w:rsidR="00D501E5">
        <w:t xml:space="preserve"> </w:t>
      </w:r>
      <w:r w:rsidR="005B5379">
        <w:t xml:space="preserve">varied </w:t>
      </w:r>
      <w:r w:rsidR="00D175CC">
        <w:t xml:space="preserve">by </w:t>
      </w:r>
      <w:r w:rsidR="00D501E5">
        <w:t xml:space="preserve">the controller </w:t>
      </w:r>
      <w:r w:rsidR="00224E36">
        <w:t xml:space="preserve">according to the power </w:t>
      </w:r>
      <w:r w:rsidR="00D501E5">
        <w:t>availability</w:t>
      </w:r>
      <w:r w:rsidR="00C639F4">
        <w:t xml:space="preserve"> in the two investigated cases</w:t>
      </w:r>
      <w:r w:rsidR="00A6751F">
        <w:t xml:space="preserve"> (</w:t>
      </w:r>
      <w:r w:rsidR="00A6751F">
        <w:fldChar w:fldCharType="begin"/>
      </w:r>
      <w:r w:rsidR="00A6751F">
        <w:instrText xml:space="preserve"> REF _Ref152139788 \h </w:instrText>
      </w:r>
      <w:r w:rsidR="00A6751F">
        <w:fldChar w:fldCharType="separate"/>
      </w:r>
      <w:r w:rsidR="003C42FA">
        <w:t xml:space="preserve">Figure </w:t>
      </w:r>
      <w:r w:rsidR="003C42FA">
        <w:rPr>
          <w:noProof/>
        </w:rPr>
        <w:t>2</w:t>
      </w:r>
      <w:r w:rsidR="00A6751F">
        <w:fldChar w:fldCharType="end"/>
      </w:r>
      <w:r w:rsidR="008A28E9">
        <w:t>).</w:t>
      </w:r>
      <w:r w:rsidR="00D501E5">
        <w:t xml:space="preserve"> </w:t>
      </w:r>
      <w:r>
        <w:t>The summer scenario, in the month of July, guaranteed the highest peak irradiation in Lampedusa, equal to 980 W m</w:t>
      </w:r>
      <w:r w:rsidRPr="00D501E5">
        <w:rPr>
          <w:vertAlign w:val="superscript"/>
        </w:rPr>
        <w:t>-2</w:t>
      </w:r>
      <w:r>
        <w:t xml:space="preserve"> at midday. On the other hand, the winter scenario, in the month of December provided the lowest peak irradiation of the year, equal to 600 W m</w:t>
      </w:r>
      <w:r w:rsidRPr="00D501E5">
        <w:rPr>
          <w:vertAlign w:val="superscript"/>
        </w:rPr>
        <w:t>-2</w:t>
      </w:r>
      <w:r>
        <w:t xml:space="preserve">. Moreover, the sunny hours decreased significantly from 12h in July </w:t>
      </w:r>
      <w:r w:rsidR="006C4770">
        <w:t xml:space="preserve">down </w:t>
      </w:r>
      <w:r>
        <w:t xml:space="preserve">to 8h in December. Furthermore, </w:t>
      </w:r>
      <w:r w:rsidR="00CE061A">
        <w:t xml:space="preserve">it </w:t>
      </w:r>
      <w:r w:rsidR="00EC41E5">
        <w:t>was</w:t>
      </w:r>
      <w:r w:rsidR="00CE061A">
        <w:t xml:space="preserve"> observed</w:t>
      </w:r>
      <w:r>
        <w:t xml:space="preserve"> a significant drop in the maximum power available, going </w:t>
      </w:r>
      <w:r w:rsidR="006C4770">
        <w:t xml:space="preserve">down </w:t>
      </w:r>
      <w:r>
        <w:t xml:space="preserve">from a maximum of 6.5 </w:t>
      </w:r>
      <w:proofErr w:type="spellStart"/>
      <w:r>
        <w:t>kWp</w:t>
      </w:r>
      <w:proofErr w:type="spellEnd"/>
      <w:r>
        <w:t xml:space="preserve"> </w:t>
      </w:r>
      <w:r w:rsidR="006C4770">
        <w:t xml:space="preserve">in July </w:t>
      </w:r>
      <w:r>
        <w:t xml:space="preserve">to 3.2 </w:t>
      </w:r>
      <w:proofErr w:type="spellStart"/>
      <w:r>
        <w:t>kWp</w:t>
      </w:r>
      <w:proofErr w:type="spellEnd"/>
      <w:r>
        <w:t xml:space="preserve"> in December. This power reduction </w:t>
      </w:r>
      <w:r w:rsidR="00DA341A">
        <w:t>dramatically affected</w:t>
      </w:r>
      <w:r>
        <w:t xml:space="preserve"> the maximum current density reached in the winter scenario, equal to 265 A m</w:t>
      </w:r>
      <w:r w:rsidRPr="00CE061A">
        <w:rPr>
          <w:vertAlign w:val="superscript"/>
        </w:rPr>
        <w:t>-2</w:t>
      </w:r>
      <w:r w:rsidR="00A72B8D" w:rsidRPr="00A72B8D">
        <w:t xml:space="preserve"> </w:t>
      </w:r>
      <w:r w:rsidR="004C0376" w:rsidRPr="004C0376">
        <w:t>com</w:t>
      </w:r>
      <w:r w:rsidR="004C0376">
        <w:t xml:space="preserve">pared to the summer scenario, equal to </w:t>
      </w:r>
      <w:r w:rsidR="002C350E">
        <w:t>435 A m</w:t>
      </w:r>
      <w:r w:rsidR="002C350E" w:rsidRPr="002C350E">
        <w:rPr>
          <w:vertAlign w:val="superscript"/>
        </w:rPr>
        <w:t>-2</w:t>
      </w:r>
      <w:r>
        <w:t>.</w:t>
      </w:r>
    </w:p>
    <w:p w14:paraId="37D20991" w14:textId="0FADCF8B" w:rsidR="00BA7BEF" w:rsidRDefault="00DA341A" w:rsidP="00357E6C">
      <w:pPr>
        <w:pStyle w:val="Els-body-text"/>
      </w:pPr>
      <w:r>
        <w:t>Notwithstanding this effect,</w:t>
      </w:r>
      <w:r w:rsidDel="00DA341A">
        <w:t xml:space="preserve"> </w:t>
      </w:r>
      <w:r w:rsidR="00481F59">
        <w:t xml:space="preserve">the control system </w:t>
      </w:r>
      <w:r>
        <w:t xml:space="preserve">was found </w:t>
      </w:r>
      <w:r w:rsidR="00481F59">
        <w:t xml:space="preserve">always able to guarantee the conductivity </w:t>
      </w:r>
      <w:proofErr w:type="gramStart"/>
      <w:r w:rsidR="00481F59">
        <w:t>set-point</w:t>
      </w:r>
      <w:proofErr w:type="gramEnd"/>
      <w:r w:rsidR="00481F59">
        <w:t xml:space="preserve"> during the working day for both acid and base. However, acid and base in the summer scenario reached values slightly </w:t>
      </w:r>
      <w:r w:rsidR="00304EC2">
        <w:t>different</w:t>
      </w:r>
      <w:r w:rsidR="0045367A">
        <w:t xml:space="preserve"> compared</w:t>
      </w:r>
      <w:r>
        <w:t xml:space="preserve"> </w:t>
      </w:r>
      <w:r w:rsidR="00481F59">
        <w:t>to the set-point</w:t>
      </w:r>
      <w:r w:rsidR="000F01F5">
        <w:t xml:space="preserve">. </w:t>
      </w:r>
      <w:r>
        <w:t xml:space="preserve">As a matter of </w:t>
      </w:r>
      <w:r w:rsidR="00481F59">
        <w:t>fact, in the summer scenario, the power changed rapidly, generating abrupt variations in the current density (disturbance) both, before and after the maximum value</w:t>
      </w:r>
      <w:r w:rsidR="00390983">
        <w:t xml:space="preserve"> </w:t>
      </w:r>
      <w:r w:rsidR="00717441">
        <w:t>(</w:t>
      </w:r>
      <w:r w:rsidR="00390983">
        <w:fldChar w:fldCharType="begin"/>
      </w:r>
      <w:r w:rsidR="00390983">
        <w:instrText xml:space="preserve"> REF _Ref152139788 \h </w:instrText>
      </w:r>
      <w:r w:rsidR="00390983">
        <w:fldChar w:fldCharType="separate"/>
      </w:r>
      <w:r w:rsidR="00390983">
        <w:t>Figure 3a</w:t>
      </w:r>
      <w:r w:rsidR="00390983">
        <w:fldChar w:fldCharType="end"/>
      </w:r>
      <w:r w:rsidR="00717441">
        <w:t>)</w:t>
      </w:r>
      <w:r w:rsidR="00481F59">
        <w:t xml:space="preserve">. </w:t>
      </w:r>
      <w:r w:rsidR="00591846">
        <w:t>Under these</w:t>
      </w:r>
      <w:r w:rsidR="00481F59">
        <w:t xml:space="preserve"> conditions, the control system </w:t>
      </w:r>
      <w:r w:rsidR="00591846">
        <w:t xml:space="preserve">was </w:t>
      </w:r>
      <w:r w:rsidR="00481F59">
        <w:t>unable to delete the off</w:t>
      </w:r>
      <w:r w:rsidR="00D43AAF">
        <w:t>-</w:t>
      </w:r>
      <w:r w:rsidR="00481F59">
        <w:t>set</w:t>
      </w:r>
      <w:r w:rsidR="00591846">
        <w:t xml:space="preserve"> completely</w:t>
      </w:r>
      <w:r w:rsidR="00D43AAF">
        <w:t>,</w:t>
      </w:r>
      <w:r w:rsidR="00481F59">
        <w:t xml:space="preserve"> since the time required to reach the set-point value </w:t>
      </w:r>
      <w:r w:rsidR="00591846">
        <w:t>was</w:t>
      </w:r>
      <w:r w:rsidR="00481F59">
        <w:t xml:space="preserve"> greater than </w:t>
      </w:r>
      <w:r w:rsidR="00591846">
        <w:t xml:space="preserve">the </w:t>
      </w:r>
      <w:r w:rsidR="00481F59">
        <w:t xml:space="preserve">disturbance variation time. On the other hand, in the winter scenario, even though the power varied as well, </w:t>
      </w:r>
      <w:r w:rsidR="007C418E">
        <w:t xml:space="preserve">the controller </w:t>
      </w:r>
      <w:r w:rsidR="004D7222">
        <w:t>kept</w:t>
      </w:r>
      <w:r w:rsidR="00481F59">
        <w:t xml:space="preserve"> the concentration fixed to the set</w:t>
      </w:r>
      <w:r w:rsidR="00890FBA">
        <w:t>-</w:t>
      </w:r>
      <w:r w:rsidR="00481F59">
        <w:t>point value, throughout the working day</w:t>
      </w:r>
      <w:r w:rsidR="00F419D3">
        <w:t xml:space="preserve"> </w:t>
      </w:r>
      <w:r w:rsidR="00F419D3">
        <w:t>(</w:t>
      </w:r>
      <w:r w:rsidR="00F419D3">
        <w:fldChar w:fldCharType="begin"/>
      </w:r>
      <w:r w:rsidR="00F419D3">
        <w:instrText xml:space="preserve"> REF _Ref152139788 \h </w:instrText>
      </w:r>
      <w:r w:rsidR="00F419D3">
        <w:fldChar w:fldCharType="separate"/>
      </w:r>
      <w:r w:rsidR="00F419D3">
        <w:t>Figure 3</w:t>
      </w:r>
      <w:r w:rsidR="00F419D3">
        <w:t>b</w:t>
      </w:r>
      <w:r w:rsidR="00F419D3">
        <w:fldChar w:fldCharType="end"/>
      </w:r>
      <w:r w:rsidR="00F419D3">
        <w:t>)</w:t>
      </w:r>
      <w:r w:rsidR="00481F59">
        <w:t>.</w:t>
      </w:r>
      <w:r w:rsidR="008C1EF9">
        <w:t xml:space="preserve"> </w:t>
      </w:r>
      <w:r w:rsidR="00207296">
        <w:fldChar w:fldCharType="begin"/>
      </w:r>
      <w:r w:rsidR="00207296">
        <w:instrText xml:space="preserve"> REF _Ref152143038 \h </w:instrText>
      </w:r>
      <w:r w:rsidR="00207296">
        <w:fldChar w:fldCharType="separate"/>
      </w:r>
      <w:r w:rsidR="003C42FA">
        <w:t xml:space="preserve">Table </w:t>
      </w:r>
      <w:r w:rsidR="003C42FA">
        <w:rPr>
          <w:noProof/>
        </w:rPr>
        <w:t>1</w:t>
      </w:r>
      <w:r w:rsidR="00207296">
        <w:fldChar w:fldCharType="end"/>
      </w:r>
      <w:r w:rsidR="00207296">
        <w:t xml:space="preserve"> </w:t>
      </w:r>
      <w:r w:rsidR="00481F59">
        <w:t xml:space="preserve">showed an overall comparison of the average parameters obtained in both scenarios, in terms of performance indicators, power, voltage and current density, for the base, which represented the product </w:t>
      </w:r>
      <w:r w:rsidR="00207296">
        <w:t>with</w:t>
      </w:r>
      <w:r w:rsidR="00481F59">
        <w:t xml:space="preserve"> higher added value. The average available power </w:t>
      </w:r>
      <w:r w:rsidR="007167D1">
        <w:t>was</w:t>
      </w:r>
      <w:r w:rsidR="00481F59">
        <w:t xml:space="preserve"> found equal to 3.2 and 2</w:t>
      </w:r>
      <w:r w:rsidR="00612C31">
        <w:t>.0</w:t>
      </w:r>
      <w:r w:rsidR="00481F59">
        <w:t xml:space="preserve"> kW for the summer </w:t>
      </w:r>
      <w:r w:rsidR="00481F59">
        <w:lastRenderedPageBreak/>
        <w:t xml:space="preserve">and winter scenarios, respectively. </w:t>
      </w:r>
      <w:r w:rsidR="00612C31">
        <w:t>This means</w:t>
      </w:r>
      <w:r w:rsidR="00481F59">
        <w:t xml:space="preserve"> that the DC drive control system</w:t>
      </w:r>
      <w:r w:rsidR="00612C31">
        <w:t xml:space="preserve"> </w:t>
      </w:r>
      <w:r w:rsidR="00481F59">
        <w:t xml:space="preserve">supplied an 11% higher external voltage in the summer scenario compared to the winter scenario to </w:t>
      </w:r>
      <w:r w:rsidR="004C0376">
        <w:t>follow t</w:t>
      </w:r>
      <w:r w:rsidR="00481F59">
        <w:t xml:space="preserve">he available power. Consequently, the average value of current density </w:t>
      </w:r>
      <w:r w:rsidR="00DF0202">
        <w:t>was</w:t>
      </w:r>
      <w:r w:rsidR="00481F59">
        <w:t xml:space="preserve"> higher in </w:t>
      </w:r>
      <w:r w:rsidR="004C7BF8">
        <w:t xml:space="preserve">the summer </w:t>
      </w:r>
      <w:r w:rsidR="00213BE8">
        <w:t>scenario</w:t>
      </w:r>
      <w:r w:rsidR="00481F59">
        <w:t xml:space="preserve"> (250 A m</w:t>
      </w:r>
      <w:r w:rsidR="00481F59" w:rsidRPr="00A801BE">
        <w:rPr>
          <w:vertAlign w:val="superscript"/>
        </w:rPr>
        <w:t>-2</w:t>
      </w:r>
      <w:r w:rsidR="00481F59">
        <w:t xml:space="preserve">) </w:t>
      </w:r>
      <w:r w:rsidR="00E47B29">
        <w:t>respect</w:t>
      </w:r>
      <w:r w:rsidR="00481F59">
        <w:t xml:space="preserve"> to </w:t>
      </w:r>
      <w:r w:rsidR="00213BE8">
        <w:t>the winter one</w:t>
      </w:r>
      <w:r w:rsidR="00087E50">
        <w:t xml:space="preserve"> </w:t>
      </w:r>
      <w:r w:rsidR="00481F59">
        <w:t>(180 A m</w:t>
      </w:r>
      <w:r w:rsidR="00481F59" w:rsidRPr="00087E50">
        <w:rPr>
          <w:vertAlign w:val="superscript"/>
        </w:rPr>
        <w:t>-2</w:t>
      </w:r>
      <w:r w:rsidR="00481F59">
        <w:t xml:space="preserve">). Looking at the performance parameters, </w:t>
      </w:r>
      <w:r w:rsidR="00400F89">
        <w:t>concerning the</w:t>
      </w:r>
      <w:r w:rsidR="00481F59">
        <w:t xml:space="preserve"> current efficiency</w:t>
      </w:r>
      <w:r w:rsidR="007F1906">
        <w:t xml:space="preserve"> (CE)</w:t>
      </w:r>
      <w:r w:rsidR="00481F59">
        <w:t xml:space="preserve">, high average values </w:t>
      </w:r>
      <w:r w:rsidR="00400F89">
        <w:t>were</w:t>
      </w:r>
      <w:r w:rsidR="00481F59">
        <w:t xml:space="preserve"> reached</w:t>
      </w:r>
      <w:r w:rsidR="00400F89" w:rsidRPr="00400F89">
        <w:t xml:space="preserve"> </w:t>
      </w:r>
      <w:r w:rsidR="00400F89">
        <w:t>in both scenarios</w:t>
      </w:r>
      <w:r w:rsidR="00481F59">
        <w:t xml:space="preserve">, both higher than 60%. However, CE in the summer scenario was 7% higher since the EDBM stack operated in feed and bleed configuration </w:t>
      </w:r>
      <w:r w:rsidR="00400F89">
        <w:t>performed</w:t>
      </w:r>
      <w:r w:rsidR="00481F59">
        <w:t xml:space="preserve"> better at higher current densities</w:t>
      </w:r>
      <w:r w:rsidR="004C0376" w:rsidRPr="004C0376">
        <w:rPr>
          <w:iCs/>
          <w:color w:val="000000"/>
        </w:rPr>
        <w:t xml:space="preserve"> </w:t>
      </w:r>
      <w:r w:rsidR="004C0376">
        <w:rPr>
          <w:iCs/>
          <w:color w:val="000000"/>
        </w:rPr>
        <w:fldChar w:fldCharType="begin" w:fldLock="1"/>
      </w:r>
      <w:r w:rsidR="004C0376">
        <w:rPr>
          <w:iCs/>
          <w:color w:val="000000"/>
        </w:rPr>
        <w:instrText>ADDIN CSL_CITATION {"citationItems":[{"id":"ITEM-1","itemData":{"DOI":"10.1021/acssuschemeng.2c06636","ISSN":"21680485","abstract":"Environmental concerns regarding the disposal of seawater reverse osmosis brines require the development of new valorization strategies. Electrodialysis with bipolar membrane (EDBM) technology enables the production of acid and base from a salty waste stream. In this study, an EDBM pilot plant with a membrane area of 19.2 m2 was tested. This total membrane area results much larger (i.e., more than 16 times larger) than those reported in the literature so far for the production of HCl and NaOH aqueous solutions, starting from NaCl brines. The pilot unit was tested both in continuous and discontinuous operation modes, at different current densities (200-500 A m-2). Particularly, three different process configurations were evaluated, namely, closed-loop, feed and bleed, and fed-batch. At lower applied current density (200 A m-2), the closed-loop had a lower specific energy consumption (SEC) (1.4 kWh kg-1) and a higher current efficiency (CE) (80%). When the current density was increased (300-500 A m-2), the feed and bleed mode was more appropriate due to its low values of SEC (1.9-2.6 kWh kg-1) as well as high values of specific production (SP) (0.82-1.3 ton year-1 m-2) and current efficiency (63-67%). These results showed the effect of various process configurations on the performance of the EDBM, thereby guiding the selection of the most suitable process configuration when varying the operating conditions and representing a first important step toward the implementation of this technology at industrial scale.","author":[{"dropping-particle":"","family":"Cassaro","given":"Calogero","non-dropping-particle":"","parse-names":false,"suffix":""},{"dropping-particle":"","family":"Virruso","given":"Giovanni","non-dropping-particle":"","parse-names":false,"suffix":""},{"dropping-particle":"","family":"Culcasi","given":"Andrea","non-dropping-particle":"","parse-names":false,"suffix":""},{"dropping-particle":"","family":"Cipollina","given":"Andrea","non-dropping-particle":"","parse-names":false,"suffix":""},{"dropping-particle":"","family":"Tamburini","given":"Alessandro","non-dropping-particle":"","parse-names":false,"suffix":""},{"dropping-particle":"","family":"Micale","given":"Giorgio","non-dropping-particle":"","parse-names":false,"suffix":""}],"container-title":"ACS Sustainable Chemistry and Engineering","id":"ITEM-1","issue":"7","issued":{"date-parts":[["2023"]]},"title":"Electrodialysis with Bipolar Membranes for the Sustainable Production of Chemicals from Seawater Brines at Pilot Plant Scale","type":"article-journal","volume":"11"},"uris":["http://www.mendeley.com/documents/?uuid=cd72dc70-0559-390d-88da-4be86a4f3d95"]}],"mendeley":{"formattedCitation":"(Cassaro et al. 2023)","plainTextFormattedCitation":"(Cassaro et al. 2023)","previouslyFormattedCitation":"(Cassaro et al. 2023)"},"properties":{"noteIndex":0},"schema":"https://github.com/citation-style-language/schema/raw/master/csl-citation.json"}</w:instrText>
      </w:r>
      <w:r w:rsidR="004C0376">
        <w:rPr>
          <w:iCs/>
          <w:color w:val="000000"/>
        </w:rPr>
        <w:fldChar w:fldCharType="separate"/>
      </w:r>
      <w:r w:rsidR="004C0376" w:rsidRPr="00E8492A">
        <w:rPr>
          <w:iCs/>
          <w:noProof/>
          <w:color w:val="000000"/>
        </w:rPr>
        <w:t>(Cassaro et al. 2023)</w:t>
      </w:r>
      <w:r w:rsidR="004C0376">
        <w:rPr>
          <w:iCs/>
          <w:color w:val="000000"/>
        </w:rPr>
        <w:fldChar w:fldCharType="end"/>
      </w:r>
      <w:r w:rsidR="00481F59">
        <w:t xml:space="preserve">. </w:t>
      </w:r>
      <w:r w:rsidR="00400F89">
        <w:t>As regards the</w:t>
      </w:r>
      <w:r w:rsidR="00481F59">
        <w:t xml:space="preserve"> specific energy consumption</w:t>
      </w:r>
      <w:r w:rsidR="001576E0">
        <w:t xml:space="preserve"> (SEC)</w:t>
      </w:r>
      <w:r w:rsidR="00400F89">
        <w:t>,</w:t>
      </w:r>
      <w:r w:rsidR="00481F59">
        <w:t xml:space="preserve"> </w:t>
      </w:r>
      <w:r w:rsidR="00400F89">
        <w:t xml:space="preserve">it was found the same </w:t>
      </w:r>
      <w:r w:rsidR="00D76169">
        <w:t xml:space="preserve">value </w:t>
      </w:r>
      <w:r w:rsidR="00B4762B">
        <w:t xml:space="preserve">for both, </w:t>
      </w:r>
      <w:proofErr w:type="gramStart"/>
      <w:r w:rsidR="00B4762B">
        <w:t>summer</w:t>
      </w:r>
      <w:proofErr w:type="gramEnd"/>
      <w:r w:rsidR="00B4762B">
        <w:t xml:space="preserve"> and winter</w:t>
      </w:r>
      <w:r w:rsidR="00481F59">
        <w:t xml:space="preserve">, likely due to the lower reduction of the average external voltage than </w:t>
      </w:r>
      <w:r w:rsidR="001576E0">
        <w:t xml:space="preserve">the </w:t>
      </w:r>
      <w:r w:rsidR="00481F59">
        <w:t xml:space="preserve">average current efficiency. </w:t>
      </w:r>
      <w:r w:rsidR="00400F89">
        <w:t>L</w:t>
      </w:r>
      <w:r w:rsidR="00481F59">
        <w:t xml:space="preserve">ast, but not the least, </w:t>
      </w:r>
      <w:r w:rsidR="00400F89">
        <w:t xml:space="preserve">the average </w:t>
      </w:r>
      <w:r w:rsidR="00481F59">
        <w:t>specific productivity</w:t>
      </w:r>
      <w:r w:rsidR="00832F15">
        <w:t xml:space="preserve"> (SP)</w:t>
      </w:r>
      <w:r w:rsidR="00481F59">
        <w:t xml:space="preserve"> resulted 25% lower in the winter scenario </w:t>
      </w:r>
      <w:r w:rsidR="00CF46FE">
        <w:t>compared</w:t>
      </w:r>
      <w:r w:rsidR="00481F59">
        <w:t xml:space="preserve"> to the summer one. This effect </w:t>
      </w:r>
      <w:r w:rsidR="00A41F1B">
        <w:t>is</w:t>
      </w:r>
      <w:r w:rsidR="00481F59">
        <w:t xml:space="preserve"> related to the higher values of current density and current efficiency in </w:t>
      </w:r>
      <w:r w:rsidR="00AB761D">
        <w:t>summer</w:t>
      </w:r>
      <w:r w:rsidR="00E02FB0">
        <w:t xml:space="preserve"> compared to </w:t>
      </w:r>
      <w:r w:rsidR="00AB761D">
        <w:t>winter</w:t>
      </w:r>
      <w:r w:rsidR="00970C4E">
        <w:t>.</w:t>
      </w:r>
    </w:p>
    <w:p w14:paraId="1411D34E" w14:textId="55B9AB9B" w:rsidR="004C0376" w:rsidRDefault="004C0376" w:rsidP="00357E6C">
      <w:pPr>
        <w:pStyle w:val="Els-body-text"/>
      </w:pPr>
      <w:r w:rsidRPr="004C0376">
        <w:rPr>
          <w:noProof/>
        </w:rPr>
        <w:drawing>
          <wp:inline distT="0" distB="0" distL="0" distR="0" wp14:anchorId="6AF91A14" wp14:editId="5EF4D3FE">
            <wp:extent cx="4499610" cy="1976120"/>
            <wp:effectExtent l="0" t="0" r="0" b="0"/>
            <wp:docPr id="14030511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9610" cy="1976120"/>
                    </a:xfrm>
                    <a:prstGeom prst="rect">
                      <a:avLst/>
                    </a:prstGeom>
                    <a:noFill/>
                    <a:ln>
                      <a:noFill/>
                    </a:ln>
                  </pic:spPr>
                </pic:pic>
              </a:graphicData>
            </a:graphic>
          </wp:inline>
        </w:drawing>
      </w:r>
    </w:p>
    <w:p w14:paraId="4F938619" w14:textId="5762DF22" w:rsidR="00466CE2" w:rsidRDefault="009137F2" w:rsidP="00466CE2">
      <w:pPr>
        <w:pStyle w:val="Didascalia"/>
        <w:spacing w:before="0"/>
        <w:jc w:val="both"/>
      </w:pPr>
      <w:bookmarkStart w:id="3" w:name="_Ref152139788"/>
      <w:r>
        <w:t xml:space="preserve">Figure </w:t>
      </w:r>
      <w:r>
        <w:fldChar w:fldCharType="begin"/>
      </w:r>
      <w:r>
        <w:instrText xml:space="preserve"> SEQ Figure \* ARABIC </w:instrText>
      </w:r>
      <w:r>
        <w:fldChar w:fldCharType="separate"/>
      </w:r>
      <w:r w:rsidR="00E46A45">
        <w:rPr>
          <w:noProof/>
        </w:rPr>
        <w:t>3</w:t>
      </w:r>
      <w:r>
        <w:fldChar w:fldCharType="end"/>
      </w:r>
      <w:bookmarkEnd w:id="3"/>
      <w:r w:rsidR="009C5712">
        <w:t xml:space="preserve">. Comparison </w:t>
      </w:r>
      <w:r w:rsidR="00933451">
        <w:t>between</w:t>
      </w:r>
      <w:r w:rsidR="009B28AC">
        <w:t xml:space="preserve"> a) Power and b) concentrations </w:t>
      </w:r>
      <w:r w:rsidR="00D43581">
        <w:t xml:space="preserve">temporal </w:t>
      </w:r>
      <w:r w:rsidR="009F0107">
        <w:t>trends, for base and acid, in summer and winter scenarios</w:t>
      </w:r>
    </w:p>
    <w:p w14:paraId="781F60FD" w14:textId="1C1A8235" w:rsidR="006B1AD3" w:rsidRDefault="006B1AD3" w:rsidP="006B1AD3">
      <w:pPr>
        <w:pStyle w:val="Didascalia"/>
        <w:keepNext/>
      </w:pPr>
      <w:bookmarkStart w:id="4" w:name="_Ref152143038"/>
      <w:r>
        <w:t xml:space="preserve">Table </w:t>
      </w:r>
      <w:r>
        <w:fldChar w:fldCharType="begin"/>
      </w:r>
      <w:r>
        <w:instrText xml:space="preserve"> SEQ Table \* ARABIC </w:instrText>
      </w:r>
      <w:r>
        <w:fldChar w:fldCharType="separate"/>
      </w:r>
      <w:r w:rsidR="003C42FA">
        <w:rPr>
          <w:noProof/>
        </w:rPr>
        <w:t>1</w:t>
      </w:r>
      <w:r>
        <w:fldChar w:fldCharType="end"/>
      </w:r>
      <w:bookmarkEnd w:id="4"/>
      <w:r>
        <w:t xml:space="preserve">. Summary </w:t>
      </w:r>
      <w:r w:rsidR="00EC3994">
        <w:t xml:space="preserve">of the average performance parameters </w:t>
      </w:r>
      <w:r w:rsidR="00115CE1">
        <w:t xml:space="preserve">in the summer and winter </w:t>
      </w:r>
      <w:r w:rsidR="00E9410B">
        <w:t>scenarios for the alkaline stream.</w:t>
      </w:r>
    </w:p>
    <w:tbl>
      <w:tblPr>
        <w:tblStyle w:val="Grigliatabella"/>
        <w:tblW w:w="7053" w:type="dxa"/>
        <w:tblLook w:val="04A0" w:firstRow="1" w:lastRow="0" w:firstColumn="1" w:lastColumn="0" w:noHBand="0" w:noVBand="1"/>
      </w:tblPr>
      <w:tblGrid>
        <w:gridCol w:w="961"/>
        <w:gridCol w:w="802"/>
        <w:gridCol w:w="926"/>
        <w:gridCol w:w="1134"/>
        <w:gridCol w:w="708"/>
        <w:gridCol w:w="1293"/>
        <w:gridCol w:w="1229"/>
      </w:tblGrid>
      <w:tr w:rsidR="00CC39EB" w14:paraId="1C6FB2A2" w14:textId="025A04C0" w:rsidTr="00AB761D">
        <w:trPr>
          <w:trHeight w:val="464"/>
        </w:trPr>
        <w:tc>
          <w:tcPr>
            <w:tcW w:w="961" w:type="dxa"/>
            <w:vAlign w:val="center"/>
          </w:tcPr>
          <w:p w14:paraId="313A4C28" w14:textId="7DFD9227" w:rsidR="00A26A3B" w:rsidRPr="00234469" w:rsidRDefault="00A26A3B" w:rsidP="00CC39EB">
            <w:pPr>
              <w:jc w:val="center"/>
              <w:rPr>
                <w:b/>
                <w:bCs/>
                <w:sz w:val="18"/>
                <w:szCs w:val="18"/>
              </w:rPr>
            </w:pPr>
            <w:r w:rsidRPr="00234469">
              <w:rPr>
                <w:b/>
                <w:bCs/>
                <w:sz w:val="18"/>
                <w:szCs w:val="18"/>
              </w:rPr>
              <w:t>Scenario</w:t>
            </w:r>
          </w:p>
        </w:tc>
        <w:tc>
          <w:tcPr>
            <w:tcW w:w="802" w:type="dxa"/>
            <w:vAlign w:val="center"/>
          </w:tcPr>
          <w:p w14:paraId="6BAAC2F9" w14:textId="77777777" w:rsidR="00A26A3B" w:rsidRPr="00234469" w:rsidRDefault="00A26A3B" w:rsidP="00CC39EB">
            <w:pPr>
              <w:jc w:val="center"/>
              <w:rPr>
                <w:b/>
                <w:bCs/>
                <w:sz w:val="18"/>
                <w:szCs w:val="18"/>
              </w:rPr>
            </w:pPr>
            <w:r w:rsidRPr="00234469">
              <w:rPr>
                <w:b/>
                <w:bCs/>
                <w:sz w:val="18"/>
                <w:szCs w:val="18"/>
              </w:rPr>
              <w:t>Power</w:t>
            </w:r>
          </w:p>
          <w:p w14:paraId="248863D0" w14:textId="74010DA0" w:rsidR="00A26A3B" w:rsidRPr="00234469" w:rsidRDefault="00A26A3B" w:rsidP="00CC39EB">
            <w:pPr>
              <w:jc w:val="center"/>
              <w:rPr>
                <w:b/>
                <w:bCs/>
                <w:sz w:val="18"/>
                <w:szCs w:val="18"/>
              </w:rPr>
            </w:pPr>
            <w:r w:rsidRPr="00234469">
              <w:rPr>
                <w:b/>
                <w:bCs/>
                <w:sz w:val="18"/>
                <w:szCs w:val="18"/>
              </w:rPr>
              <w:t>(kW)</w:t>
            </w:r>
          </w:p>
        </w:tc>
        <w:tc>
          <w:tcPr>
            <w:tcW w:w="926" w:type="dxa"/>
            <w:vAlign w:val="center"/>
          </w:tcPr>
          <w:p w14:paraId="4B4F7A04" w14:textId="4B010C2A" w:rsidR="00A26A3B" w:rsidRPr="00234469" w:rsidRDefault="00A26A3B" w:rsidP="00CC39EB">
            <w:pPr>
              <w:jc w:val="center"/>
              <w:rPr>
                <w:b/>
                <w:bCs/>
                <w:sz w:val="18"/>
                <w:szCs w:val="18"/>
              </w:rPr>
            </w:pPr>
            <w:r w:rsidRPr="00234469">
              <w:rPr>
                <w:b/>
                <w:bCs/>
                <w:sz w:val="18"/>
                <w:szCs w:val="18"/>
              </w:rPr>
              <w:t>Voltage</w:t>
            </w:r>
          </w:p>
          <w:p w14:paraId="1F69EEC4" w14:textId="0F4FE9D9" w:rsidR="00A26A3B" w:rsidRPr="00234469" w:rsidRDefault="00A26A3B" w:rsidP="00CC39EB">
            <w:pPr>
              <w:jc w:val="center"/>
              <w:rPr>
                <w:b/>
                <w:bCs/>
                <w:sz w:val="18"/>
                <w:szCs w:val="18"/>
              </w:rPr>
            </w:pPr>
            <w:r w:rsidRPr="00234469">
              <w:rPr>
                <w:b/>
                <w:bCs/>
                <w:sz w:val="18"/>
                <w:szCs w:val="18"/>
              </w:rPr>
              <w:t>(V)</w:t>
            </w:r>
          </w:p>
        </w:tc>
        <w:tc>
          <w:tcPr>
            <w:tcW w:w="1134" w:type="dxa"/>
            <w:vAlign w:val="center"/>
          </w:tcPr>
          <w:p w14:paraId="23EBD50E" w14:textId="77777777" w:rsidR="00A26A3B" w:rsidRPr="00234469" w:rsidRDefault="00A26A3B" w:rsidP="00CC39EB">
            <w:pPr>
              <w:jc w:val="center"/>
              <w:rPr>
                <w:b/>
                <w:bCs/>
                <w:sz w:val="18"/>
                <w:szCs w:val="18"/>
              </w:rPr>
            </w:pPr>
            <w:r w:rsidRPr="00234469">
              <w:rPr>
                <w:b/>
                <w:bCs/>
                <w:sz w:val="18"/>
                <w:szCs w:val="18"/>
              </w:rPr>
              <w:t>Current density</w:t>
            </w:r>
          </w:p>
          <w:p w14:paraId="3DF9A4A1" w14:textId="5D3DB8EA" w:rsidR="00A26A3B" w:rsidRPr="00234469" w:rsidRDefault="00A26A3B" w:rsidP="00CC39EB">
            <w:pPr>
              <w:jc w:val="center"/>
              <w:rPr>
                <w:b/>
                <w:bCs/>
                <w:sz w:val="18"/>
                <w:szCs w:val="18"/>
              </w:rPr>
            </w:pPr>
            <w:r w:rsidRPr="00234469">
              <w:rPr>
                <w:b/>
                <w:bCs/>
                <w:sz w:val="18"/>
                <w:szCs w:val="18"/>
              </w:rPr>
              <w:t>(A m</w:t>
            </w:r>
            <w:r w:rsidRPr="00234469">
              <w:rPr>
                <w:b/>
                <w:bCs/>
                <w:sz w:val="18"/>
                <w:szCs w:val="18"/>
                <w:vertAlign w:val="superscript"/>
              </w:rPr>
              <w:t>-2</w:t>
            </w:r>
            <w:r w:rsidRPr="00234469">
              <w:rPr>
                <w:b/>
                <w:bCs/>
                <w:sz w:val="18"/>
                <w:szCs w:val="18"/>
              </w:rPr>
              <w:t>)</w:t>
            </w:r>
          </w:p>
        </w:tc>
        <w:tc>
          <w:tcPr>
            <w:tcW w:w="708" w:type="dxa"/>
            <w:vAlign w:val="center"/>
          </w:tcPr>
          <w:p w14:paraId="611F1023" w14:textId="77777777" w:rsidR="00AA2692" w:rsidRPr="00234469" w:rsidRDefault="00AA2692" w:rsidP="00CC39EB">
            <w:pPr>
              <w:jc w:val="center"/>
              <w:rPr>
                <w:b/>
                <w:bCs/>
                <w:sz w:val="18"/>
                <w:szCs w:val="18"/>
              </w:rPr>
            </w:pPr>
            <w:r w:rsidRPr="00234469">
              <w:rPr>
                <w:b/>
                <w:bCs/>
                <w:sz w:val="18"/>
                <w:szCs w:val="18"/>
              </w:rPr>
              <w:t>CE</w:t>
            </w:r>
          </w:p>
          <w:p w14:paraId="2D2D7CA5" w14:textId="1986BD76" w:rsidR="00A26A3B" w:rsidRPr="00234469" w:rsidRDefault="00A26A3B" w:rsidP="00CC39EB">
            <w:pPr>
              <w:jc w:val="center"/>
              <w:rPr>
                <w:b/>
                <w:bCs/>
                <w:sz w:val="18"/>
                <w:szCs w:val="18"/>
              </w:rPr>
            </w:pPr>
            <w:r w:rsidRPr="00234469">
              <w:rPr>
                <w:b/>
                <w:bCs/>
                <w:sz w:val="18"/>
                <w:szCs w:val="18"/>
              </w:rPr>
              <w:t>(%)</w:t>
            </w:r>
          </w:p>
        </w:tc>
        <w:tc>
          <w:tcPr>
            <w:tcW w:w="1293" w:type="dxa"/>
            <w:vAlign w:val="center"/>
          </w:tcPr>
          <w:p w14:paraId="74885612" w14:textId="77777777" w:rsidR="00A26A3B" w:rsidRPr="00234469" w:rsidRDefault="00AA2692" w:rsidP="00CC39EB">
            <w:pPr>
              <w:jc w:val="center"/>
              <w:rPr>
                <w:b/>
                <w:bCs/>
                <w:sz w:val="18"/>
                <w:szCs w:val="18"/>
              </w:rPr>
            </w:pPr>
            <w:r w:rsidRPr="00234469">
              <w:rPr>
                <w:b/>
                <w:bCs/>
                <w:sz w:val="18"/>
                <w:szCs w:val="18"/>
              </w:rPr>
              <w:t>SEC</w:t>
            </w:r>
          </w:p>
          <w:p w14:paraId="45139CB5" w14:textId="2BED9AD0" w:rsidR="00AA2692" w:rsidRPr="00234469" w:rsidRDefault="00AA2692" w:rsidP="00CC39EB">
            <w:pPr>
              <w:jc w:val="center"/>
              <w:rPr>
                <w:b/>
                <w:bCs/>
                <w:sz w:val="18"/>
                <w:szCs w:val="18"/>
              </w:rPr>
            </w:pPr>
            <w:r w:rsidRPr="00234469">
              <w:rPr>
                <w:b/>
                <w:bCs/>
                <w:sz w:val="18"/>
                <w:szCs w:val="18"/>
              </w:rPr>
              <w:t xml:space="preserve">(kWh </w:t>
            </w:r>
            <w:proofErr w:type="gramStart"/>
            <w:r w:rsidRPr="00234469">
              <w:rPr>
                <w:b/>
                <w:bCs/>
                <w:sz w:val="18"/>
                <w:szCs w:val="18"/>
              </w:rPr>
              <w:t>kg</w:t>
            </w:r>
            <w:r w:rsidRPr="00234469">
              <w:rPr>
                <w:b/>
                <w:bCs/>
                <w:sz w:val="18"/>
                <w:szCs w:val="18"/>
                <w:vertAlign w:val="superscript"/>
              </w:rPr>
              <w:t>-1</w:t>
            </w:r>
            <w:proofErr w:type="gramEnd"/>
            <w:r w:rsidRPr="00234469">
              <w:rPr>
                <w:b/>
                <w:bCs/>
                <w:sz w:val="18"/>
                <w:szCs w:val="18"/>
              </w:rPr>
              <w:t>)</w:t>
            </w:r>
          </w:p>
        </w:tc>
        <w:tc>
          <w:tcPr>
            <w:tcW w:w="1229" w:type="dxa"/>
            <w:vAlign w:val="center"/>
          </w:tcPr>
          <w:p w14:paraId="4E12BEE1" w14:textId="77777777" w:rsidR="00A26A3B" w:rsidRPr="00234469" w:rsidRDefault="00AA2692" w:rsidP="00CC39EB">
            <w:pPr>
              <w:jc w:val="center"/>
              <w:rPr>
                <w:b/>
                <w:bCs/>
                <w:sz w:val="18"/>
                <w:szCs w:val="18"/>
              </w:rPr>
            </w:pPr>
            <w:r w:rsidRPr="00234469">
              <w:rPr>
                <w:b/>
                <w:bCs/>
                <w:sz w:val="18"/>
                <w:szCs w:val="18"/>
              </w:rPr>
              <w:t>SP</w:t>
            </w:r>
          </w:p>
          <w:p w14:paraId="5274DC37" w14:textId="5BD3DA23" w:rsidR="00AA2692" w:rsidRPr="00234469" w:rsidRDefault="00AA2692" w:rsidP="00CC39EB">
            <w:pPr>
              <w:jc w:val="center"/>
              <w:rPr>
                <w:b/>
                <w:bCs/>
                <w:sz w:val="18"/>
                <w:szCs w:val="18"/>
              </w:rPr>
            </w:pPr>
            <w:r w:rsidRPr="00234469">
              <w:rPr>
                <w:b/>
                <w:bCs/>
                <w:sz w:val="18"/>
                <w:szCs w:val="18"/>
              </w:rPr>
              <w:t>(kg</w:t>
            </w:r>
            <w:r w:rsidR="00CC39EB" w:rsidRPr="00234469">
              <w:rPr>
                <w:b/>
                <w:bCs/>
                <w:sz w:val="18"/>
                <w:szCs w:val="18"/>
              </w:rPr>
              <w:t xml:space="preserve"> h</w:t>
            </w:r>
            <w:r w:rsidR="00CC39EB" w:rsidRPr="00234469">
              <w:rPr>
                <w:b/>
                <w:bCs/>
                <w:sz w:val="18"/>
                <w:szCs w:val="18"/>
                <w:vertAlign w:val="superscript"/>
              </w:rPr>
              <w:t>-1</w:t>
            </w:r>
            <w:r w:rsidR="00CC39EB" w:rsidRPr="00234469">
              <w:rPr>
                <w:b/>
                <w:bCs/>
                <w:sz w:val="18"/>
                <w:szCs w:val="18"/>
              </w:rPr>
              <w:t xml:space="preserve"> m</w:t>
            </w:r>
            <w:r w:rsidR="00CC39EB" w:rsidRPr="00234469">
              <w:rPr>
                <w:b/>
                <w:bCs/>
                <w:sz w:val="18"/>
                <w:szCs w:val="18"/>
                <w:vertAlign w:val="superscript"/>
              </w:rPr>
              <w:t>-2</w:t>
            </w:r>
            <w:r w:rsidR="00CC39EB" w:rsidRPr="00234469">
              <w:rPr>
                <w:b/>
                <w:bCs/>
                <w:sz w:val="18"/>
                <w:szCs w:val="18"/>
              </w:rPr>
              <w:t>)</w:t>
            </w:r>
          </w:p>
        </w:tc>
      </w:tr>
      <w:tr w:rsidR="00CC39EB" w14:paraId="66911A0D" w14:textId="21608801" w:rsidTr="00AB761D">
        <w:trPr>
          <w:trHeight w:val="231"/>
        </w:trPr>
        <w:tc>
          <w:tcPr>
            <w:tcW w:w="961" w:type="dxa"/>
          </w:tcPr>
          <w:p w14:paraId="3A209D63" w14:textId="47FEBD10" w:rsidR="00A26A3B" w:rsidRPr="00234469" w:rsidRDefault="00A26A3B" w:rsidP="00466CE2">
            <w:pPr>
              <w:rPr>
                <w:sz w:val="18"/>
                <w:szCs w:val="18"/>
              </w:rPr>
            </w:pPr>
            <w:r w:rsidRPr="00234469">
              <w:rPr>
                <w:sz w:val="18"/>
                <w:szCs w:val="18"/>
              </w:rPr>
              <w:t>Summer</w:t>
            </w:r>
          </w:p>
        </w:tc>
        <w:tc>
          <w:tcPr>
            <w:tcW w:w="802" w:type="dxa"/>
            <w:vAlign w:val="center"/>
          </w:tcPr>
          <w:p w14:paraId="1042AA1F" w14:textId="1FE36C87" w:rsidR="00A26A3B" w:rsidRPr="00234469" w:rsidRDefault="00E738B7" w:rsidP="006B1AD3">
            <w:pPr>
              <w:jc w:val="center"/>
              <w:rPr>
                <w:sz w:val="18"/>
                <w:szCs w:val="18"/>
              </w:rPr>
            </w:pPr>
            <w:r w:rsidRPr="00234469">
              <w:rPr>
                <w:sz w:val="18"/>
                <w:szCs w:val="18"/>
              </w:rPr>
              <w:t>3.2</w:t>
            </w:r>
          </w:p>
        </w:tc>
        <w:tc>
          <w:tcPr>
            <w:tcW w:w="926" w:type="dxa"/>
            <w:vAlign w:val="center"/>
          </w:tcPr>
          <w:p w14:paraId="688521DA" w14:textId="47A07CC3" w:rsidR="00A26A3B" w:rsidRPr="00234469" w:rsidRDefault="002665BB" w:rsidP="006B1AD3">
            <w:pPr>
              <w:jc w:val="center"/>
              <w:rPr>
                <w:sz w:val="18"/>
                <w:szCs w:val="18"/>
              </w:rPr>
            </w:pPr>
            <w:r w:rsidRPr="00234469">
              <w:rPr>
                <w:sz w:val="18"/>
                <w:szCs w:val="18"/>
              </w:rPr>
              <w:t>35.8</w:t>
            </w:r>
          </w:p>
        </w:tc>
        <w:tc>
          <w:tcPr>
            <w:tcW w:w="1134" w:type="dxa"/>
            <w:vAlign w:val="center"/>
          </w:tcPr>
          <w:p w14:paraId="5670AA0C" w14:textId="0670BBF2" w:rsidR="00A26A3B" w:rsidRPr="00234469" w:rsidRDefault="002665BB" w:rsidP="006B1AD3">
            <w:pPr>
              <w:jc w:val="center"/>
              <w:rPr>
                <w:sz w:val="18"/>
                <w:szCs w:val="18"/>
              </w:rPr>
            </w:pPr>
            <w:r w:rsidRPr="00234469">
              <w:rPr>
                <w:sz w:val="18"/>
                <w:szCs w:val="18"/>
              </w:rPr>
              <w:t>25</w:t>
            </w:r>
            <w:r w:rsidR="00A801BE" w:rsidRPr="00234469">
              <w:rPr>
                <w:sz w:val="18"/>
                <w:szCs w:val="18"/>
              </w:rPr>
              <w:t>0</w:t>
            </w:r>
          </w:p>
        </w:tc>
        <w:tc>
          <w:tcPr>
            <w:tcW w:w="708" w:type="dxa"/>
            <w:vAlign w:val="center"/>
          </w:tcPr>
          <w:p w14:paraId="3B385FE2" w14:textId="403437B5" w:rsidR="00A26A3B" w:rsidRPr="00234469" w:rsidRDefault="00774483" w:rsidP="006B1AD3">
            <w:pPr>
              <w:jc w:val="center"/>
              <w:rPr>
                <w:sz w:val="18"/>
                <w:szCs w:val="18"/>
              </w:rPr>
            </w:pPr>
            <w:r w:rsidRPr="00234469">
              <w:rPr>
                <w:sz w:val="18"/>
                <w:szCs w:val="18"/>
              </w:rPr>
              <w:t>70</w:t>
            </w:r>
          </w:p>
        </w:tc>
        <w:tc>
          <w:tcPr>
            <w:tcW w:w="1293" w:type="dxa"/>
            <w:vAlign w:val="center"/>
          </w:tcPr>
          <w:p w14:paraId="7CC32C8D" w14:textId="25E13ADD" w:rsidR="00A26A3B" w:rsidRPr="00234469" w:rsidRDefault="006C619D" w:rsidP="006B1AD3">
            <w:pPr>
              <w:tabs>
                <w:tab w:val="left" w:pos="537"/>
              </w:tabs>
              <w:jc w:val="center"/>
              <w:rPr>
                <w:sz w:val="18"/>
                <w:szCs w:val="18"/>
              </w:rPr>
            </w:pPr>
            <w:r w:rsidRPr="00234469">
              <w:rPr>
                <w:sz w:val="18"/>
                <w:szCs w:val="18"/>
              </w:rPr>
              <w:t>1.6</w:t>
            </w:r>
          </w:p>
        </w:tc>
        <w:tc>
          <w:tcPr>
            <w:tcW w:w="1229" w:type="dxa"/>
            <w:vAlign w:val="center"/>
          </w:tcPr>
          <w:p w14:paraId="0F4E54B9" w14:textId="06719004" w:rsidR="00A26A3B" w:rsidRPr="00234469" w:rsidRDefault="00774483" w:rsidP="006B1AD3">
            <w:pPr>
              <w:jc w:val="center"/>
              <w:rPr>
                <w:sz w:val="18"/>
                <w:szCs w:val="18"/>
              </w:rPr>
            </w:pPr>
            <w:r w:rsidRPr="00234469">
              <w:rPr>
                <w:sz w:val="18"/>
                <w:szCs w:val="18"/>
              </w:rPr>
              <w:t>0.08</w:t>
            </w:r>
          </w:p>
        </w:tc>
      </w:tr>
      <w:tr w:rsidR="00CC39EB" w14:paraId="00814C5E" w14:textId="5D786FE5" w:rsidTr="00AB761D">
        <w:trPr>
          <w:trHeight w:val="231"/>
        </w:trPr>
        <w:tc>
          <w:tcPr>
            <w:tcW w:w="961" w:type="dxa"/>
          </w:tcPr>
          <w:p w14:paraId="7BD4551D" w14:textId="4B585296" w:rsidR="00A26A3B" w:rsidRPr="00234469" w:rsidRDefault="00A26A3B" w:rsidP="00466CE2">
            <w:pPr>
              <w:rPr>
                <w:sz w:val="18"/>
                <w:szCs w:val="18"/>
              </w:rPr>
            </w:pPr>
            <w:r w:rsidRPr="00234469">
              <w:rPr>
                <w:sz w:val="18"/>
                <w:szCs w:val="18"/>
              </w:rPr>
              <w:t>Winter</w:t>
            </w:r>
          </w:p>
        </w:tc>
        <w:tc>
          <w:tcPr>
            <w:tcW w:w="802" w:type="dxa"/>
            <w:vAlign w:val="center"/>
          </w:tcPr>
          <w:p w14:paraId="1BD232EC" w14:textId="01F65E09" w:rsidR="00A26A3B" w:rsidRPr="00234469" w:rsidRDefault="00E738B7" w:rsidP="006B1AD3">
            <w:pPr>
              <w:jc w:val="center"/>
              <w:rPr>
                <w:sz w:val="18"/>
                <w:szCs w:val="18"/>
              </w:rPr>
            </w:pPr>
            <w:r w:rsidRPr="00234469">
              <w:rPr>
                <w:sz w:val="18"/>
                <w:szCs w:val="18"/>
              </w:rPr>
              <w:t>2</w:t>
            </w:r>
            <w:r w:rsidR="00304C5B">
              <w:rPr>
                <w:sz w:val="18"/>
                <w:szCs w:val="18"/>
              </w:rPr>
              <w:t>.0</w:t>
            </w:r>
          </w:p>
        </w:tc>
        <w:tc>
          <w:tcPr>
            <w:tcW w:w="926" w:type="dxa"/>
            <w:vAlign w:val="center"/>
          </w:tcPr>
          <w:p w14:paraId="69F84519" w14:textId="2AB020DE" w:rsidR="00A26A3B" w:rsidRPr="00234469" w:rsidRDefault="002665BB" w:rsidP="006B1AD3">
            <w:pPr>
              <w:jc w:val="center"/>
              <w:rPr>
                <w:sz w:val="18"/>
                <w:szCs w:val="18"/>
              </w:rPr>
            </w:pPr>
            <w:r w:rsidRPr="00234469">
              <w:rPr>
                <w:sz w:val="18"/>
                <w:szCs w:val="18"/>
              </w:rPr>
              <w:t>31.9</w:t>
            </w:r>
          </w:p>
        </w:tc>
        <w:tc>
          <w:tcPr>
            <w:tcW w:w="1134" w:type="dxa"/>
            <w:vAlign w:val="center"/>
          </w:tcPr>
          <w:p w14:paraId="747FC737" w14:textId="0FB0EA07" w:rsidR="00A26A3B" w:rsidRPr="00234469" w:rsidRDefault="002665BB" w:rsidP="006B1AD3">
            <w:pPr>
              <w:jc w:val="center"/>
              <w:rPr>
                <w:sz w:val="18"/>
                <w:szCs w:val="18"/>
              </w:rPr>
            </w:pPr>
            <w:r w:rsidRPr="00234469">
              <w:rPr>
                <w:sz w:val="18"/>
                <w:szCs w:val="18"/>
              </w:rPr>
              <w:t>18</w:t>
            </w:r>
            <w:r w:rsidR="00A801BE" w:rsidRPr="00234469">
              <w:rPr>
                <w:sz w:val="18"/>
                <w:szCs w:val="18"/>
              </w:rPr>
              <w:t>0</w:t>
            </w:r>
          </w:p>
        </w:tc>
        <w:tc>
          <w:tcPr>
            <w:tcW w:w="708" w:type="dxa"/>
            <w:vAlign w:val="center"/>
          </w:tcPr>
          <w:p w14:paraId="650A81D6" w14:textId="683605FF" w:rsidR="00A26A3B" w:rsidRPr="00234469" w:rsidRDefault="00774483" w:rsidP="006B1AD3">
            <w:pPr>
              <w:jc w:val="center"/>
              <w:rPr>
                <w:sz w:val="18"/>
                <w:szCs w:val="18"/>
              </w:rPr>
            </w:pPr>
            <w:r w:rsidRPr="00234469">
              <w:rPr>
                <w:sz w:val="18"/>
                <w:szCs w:val="18"/>
              </w:rPr>
              <w:t>65</w:t>
            </w:r>
          </w:p>
        </w:tc>
        <w:tc>
          <w:tcPr>
            <w:tcW w:w="1293" w:type="dxa"/>
            <w:vAlign w:val="center"/>
          </w:tcPr>
          <w:p w14:paraId="5F23EE7E" w14:textId="408F3182" w:rsidR="00A26A3B" w:rsidRPr="00234469" w:rsidRDefault="006C619D" w:rsidP="006B1AD3">
            <w:pPr>
              <w:jc w:val="center"/>
              <w:rPr>
                <w:sz w:val="18"/>
                <w:szCs w:val="18"/>
              </w:rPr>
            </w:pPr>
            <w:r w:rsidRPr="00234469">
              <w:rPr>
                <w:sz w:val="18"/>
                <w:szCs w:val="18"/>
              </w:rPr>
              <w:t>1.6</w:t>
            </w:r>
          </w:p>
        </w:tc>
        <w:tc>
          <w:tcPr>
            <w:tcW w:w="1229" w:type="dxa"/>
            <w:vAlign w:val="center"/>
          </w:tcPr>
          <w:p w14:paraId="70699136" w14:textId="1DD1D5CA" w:rsidR="00A26A3B" w:rsidRPr="00234469" w:rsidRDefault="00774483" w:rsidP="006B1AD3">
            <w:pPr>
              <w:jc w:val="center"/>
              <w:rPr>
                <w:sz w:val="18"/>
                <w:szCs w:val="18"/>
              </w:rPr>
            </w:pPr>
            <w:r w:rsidRPr="00234469">
              <w:rPr>
                <w:sz w:val="18"/>
                <w:szCs w:val="18"/>
              </w:rPr>
              <w:t>0.06</w:t>
            </w:r>
          </w:p>
        </w:tc>
      </w:tr>
    </w:tbl>
    <w:p w14:paraId="212480FD" w14:textId="77777777" w:rsidR="00C6777D" w:rsidRDefault="00C6777D" w:rsidP="000A04AF">
      <w:pPr>
        <w:pStyle w:val="Els-1storder-head"/>
        <w:rPr>
          <w:lang w:val="en-GB"/>
        </w:rPr>
      </w:pPr>
      <w:r w:rsidRPr="00A94774">
        <w:rPr>
          <w:lang w:val="en-GB"/>
        </w:rPr>
        <w:t>Conclusions</w:t>
      </w:r>
    </w:p>
    <w:p w14:paraId="0908ECA1" w14:textId="763C5157" w:rsidR="003C6BC1" w:rsidRDefault="00061EA0" w:rsidP="00061EA0">
      <w:pPr>
        <w:pStyle w:val="Els-body-text"/>
      </w:pPr>
      <w:r w:rsidRPr="00061EA0">
        <w:t xml:space="preserve">The </w:t>
      </w:r>
      <w:r w:rsidR="00325975">
        <w:t>aim</w:t>
      </w:r>
      <w:r w:rsidRPr="00061EA0">
        <w:t xml:space="preserve"> of this work </w:t>
      </w:r>
      <w:r w:rsidR="008E5D76">
        <w:t>was</w:t>
      </w:r>
      <w:r w:rsidRPr="00061EA0">
        <w:t xml:space="preserve"> the development of advanced control systems allowing to operate the EDBM technology powered by renewable energy. The synergy of these control schemes and the automation logic (PLC)</w:t>
      </w:r>
      <w:r w:rsidR="00EE62C9">
        <w:t xml:space="preserve"> </w:t>
      </w:r>
      <w:r w:rsidRPr="00061EA0">
        <w:t>implemented in the LabVIEW environment</w:t>
      </w:r>
      <w:r w:rsidR="008E5D76">
        <w:t xml:space="preserve"> </w:t>
      </w:r>
      <w:r w:rsidRPr="00061EA0">
        <w:t xml:space="preserve">allowed to test the EDBM pilot plant powered by simulated solar panels in two different scenarios, namely summer and winter. The control system guaranteed, in both scenarios, a concentration equal to </w:t>
      </w:r>
      <w:r w:rsidR="008E5D76">
        <w:t xml:space="preserve">the target of </w:t>
      </w:r>
      <w:r w:rsidRPr="00061EA0">
        <w:t>0.5 mol l</w:t>
      </w:r>
      <w:r w:rsidRPr="00061EA0">
        <w:rPr>
          <w:vertAlign w:val="superscript"/>
        </w:rPr>
        <w:t>-1</w:t>
      </w:r>
      <w:r w:rsidRPr="00061EA0">
        <w:t xml:space="preserve"> </w:t>
      </w:r>
      <w:r w:rsidR="008E5D76">
        <w:t>(</w:t>
      </w:r>
      <w:r w:rsidRPr="00061EA0">
        <w:t>fixed at set-point value</w:t>
      </w:r>
      <w:r w:rsidR="008E5D76">
        <w:t>)</w:t>
      </w:r>
      <w:r w:rsidRPr="00061EA0">
        <w:t xml:space="preserve">. </w:t>
      </w:r>
      <w:r w:rsidR="00F61E2E">
        <w:t>During the dynamic operation</w:t>
      </w:r>
      <w:r w:rsidR="00E56B1E">
        <w:t xml:space="preserve"> of the unit,</w:t>
      </w:r>
      <w:r w:rsidRPr="00061EA0">
        <w:t xml:space="preserve"> </w:t>
      </w:r>
      <w:r w:rsidR="00764528">
        <w:t>valuable</w:t>
      </w:r>
      <w:r w:rsidR="00764528" w:rsidRPr="00061EA0">
        <w:t xml:space="preserve"> </w:t>
      </w:r>
      <w:r w:rsidR="00B04572">
        <w:t>information</w:t>
      </w:r>
      <w:r w:rsidRPr="00061EA0">
        <w:t xml:space="preserve"> </w:t>
      </w:r>
      <w:proofErr w:type="gramStart"/>
      <w:r w:rsidR="00764528">
        <w:t>were</w:t>
      </w:r>
      <w:proofErr w:type="gramEnd"/>
      <w:r w:rsidRPr="00061EA0">
        <w:t xml:space="preserve"> obtained in terms of performance </w:t>
      </w:r>
      <w:r w:rsidR="00583689">
        <w:t>indicators</w:t>
      </w:r>
      <w:r w:rsidRPr="00061EA0">
        <w:t xml:space="preserve">. </w:t>
      </w:r>
      <w:r w:rsidR="004C2914">
        <w:t>Concerning</w:t>
      </w:r>
      <w:r w:rsidRPr="00061EA0">
        <w:t xml:space="preserve"> CE, very high values </w:t>
      </w:r>
      <w:r w:rsidR="00764528">
        <w:t>were</w:t>
      </w:r>
      <w:r w:rsidRPr="00061EA0">
        <w:t xml:space="preserve"> achieved, exceeding </w:t>
      </w:r>
      <w:r w:rsidR="004C2914">
        <w:t>65</w:t>
      </w:r>
      <w:r w:rsidRPr="00061EA0">
        <w:t xml:space="preserve">% for the base, in both scenarios. Moreover, the control system enabled to obtain very low values </w:t>
      </w:r>
      <w:r w:rsidR="00162726">
        <w:t>of SEC</w:t>
      </w:r>
      <w:r w:rsidRPr="00061EA0">
        <w:t xml:space="preserve"> for the base, always </w:t>
      </w:r>
      <w:r w:rsidR="003C1A18">
        <w:t>lower than</w:t>
      </w:r>
      <w:r w:rsidRPr="00061EA0">
        <w:t xml:space="preserve"> 2</w:t>
      </w:r>
      <w:r w:rsidR="00210C5B">
        <w:t>.0</w:t>
      </w:r>
      <w:r w:rsidRPr="00061EA0">
        <w:t xml:space="preserve"> kWh </w:t>
      </w:r>
      <w:proofErr w:type="gramStart"/>
      <w:r w:rsidRPr="00061EA0">
        <w:t>kg</w:t>
      </w:r>
      <w:r w:rsidRPr="00061EA0">
        <w:rPr>
          <w:vertAlign w:val="superscript"/>
        </w:rPr>
        <w:t>-1</w:t>
      </w:r>
      <w:proofErr w:type="gramEnd"/>
      <w:r w:rsidRPr="00061EA0">
        <w:t xml:space="preserve">. </w:t>
      </w:r>
      <w:r w:rsidR="006773FB">
        <w:t>I</w:t>
      </w:r>
      <w:r w:rsidRPr="00061EA0">
        <w:t xml:space="preserve">n terms of specific </w:t>
      </w:r>
      <w:r w:rsidRPr="00061EA0">
        <w:lastRenderedPageBreak/>
        <w:t xml:space="preserve">productivity, high values </w:t>
      </w:r>
      <w:r w:rsidR="00162726">
        <w:t>were</w:t>
      </w:r>
      <w:r w:rsidRPr="00061EA0">
        <w:t xml:space="preserve"> obtained. </w:t>
      </w:r>
      <w:proofErr w:type="gramStart"/>
      <w:r w:rsidRPr="00061EA0">
        <w:t>In particular,</w:t>
      </w:r>
      <w:r w:rsidR="0054190A">
        <w:t xml:space="preserve"> </w:t>
      </w:r>
      <w:r w:rsidRPr="00061EA0">
        <w:t>in</w:t>
      </w:r>
      <w:proofErr w:type="gramEnd"/>
      <w:r w:rsidRPr="00061EA0">
        <w:t xml:space="preserve"> the summer scenario a value of 0.2 kg h</w:t>
      </w:r>
      <w:r w:rsidRPr="00061EA0">
        <w:rPr>
          <w:vertAlign w:val="superscript"/>
        </w:rPr>
        <w:t>-1</w:t>
      </w:r>
      <w:r w:rsidRPr="00061EA0">
        <w:t xml:space="preserve"> m</w:t>
      </w:r>
      <w:r w:rsidRPr="00061EA0">
        <w:rPr>
          <w:vertAlign w:val="superscript"/>
        </w:rPr>
        <w:t>-2</w:t>
      </w:r>
      <w:r w:rsidRPr="00061EA0">
        <w:t xml:space="preserve"> </w:t>
      </w:r>
      <w:r w:rsidR="00616894">
        <w:t>was</w:t>
      </w:r>
      <w:r w:rsidRPr="00061EA0">
        <w:t xml:space="preserve"> reached</w:t>
      </w:r>
      <w:r w:rsidR="006773FB" w:rsidRPr="006773FB">
        <w:t xml:space="preserve"> </w:t>
      </w:r>
      <w:r w:rsidR="006773FB" w:rsidRPr="00061EA0">
        <w:t>for the base</w:t>
      </w:r>
      <w:r w:rsidRPr="00061EA0">
        <w:t xml:space="preserve">. These results </w:t>
      </w:r>
      <w:r w:rsidR="0054190A">
        <w:t>confirmed</w:t>
      </w:r>
      <w:r w:rsidRPr="00061EA0">
        <w:t xml:space="preserve"> th</w:t>
      </w:r>
      <w:r w:rsidR="0054190A">
        <w:t>e</w:t>
      </w:r>
      <w:r w:rsidRPr="00061EA0">
        <w:t xml:space="preserve"> EDBM technology particularly suitable to </w:t>
      </w:r>
      <w:r w:rsidR="0054190A">
        <w:t>operate</w:t>
      </w:r>
      <w:r w:rsidRPr="00061EA0">
        <w:t xml:space="preserve"> in highly dynamic regimes such those established </w:t>
      </w:r>
      <w:r w:rsidR="0054190A">
        <w:t>in presence</w:t>
      </w:r>
      <w:r w:rsidRPr="00061EA0">
        <w:t xml:space="preserve"> </w:t>
      </w:r>
      <w:r w:rsidR="00616894">
        <w:t xml:space="preserve">of </w:t>
      </w:r>
      <w:r w:rsidRPr="00061EA0">
        <w:t xml:space="preserve">renewable energy </w:t>
      </w:r>
      <w:r w:rsidR="00A0372F">
        <w:t>availability</w:t>
      </w:r>
      <w:r w:rsidRPr="00061EA0">
        <w:t xml:space="preserve">. Following works will be </w:t>
      </w:r>
      <w:r w:rsidR="00616894">
        <w:t>focused</w:t>
      </w:r>
      <w:r w:rsidR="00616894" w:rsidRPr="00061EA0">
        <w:t xml:space="preserve"> </w:t>
      </w:r>
      <w:r w:rsidRPr="00061EA0">
        <w:t xml:space="preserve">on the potentiality of this coupling, on its </w:t>
      </w:r>
      <w:r w:rsidR="007F59AE">
        <w:t>viability</w:t>
      </w:r>
      <w:r w:rsidRPr="00061EA0">
        <w:t xml:space="preserve"> at a higher scale and on the implementation of further </w:t>
      </w:r>
      <w:r w:rsidR="00A36EC1">
        <w:t xml:space="preserve">advanced </w:t>
      </w:r>
      <w:r w:rsidRPr="00061EA0">
        <w:t>control</w:t>
      </w:r>
      <w:r w:rsidR="009071BA">
        <w:t xml:space="preserve">lers </w:t>
      </w:r>
      <w:r w:rsidRPr="00061EA0">
        <w:t>achieving an overall optimization of the process.</w:t>
      </w:r>
    </w:p>
    <w:p w14:paraId="0F8D0989" w14:textId="77777777" w:rsidR="007F7D80" w:rsidRPr="00934367" w:rsidRDefault="007F7D80" w:rsidP="007F7D80">
      <w:pPr>
        <w:pStyle w:val="Els-body-text"/>
        <w:spacing w:after="120"/>
        <w:contextualSpacing/>
        <w:rPr>
          <w:b/>
          <w:bCs/>
          <w:lang w:val="en-GB"/>
        </w:rPr>
      </w:pPr>
      <w:r w:rsidRPr="00934367">
        <w:rPr>
          <w:b/>
          <w:bCs/>
          <w:lang w:val="en-GB"/>
        </w:rPr>
        <w:t>Acknowledgments</w:t>
      </w:r>
    </w:p>
    <w:p w14:paraId="375C1992" w14:textId="55413C09" w:rsidR="007F7D80" w:rsidRPr="007C3C2A" w:rsidRDefault="007C3C2A" w:rsidP="00C3188E">
      <w:pPr>
        <w:jc w:val="both"/>
      </w:pPr>
      <w:r w:rsidRPr="007C3C2A">
        <w:t>This project has received funding from the European Union’s Horizon 2020 research and innovation program under Grant Agreement no. 869474 (WATER-MINING – Next generation water-smart management systems: large scale demonstrations for a circular economy and society). www.watermining.eu.</w:t>
      </w:r>
    </w:p>
    <w:p w14:paraId="144DE6BF" w14:textId="608D0AD6" w:rsidR="008D2649" w:rsidRPr="00061EA0" w:rsidRDefault="008D2649" w:rsidP="008D2649">
      <w:pPr>
        <w:pStyle w:val="Els-reference-head"/>
        <w:rPr>
          <w:sz w:val="20"/>
          <w:szCs w:val="20"/>
        </w:rPr>
      </w:pPr>
      <w:r w:rsidRPr="00061EA0">
        <w:rPr>
          <w:sz w:val="20"/>
          <w:szCs w:val="20"/>
        </w:rPr>
        <w:t>References</w:t>
      </w:r>
    </w:p>
    <w:p w14:paraId="36394D54" w14:textId="1A607CC9" w:rsidR="000427CC" w:rsidRPr="000427CC" w:rsidRDefault="000427CC" w:rsidP="000427CC">
      <w:pPr>
        <w:widowControl w:val="0"/>
        <w:autoSpaceDE w:val="0"/>
        <w:autoSpaceDN w:val="0"/>
        <w:adjustRightInd w:val="0"/>
        <w:ind w:left="480" w:hanging="480"/>
        <w:rPr>
          <w:noProof/>
          <w:sz w:val="18"/>
          <w:szCs w:val="18"/>
        </w:rPr>
      </w:pPr>
      <w:r w:rsidRPr="000427CC">
        <w:rPr>
          <w:sz w:val="18"/>
          <w:szCs w:val="18"/>
          <w:lang w:val="en-US"/>
        </w:rPr>
        <w:fldChar w:fldCharType="begin" w:fldLock="1"/>
      </w:r>
      <w:r w:rsidRPr="000427CC">
        <w:rPr>
          <w:sz w:val="18"/>
          <w:szCs w:val="18"/>
          <w:lang w:val="it-IT"/>
        </w:rPr>
        <w:instrText xml:space="preserve">ADDIN Mendeley Bibliography CSL_BIBLIOGRAPHY </w:instrText>
      </w:r>
      <w:r w:rsidRPr="000427CC">
        <w:rPr>
          <w:sz w:val="18"/>
          <w:szCs w:val="18"/>
          <w:lang w:val="en-US"/>
        </w:rPr>
        <w:fldChar w:fldCharType="separate"/>
      </w:r>
      <w:r w:rsidRPr="000427CC">
        <w:rPr>
          <w:noProof/>
          <w:sz w:val="18"/>
          <w:szCs w:val="18"/>
          <w:lang w:val="it-IT"/>
        </w:rPr>
        <w:t xml:space="preserve">Cassaro, Calogero, Giovanni Virruso, Andrea Culcasi, Andrea Cipollina, Alessandro Tamburini, and Giorgio Micale. </w:t>
      </w:r>
      <w:r w:rsidRPr="000427CC">
        <w:rPr>
          <w:noProof/>
          <w:sz w:val="18"/>
          <w:szCs w:val="18"/>
        </w:rPr>
        <w:t xml:space="preserve">2023. “Electrodialysis with Bipolar Membranes for the Sustainable Production of Chemicals from Seawater Brines at Pilot Plant Scale.” </w:t>
      </w:r>
      <w:r w:rsidRPr="000427CC">
        <w:rPr>
          <w:i/>
          <w:iCs/>
          <w:noProof/>
          <w:sz w:val="18"/>
          <w:szCs w:val="18"/>
        </w:rPr>
        <w:t>ACS Sustainable Chemistry and Engineering</w:t>
      </w:r>
      <w:r w:rsidRPr="000427CC">
        <w:rPr>
          <w:noProof/>
          <w:sz w:val="18"/>
          <w:szCs w:val="18"/>
        </w:rPr>
        <w:t xml:space="preserve"> 11 (7). https://doi.org/10.1021/acssuschemeng.2c06636.</w:t>
      </w:r>
    </w:p>
    <w:p w14:paraId="4F58562C"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 xml:space="preserve">Culcasi, A., R. Ktori, A. Pellegrino, M. Rodriguez-Pascual, M. C.M. van Loosdrecht, A. Tamburini, A. Cipollina, D. Xevgenos, and G. Micale. 2022. “Towards Sustainable Production of Minerals and Chemicals through Seawater Brine Treatment Using Eutectic Freeze Crystallization and Electrodialysis with Bipolar Membranes.” </w:t>
      </w:r>
      <w:r w:rsidRPr="000427CC">
        <w:rPr>
          <w:i/>
          <w:iCs/>
          <w:noProof/>
          <w:sz w:val="18"/>
          <w:szCs w:val="18"/>
        </w:rPr>
        <w:t>Journal of Cleaner Production</w:t>
      </w:r>
      <w:r w:rsidRPr="000427CC">
        <w:rPr>
          <w:noProof/>
          <w:sz w:val="18"/>
          <w:szCs w:val="18"/>
        </w:rPr>
        <w:t xml:space="preserve"> 368. https://doi.org/10.1016/j.jclepro.2022.133143.</w:t>
      </w:r>
    </w:p>
    <w:p w14:paraId="0AEEBAD7"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EU. 2023. “PV-GIS.” 2023. https://joint-research-centre.ec.europa.eu/photovoltaic-geographical-information-system-pvgis_en.</w:t>
      </w:r>
    </w:p>
    <w:p w14:paraId="03829051"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 xml:space="preserve">Filingeri, Antonia, Julio Lopez, Andrea Culcasi, Tamara Leon, Alessandro Tamburini, José Luis Cortina, Giorgio Micale, and Andrea Cipollina. 2023. “In-Depth Insights on Multi-Ionic Transport in Electrodialysis with Bipolar Membrane Systems.” </w:t>
      </w:r>
      <w:r w:rsidRPr="000427CC">
        <w:rPr>
          <w:i/>
          <w:iCs/>
          <w:noProof/>
          <w:sz w:val="18"/>
          <w:szCs w:val="18"/>
        </w:rPr>
        <w:t>Chemical Engineering Journal</w:t>
      </w:r>
      <w:r w:rsidRPr="000427CC">
        <w:rPr>
          <w:noProof/>
          <w:sz w:val="18"/>
          <w:szCs w:val="18"/>
        </w:rPr>
        <w:t xml:space="preserve"> 468 (July): 143673. https://doi.org/10.1016/J.CEJ.2023.143673.</w:t>
      </w:r>
    </w:p>
    <w:p w14:paraId="42E72E78"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 xml:space="preserve">Herrero-Gonzalez, Marta, Pedro Diaz-Guridi, Antonio Dominguez-Ramos, Raquel Ibañez, and Angel Irabien. 2018. “Photovoltaic Solar Electrodialysis with Bipolar Membranes.” </w:t>
      </w:r>
      <w:r w:rsidRPr="000427CC">
        <w:rPr>
          <w:i/>
          <w:iCs/>
          <w:noProof/>
          <w:sz w:val="18"/>
          <w:szCs w:val="18"/>
        </w:rPr>
        <w:t>Desalination</w:t>
      </w:r>
      <w:r w:rsidRPr="000427CC">
        <w:rPr>
          <w:noProof/>
          <w:sz w:val="18"/>
          <w:szCs w:val="18"/>
        </w:rPr>
        <w:t xml:space="preserve"> 433. https://doi.org/10.1016/j.desal.2018.01.015.</w:t>
      </w:r>
    </w:p>
    <w:p w14:paraId="39EE9087"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 xml:space="preserve">Herrero-Gonzalez, Marta, Julio López, Giovanni Virruso, Calogero Cassaro, Alessandro Tamburini, Andrea Cipollina, Jose Luis Cortina, Raquel Ibañez, and Giorgio Micale. 2023. “Analysis of Operational Parameters in Acid and Base Production Using an Electrodialysis with Bipolar Membranes Pilot Plant.” </w:t>
      </w:r>
      <w:r w:rsidRPr="000427CC">
        <w:rPr>
          <w:i/>
          <w:iCs/>
          <w:noProof/>
          <w:sz w:val="18"/>
          <w:szCs w:val="18"/>
        </w:rPr>
        <w:t>Membranes</w:t>
      </w:r>
      <w:r w:rsidRPr="000427CC">
        <w:rPr>
          <w:noProof/>
          <w:sz w:val="18"/>
          <w:szCs w:val="18"/>
        </w:rPr>
        <w:t xml:space="preserve"> 13 (2). https://doi.org/10.3390/membranes13020200.</w:t>
      </w:r>
    </w:p>
    <w:p w14:paraId="102B6A35"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 xml:space="preserve">Ihsanullah, Ihsanullah, Muataz A. Atieh, Muhammad Sajid, and Mazen K. Nazal. 2021. “Desalination and Environment: A Critical Analysis of Impacts, Mitigation Strategies, and Greener Desalination Technologies.” </w:t>
      </w:r>
      <w:r w:rsidRPr="000427CC">
        <w:rPr>
          <w:i/>
          <w:iCs/>
          <w:noProof/>
          <w:sz w:val="18"/>
          <w:szCs w:val="18"/>
        </w:rPr>
        <w:t>Science of the Total Environment</w:t>
      </w:r>
      <w:r w:rsidRPr="000427CC">
        <w:rPr>
          <w:noProof/>
          <w:sz w:val="18"/>
          <w:szCs w:val="18"/>
        </w:rPr>
        <w:t>. https://doi.org/10.1016/j.scitotenv.2021.146585.</w:t>
      </w:r>
    </w:p>
    <w:p w14:paraId="6C961A97"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 xml:space="preserve">Jones, Edward, Manzoor Qadir, Michelle T.H. van Vliet, Vladimir Smakhtin, and Seong mu Kang. 2019. “The State of Desalination and Brine Production: A Global Outlook.” </w:t>
      </w:r>
      <w:r w:rsidRPr="000427CC">
        <w:rPr>
          <w:i/>
          <w:iCs/>
          <w:noProof/>
          <w:sz w:val="18"/>
          <w:szCs w:val="18"/>
        </w:rPr>
        <w:t>Science of the Total Environment</w:t>
      </w:r>
      <w:r w:rsidRPr="000427CC">
        <w:rPr>
          <w:noProof/>
          <w:sz w:val="18"/>
          <w:szCs w:val="18"/>
        </w:rPr>
        <w:t>. https://doi.org/10.1016/j.scitotenv.2018.12.076.</w:t>
      </w:r>
    </w:p>
    <w:p w14:paraId="5586FA8E"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 xml:space="preserve">Strathmann, H. 2004. </w:t>
      </w:r>
      <w:r w:rsidRPr="000427CC">
        <w:rPr>
          <w:i/>
          <w:iCs/>
          <w:noProof/>
          <w:sz w:val="18"/>
          <w:szCs w:val="18"/>
        </w:rPr>
        <w:t>Ion-Exchange Membrane Separation Processes, First Ed.</w:t>
      </w:r>
      <w:r w:rsidRPr="000427CC">
        <w:rPr>
          <w:noProof/>
          <w:sz w:val="18"/>
          <w:szCs w:val="18"/>
        </w:rPr>
        <w:t xml:space="preserve"> </w:t>
      </w:r>
      <w:r w:rsidRPr="000427CC">
        <w:rPr>
          <w:i/>
          <w:iCs/>
          <w:noProof/>
          <w:sz w:val="18"/>
          <w:szCs w:val="18"/>
        </w:rPr>
        <w:t>Elsevier Science</w:t>
      </w:r>
      <w:r w:rsidRPr="000427CC">
        <w:rPr>
          <w:noProof/>
          <w:sz w:val="18"/>
          <w:szCs w:val="18"/>
        </w:rPr>
        <w:t>. Vol. 9. Amsterdam: Elsevier. https://doi.org/10.1007/s13398-014-0173-7.2.</w:t>
      </w:r>
    </w:p>
    <w:p w14:paraId="36470269" w14:textId="77777777" w:rsidR="000427CC" w:rsidRPr="000427CC" w:rsidRDefault="000427CC" w:rsidP="000427CC">
      <w:pPr>
        <w:widowControl w:val="0"/>
        <w:autoSpaceDE w:val="0"/>
        <w:autoSpaceDN w:val="0"/>
        <w:adjustRightInd w:val="0"/>
        <w:ind w:left="480" w:hanging="480"/>
        <w:rPr>
          <w:noProof/>
          <w:sz w:val="18"/>
          <w:szCs w:val="18"/>
        </w:rPr>
      </w:pPr>
      <w:r w:rsidRPr="000427CC">
        <w:rPr>
          <w:noProof/>
          <w:sz w:val="18"/>
          <w:szCs w:val="18"/>
        </w:rPr>
        <w:t>Virruso, Giovanni, Calogero Cassaro, Alessandro Tamburini, Andrea Cipollina, and Giorgio D M Micale. 2023. “Performance Evaluation of an Electrodialysis with Bipolar Membranes Pilot Plant Operated in Feed &amp; Bleed Mode” 105 (February): 73–78. https://doi.org/10.3303/CET23105013.</w:t>
      </w:r>
    </w:p>
    <w:p w14:paraId="144DE6C3" w14:textId="2632CD49" w:rsidR="008D2649" w:rsidRDefault="000427CC" w:rsidP="000427CC">
      <w:pPr>
        <w:widowControl w:val="0"/>
        <w:autoSpaceDE w:val="0"/>
        <w:autoSpaceDN w:val="0"/>
        <w:adjustRightInd w:val="0"/>
        <w:rPr>
          <w:lang w:val="en-US"/>
        </w:rPr>
      </w:pPr>
      <w:r w:rsidRPr="000427CC">
        <w:rPr>
          <w:sz w:val="18"/>
          <w:szCs w:val="18"/>
          <w:lang w:val="en-US"/>
        </w:rPr>
        <w:fldChar w:fldCharType="end"/>
      </w:r>
    </w:p>
    <w:sectPr w:rsidR="008D2649"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FA2E" w14:textId="77777777" w:rsidR="00545E81" w:rsidRDefault="00545E81">
      <w:r>
        <w:separator/>
      </w:r>
    </w:p>
  </w:endnote>
  <w:endnote w:type="continuationSeparator" w:id="0">
    <w:p w14:paraId="33072E17" w14:textId="77777777" w:rsidR="00545E81" w:rsidRDefault="0054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466A" w14:textId="77777777" w:rsidR="00545E81" w:rsidRDefault="00545E81">
      <w:r>
        <w:separator/>
      </w:r>
    </w:p>
  </w:footnote>
  <w:footnote w:type="continuationSeparator" w:id="0">
    <w:p w14:paraId="45D2A831" w14:textId="77777777" w:rsidR="00545E81" w:rsidRDefault="00545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28D4517" w:rsidR="00DD3D9E" w:rsidRDefault="00DD3D9E">
    <w:pPr>
      <w:pStyle w:val="Intestazione"/>
      <w:tabs>
        <w:tab w:val="clear" w:pos="7200"/>
        <w:tab w:val="right" w:pos="7088"/>
      </w:tabs>
    </w:pPr>
    <w:r>
      <w:rPr>
        <w:rStyle w:val="Numeropagina"/>
      </w:rPr>
      <w:tab/>
    </w:r>
    <w:r>
      <w:rPr>
        <w:rStyle w:val="Numeropagina"/>
        <w:i/>
      </w:rPr>
      <w:tab/>
    </w:r>
    <w:r w:rsidR="00C9734F">
      <w:rPr>
        <w:i/>
      </w:rPr>
      <w:t>C</w:t>
    </w:r>
    <w:r w:rsidR="00FD5D03">
      <w:rPr>
        <w:i/>
      </w:rPr>
      <w:t>.Cassaro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04FEE19" w:rsidR="00DD3D9E" w:rsidRPr="00FD5D03" w:rsidRDefault="00FD5D03" w:rsidP="00FD5D03">
    <w:pPr>
      <w:pStyle w:val="Els-Title"/>
      <w:rPr>
        <w:b w:val="0"/>
        <w:bCs/>
        <w:i/>
        <w:iCs/>
        <w:color w:val="000000" w:themeColor="text1"/>
        <w:sz w:val="22"/>
        <w:szCs w:val="14"/>
      </w:rPr>
    </w:pPr>
    <w:r w:rsidRPr="00FD5D03">
      <w:rPr>
        <w:b w:val="0"/>
        <w:bCs/>
        <w:i/>
        <w:iCs/>
        <w:sz w:val="20"/>
      </w:rPr>
      <w:t>Coupling Electrodialysis with bipolar membranes with renewable energies through advanced control strategie</w:t>
    </w:r>
    <w:r>
      <w:rPr>
        <w:b w:val="0"/>
        <w:bCs/>
        <w:i/>
        <w:iCs/>
        <w:sz w:val="20"/>
      </w:rPr>
      <w:t>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976"/>
    <w:rsid w:val="0000131B"/>
    <w:rsid w:val="000021F2"/>
    <w:rsid w:val="00017B7D"/>
    <w:rsid w:val="000257A7"/>
    <w:rsid w:val="00027673"/>
    <w:rsid w:val="000319E0"/>
    <w:rsid w:val="00032602"/>
    <w:rsid w:val="0003269A"/>
    <w:rsid w:val="000350B4"/>
    <w:rsid w:val="00041F17"/>
    <w:rsid w:val="000427CC"/>
    <w:rsid w:val="00042BB2"/>
    <w:rsid w:val="000451D5"/>
    <w:rsid w:val="000575D3"/>
    <w:rsid w:val="00061763"/>
    <w:rsid w:val="00061EA0"/>
    <w:rsid w:val="00064A42"/>
    <w:rsid w:val="00070CDA"/>
    <w:rsid w:val="00071579"/>
    <w:rsid w:val="00074418"/>
    <w:rsid w:val="00083265"/>
    <w:rsid w:val="00083372"/>
    <w:rsid w:val="000850F7"/>
    <w:rsid w:val="00087E50"/>
    <w:rsid w:val="0009227C"/>
    <w:rsid w:val="000A04AF"/>
    <w:rsid w:val="000A156C"/>
    <w:rsid w:val="000A5CA5"/>
    <w:rsid w:val="000C4209"/>
    <w:rsid w:val="000D3D9B"/>
    <w:rsid w:val="000D67BE"/>
    <w:rsid w:val="000E037F"/>
    <w:rsid w:val="000E7540"/>
    <w:rsid w:val="000F01F5"/>
    <w:rsid w:val="000F1440"/>
    <w:rsid w:val="00103C7E"/>
    <w:rsid w:val="0011355E"/>
    <w:rsid w:val="001157BC"/>
    <w:rsid w:val="00115CE1"/>
    <w:rsid w:val="001242B3"/>
    <w:rsid w:val="00132D94"/>
    <w:rsid w:val="00140769"/>
    <w:rsid w:val="001430BB"/>
    <w:rsid w:val="001576E0"/>
    <w:rsid w:val="0016032F"/>
    <w:rsid w:val="00160902"/>
    <w:rsid w:val="00162726"/>
    <w:rsid w:val="00162975"/>
    <w:rsid w:val="00162DB9"/>
    <w:rsid w:val="001845DE"/>
    <w:rsid w:val="001879F6"/>
    <w:rsid w:val="00190C73"/>
    <w:rsid w:val="00190C9E"/>
    <w:rsid w:val="0019492B"/>
    <w:rsid w:val="001A3510"/>
    <w:rsid w:val="001A6AC9"/>
    <w:rsid w:val="001B01D7"/>
    <w:rsid w:val="001B15F2"/>
    <w:rsid w:val="001B1D01"/>
    <w:rsid w:val="001B3233"/>
    <w:rsid w:val="001B45E5"/>
    <w:rsid w:val="001C0148"/>
    <w:rsid w:val="001C757E"/>
    <w:rsid w:val="001E0AC7"/>
    <w:rsid w:val="001F216F"/>
    <w:rsid w:val="0020390F"/>
    <w:rsid w:val="00207296"/>
    <w:rsid w:val="00210C5B"/>
    <w:rsid w:val="00213BE8"/>
    <w:rsid w:val="00220C79"/>
    <w:rsid w:val="00224E36"/>
    <w:rsid w:val="00231AA6"/>
    <w:rsid w:val="00234469"/>
    <w:rsid w:val="00235658"/>
    <w:rsid w:val="00242859"/>
    <w:rsid w:val="002548FD"/>
    <w:rsid w:val="002572DF"/>
    <w:rsid w:val="00264926"/>
    <w:rsid w:val="0026601E"/>
    <w:rsid w:val="002665BB"/>
    <w:rsid w:val="00274370"/>
    <w:rsid w:val="00276945"/>
    <w:rsid w:val="00294B2D"/>
    <w:rsid w:val="00297068"/>
    <w:rsid w:val="00297BEA"/>
    <w:rsid w:val="002A09C4"/>
    <w:rsid w:val="002A237A"/>
    <w:rsid w:val="002A3252"/>
    <w:rsid w:val="002B0253"/>
    <w:rsid w:val="002B6A46"/>
    <w:rsid w:val="002B713A"/>
    <w:rsid w:val="002C350E"/>
    <w:rsid w:val="002C5AD7"/>
    <w:rsid w:val="002C5B48"/>
    <w:rsid w:val="002D556E"/>
    <w:rsid w:val="002E0070"/>
    <w:rsid w:val="002E7A47"/>
    <w:rsid w:val="002F4CCA"/>
    <w:rsid w:val="002F769D"/>
    <w:rsid w:val="003036BA"/>
    <w:rsid w:val="00304C5B"/>
    <w:rsid w:val="00304EC2"/>
    <w:rsid w:val="00312423"/>
    <w:rsid w:val="003128B8"/>
    <w:rsid w:val="00325975"/>
    <w:rsid w:val="00341435"/>
    <w:rsid w:val="00351F06"/>
    <w:rsid w:val="00351FDE"/>
    <w:rsid w:val="00357E6C"/>
    <w:rsid w:val="003610ED"/>
    <w:rsid w:val="00365B5E"/>
    <w:rsid w:val="003701FD"/>
    <w:rsid w:val="0038508C"/>
    <w:rsid w:val="00385A8A"/>
    <w:rsid w:val="00390983"/>
    <w:rsid w:val="00390E4D"/>
    <w:rsid w:val="00391E22"/>
    <w:rsid w:val="003938FD"/>
    <w:rsid w:val="00393E67"/>
    <w:rsid w:val="0039452E"/>
    <w:rsid w:val="003A0D6A"/>
    <w:rsid w:val="003A10D7"/>
    <w:rsid w:val="003A7900"/>
    <w:rsid w:val="003B416F"/>
    <w:rsid w:val="003B5138"/>
    <w:rsid w:val="003B7226"/>
    <w:rsid w:val="003C1A18"/>
    <w:rsid w:val="003C27E1"/>
    <w:rsid w:val="003C42FA"/>
    <w:rsid w:val="003C6BC1"/>
    <w:rsid w:val="003D1582"/>
    <w:rsid w:val="003D3148"/>
    <w:rsid w:val="003D52D4"/>
    <w:rsid w:val="003D5D0D"/>
    <w:rsid w:val="003D7E4C"/>
    <w:rsid w:val="003E1334"/>
    <w:rsid w:val="003E3BB6"/>
    <w:rsid w:val="003E41C2"/>
    <w:rsid w:val="00400F89"/>
    <w:rsid w:val="00404B92"/>
    <w:rsid w:val="00407C61"/>
    <w:rsid w:val="004116E2"/>
    <w:rsid w:val="00411E47"/>
    <w:rsid w:val="00412790"/>
    <w:rsid w:val="00414F78"/>
    <w:rsid w:val="004174C5"/>
    <w:rsid w:val="00423B47"/>
    <w:rsid w:val="0042432A"/>
    <w:rsid w:val="0042498C"/>
    <w:rsid w:val="004354BC"/>
    <w:rsid w:val="00437E81"/>
    <w:rsid w:val="00442EB7"/>
    <w:rsid w:val="00444039"/>
    <w:rsid w:val="0045367A"/>
    <w:rsid w:val="00456B73"/>
    <w:rsid w:val="00465788"/>
    <w:rsid w:val="00466CE2"/>
    <w:rsid w:val="00473091"/>
    <w:rsid w:val="004731FC"/>
    <w:rsid w:val="00473FB6"/>
    <w:rsid w:val="00481F59"/>
    <w:rsid w:val="0049772C"/>
    <w:rsid w:val="004A0C71"/>
    <w:rsid w:val="004B274A"/>
    <w:rsid w:val="004B4374"/>
    <w:rsid w:val="004B4BC0"/>
    <w:rsid w:val="004C0376"/>
    <w:rsid w:val="004C1FE5"/>
    <w:rsid w:val="004C2914"/>
    <w:rsid w:val="004C4D72"/>
    <w:rsid w:val="004C7BF8"/>
    <w:rsid w:val="004D178F"/>
    <w:rsid w:val="004D6103"/>
    <w:rsid w:val="004D65A5"/>
    <w:rsid w:val="004D7222"/>
    <w:rsid w:val="004D7EAA"/>
    <w:rsid w:val="004E0FFA"/>
    <w:rsid w:val="004E3034"/>
    <w:rsid w:val="004E5B8C"/>
    <w:rsid w:val="004F3178"/>
    <w:rsid w:val="00511F78"/>
    <w:rsid w:val="00516DFD"/>
    <w:rsid w:val="00516F44"/>
    <w:rsid w:val="005202C7"/>
    <w:rsid w:val="0052097A"/>
    <w:rsid w:val="00526982"/>
    <w:rsid w:val="00537928"/>
    <w:rsid w:val="0054190A"/>
    <w:rsid w:val="00545E81"/>
    <w:rsid w:val="00552EC1"/>
    <w:rsid w:val="00552EEB"/>
    <w:rsid w:val="00553784"/>
    <w:rsid w:val="00554158"/>
    <w:rsid w:val="005570C1"/>
    <w:rsid w:val="0056309C"/>
    <w:rsid w:val="0056435D"/>
    <w:rsid w:val="00583689"/>
    <w:rsid w:val="00591143"/>
    <w:rsid w:val="00591846"/>
    <w:rsid w:val="00592335"/>
    <w:rsid w:val="005A719F"/>
    <w:rsid w:val="005B3601"/>
    <w:rsid w:val="005B5379"/>
    <w:rsid w:val="005B5CB7"/>
    <w:rsid w:val="005C1C7E"/>
    <w:rsid w:val="005C54C6"/>
    <w:rsid w:val="005D0D68"/>
    <w:rsid w:val="00600F58"/>
    <w:rsid w:val="00602370"/>
    <w:rsid w:val="00612C31"/>
    <w:rsid w:val="00616894"/>
    <w:rsid w:val="00616963"/>
    <w:rsid w:val="00617B8C"/>
    <w:rsid w:val="006256A9"/>
    <w:rsid w:val="00631AAF"/>
    <w:rsid w:val="0063307F"/>
    <w:rsid w:val="006349B0"/>
    <w:rsid w:val="006423C6"/>
    <w:rsid w:val="0064501A"/>
    <w:rsid w:val="00647B2C"/>
    <w:rsid w:val="00663AED"/>
    <w:rsid w:val="00665424"/>
    <w:rsid w:val="006713A3"/>
    <w:rsid w:val="00673C82"/>
    <w:rsid w:val="006759FE"/>
    <w:rsid w:val="006773FB"/>
    <w:rsid w:val="00687985"/>
    <w:rsid w:val="006904B0"/>
    <w:rsid w:val="00693436"/>
    <w:rsid w:val="00693554"/>
    <w:rsid w:val="00693C55"/>
    <w:rsid w:val="00695EFF"/>
    <w:rsid w:val="006A69BF"/>
    <w:rsid w:val="006B1AD3"/>
    <w:rsid w:val="006B2EEF"/>
    <w:rsid w:val="006B3E82"/>
    <w:rsid w:val="006C4770"/>
    <w:rsid w:val="006C619D"/>
    <w:rsid w:val="006C69FC"/>
    <w:rsid w:val="006D19D6"/>
    <w:rsid w:val="006D7020"/>
    <w:rsid w:val="006F0281"/>
    <w:rsid w:val="006F6D77"/>
    <w:rsid w:val="0070487D"/>
    <w:rsid w:val="00711DF4"/>
    <w:rsid w:val="007132B6"/>
    <w:rsid w:val="00715618"/>
    <w:rsid w:val="007167D1"/>
    <w:rsid w:val="00717441"/>
    <w:rsid w:val="00721225"/>
    <w:rsid w:val="00732C9F"/>
    <w:rsid w:val="0073304B"/>
    <w:rsid w:val="007419AB"/>
    <w:rsid w:val="00742F89"/>
    <w:rsid w:val="00757D76"/>
    <w:rsid w:val="007608ED"/>
    <w:rsid w:val="00764528"/>
    <w:rsid w:val="00764857"/>
    <w:rsid w:val="00766EC6"/>
    <w:rsid w:val="00772167"/>
    <w:rsid w:val="00774483"/>
    <w:rsid w:val="00777624"/>
    <w:rsid w:val="00782906"/>
    <w:rsid w:val="00782A0E"/>
    <w:rsid w:val="00783D93"/>
    <w:rsid w:val="00792AD5"/>
    <w:rsid w:val="00794861"/>
    <w:rsid w:val="00795EAD"/>
    <w:rsid w:val="007A40B3"/>
    <w:rsid w:val="007A70E6"/>
    <w:rsid w:val="007A78D9"/>
    <w:rsid w:val="007B2C1B"/>
    <w:rsid w:val="007B3EFB"/>
    <w:rsid w:val="007C28CC"/>
    <w:rsid w:val="007C31A9"/>
    <w:rsid w:val="007C3C2A"/>
    <w:rsid w:val="007C3E5E"/>
    <w:rsid w:val="007C418E"/>
    <w:rsid w:val="007D6B6C"/>
    <w:rsid w:val="007D70A1"/>
    <w:rsid w:val="007F1906"/>
    <w:rsid w:val="007F1BBE"/>
    <w:rsid w:val="007F59AE"/>
    <w:rsid w:val="007F714A"/>
    <w:rsid w:val="007F7D80"/>
    <w:rsid w:val="0081213A"/>
    <w:rsid w:val="008132E8"/>
    <w:rsid w:val="00823407"/>
    <w:rsid w:val="00825D5F"/>
    <w:rsid w:val="00831225"/>
    <w:rsid w:val="00832F15"/>
    <w:rsid w:val="00835D1C"/>
    <w:rsid w:val="00841B1F"/>
    <w:rsid w:val="0085217B"/>
    <w:rsid w:val="008569DB"/>
    <w:rsid w:val="0085707E"/>
    <w:rsid w:val="00877381"/>
    <w:rsid w:val="00881DF2"/>
    <w:rsid w:val="00881F58"/>
    <w:rsid w:val="008824D2"/>
    <w:rsid w:val="00890FBA"/>
    <w:rsid w:val="00891FDC"/>
    <w:rsid w:val="0089230A"/>
    <w:rsid w:val="00897647"/>
    <w:rsid w:val="008A28E9"/>
    <w:rsid w:val="008B0184"/>
    <w:rsid w:val="008B5C9C"/>
    <w:rsid w:val="008B7035"/>
    <w:rsid w:val="008C1EF9"/>
    <w:rsid w:val="008C5D02"/>
    <w:rsid w:val="008D2649"/>
    <w:rsid w:val="008D65BE"/>
    <w:rsid w:val="008E2BFA"/>
    <w:rsid w:val="008E5D76"/>
    <w:rsid w:val="008E64E1"/>
    <w:rsid w:val="008E67A6"/>
    <w:rsid w:val="00903E4A"/>
    <w:rsid w:val="0090568D"/>
    <w:rsid w:val="009071BA"/>
    <w:rsid w:val="009125C9"/>
    <w:rsid w:val="009137F2"/>
    <w:rsid w:val="00913879"/>
    <w:rsid w:val="00917661"/>
    <w:rsid w:val="009220FD"/>
    <w:rsid w:val="00925DF6"/>
    <w:rsid w:val="0092650E"/>
    <w:rsid w:val="00933451"/>
    <w:rsid w:val="009346B6"/>
    <w:rsid w:val="00954F87"/>
    <w:rsid w:val="00960DCC"/>
    <w:rsid w:val="0096283B"/>
    <w:rsid w:val="00963C46"/>
    <w:rsid w:val="00970C4E"/>
    <w:rsid w:val="00970E5D"/>
    <w:rsid w:val="0097701C"/>
    <w:rsid w:val="00980A65"/>
    <w:rsid w:val="00984CCB"/>
    <w:rsid w:val="009A02B9"/>
    <w:rsid w:val="009A0D8A"/>
    <w:rsid w:val="009A28F4"/>
    <w:rsid w:val="009A6250"/>
    <w:rsid w:val="009A6C95"/>
    <w:rsid w:val="009B0D4F"/>
    <w:rsid w:val="009B28AC"/>
    <w:rsid w:val="009B6775"/>
    <w:rsid w:val="009C2172"/>
    <w:rsid w:val="009C5712"/>
    <w:rsid w:val="009D2399"/>
    <w:rsid w:val="009E436D"/>
    <w:rsid w:val="009F0107"/>
    <w:rsid w:val="00A0372F"/>
    <w:rsid w:val="00A1385E"/>
    <w:rsid w:val="00A14AA2"/>
    <w:rsid w:val="00A25E70"/>
    <w:rsid w:val="00A26A3B"/>
    <w:rsid w:val="00A27B79"/>
    <w:rsid w:val="00A31FE3"/>
    <w:rsid w:val="00A33765"/>
    <w:rsid w:val="00A36289"/>
    <w:rsid w:val="00A36EC1"/>
    <w:rsid w:val="00A414B9"/>
    <w:rsid w:val="00A41F1B"/>
    <w:rsid w:val="00A47B66"/>
    <w:rsid w:val="00A57685"/>
    <w:rsid w:val="00A608FC"/>
    <w:rsid w:val="00A63269"/>
    <w:rsid w:val="00A63F1F"/>
    <w:rsid w:val="00A6751F"/>
    <w:rsid w:val="00A71626"/>
    <w:rsid w:val="00A71B3E"/>
    <w:rsid w:val="00A72457"/>
    <w:rsid w:val="00A7253B"/>
    <w:rsid w:val="00A72B8D"/>
    <w:rsid w:val="00A72C81"/>
    <w:rsid w:val="00A7790F"/>
    <w:rsid w:val="00A77DF3"/>
    <w:rsid w:val="00A801BE"/>
    <w:rsid w:val="00A82DAF"/>
    <w:rsid w:val="00A92377"/>
    <w:rsid w:val="00A9287E"/>
    <w:rsid w:val="00AA2692"/>
    <w:rsid w:val="00AB09D5"/>
    <w:rsid w:val="00AB29ED"/>
    <w:rsid w:val="00AB6BA2"/>
    <w:rsid w:val="00AB761D"/>
    <w:rsid w:val="00AC62B1"/>
    <w:rsid w:val="00AC6EE7"/>
    <w:rsid w:val="00AD0666"/>
    <w:rsid w:val="00AD3812"/>
    <w:rsid w:val="00AE4BD8"/>
    <w:rsid w:val="00AE6E0F"/>
    <w:rsid w:val="00AE7F73"/>
    <w:rsid w:val="00AF13E0"/>
    <w:rsid w:val="00AF3AA1"/>
    <w:rsid w:val="00AF3FC9"/>
    <w:rsid w:val="00AF7640"/>
    <w:rsid w:val="00B01C2D"/>
    <w:rsid w:val="00B04572"/>
    <w:rsid w:val="00B0776F"/>
    <w:rsid w:val="00B16EBB"/>
    <w:rsid w:val="00B1740B"/>
    <w:rsid w:val="00B21C42"/>
    <w:rsid w:val="00B22EEE"/>
    <w:rsid w:val="00B27CBA"/>
    <w:rsid w:val="00B27CFE"/>
    <w:rsid w:val="00B42CD1"/>
    <w:rsid w:val="00B4388F"/>
    <w:rsid w:val="00B4762B"/>
    <w:rsid w:val="00B63237"/>
    <w:rsid w:val="00B63811"/>
    <w:rsid w:val="00B64EFA"/>
    <w:rsid w:val="00B85CF0"/>
    <w:rsid w:val="00B90843"/>
    <w:rsid w:val="00B960A0"/>
    <w:rsid w:val="00BA0793"/>
    <w:rsid w:val="00BA21F2"/>
    <w:rsid w:val="00BA25E1"/>
    <w:rsid w:val="00BA4435"/>
    <w:rsid w:val="00BA55DE"/>
    <w:rsid w:val="00BA7BEF"/>
    <w:rsid w:val="00BB1EF8"/>
    <w:rsid w:val="00BC5586"/>
    <w:rsid w:val="00BC6D35"/>
    <w:rsid w:val="00BD34AA"/>
    <w:rsid w:val="00BD5FFC"/>
    <w:rsid w:val="00BF0F0F"/>
    <w:rsid w:val="00BF2A47"/>
    <w:rsid w:val="00C07858"/>
    <w:rsid w:val="00C156E0"/>
    <w:rsid w:val="00C15F80"/>
    <w:rsid w:val="00C17C45"/>
    <w:rsid w:val="00C21D47"/>
    <w:rsid w:val="00C3188E"/>
    <w:rsid w:val="00C3720A"/>
    <w:rsid w:val="00C45E1C"/>
    <w:rsid w:val="00C509C5"/>
    <w:rsid w:val="00C53A00"/>
    <w:rsid w:val="00C62442"/>
    <w:rsid w:val="00C639F4"/>
    <w:rsid w:val="00C6777D"/>
    <w:rsid w:val="00C7558C"/>
    <w:rsid w:val="00C80101"/>
    <w:rsid w:val="00C8014A"/>
    <w:rsid w:val="00C938B1"/>
    <w:rsid w:val="00C93C2E"/>
    <w:rsid w:val="00C960DC"/>
    <w:rsid w:val="00C9734F"/>
    <w:rsid w:val="00CA65AF"/>
    <w:rsid w:val="00CB74A4"/>
    <w:rsid w:val="00CC247D"/>
    <w:rsid w:val="00CC39EB"/>
    <w:rsid w:val="00CC50D1"/>
    <w:rsid w:val="00CD2686"/>
    <w:rsid w:val="00CE01C8"/>
    <w:rsid w:val="00CE061A"/>
    <w:rsid w:val="00CE0FE0"/>
    <w:rsid w:val="00CF27D5"/>
    <w:rsid w:val="00CF46FE"/>
    <w:rsid w:val="00D01C6A"/>
    <w:rsid w:val="00D02C75"/>
    <w:rsid w:val="00D03990"/>
    <w:rsid w:val="00D065E8"/>
    <w:rsid w:val="00D10E22"/>
    <w:rsid w:val="00D112DD"/>
    <w:rsid w:val="00D13D2C"/>
    <w:rsid w:val="00D1545E"/>
    <w:rsid w:val="00D175CC"/>
    <w:rsid w:val="00D31DED"/>
    <w:rsid w:val="00D346B7"/>
    <w:rsid w:val="00D43581"/>
    <w:rsid w:val="00D43AAF"/>
    <w:rsid w:val="00D501E5"/>
    <w:rsid w:val="00D542BB"/>
    <w:rsid w:val="00D55346"/>
    <w:rsid w:val="00D75AC3"/>
    <w:rsid w:val="00D7604D"/>
    <w:rsid w:val="00D76169"/>
    <w:rsid w:val="00D768AB"/>
    <w:rsid w:val="00D818F0"/>
    <w:rsid w:val="00D82E65"/>
    <w:rsid w:val="00D97BF9"/>
    <w:rsid w:val="00DA0F8D"/>
    <w:rsid w:val="00DA341A"/>
    <w:rsid w:val="00DB0D27"/>
    <w:rsid w:val="00DB10DE"/>
    <w:rsid w:val="00DB312E"/>
    <w:rsid w:val="00DB6B54"/>
    <w:rsid w:val="00DC2F94"/>
    <w:rsid w:val="00DC47E4"/>
    <w:rsid w:val="00DD3D9E"/>
    <w:rsid w:val="00DD7908"/>
    <w:rsid w:val="00DE0D10"/>
    <w:rsid w:val="00DE1573"/>
    <w:rsid w:val="00DF0202"/>
    <w:rsid w:val="00E02FB0"/>
    <w:rsid w:val="00E1280E"/>
    <w:rsid w:val="00E14228"/>
    <w:rsid w:val="00E14A44"/>
    <w:rsid w:val="00E1539F"/>
    <w:rsid w:val="00E2172C"/>
    <w:rsid w:val="00E31C42"/>
    <w:rsid w:val="00E413C3"/>
    <w:rsid w:val="00E46A45"/>
    <w:rsid w:val="00E47B29"/>
    <w:rsid w:val="00E554B4"/>
    <w:rsid w:val="00E55D55"/>
    <w:rsid w:val="00E56B1E"/>
    <w:rsid w:val="00E73299"/>
    <w:rsid w:val="00E738B7"/>
    <w:rsid w:val="00E7506A"/>
    <w:rsid w:val="00E8176C"/>
    <w:rsid w:val="00E8205A"/>
    <w:rsid w:val="00E82297"/>
    <w:rsid w:val="00E834F8"/>
    <w:rsid w:val="00E8492A"/>
    <w:rsid w:val="00E92C9E"/>
    <w:rsid w:val="00E9410B"/>
    <w:rsid w:val="00E96BE5"/>
    <w:rsid w:val="00E97E6D"/>
    <w:rsid w:val="00EB4179"/>
    <w:rsid w:val="00EC3994"/>
    <w:rsid w:val="00EC41E5"/>
    <w:rsid w:val="00EC6335"/>
    <w:rsid w:val="00ED708D"/>
    <w:rsid w:val="00EE050F"/>
    <w:rsid w:val="00EE1BB6"/>
    <w:rsid w:val="00EE62C9"/>
    <w:rsid w:val="00EE6F61"/>
    <w:rsid w:val="00EE7CA1"/>
    <w:rsid w:val="00EF165B"/>
    <w:rsid w:val="00EF25F4"/>
    <w:rsid w:val="00EF39FD"/>
    <w:rsid w:val="00EF5396"/>
    <w:rsid w:val="00F057BF"/>
    <w:rsid w:val="00F06842"/>
    <w:rsid w:val="00F107FD"/>
    <w:rsid w:val="00F16A99"/>
    <w:rsid w:val="00F26D18"/>
    <w:rsid w:val="00F27998"/>
    <w:rsid w:val="00F31B93"/>
    <w:rsid w:val="00F32FD0"/>
    <w:rsid w:val="00F419D3"/>
    <w:rsid w:val="00F43A4C"/>
    <w:rsid w:val="00F446D7"/>
    <w:rsid w:val="00F61E2E"/>
    <w:rsid w:val="00F65AD7"/>
    <w:rsid w:val="00F7311F"/>
    <w:rsid w:val="00F87D17"/>
    <w:rsid w:val="00F9213D"/>
    <w:rsid w:val="00F97E57"/>
    <w:rsid w:val="00FA151A"/>
    <w:rsid w:val="00FB64A8"/>
    <w:rsid w:val="00FC065C"/>
    <w:rsid w:val="00FC1AAA"/>
    <w:rsid w:val="00FD014C"/>
    <w:rsid w:val="00FD2D09"/>
    <w:rsid w:val="00FD5D03"/>
    <w:rsid w:val="00FE150F"/>
    <w:rsid w:val="00FE2EAC"/>
    <w:rsid w:val="00FE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7419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DB0D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styleId="Paragrafoelenco">
    <w:name w:val="List Paragraph"/>
    <w:basedOn w:val="Normale"/>
    <w:uiPriority w:val="34"/>
    <w:qFormat/>
    <w:rsid w:val="00F65AD7"/>
    <w:pPr>
      <w:spacing w:after="160" w:line="259" w:lineRule="auto"/>
      <w:ind w:left="720"/>
      <w:contextualSpacing/>
    </w:pPr>
    <w:rPr>
      <w:rFonts w:asciiTheme="minorHAnsi" w:eastAsiaTheme="minorHAnsi" w:hAnsiTheme="minorHAnsi" w:cstheme="minorBidi"/>
      <w:sz w:val="22"/>
      <w:szCs w:val="22"/>
    </w:rPr>
  </w:style>
  <w:style w:type="character" w:customStyle="1" w:styleId="Titolo1Carattere">
    <w:name w:val="Titolo 1 Carattere"/>
    <w:basedOn w:val="Carpredefinitoparagrafo"/>
    <w:link w:val="Titolo1"/>
    <w:rsid w:val="007419AB"/>
    <w:rPr>
      <w:rFonts w:asciiTheme="majorHAnsi" w:eastAsiaTheme="majorEastAsia" w:hAnsiTheme="majorHAnsi" w:cstheme="majorBidi"/>
      <w:color w:val="365F91" w:themeColor="accent1" w:themeShade="BF"/>
      <w:sz w:val="32"/>
      <w:szCs w:val="32"/>
      <w:lang w:eastAsia="en-US"/>
    </w:rPr>
  </w:style>
  <w:style w:type="character" w:customStyle="1" w:styleId="Titolo2Carattere">
    <w:name w:val="Titolo 2 Carattere"/>
    <w:basedOn w:val="Carpredefinitoparagrafo"/>
    <w:link w:val="Titolo2"/>
    <w:uiPriority w:val="9"/>
    <w:rsid w:val="00DB0D27"/>
    <w:rPr>
      <w:rFonts w:asciiTheme="majorHAnsi" w:eastAsiaTheme="majorEastAsia" w:hAnsiTheme="majorHAnsi" w:cstheme="majorBidi"/>
      <w:color w:val="365F91" w:themeColor="accent1" w:themeShade="BF"/>
      <w:sz w:val="26"/>
      <w:szCs w:val="26"/>
      <w:lang w:eastAsia="en-US"/>
    </w:rPr>
  </w:style>
  <w:style w:type="table" w:styleId="Grigliatabella">
    <w:name w:val="Table Grid"/>
    <w:basedOn w:val="Tabellanormale"/>
    <w:rsid w:val="0012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F7D8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cipollina@unipa.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78354149-b915-404f-89ae-f01c017bd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09F3B1DC7B7174485CD6520D4AF3C5C" ma:contentTypeVersion="15" ma:contentTypeDescription="Creare un nuovo documento." ma:contentTypeScope="" ma:versionID="686f9319deda3c963c0879dd09638e21">
  <xsd:schema xmlns:xsd="http://www.w3.org/2001/XMLSchema" xmlns:xs="http://www.w3.org/2001/XMLSchema" xmlns:p="http://schemas.microsoft.com/office/2006/metadata/properties" xmlns:ns3="1189db78-157a-4c48-8ef8-bfc97795b603" xmlns:ns4="78354149-b915-404f-89ae-f01c017bd844" targetNamespace="http://schemas.microsoft.com/office/2006/metadata/properties" ma:root="true" ma:fieldsID="f78d63f1a991872902c92b32d4f1bd53" ns3:_="" ns4:_="">
    <xsd:import namespace="1189db78-157a-4c48-8ef8-bfc97795b603"/>
    <xsd:import namespace="78354149-b915-404f-89ae-f01c017bd8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LengthInSeconds" minOccurs="0"/>
                <xsd:element ref="ns4:MediaServiceLocation"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9db78-157a-4c48-8ef8-bfc97795b60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54149-b915-404f-89ae-f01c017bd8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2.xml><?xml version="1.0" encoding="utf-8"?>
<ds:datastoreItem xmlns:ds="http://schemas.openxmlformats.org/officeDocument/2006/customXml" ds:itemID="{602F3500-4674-4A82-AE19-600C016D499D}">
  <ds:schemaRefs>
    <ds:schemaRef ds:uri="http://schemas.microsoft.com/office/2006/metadata/properties"/>
    <ds:schemaRef ds:uri="http://schemas.microsoft.com/office/infopath/2007/PartnerControls"/>
    <ds:schemaRef ds:uri="78354149-b915-404f-89ae-f01c017bd844"/>
  </ds:schemaRefs>
</ds:datastoreItem>
</file>

<file path=customXml/itemProps3.xml><?xml version="1.0" encoding="utf-8"?>
<ds:datastoreItem xmlns:ds="http://schemas.openxmlformats.org/officeDocument/2006/customXml" ds:itemID="{9603EA23-4284-4321-BC58-3792B9256F99}">
  <ds:schemaRefs>
    <ds:schemaRef ds:uri="http://schemas.microsoft.com/sharepoint/v3/contenttype/forms"/>
  </ds:schemaRefs>
</ds:datastoreItem>
</file>

<file path=customXml/itemProps4.xml><?xml version="1.0" encoding="utf-8"?>
<ds:datastoreItem xmlns:ds="http://schemas.openxmlformats.org/officeDocument/2006/customXml" ds:itemID="{0C20B3D5-BEF5-430E-B7BC-C842BEED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9db78-157a-4c48-8ef8-bfc97795b603"/>
    <ds:schemaRef ds:uri="78354149-b915-404f-89ae-f01c017bd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6738</Words>
  <Characters>38949</Characters>
  <Application>Microsoft Office Word</Application>
  <DocSecurity>0</DocSecurity>
  <Lines>671</Lines>
  <Paragraphs>195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45492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CALOGERO CASSARO</cp:lastModifiedBy>
  <cp:revision>2</cp:revision>
  <cp:lastPrinted>2023-12-02T00:35:00Z</cp:lastPrinted>
  <dcterms:created xsi:type="dcterms:W3CDTF">2024-01-08T17:01:00Z</dcterms:created>
  <dcterms:modified xsi:type="dcterms:W3CDTF">2024-01-08T17:01:00Z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0x010100209F3B1DC7B7174485CD6520D4AF3C5C</vt:lpwstr>
  </property>
  <property fmtid="{D5CDD505-2E9C-101B-9397-08002B2CF9AE}" pid="11" name="Mendeley Recent Style Id 0_1">
    <vt:lpwstr>http://www.zotero.org/styles/american-political-science-association</vt:lpwstr>
  </property>
  <property fmtid="{D5CDD505-2E9C-101B-9397-08002B2CF9AE}" pid="12" name="Mendeley Recent Style Name 0_1">
    <vt:lpwstr>American Political Science Association</vt:lpwstr>
  </property>
  <property fmtid="{D5CDD505-2E9C-101B-9397-08002B2CF9AE}" pid="13" name="Mendeley Recent Style Id 1_1">
    <vt:lpwstr>http://www.zotero.org/styles/apa</vt:lpwstr>
  </property>
  <property fmtid="{D5CDD505-2E9C-101B-9397-08002B2CF9AE}" pid="14" name="Mendeley Recent Style Name 1_1">
    <vt:lpwstr>American Psychological Association 7th edition</vt:lpwstr>
  </property>
  <property fmtid="{D5CDD505-2E9C-101B-9397-08002B2CF9AE}" pid="15" name="Mendeley Recent Style Id 2_1">
    <vt:lpwstr>http://www.zotero.org/styles/american-sociological-association</vt:lpwstr>
  </property>
  <property fmtid="{D5CDD505-2E9C-101B-9397-08002B2CF9AE}" pid="16" name="Mendeley Recent Style Name 2_1">
    <vt:lpwstr>American Sociological Association 6th edition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http://www.zotero.org/styles/harvard-cite-them-right</vt:lpwstr>
  </property>
  <property fmtid="{D5CDD505-2E9C-101B-9397-08002B2CF9AE}" pid="20" name="Mendeley Recent Style Name 4_1">
    <vt:lpwstr>Cite Them Right 12th edition - Harvard</vt:lpwstr>
  </property>
  <property fmtid="{D5CDD505-2E9C-101B-9397-08002B2CF9AE}" pid="21" name="Mendeley Recent Style Id 5_1">
    <vt:lpwstr>http://www.zotero.org/styles/desalination</vt:lpwstr>
  </property>
  <property fmtid="{D5CDD505-2E9C-101B-9397-08002B2CF9AE}" pid="22" name="Mendeley Recent Style Name 5_1">
    <vt:lpwstr>Desalination</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9th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ndeley Document_1">
    <vt:lpwstr>True</vt:lpwstr>
  </property>
  <property fmtid="{D5CDD505-2E9C-101B-9397-08002B2CF9AE}" pid="32" name="Mendeley Unique User Id_1">
    <vt:lpwstr>08e45b82-8ba1-38d7-ba6f-c0f803fa8a41</vt:lpwstr>
  </property>
  <property fmtid="{D5CDD505-2E9C-101B-9397-08002B2CF9AE}" pid="33" name="Mendeley Citation Style_1">
    <vt:lpwstr>http://www.zotero.org/styles/chicago-author-date</vt:lpwstr>
  </property>
</Properties>
</file>