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1038EC22" w:rsidR="00DD3D9E" w:rsidRPr="00B4388F" w:rsidRDefault="00201D35">
      <w:pPr>
        <w:pStyle w:val="Els-Title"/>
        <w:rPr>
          <w:color w:val="000000" w:themeColor="text1"/>
        </w:rPr>
      </w:pPr>
      <w:r w:rsidRPr="00997717">
        <w:rPr>
          <w:color w:val="000000" w:themeColor="text1"/>
        </w:rPr>
        <w:t xml:space="preserve">Thermodynamic approach to simulate the </w:t>
      </w:r>
      <w:proofErr w:type="spellStart"/>
      <w:r w:rsidRPr="00997717">
        <w:rPr>
          <w:color w:val="000000" w:themeColor="text1"/>
        </w:rPr>
        <w:t>HydroDeOxygenation</w:t>
      </w:r>
      <w:proofErr w:type="spellEnd"/>
      <w:r w:rsidRPr="00997717">
        <w:rPr>
          <w:color w:val="000000" w:themeColor="text1"/>
        </w:rPr>
        <w:t xml:space="preserve"> process of </w:t>
      </w:r>
      <w:proofErr w:type="gramStart"/>
      <w:r w:rsidRPr="00997717">
        <w:rPr>
          <w:color w:val="000000" w:themeColor="text1"/>
        </w:rPr>
        <w:t>Lignin</w:t>
      </w:r>
      <w:proofErr w:type="gramEnd"/>
    </w:p>
    <w:p w14:paraId="144DE680" w14:textId="479EC766" w:rsidR="00DD3D9E" w:rsidRPr="00997717" w:rsidRDefault="00201D35">
      <w:pPr>
        <w:pStyle w:val="Els-Author"/>
        <w:rPr>
          <w:lang w:val="it-IT"/>
        </w:rPr>
      </w:pPr>
      <w:r w:rsidRPr="00997717">
        <w:rPr>
          <w:lang w:val="it-IT"/>
        </w:rPr>
        <w:t>Aristide Giuliano</w:t>
      </w:r>
      <w:r w:rsidRPr="00997717">
        <w:rPr>
          <w:vertAlign w:val="superscript"/>
          <w:lang w:val="it-IT"/>
        </w:rPr>
        <w:t>a</w:t>
      </w:r>
      <w:r w:rsidRPr="00997717">
        <w:rPr>
          <w:lang w:val="it-IT"/>
        </w:rPr>
        <w:t>, Aniello Di Gi</w:t>
      </w:r>
      <w:r>
        <w:rPr>
          <w:lang w:val="it-IT"/>
        </w:rPr>
        <w:t>acomo</w:t>
      </w:r>
      <w:r w:rsidRPr="00997717">
        <w:rPr>
          <w:vertAlign w:val="superscript"/>
          <w:lang w:val="it-IT"/>
        </w:rPr>
        <w:t>b</w:t>
      </w:r>
      <w:r>
        <w:rPr>
          <w:lang w:val="it-IT"/>
        </w:rPr>
        <w:t>,</w:t>
      </w:r>
      <w:r w:rsidR="00656A2A">
        <w:rPr>
          <w:lang w:val="it-IT"/>
        </w:rPr>
        <w:t xml:space="preserve"> Nicola Pierro</w:t>
      </w:r>
      <w:r w:rsidR="00656A2A" w:rsidRPr="00656A2A">
        <w:rPr>
          <w:vertAlign w:val="superscript"/>
          <w:lang w:val="it-IT"/>
        </w:rPr>
        <w:t>a</w:t>
      </w:r>
      <w:r w:rsidR="00656A2A">
        <w:rPr>
          <w:lang w:val="it-IT"/>
        </w:rPr>
        <w:t>,</w:t>
      </w:r>
      <w:r>
        <w:rPr>
          <w:lang w:val="it-IT"/>
        </w:rPr>
        <w:t xml:space="preserve"> Isabella De Bari</w:t>
      </w:r>
      <w:r w:rsidRPr="00997717">
        <w:rPr>
          <w:vertAlign w:val="superscript"/>
          <w:lang w:val="it-IT"/>
        </w:rPr>
        <w:t>a</w:t>
      </w:r>
      <w:r>
        <w:rPr>
          <w:lang w:val="it-IT"/>
        </w:rPr>
        <w:t>, Diego Barletta</w:t>
      </w:r>
      <w:r w:rsidRPr="00997717">
        <w:rPr>
          <w:vertAlign w:val="superscript"/>
          <w:lang w:val="it-IT"/>
        </w:rPr>
        <w:t>b</w:t>
      </w:r>
      <w:r w:rsidR="00BF1736">
        <w:rPr>
          <w:vertAlign w:val="superscript"/>
          <w:lang w:val="it-IT"/>
        </w:rPr>
        <w:t>*</w:t>
      </w:r>
    </w:p>
    <w:p w14:paraId="144DE681" w14:textId="6719F1D8" w:rsidR="00DD3D9E" w:rsidRDefault="00201D35">
      <w:pPr>
        <w:pStyle w:val="Els-Affiliation"/>
      </w:pPr>
      <w:r w:rsidRPr="00997717">
        <w:rPr>
          <w:vertAlign w:val="superscript"/>
        </w:rPr>
        <w:t>a</w:t>
      </w:r>
      <w:r w:rsidRPr="00997717">
        <w:t xml:space="preserve">ENEA, Italian National Agency for New Technologies, Energy and Sustainable </w:t>
      </w:r>
      <w:r w:rsidRPr="00997717">
        <w:t>Economic Development, S.S. 106 Ionica, km 419+500, Rotondella, MT, Italy</w:t>
      </w:r>
    </w:p>
    <w:p w14:paraId="144DE682" w14:textId="61FF2987" w:rsidR="00DD3D9E" w:rsidRPr="00997717" w:rsidRDefault="00201D35">
      <w:pPr>
        <w:pStyle w:val="Els-Affiliation"/>
        <w:rPr>
          <w:lang w:val="it-IT"/>
        </w:rPr>
      </w:pPr>
      <w:r w:rsidRPr="00997717">
        <w:rPr>
          <w:vertAlign w:val="superscript"/>
          <w:lang w:val="it-IT"/>
        </w:rPr>
        <w:t>b</w:t>
      </w:r>
      <w:r w:rsidRPr="00997717">
        <w:rPr>
          <w:lang w:val="it-IT"/>
        </w:rPr>
        <w:t>Dipartimento di Ingegneria Industriale, Universitá degli Studi di Salerno, Via Giovanni Paolo II 132, I-84084 Fisciano SA, Italy</w:t>
      </w:r>
    </w:p>
    <w:p w14:paraId="144DE683" w14:textId="71408BE1" w:rsidR="008D2649" w:rsidRPr="00A94774" w:rsidRDefault="00201D35" w:rsidP="008D2649">
      <w:pPr>
        <w:pStyle w:val="Els-Affiliation"/>
        <w:spacing w:after="120"/>
      </w:pPr>
      <w:r>
        <w:t>dbarletta@unisa</w:t>
      </w:r>
      <w:r w:rsidR="00997717">
        <w:t>.it</w:t>
      </w:r>
    </w:p>
    <w:p w14:paraId="144DE684" w14:textId="77777777" w:rsidR="008D2649" w:rsidRDefault="00201D35" w:rsidP="008D2649">
      <w:pPr>
        <w:pStyle w:val="Els-Abstract"/>
      </w:pPr>
      <w:r>
        <w:t>Abstract</w:t>
      </w:r>
    </w:p>
    <w:p w14:paraId="054F2A45" w14:textId="1267B586" w:rsidR="00A16F2F" w:rsidRDefault="00201D35" w:rsidP="00997717">
      <w:pPr>
        <w:pStyle w:val="Els-body-text"/>
        <w:spacing w:after="120"/>
        <w:rPr>
          <w:lang w:val="en-GB"/>
        </w:rPr>
      </w:pPr>
      <w:r>
        <w:rPr>
          <w:lang w:val="en-GB"/>
        </w:rPr>
        <w:t>T</w:t>
      </w:r>
      <w:r w:rsidR="00997717" w:rsidRPr="00997717">
        <w:rPr>
          <w:lang w:val="en-GB"/>
        </w:rPr>
        <w:t xml:space="preserve">he high availability of lignin as a renewable carbon source, coupled with its chemical structure rich in aromatic compounds, offers a potential opportunity to convert lignin into chemicals, </w:t>
      </w:r>
      <w:proofErr w:type="gramStart"/>
      <w:r w:rsidR="00997717" w:rsidRPr="00997717">
        <w:rPr>
          <w:lang w:val="en-GB"/>
        </w:rPr>
        <w:t>fuels</w:t>
      </w:r>
      <w:proofErr w:type="gramEnd"/>
      <w:r w:rsidR="00997717" w:rsidRPr="00997717">
        <w:rPr>
          <w:lang w:val="en-GB"/>
        </w:rPr>
        <w:t xml:space="preserve"> and other valuable building blocks.</w:t>
      </w:r>
      <w:r w:rsidR="00997717">
        <w:rPr>
          <w:lang w:val="en-GB"/>
        </w:rPr>
        <w:t xml:space="preserve"> </w:t>
      </w:r>
      <w:r w:rsidR="00997717" w:rsidRPr="00997717">
        <w:rPr>
          <w:lang w:val="en-GB"/>
        </w:rPr>
        <w:t>Within this context, the hydrogenation process was considered a good pathway to obtain profitable compounds converting lignin. In the present work, a novel thermodynamic approach was carried out by lignin hydrogenation simulation. First, a lignin property model was developed in the process simulation software Aspen Plus</w:t>
      </w:r>
      <w:r w:rsidR="00997717" w:rsidRPr="00BF1736">
        <w:rPr>
          <w:vertAlign w:val="superscript"/>
          <w:lang w:val="en-GB"/>
        </w:rPr>
        <w:t>®</w:t>
      </w:r>
      <w:r w:rsidR="00997717" w:rsidRPr="00997717">
        <w:rPr>
          <w:lang w:val="en-GB"/>
        </w:rPr>
        <w:t xml:space="preserve"> and based on its chemical structure and thermodynamic properties. Subsequently, a set of reactions was considered for the hydrogenation process, and the “</w:t>
      </w:r>
      <w:r w:rsidR="00B571B9" w:rsidRPr="00B571B9">
        <w:rPr>
          <w:i/>
          <w:iCs/>
          <w:lang w:val="en-GB"/>
        </w:rPr>
        <w:t>t</w:t>
      </w:r>
      <w:r w:rsidR="00997717" w:rsidRPr="00B571B9">
        <w:rPr>
          <w:i/>
          <w:iCs/>
          <w:lang w:val="en-GB"/>
        </w:rPr>
        <w:t>emperature approach</w:t>
      </w:r>
      <w:r w:rsidR="00997717" w:rsidRPr="00997717">
        <w:rPr>
          <w:lang w:val="en-GB"/>
        </w:rPr>
        <w:t>" was used to fit the reactor's yield experimental data available in the literature with the reaction network model predictions. This procedure enabled the replication of the results obtained in the reactor without the need to directly consider the reaction kinetics. The results showed that</w:t>
      </w:r>
      <w:r w:rsidR="008B2A47">
        <w:rPr>
          <w:lang w:val="en-GB"/>
        </w:rPr>
        <w:t xml:space="preserve"> there is a good </w:t>
      </w:r>
      <w:r w:rsidR="00001150">
        <w:rPr>
          <w:lang w:val="en-GB"/>
        </w:rPr>
        <w:t xml:space="preserve">approximation between </w:t>
      </w:r>
      <w:r w:rsidR="00E876A9">
        <w:rPr>
          <w:lang w:val="en-GB"/>
        </w:rPr>
        <w:t xml:space="preserve">experimental and modelling results for each of </w:t>
      </w:r>
      <w:r w:rsidR="00B571B9">
        <w:rPr>
          <w:lang w:val="en-GB"/>
        </w:rPr>
        <w:t>the four different catalysts tested in the literature works data</w:t>
      </w:r>
      <w:r w:rsidR="00E876A9">
        <w:rPr>
          <w:lang w:val="en-GB"/>
        </w:rPr>
        <w:t>.</w:t>
      </w:r>
      <w:r w:rsidR="00B571B9">
        <w:rPr>
          <w:lang w:val="en-GB"/>
        </w:rPr>
        <w:t xml:space="preserve"> </w:t>
      </w:r>
      <w:r w:rsidR="00FA06EC">
        <w:rPr>
          <w:lang w:val="en-GB"/>
        </w:rPr>
        <w:t>The main potential utilization of the model consist</w:t>
      </w:r>
      <w:r>
        <w:rPr>
          <w:lang w:val="en-GB"/>
        </w:rPr>
        <w:t>s</w:t>
      </w:r>
      <w:r w:rsidR="00FA06EC">
        <w:rPr>
          <w:lang w:val="en-GB"/>
        </w:rPr>
        <w:t xml:space="preserve"> in the </w:t>
      </w:r>
      <w:r w:rsidR="006D022D">
        <w:rPr>
          <w:lang w:val="en-GB"/>
        </w:rPr>
        <w:t xml:space="preserve">forecasting of the lignin HDO process </w:t>
      </w:r>
      <w:r w:rsidR="001E6A50">
        <w:rPr>
          <w:lang w:val="en-GB"/>
        </w:rPr>
        <w:t>individuating the hydrogen needs</w:t>
      </w:r>
      <w:r w:rsidR="004B3ED6">
        <w:rPr>
          <w:lang w:val="en-GB"/>
        </w:rPr>
        <w:t xml:space="preserve"> and</w:t>
      </w:r>
      <w:r w:rsidR="001E6A50">
        <w:rPr>
          <w:lang w:val="en-GB"/>
        </w:rPr>
        <w:t xml:space="preserve"> the best pressure</w:t>
      </w:r>
      <w:r w:rsidR="004B3ED6">
        <w:rPr>
          <w:lang w:val="en-GB"/>
        </w:rPr>
        <w:t xml:space="preserve"> to use to maximize the yields to aromatics also testing several kinds of </w:t>
      </w:r>
      <w:r>
        <w:rPr>
          <w:lang w:val="en-GB"/>
        </w:rPr>
        <w:t>lignin sources.</w:t>
      </w:r>
    </w:p>
    <w:p w14:paraId="144DE687" w14:textId="4C2981D5" w:rsidR="008D2649" w:rsidRDefault="00201D35" w:rsidP="00997717">
      <w:pPr>
        <w:pStyle w:val="Els-body-text"/>
        <w:spacing w:after="120"/>
        <w:rPr>
          <w:lang w:val="en-GB"/>
        </w:rPr>
      </w:pPr>
      <w:r>
        <w:rPr>
          <w:b/>
          <w:bCs/>
          <w:lang w:val="en-GB"/>
        </w:rPr>
        <w:t>Keywords</w:t>
      </w:r>
      <w:r>
        <w:rPr>
          <w:lang w:val="en-GB"/>
        </w:rPr>
        <w:t xml:space="preserve">: </w:t>
      </w:r>
      <w:r w:rsidR="00997717">
        <w:rPr>
          <w:lang w:val="en-GB"/>
        </w:rPr>
        <w:t>l</w:t>
      </w:r>
      <w:r w:rsidR="00997717" w:rsidRPr="00997717">
        <w:rPr>
          <w:lang w:val="en-GB"/>
        </w:rPr>
        <w:t xml:space="preserve">ignocellulosic biomass, HDO, </w:t>
      </w:r>
      <w:r w:rsidR="00997717">
        <w:rPr>
          <w:lang w:val="en-GB"/>
        </w:rPr>
        <w:t>t</w:t>
      </w:r>
      <w:r w:rsidR="00997717" w:rsidRPr="00997717">
        <w:rPr>
          <w:lang w:val="en-GB"/>
        </w:rPr>
        <w:t xml:space="preserve">emperature approach, </w:t>
      </w:r>
      <w:r w:rsidR="00997717">
        <w:rPr>
          <w:lang w:val="en-GB"/>
        </w:rPr>
        <w:t>l</w:t>
      </w:r>
      <w:r w:rsidR="00997717" w:rsidRPr="00997717">
        <w:rPr>
          <w:lang w:val="en-GB"/>
        </w:rPr>
        <w:t xml:space="preserve">ignin modelling, </w:t>
      </w:r>
      <w:r w:rsidR="00997717">
        <w:rPr>
          <w:lang w:val="en-GB"/>
        </w:rPr>
        <w:t>a</w:t>
      </w:r>
      <w:r w:rsidR="00997717" w:rsidRPr="00997717">
        <w:rPr>
          <w:lang w:val="en-GB"/>
        </w:rPr>
        <w:t>romatics</w:t>
      </w:r>
    </w:p>
    <w:p w14:paraId="144DE689" w14:textId="6978774E" w:rsidR="008D2649" w:rsidRDefault="00201D35" w:rsidP="008D2649">
      <w:pPr>
        <w:pStyle w:val="Els-1storder-head"/>
      </w:pPr>
      <w:r>
        <w:t>Introduction</w:t>
      </w:r>
    </w:p>
    <w:p w14:paraId="0FA0C7E7" w14:textId="78158CB9" w:rsidR="002F6659" w:rsidRDefault="00201D35" w:rsidP="002F6659">
      <w:pPr>
        <w:pStyle w:val="Els-body-text"/>
      </w:pPr>
      <w:r w:rsidRPr="001A0EBD">
        <w:t>Lignin is the most abundant natural resource among the aromatics yet, it is largely unexploited for this purpose. It has a lower oxygen content compared with cellulose and hemicellulose</w:t>
      </w:r>
      <w:r w:rsidR="00D8082E">
        <w:t xml:space="preserve"> </w:t>
      </w:r>
      <w:r w:rsidR="004430F9">
        <w:fldChar w:fldCharType="begin"/>
      </w:r>
      <w:r w:rsidR="00626784">
        <w:instrText xml:space="preserve"> ADDIN ZOTERO_ITEM CSL_CITATION {"citationID":"pT6fmtJc","properties":{"formattedCitation":"(Mastrolitti et al., 2021)","plainCitation":"(Mastrolitti et al., 2021)","noteIndex":0},"citationItems":[{"id":36,"uris":["http://zotero.org/users/10649518/items/A9LZJ78A"],"itemData":{"id":36,"type":"article-journal","language":"en","page":"194","source":"Zotero","title":"Sustainable lignin valorization","author":[{"family":"Mastrolitti","given":"S"},{"family":"Borsella","given":"E"},{"family":"Giuliano","given":"A"},{"family":"Petrone","given":"M T"},{"family":"Bari","given":"I De"},{"family":"Gosselink","given":"R"},{"family":"Erven","given":"G","non-dropping-particle":"van"},{"family":"Annevelink","given":"E"},{"family":"Triantafyllidis","given":"K S"},{"family":"Stichnothe","given":"H"}],"issued":{"date-parts":[["2021"]]}}}],"schema":"https://github.com/citation-style-language/schema/raw/master/csl-citation.json"} </w:instrText>
      </w:r>
      <w:r w:rsidR="004430F9">
        <w:fldChar w:fldCharType="separate"/>
      </w:r>
      <w:r w:rsidR="00626784" w:rsidRPr="00626784">
        <w:t>(Mastrolitti et al., 2021)</w:t>
      </w:r>
      <w:r w:rsidR="004430F9">
        <w:fldChar w:fldCharType="end"/>
      </w:r>
      <w:r w:rsidRPr="001A0EBD">
        <w:t xml:space="preserve">. These properties make lignin an attractive feedstock for chemicals and fuels. The lignin matrix is bound together through a variety of carbon-carbon and ether linkages, unlike most natural polymers, which consist of single inter-monomeric </w:t>
      </w:r>
      <w:proofErr w:type="spellStart"/>
      <w:r w:rsidRPr="001A0EBD">
        <w:t>bondings</w:t>
      </w:r>
      <w:proofErr w:type="spellEnd"/>
      <w:r w:rsidRPr="001A0EBD">
        <w:t xml:space="preserve">. Lignin's polymer network consists of p-hydroxyphenyl (H), </w:t>
      </w:r>
      <w:proofErr w:type="spellStart"/>
      <w:r w:rsidRPr="001A0EBD">
        <w:t>guaiacyl</w:t>
      </w:r>
      <w:proofErr w:type="spellEnd"/>
      <w:r w:rsidRPr="001A0EBD">
        <w:t xml:space="preserve"> (G), and </w:t>
      </w:r>
      <w:proofErr w:type="spellStart"/>
      <w:r w:rsidRPr="001A0EBD">
        <w:t>syringyl</w:t>
      </w:r>
      <w:proofErr w:type="spellEnd"/>
      <w:r w:rsidRPr="001A0EBD">
        <w:t xml:space="preserve"> (S) units, derived from the dehydrogenation and polymerization of three different </w:t>
      </w:r>
      <w:proofErr w:type="spellStart"/>
      <w:r w:rsidRPr="001A0EBD">
        <w:t>hydroxycinnamyl</w:t>
      </w:r>
      <w:proofErr w:type="spellEnd"/>
      <w:r w:rsidRPr="001A0EBD">
        <w:t xml:space="preserve"> alcohols (monolignols)</w:t>
      </w:r>
      <w:r w:rsidR="001310B7">
        <w:t xml:space="preserve"> </w:t>
      </w:r>
      <w:r w:rsidR="00FE773C">
        <w:fldChar w:fldCharType="begin"/>
      </w:r>
      <w:r w:rsidR="00FE773C">
        <w:instrText xml:space="preserve"> ADDIN ZOTERO_ITEM CSL_CITATION {"citationID":"VoRVSQbB","properties":{"formattedCitation":"(Yang et al., 2023)","plainCitation":"(Yang et al., 2023)","noteIndex":0},"citationItems":[{"id":4504,"uris":["http://zotero.org/users/10649518/items/92SG84UL"],"itemData":{"id":4504,"type":"article-journal","abstract":"The conversion of natural renewable resources to high-value chemical products for electrochemical energy storage is becoming an effective measure to alleviate the energy crisis caused by the fossil shortage. As the second largest renewable biomass material in the world, lignin has been successfully utilized to construct sustainable energy storage devices (ESDs), both aqueous and organic ones. In this review, we provide a comprehensive overview of recent advances in the application of lignin-based/-derived macromolecules as key ESD components. A brief introduction to the origin and classification of lignin and its basic chemistry for electrochemical energy storage is first presented. The latest progress in lignin-based ESDs is then specifically elaborated on and discussed in detail from the perspective of organic electrodes, binders, electrolytes, and separators. Critical challenges and prospects in this area are put forward at the end, which is anticipated to shed light on the rational design of advanced lignin-based economic materials for sustainable development.","container-title":"Green Chemistry","DOI":"10.1039/D3GC00565H","ISSN":"1463-9270","issue":"11","journalAbbreviation":"Green Chem.","language":"en","note":"publisher: The Royal Society of Chemistry","page":"4154-4179","source":"pubs.rsc.org","title":"Renewable lignin and its macromolecule derivatives: an emerging platform toward sustainable electrochemical energy storage","title-short":"Renewable lignin and its macromolecule derivatives","volume":"25","author":[{"family":"Yang","given":"Xueru"},{"family":"Zhang","given":"Yufei"},{"family":"Ye","given":"Minghui"},{"family":"Tang","given":"Yongchao"},{"family":"Wen","given":"Zhipeng"},{"family":"Liu","given":"Xiaoqing"},{"family":"Li","given":"Cheng Chao"}],"issued":{"date-parts":[["2023",6,6]]}}}],"schema":"https://github.com/citation-style-language/schema/raw/master/csl-citation.json"} </w:instrText>
      </w:r>
      <w:r w:rsidR="00FE773C">
        <w:fldChar w:fldCharType="separate"/>
      </w:r>
      <w:r w:rsidR="00FE773C" w:rsidRPr="00FE773C">
        <w:t>(Yang et al., 2023)</w:t>
      </w:r>
      <w:r w:rsidR="00FE773C">
        <w:fldChar w:fldCharType="end"/>
      </w:r>
      <w:r w:rsidR="001310B7">
        <w:t>.</w:t>
      </w:r>
      <w:r w:rsidR="005D672E">
        <w:t xml:space="preserve"> </w:t>
      </w:r>
      <w:r w:rsidR="00E7592C" w:rsidRPr="00E7592C">
        <w:t xml:space="preserve">Among the substructures, the β-O-4 (8-O-4, aryl ether) inter-unit linkage is the most predominant and readily cleaved one, either chemically or biochemically, providing a basis for the deconstruction of the polymeric framework in various industrial processes and several analytical methods. Other linkages, such as β–5, β–β, 5–5, 5–O–4, and β–1, </w:t>
      </w:r>
      <w:r w:rsidR="00E7592C" w:rsidRPr="00E7592C">
        <w:lastRenderedPageBreak/>
        <w:t>are more resistant to both kinds of degradation processes</w:t>
      </w:r>
      <w:r w:rsidR="00256A6C">
        <w:t xml:space="preserve">. </w:t>
      </w:r>
      <w:r w:rsidR="00AF0C8D">
        <w:t>Many different conversion technologies have been proposed for the depolymerization of lignin into its derived aromatic compounds</w:t>
      </w:r>
      <w:r w:rsidR="00EF2599">
        <w:t xml:space="preserve"> </w:t>
      </w:r>
      <w:r w:rsidR="00EF2599">
        <w:fldChar w:fldCharType="begin"/>
      </w:r>
      <w:r w:rsidR="00EF2599">
        <w:instrText xml:space="preserve"> ADDIN ZOTERO_ITEM CSL_CITATION {"citationID":"ybRVMRcf","properties":{"formattedCitation":"(Robinson et al., 2022)","plainCitation":"(Robinson et al., 2022)","noteIndex":0},"citationItems":[{"id":3678,"uris":["http://zotero.org/users/10649518/items/YTW44D7R"],"itemData":{"id":3678,"type":"article-journal","abstract":"Lignin, the most abundant aromatic biopolymer on Earth, is often considered a biorefinery by-product, despite its potential to be valorized into high-added-value chemicals and fuels. In this work, an integrated superstructurebased optimization model was set up and optimized using mixed-integer non-linear programming for the con­ version of technical lignin to three main biobased products: aromatic monomers, phenol–formaldehyde resins, and aromatic aldehydes/acids. Several alternative conversion pathways were simultaneously compared to assess the profitability of lignins-based processes by predicting the performance of technologies with different TRL. Upon employing key technologies such as hydrothermal liquefaction, dissolution in solvent, or high-temperature electrolysis, the technical lignins could have a market value of 200 €/t when the market price for aromatic monomers, resins, and vanillin is at least 2.0, 0.8, and 15.0 €/kg, respectively. When lower product selling prices were considered, the aromatic monomers and the resins were not profitable as target products.","container-title":"Bioresource Technology","DOI":"10.1016/j.biortech.2022.128004","ISSN":"09608524","journalAbbreviation":"Bioresource Technology","language":"en","page":"128004","source":"DOI.org (Crossref)","title":"Techno-economic optimization of a process superstructure for lignin valorization","volume":"364","author":[{"family":"Robinson","given":"Ada Josefina"},{"family":"Giuliano","given":"Aristide"},{"family":"Abdelaziz","given":"Omar Y."},{"family":"Hulteberg","given":"Christian P."},{"family":"Koutinas","given":"Apostolis"},{"family":"Triantafyllidis","given":"Konstantinos S."},{"family":"Barletta","given":"Diego"},{"family":"De Bari","given":"Isabella"}],"issued":{"date-parts":[["2022",11]]}}}],"schema":"https://github.com/citation-style-language/schema/raw/master/csl-citation.json"} </w:instrText>
      </w:r>
      <w:r w:rsidR="00EF2599">
        <w:fldChar w:fldCharType="separate"/>
      </w:r>
      <w:r w:rsidR="00EF2599" w:rsidRPr="00EF2599">
        <w:t>(Robinson et al., 2022)</w:t>
      </w:r>
      <w:r w:rsidR="00EF2599">
        <w:fldChar w:fldCharType="end"/>
      </w:r>
      <w:r w:rsidR="00AF0C8D">
        <w:t xml:space="preserve">. </w:t>
      </w:r>
      <w:r w:rsidR="003E0A63">
        <w:t xml:space="preserve">In particular, </w:t>
      </w:r>
      <w:r w:rsidR="00AF0C8D">
        <w:t xml:space="preserve">reductive depolymerization </w:t>
      </w:r>
      <w:r w:rsidR="003E0A63">
        <w:t>can</w:t>
      </w:r>
      <w:r w:rsidR="00AF0C8D">
        <w:t xml:space="preserve"> break the β-O-4 and α-O-4 bonds and the hydroxyl groups of the side chain</w:t>
      </w:r>
      <w:r w:rsidR="004430F9">
        <w:t xml:space="preserve"> </w:t>
      </w:r>
      <w:r w:rsidR="00843085">
        <w:fldChar w:fldCharType="begin"/>
      </w:r>
      <w:r w:rsidR="00843085">
        <w:instrText xml:space="preserve"> ADDIN ZOTERO_ITEM CSL_CITATION {"citationID":"sx6GvmVx","properties":{"formattedCitation":"(Laskar et al., 2014)","plainCitation":"(Laskar et al., 2014)","noteIndex":0},"citationItems":[{"id":674,"uris":["http://zotero.org/users/10649518/items/P74UVISV"],"itemData":{"id":674,"type":"article-journal","abstract":"Conversion of biomass derived lignin to liquid fuels has the promising potential to significantly improve carbon utilization and economic competitiveness of biomass refineries. In this study, an aqueous phase catalytic process was developed to selectively depolymerize the lignin polymeric framework and remove oxygen via hydrodeoxygenation (HDO) reactions. Efficient methods (ethanol and dilute alkali extraction) for selectively producing reactive lignin oligomers with high yields from corn stover were established. Characteristic structural features of the technical lignins employed for hydrocarbon production were elucidated with the aid of advanced analytical techniques, such as 2D HSQC NMR spectroscopy and gel permeation chromatography (GPC). Combinations of noble metal catalysts in the presence of various solid acid zeolites were tested for HDO activity of the oligomeric technical lignins predominantly containing 8-O-4′ inter-unit linkages. Results showed 35%-60% conversion of lignin with 65%-70% product selectivity for aromatic hydrocarbons (e.g. toluene) under various HDO conditions in the presence of noble metals (Ru, Rh and Pt) over Al2O3 (or C) supports and solid acid zeolites (e.g., NH4+ Z-Y 57277-14-1) catalyst matrices. © 2014 The Royal Society of Chemistry.","container-title":"Green Chemistry","DOI":"10.1039/c3gc42041h","ISSN":"14639270","issue":"2","page":"897–910","title":"Noble-metal catalyzed hydrodeoxygenation of biomass-derived lignin to aromatic hydrocarbons","volume":"16","author":[{"family":"Laskar","given":"Dhrubojyoti D."},{"family":"Tucker","given":"Melvin P."},{"family":"Chen","given":"Xiaowen"},{"family":"Helms","given":"Gregory L."},{"family":"Yang","given":"Bin"}],"issued":{"date-parts":[["2014"]]}}}],"schema":"https://github.com/citation-style-language/schema/raw/master/csl-citation.json"} </w:instrText>
      </w:r>
      <w:r w:rsidR="00843085">
        <w:fldChar w:fldCharType="separate"/>
      </w:r>
      <w:r w:rsidR="00843085" w:rsidRPr="00F776CE">
        <w:t>(Laskar et al., 2014)</w:t>
      </w:r>
      <w:r w:rsidR="00843085">
        <w:fldChar w:fldCharType="end"/>
      </w:r>
      <w:r w:rsidR="00AF0C8D">
        <w:t xml:space="preserve">. The function of the catalyst is to prevent polymerization reactions and condensation of alkenes and carbonyl groups. On the other hand, reductive catalysts are unable to break C-C bonds and the efficiency of depolymerization depends only on the number of ether bonds that can be broken. </w:t>
      </w:r>
      <w:r w:rsidR="007C263E">
        <w:t xml:space="preserve">Nowadays, lignin is only modeled as an inert solid, and therefore, does nothing more than absorb or provide heat. </w:t>
      </w:r>
      <w:r w:rsidR="004B12D3">
        <w:t xml:space="preserve">The main </w:t>
      </w:r>
      <w:r w:rsidR="007C263E">
        <w:t xml:space="preserve">approach can be found in the </w:t>
      </w:r>
      <w:r w:rsidR="004B12D3">
        <w:t xml:space="preserve">work of </w:t>
      </w:r>
      <w:r w:rsidR="00C1770B">
        <w:fldChar w:fldCharType="begin"/>
      </w:r>
      <w:r w:rsidR="00C1770B">
        <w:instrText xml:space="preserve"> ADDIN ZOTERO_ITEM CSL_CITATION {"citationID":"7xLJGtOf","properties":{"formattedCitation":"(Wooley and Putsche, 1996)","plainCitation":"(Wooley and Putsche, 1996)","noteIndex":0},"citationItems":[{"id":110,"uris":["http://zotero.org/users/10649518/items/D5C8EBNT"],"itemData":{"id":110,"type":"article-journal","abstract":"Physical property data for many of the key components used in the simulation for the ethanol from lignocellulose process are not available in the standard ASPEN PLUS property databases. Indeed, many of the properties necessary to successfully simulate this process are not available anywhere. In addition, inputting the available properties into each simulation is awkward and tedious, and mistakes can be easily introduced when a long list of physical property equation parameters is entered. Therefore, we must evaluate the literature, estimate properties where necessary, and determine a set of consistent physical properties for all of the components of interest. The components must then be entered into an in-house NREL ASPEN PLUS database so they can be called upon without being retyped into each specific simulation. The first phase of this work has been completed. A complete set of properties for the currently identifiable important compounds in the ethanol process is attached. With this as the starting base we can continue to search for and evaluate new properties or have properties measured in the laboratory and update the central database.","container-title":"Victoria","issue":"April","note":"ISBN: NREL/TP–425-20685","page":"1–38","title":"Development of an ASPEN PLUS Physical Property Database for Biofuels Components","author":[{"family":"Wooley","given":"Robert J."},{"family":"Putsche","given":"Victoria"}],"issued":{"date-parts":[["1996"]]}}}],"schema":"https://github.com/citation-style-language/schema/raw/master/csl-citation.json"} </w:instrText>
      </w:r>
      <w:r w:rsidR="00C1770B">
        <w:fldChar w:fldCharType="separate"/>
      </w:r>
      <w:r w:rsidR="00C1770B" w:rsidRPr="00C1770B">
        <w:t>(Wooley and Putsche, 1996)</w:t>
      </w:r>
      <w:r w:rsidR="00C1770B">
        <w:fldChar w:fldCharType="end"/>
      </w:r>
      <w:r w:rsidR="007C263E">
        <w:t xml:space="preserve">, which is relevant because it describes a database for all lignocellulosic biomass compounds and defines them in Aspen Plus using their physical properties. </w:t>
      </w:r>
      <w:proofErr w:type="gramStart"/>
      <w:r w:rsidR="007C263E">
        <w:t>In particular, lignin</w:t>
      </w:r>
      <w:proofErr w:type="gramEnd"/>
      <w:r w:rsidR="007C263E">
        <w:t xml:space="preserve"> is considered as a solid and its molecular weight, enthalpy of formation at 298 K, density and heat capacity are used to describe it. </w:t>
      </w:r>
      <w:r w:rsidR="00145128" w:rsidRPr="00145128">
        <w:t xml:space="preserve">In the </w:t>
      </w:r>
      <w:r w:rsidR="004B12D3">
        <w:t xml:space="preserve">work of </w:t>
      </w:r>
      <w:r w:rsidR="00684903">
        <w:fldChar w:fldCharType="begin"/>
      </w:r>
      <w:r w:rsidR="004430F9">
        <w:instrText xml:space="preserve"> ADDIN ZOTERO_ITEM CSL_CITATION {"citationID":"SpWBaGME","properties":{"formattedCitation":"(Mabrouk et al., 2018)","plainCitation":"(Mabrouk et al., 2018)","dontUpdate":true,"noteIndex":0},"citationItems":[{"id":1040,"uris":["http://zotero.org/users/10649518/items/PUSBIGSV"],"itemData":{"id":1040,"type":"article-journal","abstract":"Recently, the valorization of the lignin fraction in the biorefinery scheme is getting more and more attention as the use of this component for the production of bio-based chemicals is crucial for the success of the integral development of lignocellulosic biorefinery processes. The present work includes the exergy performance and the economic analysis of a process for catechols production using lignin extracted from olive tree pruning. Energy and exergy calculations were obtained from the process simulation with Aspen Plus®. The exergy analysis was applied to identify the units associated with the main irreversibilities and exergy losses. The process investment and operating costs were determined as well as the derived catechol market price. The calculated total plant capital investment was about 4.9 M$ for a plant capacity of 2544 kg feedstock/day. The estimated catechol price was 1100 $/t with a valorization ratio of 3.02. These results place the product in a competitive position in the market.","container-title":"Journal of Cleaner Production","DOI":"10.1016/j.jclepro.2018.06.294","ISSN":"09596526","page":"133–142","title":"Economic analysis of a biorefinery process for catechol production from lignin","volume":"198","author":[{"family":"Mabrouk","given":"Aicha"},{"family":"Erdocia","given":"Xabier"},{"family":"Alriols","given":"Maria González"},{"family":"Labidi","given":"Jalel"}],"issued":{"date-parts":[["2018"]]}}}],"schema":"https://github.com/citation-style-language/schema/raw/master/csl-citation.json"} </w:instrText>
      </w:r>
      <w:r w:rsidR="00684903">
        <w:fldChar w:fldCharType="separate"/>
      </w:r>
      <w:r w:rsidR="00684903" w:rsidRPr="00684903">
        <w:t xml:space="preserve">Mabrouk et al. </w:t>
      </w:r>
      <w:r w:rsidR="00684903">
        <w:t>(</w:t>
      </w:r>
      <w:r w:rsidR="00684903" w:rsidRPr="00684903">
        <w:t>2018)</w:t>
      </w:r>
      <w:r w:rsidR="00684903">
        <w:fldChar w:fldCharType="end"/>
      </w:r>
      <w:r w:rsidR="00145128" w:rsidRPr="00145128">
        <w:t xml:space="preserve">, the data given by </w:t>
      </w:r>
      <w:r w:rsidR="00471243">
        <w:fldChar w:fldCharType="begin"/>
      </w:r>
      <w:r w:rsidR="00684903">
        <w:instrText xml:space="preserve"> ADDIN ZOTERO_ITEM CSL_CITATION {"citationID":"k1Zjkert","properties":{"formattedCitation":"(Wooley and Putsche, 1996)","plainCitation":"(Wooley and Putsche, 1996)","dontUpdate":true,"noteIndex":0},"citationItems":[{"id":110,"uris":["http://zotero.org/users/10649518/items/D5C8EBNT"],"itemData":{"id":110,"type":"article-journal","abstract":"Physical property data for many of the key components used in the simulation for the ethanol from lignocellulose process are not available in the standard ASPEN PLUS property databases. Indeed, many of the properties necessary to successfully simulate this process are not available anywhere. In addition, inputting the available properties into each simulation is awkward and tedious, and mistakes can be easily introduced when a long list of physical property equation parameters is entered. Therefore, we must evaluate the literature, estimate properties where necessary, and determine a set of consistent physical properties for all of the components of interest. The components must then be entered into an in-house NREL ASPEN PLUS database so they can be called upon without being retyped into each specific simulation. The first phase of this work has been completed. A complete set of properties for the currently identifiable important compounds in the ethanol process is attached. With this as the starting base we can continue to search for and evaluate new properties or have properties measured in the laboratory and update the central database.","container-title":"Victoria","issue":"April","note":"ISBN: NREL/TP–425-20685","page":"1–38","title":"Development of an ASPEN PLUS Physical Property Database for Biofuels Components","author":[{"family":"Wooley","given":"Robert J."},{"family":"Putsche","given":"Victoria"}],"issued":{"date-parts":[["1996"]]}}}],"schema":"https://github.com/citation-style-language/schema/raw/master/csl-citation.json"} </w:instrText>
      </w:r>
      <w:r w:rsidR="00471243">
        <w:fldChar w:fldCharType="separate"/>
      </w:r>
      <w:r w:rsidR="00471243" w:rsidRPr="00C1770B">
        <w:t xml:space="preserve">Wooley and Putsche </w:t>
      </w:r>
      <w:r w:rsidR="00471243">
        <w:t>(</w:t>
      </w:r>
      <w:r w:rsidR="00471243" w:rsidRPr="00C1770B">
        <w:t>1996)</w:t>
      </w:r>
      <w:r w:rsidR="00471243">
        <w:fldChar w:fldCharType="end"/>
      </w:r>
      <w:r w:rsidR="00471243">
        <w:t xml:space="preserve"> </w:t>
      </w:r>
      <w:r w:rsidR="00145128" w:rsidRPr="00145128">
        <w:t xml:space="preserve">were employed to define lignin and experimental data was used for the design of a yield reactor. </w:t>
      </w:r>
      <w:r>
        <w:t xml:space="preserve">Finally, in the work by </w:t>
      </w:r>
      <w:r w:rsidR="00684903">
        <w:fldChar w:fldCharType="begin"/>
      </w:r>
      <w:r w:rsidR="00684903">
        <w:instrText xml:space="preserve"> ADDIN ZOTERO_ITEM CSL_CITATION {"citationID":"1L6FNb9u","properties":{"formattedCitation":"(Shahbaz et al., 2022)","plainCitation":"(Shahbaz et al., 2022)","noteIndex":0},"citationItems":[{"id":4505,"uris":["http://zotero.org/users/10649518/items/83HUA499"],"itemData":{"id":4505,"type":"article-journal","abstract":"Prior information on the pyrolysis product behaviour of biomass components-cellulose, hemicellulose and lignin is critical in the selection of feedstock as components have a significant influence on the pyrolysis products yield. In this study, the effect of biomass components on the yield of slow pyrolysis products (char, bio-oil and syngas) is investigated using a validated ASPEN Plus® model. The model is simulated at a temperature of 450 °C, a heating rate of 10 °C/min and a solid residence time of 30 min. The results indicated that at the given conditions, lignin contributed 2.4 and 2.5 times more char yield than cellulose and hemicellulose. The hemicellulose contributed 1.33 times more syngas yield than lignin while the cellulose and hemicellulose contributed 8.67 times more bio-oil yield than lignin. Moreover, the cost involved in the production of char using lignin (110 $/ton) is significantly economical than using cellulose (285 $/ton) and hemicellulose (296 $/ton). The net CO2 emission of lignin pyrolysis is 4.14 times lower than cellulose pyrolysis and 3.94 times lower than hemicellulose pyrolysis. It can be concluded that lignin pyrolysis is more advantageous than cellulose and hemicellulose pyrolysis. In the selection of feedstock for the slow pyrolysis, the feedstock with more lignin content is preferred.","container-title":"Biomass Conversion and Biorefinery","DOI":"10.1007/s13399-020-01040-1","ISSN":"2190-6823","issue":"3","journalAbbreviation":"Biomass Conv. Bioref.","language":"en","page":"669-681","source":"Springer Link","title":"Investigation of biomass components on the slow pyrolysis products yield using Aspen Plus for techno-economic analysis","volume":"12","author":[{"family":"Shahbaz","given":"Muhammad"},{"family":"AlNouss","given":"Ahmed"},{"family":"Parthasarathy","given":"Prakash"},{"family":"Abdelaal","given":"Ali H."},{"family":"Mackey","given":"Hamish"},{"family":"McKay","given":"Gordon"},{"family":"Al-Ansari","given":"Tareq"}],"issued":{"date-parts":[["2022",3,1]]}}}],"schema":"https://github.com/citation-style-language/schema/raw/master/csl-citation.json"} </w:instrText>
      </w:r>
      <w:r w:rsidR="00684903">
        <w:fldChar w:fldCharType="separate"/>
      </w:r>
      <w:r w:rsidR="00684903" w:rsidRPr="00684903">
        <w:t>(Shahbaz et al., 2022)</w:t>
      </w:r>
      <w:r w:rsidR="00684903">
        <w:fldChar w:fldCharType="end"/>
      </w:r>
      <w:r>
        <w:t xml:space="preserve"> lignin </w:t>
      </w:r>
      <w:r w:rsidR="00684903">
        <w:t>wa</w:t>
      </w:r>
      <w:r>
        <w:t>s defined as a non-conventional solid and "proximate and ultimate" analysis is used. Nevertheless, non-conventional solids defined in Aspen Plus cannot participate directly in chemical reactions and therefore this approach is not used for reactor design.</w:t>
      </w:r>
      <w:r w:rsidR="00F965A9">
        <w:t xml:space="preserve"> </w:t>
      </w:r>
      <w:r>
        <w:t xml:space="preserve">The possibility of developing models able to predict the behavior of lignin under specific reaction </w:t>
      </w:r>
      <w:r>
        <w:t>conditions stands as a major challenge in current research</w:t>
      </w:r>
      <w:r w:rsidR="00C30D1C">
        <w:t xml:space="preserve">, finalized to perform a process simulation and design </w:t>
      </w:r>
      <w:r w:rsidR="008B2C0E">
        <w:t xml:space="preserve">strategies </w:t>
      </w:r>
      <w:r w:rsidR="00684903">
        <w:fldChar w:fldCharType="begin"/>
      </w:r>
      <w:r w:rsidR="00684903">
        <w:instrText xml:space="preserve"> ADDIN ZOTERO_ITEM CSL_CITATION {"citationID":"ZYlbnlnX","properties":{"formattedCitation":"(Giuliano et al., 2015)","plainCitation":"(Giuliano et al., 2015)","noteIndex":0},"citationItems":[{"id":2226,"uris":["http://zotero.org/users/10649518/items/5HPGGNGW"],"itemData":{"id":2226,"type":"chapter","abstract":"Several alternative process pathways including biochemical and thermochemical conversions are available for the second generation biorefineries. In this view conceptual design of a superstructure and optimization methods for process synthesis are widely used in order to find the optimal process flowsheet (Stefanakis et al., 2014). In the present work the flowsheet resulting from the economic optimization of a multiproduct lignocellulosic biorefinery superstructure was simulated by a process simulator (Aspen Plus). As a result, rigorous methods were used to calculate the stream thermodynamic properties and to model the process units. Economic analysis was applied to assess the economic feasibility of the process. Sensitivity analysis on the size of the plant, the product prices and the biomass price was carried out as well.","container-title":"Computer Aided Chemical Engineering","note":"ISSN: 15707946\nDOI: 10.1016/B978-0-444-63577-8.50064-4","page":"1313–1318","publisher":"Elsevier B.V.","title":"Process Design of a Multi-Product Lignocellulosic Biorefinery","volume":"37","author":[{"family":"Giuliano","given":"Aristide"},{"family":"Poletto","given":"Massimo"},{"family":"Barletta","given":"Diego"}],"issued":{"date-parts":[["2015"]]}}}],"schema":"https://github.com/citation-style-language/schema/raw/master/csl-citation.json"} </w:instrText>
      </w:r>
      <w:r w:rsidR="00684903">
        <w:fldChar w:fldCharType="separate"/>
      </w:r>
      <w:r w:rsidR="00684903" w:rsidRPr="00684903">
        <w:t>(Giuliano et al., 2015)</w:t>
      </w:r>
      <w:r w:rsidR="00684903">
        <w:fldChar w:fldCharType="end"/>
      </w:r>
      <w:r>
        <w:t>. In this work, a novel thermodynamic approach will be carried out by lignin hydrogenation simulation based on experimental data and a temperature approach procedure. Hydrogen partial pressure, hydrogen-to-carbon ratio and lignin moisture will be evaluated as main process parameters influencing the lignin hydrogenation.</w:t>
      </w:r>
    </w:p>
    <w:p w14:paraId="6F476D29" w14:textId="77777777" w:rsidR="00703E60" w:rsidRDefault="00201D35" w:rsidP="00703E60">
      <w:pPr>
        <w:pStyle w:val="Els-1storder-head"/>
      </w:pPr>
      <w:r>
        <w:t>Lignin modelling by thermodynamics approach</w:t>
      </w:r>
    </w:p>
    <w:p w14:paraId="2233B6D2" w14:textId="77777777" w:rsidR="00703E60" w:rsidRDefault="00201D35" w:rsidP="00703E60">
      <w:pPr>
        <w:pStyle w:val="Els-2ndorder-head"/>
      </w:pPr>
      <w:r w:rsidRPr="00E23DC2">
        <w:t>Lignin Modelling in Aspen Plus</w:t>
      </w:r>
    </w:p>
    <w:p w14:paraId="6C6D7D96" w14:textId="34F96770" w:rsidR="00703E60" w:rsidRDefault="00201D35" w:rsidP="00703E60">
      <w:pPr>
        <w:pStyle w:val="Els-body-text"/>
      </w:pPr>
      <w:r>
        <w:t>In this work, the modelling of lignin using Aspen Plus, its chemical structure was studied in detail, in terms of the monomer’s composition, the linkages present in the polymer and the probability of breaking each of these bonds. On the other hand, experimental data on the thermodynamic properties of the biopolymer was collected.</w:t>
      </w:r>
    </w:p>
    <w:p w14:paraId="66ACBD0E" w14:textId="77777777" w:rsidR="00703E60" w:rsidRPr="008A0D24" w:rsidRDefault="00201D35" w:rsidP="00703E60">
      <w:pPr>
        <w:pStyle w:val="Didascalia"/>
        <w:keepNext/>
        <w:rPr>
          <w:sz w:val="20"/>
        </w:rPr>
      </w:pPr>
      <w:bookmarkStart w:id="0" w:name="_Ref101606274"/>
      <w:bookmarkStart w:id="1" w:name="_Toc103298381"/>
      <w:r w:rsidRPr="008A0D24">
        <w:rPr>
          <w:sz w:val="20"/>
        </w:rPr>
        <w:t xml:space="preserve">Table </w:t>
      </w:r>
      <w:bookmarkEnd w:id="0"/>
      <w:r>
        <w:rPr>
          <w:sz w:val="20"/>
        </w:rPr>
        <w:t>1.</w:t>
      </w:r>
      <w:r w:rsidRPr="008A0D24">
        <w:rPr>
          <w:sz w:val="20"/>
        </w:rPr>
        <w:t xml:space="preserve"> Oligomers description</w:t>
      </w:r>
      <w:bookmarkEnd w:id="1"/>
      <w:r w:rsidRPr="008A0D24">
        <w:rPr>
          <w:sz w:val="20"/>
        </w:rPr>
        <w:t xml:space="preserve"> (MR, monomers ratios; LR, linkages ratios)</w:t>
      </w:r>
    </w:p>
    <w:tbl>
      <w:tblPr>
        <w:tblStyle w:val="Grigliatabella"/>
        <w:tblW w:w="7121" w:type="dxa"/>
        <w:tblInd w:w="-3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1"/>
        <w:gridCol w:w="845"/>
        <w:gridCol w:w="845"/>
        <w:gridCol w:w="844"/>
        <w:gridCol w:w="844"/>
        <w:gridCol w:w="844"/>
        <w:gridCol w:w="844"/>
        <w:gridCol w:w="844"/>
      </w:tblGrid>
      <w:tr w:rsidR="003B7C7B" w14:paraId="6AF3D1C5" w14:textId="77777777" w:rsidTr="00511377">
        <w:tc>
          <w:tcPr>
            <w:tcW w:w="1310" w:type="dxa"/>
            <w:tcBorders>
              <w:top w:val="single" w:sz="4" w:space="0" w:color="auto"/>
              <w:bottom w:val="single" w:sz="4" w:space="0" w:color="auto"/>
              <w:right w:val="nil"/>
            </w:tcBorders>
            <w:vAlign w:val="center"/>
          </w:tcPr>
          <w:p w14:paraId="0BDDBD7F" w14:textId="77AFA25E" w:rsidR="00703E60" w:rsidRPr="00511377" w:rsidRDefault="00703E60" w:rsidP="00254B8A">
            <w:pPr>
              <w:spacing w:line="360" w:lineRule="auto"/>
              <w:rPr>
                <w:rFonts w:ascii="Times New Roman" w:eastAsia="Times New Roman" w:hAnsi="Times New Roman" w:cs="Times New Roman"/>
                <w:sz w:val="15"/>
                <w:szCs w:val="15"/>
                <w:lang w:val="en-US"/>
              </w:rPr>
            </w:pPr>
          </w:p>
        </w:tc>
        <w:tc>
          <w:tcPr>
            <w:tcW w:w="907" w:type="dxa"/>
            <w:tcBorders>
              <w:top w:val="single" w:sz="4" w:space="0" w:color="auto"/>
              <w:left w:val="nil"/>
              <w:bottom w:val="single" w:sz="4" w:space="0" w:color="auto"/>
              <w:right w:val="nil"/>
            </w:tcBorders>
            <w:vAlign w:val="center"/>
          </w:tcPr>
          <w:p w14:paraId="54BB6AD5" w14:textId="77777777" w:rsidR="00703E60" w:rsidRPr="00511377" w:rsidRDefault="00201D35" w:rsidP="00254B8A">
            <w:pPr>
              <w:spacing w:line="360" w:lineRule="auto"/>
              <w:jc w:val="center"/>
              <w:rPr>
                <w:rFonts w:ascii="Times New Roman" w:eastAsia="Times New Roman" w:hAnsi="Times New Roman" w:cs="Times New Roman"/>
                <w:sz w:val="15"/>
                <w:szCs w:val="15"/>
                <w:lang w:val="en-US"/>
              </w:rPr>
            </w:pPr>
            <w:r w:rsidRPr="00511377">
              <w:rPr>
                <w:rFonts w:ascii="Times New Roman" w:eastAsia="Times New Roman" w:hAnsi="Times New Roman" w:cs="Times New Roman"/>
                <w:sz w:val="15"/>
                <w:szCs w:val="15"/>
                <w:lang w:val="en-US"/>
              </w:rPr>
              <w:t>Lig1</w:t>
            </w:r>
          </w:p>
        </w:tc>
        <w:tc>
          <w:tcPr>
            <w:tcW w:w="907" w:type="dxa"/>
            <w:tcBorders>
              <w:top w:val="single" w:sz="4" w:space="0" w:color="auto"/>
              <w:left w:val="nil"/>
              <w:bottom w:val="single" w:sz="4" w:space="0" w:color="auto"/>
              <w:right w:val="nil"/>
            </w:tcBorders>
            <w:vAlign w:val="center"/>
          </w:tcPr>
          <w:p w14:paraId="34FE41F9" w14:textId="77777777" w:rsidR="00703E60" w:rsidRPr="00511377" w:rsidRDefault="00201D35" w:rsidP="00254B8A">
            <w:pPr>
              <w:spacing w:line="360" w:lineRule="auto"/>
              <w:jc w:val="center"/>
              <w:rPr>
                <w:rFonts w:ascii="Times New Roman" w:eastAsia="Times New Roman" w:hAnsi="Times New Roman" w:cs="Times New Roman"/>
                <w:sz w:val="15"/>
                <w:szCs w:val="15"/>
                <w:lang w:val="en-US"/>
              </w:rPr>
            </w:pPr>
            <w:r w:rsidRPr="00511377">
              <w:rPr>
                <w:rFonts w:ascii="Times New Roman" w:eastAsia="Times New Roman" w:hAnsi="Times New Roman" w:cs="Times New Roman"/>
                <w:sz w:val="15"/>
                <w:szCs w:val="15"/>
                <w:lang w:val="en-US"/>
              </w:rPr>
              <w:t>Lig2</w:t>
            </w:r>
          </w:p>
        </w:tc>
        <w:tc>
          <w:tcPr>
            <w:tcW w:w="907" w:type="dxa"/>
            <w:tcBorders>
              <w:top w:val="single" w:sz="4" w:space="0" w:color="auto"/>
              <w:left w:val="nil"/>
              <w:bottom w:val="single" w:sz="4" w:space="0" w:color="auto"/>
              <w:right w:val="nil"/>
            </w:tcBorders>
            <w:vAlign w:val="center"/>
          </w:tcPr>
          <w:p w14:paraId="1935CA12" w14:textId="77777777" w:rsidR="00703E60" w:rsidRPr="00511377" w:rsidRDefault="00201D35" w:rsidP="00254B8A">
            <w:pPr>
              <w:spacing w:line="360" w:lineRule="auto"/>
              <w:jc w:val="center"/>
              <w:rPr>
                <w:rFonts w:ascii="Times New Roman" w:eastAsia="Times New Roman" w:hAnsi="Times New Roman" w:cs="Times New Roman"/>
                <w:sz w:val="15"/>
                <w:szCs w:val="15"/>
                <w:lang w:val="en-US"/>
              </w:rPr>
            </w:pPr>
            <w:r w:rsidRPr="00511377">
              <w:rPr>
                <w:rFonts w:ascii="Times New Roman" w:eastAsia="Times New Roman" w:hAnsi="Times New Roman" w:cs="Times New Roman"/>
                <w:sz w:val="15"/>
                <w:szCs w:val="15"/>
                <w:lang w:val="en-US"/>
              </w:rPr>
              <w:t>Lig3</w:t>
            </w:r>
          </w:p>
        </w:tc>
        <w:tc>
          <w:tcPr>
            <w:tcW w:w="907" w:type="dxa"/>
            <w:tcBorders>
              <w:top w:val="single" w:sz="4" w:space="0" w:color="auto"/>
              <w:left w:val="nil"/>
              <w:bottom w:val="single" w:sz="4" w:space="0" w:color="auto"/>
              <w:right w:val="nil"/>
            </w:tcBorders>
            <w:vAlign w:val="center"/>
          </w:tcPr>
          <w:p w14:paraId="3F95DB7F" w14:textId="77777777" w:rsidR="00703E60" w:rsidRPr="00511377" w:rsidRDefault="00201D35" w:rsidP="00254B8A">
            <w:pPr>
              <w:spacing w:line="360" w:lineRule="auto"/>
              <w:jc w:val="center"/>
              <w:rPr>
                <w:rFonts w:ascii="Times New Roman" w:eastAsia="Times New Roman" w:hAnsi="Times New Roman" w:cs="Times New Roman"/>
                <w:sz w:val="15"/>
                <w:szCs w:val="15"/>
                <w:lang w:val="en-US"/>
              </w:rPr>
            </w:pPr>
            <w:r w:rsidRPr="00511377">
              <w:rPr>
                <w:rFonts w:ascii="Times New Roman" w:eastAsia="Times New Roman" w:hAnsi="Times New Roman" w:cs="Times New Roman"/>
                <w:sz w:val="15"/>
                <w:szCs w:val="15"/>
                <w:lang w:val="en-US"/>
              </w:rPr>
              <w:t>Lig4</w:t>
            </w:r>
          </w:p>
        </w:tc>
        <w:tc>
          <w:tcPr>
            <w:tcW w:w="907" w:type="dxa"/>
            <w:tcBorders>
              <w:top w:val="single" w:sz="4" w:space="0" w:color="auto"/>
              <w:left w:val="nil"/>
              <w:bottom w:val="single" w:sz="4" w:space="0" w:color="auto"/>
              <w:right w:val="nil"/>
            </w:tcBorders>
            <w:vAlign w:val="center"/>
          </w:tcPr>
          <w:p w14:paraId="7312717F" w14:textId="77777777" w:rsidR="00703E60" w:rsidRPr="00511377" w:rsidRDefault="00201D35" w:rsidP="00254B8A">
            <w:pPr>
              <w:spacing w:line="360" w:lineRule="auto"/>
              <w:jc w:val="center"/>
              <w:rPr>
                <w:rFonts w:ascii="Times New Roman" w:eastAsia="Times New Roman" w:hAnsi="Times New Roman" w:cs="Times New Roman"/>
                <w:sz w:val="15"/>
                <w:szCs w:val="15"/>
                <w:lang w:val="en-US"/>
              </w:rPr>
            </w:pPr>
            <w:r w:rsidRPr="00511377">
              <w:rPr>
                <w:rFonts w:ascii="Times New Roman" w:eastAsia="Times New Roman" w:hAnsi="Times New Roman" w:cs="Times New Roman"/>
                <w:sz w:val="15"/>
                <w:szCs w:val="15"/>
                <w:lang w:val="en-US"/>
              </w:rPr>
              <w:t>Lig5</w:t>
            </w:r>
          </w:p>
        </w:tc>
        <w:tc>
          <w:tcPr>
            <w:tcW w:w="907" w:type="dxa"/>
            <w:tcBorders>
              <w:top w:val="single" w:sz="4" w:space="0" w:color="auto"/>
              <w:left w:val="nil"/>
              <w:bottom w:val="single" w:sz="4" w:space="0" w:color="auto"/>
              <w:right w:val="nil"/>
            </w:tcBorders>
            <w:vAlign w:val="center"/>
          </w:tcPr>
          <w:p w14:paraId="25991797" w14:textId="77777777" w:rsidR="00703E60" w:rsidRPr="00511377" w:rsidRDefault="00201D35" w:rsidP="00254B8A">
            <w:pPr>
              <w:spacing w:line="360" w:lineRule="auto"/>
              <w:jc w:val="center"/>
              <w:rPr>
                <w:rFonts w:ascii="Times New Roman" w:eastAsia="Times New Roman" w:hAnsi="Times New Roman" w:cs="Times New Roman"/>
                <w:sz w:val="15"/>
                <w:szCs w:val="15"/>
                <w:lang w:val="en-US"/>
              </w:rPr>
            </w:pPr>
            <w:r w:rsidRPr="00511377">
              <w:rPr>
                <w:rFonts w:ascii="Times New Roman" w:eastAsia="Times New Roman" w:hAnsi="Times New Roman" w:cs="Times New Roman"/>
                <w:sz w:val="15"/>
                <w:szCs w:val="15"/>
                <w:lang w:val="en-US"/>
              </w:rPr>
              <w:t>Lig6</w:t>
            </w:r>
          </w:p>
        </w:tc>
        <w:tc>
          <w:tcPr>
            <w:tcW w:w="907" w:type="dxa"/>
            <w:tcBorders>
              <w:top w:val="single" w:sz="4" w:space="0" w:color="auto"/>
              <w:left w:val="nil"/>
              <w:bottom w:val="single" w:sz="4" w:space="0" w:color="auto"/>
              <w:right w:val="nil"/>
            </w:tcBorders>
            <w:vAlign w:val="center"/>
          </w:tcPr>
          <w:p w14:paraId="7D2AB878" w14:textId="77777777" w:rsidR="00703E60" w:rsidRPr="00511377" w:rsidRDefault="00201D35" w:rsidP="00254B8A">
            <w:pPr>
              <w:spacing w:line="360" w:lineRule="auto"/>
              <w:jc w:val="center"/>
              <w:rPr>
                <w:rFonts w:ascii="Times New Roman" w:eastAsia="Times New Roman" w:hAnsi="Times New Roman" w:cs="Times New Roman"/>
                <w:sz w:val="15"/>
                <w:szCs w:val="15"/>
                <w:lang w:val="en-US"/>
              </w:rPr>
            </w:pPr>
            <w:r w:rsidRPr="00511377">
              <w:rPr>
                <w:rFonts w:ascii="Times New Roman" w:eastAsia="Times New Roman" w:hAnsi="Times New Roman" w:cs="Times New Roman"/>
                <w:sz w:val="15"/>
                <w:szCs w:val="15"/>
                <w:lang w:val="en-US"/>
              </w:rPr>
              <w:t>Lig7</w:t>
            </w:r>
          </w:p>
        </w:tc>
      </w:tr>
      <w:tr w:rsidR="003B7C7B" w14:paraId="0E92FB60" w14:textId="77777777" w:rsidTr="00511377">
        <w:tc>
          <w:tcPr>
            <w:tcW w:w="1310" w:type="dxa"/>
            <w:tcBorders>
              <w:top w:val="single" w:sz="4" w:space="0" w:color="auto"/>
            </w:tcBorders>
            <w:vAlign w:val="center"/>
          </w:tcPr>
          <w:p w14:paraId="26C36E46" w14:textId="77777777" w:rsidR="00703E60" w:rsidRPr="00511377" w:rsidRDefault="00201D35" w:rsidP="00254B8A">
            <w:pPr>
              <w:spacing w:line="360" w:lineRule="auto"/>
              <w:rPr>
                <w:rFonts w:ascii="Times New Roman" w:hAnsi="Times New Roman" w:cs="Times New Roman"/>
                <w:sz w:val="15"/>
                <w:szCs w:val="15"/>
                <w:lang w:val="en-GB"/>
              </w:rPr>
            </w:pPr>
            <w:r w:rsidRPr="00511377">
              <w:rPr>
                <w:rFonts w:ascii="Times New Roman" w:hAnsi="Times New Roman" w:cs="Times New Roman"/>
                <w:sz w:val="15"/>
                <w:szCs w:val="15"/>
                <w:lang w:val="en-GB"/>
              </w:rPr>
              <w:t>Formula</w:t>
            </w:r>
          </w:p>
        </w:tc>
        <w:tc>
          <w:tcPr>
            <w:tcW w:w="907" w:type="dxa"/>
            <w:tcBorders>
              <w:top w:val="single" w:sz="4" w:space="0" w:color="auto"/>
            </w:tcBorders>
            <w:vAlign w:val="center"/>
          </w:tcPr>
          <w:p w14:paraId="326A4913" w14:textId="77777777" w:rsidR="00703E60" w:rsidRPr="00511377" w:rsidRDefault="00201D35" w:rsidP="00254B8A">
            <w:pPr>
              <w:spacing w:line="360" w:lineRule="auto"/>
              <w:jc w:val="center"/>
              <w:rPr>
                <w:rFonts w:ascii="Times New Roman" w:hAnsi="Times New Roman" w:cs="Times New Roman"/>
                <w:sz w:val="15"/>
                <w:szCs w:val="15"/>
                <w:vertAlign w:val="subscript"/>
                <w:lang w:val="en-GB"/>
              </w:rPr>
            </w:pPr>
            <w:r w:rsidRPr="00511377">
              <w:rPr>
                <w:rFonts w:ascii="Times New Roman" w:hAnsi="Times New Roman" w:cs="Times New Roman"/>
                <w:sz w:val="15"/>
                <w:szCs w:val="15"/>
                <w:lang w:val="en-GB"/>
              </w:rPr>
              <w:t>C</w:t>
            </w:r>
            <w:r w:rsidRPr="00511377">
              <w:rPr>
                <w:rFonts w:ascii="Times New Roman" w:hAnsi="Times New Roman" w:cs="Times New Roman"/>
                <w:sz w:val="15"/>
                <w:szCs w:val="15"/>
                <w:vertAlign w:val="subscript"/>
                <w:lang w:val="en-GB"/>
              </w:rPr>
              <w:t>30</w:t>
            </w:r>
            <w:r w:rsidRPr="00511377">
              <w:rPr>
                <w:rFonts w:ascii="Times New Roman" w:hAnsi="Times New Roman" w:cs="Times New Roman"/>
                <w:sz w:val="15"/>
                <w:szCs w:val="15"/>
                <w:lang w:val="en-GB"/>
              </w:rPr>
              <w:t>H</w:t>
            </w:r>
            <w:r w:rsidRPr="00511377">
              <w:rPr>
                <w:rFonts w:ascii="Times New Roman" w:hAnsi="Times New Roman" w:cs="Times New Roman"/>
                <w:sz w:val="15"/>
                <w:szCs w:val="15"/>
                <w:vertAlign w:val="subscript"/>
                <w:lang w:val="en-GB"/>
              </w:rPr>
              <w:t>36</w:t>
            </w:r>
            <w:r w:rsidRPr="00511377">
              <w:rPr>
                <w:rFonts w:ascii="Times New Roman" w:hAnsi="Times New Roman" w:cs="Times New Roman"/>
                <w:sz w:val="15"/>
                <w:szCs w:val="15"/>
                <w:lang w:val="en-GB"/>
              </w:rPr>
              <w:t>O</w:t>
            </w:r>
            <w:r w:rsidRPr="00511377">
              <w:rPr>
                <w:rFonts w:ascii="Times New Roman" w:hAnsi="Times New Roman" w:cs="Times New Roman"/>
                <w:sz w:val="15"/>
                <w:szCs w:val="15"/>
                <w:vertAlign w:val="subscript"/>
                <w:lang w:val="en-GB"/>
              </w:rPr>
              <w:t>11</w:t>
            </w:r>
          </w:p>
        </w:tc>
        <w:tc>
          <w:tcPr>
            <w:tcW w:w="907" w:type="dxa"/>
            <w:tcBorders>
              <w:top w:val="single" w:sz="4" w:space="0" w:color="auto"/>
            </w:tcBorders>
            <w:vAlign w:val="center"/>
          </w:tcPr>
          <w:p w14:paraId="328228FB" w14:textId="77777777" w:rsidR="00703E60" w:rsidRPr="00511377" w:rsidRDefault="00201D35" w:rsidP="00254B8A">
            <w:pPr>
              <w:spacing w:line="360" w:lineRule="auto"/>
              <w:jc w:val="center"/>
              <w:rPr>
                <w:rFonts w:ascii="Times New Roman" w:hAnsi="Times New Roman" w:cs="Times New Roman"/>
                <w:sz w:val="15"/>
                <w:szCs w:val="15"/>
                <w:lang w:val="en-GB"/>
              </w:rPr>
            </w:pPr>
            <w:r w:rsidRPr="00511377">
              <w:rPr>
                <w:rFonts w:ascii="Times New Roman" w:hAnsi="Times New Roman" w:cs="Times New Roman"/>
                <w:sz w:val="15"/>
                <w:szCs w:val="15"/>
                <w:lang w:val="en-GB"/>
              </w:rPr>
              <w:t>C</w:t>
            </w:r>
            <w:r w:rsidRPr="00511377">
              <w:rPr>
                <w:rFonts w:ascii="Times New Roman" w:hAnsi="Times New Roman" w:cs="Times New Roman"/>
                <w:sz w:val="15"/>
                <w:szCs w:val="15"/>
                <w:vertAlign w:val="subscript"/>
                <w:lang w:val="en-GB"/>
              </w:rPr>
              <w:t>40</w:t>
            </w:r>
            <w:r w:rsidRPr="00511377">
              <w:rPr>
                <w:rFonts w:ascii="Times New Roman" w:hAnsi="Times New Roman" w:cs="Times New Roman"/>
                <w:sz w:val="15"/>
                <w:szCs w:val="15"/>
                <w:lang w:val="en-GB"/>
              </w:rPr>
              <w:t>H</w:t>
            </w:r>
            <w:r w:rsidRPr="00511377">
              <w:rPr>
                <w:rFonts w:ascii="Times New Roman" w:hAnsi="Times New Roman" w:cs="Times New Roman"/>
                <w:sz w:val="15"/>
                <w:szCs w:val="15"/>
                <w:vertAlign w:val="subscript"/>
                <w:lang w:val="en-GB"/>
              </w:rPr>
              <w:t>48</w:t>
            </w:r>
            <w:r w:rsidRPr="00511377">
              <w:rPr>
                <w:rFonts w:ascii="Times New Roman" w:hAnsi="Times New Roman" w:cs="Times New Roman"/>
                <w:sz w:val="15"/>
                <w:szCs w:val="15"/>
                <w:lang w:val="en-GB"/>
              </w:rPr>
              <w:t>O</w:t>
            </w:r>
            <w:r w:rsidRPr="00511377">
              <w:rPr>
                <w:rFonts w:ascii="Times New Roman" w:hAnsi="Times New Roman" w:cs="Times New Roman"/>
                <w:sz w:val="15"/>
                <w:szCs w:val="15"/>
                <w:vertAlign w:val="subscript"/>
                <w:lang w:val="en-GB"/>
              </w:rPr>
              <w:t>15</w:t>
            </w:r>
          </w:p>
        </w:tc>
        <w:tc>
          <w:tcPr>
            <w:tcW w:w="907" w:type="dxa"/>
            <w:tcBorders>
              <w:top w:val="single" w:sz="4" w:space="0" w:color="auto"/>
            </w:tcBorders>
            <w:vAlign w:val="center"/>
          </w:tcPr>
          <w:p w14:paraId="466AFF2C" w14:textId="77777777" w:rsidR="00703E60" w:rsidRPr="00511377" w:rsidRDefault="00201D35" w:rsidP="00254B8A">
            <w:pPr>
              <w:spacing w:line="360" w:lineRule="auto"/>
              <w:jc w:val="center"/>
              <w:rPr>
                <w:rFonts w:ascii="Times New Roman" w:hAnsi="Times New Roman" w:cs="Times New Roman"/>
                <w:sz w:val="15"/>
                <w:szCs w:val="15"/>
                <w:lang w:val="en-GB"/>
              </w:rPr>
            </w:pPr>
            <w:r w:rsidRPr="00511377">
              <w:rPr>
                <w:rFonts w:ascii="Times New Roman" w:hAnsi="Times New Roman" w:cs="Times New Roman"/>
                <w:sz w:val="15"/>
                <w:szCs w:val="15"/>
                <w:lang w:val="en-GB"/>
              </w:rPr>
              <w:t>C</w:t>
            </w:r>
            <w:r w:rsidRPr="00511377">
              <w:rPr>
                <w:rFonts w:ascii="Times New Roman" w:hAnsi="Times New Roman" w:cs="Times New Roman"/>
                <w:sz w:val="15"/>
                <w:szCs w:val="15"/>
                <w:vertAlign w:val="subscript"/>
                <w:lang w:val="en-GB"/>
              </w:rPr>
              <w:t>27</w:t>
            </w:r>
            <w:r w:rsidRPr="00511377">
              <w:rPr>
                <w:rFonts w:ascii="Times New Roman" w:hAnsi="Times New Roman" w:cs="Times New Roman"/>
                <w:sz w:val="15"/>
                <w:szCs w:val="15"/>
                <w:lang w:val="en-GB"/>
              </w:rPr>
              <w:t>H</w:t>
            </w:r>
            <w:r w:rsidRPr="00511377">
              <w:rPr>
                <w:rFonts w:ascii="Times New Roman" w:hAnsi="Times New Roman" w:cs="Times New Roman"/>
                <w:sz w:val="15"/>
                <w:szCs w:val="15"/>
                <w:vertAlign w:val="subscript"/>
                <w:lang w:val="en-GB"/>
              </w:rPr>
              <w:t>32</w:t>
            </w:r>
            <w:r w:rsidRPr="00511377">
              <w:rPr>
                <w:rFonts w:ascii="Times New Roman" w:hAnsi="Times New Roman" w:cs="Times New Roman"/>
                <w:sz w:val="15"/>
                <w:szCs w:val="15"/>
                <w:lang w:val="en-GB"/>
              </w:rPr>
              <w:t>O</w:t>
            </w:r>
            <w:r w:rsidRPr="00511377">
              <w:rPr>
                <w:rFonts w:ascii="Times New Roman" w:hAnsi="Times New Roman" w:cs="Times New Roman"/>
                <w:sz w:val="15"/>
                <w:szCs w:val="15"/>
                <w:vertAlign w:val="subscript"/>
                <w:lang w:val="en-GB"/>
              </w:rPr>
              <w:t>10</w:t>
            </w:r>
          </w:p>
        </w:tc>
        <w:tc>
          <w:tcPr>
            <w:tcW w:w="907" w:type="dxa"/>
            <w:tcBorders>
              <w:top w:val="single" w:sz="4" w:space="0" w:color="auto"/>
            </w:tcBorders>
            <w:vAlign w:val="center"/>
          </w:tcPr>
          <w:p w14:paraId="11CC1A99" w14:textId="77777777" w:rsidR="00703E60" w:rsidRPr="00511377" w:rsidRDefault="00201D35" w:rsidP="00254B8A">
            <w:pPr>
              <w:spacing w:line="360" w:lineRule="auto"/>
              <w:jc w:val="center"/>
              <w:rPr>
                <w:rFonts w:ascii="Times New Roman" w:hAnsi="Times New Roman" w:cs="Times New Roman"/>
                <w:sz w:val="15"/>
                <w:szCs w:val="15"/>
                <w:lang w:val="en-GB"/>
              </w:rPr>
            </w:pPr>
            <w:r w:rsidRPr="00511377">
              <w:rPr>
                <w:rFonts w:ascii="Times New Roman" w:hAnsi="Times New Roman" w:cs="Times New Roman"/>
                <w:sz w:val="15"/>
                <w:szCs w:val="15"/>
                <w:lang w:val="en-GB"/>
              </w:rPr>
              <w:t>C</w:t>
            </w:r>
            <w:r w:rsidRPr="00511377">
              <w:rPr>
                <w:rFonts w:ascii="Times New Roman" w:hAnsi="Times New Roman" w:cs="Times New Roman"/>
                <w:sz w:val="15"/>
                <w:szCs w:val="15"/>
                <w:vertAlign w:val="subscript"/>
                <w:lang w:val="en-GB"/>
              </w:rPr>
              <w:t>39</w:t>
            </w:r>
            <w:r w:rsidRPr="00511377">
              <w:rPr>
                <w:rFonts w:ascii="Times New Roman" w:hAnsi="Times New Roman" w:cs="Times New Roman"/>
                <w:sz w:val="15"/>
                <w:szCs w:val="15"/>
                <w:lang w:val="en-GB"/>
              </w:rPr>
              <w:t>H</w:t>
            </w:r>
            <w:r w:rsidRPr="00511377">
              <w:rPr>
                <w:rFonts w:ascii="Times New Roman" w:hAnsi="Times New Roman" w:cs="Times New Roman"/>
                <w:sz w:val="15"/>
                <w:szCs w:val="15"/>
                <w:vertAlign w:val="subscript"/>
                <w:lang w:val="en-GB"/>
              </w:rPr>
              <w:t>44</w:t>
            </w:r>
            <w:r w:rsidRPr="00511377">
              <w:rPr>
                <w:rFonts w:ascii="Times New Roman" w:hAnsi="Times New Roman" w:cs="Times New Roman"/>
                <w:sz w:val="15"/>
                <w:szCs w:val="15"/>
                <w:lang w:val="en-GB"/>
              </w:rPr>
              <w:t>O</w:t>
            </w:r>
            <w:r w:rsidRPr="00511377">
              <w:rPr>
                <w:rFonts w:ascii="Times New Roman" w:hAnsi="Times New Roman" w:cs="Times New Roman"/>
                <w:sz w:val="15"/>
                <w:szCs w:val="15"/>
                <w:vertAlign w:val="subscript"/>
                <w:lang w:val="en-GB"/>
              </w:rPr>
              <w:t>14</w:t>
            </w:r>
          </w:p>
        </w:tc>
        <w:tc>
          <w:tcPr>
            <w:tcW w:w="907" w:type="dxa"/>
            <w:tcBorders>
              <w:top w:val="single" w:sz="4" w:space="0" w:color="auto"/>
            </w:tcBorders>
            <w:vAlign w:val="center"/>
          </w:tcPr>
          <w:p w14:paraId="5E250A5D" w14:textId="77777777" w:rsidR="00703E60" w:rsidRPr="00511377" w:rsidRDefault="00201D35" w:rsidP="00254B8A">
            <w:pPr>
              <w:spacing w:line="360" w:lineRule="auto"/>
              <w:jc w:val="center"/>
              <w:rPr>
                <w:rFonts w:ascii="Times New Roman" w:hAnsi="Times New Roman" w:cs="Times New Roman"/>
                <w:sz w:val="15"/>
                <w:szCs w:val="15"/>
                <w:lang w:val="en-GB"/>
              </w:rPr>
            </w:pPr>
            <w:r w:rsidRPr="00511377">
              <w:rPr>
                <w:rFonts w:ascii="Times New Roman" w:hAnsi="Times New Roman" w:cs="Times New Roman"/>
                <w:sz w:val="15"/>
                <w:szCs w:val="15"/>
                <w:lang w:val="en-GB"/>
              </w:rPr>
              <w:t>C</w:t>
            </w:r>
            <w:r w:rsidRPr="00511377">
              <w:rPr>
                <w:rFonts w:ascii="Times New Roman" w:hAnsi="Times New Roman" w:cs="Times New Roman"/>
                <w:sz w:val="15"/>
                <w:szCs w:val="15"/>
                <w:vertAlign w:val="subscript"/>
                <w:lang w:val="en-GB"/>
              </w:rPr>
              <w:t>38</w:t>
            </w:r>
            <w:r w:rsidRPr="00511377">
              <w:rPr>
                <w:rFonts w:ascii="Times New Roman" w:hAnsi="Times New Roman" w:cs="Times New Roman"/>
                <w:sz w:val="15"/>
                <w:szCs w:val="15"/>
                <w:lang w:val="en-GB"/>
              </w:rPr>
              <w:t>H</w:t>
            </w:r>
            <w:r w:rsidRPr="00511377">
              <w:rPr>
                <w:rFonts w:ascii="Times New Roman" w:hAnsi="Times New Roman" w:cs="Times New Roman"/>
                <w:sz w:val="15"/>
                <w:szCs w:val="15"/>
                <w:vertAlign w:val="subscript"/>
                <w:lang w:val="en-GB"/>
              </w:rPr>
              <w:t>44</w:t>
            </w:r>
            <w:r w:rsidRPr="00511377">
              <w:rPr>
                <w:rFonts w:ascii="Times New Roman" w:hAnsi="Times New Roman" w:cs="Times New Roman"/>
                <w:sz w:val="15"/>
                <w:szCs w:val="15"/>
                <w:lang w:val="en-GB"/>
              </w:rPr>
              <w:t>O</w:t>
            </w:r>
            <w:r w:rsidRPr="00511377">
              <w:rPr>
                <w:rFonts w:ascii="Times New Roman" w:hAnsi="Times New Roman" w:cs="Times New Roman"/>
                <w:sz w:val="15"/>
                <w:szCs w:val="15"/>
                <w:vertAlign w:val="subscript"/>
                <w:lang w:val="en-GB"/>
              </w:rPr>
              <w:t>14</w:t>
            </w:r>
          </w:p>
        </w:tc>
        <w:tc>
          <w:tcPr>
            <w:tcW w:w="907" w:type="dxa"/>
            <w:tcBorders>
              <w:top w:val="single" w:sz="4" w:space="0" w:color="auto"/>
            </w:tcBorders>
            <w:vAlign w:val="center"/>
          </w:tcPr>
          <w:p w14:paraId="4E0B871F" w14:textId="77777777" w:rsidR="00703E60" w:rsidRPr="00511377" w:rsidRDefault="00201D35" w:rsidP="00254B8A">
            <w:pPr>
              <w:spacing w:line="360" w:lineRule="auto"/>
              <w:jc w:val="center"/>
              <w:rPr>
                <w:rFonts w:ascii="Times New Roman" w:hAnsi="Times New Roman" w:cs="Times New Roman"/>
                <w:sz w:val="15"/>
                <w:szCs w:val="15"/>
                <w:lang w:val="en-GB"/>
              </w:rPr>
            </w:pPr>
            <w:r w:rsidRPr="00511377">
              <w:rPr>
                <w:rFonts w:ascii="Times New Roman" w:hAnsi="Times New Roman" w:cs="Times New Roman"/>
                <w:sz w:val="15"/>
                <w:szCs w:val="15"/>
                <w:lang w:val="en-GB"/>
              </w:rPr>
              <w:t>C</w:t>
            </w:r>
            <w:r w:rsidRPr="00511377">
              <w:rPr>
                <w:rFonts w:ascii="Times New Roman" w:hAnsi="Times New Roman" w:cs="Times New Roman"/>
                <w:sz w:val="15"/>
                <w:szCs w:val="15"/>
                <w:vertAlign w:val="subscript"/>
                <w:lang w:val="en-GB"/>
              </w:rPr>
              <w:t>30</w:t>
            </w:r>
            <w:r w:rsidRPr="00511377">
              <w:rPr>
                <w:rFonts w:ascii="Times New Roman" w:hAnsi="Times New Roman" w:cs="Times New Roman"/>
                <w:sz w:val="15"/>
                <w:szCs w:val="15"/>
                <w:lang w:val="en-GB"/>
              </w:rPr>
              <w:t>H</w:t>
            </w:r>
            <w:r w:rsidRPr="00511377">
              <w:rPr>
                <w:rFonts w:ascii="Times New Roman" w:hAnsi="Times New Roman" w:cs="Times New Roman"/>
                <w:sz w:val="15"/>
                <w:szCs w:val="15"/>
                <w:vertAlign w:val="subscript"/>
                <w:lang w:val="en-GB"/>
              </w:rPr>
              <w:t>36</w:t>
            </w:r>
            <w:r w:rsidRPr="00511377">
              <w:rPr>
                <w:rFonts w:ascii="Times New Roman" w:hAnsi="Times New Roman" w:cs="Times New Roman"/>
                <w:sz w:val="15"/>
                <w:szCs w:val="15"/>
                <w:lang w:val="en-GB"/>
              </w:rPr>
              <w:t>O</w:t>
            </w:r>
            <w:r w:rsidRPr="00511377">
              <w:rPr>
                <w:rFonts w:ascii="Times New Roman" w:hAnsi="Times New Roman" w:cs="Times New Roman"/>
                <w:sz w:val="15"/>
                <w:szCs w:val="15"/>
                <w:vertAlign w:val="subscript"/>
                <w:lang w:val="en-GB"/>
              </w:rPr>
              <w:t>11</w:t>
            </w:r>
          </w:p>
        </w:tc>
        <w:tc>
          <w:tcPr>
            <w:tcW w:w="907" w:type="dxa"/>
            <w:tcBorders>
              <w:top w:val="single" w:sz="4" w:space="0" w:color="auto"/>
            </w:tcBorders>
            <w:vAlign w:val="center"/>
          </w:tcPr>
          <w:p w14:paraId="2B4B9B56" w14:textId="77777777" w:rsidR="00703E60" w:rsidRPr="00511377" w:rsidRDefault="00201D35" w:rsidP="00254B8A">
            <w:pPr>
              <w:spacing w:line="360" w:lineRule="auto"/>
              <w:jc w:val="center"/>
              <w:rPr>
                <w:rFonts w:ascii="Times New Roman" w:hAnsi="Times New Roman" w:cs="Times New Roman"/>
                <w:sz w:val="15"/>
                <w:szCs w:val="15"/>
                <w:lang w:val="en-GB"/>
              </w:rPr>
            </w:pPr>
            <w:r w:rsidRPr="00511377">
              <w:rPr>
                <w:rFonts w:ascii="Times New Roman" w:hAnsi="Times New Roman" w:cs="Times New Roman"/>
                <w:sz w:val="15"/>
                <w:szCs w:val="15"/>
                <w:lang w:val="en-GB"/>
              </w:rPr>
              <w:t>C</w:t>
            </w:r>
            <w:r w:rsidRPr="00511377">
              <w:rPr>
                <w:rFonts w:ascii="Times New Roman" w:hAnsi="Times New Roman" w:cs="Times New Roman"/>
                <w:sz w:val="15"/>
                <w:szCs w:val="15"/>
                <w:vertAlign w:val="subscript"/>
                <w:lang w:val="en-GB"/>
              </w:rPr>
              <w:t>31</w:t>
            </w:r>
            <w:r w:rsidRPr="00511377">
              <w:rPr>
                <w:rFonts w:ascii="Times New Roman" w:hAnsi="Times New Roman" w:cs="Times New Roman"/>
                <w:sz w:val="15"/>
                <w:szCs w:val="15"/>
                <w:lang w:val="en-GB"/>
              </w:rPr>
              <w:t>H</w:t>
            </w:r>
            <w:r w:rsidRPr="00511377">
              <w:rPr>
                <w:rFonts w:ascii="Times New Roman" w:hAnsi="Times New Roman" w:cs="Times New Roman"/>
                <w:sz w:val="15"/>
                <w:szCs w:val="15"/>
                <w:vertAlign w:val="subscript"/>
                <w:lang w:val="en-GB"/>
              </w:rPr>
              <w:t>38</w:t>
            </w:r>
            <w:r w:rsidRPr="00511377">
              <w:rPr>
                <w:rFonts w:ascii="Times New Roman" w:hAnsi="Times New Roman" w:cs="Times New Roman"/>
                <w:sz w:val="15"/>
                <w:szCs w:val="15"/>
                <w:lang w:val="en-GB"/>
              </w:rPr>
              <w:t>O</w:t>
            </w:r>
            <w:r w:rsidRPr="00511377">
              <w:rPr>
                <w:rFonts w:ascii="Times New Roman" w:hAnsi="Times New Roman" w:cs="Times New Roman"/>
                <w:sz w:val="15"/>
                <w:szCs w:val="15"/>
                <w:vertAlign w:val="subscript"/>
                <w:lang w:val="en-GB"/>
              </w:rPr>
              <w:t>12</w:t>
            </w:r>
          </w:p>
        </w:tc>
      </w:tr>
      <w:tr w:rsidR="003B7C7B" w14:paraId="2393E531" w14:textId="77777777" w:rsidTr="00511377">
        <w:tc>
          <w:tcPr>
            <w:tcW w:w="1310" w:type="dxa"/>
            <w:vAlign w:val="center"/>
          </w:tcPr>
          <w:p w14:paraId="37C25024" w14:textId="77777777" w:rsidR="00703E60" w:rsidRPr="00511377" w:rsidRDefault="00201D35" w:rsidP="00254B8A">
            <w:pPr>
              <w:spacing w:line="360" w:lineRule="auto"/>
              <w:rPr>
                <w:rFonts w:ascii="Times New Roman" w:hAnsi="Times New Roman" w:cs="Times New Roman"/>
                <w:sz w:val="15"/>
                <w:szCs w:val="15"/>
                <w:lang w:val="en-GB"/>
              </w:rPr>
            </w:pPr>
            <w:r w:rsidRPr="00511377">
              <w:rPr>
                <w:rFonts w:ascii="Times New Roman" w:hAnsi="Times New Roman" w:cs="Times New Roman"/>
                <w:sz w:val="15"/>
                <w:szCs w:val="15"/>
                <w:lang w:val="en-GB"/>
              </w:rPr>
              <w:t>MW (g/mol)</w:t>
            </w:r>
          </w:p>
        </w:tc>
        <w:tc>
          <w:tcPr>
            <w:tcW w:w="907" w:type="dxa"/>
            <w:vAlign w:val="center"/>
          </w:tcPr>
          <w:p w14:paraId="34894CBF" w14:textId="77777777" w:rsidR="00703E60" w:rsidRPr="00511377" w:rsidRDefault="00201D35" w:rsidP="00254B8A">
            <w:pPr>
              <w:spacing w:line="360" w:lineRule="auto"/>
              <w:jc w:val="center"/>
              <w:rPr>
                <w:rFonts w:ascii="Times New Roman" w:hAnsi="Times New Roman" w:cs="Times New Roman"/>
                <w:sz w:val="15"/>
                <w:szCs w:val="15"/>
                <w:lang w:val="en-GB"/>
              </w:rPr>
            </w:pPr>
            <w:r w:rsidRPr="00511377">
              <w:rPr>
                <w:rFonts w:ascii="Times New Roman" w:hAnsi="Times New Roman" w:cs="Times New Roman"/>
                <w:sz w:val="15"/>
                <w:szCs w:val="15"/>
                <w:lang w:val="en-GB"/>
              </w:rPr>
              <w:t>572</w:t>
            </w:r>
          </w:p>
        </w:tc>
        <w:tc>
          <w:tcPr>
            <w:tcW w:w="907" w:type="dxa"/>
            <w:vAlign w:val="center"/>
          </w:tcPr>
          <w:p w14:paraId="125202CC" w14:textId="77777777" w:rsidR="00703E60" w:rsidRPr="00511377" w:rsidRDefault="00201D35" w:rsidP="00254B8A">
            <w:pPr>
              <w:spacing w:line="360" w:lineRule="auto"/>
              <w:jc w:val="center"/>
              <w:rPr>
                <w:rFonts w:ascii="Times New Roman" w:hAnsi="Times New Roman" w:cs="Times New Roman"/>
                <w:sz w:val="15"/>
                <w:szCs w:val="15"/>
                <w:lang w:val="en-GB"/>
              </w:rPr>
            </w:pPr>
            <w:r w:rsidRPr="00511377">
              <w:rPr>
                <w:rFonts w:ascii="Times New Roman" w:hAnsi="Times New Roman" w:cs="Times New Roman"/>
                <w:sz w:val="15"/>
                <w:szCs w:val="15"/>
                <w:lang w:val="en-GB"/>
              </w:rPr>
              <w:t>768</w:t>
            </w:r>
          </w:p>
        </w:tc>
        <w:tc>
          <w:tcPr>
            <w:tcW w:w="907" w:type="dxa"/>
            <w:vAlign w:val="center"/>
          </w:tcPr>
          <w:p w14:paraId="6F42038E" w14:textId="77777777" w:rsidR="00703E60" w:rsidRPr="00511377" w:rsidRDefault="00201D35" w:rsidP="00254B8A">
            <w:pPr>
              <w:spacing w:line="360" w:lineRule="auto"/>
              <w:jc w:val="center"/>
              <w:rPr>
                <w:rFonts w:ascii="Times New Roman" w:hAnsi="Times New Roman" w:cs="Times New Roman"/>
                <w:sz w:val="15"/>
                <w:szCs w:val="15"/>
                <w:lang w:val="en-GB"/>
              </w:rPr>
            </w:pPr>
            <w:r w:rsidRPr="00511377">
              <w:rPr>
                <w:rFonts w:ascii="Times New Roman" w:hAnsi="Times New Roman" w:cs="Times New Roman"/>
                <w:sz w:val="15"/>
                <w:szCs w:val="15"/>
                <w:lang w:val="en-GB"/>
              </w:rPr>
              <w:t>516</w:t>
            </w:r>
          </w:p>
        </w:tc>
        <w:tc>
          <w:tcPr>
            <w:tcW w:w="907" w:type="dxa"/>
            <w:vAlign w:val="center"/>
          </w:tcPr>
          <w:p w14:paraId="528F484F" w14:textId="77777777" w:rsidR="00703E60" w:rsidRPr="00511377" w:rsidRDefault="00201D35" w:rsidP="00254B8A">
            <w:pPr>
              <w:spacing w:line="360" w:lineRule="auto"/>
              <w:jc w:val="center"/>
              <w:rPr>
                <w:rFonts w:ascii="Times New Roman" w:hAnsi="Times New Roman" w:cs="Times New Roman"/>
                <w:sz w:val="15"/>
                <w:szCs w:val="15"/>
                <w:lang w:val="en-GB"/>
              </w:rPr>
            </w:pPr>
            <w:r w:rsidRPr="00511377">
              <w:rPr>
                <w:rFonts w:ascii="Times New Roman" w:hAnsi="Times New Roman" w:cs="Times New Roman"/>
                <w:sz w:val="15"/>
                <w:szCs w:val="15"/>
                <w:lang w:val="en-GB"/>
              </w:rPr>
              <w:t>772</w:t>
            </w:r>
          </w:p>
        </w:tc>
        <w:tc>
          <w:tcPr>
            <w:tcW w:w="907" w:type="dxa"/>
            <w:vAlign w:val="center"/>
          </w:tcPr>
          <w:p w14:paraId="5DD5E3ED" w14:textId="77777777" w:rsidR="00703E60" w:rsidRPr="00511377" w:rsidRDefault="00201D35" w:rsidP="00254B8A">
            <w:pPr>
              <w:spacing w:line="360" w:lineRule="auto"/>
              <w:jc w:val="center"/>
              <w:rPr>
                <w:rFonts w:ascii="Times New Roman" w:hAnsi="Times New Roman" w:cs="Times New Roman"/>
                <w:sz w:val="15"/>
                <w:szCs w:val="15"/>
                <w:lang w:val="en-GB"/>
              </w:rPr>
            </w:pPr>
            <w:r w:rsidRPr="00511377">
              <w:rPr>
                <w:rFonts w:ascii="Times New Roman" w:hAnsi="Times New Roman" w:cs="Times New Roman"/>
                <w:sz w:val="15"/>
                <w:szCs w:val="15"/>
                <w:lang w:val="en-GB"/>
              </w:rPr>
              <w:t>724</w:t>
            </w:r>
          </w:p>
        </w:tc>
        <w:tc>
          <w:tcPr>
            <w:tcW w:w="907" w:type="dxa"/>
            <w:vAlign w:val="center"/>
          </w:tcPr>
          <w:p w14:paraId="7195E425" w14:textId="77777777" w:rsidR="00703E60" w:rsidRPr="00511377" w:rsidRDefault="00201D35" w:rsidP="00254B8A">
            <w:pPr>
              <w:spacing w:line="360" w:lineRule="auto"/>
              <w:jc w:val="center"/>
              <w:rPr>
                <w:rFonts w:ascii="Times New Roman" w:hAnsi="Times New Roman" w:cs="Times New Roman"/>
                <w:sz w:val="15"/>
                <w:szCs w:val="15"/>
                <w:lang w:val="en-GB"/>
              </w:rPr>
            </w:pPr>
            <w:r w:rsidRPr="00511377">
              <w:rPr>
                <w:rFonts w:ascii="Times New Roman" w:hAnsi="Times New Roman" w:cs="Times New Roman"/>
                <w:sz w:val="15"/>
                <w:szCs w:val="15"/>
                <w:lang w:val="en-GB"/>
              </w:rPr>
              <w:t>572</w:t>
            </w:r>
          </w:p>
        </w:tc>
        <w:tc>
          <w:tcPr>
            <w:tcW w:w="907" w:type="dxa"/>
            <w:vAlign w:val="center"/>
          </w:tcPr>
          <w:p w14:paraId="1E5E529C" w14:textId="77777777" w:rsidR="00703E60" w:rsidRPr="00511377" w:rsidRDefault="00201D35" w:rsidP="00254B8A">
            <w:pPr>
              <w:spacing w:line="360" w:lineRule="auto"/>
              <w:jc w:val="center"/>
              <w:rPr>
                <w:rFonts w:ascii="Times New Roman" w:hAnsi="Times New Roman" w:cs="Times New Roman"/>
                <w:sz w:val="15"/>
                <w:szCs w:val="15"/>
                <w:lang w:val="en-GB"/>
              </w:rPr>
            </w:pPr>
            <w:r w:rsidRPr="00511377">
              <w:rPr>
                <w:rFonts w:ascii="Times New Roman" w:hAnsi="Times New Roman" w:cs="Times New Roman"/>
                <w:sz w:val="15"/>
                <w:szCs w:val="15"/>
                <w:lang w:val="en-GB"/>
              </w:rPr>
              <w:t>602</w:t>
            </w:r>
          </w:p>
        </w:tc>
      </w:tr>
      <w:tr w:rsidR="003B7C7B" w14:paraId="3C5CB04A" w14:textId="77777777" w:rsidTr="00511377">
        <w:tc>
          <w:tcPr>
            <w:tcW w:w="1310" w:type="dxa"/>
            <w:vAlign w:val="center"/>
          </w:tcPr>
          <w:p w14:paraId="7BCC5D51" w14:textId="77777777" w:rsidR="00703E60" w:rsidRPr="00511377" w:rsidRDefault="00201D35" w:rsidP="00254B8A">
            <w:pPr>
              <w:spacing w:line="360" w:lineRule="auto"/>
              <w:rPr>
                <w:rFonts w:ascii="Times New Roman" w:hAnsi="Times New Roman" w:cs="Times New Roman"/>
                <w:sz w:val="15"/>
                <w:szCs w:val="15"/>
                <w:lang w:val="en-GB"/>
              </w:rPr>
            </w:pPr>
            <w:r w:rsidRPr="00511377">
              <w:rPr>
                <w:rFonts w:ascii="Times New Roman" w:hAnsi="Times New Roman" w:cs="Times New Roman"/>
                <w:sz w:val="15"/>
                <w:szCs w:val="15"/>
                <w:lang w:val="en-GB"/>
              </w:rPr>
              <w:t>MR (H/G/S)</w:t>
            </w:r>
          </w:p>
        </w:tc>
        <w:tc>
          <w:tcPr>
            <w:tcW w:w="907" w:type="dxa"/>
            <w:vAlign w:val="center"/>
          </w:tcPr>
          <w:p w14:paraId="6A24E86E" w14:textId="77777777" w:rsidR="00703E60" w:rsidRPr="00511377" w:rsidRDefault="00201D35" w:rsidP="00254B8A">
            <w:pPr>
              <w:spacing w:line="360" w:lineRule="auto"/>
              <w:jc w:val="center"/>
              <w:rPr>
                <w:rFonts w:ascii="Times New Roman" w:hAnsi="Times New Roman" w:cs="Times New Roman"/>
                <w:sz w:val="15"/>
                <w:szCs w:val="15"/>
                <w:lang w:val="en-GB"/>
              </w:rPr>
            </w:pPr>
            <w:r w:rsidRPr="00511377">
              <w:rPr>
                <w:rFonts w:ascii="Times New Roman" w:hAnsi="Times New Roman" w:cs="Times New Roman"/>
                <w:sz w:val="15"/>
                <w:szCs w:val="15"/>
                <w:lang w:val="en-GB"/>
              </w:rPr>
              <w:t>(1/1/1)</w:t>
            </w:r>
          </w:p>
        </w:tc>
        <w:tc>
          <w:tcPr>
            <w:tcW w:w="907" w:type="dxa"/>
            <w:vAlign w:val="center"/>
          </w:tcPr>
          <w:p w14:paraId="24F5B57B" w14:textId="77777777" w:rsidR="00703E60" w:rsidRPr="00511377" w:rsidRDefault="00201D35" w:rsidP="00254B8A">
            <w:pPr>
              <w:spacing w:line="360" w:lineRule="auto"/>
              <w:jc w:val="center"/>
              <w:rPr>
                <w:rFonts w:ascii="Times New Roman" w:hAnsi="Times New Roman" w:cs="Times New Roman"/>
                <w:sz w:val="15"/>
                <w:szCs w:val="15"/>
                <w:lang w:val="en-GB"/>
              </w:rPr>
            </w:pPr>
            <w:r w:rsidRPr="00511377">
              <w:rPr>
                <w:rFonts w:ascii="Times New Roman" w:hAnsi="Times New Roman" w:cs="Times New Roman"/>
                <w:sz w:val="15"/>
                <w:szCs w:val="15"/>
                <w:lang w:val="en-GB"/>
              </w:rPr>
              <w:t>(1/2/1)</w:t>
            </w:r>
          </w:p>
        </w:tc>
        <w:tc>
          <w:tcPr>
            <w:tcW w:w="907" w:type="dxa"/>
            <w:vAlign w:val="center"/>
          </w:tcPr>
          <w:p w14:paraId="013FEA48" w14:textId="77777777" w:rsidR="00703E60" w:rsidRPr="00511377" w:rsidRDefault="00201D35" w:rsidP="00254B8A">
            <w:pPr>
              <w:spacing w:line="360" w:lineRule="auto"/>
              <w:jc w:val="center"/>
              <w:rPr>
                <w:rFonts w:ascii="Times New Roman" w:hAnsi="Times New Roman" w:cs="Times New Roman"/>
                <w:sz w:val="15"/>
                <w:szCs w:val="15"/>
                <w:lang w:val="en-GB"/>
              </w:rPr>
            </w:pPr>
            <w:r w:rsidRPr="00511377">
              <w:rPr>
                <w:rFonts w:ascii="Times New Roman" w:hAnsi="Times New Roman" w:cs="Times New Roman"/>
                <w:sz w:val="15"/>
                <w:szCs w:val="15"/>
                <w:lang w:val="en-GB"/>
              </w:rPr>
              <w:t>(1/1/1)</w:t>
            </w:r>
          </w:p>
        </w:tc>
        <w:tc>
          <w:tcPr>
            <w:tcW w:w="907" w:type="dxa"/>
            <w:vAlign w:val="center"/>
          </w:tcPr>
          <w:p w14:paraId="0C0B8149" w14:textId="77777777" w:rsidR="00703E60" w:rsidRPr="00511377" w:rsidRDefault="00201D35" w:rsidP="00254B8A">
            <w:pPr>
              <w:spacing w:line="360" w:lineRule="auto"/>
              <w:jc w:val="center"/>
              <w:rPr>
                <w:rFonts w:ascii="Times New Roman" w:hAnsi="Times New Roman" w:cs="Times New Roman"/>
                <w:sz w:val="15"/>
                <w:szCs w:val="15"/>
                <w:lang w:val="en-GB"/>
              </w:rPr>
            </w:pPr>
            <w:r w:rsidRPr="00511377">
              <w:rPr>
                <w:rFonts w:ascii="Times New Roman" w:hAnsi="Times New Roman" w:cs="Times New Roman"/>
                <w:sz w:val="15"/>
                <w:szCs w:val="15"/>
                <w:lang w:val="en-GB"/>
              </w:rPr>
              <w:t>(0/2/2)</w:t>
            </w:r>
          </w:p>
        </w:tc>
        <w:tc>
          <w:tcPr>
            <w:tcW w:w="907" w:type="dxa"/>
            <w:vAlign w:val="center"/>
          </w:tcPr>
          <w:p w14:paraId="306B78AE" w14:textId="77777777" w:rsidR="00703E60" w:rsidRPr="00511377" w:rsidRDefault="00201D35" w:rsidP="00254B8A">
            <w:pPr>
              <w:spacing w:line="360" w:lineRule="auto"/>
              <w:jc w:val="center"/>
              <w:rPr>
                <w:rFonts w:ascii="Times New Roman" w:hAnsi="Times New Roman" w:cs="Times New Roman"/>
                <w:sz w:val="15"/>
                <w:szCs w:val="15"/>
                <w:lang w:val="en-GB"/>
              </w:rPr>
            </w:pPr>
            <w:r w:rsidRPr="00511377">
              <w:rPr>
                <w:rFonts w:ascii="Times New Roman" w:hAnsi="Times New Roman" w:cs="Times New Roman"/>
                <w:sz w:val="15"/>
                <w:szCs w:val="15"/>
                <w:lang w:val="en-GB"/>
              </w:rPr>
              <w:t>(0/3/1)</w:t>
            </w:r>
          </w:p>
        </w:tc>
        <w:tc>
          <w:tcPr>
            <w:tcW w:w="907" w:type="dxa"/>
            <w:vAlign w:val="center"/>
          </w:tcPr>
          <w:p w14:paraId="2601822B" w14:textId="77777777" w:rsidR="00703E60" w:rsidRPr="00511377" w:rsidRDefault="00201D35" w:rsidP="00254B8A">
            <w:pPr>
              <w:spacing w:line="360" w:lineRule="auto"/>
              <w:jc w:val="center"/>
              <w:rPr>
                <w:rFonts w:ascii="Times New Roman" w:hAnsi="Times New Roman" w:cs="Times New Roman"/>
                <w:sz w:val="15"/>
                <w:szCs w:val="15"/>
                <w:lang w:val="en-GB"/>
              </w:rPr>
            </w:pPr>
            <w:r w:rsidRPr="00511377">
              <w:rPr>
                <w:rFonts w:ascii="Times New Roman" w:hAnsi="Times New Roman" w:cs="Times New Roman"/>
                <w:sz w:val="15"/>
                <w:szCs w:val="15"/>
                <w:lang w:val="en-GB"/>
              </w:rPr>
              <w:t>(0/3/0)</w:t>
            </w:r>
          </w:p>
        </w:tc>
        <w:tc>
          <w:tcPr>
            <w:tcW w:w="907" w:type="dxa"/>
            <w:vAlign w:val="center"/>
          </w:tcPr>
          <w:p w14:paraId="22EB6A60" w14:textId="77777777" w:rsidR="00703E60" w:rsidRPr="00511377" w:rsidRDefault="00201D35" w:rsidP="00254B8A">
            <w:pPr>
              <w:spacing w:line="360" w:lineRule="auto"/>
              <w:jc w:val="center"/>
              <w:rPr>
                <w:rFonts w:ascii="Times New Roman" w:hAnsi="Times New Roman" w:cs="Times New Roman"/>
                <w:sz w:val="15"/>
                <w:szCs w:val="15"/>
                <w:lang w:val="en-GB"/>
              </w:rPr>
            </w:pPr>
            <w:r w:rsidRPr="00511377">
              <w:rPr>
                <w:rFonts w:ascii="Times New Roman" w:hAnsi="Times New Roman" w:cs="Times New Roman"/>
                <w:sz w:val="15"/>
                <w:szCs w:val="15"/>
                <w:lang w:val="en-GB"/>
              </w:rPr>
              <w:t>(0/2/1)</w:t>
            </w:r>
          </w:p>
        </w:tc>
      </w:tr>
      <w:tr w:rsidR="003B7C7B" w14:paraId="0AF6324E" w14:textId="77777777" w:rsidTr="00511377">
        <w:tc>
          <w:tcPr>
            <w:tcW w:w="1310" w:type="dxa"/>
            <w:vAlign w:val="center"/>
          </w:tcPr>
          <w:p w14:paraId="7260F4BE" w14:textId="77777777" w:rsidR="00B51337" w:rsidRPr="00511377" w:rsidRDefault="00201D35" w:rsidP="00254B8A">
            <w:pPr>
              <w:spacing w:line="360" w:lineRule="auto"/>
              <w:rPr>
                <w:rFonts w:ascii="Times New Roman" w:hAnsi="Times New Roman" w:cs="Times New Roman"/>
                <w:sz w:val="15"/>
                <w:szCs w:val="15"/>
                <w:lang w:val="en-GB"/>
              </w:rPr>
            </w:pPr>
            <w:r w:rsidRPr="00511377">
              <w:rPr>
                <w:rFonts w:ascii="Times New Roman" w:hAnsi="Times New Roman" w:cs="Times New Roman"/>
                <w:sz w:val="15"/>
                <w:szCs w:val="15"/>
                <w:lang w:val="en-GB"/>
              </w:rPr>
              <w:t>LR</w:t>
            </w:r>
          </w:p>
          <w:p w14:paraId="4AE3ED0C" w14:textId="3860BDDF" w:rsidR="00703E60" w:rsidRPr="00511377" w:rsidRDefault="00201D35" w:rsidP="00254B8A">
            <w:pPr>
              <w:spacing w:line="360" w:lineRule="auto"/>
              <w:rPr>
                <w:rFonts w:ascii="Times New Roman" w:hAnsi="Times New Roman" w:cs="Times New Roman"/>
                <w:sz w:val="15"/>
                <w:szCs w:val="15"/>
                <w:lang w:val="en-GB"/>
              </w:rPr>
            </w:pPr>
            <w:r w:rsidRPr="00511377">
              <w:rPr>
                <w:rFonts w:ascii="Times New Roman" w:hAnsi="Times New Roman" w:cs="Times New Roman"/>
                <w:sz w:val="15"/>
                <w:szCs w:val="15"/>
                <w:lang w:val="en-GB"/>
              </w:rPr>
              <w:t>(β-O-4/β-1/5-5)</w:t>
            </w:r>
          </w:p>
        </w:tc>
        <w:tc>
          <w:tcPr>
            <w:tcW w:w="907" w:type="dxa"/>
            <w:vAlign w:val="center"/>
          </w:tcPr>
          <w:p w14:paraId="2509C592" w14:textId="77777777" w:rsidR="00703E60" w:rsidRPr="00511377" w:rsidRDefault="00201D35" w:rsidP="00254B8A">
            <w:pPr>
              <w:spacing w:line="360" w:lineRule="auto"/>
              <w:jc w:val="center"/>
              <w:rPr>
                <w:rFonts w:ascii="Times New Roman" w:hAnsi="Times New Roman" w:cs="Times New Roman"/>
                <w:sz w:val="15"/>
                <w:szCs w:val="15"/>
                <w:lang w:val="en-GB"/>
              </w:rPr>
            </w:pPr>
            <w:r w:rsidRPr="00511377">
              <w:rPr>
                <w:rFonts w:ascii="Times New Roman" w:hAnsi="Times New Roman" w:cs="Times New Roman"/>
                <w:sz w:val="15"/>
                <w:szCs w:val="15"/>
                <w:lang w:val="en-GB"/>
              </w:rPr>
              <w:t>(2/0/0)</w:t>
            </w:r>
          </w:p>
        </w:tc>
        <w:tc>
          <w:tcPr>
            <w:tcW w:w="907" w:type="dxa"/>
            <w:vAlign w:val="center"/>
          </w:tcPr>
          <w:p w14:paraId="02ED2E36" w14:textId="77777777" w:rsidR="00703E60" w:rsidRPr="00511377" w:rsidRDefault="00201D35" w:rsidP="00254B8A">
            <w:pPr>
              <w:spacing w:line="360" w:lineRule="auto"/>
              <w:jc w:val="center"/>
              <w:rPr>
                <w:rFonts w:ascii="Times New Roman" w:hAnsi="Times New Roman" w:cs="Times New Roman"/>
                <w:sz w:val="15"/>
                <w:szCs w:val="15"/>
                <w:lang w:val="en-GB"/>
              </w:rPr>
            </w:pPr>
            <w:r w:rsidRPr="00511377">
              <w:rPr>
                <w:rFonts w:ascii="Times New Roman" w:hAnsi="Times New Roman" w:cs="Times New Roman"/>
                <w:sz w:val="15"/>
                <w:szCs w:val="15"/>
                <w:lang w:val="en-GB"/>
              </w:rPr>
              <w:t>(3/0/0)</w:t>
            </w:r>
          </w:p>
        </w:tc>
        <w:tc>
          <w:tcPr>
            <w:tcW w:w="907" w:type="dxa"/>
            <w:vAlign w:val="center"/>
          </w:tcPr>
          <w:p w14:paraId="60127B9F" w14:textId="77777777" w:rsidR="00703E60" w:rsidRPr="00511377" w:rsidRDefault="00201D35" w:rsidP="00254B8A">
            <w:pPr>
              <w:spacing w:line="360" w:lineRule="auto"/>
              <w:jc w:val="center"/>
              <w:rPr>
                <w:rFonts w:ascii="Times New Roman" w:hAnsi="Times New Roman" w:cs="Times New Roman"/>
                <w:sz w:val="15"/>
                <w:szCs w:val="15"/>
                <w:lang w:val="en-GB"/>
              </w:rPr>
            </w:pPr>
            <w:r w:rsidRPr="00511377">
              <w:rPr>
                <w:rFonts w:ascii="Times New Roman" w:hAnsi="Times New Roman" w:cs="Times New Roman"/>
                <w:sz w:val="15"/>
                <w:szCs w:val="15"/>
                <w:lang w:val="en-GB"/>
              </w:rPr>
              <w:t>(1/1/0)</w:t>
            </w:r>
          </w:p>
        </w:tc>
        <w:tc>
          <w:tcPr>
            <w:tcW w:w="907" w:type="dxa"/>
            <w:vAlign w:val="center"/>
          </w:tcPr>
          <w:p w14:paraId="401D70D6" w14:textId="77777777" w:rsidR="00703E60" w:rsidRPr="00511377" w:rsidRDefault="00201D35" w:rsidP="00254B8A">
            <w:pPr>
              <w:spacing w:line="360" w:lineRule="auto"/>
              <w:jc w:val="center"/>
              <w:rPr>
                <w:rFonts w:ascii="Times New Roman" w:hAnsi="Times New Roman" w:cs="Times New Roman"/>
                <w:sz w:val="15"/>
                <w:szCs w:val="15"/>
                <w:lang w:val="en-GB"/>
              </w:rPr>
            </w:pPr>
            <w:r w:rsidRPr="00511377">
              <w:rPr>
                <w:rFonts w:ascii="Times New Roman" w:hAnsi="Times New Roman" w:cs="Times New Roman"/>
                <w:sz w:val="15"/>
                <w:szCs w:val="15"/>
                <w:lang w:val="en-GB"/>
              </w:rPr>
              <w:t>(2/1/0)</w:t>
            </w:r>
          </w:p>
        </w:tc>
        <w:tc>
          <w:tcPr>
            <w:tcW w:w="907" w:type="dxa"/>
            <w:vAlign w:val="center"/>
          </w:tcPr>
          <w:p w14:paraId="447E85B4" w14:textId="77777777" w:rsidR="00703E60" w:rsidRPr="00511377" w:rsidRDefault="00201D35" w:rsidP="00254B8A">
            <w:pPr>
              <w:spacing w:line="360" w:lineRule="auto"/>
              <w:jc w:val="center"/>
              <w:rPr>
                <w:rFonts w:ascii="Times New Roman" w:hAnsi="Times New Roman" w:cs="Times New Roman"/>
                <w:sz w:val="15"/>
                <w:szCs w:val="15"/>
                <w:lang w:val="en-GB"/>
              </w:rPr>
            </w:pPr>
            <w:r w:rsidRPr="00511377">
              <w:rPr>
                <w:rFonts w:ascii="Times New Roman" w:hAnsi="Times New Roman" w:cs="Times New Roman"/>
                <w:sz w:val="15"/>
                <w:szCs w:val="15"/>
                <w:lang w:val="en-GB"/>
              </w:rPr>
              <w:t>(1/1/1)</w:t>
            </w:r>
          </w:p>
        </w:tc>
        <w:tc>
          <w:tcPr>
            <w:tcW w:w="907" w:type="dxa"/>
            <w:vAlign w:val="center"/>
          </w:tcPr>
          <w:p w14:paraId="44DC1A90" w14:textId="77777777" w:rsidR="00703E60" w:rsidRPr="00511377" w:rsidRDefault="00201D35" w:rsidP="00254B8A">
            <w:pPr>
              <w:spacing w:line="360" w:lineRule="auto"/>
              <w:jc w:val="center"/>
              <w:rPr>
                <w:rFonts w:ascii="Times New Roman" w:hAnsi="Times New Roman" w:cs="Times New Roman"/>
                <w:sz w:val="15"/>
                <w:szCs w:val="15"/>
                <w:lang w:val="en-GB"/>
              </w:rPr>
            </w:pPr>
            <w:r w:rsidRPr="00511377">
              <w:rPr>
                <w:rFonts w:ascii="Times New Roman" w:hAnsi="Times New Roman" w:cs="Times New Roman"/>
                <w:sz w:val="15"/>
                <w:szCs w:val="15"/>
                <w:lang w:val="en-GB"/>
              </w:rPr>
              <w:t>(2/0/0)</w:t>
            </w:r>
          </w:p>
        </w:tc>
        <w:tc>
          <w:tcPr>
            <w:tcW w:w="907" w:type="dxa"/>
            <w:vAlign w:val="center"/>
          </w:tcPr>
          <w:p w14:paraId="4AF3EDCA" w14:textId="77777777" w:rsidR="00703E60" w:rsidRPr="00511377" w:rsidRDefault="00201D35" w:rsidP="00254B8A">
            <w:pPr>
              <w:spacing w:line="360" w:lineRule="auto"/>
              <w:jc w:val="center"/>
              <w:rPr>
                <w:rFonts w:ascii="Times New Roman" w:hAnsi="Times New Roman" w:cs="Times New Roman"/>
                <w:sz w:val="15"/>
                <w:szCs w:val="15"/>
                <w:lang w:val="en-GB"/>
              </w:rPr>
            </w:pPr>
            <w:r w:rsidRPr="00511377">
              <w:rPr>
                <w:rFonts w:ascii="Times New Roman" w:hAnsi="Times New Roman" w:cs="Times New Roman"/>
                <w:sz w:val="15"/>
                <w:szCs w:val="15"/>
                <w:lang w:val="en-GB"/>
              </w:rPr>
              <w:t>(2/0/0)</w:t>
            </w:r>
          </w:p>
        </w:tc>
      </w:tr>
    </w:tbl>
    <w:p w14:paraId="7138D211" w14:textId="77777777" w:rsidR="00E84618" w:rsidRDefault="00E84618" w:rsidP="000B73B1">
      <w:pPr>
        <w:pStyle w:val="Els-body-text"/>
      </w:pPr>
    </w:p>
    <w:p w14:paraId="41CC000B" w14:textId="77777777" w:rsidR="00E84618" w:rsidRDefault="00E84618" w:rsidP="000B73B1">
      <w:pPr>
        <w:pStyle w:val="Els-body-text"/>
      </w:pPr>
    </w:p>
    <w:p w14:paraId="6E54F2FA" w14:textId="3422ED1D" w:rsidR="00B605BC" w:rsidRDefault="00201D35" w:rsidP="00B605BC">
      <w:pPr>
        <w:pStyle w:val="Els-body-text"/>
      </w:pPr>
      <w:r>
        <w:fldChar w:fldCharType="begin"/>
      </w:r>
      <w:r w:rsidR="00285D6C">
        <w:instrText xml:space="preserve"> ADDIN ZOTERO_ITEM CSL_CITATION {"citationID":"w6fufgD1","properties":{"formattedCitation":"(Laskar et al., 2014)","plainCitation":"(Laskar et al., 2014)","dontUpdate":true,"noteIndex":0},"citationItems":[{"id":674,"uris":["http://zotero.org/users/10649518/items/P74UVISV"],"itemData":{"id":674,"type":"article-journal","abstract":"Conversion of biomass derived lignin to liquid fuels has the promising potential to significantly improve carbon utilization and economic competitiveness of biomass refineries. In this study, an aqueous phase catalytic process was developed to selectively depolymerize the lignin polymeric framework and remove oxygen via hydrodeoxygenation (HDO) reactions. Efficient methods (ethanol and dilute alkali extraction) for selectively producing reactive lignin oligomers with high yields from corn stover were established. Characteristic structural features of the technical lignins employed for hydrocarbon production were elucidated with the aid of advanced analytical techniques, such as 2D HSQC NMR spectroscopy and gel permeation chromatography (GPC). Combinations of noble metal catalysts in the presence of various solid acid zeolites were tested for HDO activity of the oligomeric technical lignins predominantly containing 8-O-4′ inter-unit linkages. Results showed 35%-60% conversion of lignin with 65%-70% product selectivity for aromatic hydrocarbons (e.g. toluene) under various HDO conditions in the presence of noble metals (Ru, Rh and Pt) over Al2O3 (or C) supports and solid acid zeolites (e.g., NH4+ Z-Y 57277-14-1) catalyst matrices. © 2014 The Royal Society of Chemistry.","container-title":"Green Chemistry","DOI":"10.1039/c3gc42041h","ISSN":"14639270","issue":"2","page":"897–910","title":"Noble-metal catalyzed hydrodeoxygenation of biomass-derived lignin to aromatic hydrocarbons","volume":"16","author":[{"family":"Laskar","given":"Dhrubojyoti D."},{"family":"Tucker","given":"Melvin P."},{"family":"Chen","given":"Xiaowen"},{"family":"Helms","given":"Gregory L."},{"family":"Yang","given":"Bin"}],"issued":{"date-parts":[["2014"]]}}}],"schema":"https://github.com/citation-style-language/schema/raw/master/csl-citation.json"} </w:instrText>
      </w:r>
      <w:r>
        <w:fldChar w:fldCharType="separate"/>
      </w:r>
      <w:r w:rsidRPr="00626784">
        <w:t xml:space="preserve">Laskar et al. </w:t>
      </w:r>
      <w:r>
        <w:t>(</w:t>
      </w:r>
      <w:r w:rsidRPr="00626784">
        <w:t>2014)</w:t>
      </w:r>
      <w:r>
        <w:fldChar w:fldCharType="end"/>
      </w:r>
      <w:r w:rsidR="00097314">
        <w:t xml:space="preserve"> studied the </w:t>
      </w:r>
      <w:r w:rsidR="000B73B1">
        <w:t xml:space="preserve">distribution </w:t>
      </w:r>
      <w:r w:rsidR="006E2602">
        <w:t>types of linkages</w:t>
      </w:r>
      <w:r w:rsidR="000B73B1">
        <w:t xml:space="preserve"> in different types of lignin. With this information, it is possible to state that the aryl-ether linkage (β-O-4) is the most abundant bond in the polymer structure, followed by the β-1 linkage. On the other hand, given the lignin depolymerization processes, it can be assumed that the β-O-4 bond is the weakest since it is likely to be attacked by the different depolymerizing agents.</w:t>
      </w:r>
      <w:r>
        <w:t xml:space="preserve"> </w:t>
      </w:r>
      <w:r w:rsidR="000B73B1">
        <w:t xml:space="preserve">Hence, known the variable composition of lignin and, to introduce its chemical structure into the </w:t>
      </w:r>
      <w:r w:rsidR="000B73B1">
        <w:lastRenderedPageBreak/>
        <w:t xml:space="preserve">software, a battery of oligomers of between 3 and 4 monolignols with different kinds of linkages are used. As depicted in the figure below, seven different oligomers were designed with different monomer ratios (MR) and linkages ratios (LR). Each one of these is described in Table </w:t>
      </w:r>
      <w:r w:rsidR="009134E6">
        <w:t>1</w:t>
      </w:r>
      <w:r w:rsidR="000B73B1">
        <w:t>.</w:t>
      </w:r>
      <w:r w:rsidR="00F965A9">
        <w:t xml:space="preserve"> </w:t>
      </w:r>
      <w:r>
        <w:t xml:space="preserve">The main advantage of using a battery of oligomers instead of a single molecule lies in the fact that there are hundreds of different </w:t>
      </w:r>
      <w:proofErr w:type="spellStart"/>
      <w:r>
        <w:t>lignins</w:t>
      </w:r>
      <w:proofErr w:type="spellEnd"/>
      <w:r>
        <w:t>, with diverse monomers ratio and linkages ratio. Thus, representing lig</w:t>
      </w:r>
      <w:r>
        <w:t>nin by employing different types of oligomers allows us to define certain mixtures during the design phase, enabling us to carry out approximation processes to obtain models in line with the kind of lignin desired.</w:t>
      </w:r>
      <w:r w:rsidR="00F965A9">
        <w:t xml:space="preserve"> </w:t>
      </w:r>
      <w:r>
        <w:t>To determine the correct thermodynamic properties that represent lignin, it is necessary to assign accurate characteristics to each oligomer. To begin with, oligomers are defined as solids in Aspen Plus, hence, for temperature-sensitive properties such as heat capacity and density, the values rep</w:t>
      </w:r>
      <w:r>
        <w:t xml:space="preserve">orted in the article by </w:t>
      </w:r>
      <w:r>
        <w:fldChar w:fldCharType="begin"/>
      </w:r>
      <w:r w:rsidR="00285D6C">
        <w:instrText xml:space="preserve"> ADDIN ZOTERO_ITEM CSL_CITATION {"citationID":"W5b9C1y3","properties":{"formattedCitation":"(Wooley and Putsche, 1996)","plainCitation":"(Wooley and Putsche, 1996)","dontUpdate":true,"noteIndex":0},"citationItems":[{"id":110,"uris":["http://zotero.org/users/10649518/items/D5C8EBNT"],"itemData":{"id":110,"type":"article-journal","abstract":"Physical property data for many of the key components used in the simulation for the ethanol from lignocellulose process are not available in the standard ASPEN PLUS property databases. Indeed, many of the properties necessary to successfully simulate this process are not available anywhere. In addition, inputting the available properties into each simulation is awkward and tedious, and mistakes can be easily introduced when a long list of physical property equation parameters is entered. Therefore, we must evaluate the literature, estimate properties where necessary, and determine a set of consistent physical properties for all of the components of interest. The components must then be entered into an in-house NREL ASPEN PLUS database so they can be called upon without being retyped into each specific simulation. The first phase of this work has been completed. A complete set of properties for the currently identifiable important compounds in the ethanol process is attached. With this as the starting base we can continue to search for and evaluate new properties or have properties measured in the laboratory and update the central database.","container-title":"Victoria","issue":"April","note":"ISBN: NREL/TP–425-20685","page":"1–38","title":"Development of an ASPEN PLUS Physical Property Database for Biofuels Components","author":[{"family":"Wooley","given":"Robert J."},{"family":"Putsche","given":"Victoria"}],"issued":{"date-parts":[["1996"]]}}}],"schema":"https://github.com/citation-style-language/schema/raw/master/csl-citation.json"} </w:instrText>
      </w:r>
      <w:r>
        <w:fldChar w:fldCharType="separate"/>
      </w:r>
      <w:r w:rsidRPr="00C1770B">
        <w:t xml:space="preserve">Wooley and Putsche </w:t>
      </w:r>
      <w:r>
        <w:t>(</w:t>
      </w:r>
      <w:r w:rsidRPr="00C1770B">
        <w:t>1996)</w:t>
      </w:r>
      <w:r>
        <w:fldChar w:fldCharType="end"/>
      </w:r>
      <w:r>
        <w:t xml:space="preserve"> are employed. Finally, for the definition of the solid enthalpy of formation at 298 K and the standard Gibbs free energy, the values obtained by </w:t>
      </w:r>
      <w:r w:rsidR="00285D6C">
        <w:fldChar w:fldCharType="begin"/>
      </w:r>
      <w:r w:rsidR="003F1CD1">
        <w:instrText xml:space="preserve"> ADDIN ZOTERO_ITEM CSL_CITATION {"citationID":"WmBhKoxj","properties":{"formattedCitation":"(Azad et al., 2020)","plainCitation":"(Azad et al., 2020)","dontUpdate":true,"noteIndex":0},"citationItems":[{"id":4509,"uris":["http://zotero.org/users/10649518/items/EUU5GIW2"],"itemData":{"id":4509,"type":"article-journal","abstract":"The abundance, carbon content, and functionalized nature of lignin make it a promising candidate for targeted valorization to fuels and polymer composites. While lignin modeling by the application of computational chemistry is an active area of research, electronic structure methods have been limited mainly to structures in the dimeric or trimeric range. In this study, we have modeled a lignin structure composed of 10 β-O-4′ linked guaiacyl (G) units, such that this work represents, to the best of our knowledge, the largest structure that has been examined to date using quantum mechanical calculations. As such, this work can provide information on a model, the size of which is more representative of the lignin polymer than has been previously reported. We have calculated bond dissociation enthalpy (BDE) for the homolytic cleavage reaction between each G unit in our model lignin oligomer, which occurs as one of the initial reactions during lignin pyrolysis. The objective of the current work was to determine how or if reactivity within the oligomer changes as a function of bond cleaving position within the chain. The methods used were classical molecular mechanics for conformational sampling and quantum mechanically based density functional theory (DFT) calculations. We have developed a novel and robust method for conformational sampling, which maps the conformational energy landscape efficiently and provides multiple low-energy structures that are then used to determine the BDE values by DFT. Our results for BDE calculations of lignin exhibit significant position dependence along the oligomer chain. To the best of our knowledge, we have reported for the first time the calculated standard thermodynamic properties including enthalpy of formation, heat capacity, entropy, and Gibbs free energy. Despite using a simplified model lignin oligomer structure, our calculated values for standard thermodynamic properties have a remarkable agreement with the experimental values.","container-title":"Energy &amp; Fuels","DOI":"10.1021/acs.energyfuels.0c01573","ISSN":"0887-0624","issue":"8","journalAbbreviation":"Energy Fuels","note":"publisher: American Chemical Society","page":"9709-9724","source":"ACS Publications","title":"Model Lignin Oligomer Pyrolysis: Coupled Conformational and Thermodynamic Analysis of β-O-4′ Bond Cleavage","title-short":"Model Lignin Oligomer Pyrolysis","volume":"34","author":[{"family":"Azad","given":"Tanzina"},{"family":"Schuler","given":"Jonathan D."},{"family":"Auad","given":"Maria L."},{"family":"Elder","given":"Thomas"},{"family":"Adamczyk","given":"Andrew J."}],"issued":{"date-parts":[["2020",8,20]]}}}],"schema":"https://github.com/citation-style-language/schema/raw/master/csl-citation.json"} </w:instrText>
      </w:r>
      <w:r w:rsidR="00285D6C">
        <w:fldChar w:fldCharType="separate"/>
      </w:r>
      <w:r w:rsidR="00285D6C" w:rsidRPr="00285D6C">
        <w:t xml:space="preserve">Azad et al. </w:t>
      </w:r>
      <w:r w:rsidR="00285D6C">
        <w:t>(</w:t>
      </w:r>
      <w:r w:rsidR="00285D6C" w:rsidRPr="00285D6C">
        <w:t>2020)</w:t>
      </w:r>
      <w:r w:rsidR="00285D6C">
        <w:fldChar w:fldCharType="end"/>
      </w:r>
      <w:r>
        <w:t xml:space="preserve">, are employed. In this paper, </w:t>
      </w:r>
      <w:r w:rsidR="00285D6C">
        <w:t>authors</w:t>
      </w:r>
      <w:r>
        <w:t xml:space="preserve"> modeled a lignin oligomer consisting of ten coniferyl units linked through nine β-O-4 bonds. In addition, they calculated standard thermodynamic properties, including enthalpy of formation, entropy, and Gibbs free energy for a wide range of temperatures from 25 K to 1000 K and for oligomers ranging from one to ten monomer units. Thermodynamic properties are obtained through experimental techniques, classical approaches (i.e., equation of state and GE model) and computa</w:t>
      </w:r>
      <w:r>
        <w:t xml:space="preserve">tional approaches </w:t>
      </w:r>
      <w:r w:rsidR="00285D6C">
        <w:fldChar w:fldCharType="begin"/>
      </w:r>
      <w:r w:rsidR="003F1CD1">
        <w:instrText xml:space="preserve"> ADDIN ZOTERO_ITEM CSL_CITATION {"citationID":"KxCJNYbC","properties":{"formattedCitation":"(Azad et al., 2020)","plainCitation":"(Azad et al., 2020)","noteIndex":0},"citationItems":[{"id":4509,"uris":["http://zotero.org/users/10649518/items/EUU5GIW2"],"itemData":{"id":4509,"type":"article-journal","abstract":"The abundance, carbon content, and functionalized nature of lignin make it a promising candidate for targeted valorization to fuels and polymer composites. While lignin modeling by the application of computational chemistry is an active area of research, electronic structure methods have been limited mainly to structures in the dimeric or trimeric range. In this study, we have modeled a lignin structure composed of 10 β-O-4′ linked guaiacyl (G) units, such that this work represents, to the best of our knowledge, the largest structure that has been examined to date using quantum mechanical calculations. As such, this work can provide information on a model, the size of which is more representative of the lignin polymer than has been previously reported. We have calculated bond dissociation enthalpy (BDE) for the homolytic cleavage reaction between each G unit in our model lignin oligomer, which occurs as one of the initial reactions during lignin pyrolysis. The objective of the current work was to determine how or if reactivity within the oligomer changes as a function of bond cleaving position within the chain. The methods used were classical molecular mechanics for conformational sampling and quantum mechanically based density functional theory (DFT) calculations. We have developed a novel and robust method for conformational sampling, which maps the conformational energy landscape efficiently and provides multiple low-energy structures that are then used to determine the BDE values by DFT. Our results for BDE calculations of lignin exhibit significant position dependence along the oligomer chain. To the best of our knowledge, we have reported for the first time the calculated standard thermodynamic properties including enthalpy of formation, heat capacity, entropy, and Gibbs free energy. Despite using a simplified model lignin oligomer structure, our calculated values for standard thermodynamic properties have a remarkable agreement with the experimental values.","container-title":"Energy &amp; Fuels","DOI":"10.1021/acs.energyfuels.0c01573","ISSN":"0887-0624","issue":"8","journalAbbreviation":"Energy Fuels","note":"publisher: American Chemical Society","page":"9709-9724","source":"ACS Publications","title":"Model Lignin Oligomer Pyrolysis: Coupled Conformational and Thermodynamic Analysis of β-O-4′ Bond Cleavage","title-short":"Model Lignin Oligomer Pyrolysis","volume":"34","author":[{"family":"Azad","given":"Tanzina"},{"family":"Schuler","given":"Jonathan D."},{"family":"Auad","given":"Maria L."},{"family":"Elder","given":"Thomas"},{"family":"Adamczyk","given":"Andrew J."}],"issued":{"date-parts":[["2020",8,20]]}}}],"schema":"https://github.com/citation-style-language/schema/raw/master/csl-citation.json"} </w:instrText>
      </w:r>
      <w:r w:rsidR="00285D6C">
        <w:fldChar w:fldCharType="separate"/>
      </w:r>
      <w:r w:rsidR="00285D6C" w:rsidRPr="00285D6C">
        <w:t>(Azad et al., 2020)</w:t>
      </w:r>
      <w:r w:rsidR="00285D6C">
        <w:fldChar w:fldCharType="end"/>
      </w:r>
      <w:r>
        <w:t>.</w:t>
      </w:r>
    </w:p>
    <w:p w14:paraId="144DE69D" w14:textId="243FB50B" w:rsidR="008D2649" w:rsidRDefault="00201D35" w:rsidP="008D2649">
      <w:pPr>
        <w:pStyle w:val="Els-2ndorder-head"/>
      </w:pPr>
      <w:r w:rsidRPr="00507E70">
        <w:t>Hydrogenation of lignin in an equilibrium reactor</w:t>
      </w:r>
      <w:r>
        <w:t xml:space="preserve"> </w:t>
      </w:r>
    </w:p>
    <w:p w14:paraId="6C8844B2" w14:textId="3D993DE2" w:rsidR="00FA4CFF" w:rsidRDefault="00201D35" w:rsidP="00507E70">
      <w:pPr>
        <w:pStyle w:val="Els-body-text"/>
      </w:pPr>
      <w:r w:rsidRPr="00FA4CFF">
        <w:t xml:space="preserve">Following the modelling of lignin, the design of a set of reactions to carry out the depolymerization and hydrogenation of the oligomers </w:t>
      </w:r>
      <w:proofErr w:type="gramStart"/>
      <w:r w:rsidRPr="00FA4CFF">
        <w:t>has to</w:t>
      </w:r>
      <w:proofErr w:type="gramEnd"/>
      <w:r w:rsidRPr="00FA4CFF">
        <w:t xml:space="preserve"> be performed. For this purpose, two equilibrium reactors were used. The stoichiometric matrix was employed to calculate the number of independent reactions required for each reactor.</w:t>
      </w:r>
      <w:r w:rsidR="004332CF">
        <w:t xml:space="preserve"> The main objective of this reactor is to produce the depolymerization of the oligomers so that the complete hydrogenation process can be carried out in the next reactor. It should be noted that all the reactions present in this first set are exothermic. Between the first and the second reactor, the non-depolymerized oligomers are separated, while the products and the unreacted hydrogen encounter are subject to a second set of reactions, shown in Figure 1, to finally obtain the ultimate hydrogenation products. </w:t>
      </w:r>
      <w:r w:rsidR="004332CF" w:rsidRPr="00E42FB5">
        <w:t>Subsequently, another 15 reactions are added, leading to a total of 25 reactions and 28 possible products. Among the added reactions, the most remarkable ones are the production of alkyl phenolics, such as Cresol, and the generation of various types of cyclic and linear alkanes, which are products of interest in the hydrogenation of lignin. In addition, reactions for the generation of aromatic aldehydes, such as p-hydroxybenzaldehyde, vanillin and syringaldehyde, were also included. Finally, there is also the generation of oxygenated gaseous products (CO and CO</w:t>
      </w:r>
      <w:r w:rsidR="004332CF" w:rsidRPr="00CB44C0">
        <w:rPr>
          <w:vertAlign w:val="subscript"/>
        </w:rPr>
        <w:t>2</w:t>
      </w:r>
      <w:r w:rsidR="004332CF" w:rsidRPr="00E42FB5">
        <w:t xml:space="preserve">) and organic acids, such as acetic acid and formic acid. </w:t>
      </w:r>
    </w:p>
    <w:p w14:paraId="75A43F8D" w14:textId="77777777" w:rsidR="008405AC" w:rsidRDefault="00201D35" w:rsidP="008405AC">
      <w:pPr>
        <w:pStyle w:val="Els-2ndorder-head"/>
      </w:pPr>
      <w:r w:rsidRPr="0044097F">
        <w:t>Experimental data fitting</w:t>
      </w:r>
    </w:p>
    <w:p w14:paraId="3926FEF5" w14:textId="77777777" w:rsidR="008405AC" w:rsidRDefault="00201D35" w:rsidP="008405AC">
      <w:pPr>
        <w:pStyle w:val="Els-body-text"/>
      </w:pPr>
      <w:r>
        <w:t xml:space="preserve">Given the set of reactions and their known behavior inside the equilibrium reactor, it is possible to use the "temperature approach" to </w:t>
      </w:r>
      <w:proofErr w:type="gramStart"/>
      <w:r>
        <w:t>take into account</w:t>
      </w:r>
      <w:proofErr w:type="gramEnd"/>
      <w:r>
        <w:t xml:space="preserve"> non-equilibrium conditions. This method enables modification of the temperature at which the equilibrium constants of each reaction are calculated with the objective of fitting the results obtained in the second reactor to the experimental data available in the literature. In particular, in the present project, the approximation has been carried out by employing the data obtained in </w:t>
      </w:r>
      <w:r>
        <w:fldChar w:fldCharType="begin"/>
      </w:r>
      <w:r>
        <w:instrText xml:space="preserve"> ADDIN ZOTERO_ITEM CSL_CITATION {"citationID":"XK43sZuE","properties":{"formattedCitation":"(Kumar et al., 2015)","plainCitation":"(Kumar et al., 2015)","dontUpdate":true,"noteIndex":0},"citationItems":[{"id":60,"uris":["http://zotero.org/users/10649518/items/2WUKYLCE"],"itemData":{"id":60,"type":"article-journal","abstract":"The catalytic hydrotreatment of Kraft lignin using sulfided NiMo and CoMo catalysts on different acidic and basic supports (Al\n              2\n              O\n              3\n     </w:instrText>
      </w:r>
      <w:r>
        <w:instrText xml:space="preserve">         , ZSM-5, activated carbon (AC) and MgO-La\n              2\n              O\n              3\n              ) was studied in the absence of a solvent.\n            \n          , \n            \n              The catalytic hydrotreatment of Kraft lignin using sulfided NiMo and CoMo catalysts on different acidic and basic supports (Al\n              2\n              O\n              3\n              , ZSM-5, activated carbon (AC) and MgO-La\n              2\n              O\n              3\n        </w:instrText>
      </w:r>
      <w:r>
        <w:instrText xml:space="preserve">      ) was studied in the absence of a solvent. Experiments were carried out in a batch set-up at a reaction temperature of 350 °C, 4 h and 100 bar initial H\n              2\n              pressure. The catalysts before and after reaction were characterized by X-ray diffraction, temperature programmed desorption of ammonia/CO\n              2\n              , BET surface area and scanning electron microscopy. The liquid products were fractionated and analyzed extensively by different techniques such as GP</w:instrText>
      </w:r>
      <w:r>
        <w:instrText xml:space="preserve">C, GC-MS-FID, GC-TCD, FT-IR,\n              13\n              C-NMR and elemental analyses. Two dimensional gas chromatography (GC × GC-FID) was applied to identify distinct groups of compounds (aromatics, alkylphenolics, alkanes) after reaction, and product quantification was performed based on this method. Catalyst activity is a function of the support and increased in the order Al\n              2\n              O\n              3\n              &lt; ZSM-5 &lt; AC = MgO-La\n              2\n              O\n  </w:instrText>
      </w:r>
      <w:r>
        <w:instrText xml:space="preserve">            3\n              . In addition, the support also largely influenced the extent of depolymerization and monomer yield. The highest lignin oil yields were obtained using the sulfided NiMo supported on activated carbon and MgO-La\n              2\n              O\n              3\n              . The highest total monomer yield 26.4 wt% on lignin intake, which included 15.7 wt% alkyl-phenolics was obtained using the sulfided NiMo/MgO-La\n              2\n              O\n              3\n          </w:instrText>
      </w:r>
      <w:r>
        <w:instrText xml:space="preserve">    catalyst.","container-title":"Green Chemistry","DOI":"10.1039/C5GC01641J","ISSN":"1463-9262, 1463-9270","issue":"11","journalAbbreviation":"Green Chem.","language":"en","page":"4921-4930","source":"DOI.org (Crossref)","title":"Solvent free depolymerization of Kraft lignin to alkyl-phenolics using supported NiMo and CoMo catalysts","volume":"17","author":[{"family":"Kumar","given":"Chowdari Ramesh"},{"family":"Anand","given":"Narani"},{"family":"Kloekhorst","given":"Arjan"},{"family":"Cannilla","given":"</w:instrText>
      </w:r>
      <w:r>
        <w:instrText xml:space="preserve">Catia"},{"family":"Bonura","given":"Giuseppe"},{"family":"Frusteri","given":"Francesco"},{"family":"Barta","given":"Katalin"},{"family":"Heeres","given":"Hero Jan"}],"issued":{"date-parts":[["2015"]]}}}],"schema":"https://github.com/citation-style-language/schema/raw/master/csl-citation.json"} </w:instrText>
      </w:r>
      <w:r>
        <w:fldChar w:fldCharType="separate"/>
      </w:r>
      <w:r w:rsidRPr="003F1CD1">
        <w:t xml:space="preserve">Kumar et al. </w:t>
      </w:r>
      <w:r>
        <w:t>(</w:t>
      </w:r>
      <w:r w:rsidRPr="003F1CD1">
        <w:t>2015)</w:t>
      </w:r>
      <w:r>
        <w:fldChar w:fldCharType="end"/>
      </w:r>
      <w:r>
        <w:t>. The investigation mentioned uses a known type of Kraft lignin, called "Indulin-AT", and carries out its hydrogenation process by making use of different kinds of catalysts and supports.</w:t>
      </w:r>
    </w:p>
    <w:p w14:paraId="6C566116" w14:textId="55ADA955" w:rsidR="00507E70" w:rsidRDefault="00201D35" w:rsidP="00507E70">
      <w:pPr>
        <w:pStyle w:val="Els-body-text"/>
      </w:pPr>
      <w:r>
        <w:rPr>
          <w:noProof/>
        </w:rPr>
        <w:lastRenderedPageBreak/>
        <w:drawing>
          <wp:inline distT="0" distB="0" distL="0" distR="0" wp14:anchorId="78F2EB5F" wp14:editId="1A3C902D">
            <wp:extent cx="3432016" cy="3319325"/>
            <wp:effectExtent l="0" t="0" r="0" b="0"/>
            <wp:docPr id="14134667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466719"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05233" cy="3390138"/>
                    </a:xfrm>
                    <a:prstGeom prst="rect">
                      <a:avLst/>
                    </a:prstGeom>
                    <a:noFill/>
                  </pic:spPr>
                </pic:pic>
              </a:graphicData>
            </a:graphic>
          </wp:inline>
        </w:drawing>
      </w:r>
    </w:p>
    <w:p w14:paraId="0CDA15D1" w14:textId="3E42E356" w:rsidR="00507E70" w:rsidRDefault="00201D35" w:rsidP="00507E70">
      <w:pPr>
        <w:pStyle w:val="Els-body-text"/>
      </w:pPr>
      <w:r w:rsidRPr="000A5CB2">
        <w:t>Figure 1</w:t>
      </w:r>
      <w:r w:rsidR="0038211E">
        <w:t>.</w:t>
      </w:r>
      <w:r w:rsidRPr="000A5CB2">
        <w:t xml:space="preserve"> The set of reactions considered in the first </w:t>
      </w:r>
      <w:proofErr w:type="gramStart"/>
      <w:r w:rsidRPr="000A5CB2">
        <w:t>reactor</w:t>
      </w:r>
      <w:proofErr w:type="gramEnd"/>
    </w:p>
    <w:p w14:paraId="6F6438BC" w14:textId="5CC1BAC4" w:rsidR="00517B91" w:rsidRDefault="00201D35" w:rsidP="00981ADC">
      <w:pPr>
        <w:pStyle w:val="Els-2ndorder-head"/>
      </w:pPr>
      <w:r w:rsidRPr="00981ADC">
        <w:t xml:space="preserve">Optimization method for the Temperature approach parameter </w:t>
      </w:r>
      <w:proofErr w:type="gramStart"/>
      <w:r w:rsidRPr="00981ADC">
        <w:t>fitting</w:t>
      </w:r>
      <w:proofErr w:type="gramEnd"/>
    </w:p>
    <w:p w14:paraId="30D63AAC" w14:textId="6062C489" w:rsidR="00731F5F" w:rsidRDefault="00201D35" w:rsidP="00731F5F">
      <w:pPr>
        <w:pStyle w:val="Els-body-text"/>
      </w:pPr>
      <w:r>
        <w:t xml:space="preserve">As has already been mentioned, the system is constituted by 25 reactions and 28 species, which are initially assumed at chemical equilibrium inside the reactor. </w:t>
      </w:r>
      <w:r w:rsidR="00F472F4">
        <w:t>Within this project, the strategy followed consists of altering that equilibrium by employing the Temperature approach, to obtain yield values that are close to the ones reported in the literature.</w:t>
      </w:r>
      <w:r w:rsidR="003271A1">
        <w:t xml:space="preserve"> In addition, this approach does not require to consider the kinetics involved in this complex reaction network.</w:t>
      </w:r>
      <w:r w:rsidR="000C7CC2">
        <w:t xml:space="preserve"> The procedure described above entails the need to vary the temperature of all 25 reactions present in the system. However, being able to determine the temperature shifts for each reaction is not an easy task. For that reason, the following optimization method was developed. The temperature of 22 out of the 25 reactions was varied, excluding the reactions with O</w:t>
      </w:r>
      <w:r w:rsidR="000C7CC2" w:rsidRPr="00AD3535">
        <w:rPr>
          <w:vertAlign w:val="subscript"/>
        </w:rPr>
        <w:t>2</w:t>
      </w:r>
      <w:r w:rsidR="000C7CC2">
        <w:t xml:space="preserve">. Provided that the oxidation reaction equilibrium is shifted towards the products, the variation of the temperature approach should not have a significant impact on the yield. </w:t>
      </w:r>
    </w:p>
    <w:p w14:paraId="2595B519" w14:textId="77777777" w:rsidR="00731F5F" w:rsidRPr="005F68AB" w:rsidRDefault="00201D35" w:rsidP="000E05E9">
      <w:pPr>
        <w:pStyle w:val="Didascalia"/>
        <w:rPr>
          <w:sz w:val="20"/>
        </w:rPr>
      </w:pPr>
      <w:bookmarkStart w:id="2" w:name="_Ref102493366"/>
      <w:bookmarkStart w:id="3" w:name="_Toc103298386"/>
      <w:r w:rsidRPr="005F68AB">
        <w:rPr>
          <w:sz w:val="20"/>
        </w:rPr>
        <w:t xml:space="preserve">Table </w:t>
      </w:r>
      <w:bookmarkEnd w:id="2"/>
      <w:r w:rsidRPr="005F68AB">
        <w:rPr>
          <w:sz w:val="20"/>
        </w:rPr>
        <w:t xml:space="preserve">2. Lignin and a mixture of oligomers considered in this </w:t>
      </w:r>
      <w:proofErr w:type="gramStart"/>
      <w:r w:rsidRPr="005F68AB">
        <w:rPr>
          <w:sz w:val="20"/>
        </w:rPr>
        <w:t>work</w:t>
      </w:r>
      <w:bookmarkEnd w:id="3"/>
      <w:proofErr w:type="gramEnd"/>
    </w:p>
    <w:tbl>
      <w:tblPr>
        <w:tblW w:w="0" w:type="auto"/>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071"/>
        <w:gridCol w:w="572"/>
        <w:gridCol w:w="2745"/>
        <w:gridCol w:w="2065"/>
      </w:tblGrid>
      <w:tr w:rsidR="003B7C7B" w14:paraId="32A85F09" w14:textId="77777777" w:rsidTr="00A43032">
        <w:trPr>
          <w:trHeight w:val="20"/>
        </w:trPr>
        <w:tc>
          <w:tcPr>
            <w:tcW w:w="0" w:type="auto"/>
            <w:tcBorders>
              <w:top w:val="single" w:sz="4" w:space="0" w:color="auto"/>
              <w:bottom w:val="single" w:sz="4" w:space="0" w:color="auto"/>
            </w:tcBorders>
            <w:shd w:val="clear" w:color="auto" w:fill="auto"/>
            <w:noWrap/>
            <w:hideMark/>
          </w:tcPr>
          <w:p w14:paraId="7B514709" w14:textId="77777777" w:rsidR="00731F5F" w:rsidRPr="006779A8" w:rsidRDefault="00731F5F" w:rsidP="000E05E9">
            <w:pPr>
              <w:keepLines/>
              <w:spacing w:line="360" w:lineRule="auto"/>
              <w:rPr>
                <w:rFonts w:cs="Arial"/>
                <w:color w:val="000000"/>
                <w:sz w:val="18"/>
                <w:szCs w:val="18"/>
                <w:lang w:eastAsia="it-IT"/>
              </w:rPr>
            </w:pPr>
          </w:p>
        </w:tc>
        <w:tc>
          <w:tcPr>
            <w:tcW w:w="0" w:type="auto"/>
            <w:tcBorders>
              <w:top w:val="single" w:sz="4" w:space="0" w:color="auto"/>
              <w:bottom w:val="single" w:sz="4" w:space="0" w:color="auto"/>
            </w:tcBorders>
            <w:shd w:val="clear" w:color="auto" w:fill="auto"/>
            <w:noWrap/>
            <w:vAlign w:val="center"/>
            <w:hideMark/>
          </w:tcPr>
          <w:p w14:paraId="781F24FE" w14:textId="77777777" w:rsidR="00731F5F" w:rsidRPr="006779A8" w:rsidRDefault="00731F5F" w:rsidP="000E05E9">
            <w:pPr>
              <w:keepLines/>
              <w:spacing w:line="360" w:lineRule="auto"/>
              <w:rPr>
                <w:rFonts w:cs="Arial"/>
                <w:color w:val="000000"/>
                <w:sz w:val="18"/>
                <w:szCs w:val="18"/>
                <w:lang w:eastAsia="it-IT"/>
              </w:rPr>
            </w:pPr>
          </w:p>
        </w:tc>
        <w:tc>
          <w:tcPr>
            <w:tcW w:w="0" w:type="auto"/>
            <w:tcBorders>
              <w:top w:val="single" w:sz="4" w:space="0" w:color="auto"/>
              <w:bottom w:val="single" w:sz="4" w:space="0" w:color="auto"/>
            </w:tcBorders>
            <w:shd w:val="clear" w:color="auto" w:fill="auto"/>
            <w:noWrap/>
            <w:vAlign w:val="center"/>
            <w:hideMark/>
          </w:tcPr>
          <w:p w14:paraId="5DDB26DF" w14:textId="77777777" w:rsidR="00731F5F" w:rsidRPr="006779A8" w:rsidRDefault="00201D35" w:rsidP="000E05E9">
            <w:pPr>
              <w:keepLines/>
              <w:spacing w:line="360" w:lineRule="auto"/>
              <w:jc w:val="center"/>
              <w:rPr>
                <w:rFonts w:cs="Arial"/>
                <w:color w:val="000000"/>
                <w:sz w:val="18"/>
                <w:szCs w:val="18"/>
                <w:lang w:eastAsia="it-IT"/>
              </w:rPr>
            </w:pPr>
            <w:r w:rsidRPr="006779A8">
              <w:rPr>
                <w:sz w:val="18"/>
                <w:szCs w:val="18"/>
              </w:rPr>
              <w:fldChar w:fldCharType="begin"/>
            </w:r>
            <w:r w:rsidRPr="006779A8">
              <w:rPr>
                <w:sz w:val="18"/>
                <w:szCs w:val="18"/>
              </w:rPr>
              <w:instrText xml:space="preserve"> ADDIN ZOTERO_ITEM CSL_CITATION {"citationID":"Enrf3Txn","properties":{"formattedCitation":"(Kumar et al., 2015)","plainCitation":"(Kumar et al., 2015)","dontUpdate":true,"noteIndex":0},"citationItems":[{"id":60,"uris":["http://zotero.org/users/10649518/items/2WUKYLCE"],"itemData":{"id":60,"type":"article-journal","abstract":"The catalytic hydrotreatment of Kraft lignin using sulfided NiMo and CoMo catalysts on different acidic and basic supports (Al\n              2\n              O\n              3\n     </w:instrText>
            </w:r>
            <w:r w:rsidRPr="006779A8">
              <w:rPr>
                <w:sz w:val="18"/>
                <w:szCs w:val="18"/>
              </w:rPr>
              <w:instrText xml:space="preserve">         , ZSM-5, activated carbon (AC) and MgO-La\n              2\n              O\n              3\n              ) was studied in the absence of a solvent.\n            \n          , \n            \n              The catalytic hydrotreatment of Kraft lignin using sulfided NiMo and CoMo catalysts on different acidic and basic supports (Al\n              2\n              O\n              3\n              , ZSM-5, activated carbon (AC) and MgO-La\n              2\n              O\n              3\n        </w:instrText>
            </w:r>
            <w:r w:rsidRPr="006779A8">
              <w:rPr>
                <w:sz w:val="18"/>
                <w:szCs w:val="18"/>
              </w:rPr>
              <w:instrText xml:space="preserve">      ) was studied in the absence of a solvent. Experiments were carried out in a batch set-up at a reaction temperature of 350 °C, 4 h and 100 bar initial H\n              2\n              pressure. The catalysts before and after reaction were characterized by X-ray diffraction, temperature programmed desorption of ammonia/CO\n              2\n              , BET surface area and scanning electron microscopy. The liquid products were fractionated and analyzed extensively by different techniques such as GP</w:instrText>
            </w:r>
            <w:r w:rsidRPr="006779A8">
              <w:rPr>
                <w:sz w:val="18"/>
                <w:szCs w:val="18"/>
              </w:rPr>
              <w:instrText xml:space="preserve">C, GC-MS-FID, GC-TCD, FT-IR,\n              13\n              C-NMR and elemental analyses. Two dimensional gas chromatography (GC × GC-FID) was applied to identify distinct groups of compounds (aromatics, alkylphenolics, alkanes) after reaction, and product quantification was performed based on this method. Catalyst activity is a function of the support and increased in the order Al\n              2\n              O\n              3\n              &lt; ZSM-5 &lt; AC = MgO-La\n              2\n              O\n  </w:instrText>
            </w:r>
            <w:r w:rsidRPr="006779A8">
              <w:rPr>
                <w:sz w:val="18"/>
                <w:szCs w:val="18"/>
              </w:rPr>
              <w:instrText xml:space="preserve">            3\n              . In addition, the support also largely influenced the extent of depolymerization and monomer yield. The highest lignin oil yields were obtained using the sulfided NiMo supported on activated carbon and MgO-La\n              2\n              O\n              3\n              . The highest total monomer yield 26.4 wt% on lignin intake, which included 15.7 wt% alkyl-phenolics was obtained using the sulfided NiMo/MgO-La\n              2\n              O\n              3\n          </w:instrText>
            </w:r>
            <w:r w:rsidRPr="006779A8">
              <w:rPr>
                <w:sz w:val="18"/>
                <w:szCs w:val="18"/>
              </w:rPr>
              <w:instrText xml:space="preserve">    catalyst.","container-title":"Green Chemistry","DOI":"10.1039/C5GC01641J","ISSN":"1463-9262, 1463-9270","issue":"11","journalAbbreviation":"Green Chem.","language":"en","page":"4921-4930","source":"DOI.org (Crossref)","title":"Solvent free depolymerization of Kraft lignin to alkyl-phenolics using supported NiMo and CoMo catalysts","volume":"17","author":[{"family":"Kumar","given":"Chowdari Ramesh"},{"family":"Anand","given":"Narani"},{"family":"Kloekhorst","given":"Arjan"},{"family":"Cannilla","given":"</w:instrText>
            </w:r>
            <w:r w:rsidRPr="006779A8">
              <w:rPr>
                <w:sz w:val="18"/>
                <w:szCs w:val="18"/>
              </w:rPr>
              <w:instrText xml:space="preserve">Catia"},{"family":"Bonura","given":"Giuseppe"},{"family":"Frusteri","given":"Francesco"},{"family":"Barta","given":"Katalin"},{"family":"Heeres","given":"Hero Jan"}],"issued":{"date-parts":[["2015"]]}}}],"schema":"https://github.com/citation-style-language/schema/raw/master/csl-citation.json"} </w:instrText>
            </w:r>
            <w:r w:rsidRPr="006779A8">
              <w:rPr>
                <w:sz w:val="18"/>
                <w:szCs w:val="18"/>
              </w:rPr>
              <w:fldChar w:fldCharType="separate"/>
            </w:r>
            <w:r w:rsidRPr="006779A8">
              <w:rPr>
                <w:sz w:val="18"/>
                <w:szCs w:val="18"/>
              </w:rPr>
              <w:t>Kumar et al. (2015)</w:t>
            </w:r>
            <w:r w:rsidRPr="006779A8">
              <w:rPr>
                <w:sz w:val="18"/>
                <w:szCs w:val="18"/>
              </w:rPr>
              <w:fldChar w:fldCharType="end"/>
            </w:r>
          </w:p>
        </w:tc>
        <w:tc>
          <w:tcPr>
            <w:tcW w:w="0" w:type="auto"/>
            <w:tcBorders>
              <w:top w:val="single" w:sz="4" w:space="0" w:color="auto"/>
              <w:bottom w:val="single" w:sz="4" w:space="0" w:color="auto"/>
            </w:tcBorders>
            <w:shd w:val="clear" w:color="auto" w:fill="auto"/>
            <w:noWrap/>
            <w:vAlign w:val="center"/>
            <w:hideMark/>
          </w:tcPr>
          <w:p w14:paraId="3B6F29EE" w14:textId="77777777" w:rsidR="00731F5F" w:rsidRPr="006779A8" w:rsidRDefault="00201D35" w:rsidP="000E05E9">
            <w:pPr>
              <w:keepLines/>
              <w:spacing w:line="360" w:lineRule="auto"/>
              <w:jc w:val="center"/>
              <w:rPr>
                <w:rFonts w:cs="Arial"/>
                <w:color w:val="000000"/>
                <w:sz w:val="18"/>
                <w:szCs w:val="18"/>
                <w:lang w:eastAsia="it-IT"/>
              </w:rPr>
            </w:pPr>
            <w:r w:rsidRPr="006779A8">
              <w:rPr>
                <w:rFonts w:cs="Arial"/>
                <w:color w:val="000000"/>
                <w:sz w:val="18"/>
                <w:szCs w:val="18"/>
                <w:lang w:eastAsia="it-IT"/>
              </w:rPr>
              <w:t>This work</w:t>
            </w:r>
          </w:p>
        </w:tc>
      </w:tr>
      <w:tr w:rsidR="003B7C7B" w14:paraId="5360F626" w14:textId="77777777" w:rsidTr="00A43032">
        <w:trPr>
          <w:trHeight w:val="20"/>
        </w:trPr>
        <w:tc>
          <w:tcPr>
            <w:tcW w:w="0" w:type="auto"/>
            <w:tcBorders>
              <w:top w:val="single" w:sz="4" w:space="0" w:color="auto"/>
            </w:tcBorders>
            <w:shd w:val="clear" w:color="auto" w:fill="auto"/>
            <w:noWrap/>
            <w:hideMark/>
          </w:tcPr>
          <w:p w14:paraId="0052B25E" w14:textId="77777777" w:rsidR="00731F5F" w:rsidRPr="006779A8" w:rsidRDefault="00201D35" w:rsidP="000E05E9">
            <w:pPr>
              <w:keepLines/>
              <w:spacing w:line="360" w:lineRule="auto"/>
              <w:rPr>
                <w:rFonts w:cs="Arial"/>
                <w:color w:val="000000"/>
                <w:sz w:val="18"/>
                <w:szCs w:val="18"/>
                <w:lang w:eastAsia="it-IT"/>
              </w:rPr>
            </w:pPr>
            <w:r w:rsidRPr="006779A8">
              <w:rPr>
                <w:rFonts w:cs="Arial"/>
                <w:color w:val="000000"/>
                <w:sz w:val="18"/>
                <w:szCs w:val="18"/>
                <w:lang w:eastAsia="it-IT"/>
              </w:rPr>
              <w:t>Lignin</w:t>
            </w:r>
          </w:p>
        </w:tc>
        <w:tc>
          <w:tcPr>
            <w:tcW w:w="0" w:type="auto"/>
            <w:tcBorders>
              <w:top w:val="single" w:sz="4" w:space="0" w:color="auto"/>
            </w:tcBorders>
            <w:shd w:val="clear" w:color="auto" w:fill="auto"/>
            <w:noWrap/>
            <w:vAlign w:val="center"/>
            <w:hideMark/>
          </w:tcPr>
          <w:p w14:paraId="7F91684E" w14:textId="77777777" w:rsidR="00731F5F" w:rsidRPr="006779A8" w:rsidRDefault="00731F5F" w:rsidP="000E05E9">
            <w:pPr>
              <w:keepLines/>
              <w:spacing w:line="360" w:lineRule="auto"/>
              <w:rPr>
                <w:rFonts w:cs="Arial"/>
                <w:color w:val="000000"/>
                <w:sz w:val="18"/>
                <w:szCs w:val="18"/>
                <w:lang w:eastAsia="it-IT"/>
              </w:rPr>
            </w:pPr>
          </w:p>
        </w:tc>
        <w:tc>
          <w:tcPr>
            <w:tcW w:w="0" w:type="auto"/>
            <w:tcBorders>
              <w:top w:val="single" w:sz="4" w:space="0" w:color="auto"/>
            </w:tcBorders>
            <w:shd w:val="clear" w:color="auto" w:fill="auto"/>
            <w:noWrap/>
            <w:vAlign w:val="center"/>
            <w:hideMark/>
          </w:tcPr>
          <w:p w14:paraId="085B8655" w14:textId="77777777" w:rsidR="00731F5F" w:rsidRPr="006779A8" w:rsidRDefault="00201D35" w:rsidP="000E05E9">
            <w:pPr>
              <w:keepLines/>
              <w:spacing w:line="360" w:lineRule="auto"/>
              <w:jc w:val="center"/>
              <w:rPr>
                <w:rFonts w:cs="Arial"/>
                <w:color w:val="000000"/>
                <w:sz w:val="18"/>
                <w:szCs w:val="18"/>
                <w:lang w:eastAsia="it-IT"/>
              </w:rPr>
            </w:pPr>
            <w:r w:rsidRPr="006779A8">
              <w:rPr>
                <w:rFonts w:cs="Arial"/>
                <w:color w:val="000000"/>
                <w:sz w:val="18"/>
                <w:szCs w:val="18"/>
                <w:lang w:eastAsia="it-IT"/>
              </w:rPr>
              <w:t>Indulin-AT, Kraft Lignin, Softwood</w:t>
            </w:r>
          </w:p>
        </w:tc>
        <w:tc>
          <w:tcPr>
            <w:tcW w:w="0" w:type="auto"/>
            <w:tcBorders>
              <w:top w:val="single" w:sz="4" w:space="0" w:color="auto"/>
            </w:tcBorders>
            <w:shd w:val="clear" w:color="auto" w:fill="auto"/>
            <w:noWrap/>
            <w:vAlign w:val="center"/>
            <w:hideMark/>
          </w:tcPr>
          <w:p w14:paraId="3A3D0E78" w14:textId="77777777" w:rsidR="00731F5F" w:rsidRPr="006779A8" w:rsidRDefault="00201D35" w:rsidP="000E05E9">
            <w:pPr>
              <w:keepLines/>
              <w:spacing w:line="360" w:lineRule="auto"/>
              <w:jc w:val="center"/>
              <w:rPr>
                <w:rFonts w:cs="Arial"/>
                <w:color w:val="000000"/>
                <w:sz w:val="18"/>
                <w:szCs w:val="18"/>
                <w:lang w:eastAsia="it-IT"/>
              </w:rPr>
            </w:pPr>
            <w:r w:rsidRPr="006779A8">
              <w:rPr>
                <w:rFonts w:cs="Arial"/>
                <w:color w:val="000000"/>
                <w:sz w:val="18"/>
                <w:szCs w:val="18"/>
                <w:lang w:eastAsia="it-IT"/>
              </w:rPr>
              <w:t>33.3 % Lig5 – 66.7% Lig6</w:t>
            </w:r>
          </w:p>
        </w:tc>
      </w:tr>
      <w:tr w:rsidR="003B7C7B" w14:paraId="608CCE63" w14:textId="77777777" w:rsidTr="00A43032">
        <w:trPr>
          <w:trHeight w:val="20"/>
        </w:trPr>
        <w:tc>
          <w:tcPr>
            <w:tcW w:w="0" w:type="auto"/>
            <w:vMerge w:val="restart"/>
            <w:shd w:val="clear" w:color="auto" w:fill="auto"/>
            <w:noWrap/>
            <w:hideMark/>
          </w:tcPr>
          <w:p w14:paraId="49CFE081" w14:textId="77777777" w:rsidR="00731F5F" w:rsidRPr="006779A8" w:rsidRDefault="00201D35" w:rsidP="000E05E9">
            <w:pPr>
              <w:keepLines/>
              <w:spacing w:line="360" w:lineRule="auto"/>
              <w:rPr>
                <w:rFonts w:cs="Arial"/>
                <w:color w:val="000000"/>
                <w:sz w:val="18"/>
                <w:szCs w:val="18"/>
                <w:lang w:eastAsia="it-IT"/>
              </w:rPr>
            </w:pPr>
            <w:r w:rsidRPr="006779A8">
              <w:rPr>
                <w:rFonts w:cs="Arial"/>
                <w:color w:val="000000"/>
                <w:sz w:val="18"/>
                <w:szCs w:val="18"/>
                <w:lang w:eastAsia="it-IT"/>
              </w:rPr>
              <w:t>Composition</w:t>
            </w:r>
          </w:p>
        </w:tc>
        <w:tc>
          <w:tcPr>
            <w:tcW w:w="0" w:type="auto"/>
            <w:shd w:val="clear" w:color="auto" w:fill="auto"/>
            <w:noWrap/>
            <w:vAlign w:val="center"/>
            <w:hideMark/>
          </w:tcPr>
          <w:p w14:paraId="46E48064" w14:textId="77777777" w:rsidR="00731F5F" w:rsidRPr="006779A8" w:rsidRDefault="00201D35" w:rsidP="000E05E9">
            <w:pPr>
              <w:keepLines/>
              <w:spacing w:line="360" w:lineRule="auto"/>
              <w:rPr>
                <w:rFonts w:cs="Arial"/>
                <w:color w:val="000000"/>
                <w:sz w:val="18"/>
                <w:szCs w:val="18"/>
                <w:lang w:eastAsia="it-IT"/>
              </w:rPr>
            </w:pPr>
            <w:r w:rsidRPr="006779A8">
              <w:rPr>
                <w:rFonts w:cs="Arial"/>
                <w:color w:val="000000"/>
                <w:sz w:val="18"/>
                <w:szCs w:val="18"/>
                <w:lang w:eastAsia="it-IT"/>
              </w:rPr>
              <w:t>H</w:t>
            </w:r>
          </w:p>
        </w:tc>
        <w:tc>
          <w:tcPr>
            <w:tcW w:w="0" w:type="auto"/>
            <w:shd w:val="clear" w:color="auto" w:fill="auto"/>
            <w:noWrap/>
            <w:vAlign w:val="center"/>
            <w:hideMark/>
          </w:tcPr>
          <w:p w14:paraId="471E59C3" w14:textId="77777777" w:rsidR="00731F5F" w:rsidRPr="006779A8" w:rsidRDefault="00201D35" w:rsidP="000E05E9">
            <w:pPr>
              <w:keepLines/>
              <w:spacing w:line="360" w:lineRule="auto"/>
              <w:jc w:val="center"/>
              <w:rPr>
                <w:rFonts w:cs="Arial"/>
                <w:color w:val="000000"/>
                <w:sz w:val="18"/>
                <w:szCs w:val="18"/>
                <w:lang w:eastAsia="it-IT"/>
              </w:rPr>
            </w:pPr>
            <w:r w:rsidRPr="006779A8">
              <w:rPr>
                <w:rFonts w:cs="Arial"/>
                <w:color w:val="000000"/>
                <w:sz w:val="18"/>
                <w:szCs w:val="18"/>
                <w:lang w:eastAsia="it-IT"/>
              </w:rPr>
              <w:t>0 %</w:t>
            </w:r>
          </w:p>
        </w:tc>
        <w:tc>
          <w:tcPr>
            <w:tcW w:w="0" w:type="auto"/>
            <w:shd w:val="clear" w:color="auto" w:fill="auto"/>
            <w:noWrap/>
            <w:vAlign w:val="center"/>
            <w:hideMark/>
          </w:tcPr>
          <w:p w14:paraId="72667B15" w14:textId="77777777" w:rsidR="00731F5F" w:rsidRPr="006779A8" w:rsidRDefault="00201D35" w:rsidP="000E05E9">
            <w:pPr>
              <w:keepLines/>
              <w:spacing w:line="360" w:lineRule="auto"/>
              <w:jc w:val="center"/>
              <w:rPr>
                <w:rFonts w:cs="Arial"/>
                <w:color w:val="000000"/>
                <w:sz w:val="18"/>
                <w:szCs w:val="18"/>
                <w:lang w:eastAsia="it-IT"/>
              </w:rPr>
            </w:pPr>
            <w:r w:rsidRPr="006779A8">
              <w:rPr>
                <w:rFonts w:cs="Arial"/>
                <w:color w:val="000000"/>
                <w:sz w:val="18"/>
                <w:szCs w:val="18"/>
                <w:lang w:eastAsia="it-IT"/>
              </w:rPr>
              <w:t>0 %</w:t>
            </w:r>
          </w:p>
        </w:tc>
      </w:tr>
      <w:tr w:rsidR="003B7C7B" w14:paraId="1E15C7C3" w14:textId="77777777" w:rsidTr="00A43032">
        <w:trPr>
          <w:trHeight w:val="20"/>
        </w:trPr>
        <w:tc>
          <w:tcPr>
            <w:tcW w:w="0" w:type="auto"/>
            <w:vMerge/>
            <w:hideMark/>
          </w:tcPr>
          <w:p w14:paraId="14D68C40" w14:textId="77777777" w:rsidR="00731F5F" w:rsidRPr="006779A8" w:rsidRDefault="00731F5F" w:rsidP="000E05E9">
            <w:pPr>
              <w:keepLines/>
              <w:spacing w:line="360" w:lineRule="auto"/>
              <w:rPr>
                <w:rFonts w:cs="Arial"/>
                <w:color w:val="000000"/>
                <w:sz w:val="18"/>
                <w:szCs w:val="18"/>
                <w:lang w:eastAsia="it-IT"/>
              </w:rPr>
            </w:pPr>
          </w:p>
        </w:tc>
        <w:tc>
          <w:tcPr>
            <w:tcW w:w="0" w:type="auto"/>
            <w:shd w:val="clear" w:color="auto" w:fill="auto"/>
            <w:noWrap/>
            <w:vAlign w:val="center"/>
            <w:hideMark/>
          </w:tcPr>
          <w:p w14:paraId="05CF3664" w14:textId="77777777" w:rsidR="00731F5F" w:rsidRPr="006779A8" w:rsidRDefault="00201D35" w:rsidP="000E05E9">
            <w:pPr>
              <w:keepLines/>
              <w:spacing w:line="360" w:lineRule="auto"/>
              <w:rPr>
                <w:rFonts w:cs="Arial"/>
                <w:color w:val="000000"/>
                <w:sz w:val="18"/>
                <w:szCs w:val="18"/>
                <w:lang w:eastAsia="it-IT"/>
              </w:rPr>
            </w:pPr>
            <w:r w:rsidRPr="006779A8">
              <w:rPr>
                <w:rFonts w:cs="Arial"/>
                <w:color w:val="000000"/>
                <w:sz w:val="18"/>
                <w:szCs w:val="18"/>
                <w:lang w:eastAsia="it-IT"/>
              </w:rPr>
              <w:t>G</w:t>
            </w:r>
          </w:p>
        </w:tc>
        <w:tc>
          <w:tcPr>
            <w:tcW w:w="0" w:type="auto"/>
            <w:shd w:val="clear" w:color="auto" w:fill="auto"/>
            <w:noWrap/>
            <w:vAlign w:val="center"/>
            <w:hideMark/>
          </w:tcPr>
          <w:p w14:paraId="79664436" w14:textId="77777777" w:rsidR="00731F5F" w:rsidRPr="006779A8" w:rsidRDefault="00201D35" w:rsidP="000E05E9">
            <w:pPr>
              <w:keepLines/>
              <w:spacing w:line="360" w:lineRule="auto"/>
              <w:jc w:val="center"/>
              <w:rPr>
                <w:rFonts w:cs="Arial"/>
                <w:color w:val="000000"/>
                <w:sz w:val="18"/>
                <w:szCs w:val="18"/>
                <w:lang w:eastAsia="it-IT"/>
              </w:rPr>
            </w:pPr>
            <w:r w:rsidRPr="006779A8">
              <w:rPr>
                <w:rFonts w:cs="Arial"/>
                <w:color w:val="000000"/>
                <w:sz w:val="18"/>
                <w:szCs w:val="18"/>
                <w:lang w:eastAsia="it-IT"/>
              </w:rPr>
              <w:t>90-95 %</w:t>
            </w:r>
          </w:p>
        </w:tc>
        <w:tc>
          <w:tcPr>
            <w:tcW w:w="0" w:type="auto"/>
            <w:shd w:val="clear" w:color="auto" w:fill="auto"/>
            <w:noWrap/>
            <w:vAlign w:val="center"/>
            <w:hideMark/>
          </w:tcPr>
          <w:p w14:paraId="6353BA0F" w14:textId="77777777" w:rsidR="00731F5F" w:rsidRPr="006779A8" w:rsidRDefault="00201D35" w:rsidP="000E05E9">
            <w:pPr>
              <w:keepLines/>
              <w:spacing w:line="360" w:lineRule="auto"/>
              <w:jc w:val="center"/>
              <w:rPr>
                <w:rFonts w:cs="Arial"/>
                <w:color w:val="000000"/>
                <w:sz w:val="18"/>
                <w:szCs w:val="18"/>
                <w:lang w:eastAsia="it-IT"/>
              </w:rPr>
            </w:pPr>
            <w:r w:rsidRPr="006779A8">
              <w:rPr>
                <w:rFonts w:cs="Arial"/>
                <w:color w:val="000000"/>
                <w:sz w:val="18"/>
                <w:szCs w:val="18"/>
                <w:lang w:eastAsia="it-IT"/>
              </w:rPr>
              <w:t>90 %</w:t>
            </w:r>
          </w:p>
        </w:tc>
      </w:tr>
      <w:tr w:rsidR="003B7C7B" w14:paraId="4F4D30F6" w14:textId="77777777" w:rsidTr="00A43032">
        <w:trPr>
          <w:trHeight w:val="20"/>
        </w:trPr>
        <w:tc>
          <w:tcPr>
            <w:tcW w:w="0" w:type="auto"/>
            <w:vMerge/>
            <w:hideMark/>
          </w:tcPr>
          <w:p w14:paraId="449D5669" w14:textId="77777777" w:rsidR="00731F5F" w:rsidRPr="006779A8" w:rsidRDefault="00731F5F" w:rsidP="000E05E9">
            <w:pPr>
              <w:keepLines/>
              <w:spacing w:line="360" w:lineRule="auto"/>
              <w:rPr>
                <w:rFonts w:cs="Arial"/>
                <w:color w:val="000000"/>
                <w:sz w:val="18"/>
                <w:szCs w:val="18"/>
                <w:lang w:eastAsia="it-IT"/>
              </w:rPr>
            </w:pPr>
          </w:p>
        </w:tc>
        <w:tc>
          <w:tcPr>
            <w:tcW w:w="0" w:type="auto"/>
            <w:shd w:val="clear" w:color="auto" w:fill="auto"/>
            <w:noWrap/>
            <w:vAlign w:val="center"/>
            <w:hideMark/>
          </w:tcPr>
          <w:p w14:paraId="6308DA6D" w14:textId="77777777" w:rsidR="00731F5F" w:rsidRPr="006779A8" w:rsidRDefault="00201D35" w:rsidP="000E05E9">
            <w:pPr>
              <w:keepLines/>
              <w:spacing w:line="360" w:lineRule="auto"/>
              <w:rPr>
                <w:rFonts w:cs="Arial"/>
                <w:color w:val="000000"/>
                <w:sz w:val="18"/>
                <w:szCs w:val="18"/>
                <w:lang w:eastAsia="it-IT"/>
              </w:rPr>
            </w:pPr>
            <w:r w:rsidRPr="006779A8">
              <w:rPr>
                <w:rFonts w:cs="Arial"/>
                <w:color w:val="000000"/>
                <w:sz w:val="18"/>
                <w:szCs w:val="18"/>
                <w:lang w:eastAsia="it-IT"/>
              </w:rPr>
              <w:t>S</w:t>
            </w:r>
          </w:p>
        </w:tc>
        <w:tc>
          <w:tcPr>
            <w:tcW w:w="0" w:type="auto"/>
            <w:shd w:val="clear" w:color="auto" w:fill="auto"/>
            <w:noWrap/>
            <w:vAlign w:val="center"/>
            <w:hideMark/>
          </w:tcPr>
          <w:p w14:paraId="65B07118" w14:textId="77777777" w:rsidR="00731F5F" w:rsidRPr="006779A8" w:rsidRDefault="00201D35" w:rsidP="000E05E9">
            <w:pPr>
              <w:keepLines/>
              <w:spacing w:line="360" w:lineRule="auto"/>
              <w:jc w:val="center"/>
              <w:rPr>
                <w:rFonts w:cs="Arial"/>
                <w:color w:val="000000"/>
                <w:sz w:val="18"/>
                <w:szCs w:val="18"/>
                <w:lang w:eastAsia="it-IT"/>
              </w:rPr>
            </w:pPr>
            <w:r w:rsidRPr="006779A8">
              <w:rPr>
                <w:rFonts w:cs="Arial"/>
                <w:color w:val="000000"/>
                <w:sz w:val="18"/>
                <w:szCs w:val="18"/>
                <w:lang w:eastAsia="it-IT"/>
              </w:rPr>
              <w:t>5-10 %</w:t>
            </w:r>
          </w:p>
        </w:tc>
        <w:tc>
          <w:tcPr>
            <w:tcW w:w="0" w:type="auto"/>
            <w:shd w:val="clear" w:color="auto" w:fill="auto"/>
            <w:noWrap/>
            <w:vAlign w:val="center"/>
            <w:hideMark/>
          </w:tcPr>
          <w:p w14:paraId="3CEF9C55" w14:textId="77777777" w:rsidR="00731F5F" w:rsidRPr="006779A8" w:rsidRDefault="00201D35" w:rsidP="000E05E9">
            <w:pPr>
              <w:keepLines/>
              <w:spacing w:line="360" w:lineRule="auto"/>
              <w:jc w:val="center"/>
              <w:rPr>
                <w:rFonts w:cs="Arial"/>
                <w:color w:val="000000"/>
                <w:sz w:val="18"/>
                <w:szCs w:val="18"/>
                <w:lang w:eastAsia="it-IT"/>
              </w:rPr>
            </w:pPr>
            <w:r w:rsidRPr="006779A8">
              <w:rPr>
                <w:rFonts w:cs="Arial"/>
                <w:color w:val="000000"/>
                <w:sz w:val="18"/>
                <w:szCs w:val="18"/>
                <w:lang w:eastAsia="it-IT"/>
              </w:rPr>
              <w:t>10 %</w:t>
            </w:r>
          </w:p>
        </w:tc>
      </w:tr>
      <w:tr w:rsidR="003B7C7B" w14:paraId="0F48C865" w14:textId="77777777" w:rsidTr="00A43032">
        <w:trPr>
          <w:trHeight w:val="20"/>
        </w:trPr>
        <w:tc>
          <w:tcPr>
            <w:tcW w:w="0" w:type="auto"/>
            <w:vMerge w:val="restart"/>
            <w:shd w:val="clear" w:color="auto" w:fill="auto"/>
            <w:noWrap/>
            <w:hideMark/>
          </w:tcPr>
          <w:p w14:paraId="5F5C1D2A" w14:textId="77777777" w:rsidR="00731F5F" w:rsidRPr="006779A8" w:rsidRDefault="00201D35" w:rsidP="000E05E9">
            <w:pPr>
              <w:keepLines/>
              <w:spacing w:line="360" w:lineRule="auto"/>
              <w:rPr>
                <w:rFonts w:cs="Arial"/>
                <w:color w:val="000000"/>
                <w:sz w:val="18"/>
                <w:szCs w:val="18"/>
                <w:lang w:eastAsia="it-IT"/>
              </w:rPr>
            </w:pPr>
            <w:r w:rsidRPr="006779A8">
              <w:rPr>
                <w:rFonts w:cs="Arial"/>
                <w:color w:val="000000"/>
                <w:sz w:val="18"/>
                <w:szCs w:val="18"/>
                <w:lang w:eastAsia="it-IT"/>
              </w:rPr>
              <w:t>Linkages</w:t>
            </w:r>
          </w:p>
        </w:tc>
        <w:tc>
          <w:tcPr>
            <w:tcW w:w="0" w:type="auto"/>
            <w:shd w:val="clear" w:color="auto" w:fill="auto"/>
            <w:noWrap/>
            <w:vAlign w:val="center"/>
            <w:hideMark/>
          </w:tcPr>
          <w:p w14:paraId="6BD7BF41" w14:textId="77777777" w:rsidR="00731F5F" w:rsidRPr="006779A8" w:rsidRDefault="00201D35" w:rsidP="000E05E9">
            <w:pPr>
              <w:keepLines/>
              <w:spacing w:line="360" w:lineRule="auto"/>
              <w:rPr>
                <w:rFonts w:cs="Arial"/>
                <w:color w:val="000000"/>
                <w:sz w:val="18"/>
                <w:szCs w:val="18"/>
                <w:lang w:eastAsia="it-IT"/>
              </w:rPr>
            </w:pPr>
            <w:r w:rsidRPr="006779A8">
              <w:rPr>
                <w:rFonts w:cs="Arial"/>
                <w:color w:val="000000"/>
                <w:sz w:val="18"/>
                <w:szCs w:val="18"/>
                <w:lang w:eastAsia="it-IT"/>
              </w:rPr>
              <w:t>β-O-4</w:t>
            </w:r>
          </w:p>
        </w:tc>
        <w:tc>
          <w:tcPr>
            <w:tcW w:w="0" w:type="auto"/>
            <w:shd w:val="clear" w:color="auto" w:fill="auto"/>
            <w:noWrap/>
            <w:vAlign w:val="center"/>
            <w:hideMark/>
          </w:tcPr>
          <w:p w14:paraId="4ED10923" w14:textId="77777777" w:rsidR="00731F5F" w:rsidRPr="006779A8" w:rsidRDefault="00201D35" w:rsidP="000E05E9">
            <w:pPr>
              <w:keepLines/>
              <w:spacing w:line="360" w:lineRule="auto"/>
              <w:jc w:val="center"/>
              <w:rPr>
                <w:rFonts w:cs="Arial"/>
                <w:color w:val="000000"/>
                <w:sz w:val="18"/>
                <w:szCs w:val="18"/>
                <w:lang w:eastAsia="it-IT"/>
              </w:rPr>
            </w:pPr>
            <w:r w:rsidRPr="006779A8">
              <w:rPr>
                <w:rFonts w:cs="Arial"/>
                <w:color w:val="000000"/>
                <w:sz w:val="18"/>
                <w:szCs w:val="18"/>
                <w:lang w:eastAsia="it-IT"/>
              </w:rPr>
              <w:t>74 %</w:t>
            </w:r>
          </w:p>
        </w:tc>
        <w:tc>
          <w:tcPr>
            <w:tcW w:w="0" w:type="auto"/>
            <w:shd w:val="clear" w:color="auto" w:fill="auto"/>
            <w:noWrap/>
            <w:vAlign w:val="center"/>
            <w:hideMark/>
          </w:tcPr>
          <w:p w14:paraId="44586C8A" w14:textId="77777777" w:rsidR="00731F5F" w:rsidRPr="006779A8" w:rsidRDefault="00201D35" w:rsidP="000E05E9">
            <w:pPr>
              <w:keepLines/>
              <w:spacing w:line="360" w:lineRule="auto"/>
              <w:jc w:val="center"/>
              <w:rPr>
                <w:rFonts w:cs="Arial"/>
                <w:color w:val="000000"/>
                <w:sz w:val="18"/>
                <w:szCs w:val="18"/>
                <w:lang w:eastAsia="it-IT"/>
              </w:rPr>
            </w:pPr>
            <w:r w:rsidRPr="006779A8">
              <w:rPr>
                <w:rFonts w:cs="Arial"/>
                <w:color w:val="000000"/>
                <w:sz w:val="18"/>
                <w:szCs w:val="18"/>
                <w:lang w:eastAsia="it-IT"/>
              </w:rPr>
              <w:t>71 %</w:t>
            </w:r>
          </w:p>
        </w:tc>
      </w:tr>
      <w:tr w:rsidR="003B7C7B" w14:paraId="0F73AA28" w14:textId="77777777" w:rsidTr="00A43032">
        <w:trPr>
          <w:trHeight w:val="20"/>
        </w:trPr>
        <w:tc>
          <w:tcPr>
            <w:tcW w:w="0" w:type="auto"/>
            <w:vMerge/>
            <w:vAlign w:val="center"/>
            <w:hideMark/>
          </w:tcPr>
          <w:p w14:paraId="763C917F" w14:textId="77777777" w:rsidR="00731F5F" w:rsidRPr="006779A8" w:rsidRDefault="00731F5F" w:rsidP="000E05E9">
            <w:pPr>
              <w:keepLines/>
              <w:spacing w:line="360" w:lineRule="auto"/>
              <w:jc w:val="center"/>
              <w:rPr>
                <w:rFonts w:cs="Arial"/>
                <w:color w:val="000000"/>
                <w:sz w:val="18"/>
                <w:szCs w:val="18"/>
                <w:lang w:eastAsia="it-IT"/>
              </w:rPr>
            </w:pPr>
          </w:p>
        </w:tc>
        <w:tc>
          <w:tcPr>
            <w:tcW w:w="0" w:type="auto"/>
            <w:shd w:val="clear" w:color="auto" w:fill="auto"/>
            <w:noWrap/>
            <w:vAlign w:val="center"/>
            <w:hideMark/>
          </w:tcPr>
          <w:p w14:paraId="0CA6A7EE" w14:textId="77777777" w:rsidR="00731F5F" w:rsidRPr="006779A8" w:rsidRDefault="00201D35" w:rsidP="000E05E9">
            <w:pPr>
              <w:keepLines/>
              <w:spacing w:line="360" w:lineRule="auto"/>
              <w:rPr>
                <w:rFonts w:cs="Arial"/>
                <w:color w:val="000000"/>
                <w:sz w:val="18"/>
                <w:szCs w:val="18"/>
                <w:lang w:eastAsia="it-IT"/>
              </w:rPr>
            </w:pPr>
            <w:r w:rsidRPr="006779A8">
              <w:rPr>
                <w:rFonts w:cs="Arial"/>
                <w:color w:val="000000"/>
                <w:sz w:val="18"/>
                <w:szCs w:val="18"/>
                <w:lang w:eastAsia="it-IT"/>
              </w:rPr>
              <w:t>β-1</w:t>
            </w:r>
          </w:p>
        </w:tc>
        <w:tc>
          <w:tcPr>
            <w:tcW w:w="0" w:type="auto"/>
            <w:shd w:val="clear" w:color="auto" w:fill="auto"/>
            <w:noWrap/>
            <w:vAlign w:val="center"/>
            <w:hideMark/>
          </w:tcPr>
          <w:p w14:paraId="7085136D" w14:textId="77777777" w:rsidR="00731F5F" w:rsidRPr="006779A8" w:rsidRDefault="00201D35" w:rsidP="000E05E9">
            <w:pPr>
              <w:keepLines/>
              <w:spacing w:line="360" w:lineRule="auto"/>
              <w:jc w:val="center"/>
              <w:rPr>
                <w:rFonts w:cs="Arial"/>
                <w:color w:val="000000"/>
                <w:sz w:val="18"/>
                <w:szCs w:val="18"/>
                <w:lang w:eastAsia="it-IT"/>
              </w:rPr>
            </w:pPr>
            <w:r w:rsidRPr="006779A8">
              <w:rPr>
                <w:rFonts w:cs="Arial"/>
                <w:color w:val="000000"/>
                <w:sz w:val="18"/>
                <w:szCs w:val="18"/>
                <w:lang w:eastAsia="it-IT"/>
              </w:rPr>
              <w:t>11 %</w:t>
            </w:r>
          </w:p>
        </w:tc>
        <w:tc>
          <w:tcPr>
            <w:tcW w:w="0" w:type="auto"/>
            <w:shd w:val="clear" w:color="auto" w:fill="auto"/>
            <w:noWrap/>
            <w:vAlign w:val="center"/>
            <w:hideMark/>
          </w:tcPr>
          <w:p w14:paraId="3C471EC1" w14:textId="77777777" w:rsidR="00731F5F" w:rsidRPr="006779A8" w:rsidRDefault="00201D35" w:rsidP="000E05E9">
            <w:pPr>
              <w:keepLines/>
              <w:spacing w:line="360" w:lineRule="auto"/>
              <w:jc w:val="center"/>
              <w:rPr>
                <w:rFonts w:cs="Arial"/>
                <w:color w:val="000000"/>
                <w:sz w:val="18"/>
                <w:szCs w:val="18"/>
                <w:lang w:eastAsia="it-IT"/>
              </w:rPr>
            </w:pPr>
            <w:r w:rsidRPr="006779A8">
              <w:rPr>
                <w:rFonts w:cs="Arial"/>
                <w:color w:val="000000"/>
                <w:sz w:val="18"/>
                <w:szCs w:val="18"/>
                <w:lang w:eastAsia="it-IT"/>
              </w:rPr>
              <w:t>14 %</w:t>
            </w:r>
          </w:p>
        </w:tc>
      </w:tr>
      <w:tr w:rsidR="003B7C7B" w14:paraId="27FB1024" w14:textId="77777777" w:rsidTr="00A43032">
        <w:trPr>
          <w:trHeight w:val="20"/>
        </w:trPr>
        <w:tc>
          <w:tcPr>
            <w:tcW w:w="0" w:type="auto"/>
            <w:vMerge/>
            <w:vAlign w:val="center"/>
            <w:hideMark/>
          </w:tcPr>
          <w:p w14:paraId="6353846A" w14:textId="77777777" w:rsidR="00731F5F" w:rsidRPr="006779A8" w:rsidRDefault="00731F5F" w:rsidP="000E05E9">
            <w:pPr>
              <w:keepLines/>
              <w:spacing w:line="360" w:lineRule="auto"/>
              <w:jc w:val="center"/>
              <w:rPr>
                <w:rFonts w:cs="Arial"/>
                <w:color w:val="000000"/>
                <w:sz w:val="18"/>
                <w:szCs w:val="18"/>
                <w:lang w:eastAsia="it-IT"/>
              </w:rPr>
            </w:pPr>
          </w:p>
        </w:tc>
        <w:tc>
          <w:tcPr>
            <w:tcW w:w="0" w:type="auto"/>
            <w:shd w:val="clear" w:color="auto" w:fill="auto"/>
            <w:noWrap/>
            <w:vAlign w:val="center"/>
            <w:hideMark/>
          </w:tcPr>
          <w:p w14:paraId="160BC614" w14:textId="77777777" w:rsidR="00731F5F" w:rsidRPr="006779A8" w:rsidRDefault="00201D35" w:rsidP="000E05E9">
            <w:pPr>
              <w:keepLines/>
              <w:spacing w:line="360" w:lineRule="auto"/>
              <w:rPr>
                <w:rFonts w:cs="Arial"/>
                <w:color w:val="000000"/>
                <w:sz w:val="18"/>
                <w:szCs w:val="18"/>
                <w:lang w:eastAsia="it-IT"/>
              </w:rPr>
            </w:pPr>
            <w:r w:rsidRPr="006779A8">
              <w:rPr>
                <w:rFonts w:cs="Arial"/>
                <w:color w:val="000000"/>
                <w:sz w:val="18"/>
                <w:szCs w:val="18"/>
                <w:lang w:eastAsia="it-IT"/>
              </w:rPr>
              <w:t>5-5</w:t>
            </w:r>
          </w:p>
        </w:tc>
        <w:tc>
          <w:tcPr>
            <w:tcW w:w="0" w:type="auto"/>
            <w:shd w:val="clear" w:color="auto" w:fill="auto"/>
            <w:noWrap/>
            <w:vAlign w:val="center"/>
            <w:hideMark/>
          </w:tcPr>
          <w:p w14:paraId="5CBAB27F" w14:textId="77777777" w:rsidR="00731F5F" w:rsidRPr="006779A8" w:rsidRDefault="00201D35" w:rsidP="000E05E9">
            <w:pPr>
              <w:keepLines/>
              <w:spacing w:line="360" w:lineRule="auto"/>
              <w:jc w:val="center"/>
              <w:rPr>
                <w:rFonts w:cs="Arial"/>
                <w:color w:val="000000"/>
                <w:sz w:val="18"/>
                <w:szCs w:val="18"/>
                <w:lang w:eastAsia="it-IT"/>
              </w:rPr>
            </w:pPr>
            <w:r w:rsidRPr="006779A8">
              <w:rPr>
                <w:rFonts w:cs="Arial"/>
                <w:color w:val="000000"/>
                <w:sz w:val="18"/>
                <w:szCs w:val="18"/>
                <w:lang w:eastAsia="it-IT"/>
              </w:rPr>
              <w:t>15 %</w:t>
            </w:r>
          </w:p>
        </w:tc>
        <w:tc>
          <w:tcPr>
            <w:tcW w:w="0" w:type="auto"/>
            <w:shd w:val="clear" w:color="auto" w:fill="auto"/>
            <w:noWrap/>
            <w:vAlign w:val="center"/>
            <w:hideMark/>
          </w:tcPr>
          <w:p w14:paraId="015EAC0D" w14:textId="77777777" w:rsidR="00731F5F" w:rsidRPr="006779A8" w:rsidRDefault="00201D35" w:rsidP="000E05E9">
            <w:pPr>
              <w:keepLines/>
              <w:spacing w:line="360" w:lineRule="auto"/>
              <w:jc w:val="center"/>
              <w:rPr>
                <w:rFonts w:cs="Arial"/>
                <w:color w:val="000000"/>
                <w:sz w:val="18"/>
                <w:szCs w:val="18"/>
                <w:lang w:eastAsia="it-IT"/>
              </w:rPr>
            </w:pPr>
            <w:r w:rsidRPr="006779A8">
              <w:rPr>
                <w:rFonts w:cs="Arial"/>
                <w:color w:val="000000"/>
                <w:sz w:val="18"/>
                <w:szCs w:val="18"/>
                <w:lang w:eastAsia="it-IT"/>
              </w:rPr>
              <w:t>14 %</w:t>
            </w:r>
          </w:p>
        </w:tc>
      </w:tr>
    </w:tbl>
    <w:p w14:paraId="39321AEB" w14:textId="778BD845" w:rsidR="00BB15A8" w:rsidRDefault="00201D35" w:rsidP="00BB15A8">
      <w:pPr>
        <w:pStyle w:val="Els-body-text"/>
      </w:pPr>
      <w:r>
        <w:lastRenderedPageBreak/>
        <w:t>On the other hand, O</w:t>
      </w:r>
      <w:r w:rsidRPr="00B030E5">
        <w:rPr>
          <w:vertAlign w:val="subscript"/>
        </w:rPr>
        <w:t>2</w:t>
      </w:r>
      <w:r>
        <w:t xml:space="preserve"> is produced through the hydrolysis of water and as the reactor works with an excess of H</w:t>
      </w:r>
      <w:r w:rsidRPr="00B030E5">
        <w:rPr>
          <w:vertAlign w:val="subscript"/>
        </w:rPr>
        <w:t>2</w:t>
      </w:r>
      <w:r>
        <w:t>, this reaction practically does not take place. To define the objective function, the quadratic errors of the product's yields obtained in Aspen Plus concerning the product's yields given in the literature were calculated. Finally, the objective function is defined as the sum of all the errors.</w:t>
      </w:r>
    </w:p>
    <w:p w14:paraId="144DE6A1" w14:textId="510BDC07" w:rsidR="008D2649" w:rsidRPr="00A94774" w:rsidRDefault="00201D35" w:rsidP="008D2649">
      <w:pPr>
        <w:pStyle w:val="Els-1storder-head"/>
        <w:spacing w:after="120"/>
        <w:rPr>
          <w:lang w:val="en-GB"/>
        </w:rPr>
      </w:pPr>
      <w:r>
        <w:rPr>
          <w:lang w:val="en-GB"/>
        </w:rPr>
        <w:t xml:space="preserve">Thermodynamics approach </w:t>
      </w:r>
      <w:proofErr w:type="spellStart"/>
      <w:r w:rsidR="009E3E58">
        <w:rPr>
          <w:lang w:val="en-GB"/>
        </w:rPr>
        <w:t>modeling</w:t>
      </w:r>
      <w:proofErr w:type="spellEnd"/>
      <w:r w:rsidR="009E3E58">
        <w:rPr>
          <w:lang w:val="en-GB"/>
        </w:rPr>
        <w:t xml:space="preserve"> </w:t>
      </w:r>
      <w:r>
        <w:rPr>
          <w:lang w:val="en-GB"/>
        </w:rPr>
        <w:t>results</w:t>
      </w:r>
    </w:p>
    <w:p w14:paraId="020E469B" w14:textId="05365EC9" w:rsidR="004332CF" w:rsidRPr="002D4954" w:rsidRDefault="00201D35" w:rsidP="004332CF">
      <w:pPr>
        <w:pStyle w:val="Els-body-text"/>
        <w:rPr>
          <w:lang w:val="en-GB"/>
        </w:rPr>
      </w:pPr>
      <w:r>
        <w:rPr>
          <w:lang w:val="en-GB"/>
        </w:rPr>
        <w:t>Before the t</w:t>
      </w:r>
      <w:r w:rsidRPr="002D4954">
        <w:rPr>
          <w:lang w:val="en-GB"/>
        </w:rPr>
        <w:t>emperature approach</w:t>
      </w:r>
      <w:r>
        <w:rPr>
          <w:lang w:val="en-GB"/>
        </w:rPr>
        <w:t xml:space="preserve"> application</w:t>
      </w:r>
      <w:r w:rsidR="005D4BB9">
        <w:rPr>
          <w:lang w:val="en-GB"/>
        </w:rPr>
        <w:t xml:space="preserve">, the </w:t>
      </w:r>
      <w:r w:rsidRPr="002D4954">
        <w:rPr>
          <w:lang w:val="en-GB"/>
        </w:rPr>
        <w:t xml:space="preserve">equilibrium </w:t>
      </w:r>
      <w:r w:rsidR="005D4BB9">
        <w:rPr>
          <w:lang w:val="en-GB"/>
        </w:rPr>
        <w:t xml:space="preserve">reactor was performed </w:t>
      </w:r>
      <w:r w:rsidRPr="002D4954">
        <w:rPr>
          <w:lang w:val="en-GB"/>
        </w:rPr>
        <w:t xml:space="preserve">the lignin </w:t>
      </w:r>
      <w:r w:rsidR="005D4BB9">
        <w:rPr>
          <w:lang w:val="en-GB"/>
        </w:rPr>
        <w:t>wa</w:t>
      </w:r>
      <w:r w:rsidRPr="002D4954">
        <w:rPr>
          <w:lang w:val="en-GB"/>
        </w:rPr>
        <w:t xml:space="preserve">s converted into gas products (i.e., Methane, </w:t>
      </w:r>
      <w:proofErr w:type="gramStart"/>
      <w:r w:rsidRPr="002D4954">
        <w:rPr>
          <w:lang w:val="en-GB"/>
        </w:rPr>
        <w:t>CO</w:t>
      </w:r>
      <w:proofErr w:type="gramEnd"/>
      <w:r w:rsidRPr="002D4954">
        <w:rPr>
          <w:lang w:val="en-GB"/>
        </w:rPr>
        <w:t xml:space="preserve"> and CO</w:t>
      </w:r>
      <w:r w:rsidRPr="005D4BB9">
        <w:rPr>
          <w:vertAlign w:val="subscript"/>
          <w:lang w:val="en-GB"/>
        </w:rPr>
        <w:t>2</w:t>
      </w:r>
      <w:r w:rsidRPr="002D4954">
        <w:rPr>
          <w:lang w:val="en-GB"/>
        </w:rPr>
        <w:t>) and water. The total yield to products greater than 100 % is because this is calculated only considering the weight of lignin.</w:t>
      </w:r>
      <w:r>
        <w:rPr>
          <w:lang w:val="en-GB"/>
        </w:rPr>
        <w:t xml:space="preserve"> </w:t>
      </w:r>
      <w:r w:rsidR="005D4BB9">
        <w:rPr>
          <w:lang w:val="en-GB"/>
        </w:rPr>
        <w:t xml:space="preserve">Using </w:t>
      </w:r>
      <w:r w:rsidR="002D4954" w:rsidRPr="002D4954">
        <w:rPr>
          <w:lang w:val="en-GB"/>
        </w:rPr>
        <w:t xml:space="preserve">the optimization procedure described in </w:t>
      </w:r>
      <w:r w:rsidR="004706FD">
        <w:rPr>
          <w:lang w:val="en-GB"/>
        </w:rPr>
        <w:t xml:space="preserve">the previous section, </w:t>
      </w:r>
      <w:r w:rsidR="00FE37CF">
        <w:rPr>
          <w:lang w:val="en-GB"/>
        </w:rPr>
        <w:t xml:space="preserve">comparison results shown in Figure 2 were obtained. </w:t>
      </w:r>
      <w:r w:rsidRPr="002D4954">
        <w:rPr>
          <w:lang w:val="en-GB"/>
        </w:rPr>
        <w:t xml:space="preserve">The model is a good fit for </w:t>
      </w:r>
      <w:r w:rsidR="00AC068D">
        <w:fldChar w:fldCharType="begin"/>
      </w:r>
      <w:r w:rsidR="00AC068D">
        <w:instrText xml:space="preserve"> ADDIN ZOTERO_ITEM CSL_CITATION {"citationID":"4wFavJEo","properties":{"formattedCitation":"(Kumar et al., 2015)","plainCitation":"(Kumar et al., 2015)","dontUpdate":true,"noteIndex":0},"citationItems":[{"id":60,"uris":["http://zotero.org/users/10649518/items/2WUKYLCE"],"itemData":{"id":60,"type":"article-journal","abstract":"The catalytic hydrotreatment of Kraft lignin using sulfided NiMo and CoMo catalysts on different acidic and basic supports (Al\n              2\n              O\n              3\n              , ZSM-5, activated carbon (AC) and MgO-La\n              2\n              O\n              3\n              ) was studied in the absence of a solvent.\n            \n          , \n            \n              The catalytic hydrotreatment of Kraft lignin using sulfided NiMo and CoMo catalysts on different acidic and basic supports (Al\n              2\n              O\n              3\n              , ZSM-5, activated carbon (AC) and MgO-La\n              2\n              O\n              3\n              ) was studied in the absence of a solvent. Experiments were carried out in a batch set-up at a reaction temperature of 350 °C, 4 h and 100 bar initial H\n              2\n              pressure. The catalysts before and after reaction were characterized by X-ray diffraction, temperature programmed desorption of ammonia/CO\n              2\n              , BET surface area and scanning electron microscopy. The liquid products were fractionated and analyzed extensively by different techniques such as GPC, GC-MS-FID, GC-TCD, FT-IR,\n              13\n              C-NMR and elemental analyses. Two dimensional gas chromatography (GC × GC-FID) was applied to identify distinct groups of compounds (aromatics, alkylphenolics, alkanes) after reaction, and product quantification was performed based on this method. Catalyst activity is a function of the support and increased in the order Al\n              2\n              O\n              3\n              &lt; ZSM-5 &lt; AC = MgO-La\n              2\n              O\n              3\n              . In addition, the support also largely influenced the extent of depolymerization and monomer yield. The highest lignin oil yields were obtained using the sulfided NiMo supported on activated carbon and MgO-La\n              2\n              O\n              3\n              . The highest total monomer yield 26.4 wt% on lignin intake, which included 15.7 wt% alkyl-phenolics was obtained using the sulfided NiMo/MgO-La\n              2\n              O\n              3\n              catalyst.","container-title":"Green Chemistry","DOI":"10.1039/C5GC01641J","ISSN":"1463-9262, 1463-9270","issue":"11","journalAbbreviation":"Green Chem.","language":"en","page":"4921-4930","source":"DOI.org (Crossref)","title":"Solvent free depolymerization of Kraft lignin to alkyl-phenolics using supported NiMo and CoMo catalysts","volume":"17","author":[{"family":"Kumar","given":"Chowdari Ramesh"},{"family":"Anand","given":"Narani"},{"family":"Kloekhorst","given":"Arjan"},{"family":"Cannilla","given":"Catia"},{"family":"Bonura","given":"Giuseppe"},{"family":"Frusteri","given":"Francesco"},{"family":"Barta","given":"Katalin"},{"family":"Heeres","given":"Hero Jan"}],"issued":{"date-parts":[["2015"]]}}}],"schema":"https://github.com/citation-style-language/schema/raw/master/csl-citation.json"} </w:instrText>
      </w:r>
      <w:r w:rsidR="00AC068D">
        <w:fldChar w:fldCharType="separate"/>
      </w:r>
      <w:r w:rsidR="00AC068D" w:rsidRPr="003F1CD1">
        <w:t xml:space="preserve">Kumar et al. </w:t>
      </w:r>
      <w:r w:rsidR="00AC068D">
        <w:t>(</w:t>
      </w:r>
      <w:r w:rsidR="00AC068D" w:rsidRPr="003F1CD1">
        <w:t>2015)</w:t>
      </w:r>
      <w:r w:rsidR="00AC068D">
        <w:fldChar w:fldCharType="end"/>
      </w:r>
      <w:r w:rsidRPr="002D4954">
        <w:rPr>
          <w:lang w:val="en-GB"/>
        </w:rPr>
        <w:t xml:space="preserve"> experimental data, especially when the catalyst </w:t>
      </w:r>
      <w:proofErr w:type="spellStart"/>
      <w:r w:rsidRPr="002D4954">
        <w:rPr>
          <w:lang w:val="en-GB"/>
        </w:rPr>
        <w:t>favors</w:t>
      </w:r>
      <w:proofErr w:type="spellEnd"/>
      <w:r w:rsidRPr="002D4954">
        <w:rPr>
          <w:lang w:val="en-GB"/>
        </w:rPr>
        <w:t xml:space="preserve"> the production of alkyl phenolics and aromatics. </w:t>
      </w:r>
      <w:r w:rsidR="008D1166" w:rsidRPr="002D4954">
        <w:rPr>
          <w:lang w:val="en-GB"/>
        </w:rPr>
        <w:t>However, excessive water production can cause problems for the fit when it is not followed by the simultaneous generation of other compounds.</w:t>
      </w:r>
      <w:r w:rsidR="008D1166">
        <w:rPr>
          <w:lang w:val="en-GB"/>
        </w:rPr>
        <w:t xml:space="preserve"> </w:t>
      </w:r>
      <w:r w:rsidR="008D1166" w:rsidRPr="002D4954">
        <w:rPr>
          <w:lang w:val="en-GB"/>
        </w:rPr>
        <w:t xml:space="preserve">This is observed in the case of </w:t>
      </w:r>
      <w:proofErr w:type="spellStart"/>
      <w:r w:rsidR="008D1166" w:rsidRPr="002D4954">
        <w:rPr>
          <w:lang w:val="en-GB"/>
        </w:rPr>
        <w:t>CoMo</w:t>
      </w:r>
      <w:proofErr w:type="spellEnd"/>
      <w:r w:rsidR="008D1166" w:rsidRPr="002D4954">
        <w:rPr>
          <w:lang w:val="en-GB"/>
        </w:rPr>
        <w:t>/Al</w:t>
      </w:r>
      <w:r w:rsidR="008D1166" w:rsidRPr="00B030E5">
        <w:rPr>
          <w:vertAlign w:val="subscript"/>
          <w:lang w:val="en-GB"/>
        </w:rPr>
        <w:t>2</w:t>
      </w:r>
      <w:r w:rsidR="008D1166" w:rsidRPr="002D4954">
        <w:rPr>
          <w:lang w:val="en-GB"/>
        </w:rPr>
        <w:t>O</w:t>
      </w:r>
      <w:r w:rsidR="008D1166" w:rsidRPr="00B030E5">
        <w:rPr>
          <w:vertAlign w:val="subscript"/>
          <w:lang w:val="en-GB"/>
        </w:rPr>
        <w:t>3</w:t>
      </w:r>
      <w:r w:rsidR="008D1166" w:rsidRPr="002D4954">
        <w:rPr>
          <w:lang w:val="en-GB"/>
        </w:rPr>
        <w:t>, for which the adjustment shows appreciable errors in the amount of water produced.</w:t>
      </w:r>
      <w:r w:rsidR="00D44353">
        <w:rPr>
          <w:lang w:val="en-GB"/>
        </w:rPr>
        <w:t xml:space="preserve"> </w:t>
      </w:r>
      <w:r w:rsidR="00D44353" w:rsidRPr="002D4954">
        <w:rPr>
          <w:lang w:val="en-GB"/>
        </w:rPr>
        <w:t>In the case of NiMo/MgO-La</w:t>
      </w:r>
      <w:r w:rsidR="00D44353" w:rsidRPr="00B030E5">
        <w:rPr>
          <w:vertAlign w:val="subscript"/>
          <w:lang w:val="en-GB"/>
        </w:rPr>
        <w:t>2</w:t>
      </w:r>
      <w:r w:rsidR="00D44353" w:rsidRPr="002D4954">
        <w:rPr>
          <w:lang w:val="en-GB"/>
        </w:rPr>
        <w:t>O</w:t>
      </w:r>
      <w:r w:rsidR="00D44353" w:rsidRPr="00B030E5">
        <w:rPr>
          <w:vertAlign w:val="subscript"/>
          <w:lang w:val="en-GB"/>
        </w:rPr>
        <w:t>3</w:t>
      </w:r>
      <w:r w:rsidR="00D44353" w:rsidRPr="002D4954">
        <w:rPr>
          <w:lang w:val="en-GB"/>
        </w:rPr>
        <w:t>, the best fit can be observed, which has a production of alkyl phenolics as the main product and water and aromatics as by-products.</w:t>
      </w:r>
      <w:r w:rsidR="003271A1">
        <w:rPr>
          <w:lang w:val="en-GB"/>
        </w:rPr>
        <w:t xml:space="preserve"> </w:t>
      </w:r>
      <w:r w:rsidR="003271A1" w:rsidRPr="002D4954">
        <w:rPr>
          <w:lang w:val="en-GB"/>
        </w:rPr>
        <w:t>This also occurs in the case of NiMo/ZSM-5.</w:t>
      </w:r>
      <w:r w:rsidR="003271A1">
        <w:rPr>
          <w:lang w:val="en-GB"/>
        </w:rPr>
        <w:t xml:space="preserve"> </w:t>
      </w:r>
      <w:r w:rsidR="003271A1" w:rsidRPr="002D4954">
        <w:rPr>
          <w:lang w:val="en-GB"/>
        </w:rPr>
        <w:t>This could indicate that using catalysts more selective towards the generation of some product such as alkyl phenolics or aromatics, improves the performance of the model.</w:t>
      </w:r>
    </w:p>
    <w:p w14:paraId="171EB44F" w14:textId="1B008B26" w:rsidR="000D4CDD" w:rsidRDefault="00201D35" w:rsidP="006944D4">
      <w:pPr>
        <w:pStyle w:val="Els-body-text"/>
        <w:keepNext/>
        <w:rPr>
          <w:lang w:val="en-GB"/>
        </w:rPr>
      </w:pPr>
      <w:r w:rsidRPr="00620E48">
        <w:rPr>
          <w:noProof/>
          <w:lang w:val="en-GB"/>
        </w:rPr>
        <mc:AlternateContent>
          <mc:Choice Requires="wps">
            <w:drawing>
              <wp:anchor distT="45720" distB="45720" distL="114300" distR="114300" simplePos="0" relativeHeight="251664384" behindDoc="0" locked="0" layoutInCell="1" allowOverlap="1" wp14:anchorId="2073E125" wp14:editId="18911745">
                <wp:simplePos x="0" y="0"/>
                <wp:positionH relativeFrom="column">
                  <wp:posOffset>2084499</wp:posOffset>
                </wp:positionH>
                <wp:positionV relativeFrom="paragraph">
                  <wp:posOffset>1455420</wp:posOffset>
                </wp:positionV>
                <wp:extent cx="422844" cy="221993"/>
                <wp:effectExtent l="0" t="0" r="0" b="0"/>
                <wp:wrapNone/>
                <wp:docPr id="20157733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4" cy="221993"/>
                        </a:xfrm>
                        <a:prstGeom prst="rect">
                          <a:avLst/>
                        </a:prstGeom>
                        <a:noFill/>
                        <a:ln w="9525">
                          <a:noFill/>
                          <a:miter lim="800000"/>
                          <a:headEnd/>
                          <a:tailEnd/>
                        </a:ln>
                      </wps:spPr>
                      <wps:txbx>
                        <w:txbxContent>
                          <w:p w14:paraId="7DC94F8E" w14:textId="77777777" w:rsidR="006364CD" w:rsidRPr="00620E48" w:rsidRDefault="00201D35" w:rsidP="006364CD">
                            <w:pPr>
                              <w:pStyle w:val="Els-body-text"/>
                              <w:rPr>
                                <w:sz w:val="16"/>
                                <w:szCs w:val="16"/>
                                <w:lang w:val="it-IT"/>
                              </w:rPr>
                            </w:pPr>
                            <w:r w:rsidRPr="00620E48">
                              <w:rPr>
                                <w:sz w:val="16"/>
                                <w:szCs w:val="16"/>
                                <w:lang w:val="it-IT"/>
                              </w:rPr>
                              <w:t>(</w:t>
                            </w:r>
                            <w:r>
                              <w:rPr>
                                <w:sz w:val="16"/>
                                <w:szCs w:val="16"/>
                                <w:lang w:val="it-IT"/>
                              </w:rPr>
                              <w:t>d</w:t>
                            </w:r>
                            <w:r w:rsidRPr="00620E48">
                              <w:rPr>
                                <w:sz w:val="16"/>
                                <w:szCs w:val="16"/>
                                <w:lang w:val="it-IT"/>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2073E125" id="_x0000_t202" coordsize="21600,21600" o:spt="202" path="m,l,21600r21600,l21600,xe">
                <v:stroke joinstyle="miter"/>
                <v:path gradientshapeok="t" o:connecttype="rect"/>
              </v:shapetype>
              <v:shape id="Casella di testo 2" o:spid="_x0000_s1026" type="#_x0000_t202" style="position:absolute;left:0;text-align:left;margin-left:164.15pt;margin-top:114.6pt;width:33.3pt;height: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" filled="f" stroked="f">
                <v:textbox>
                  <w:txbxContent>
                    <w:p w14:paraId="7DC94F8E" w14:textId="77777777" w:rsidR="006364CD" w:rsidRPr="00620E48" w:rsidRDefault="00201D35" w:rsidP="006364CD">
                      <w:pPr>
                        <w:pStyle w:val="Els-body-text"/>
                        <w:rPr>
                          <w:sz w:val="16"/>
                          <w:szCs w:val="16"/>
                          <w:lang w:val="it-IT"/>
                        </w:rPr>
                      </w:pPr>
                      <w:r w:rsidRPr="00620E48">
                        <w:rPr>
                          <w:sz w:val="16"/>
                          <w:szCs w:val="16"/>
                          <w:lang w:val="it-IT"/>
                        </w:rPr>
                        <w:t>(</w:t>
                      </w:r>
                      <w:r>
                        <w:rPr>
                          <w:sz w:val="16"/>
                          <w:szCs w:val="16"/>
                          <w:lang w:val="it-IT"/>
                        </w:rPr>
                        <w:t>d</w:t>
                      </w:r>
                      <w:r w:rsidRPr="00620E48">
                        <w:rPr>
                          <w:sz w:val="16"/>
                          <w:szCs w:val="16"/>
                          <w:lang w:val="it-IT"/>
                        </w:rPr>
                        <w:t>)</w:t>
                      </w:r>
                    </w:p>
                  </w:txbxContent>
                </v:textbox>
              </v:shape>
            </w:pict>
          </mc:Fallback>
        </mc:AlternateContent>
      </w:r>
      <w:r w:rsidRPr="00620E48">
        <w:rPr>
          <w:noProof/>
          <w:lang w:val="en-GB"/>
        </w:rPr>
        <mc:AlternateContent>
          <mc:Choice Requires="wps">
            <w:drawing>
              <wp:anchor distT="45720" distB="45720" distL="114300" distR="114300" simplePos="0" relativeHeight="251662336" behindDoc="0" locked="0" layoutInCell="1" allowOverlap="1" wp14:anchorId="113668D8" wp14:editId="6F60D17A">
                <wp:simplePos x="0" y="0"/>
                <wp:positionH relativeFrom="column">
                  <wp:posOffset>23601</wp:posOffset>
                </wp:positionH>
                <wp:positionV relativeFrom="paragraph">
                  <wp:posOffset>1450513</wp:posOffset>
                </wp:positionV>
                <wp:extent cx="422844" cy="211421"/>
                <wp:effectExtent l="0" t="0" r="0" b="0"/>
                <wp:wrapNone/>
                <wp:docPr id="151536034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4" cy="211421"/>
                        </a:xfrm>
                        <a:prstGeom prst="rect">
                          <a:avLst/>
                        </a:prstGeom>
                        <a:noFill/>
                        <a:ln w="9525">
                          <a:noFill/>
                          <a:miter lim="800000"/>
                          <a:headEnd/>
                          <a:tailEnd/>
                        </a:ln>
                      </wps:spPr>
                      <wps:txbx>
                        <w:txbxContent>
                          <w:p w14:paraId="28C7885E" w14:textId="77777777" w:rsidR="006364CD" w:rsidRPr="00620E48" w:rsidRDefault="00201D35" w:rsidP="006364CD">
                            <w:pPr>
                              <w:pStyle w:val="Els-body-text"/>
                              <w:rPr>
                                <w:sz w:val="16"/>
                                <w:szCs w:val="16"/>
                                <w:lang w:val="it-IT"/>
                              </w:rPr>
                            </w:pPr>
                            <w:r w:rsidRPr="00620E48">
                              <w:rPr>
                                <w:sz w:val="16"/>
                                <w:szCs w:val="16"/>
                                <w:lang w:val="it-IT"/>
                              </w:rPr>
                              <w:t>(</w:t>
                            </w:r>
                            <w:r>
                              <w:rPr>
                                <w:sz w:val="16"/>
                                <w:szCs w:val="16"/>
                                <w:lang w:val="it-IT"/>
                              </w:rPr>
                              <w:t>c</w:t>
                            </w:r>
                            <w:r w:rsidRPr="00620E48">
                              <w:rPr>
                                <w:sz w:val="16"/>
                                <w:szCs w:val="16"/>
                                <w:lang w:val="it-IT"/>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113668D8" id="_x0000_s1027" type="#_x0000_t202" style="position:absolute;left:0;text-align:left;margin-left:1.85pt;margin-top:114.2pt;width:33.3pt;height:16.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" filled="f" stroked="f">
                <v:textbox>
                  <w:txbxContent>
                    <w:p w14:paraId="28C7885E" w14:textId="77777777" w:rsidR="006364CD" w:rsidRPr="00620E48" w:rsidRDefault="00201D35" w:rsidP="006364CD">
                      <w:pPr>
                        <w:pStyle w:val="Els-body-text"/>
                        <w:rPr>
                          <w:sz w:val="16"/>
                          <w:szCs w:val="16"/>
                          <w:lang w:val="it-IT"/>
                        </w:rPr>
                      </w:pPr>
                      <w:r w:rsidRPr="00620E48">
                        <w:rPr>
                          <w:sz w:val="16"/>
                          <w:szCs w:val="16"/>
                          <w:lang w:val="it-IT"/>
                        </w:rPr>
                        <w:t>(</w:t>
                      </w:r>
                      <w:r>
                        <w:rPr>
                          <w:sz w:val="16"/>
                          <w:szCs w:val="16"/>
                          <w:lang w:val="it-IT"/>
                        </w:rPr>
                        <w:t>c</w:t>
                      </w:r>
                      <w:r w:rsidRPr="00620E48">
                        <w:rPr>
                          <w:sz w:val="16"/>
                          <w:szCs w:val="16"/>
                          <w:lang w:val="it-IT"/>
                        </w:rPr>
                        <w:t>)</w:t>
                      </w:r>
                    </w:p>
                  </w:txbxContent>
                </v:textbox>
              </v:shape>
            </w:pict>
          </mc:Fallback>
        </mc:AlternateContent>
      </w:r>
      <w:r w:rsidRPr="00620E48">
        <w:rPr>
          <w:noProof/>
          <w:lang w:val="en-GB"/>
        </w:rPr>
        <mc:AlternateContent>
          <mc:Choice Requires="wps">
            <w:drawing>
              <wp:anchor distT="45720" distB="45720" distL="114300" distR="114300" simplePos="0" relativeHeight="251660288" behindDoc="0" locked="0" layoutInCell="1" allowOverlap="1" wp14:anchorId="70511932" wp14:editId="7240984F">
                <wp:simplePos x="0" y="0"/>
                <wp:positionH relativeFrom="margin">
                  <wp:posOffset>30686</wp:posOffset>
                </wp:positionH>
                <wp:positionV relativeFrom="paragraph">
                  <wp:posOffset>-24130</wp:posOffset>
                </wp:positionV>
                <wp:extent cx="422844" cy="230094"/>
                <wp:effectExtent l="0" t="0" r="0" b="0"/>
                <wp:wrapNone/>
                <wp:docPr id="154709845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4" cy="230094"/>
                        </a:xfrm>
                        <a:prstGeom prst="rect">
                          <a:avLst/>
                        </a:prstGeom>
                        <a:noFill/>
                        <a:ln w="9525">
                          <a:noFill/>
                          <a:miter lim="800000"/>
                          <a:headEnd/>
                          <a:tailEnd/>
                        </a:ln>
                      </wps:spPr>
                      <wps:txbx>
                        <w:txbxContent>
                          <w:p w14:paraId="50CB02E8" w14:textId="77777777" w:rsidR="006364CD" w:rsidRPr="00620E48" w:rsidRDefault="00201D35" w:rsidP="006364CD">
                            <w:pPr>
                              <w:pStyle w:val="Els-body-text"/>
                              <w:rPr>
                                <w:sz w:val="16"/>
                                <w:szCs w:val="16"/>
                                <w:lang w:val="it-IT"/>
                              </w:rPr>
                            </w:pPr>
                            <w:r w:rsidRPr="00620E48">
                              <w:rPr>
                                <w:sz w:val="16"/>
                                <w:szCs w:val="16"/>
                                <w:lang w:val="it-IT"/>
                              </w:rPr>
                              <w:t>(</w:t>
                            </w:r>
                            <w:r>
                              <w:rPr>
                                <w:sz w:val="16"/>
                                <w:szCs w:val="16"/>
                                <w:lang w:val="it-IT"/>
                              </w:rPr>
                              <w:t>a</w:t>
                            </w:r>
                            <w:r w:rsidRPr="00620E48">
                              <w:rPr>
                                <w:sz w:val="16"/>
                                <w:szCs w:val="16"/>
                                <w:lang w:val="it-IT"/>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70511932" id="_x0000_s1028" type="#_x0000_t202" style="position:absolute;left:0;text-align:left;margin-left:2.4pt;margin-top:-1.9pt;width:33.3pt;height:18.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" filled="f" stroked="f">
                <v:textbox>
                  <w:txbxContent>
                    <w:p w14:paraId="50CB02E8" w14:textId="77777777" w:rsidR="006364CD" w:rsidRPr="00620E48" w:rsidRDefault="00201D35" w:rsidP="006364CD">
                      <w:pPr>
                        <w:pStyle w:val="Els-body-text"/>
                        <w:rPr>
                          <w:sz w:val="16"/>
                          <w:szCs w:val="16"/>
                          <w:lang w:val="it-IT"/>
                        </w:rPr>
                      </w:pPr>
                      <w:r w:rsidRPr="00620E48">
                        <w:rPr>
                          <w:sz w:val="16"/>
                          <w:szCs w:val="16"/>
                          <w:lang w:val="it-IT"/>
                        </w:rPr>
                        <w:t>(</w:t>
                      </w:r>
                      <w:r>
                        <w:rPr>
                          <w:sz w:val="16"/>
                          <w:szCs w:val="16"/>
                          <w:lang w:val="it-IT"/>
                        </w:rPr>
                        <w:t>a</w:t>
                      </w:r>
                      <w:r w:rsidRPr="00620E48">
                        <w:rPr>
                          <w:sz w:val="16"/>
                          <w:szCs w:val="16"/>
                          <w:lang w:val="it-IT"/>
                        </w:rPr>
                        <w:t>)</w:t>
                      </w:r>
                    </w:p>
                  </w:txbxContent>
                </v:textbox>
                <w10:wrap anchorx="margin"/>
              </v:shape>
            </w:pict>
          </mc:Fallback>
        </mc:AlternateContent>
      </w:r>
      <w:r w:rsidR="00620E48" w:rsidRPr="00620E48">
        <w:rPr>
          <w:noProof/>
          <w:lang w:val="en-GB"/>
        </w:rPr>
        <mc:AlternateContent>
          <mc:Choice Requires="wps">
            <w:drawing>
              <wp:anchor distT="45720" distB="45720" distL="114300" distR="114300" simplePos="0" relativeHeight="251658240" behindDoc="0" locked="0" layoutInCell="1" allowOverlap="1" wp14:anchorId="3320065C" wp14:editId="6EA0D468">
                <wp:simplePos x="0" y="0"/>
                <wp:positionH relativeFrom="column">
                  <wp:posOffset>2074182</wp:posOffset>
                </wp:positionH>
                <wp:positionV relativeFrom="paragraph">
                  <wp:posOffset>-45253</wp:posOffset>
                </wp:positionV>
                <wp:extent cx="422844" cy="241094"/>
                <wp:effectExtent l="0" t="0" r="0" b="0"/>
                <wp:wrapNone/>
                <wp:docPr id="172733068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4" cy="241094"/>
                        </a:xfrm>
                        <a:prstGeom prst="rect">
                          <a:avLst/>
                        </a:prstGeom>
                        <a:noFill/>
                        <a:ln w="9525">
                          <a:noFill/>
                          <a:miter lim="800000"/>
                          <a:headEnd/>
                          <a:tailEnd/>
                        </a:ln>
                      </wps:spPr>
                      <wps:txbx>
                        <w:txbxContent>
                          <w:p w14:paraId="6EBD6033" w14:textId="77777777" w:rsidR="00620E48" w:rsidRPr="00620E48" w:rsidRDefault="00201D35" w:rsidP="00620E48">
                            <w:pPr>
                              <w:pStyle w:val="Els-body-text"/>
                              <w:rPr>
                                <w:sz w:val="16"/>
                                <w:szCs w:val="16"/>
                                <w:lang w:val="it-IT"/>
                              </w:rPr>
                            </w:pPr>
                            <w:r w:rsidRPr="00620E48">
                              <w:rPr>
                                <w:sz w:val="16"/>
                                <w:szCs w:val="16"/>
                                <w:lang w:val="it-IT"/>
                              </w:rPr>
                              <w:t>(b)</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3320065C" id="_x0000_s1029" type="#_x0000_t202" style="position:absolute;left:0;text-align:left;margin-left:163.3pt;margin-top:-3.55pt;width:33.3pt;height:1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" filled="f" stroked="f">
                <v:textbox>
                  <w:txbxContent>
                    <w:p w14:paraId="6EBD6033" w14:textId="77777777" w:rsidR="00620E48" w:rsidRPr="00620E48" w:rsidRDefault="00201D35" w:rsidP="00620E48">
                      <w:pPr>
                        <w:pStyle w:val="Els-body-text"/>
                        <w:rPr>
                          <w:sz w:val="16"/>
                          <w:szCs w:val="16"/>
                          <w:lang w:val="it-IT"/>
                        </w:rPr>
                      </w:pPr>
                      <w:r w:rsidRPr="00620E48">
                        <w:rPr>
                          <w:sz w:val="16"/>
                          <w:szCs w:val="16"/>
                          <w:lang w:val="it-IT"/>
                        </w:rPr>
                        <w:t>(b)</w:t>
                      </w:r>
                    </w:p>
                  </w:txbxContent>
                </v:textbox>
              </v:shape>
            </w:pict>
          </mc:Fallback>
        </mc:AlternateContent>
      </w:r>
      <w:r w:rsidR="000D4CDD">
        <w:rPr>
          <w:noProof/>
          <w:lang w:val="en-GB"/>
        </w:rPr>
        <w:drawing>
          <wp:inline distT="0" distB="0" distL="0" distR="0" wp14:anchorId="2B018395" wp14:editId="7421B0E2">
            <wp:extent cx="2045508" cy="1511625"/>
            <wp:effectExtent l="0" t="0" r="0" b="0"/>
            <wp:docPr id="123069502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695026"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939" t="1044" r="14832" b="2061"/>
                    <a:stretch>
                      <a:fillRect/>
                    </a:stretch>
                  </pic:blipFill>
                  <pic:spPr bwMode="auto">
                    <a:xfrm>
                      <a:off x="0" y="0"/>
                      <a:ext cx="2070721" cy="1530257"/>
                    </a:xfrm>
                    <a:prstGeom prst="rect">
                      <a:avLst/>
                    </a:prstGeom>
                    <a:noFill/>
                    <a:ln>
                      <a:noFill/>
                    </a:ln>
                    <a:extLst>
                      <a:ext uri="{53640926-AAD7-44D8-BBD7-CCE9431645EC}">
                        <a14:shadowObscured xmlns:a14="http://schemas.microsoft.com/office/drawing/2010/main"/>
                      </a:ext>
                    </a:extLst>
                  </pic:spPr>
                </pic:pic>
              </a:graphicData>
            </a:graphic>
          </wp:inline>
        </w:drawing>
      </w:r>
      <w:r w:rsidR="00411026">
        <w:rPr>
          <w:noProof/>
          <w:lang w:val="en-GB"/>
        </w:rPr>
        <w:drawing>
          <wp:inline distT="0" distB="0" distL="0" distR="0" wp14:anchorId="4B8BD26D" wp14:editId="4E14710B">
            <wp:extent cx="2334734" cy="1463675"/>
            <wp:effectExtent l="0" t="0" r="8890" b="3175"/>
            <wp:docPr id="1830220381"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220381"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l="1323" t="2743" r="1270" b="2198"/>
                    <a:stretch>
                      <a:fillRect/>
                    </a:stretch>
                  </pic:blipFill>
                  <pic:spPr bwMode="auto">
                    <a:xfrm>
                      <a:off x="0" y="0"/>
                      <a:ext cx="2371688" cy="1486842"/>
                    </a:xfrm>
                    <a:prstGeom prst="rect">
                      <a:avLst/>
                    </a:prstGeom>
                    <a:noFill/>
                    <a:ln>
                      <a:noFill/>
                    </a:ln>
                    <a:extLst>
                      <a:ext uri="{53640926-AAD7-44D8-BBD7-CCE9431645EC}">
                        <a14:shadowObscured xmlns:a14="http://schemas.microsoft.com/office/drawing/2010/main"/>
                      </a:ext>
                    </a:extLst>
                  </pic:spPr>
                </pic:pic>
              </a:graphicData>
            </a:graphic>
          </wp:inline>
        </w:drawing>
      </w:r>
    </w:p>
    <w:p w14:paraId="743C9989" w14:textId="063E78B1" w:rsidR="00C24727" w:rsidRDefault="00201D35" w:rsidP="006944D4">
      <w:pPr>
        <w:pStyle w:val="Els-body-text"/>
        <w:keepNext/>
        <w:rPr>
          <w:lang w:val="en-GB"/>
        </w:rPr>
      </w:pPr>
      <w:r>
        <w:rPr>
          <w:noProof/>
          <w:lang w:val="en-GB"/>
        </w:rPr>
        <w:drawing>
          <wp:inline distT="0" distB="0" distL="0" distR="0" wp14:anchorId="01419DD9" wp14:editId="4D51420E">
            <wp:extent cx="2072011" cy="1510352"/>
            <wp:effectExtent l="0" t="0" r="4445" b="0"/>
            <wp:docPr id="19098014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0149"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l="1027" t="1901" r="14328" b="1435"/>
                    <a:stretch>
                      <a:fillRect/>
                    </a:stretch>
                  </pic:blipFill>
                  <pic:spPr bwMode="auto">
                    <a:xfrm>
                      <a:off x="0" y="0"/>
                      <a:ext cx="2106767" cy="1535686"/>
                    </a:xfrm>
                    <a:prstGeom prst="rect">
                      <a:avLst/>
                    </a:prstGeom>
                    <a:noFill/>
                    <a:ln>
                      <a:noFill/>
                    </a:ln>
                    <a:extLst>
                      <a:ext uri="{53640926-AAD7-44D8-BBD7-CCE9431645EC}">
                        <a14:shadowObscured xmlns:a14="http://schemas.microsoft.com/office/drawing/2010/main"/>
                      </a:ext>
                    </a:extLst>
                  </pic:spPr>
                </pic:pic>
              </a:graphicData>
            </a:graphic>
          </wp:inline>
        </w:drawing>
      </w:r>
      <w:r w:rsidR="00E229D6">
        <w:rPr>
          <w:noProof/>
          <w:lang w:val="en-GB"/>
        </w:rPr>
        <w:drawing>
          <wp:inline distT="0" distB="0" distL="0" distR="0" wp14:anchorId="41600414" wp14:editId="1B895546">
            <wp:extent cx="2347511" cy="1478374"/>
            <wp:effectExtent l="0" t="0" r="0" b="7620"/>
            <wp:docPr id="340372818"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72818"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l="1491" t="2611" r="1472" b="2261"/>
                    <a:stretch>
                      <a:fillRect/>
                    </a:stretch>
                  </pic:blipFill>
                  <pic:spPr bwMode="auto">
                    <a:xfrm>
                      <a:off x="0" y="0"/>
                      <a:ext cx="2373753" cy="1494900"/>
                    </a:xfrm>
                    <a:prstGeom prst="rect">
                      <a:avLst/>
                    </a:prstGeom>
                    <a:noFill/>
                    <a:ln>
                      <a:noFill/>
                    </a:ln>
                    <a:extLst>
                      <a:ext uri="{53640926-AAD7-44D8-BBD7-CCE9431645EC}">
                        <a14:shadowObscured xmlns:a14="http://schemas.microsoft.com/office/drawing/2010/main"/>
                      </a:ext>
                    </a:extLst>
                  </pic:spPr>
                </pic:pic>
              </a:graphicData>
            </a:graphic>
          </wp:inline>
        </w:drawing>
      </w:r>
    </w:p>
    <w:p w14:paraId="705DC2ED" w14:textId="2EA27E67" w:rsidR="002D4954" w:rsidRPr="002D4954" w:rsidRDefault="00201D35" w:rsidP="002D4954">
      <w:pPr>
        <w:pStyle w:val="Els-body-text"/>
        <w:rPr>
          <w:lang w:val="en-GB"/>
        </w:rPr>
      </w:pPr>
      <w:r w:rsidRPr="002D4954">
        <w:rPr>
          <w:lang w:val="en-GB"/>
        </w:rPr>
        <w:t xml:space="preserve">Figure </w:t>
      </w:r>
      <w:r w:rsidR="0040458A">
        <w:rPr>
          <w:lang w:val="en-GB"/>
        </w:rPr>
        <w:t>2.</w:t>
      </w:r>
      <w:r w:rsidRPr="002D4954">
        <w:rPr>
          <w:lang w:val="en-GB"/>
        </w:rPr>
        <w:t xml:space="preserve"> Adjustment of the equilibrium reactor </w:t>
      </w:r>
      <w:r w:rsidR="00620E48">
        <w:rPr>
          <w:lang w:val="en-GB"/>
        </w:rPr>
        <w:t>using as catalysts</w:t>
      </w:r>
      <w:r w:rsidR="0040458A">
        <w:rPr>
          <w:lang w:val="en-GB"/>
        </w:rPr>
        <w:t>: (a)</w:t>
      </w:r>
      <w:r w:rsidRPr="002D4954">
        <w:rPr>
          <w:lang w:val="en-GB"/>
        </w:rPr>
        <w:t xml:space="preserve"> NiMo/MgO-La</w:t>
      </w:r>
      <w:r w:rsidRPr="008D1166">
        <w:rPr>
          <w:vertAlign w:val="subscript"/>
          <w:lang w:val="en-GB"/>
        </w:rPr>
        <w:t>2</w:t>
      </w:r>
      <w:r w:rsidRPr="002D4954">
        <w:rPr>
          <w:lang w:val="en-GB"/>
        </w:rPr>
        <w:t>O</w:t>
      </w:r>
      <w:r w:rsidRPr="008D1166">
        <w:rPr>
          <w:vertAlign w:val="subscript"/>
          <w:lang w:val="en-GB"/>
        </w:rPr>
        <w:t>3</w:t>
      </w:r>
      <w:r w:rsidR="00620E48">
        <w:rPr>
          <w:lang w:val="en-GB"/>
        </w:rPr>
        <w:t>,</w:t>
      </w:r>
      <w:r w:rsidRPr="002D4954">
        <w:rPr>
          <w:lang w:val="en-GB"/>
        </w:rPr>
        <w:t xml:space="preserve"> </w:t>
      </w:r>
      <w:r w:rsidR="00620E48">
        <w:rPr>
          <w:lang w:val="en-GB"/>
        </w:rPr>
        <w:t xml:space="preserve">(b) </w:t>
      </w:r>
      <w:proofErr w:type="spellStart"/>
      <w:r w:rsidRPr="002D4954">
        <w:rPr>
          <w:lang w:val="en-GB"/>
        </w:rPr>
        <w:t>CoMo</w:t>
      </w:r>
      <w:proofErr w:type="spellEnd"/>
      <w:r w:rsidRPr="002D4954">
        <w:rPr>
          <w:lang w:val="en-GB"/>
        </w:rPr>
        <w:t>/ZSM-5</w:t>
      </w:r>
      <w:r w:rsidR="00620E48">
        <w:rPr>
          <w:lang w:val="en-GB"/>
        </w:rPr>
        <w:t>,</w:t>
      </w:r>
      <w:r w:rsidRPr="002D4954">
        <w:rPr>
          <w:lang w:val="en-GB"/>
        </w:rPr>
        <w:t xml:space="preserve"> </w:t>
      </w:r>
      <w:r w:rsidR="00620E48">
        <w:rPr>
          <w:lang w:val="en-GB"/>
        </w:rPr>
        <w:t xml:space="preserve">(c) </w:t>
      </w:r>
      <w:proofErr w:type="spellStart"/>
      <w:r w:rsidRPr="002D4954">
        <w:rPr>
          <w:lang w:val="en-GB"/>
        </w:rPr>
        <w:t>CoMo</w:t>
      </w:r>
      <w:proofErr w:type="spellEnd"/>
      <w:r w:rsidRPr="002D4954">
        <w:rPr>
          <w:lang w:val="en-GB"/>
        </w:rPr>
        <w:t>/Al</w:t>
      </w:r>
      <w:r w:rsidRPr="008D1166">
        <w:rPr>
          <w:vertAlign w:val="subscript"/>
          <w:lang w:val="en-GB"/>
        </w:rPr>
        <w:t>2</w:t>
      </w:r>
      <w:r w:rsidRPr="002D4954">
        <w:rPr>
          <w:lang w:val="en-GB"/>
        </w:rPr>
        <w:t>O</w:t>
      </w:r>
      <w:r w:rsidRPr="008D1166">
        <w:rPr>
          <w:vertAlign w:val="subscript"/>
          <w:lang w:val="en-GB"/>
        </w:rPr>
        <w:t>3</w:t>
      </w:r>
      <w:r w:rsidR="00620E48">
        <w:rPr>
          <w:lang w:val="en-GB"/>
        </w:rPr>
        <w:t xml:space="preserve">, (d) </w:t>
      </w:r>
      <w:r w:rsidRPr="002D4954">
        <w:rPr>
          <w:lang w:val="en-GB"/>
        </w:rPr>
        <w:t>NiMo/ZSM-5</w:t>
      </w:r>
    </w:p>
    <w:p w14:paraId="144DE6A5" w14:textId="2E0C5DFB" w:rsidR="008D2649" w:rsidRPr="00A94774" w:rsidRDefault="00201D35" w:rsidP="008D2649">
      <w:pPr>
        <w:pStyle w:val="Els-1storder-head"/>
        <w:spacing w:after="120"/>
        <w:rPr>
          <w:lang w:val="en-GB"/>
        </w:rPr>
      </w:pPr>
      <w:r>
        <w:rPr>
          <w:lang w:val="en-GB"/>
        </w:rPr>
        <w:t xml:space="preserve">Conclusions and </w:t>
      </w:r>
      <w:r w:rsidR="003271A1">
        <w:rPr>
          <w:lang w:val="en-GB"/>
        </w:rPr>
        <w:t>Future Perspectives</w:t>
      </w:r>
    </w:p>
    <w:p w14:paraId="5DD3E55E" w14:textId="3331C843" w:rsidR="003251E3" w:rsidRDefault="00201D35" w:rsidP="003251E3">
      <w:pPr>
        <w:pStyle w:val="Els-body-text"/>
        <w:spacing w:after="120"/>
        <w:rPr>
          <w:lang w:val="en-GB"/>
        </w:rPr>
      </w:pPr>
      <w:r>
        <w:rPr>
          <w:lang w:val="en-GB"/>
        </w:rPr>
        <w:t>T</w:t>
      </w:r>
      <w:r w:rsidRPr="003251E3">
        <w:rPr>
          <w:lang w:val="en-GB"/>
        </w:rPr>
        <w:t>he</w:t>
      </w:r>
      <w:r>
        <w:rPr>
          <w:lang w:val="en-GB"/>
        </w:rPr>
        <w:t xml:space="preserve"> lignin modelling</w:t>
      </w:r>
      <w:r w:rsidRPr="003251E3">
        <w:rPr>
          <w:lang w:val="en-GB"/>
        </w:rPr>
        <w:t xml:space="preserve"> procedure described in this work</w:t>
      </w:r>
      <w:r>
        <w:rPr>
          <w:lang w:val="en-GB"/>
        </w:rPr>
        <w:t xml:space="preserve"> can well </w:t>
      </w:r>
      <w:r w:rsidR="00142BFE">
        <w:rPr>
          <w:lang w:val="en-GB"/>
        </w:rPr>
        <w:t xml:space="preserve">simulate the </w:t>
      </w:r>
      <w:proofErr w:type="spellStart"/>
      <w:r w:rsidR="00142BFE">
        <w:rPr>
          <w:lang w:val="en-GB"/>
        </w:rPr>
        <w:t>HydroDeOxygenation</w:t>
      </w:r>
      <w:proofErr w:type="spellEnd"/>
      <w:r w:rsidR="00142BFE">
        <w:rPr>
          <w:lang w:val="en-GB"/>
        </w:rPr>
        <w:t xml:space="preserve"> process in </w:t>
      </w:r>
      <w:r w:rsidR="00630278">
        <w:rPr>
          <w:lang w:val="en-GB"/>
        </w:rPr>
        <w:t>determined conditions and using specific literature catalysts. The model</w:t>
      </w:r>
      <w:r w:rsidRPr="003251E3">
        <w:rPr>
          <w:lang w:val="en-GB"/>
        </w:rPr>
        <w:t xml:space="preserve"> allows to vary both the intrinsic composition of the lignin entering </w:t>
      </w:r>
      <w:r w:rsidRPr="003251E3">
        <w:rPr>
          <w:lang w:val="en-GB"/>
        </w:rPr>
        <w:lastRenderedPageBreak/>
        <w:t xml:space="preserve">the reactor and the operating parameters of the hydrogenation process. </w:t>
      </w:r>
      <w:r w:rsidR="00196664">
        <w:rPr>
          <w:lang w:val="en-GB"/>
        </w:rPr>
        <w:t>In the future, t</w:t>
      </w:r>
      <w:r w:rsidRPr="003251E3">
        <w:rPr>
          <w:lang w:val="en-GB"/>
        </w:rPr>
        <w:t xml:space="preserve">hrough </w:t>
      </w:r>
      <w:r w:rsidR="00630278">
        <w:rPr>
          <w:lang w:val="en-GB"/>
        </w:rPr>
        <w:t>a dedicated optimization</w:t>
      </w:r>
      <w:r w:rsidRPr="003251E3">
        <w:rPr>
          <w:lang w:val="en-GB"/>
        </w:rPr>
        <w:t xml:space="preserve"> analysis </w:t>
      </w:r>
      <w:r w:rsidR="00372B29">
        <w:rPr>
          <w:lang w:val="en-GB"/>
        </w:rPr>
        <w:t>will be</w:t>
      </w:r>
      <w:r w:rsidRPr="003251E3">
        <w:rPr>
          <w:lang w:val="en-GB"/>
        </w:rPr>
        <w:t xml:space="preserve"> possible to determine the optimal conditions of pressure and H/C ratio, as well as the moisture content and the optimal chemical </w:t>
      </w:r>
      <w:r w:rsidRPr="003251E3">
        <w:rPr>
          <w:lang w:val="en-GB"/>
        </w:rPr>
        <w:t xml:space="preserve">structure that the lignin should present to increase the production of </w:t>
      </w:r>
      <w:r w:rsidR="00372B29">
        <w:rPr>
          <w:lang w:val="en-GB"/>
        </w:rPr>
        <w:t>target products, suc</w:t>
      </w:r>
      <w:r w:rsidR="00970043">
        <w:rPr>
          <w:lang w:val="en-GB"/>
        </w:rPr>
        <w:t>h</w:t>
      </w:r>
      <w:r w:rsidR="00372B29">
        <w:rPr>
          <w:lang w:val="en-GB"/>
        </w:rPr>
        <w:t xml:space="preserve"> as </w:t>
      </w:r>
      <w:r w:rsidR="00EF53E7">
        <w:rPr>
          <w:lang w:val="en-GB"/>
        </w:rPr>
        <w:t>aromatic monomers.</w:t>
      </w:r>
      <w:r w:rsidR="00196664">
        <w:rPr>
          <w:lang w:val="en-GB"/>
        </w:rPr>
        <w:t xml:space="preserve"> </w:t>
      </w:r>
      <w:r w:rsidRPr="003251E3">
        <w:rPr>
          <w:lang w:val="en-GB"/>
        </w:rPr>
        <w:t xml:space="preserve">It could be determined that the increase of the H/C ratio enhances the conversion of lignin and consequently, the production of alkyl phenolics increases. </w:t>
      </w:r>
    </w:p>
    <w:p w14:paraId="5AA40144" w14:textId="7F8D8667" w:rsidR="00552446" w:rsidRPr="00DB5264" w:rsidRDefault="00201D35" w:rsidP="00DB5264">
      <w:pPr>
        <w:pStyle w:val="Els-reference-head"/>
      </w:pPr>
      <w:r w:rsidRPr="00DB5264">
        <w:t>Acknowledgments</w:t>
      </w:r>
    </w:p>
    <w:p w14:paraId="6A1700F0" w14:textId="6E01C12E" w:rsidR="00552446" w:rsidRPr="003251E3" w:rsidRDefault="00201D35" w:rsidP="00552446">
      <w:pPr>
        <w:pStyle w:val="Els-body-text"/>
        <w:spacing w:after="120"/>
        <w:rPr>
          <w:lang w:val="en-GB"/>
        </w:rPr>
      </w:pPr>
      <w:r w:rsidRPr="00552446">
        <w:rPr>
          <w:lang w:val="en-GB"/>
        </w:rPr>
        <w:t>The authors deeply acknowledge the current national representatives of IEA task 42 ‘Biorefining in a Circular Economy’ from Austria, Denmark Germany, Ireland, the Netherlands and USA for useful debate and discussions.</w:t>
      </w:r>
      <w:r w:rsidR="00A93646">
        <w:rPr>
          <w:lang w:val="en-GB"/>
        </w:rPr>
        <w:t xml:space="preserve"> </w:t>
      </w:r>
      <w:r w:rsidR="00A93646" w:rsidRPr="00A93646">
        <w:rPr>
          <w:lang w:val="en-GB"/>
        </w:rPr>
        <w:t xml:space="preserve">Prepared by </w:t>
      </w:r>
      <w:r w:rsidR="00A93646">
        <w:rPr>
          <w:lang w:val="en-GB"/>
        </w:rPr>
        <w:t xml:space="preserve">Aristide Giuliano, </w:t>
      </w:r>
      <w:r w:rsidR="00656A2A">
        <w:rPr>
          <w:lang w:val="en-GB"/>
        </w:rPr>
        <w:t>Nicola Pierro, Isabella De Bari</w:t>
      </w:r>
      <w:r w:rsidR="00A93646" w:rsidRPr="00A93646">
        <w:rPr>
          <w:lang w:val="en-GB"/>
        </w:rPr>
        <w:t xml:space="preserve"> (ENEA, Italy), on behalf of IEA Bioenergy Task42</w:t>
      </w:r>
      <w:r w:rsidR="00656A2A">
        <w:rPr>
          <w:lang w:val="en-GB"/>
        </w:rPr>
        <w:t>.</w:t>
      </w:r>
    </w:p>
    <w:p w14:paraId="144DE6BF" w14:textId="608D0AD6" w:rsidR="008D2649" w:rsidRDefault="00201D35" w:rsidP="008D2649">
      <w:pPr>
        <w:pStyle w:val="Els-reference-head"/>
      </w:pPr>
      <w:r>
        <w:t>References</w:t>
      </w:r>
    </w:p>
    <w:p w14:paraId="646F15FD" w14:textId="77777777" w:rsidR="00D44353" w:rsidRPr="00D44353" w:rsidRDefault="00201D35" w:rsidP="00D44353">
      <w:pPr>
        <w:pStyle w:val="Bibliografia"/>
        <w:rPr>
          <w:sz w:val="18"/>
        </w:rPr>
      </w:pPr>
      <w:r>
        <w:rPr>
          <w:lang w:val="en-US"/>
        </w:rPr>
        <w:fldChar w:fldCharType="begin"/>
      </w:r>
      <w:r>
        <w:rPr>
          <w:lang w:val="en-US"/>
        </w:rPr>
        <w:instrText xml:space="preserve"> ADDIN ZOTERO_BIBL {"uncited":[],"omitted":[],"custom":[]} CSL_BIBLIOGRAPHY </w:instrText>
      </w:r>
      <w:r>
        <w:rPr>
          <w:lang w:val="en-US"/>
        </w:rPr>
        <w:fldChar w:fldCharType="separate"/>
      </w:r>
      <w:r w:rsidRPr="00D44353">
        <w:rPr>
          <w:sz w:val="18"/>
        </w:rPr>
        <w:t>Azad, T., Schuler, J.D., Auad, M.L., Elder, T., Adamczyk, A.J., 2020. Model Lignin Oligomer Pyrolysis: Coupled Conformational and Thermodynamic Analysis of β-O-4′ Bond Cleavage. Energy Fuels 34, 9709–9724. https://doi.org/10.1021/acs.energyfuels.0c01573</w:t>
      </w:r>
    </w:p>
    <w:p w14:paraId="14AB6B7F" w14:textId="77777777" w:rsidR="00D44353" w:rsidRPr="00D44353" w:rsidRDefault="00201D35" w:rsidP="00D44353">
      <w:pPr>
        <w:pStyle w:val="Bibliografia"/>
        <w:rPr>
          <w:sz w:val="18"/>
        </w:rPr>
      </w:pPr>
      <w:r w:rsidRPr="00D44353">
        <w:rPr>
          <w:sz w:val="18"/>
        </w:rPr>
        <w:t>Giuliano, A., Poletto, M., Barletta, D., 2015. Process Design of a Multi-Product Lignocellulosic Biorefinery, in: Computer Aided Chemical Engineering. Elsevier B.V., pp. 1313–1318. https://doi.org/10.1016/B978-0-444-63577-8.50064-4</w:t>
      </w:r>
    </w:p>
    <w:p w14:paraId="0F479FC9" w14:textId="77777777" w:rsidR="00D44353" w:rsidRPr="00D44353" w:rsidRDefault="00201D35" w:rsidP="00D44353">
      <w:pPr>
        <w:pStyle w:val="Bibliografia"/>
        <w:rPr>
          <w:sz w:val="18"/>
        </w:rPr>
      </w:pPr>
      <w:r w:rsidRPr="00D44353">
        <w:rPr>
          <w:sz w:val="18"/>
        </w:rPr>
        <w:t>Kumar, C.R., Anand, N., Kloekhorst, A., Cannilla, C., Bonura, G., Frusteri, F., Barta, K., Heeres, H.J., 2015. Solvent free depolymerization of Kraft lignin to alkyl-phenolics using supported NiMo and CoMo catalysts. Green Chem. 17, 4921–4930. https://doi.org/10.1039/C5GC01641J</w:t>
      </w:r>
    </w:p>
    <w:p w14:paraId="49C9A1C9" w14:textId="77777777" w:rsidR="00D44353" w:rsidRPr="00D44353" w:rsidRDefault="00201D35" w:rsidP="00D44353">
      <w:pPr>
        <w:pStyle w:val="Bibliografia"/>
        <w:rPr>
          <w:sz w:val="18"/>
        </w:rPr>
      </w:pPr>
      <w:r w:rsidRPr="00D44353">
        <w:rPr>
          <w:sz w:val="18"/>
        </w:rPr>
        <w:t xml:space="preserve">Laskar, D.D., Tucker, M.P., Chen, X., Helms, G.L., Yang, B., 2014. Noble-metal catalyzed </w:t>
      </w:r>
      <w:r w:rsidRPr="00D44353">
        <w:rPr>
          <w:sz w:val="18"/>
        </w:rPr>
        <w:t>hydrodeoxygenation of biomass-derived lignin to aromatic hydrocarbons. Green Chemistry 16, 897–910. https://doi.org/10.1039/c3gc42041h</w:t>
      </w:r>
    </w:p>
    <w:p w14:paraId="57506599" w14:textId="77777777" w:rsidR="00D44353" w:rsidRPr="00D44353" w:rsidRDefault="00201D35" w:rsidP="00D44353">
      <w:pPr>
        <w:pStyle w:val="Bibliografia"/>
        <w:rPr>
          <w:sz w:val="18"/>
        </w:rPr>
      </w:pPr>
      <w:r w:rsidRPr="00D44353">
        <w:rPr>
          <w:sz w:val="18"/>
        </w:rPr>
        <w:t>Mabrouk, A., Erdocia, X., Alriols, M.G., Labidi, J., 2018. Economic analysis of a biorefinery process for catechol production from lignin. Journal of Cleaner Production 198, 133–142. https://doi.org/10.1016/j.jclepro.2018.06.294</w:t>
      </w:r>
    </w:p>
    <w:p w14:paraId="425686A8" w14:textId="77777777" w:rsidR="00D44353" w:rsidRPr="00D44353" w:rsidRDefault="00201D35" w:rsidP="00D44353">
      <w:pPr>
        <w:pStyle w:val="Bibliografia"/>
        <w:rPr>
          <w:sz w:val="18"/>
        </w:rPr>
      </w:pPr>
      <w:r w:rsidRPr="00D44353">
        <w:rPr>
          <w:sz w:val="18"/>
        </w:rPr>
        <w:t>Mastrolitti, S., Borsella, E., Giuliano, A., Petrone, M.T., Bari, I.D., Gosselink, R., van Erven, G., Annevelink, E., Triantafyllidis, K.S., Stichnothe, H., 2021. Sustainable lignin valorization 194.</w:t>
      </w:r>
    </w:p>
    <w:p w14:paraId="0C78C056" w14:textId="77777777" w:rsidR="00D44353" w:rsidRPr="00D44353" w:rsidRDefault="00201D35" w:rsidP="00D44353">
      <w:pPr>
        <w:pStyle w:val="Bibliografia"/>
        <w:rPr>
          <w:sz w:val="18"/>
        </w:rPr>
      </w:pPr>
      <w:r w:rsidRPr="00D44353">
        <w:rPr>
          <w:sz w:val="18"/>
        </w:rPr>
        <w:t>Robinson, A.J., Giuliano, A., Abdelaziz, O.Y., Hulteberg, C.P., Koutinas, A., Triantafyllidis, K.S., Barletta, D., De Bari, I., 2022. Techno-economic optimization of a process superstructure for lignin valorization. Bioresource Technology 364, 128004. https://doi.org/10.1016/j.biortech.2022.128004</w:t>
      </w:r>
    </w:p>
    <w:p w14:paraId="0F776CE6" w14:textId="77777777" w:rsidR="00D44353" w:rsidRPr="00D44353" w:rsidRDefault="00201D35" w:rsidP="00D44353">
      <w:pPr>
        <w:pStyle w:val="Bibliografia"/>
        <w:rPr>
          <w:sz w:val="18"/>
        </w:rPr>
      </w:pPr>
      <w:r w:rsidRPr="00D44353">
        <w:rPr>
          <w:sz w:val="18"/>
        </w:rPr>
        <w:t>Shahbaz, M., AlNouss, A., Parthasarathy, P., Abdelaal, A.H., Mackey, H., McKay, G., Al-Ansari, T., 2022. Investigation of biomass components on the slow pyrolysis products yield using Aspen Plus for techno-economic analysis. Biomass Conv. Bioref. 12, 669–681. https://doi.org/10.1007/s13399-020-01040-1</w:t>
      </w:r>
    </w:p>
    <w:p w14:paraId="73997C3B" w14:textId="77777777" w:rsidR="00D44353" w:rsidRPr="00D44353" w:rsidRDefault="00201D35" w:rsidP="00D44353">
      <w:pPr>
        <w:pStyle w:val="Bibliografia"/>
        <w:rPr>
          <w:sz w:val="18"/>
        </w:rPr>
      </w:pPr>
      <w:r w:rsidRPr="00D44353">
        <w:rPr>
          <w:sz w:val="18"/>
        </w:rPr>
        <w:t>Wooley, R.J., Putsche, V., 1996. Development of an ASPEN PLUS Physical Property Database for Biofuels Components. Victoria 1–38.</w:t>
      </w:r>
    </w:p>
    <w:p w14:paraId="623FEAFA" w14:textId="77777777" w:rsidR="00D44353" w:rsidRPr="00D44353" w:rsidRDefault="00201D35" w:rsidP="00D44353">
      <w:pPr>
        <w:pStyle w:val="Bibliografia"/>
        <w:rPr>
          <w:sz w:val="18"/>
        </w:rPr>
      </w:pPr>
      <w:r w:rsidRPr="00D44353">
        <w:rPr>
          <w:sz w:val="18"/>
        </w:rPr>
        <w:t>Yang, X., Zhang, Y., Ye, M., Tang, Y., Wen, Z., Liu, X., Li, C.C., 2023. Renewable lignin and its macromolecule derivatives: an emerging platform toward sustainable electrochemical energy storage. Green Chem. 25, 4154–4179. https://doi.org/10.1039/D3GC00565H</w:t>
      </w:r>
    </w:p>
    <w:p w14:paraId="7A93C8AD" w14:textId="61A20802" w:rsidR="002F7952" w:rsidRDefault="00201D35" w:rsidP="00970043">
      <w:pPr>
        <w:pStyle w:val="Els-referenceno-number"/>
        <w:ind w:left="0" w:firstLine="0"/>
        <w:rPr>
          <w:lang w:val="en-US"/>
        </w:rPr>
      </w:pPr>
      <w:r>
        <w:rPr>
          <w:lang w:val="en-US"/>
        </w:rPr>
        <w:fldChar w:fldCharType="end"/>
      </w:r>
    </w:p>
    <w:sectPr w:rsidR="002F7952" w:rsidSect="008B0184">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space="0"/>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6ADC8" w14:textId="77777777" w:rsidR="00201D35" w:rsidRDefault="00201D35">
      <w:r>
        <w:separator/>
      </w:r>
    </w:p>
  </w:endnote>
  <w:endnote w:type="continuationSeparator" w:id="0">
    <w:p w14:paraId="6D86AF0D" w14:textId="77777777" w:rsidR="00201D35" w:rsidRDefault="0020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0D9D1" w14:textId="77777777" w:rsidR="00201D35" w:rsidRDefault="00201D35">
      <w:r>
        <w:separator/>
      </w:r>
    </w:p>
  </w:footnote>
  <w:footnote w:type="continuationSeparator" w:id="0">
    <w:p w14:paraId="6663925B" w14:textId="77777777" w:rsidR="00201D35" w:rsidRDefault="00201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3BB81D9A" w:rsidR="00DD3D9E" w:rsidRDefault="00201D35" w:rsidP="00DD3CF7">
    <w:pPr>
      <w:pStyle w:val="Intestazione"/>
      <w:numPr>
        <w:ilvl w:val="0"/>
        <w:numId w:val="21"/>
      </w:numPr>
      <w:tabs>
        <w:tab w:val="clear" w:pos="7200"/>
        <w:tab w:val="right" w:pos="7088"/>
      </w:tabs>
      <w:jc w:val="right"/>
    </w:pPr>
    <w:r>
      <w:rPr>
        <w:i/>
      </w:rPr>
      <w:t>Giuliano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18DE55C2" w:rsidR="00DD3D9E" w:rsidRDefault="00201D35">
    <w:pPr>
      <w:pStyle w:val="Intestazione"/>
      <w:tabs>
        <w:tab w:val="clear" w:pos="7200"/>
        <w:tab w:val="right" w:pos="7088"/>
      </w:tabs>
      <w:jc w:val="right"/>
      <w:rPr>
        <w:sz w:val="24"/>
      </w:rPr>
    </w:pPr>
    <w:r w:rsidRPr="00A450F8">
      <w:rPr>
        <w:i/>
      </w:rPr>
      <w:t>Thermodynamic approach to simulate the HydroDeOxygenation process of Ligni</w:t>
    </w:r>
    <w:r>
      <w:rPr>
        <w:i/>
      </w:rPr>
      <w:t>n</w:t>
    </w: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201D35"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201D35"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A0F0465"/>
    <w:multiLevelType w:val="hybridMultilevel"/>
    <w:tmpl w:val="CC161C1A"/>
    <w:lvl w:ilvl="0" w:tplc="B07C17FC">
      <w:start w:val="1"/>
      <w:numFmt w:val="upperLetter"/>
      <w:lvlText w:val="%1."/>
      <w:lvlJc w:val="left"/>
      <w:pPr>
        <w:ind w:left="1080" w:hanging="360"/>
      </w:pPr>
      <w:rPr>
        <w:rFonts w:hint="default"/>
        <w:i/>
      </w:rPr>
    </w:lvl>
    <w:lvl w:ilvl="1" w:tplc="66D43558" w:tentative="1">
      <w:start w:val="1"/>
      <w:numFmt w:val="lowerLetter"/>
      <w:lvlText w:val="%2."/>
      <w:lvlJc w:val="left"/>
      <w:pPr>
        <w:ind w:left="1800" w:hanging="360"/>
      </w:pPr>
    </w:lvl>
    <w:lvl w:ilvl="2" w:tplc="DED2D0FC" w:tentative="1">
      <w:start w:val="1"/>
      <w:numFmt w:val="lowerRoman"/>
      <w:lvlText w:val="%3."/>
      <w:lvlJc w:val="right"/>
      <w:pPr>
        <w:ind w:left="2520" w:hanging="180"/>
      </w:pPr>
    </w:lvl>
    <w:lvl w:ilvl="3" w:tplc="F1C80654" w:tentative="1">
      <w:start w:val="1"/>
      <w:numFmt w:val="decimal"/>
      <w:lvlText w:val="%4."/>
      <w:lvlJc w:val="left"/>
      <w:pPr>
        <w:ind w:left="3240" w:hanging="360"/>
      </w:pPr>
    </w:lvl>
    <w:lvl w:ilvl="4" w:tplc="05A60368" w:tentative="1">
      <w:start w:val="1"/>
      <w:numFmt w:val="lowerLetter"/>
      <w:lvlText w:val="%5."/>
      <w:lvlJc w:val="left"/>
      <w:pPr>
        <w:ind w:left="3960" w:hanging="360"/>
      </w:pPr>
    </w:lvl>
    <w:lvl w:ilvl="5" w:tplc="FFD89450" w:tentative="1">
      <w:start w:val="1"/>
      <w:numFmt w:val="lowerRoman"/>
      <w:lvlText w:val="%6."/>
      <w:lvlJc w:val="right"/>
      <w:pPr>
        <w:ind w:left="4680" w:hanging="180"/>
      </w:pPr>
    </w:lvl>
    <w:lvl w:ilvl="6" w:tplc="40988DD8" w:tentative="1">
      <w:start w:val="1"/>
      <w:numFmt w:val="decimal"/>
      <w:lvlText w:val="%7."/>
      <w:lvlJc w:val="left"/>
      <w:pPr>
        <w:ind w:left="5400" w:hanging="360"/>
      </w:pPr>
    </w:lvl>
    <w:lvl w:ilvl="7" w:tplc="14428956" w:tentative="1">
      <w:start w:val="1"/>
      <w:numFmt w:val="lowerLetter"/>
      <w:lvlText w:val="%8."/>
      <w:lvlJc w:val="left"/>
      <w:pPr>
        <w:ind w:left="6120" w:hanging="360"/>
      </w:pPr>
    </w:lvl>
    <w:lvl w:ilvl="8" w:tplc="44B07806" w:tentative="1">
      <w:start w:val="1"/>
      <w:numFmt w:val="lowerRoman"/>
      <w:lvlText w:val="%9."/>
      <w:lvlJc w:val="right"/>
      <w:pPr>
        <w:ind w:left="6840" w:hanging="18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67BAC588">
      <w:start w:val="1"/>
      <w:numFmt w:val="decimal"/>
      <w:pStyle w:val="Els-reference"/>
      <w:lvlText w:val="%1."/>
      <w:lvlJc w:val="right"/>
      <w:pPr>
        <w:tabs>
          <w:tab w:val="num" w:pos="480"/>
        </w:tabs>
        <w:ind w:left="480" w:hanging="96"/>
      </w:pPr>
      <w:rPr>
        <w:rFonts w:hint="default"/>
      </w:rPr>
    </w:lvl>
    <w:lvl w:ilvl="1" w:tplc="9612C4A4" w:tentative="1">
      <w:start w:val="1"/>
      <w:numFmt w:val="lowerLetter"/>
      <w:lvlText w:val="%2."/>
      <w:lvlJc w:val="left"/>
      <w:pPr>
        <w:tabs>
          <w:tab w:val="num" w:pos="1440"/>
        </w:tabs>
        <w:ind w:left="1440" w:hanging="360"/>
      </w:pPr>
    </w:lvl>
    <w:lvl w:ilvl="2" w:tplc="85129134" w:tentative="1">
      <w:start w:val="1"/>
      <w:numFmt w:val="lowerRoman"/>
      <w:lvlText w:val="%3."/>
      <w:lvlJc w:val="right"/>
      <w:pPr>
        <w:tabs>
          <w:tab w:val="num" w:pos="2160"/>
        </w:tabs>
        <w:ind w:left="2160" w:hanging="180"/>
      </w:pPr>
    </w:lvl>
    <w:lvl w:ilvl="3" w:tplc="228A6752" w:tentative="1">
      <w:start w:val="1"/>
      <w:numFmt w:val="decimal"/>
      <w:lvlText w:val="%4."/>
      <w:lvlJc w:val="left"/>
      <w:pPr>
        <w:tabs>
          <w:tab w:val="num" w:pos="2880"/>
        </w:tabs>
        <w:ind w:left="2880" w:hanging="360"/>
      </w:pPr>
    </w:lvl>
    <w:lvl w:ilvl="4" w:tplc="0AC441C4" w:tentative="1">
      <w:start w:val="1"/>
      <w:numFmt w:val="lowerLetter"/>
      <w:lvlText w:val="%5."/>
      <w:lvlJc w:val="left"/>
      <w:pPr>
        <w:tabs>
          <w:tab w:val="num" w:pos="3600"/>
        </w:tabs>
        <w:ind w:left="3600" w:hanging="360"/>
      </w:pPr>
    </w:lvl>
    <w:lvl w:ilvl="5" w:tplc="8DB6245E" w:tentative="1">
      <w:start w:val="1"/>
      <w:numFmt w:val="lowerRoman"/>
      <w:lvlText w:val="%6."/>
      <w:lvlJc w:val="right"/>
      <w:pPr>
        <w:tabs>
          <w:tab w:val="num" w:pos="4320"/>
        </w:tabs>
        <w:ind w:left="4320" w:hanging="180"/>
      </w:pPr>
    </w:lvl>
    <w:lvl w:ilvl="6" w:tplc="8DB0FD78" w:tentative="1">
      <w:start w:val="1"/>
      <w:numFmt w:val="decimal"/>
      <w:lvlText w:val="%7."/>
      <w:lvlJc w:val="left"/>
      <w:pPr>
        <w:tabs>
          <w:tab w:val="num" w:pos="5040"/>
        </w:tabs>
        <w:ind w:left="5040" w:hanging="360"/>
      </w:pPr>
    </w:lvl>
    <w:lvl w:ilvl="7" w:tplc="91F4B42C" w:tentative="1">
      <w:start w:val="1"/>
      <w:numFmt w:val="lowerLetter"/>
      <w:lvlText w:val="%8."/>
      <w:lvlJc w:val="left"/>
      <w:pPr>
        <w:tabs>
          <w:tab w:val="num" w:pos="5760"/>
        </w:tabs>
        <w:ind w:left="5760" w:hanging="360"/>
      </w:pPr>
    </w:lvl>
    <w:lvl w:ilvl="8" w:tplc="7C8A2274" w:tentative="1">
      <w:start w:val="1"/>
      <w:numFmt w:val="lowerRoman"/>
      <w:lvlText w:val="%9."/>
      <w:lvlJc w:val="right"/>
      <w:pPr>
        <w:tabs>
          <w:tab w:val="num" w:pos="6480"/>
        </w:tabs>
        <w:ind w:left="6480" w:hanging="180"/>
      </w:pPr>
    </w:lvl>
  </w:abstractNum>
  <w:abstractNum w:abstractNumId="9" w15:restartNumberingAfterBreak="0">
    <w:nsid w:val="40692FC6"/>
    <w:multiLevelType w:val="hybridMultilevel"/>
    <w:tmpl w:val="AC409502"/>
    <w:lvl w:ilvl="0" w:tplc="81A05C72">
      <w:start w:val="1"/>
      <w:numFmt w:val="upperLetter"/>
      <w:lvlText w:val="%1."/>
      <w:lvlJc w:val="left"/>
      <w:pPr>
        <w:ind w:left="7275" w:hanging="360"/>
      </w:pPr>
      <w:rPr>
        <w:rFonts w:hint="default"/>
        <w:i/>
      </w:rPr>
    </w:lvl>
    <w:lvl w:ilvl="1" w:tplc="16CC097C" w:tentative="1">
      <w:start w:val="1"/>
      <w:numFmt w:val="lowerLetter"/>
      <w:lvlText w:val="%2."/>
      <w:lvlJc w:val="left"/>
      <w:pPr>
        <w:ind w:left="7995" w:hanging="360"/>
      </w:pPr>
    </w:lvl>
    <w:lvl w:ilvl="2" w:tplc="35660B46" w:tentative="1">
      <w:start w:val="1"/>
      <w:numFmt w:val="lowerRoman"/>
      <w:lvlText w:val="%3."/>
      <w:lvlJc w:val="right"/>
      <w:pPr>
        <w:ind w:left="8715" w:hanging="180"/>
      </w:pPr>
    </w:lvl>
    <w:lvl w:ilvl="3" w:tplc="EC3EA5B0" w:tentative="1">
      <w:start w:val="1"/>
      <w:numFmt w:val="decimal"/>
      <w:lvlText w:val="%4."/>
      <w:lvlJc w:val="left"/>
      <w:pPr>
        <w:ind w:left="9435" w:hanging="360"/>
      </w:pPr>
    </w:lvl>
    <w:lvl w:ilvl="4" w:tplc="F60A6E56" w:tentative="1">
      <w:start w:val="1"/>
      <w:numFmt w:val="lowerLetter"/>
      <w:lvlText w:val="%5."/>
      <w:lvlJc w:val="left"/>
      <w:pPr>
        <w:ind w:left="10155" w:hanging="360"/>
      </w:pPr>
    </w:lvl>
    <w:lvl w:ilvl="5" w:tplc="7974EBD6" w:tentative="1">
      <w:start w:val="1"/>
      <w:numFmt w:val="lowerRoman"/>
      <w:lvlText w:val="%6."/>
      <w:lvlJc w:val="right"/>
      <w:pPr>
        <w:ind w:left="10875" w:hanging="180"/>
      </w:pPr>
    </w:lvl>
    <w:lvl w:ilvl="6" w:tplc="1B2E24D8" w:tentative="1">
      <w:start w:val="1"/>
      <w:numFmt w:val="decimal"/>
      <w:lvlText w:val="%7."/>
      <w:lvlJc w:val="left"/>
      <w:pPr>
        <w:ind w:left="11595" w:hanging="360"/>
      </w:pPr>
    </w:lvl>
    <w:lvl w:ilvl="7" w:tplc="E140FAE6" w:tentative="1">
      <w:start w:val="1"/>
      <w:numFmt w:val="lowerLetter"/>
      <w:lvlText w:val="%8."/>
      <w:lvlJc w:val="left"/>
      <w:pPr>
        <w:ind w:left="12315" w:hanging="360"/>
      </w:pPr>
    </w:lvl>
    <w:lvl w:ilvl="8" w:tplc="E7FC3752" w:tentative="1">
      <w:start w:val="1"/>
      <w:numFmt w:val="lowerRoman"/>
      <w:lvlText w:val="%9."/>
      <w:lvlJc w:val="right"/>
      <w:pPr>
        <w:ind w:left="13035" w:hanging="180"/>
      </w:pPr>
    </w:lvl>
  </w:abstractNum>
  <w:abstractNum w:abstractNumId="10" w15:restartNumberingAfterBreak="0">
    <w:nsid w:val="4E652E1E"/>
    <w:multiLevelType w:val="hybridMultilevel"/>
    <w:tmpl w:val="6F0EF366"/>
    <w:lvl w:ilvl="0" w:tplc="ACBA0860">
      <w:start w:val="1"/>
      <w:numFmt w:val="decimal"/>
      <w:lvlText w:val="%1."/>
      <w:lvlJc w:val="left"/>
      <w:pPr>
        <w:tabs>
          <w:tab w:val="num" w:pos="720"/>
        </w:tabs>
        <w:ind w:left="720" w:hanging="360"/>
      </w:pPr>
      <w:rPr>
        <w:rFonts w:hint="default"/>
      </w:rPr>
    </w:lvl>
    <w:lvl w:ilvl="1" w:tplc="CAA0F694" w:tentative="1">
      <w:start w:val="1"/>
      <w:numFmt w:val="lowerLetter"/>
      <w:lvlText w:val="%2."/>
      <w:lvlJc w:val="left"/>
      <w:pPr>
        <w:tabs>
          <w:tab w:val="num" w:pos="1440"/>
        </w:tabs>
        <w:ind w:left="1440" w:hanging="360"/>
      </w:pPr>
    </w:lvl>
    <w:lvl w:ilvl="2" w:tplc="40406C16" w:tentative="1">
      <w:start w:val="1"/>
      <w:numFmt w:val="lowerRoman"/>
      <w:lvlText w:val="%3."/>
      <w:lvlJc w:val="right"/>
      <w:pPr>
        <w:tabs>
          <w:tab w:val="num" w:pos="2160"/>
        </w:tabs>
        <w:ind w:left="2160" w:hanging="180"/>
      </w:pPr>
    </w:lvl>
    <w:lvl w:ilvl="3" w:tplc="0F1637F6" w:tentative="1">
      <w:start w:val="1"/>
      <w:numFmt w:val="decimal"/>
      <w:lvlText w:val="%4."/>
      <w:lvlJc w:val="left"/>
      <w:pPr>
        <w:tabs>
          <w:tab w:val="num" w:pos="2880"/>
        </w:tabs>
        <w:ind w:left="2880" w:hanging="360"/>
      </w:pPr>
    </w:lvl>
    <w:lvl w:ilvl="4" w:tplc="4EEC1952" w:tentative="1">
      <w:start w:val="1"/>
      <w:numFmt w:val="lowerLetter"/>
      <w:lvlText w:val="%5."/>
      <w:lvlJc w:val="left"/>
      <w:pPr>
        <w:tabs>
          <w:tab w:val="num" w:pos="3600"/>
        </w:tabs>
        <w:ind w:left="3600" w:hanging="360"/>
      </w:pPr>
    </w:lvl>
    <w:lvl w:ilvl="5" w:tplc="DE668D76" w:tentative="1">
      <w:start w:val="1"/>
      <w:numFmt w:val="lowerRoman"/>
      <w:lvlText w:val="%6."/>
      <w:lvlJc w:val="right"/>
      <w:pPr>
        <w:tabs>
          <w:tab w:val="num" w:pos="4320"/>
        </w:tabs>
        <w:ind w:left="4320" w:hanging="180"/>
      </w:pPr>
    </w:lvl>
    <w:lvl w:ilvl="6" w:tplc="6ACC8D0E" w:tentative="1">
      <w:start w:val="1"/>
      <w:numFmt w:val="decimal"/>
      <w:lvlText w:val="%7."/>
      <w:lvlJc w:val="left"/>
      <w:pPr>
        <w:tabs>
          <w:tab w:val="num" w:pos="5040"/>
        </w:tabs>
        <w:ind w:left="5040" w:hanging="360"/>
      </w:pPr>
    </w:lvl>
    <w:lvl w:ilvl="7" w:tplc="CEDA19AA" w:tentative="1">
      <w:start w:val="1"/>
      <w:numFmt w:val="lowerLetter"/>
      <w:lvlText w:val="%8."/>
      <w:lvlJc w:val="left"/>
      <w:pPr>
        <w:tabs>
          <w:tab w:val="num" w:pos="5760"/>
        </w:tabs>
        <w:ind w:left="5760" w:hanging="360"/>
      </w:pPr>
    </w:lvl>
    <w:lvl w:ilvl="8" w:tplc="001CAD28"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1F9AA5B2">
      <w:start w:val="1"/>
      <w:numFmt w:val="bullet"/>
      <w:lvlText w:val="-"/>
      <w:lvlJc w:val="left"/>
      <w:pPr>
        <w:ind w:left="720" w:hanging="360"/>
      </w:pPr>
      <w:rPr>
        <w:rFonts w:ascii="Times New Roman" w:eastAsia="Times New Roman" w:hAnsi="Times New Roman" w:cs="Times New Roman" w:hint="default"/>
      </w:rPr>
    </w:lvl>
    <w:lvl w:ilvl="1" w:tplc="246A724A" w:tentative="1">
      <w:start w:val="1"/>
      <w:numFmt w:val="bullet"/>
      <w:lvlText w:val="o"/>
      <w:lvlJc w:val="left"/>
      <w:pPr>
        <w:ind w:left="1440" w:hanging="360"/>
      </w:pPr>
      <w:rPr>
        <w:rFonts w:ascii="Courier New" w:hAnsi="Courier New" w:cs="Courier New" w:hint="default"/>
      </w:rPr>
    </w:lvl>
    <w:lvl w:ilvl="2" w:tplc="1E38A7D2" w:tentative="1">
      <w:start w:val="1"/>
      <w:numFmt w:val="bullet"/>
      <w:lvlText w:val=""/>
      <w:lvlJc w:val="left"/>
      <w:pPr>
        <w:ind w:left="2160" w:hanging="360"/>
      </w:pPr>
      <w:rPr>
        <w:rFonts w:ascii="Wingdings" w:hAnsi="Wingdings" w:hint="default"/>
      </w:rPr>
    </w:lvl>
    <w:lvl w:ilvl="3" w:tplc="A058DC64" w:tentative="1">
      <w:start w:val="1"/>
      <w:numFmt w:val="bullet"/>
      <w:lvlText w:val=""/>
      <w:lvlJc w:val="left"/>
      <w:pPr>
        <w:ind w:left="2880" w:hanging="360"/>
      </w:pPr>
      <w:rPr>
        <w:rFonts w:ascii="Symbol" w:hAnsi="Symbol" w:hint="default"/>
      </w:rPr>
    </w:lvl>
    <w:lvl w:ilvl="4" w:tplc="8C3ECF54" w:tentative="1">
      <w:start w:val="1"/>
      <w:numFmt w:val="bullet"/>
      <w:lvlText w:val="o"/>
      <w:lvlJc w:val="left"/>
      <w:pPr>
        <w:ind w:left="3600" w:hanging="360"/>
      </w:pPr>
      <w:rPr>
        <w:rFonts w:ascii="Courier New" w:hAnsi="Courier New" w:cs="Courier New" w:hint="default"/>
      </w:rPr>
    </w:lvl>
    <w:lvl w:ilvl="5" w:tplc="6E4A6DF0" w:tentative="1">
      <w:start w:val="1"/>
      <w:numFmt w:val="bullet"/>
      <w:lvlText w:val=""/>
      <w:lvlJc w:val="left"/>
      <w:pPr>
        <w:ind w:left="4320" w:hanging="360"/>
      </w:pPr>
      <w:rPr>
        <w:rFonts w:ascii="Wingdings" w:hAnsi="Wingdings" w:hint="default"/>
      </w:rPr>
    </w:lvl>
    <w:lvl w:ilvl="6" w:tplc="2BB2D308" w:tentative="1">
      <w:start w:val="1"/>
      <w:numFmt w:val="bullet"/>
      <w:lvlText w:val=""/>
      <w:lvlJc w:val="left"/>
      <w:pPr>
        <w:ind w:left="5040" w:hanging="360"/>
      </w:pPr>
      <w:rPr>
        <w:rFonts w:ascii="Symbol" w:hAnsi="Symbol" w:hint="default"/>
      </w:rPr>
    </w:lvl>
    <w:lvl w:ilvl="7" w:tplc="6F2C5464" w:tentative="1">
      <w:start w:val="1"/>
      <w:numFmt w:val="bullet"/>
      <w:lvlText w:val="o"/>
      <w:lvlJc w:val="left"/>
      <w:pPr>
        <w:ind w:left="5760" w:hanging="360"/>
      </w:pPr>
      <w:rPr>
        <w:rFonts w:ascii="Courier New" w:hAnsi="Courier New" w:cs="Courier New" w:hint="default"/>
      </w:rPr>
    </w:lvl>
    <w:lvl w:ilvl="8" w:tplc="EECA634E"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B202ED2"/>
    <w:multiLevelType w:val="hybridMultilevel"/>
    <w:tmpl w:val="5FBE54D8"/>
    <w:lvl w:ilvl="0" w:tplc="87902BD4">
      <w:start w:val="1"/>
      <w:numFmt w:val="upperLetter"/>
      <w:lvlText w:val="%1."/>
      <w:lvlJc w:val="left"/>
      <w:pPr>
        <w:ind w:left="720" w:hanging="360"/>
      </w:pPr>
      <w:rPr>
        <w:rFonts w:hint="default"/>
        <w:i/>
      </w:rPr>
    </w:lvl>
    <w:lvl w:ilvl="1" w:tplc="A7D05ECA" w:tentative="1">
      <w:start w:val="1"/>
      <w:numFmt w:val="lowerLetter"/>
      <w:lvlText w:val="%2."/>
      <w:lvlJc w:val="left"/>
      <w:pPr>
        <w:ind w:left="1440" w:hanging="360"/>
      </w:pPr>
    </w:lvl>
    <w:lvl w:ilvl="2" w:tplc="D8C23052" w:tentative="1">
      <w:start w:val="1"/>
      <w:numFmt w:val="lowerRoman"/>
      <w:lvlText w:val="%3."/>
      <w:lvlJc w:val="right"/>
      <w:pPr>
        <w:ind w:left="2160" w:hanging="180"/>
      </w:pPr>
    </w:lvl>
    <w:lvl w:ilvl="3" w:tplc="4100F00E" w:tentative="1">
      <w:start w:val="1"/>
      <w:numFmt w:val="decimal"/>
      <w:lvlText w:val="%4."/>
      <w:lvlJc w:val="left"/>
      <w:pPr>
        <w:ind w:left="2880" w:hanging="360"/>
      </w:pPr>
    </w:lvl>
    <w:lvl w:ilvl="4" w:tplc="FFEA7474" w:tentative="1">
      <w:start w:val="1"/>
      <w:numFmt w:val="lowerLetter"/>
      <w:lvlText w:val="%5."/>
      <w:lvlJc w:val="left"/>
      <w:pPr>
        <w:ind w:left="3600" w:hanging="360"/>
      </w:pPr>
    </w:lvl>
    <w:lvl w:ilvl="5" w:tplc="0AF80F04" w:tentative="1">
      <w:start w:val="1"/>
      <w:numFmt w:val="lowerRoman"/>
      <w:lvlText w:val="%6."/>
      <w:lvlJc w:val="right"/>
      <w:pPr>
        <w:ind w:left="4320" w:hanging="180"/>
      </w:pPr>
    </w:lvl>
    <w:lvl w:ilvl="6" w:tplc="53660618" w:tentative="1">
      <w:start w:val="1"/>
      <w:numFmt w:val="decimal"/>
      <w:lvlText w:val="%7."/>
      <w:lvlJc w:val="left"/>
      <w:pPr>
        <w:ind w:left="5040" w:hanging="360"/>
      </w:pPr>
    </w:lvl>
    <w:lvl w:ilvl="7" w:tplc="333251AE" w:tentative="1">
      <w:start w:val="1"/>
      <w:numFmt w:val="lowerLetter"/>
      <w:lvlText w:val="%8."/>
      <w:lvlJc w:val="left"/>
      <w:pPr>
        <w:ind w:left="5760" w:hanging="360"/>
      </w:pPr>
    </w:lvl>
    <w:lvl w:ilvl="8" w:tplc="D764968A" w:tentative="1">
      <w:start w:val="1"/>
      <w:numFmt w:val="lowerRoman"/>
      <w:lvlText w:val="%9."/>
      <w:lvlJc w:val="right"/>
      <w:pPr>
        <w:ind w:left="6480" w:hanging="180"/>
      </w:pPr>
    </w:lvl>
  </w:abstractNum>
  <w:abstractNum w:abstractNumId="15"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3"/>
  </w:num>
  <w:num w:numId="2" w16cid:durableId="47382885">
    <w:abstractNumId w:val="13"/>
  </w:num>
  <w:num w:numId="3" w16cid:durableId="967853731">
    <w:abstractNumId w:val="13"/>
  </w:num>
  <w:num w:numId="4" w16cid:durableId="1739282265">
    <w:abstractNumId w:val="13"/>
  </w:num>
  <w:num w:numId="5" w16cid:durableId="698892343">
    <w:abstractNumId w:val="0"/>
  </w:num>
  <w:num w:numId="6" w16cid:durableId="1660883641">
    <w:abstractNumId w:val="7"/>
  </w:num>
  <w:num w:numId="7" w16cid:durableId="1863349795">
    <w:abstractNumId w:val="15"/>
  </w:num>
  <w:num w:numId="8" w16cid:durableId="1750734252">
    <w:abstractNumId w:val="2"/>
  </w:num>
  <w:num w:numId="9" w16cid:durableId="203061615">
    <w:abstractNumId w:val="12"/>
  </w:num>
  <w:num w:numId="10" w16cid:durableId="1478497114">
    <w:abstractNumId w:val="17"/>
  </w:num>
  <w:num w:numId="11" w16cid:durableId="1896693444">
    <w:abstractNumId w:val="16"/>
  </w:num>
  <w:num w:numId="12" w16cid:durableId="774787662">
    <w:abstractNumId w:val="6"/>
  </w:num>
  <w:num w:numId="13" w16cid:durableId="1525900646">
    <w:abstractNumId w:val="10"/>
  </w:num>
  <w:num w:numId="14" w16cid:durableId="1455515963">
    <w:abstractNumId w:val="3"/>
  </w:num>
  <w:num w:numId="15" w16cid:durableId="446657998">
    <w:abstractNumId w:val="8"/>
  </w:num>
  <w:num w:numId="16" w16cid:durableId="322592235">
    <w:abstractNumId w:val="4"/>
  </w:num>
  <w:num w:numId="17" w16cid:durableId="596719075">
    <w:abstractNumId w:val="5"/>
  </w:num>
  <w:num w:numId="18" w16cid:durableId="886648604">
    <w:abstractNumId w:val="11"/>
  </w:num>
  <w:num w:numId="19" w16cid:durableId="1835412259">
    <w:abstractNumId w:val="9"/>
  </w:num>
  <w:num w:numId="20" w16cid:durableId="615717422">
    <w:abstractNumId w:val="14"/>
  </w:num>
  <w:num w:numId="21" w16cid:durableId="1048384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1150"/>
    <w:rsid w:val="00061168"/>
    <w:rsid w:val="00066D5F"/>
    <w:rsid w:val="00097314"/>
    <w:rsid w:val="000A5CB2"/>
    <w:rsid w:val="000B73B1"/>
    <w:rsid w:val="000C7CC2"/>
    <w:rsid w:val="000D3D9B"/>
    <w:rsid w:val="000D4CDD"/>
    <w:rsid w:val="000E05E9"/>
    <w:rsid w:val="001310B7"/>
    <w:rsid w:val="00142BFE"/>
    <w:rsid w:val="00145128"/>
    <w:rsid w:val="0016032F"/>
    <w:rsid w:val="001879F6"/>
    <w:rsid w:val="00196664"/>
    <w:rsid w:val="001A0EBD"/>
    <w:rsid w:val="001C0148"/>
    <w:rsid w:val="001C757E"/>
    <w:rsid w:val="001E6A29"/>
    <w:rsid w:val="001E6A50"/>
    <w:rsid w:val="00201D35"/>
    <w:rsid w:val="0020390F"/>
    <w:rsid w:val="00236B16"/>
    <w:rsid w:val="00237FE0"/>
    <w:rsid w:val="002535BB"/>
    <w:rsid w:val="00254B8A"/>
    <w:rsid w:val="00256A6C"/>
    <w:rsid w:val="00263631"/>
    <w:rsid w:val="00264926"/>
    <w:rsid w:val="00285D6C"/>
    <w:rsid w:val="00285FDC"/>
    <w:rsid w:val="002967B1"/>
    <w:rsid w:val="002C0355"/>
    <w:rsid w:val="002D4954"/>
    <w:rsid w:val="002F6659"/>
    <w:rsid w:val="002F7952"/>
    <w:rsid w:val="00303B08"/>
    <w:rsid w:val="00312C00"/>
    <w:rsid w:val="003251E3"/>
    <w:rsid w:val="003271A1"/>
    <w:rsid w:val="00372B29"/>
    <w:rsid w:val="0038211E"/>
    <w:rsid w:val="00383595"/>
    <w:rsid w:val="003861DE"/>
    <w:rsid w:val="003B50B5"/>
    <w:rsid w:val="003B7C7B"/>
    <w:rsid w:val="003D1582"/>
    <w:rsid w:val="003D7E4C"/>
    <w:rsid w:val="003E0A63"/>
    <w:rsid w:val="003E41C2"/>
    <w:rsid w:val="003F1CD1"/>
    <w:rsid w:val="0040458A"/>
    <w:rsid w:val="00411026"/>
    <w:rsid w:val="004332CF"/>
    <w:rsid w:val="0044097F"/>
    <w:rsid w:val="004430F9"/>
    <w:rsid w:val="00452A8A"/>
    <w:rsid w:val="004706FD"/>
    <w:rsid w:val="00471243"/>
    <w:rsid w:val="00471916"/>
    <w:rsid w:val="0049772C"/>
    <w:rsid w:val="004B12D3"/>
    <w:rsid w:val="004B3ED6"/>
    <w:rsid w:val="004E5A7E"/>
    <w:rsid w:val="004F37A1"/>
    <w:rsid w:val="00507E70"/>
    <w:rsid w:val="00511377"/>
    <w:rsid w:val="00517B91"/>
    <w:rsid w:val="00552446"/>
    <w:rsid w:val="00552EEB"/>
    <w:rsid w:val="005D4BB9"/>
    <w:rsid w:val="005D672E"/>
    <w:rsid w:val="005F68AB"/>
    <w:rsid w:val="00620E48"/>
    <w:rsid w:val="00625649"/>
    <w:rsid w:val="00626784"/>
    <w:rsid w:val="00630278"/>
    <w:rsid w:val="006364CD"/>
    <w:rsid w:val="00656A2A"/>
    <w:rsid w:val="006779A8"/>
    <w:rsid w:val="0068162C"/>
    <w:rsid w:val="00684903"/>
    <w:rsid w:val="006944D4"/>
    <w:rsid w:val="006A69BF"/>
    <w:rsid w:val="006D022D"/>
    <w:rsid w:val="006E2602"/>
    <w:rsid w:val="007022A0"/>
    <w:rsid w:val="00703E60"/>
    <w:rsid w:val="00711DF4"/>
    <w:rsid w:val="00712E51"/>
    <w:rsid w:val="00731F5F"/>
    <w:rsid w:val="007854F8"/>
    <w:rsid w:val="007C263E"/>
    <w:rsid w:val="007D70A1"/>
    <w:rsid w:val="008132E8"/>
    <w:rsid w:val="00823407"/>
    <w:rsid w:val="008405AC"/>
    <w:rsid w:val="00843085"/>
    <w:rsid w:val="0086180F"/>
    <w:rsid w:val="008637FF"/>
    <w:rsid w:val="008878CB"/>
    <w:rsid w:val="00893A24"/>
    <w:rsid w:val="008A0D24"/>
    <w:rsid w:val="008B0184"/>
    <w:rsid w:val="008B2A47"/>
    <w:rsid w:val="008B2C0E"/>
    <w:rsid w:val="008C5D02"/>
    <w:rsid w:val="008D1166"/>
    <w:rsid w:val="008D2649"/>
    <w:rsid w:val="008D3A51"/>
    <w:rsid w:val="0090568D"/>
    <w:rsid w:val="00911144"/>
    <w:rsid w:val="009125C9"/>
    <w:rsid w:val="009134E6"/>
    <w:rsid w:val="00913879"/>
    <w:rsid w:val="00917661"/>
    <w:rsid w:val="00935DBB"/>
    <w:rsid w:val="0095519B"/>
    <w:rsid w:val="00957532"/>
    <w:rsid w:val="00970043"/>
    <w:rsid w:val="00970E5D"/>
    <w:rsid w:val="0097701C"/>
    <w:rsid w:val="00980A65"/>
    <w:rsid w:val="00981ADC"/>
    <w:rsid w:val="00997717"/>
    <w:rsid w:val="009A0D92"/>
    <w:rsid w:val="009C50FA"/>
    <w:rsid w:val="009E3E58"/>
    <w:rsid w:val="009E4653"/>
    <w:rsid w:val="00A168DE"/>
    <w:rsid w:val="00A16F2F"/>
    <w:rsid w:val="00A25E70"/>
    <w:rsid w:val="00A33765"/>
    <w:rsid w:val="00A43032"/>
    <w:rsid w:val="00A450F8"/>
    <w:rsid w:val="00A63269"/>
    <w:rsid w:val="00A92377"/>
    <w:rsid w:val="00A93646"/>
    <w:rsid w:val="00A94774"/>
    <w:rsid w:val="00AA4063"/>
    <w:rsid w:val="00AB29ED"/>
    <w:rsid w:val="00AC068D"/>
    <w:rsid w:val="00AC63DA"/>
    <w:rsid w:val="00AD3535"/>
    <w:rsid w:val="00AE4BD8"/>
    <w:rsid w:val="00AF0C8D"/>
    <w:rsid w:val="00AF4631"/>
    <w:rsid w:val="00B030E5"/>
    <w:rsid w:val="00B4388F"/>
    <w:rsid w:val="00B51337"/>
    <w:rsid w:val="00B5168F"/>
    <w:rsid w:val="00B571B9"/>
    <w:rsid w:val="00B605BC"/>
    <w:rsid w:val="00B63237"/>
    <w:rsid w:val="00BB15A8"/>
    <w:rsid w:val="00BF1736"/>
    <w:rsid w:val="00C15D30"/>
    <w:rsid w:val="00C1770B"/>
    <w:rsid w:val="00C24727"/>
    <w:rsid w:val="00C2513A"/>
    <w:rsid w:val="00C30D1C"/>
    <w:rsid w:val="00C62718"/>
    <w:rsid w:val="00C8417D"/>
    <w:rsid w:val="00C960DC"/>
    <w:rsid w:val="00CA70AD"/>
    <w:rsid w:val="00CB1B4B"/>
    <w:rsid w:val="00CB44C0"/>
    <w:rsid w:val="00CC2BC3"/>
    <w:rsid w:val="00CD7B20"/>
    <w:rsid w:val="00D02C75"/>
    <w:rsid w:val="00D10E22"/>
    <w:rsid w:val="00D13D2C"/>
    <w:rsid w:val="00D16D06"/>
    <w:rsid w:val="00D36976"/>
    <w:rsid w:val="00D44353"/>
    <w:rsid w:val="00D62A77"/>
    <w:rsid w:val="00D8082E"/>
    <w:rsid w:val="00DB21FB"/>
    <w:rsid w:val="00DB5264"/>
    <w:rsid w:val="00DC2F94"/>
    <w:rsid w:val="00DD3CF7"/>
    <w:rsid w:val="00DD3D9E"/>
    <w:rsid w:val="00DD7908"/>
    <w:rsid w:val="00E06602"/>
    <w:rsid w:val="00E07057"/>
    <w:rsid w:val="00E229D6"/>
    <w:rsid w:val="00E23DC2"/>
    <w:rsid w:val="00E37E01"/>
    <w:rsid w:val="00E42FB5"/>
    <w:rsid w:val="00E7592C"/>
    <w:rsid w:val="00E82297"/>
    <w:rsid w:val="00E84618"/>
    <w:rsid w:val="00E876A9"/>
    <w:rsid w:val="00EB7883"/>
    <w:rsid w:val="00EE7CF4"/>
    <w:rsid w:val="00EF2599"/>
    <w:rsid w:val="00EF39FD"/>
    <w:rsid w:val="00EF53E7"/>
    <w:rsid w:val="00F06842"/>
    <w:rsid w:val="00F107FD"/>
    <w:rsid w:val="00F15FE1"/>
    <w:rsid w:val="00F37359"/>
    <w:rsid w:val="00F375DD"/>
    <w:rsid w:val="00F423FD"/>
    <w:rsid w:val="00F463C0"/>
    <w:rsid w:val="00F472F4"/>
    <w:rsid w:val="00F677EA"/>
    <w:rsid w:val="00F776CE"/>
    <w:rsid w:val="00F965A9"/>
    <w:rsid w:val="00FA06EC"/>
    <w:rsid w:val="00FA4CFF"/>
    <w:rsid w:val="00FB64A8"/>
    <w:rsid w:val="00FD6CD5"/>
    <w:rsid w:val="00FE37CF"/>
    <w:rsid w:val="00FE7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table" w:styleId="Grigliatabella">
    <w:name w:val="Table Grid"/>
    <w:basedOn w:val="Tabellanormale"/>
    <w:uiPriority w:val="39"/>
    <w:rsid w:val="00D36976"/>
    <w:rPr>
      <w:rFonts w:asciiTheme="minorHAnsi" w:eastAsiaTheme="minorHAnsi" w:hAnsiTheme="minorHAnsi" w:cstheme="minorBid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a">
    <w:name w:val="Bibliography"/>
    <w:basedOn w:val="Normale"/>
    <w:next w:val="Normale"/>
    <w:uiPriority w:val="37"/>
    <w:unhideWhenUsed/>
    <w:rsid w:val="00FE7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TotalTime>
  <Pages>6</Pages>
  <Words>2601</Words>
  <Characters>14842</Characters>
  <Application>Microsoft Office Word</Application>
  <DocSecurity>0</DocSecurity>
  <Lines>293</Lines>
  <Paragraphs>107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Aristide Giuliano</cp:lastModifiedBy>
  <cp:revision>3</cp:revision>
  <cp:lastPrinted>2004-12-17T09:20:00Z</cp:lastPrinted>
  <dcterms:created xsi:type="dcterms:W3CDTF">2023-11-28T09:34:00Z</dcterms:created>
  <dcterms:modified xsi:type="dcterms:W3CDTF">2023-11-28T09:34:00Z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1dbdf9704ae63b23c772d0a2d4dc5007e513b2143281315c46e9c661110ba89d</vt:lpwstr>
  </property>
  <property fmtid="{D5CDD505-2E9C-101B-9397-08002B2CF9AE}" pid="3" name="MSIP_Label_549ac42a-3eb4-4074-b885-aea26bd6241e_ActionId">
    <vt:lpwstr>d1e5754d-f2d2-4025-b8e5-4cd2943f5f30</vt:lpwstr>
  </property>
  <property fmtid="{D5CDD505-2E9C-101B-9397-08002B2CF9AE}" pid="4" name="MSIP_Label_549ac42a-3eb4-4074-b885-aea26bd6241e_ContentBits">
    <vt:lpwstr>0</vt:lpwstr>
  </property>
  <property fmtid="{D5CDD505-2E9C-101B-9397-08002B2CF9AE}" pid="5" name="MSIP_Label_549ac42a-3eb4-4074-b885-aea26bd6241e_Enabled">
    <vt:lpwstr>true</vt:lpwstr>
  </property>
  <property fmtid="{D5CDD505-2E9C-101B-9397-08002B2CF9AE}" pid="6" name="MSIP_Label_549ac42a-3eb4-4074-b885-aea26bd6241e_Method">
    <vt:lpwstr>Standard</vt:lpwstr>
  </property>
  <property fmtid="{D5CDD505-2E9C-101B-9397-08002B2CF9AE}" pid="7" name="MSIP_Label_549ac42a-3eb4-4074-b885-aea26bd6241e_Name">
    <vt:lpwstr>General Business</vt:lpwstr>
  </property>
  <property fmtid="{D5CDD505-2E9C-101B-9397-08002B2CF9AE}" pid="8" name="MSIP_Label_549ac42a-3eb4-4074-b885-aea26bd6241e_SetDate">
    <vt:lpwstr>2023-10-02T08:38:43Z</vt:lpwstr>
  </property>
  <property fmtid="{D5CDD505-2E9C-101B-9397-08002B2CF9AE}" pid="9" name="MSIP_Label_549ac42a-3eb4-4074-b885-aea26bd6241e_SiteId">
    <vt:lpwstr>9274ee3f-9425-4109-a27f-9fb15c10675d</vt:lpwstr>
  </property>
  <property fmtid="{D5CDD505-2E9C-101B-9397-08002B2CF9AE}" pid="10" name="ZOTERO_PREF_1">
    <vt:lpwstr>&lt;data data-version="3" zotero-version="6.0.30"&gt;&lt;session id="LMfzSxw7"/&gt;&lt;style id="http://www.zotero.org/styles/computers-and-chemical-engineering" hasBibliography="1" bibliographyStyleHasBeenSet="1"/&gt;&lt;prefs&gt;&lt;pref name="fieldType" value="Field"/&gt;&lt;/prefs&gt;&lt;/</vt:lpwstr>
  </property>
  <property fmtid="{D5CDD505-2E9C-101B-9397-08002B2CF9AE}" pid="11" name="ZOTERO_PREF_2">
    <vt:lpwstr>data&gt;</vt:lpwstr>
  </property>
</Properties>
</file>