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EC8C" w14:textId="756E1809" w:rsidR="002652ED" w:rsidRDefault="00960E30" w:rsidP="002652ED">
      <w:pPr>
        <w:pStyle w:val="Els-Title"/>
        <w:spacing w:after="0"/>
        <w:rPr>
          <w:color w:val="000000" w:themeColor="text1"/>
        </w:rPr>
      </w:pPr>
      <w:r>
        <w:rPr>
          <w:color w:val="000000" w:themeColor="text1"/>
        </w:rPr>
        <w:t>Optimization</w:t>
      </w:r>
      <w:r w:rsidR="000E4D29">
        <w:rPr>
          <w:color w:val="000000" w:themeColor="text1"/>
        </w:rPr>
        <w:t xml:space="preserve"> </w:t>
      </w:r>
      <w:r w:rsidR="00DE39F7">
        <w:rPr>
          <w:color w:val="000000" w:themeColor="text1"/>
        </w:rPr>
        <w:t xml:space="preserve">with </w:t>
      </w:r>
      <w:r w:rsidR="009B4F40">
        <w:rPr>
          <w:color w:val="000000" w:themeColor="text1"/>
        </w:rPr>
        <w:t>Uncertainty</w:t>
      </w:r>
      <w:r w:rsidR="000E4D29">
        <w:rPr>
          <w:color w:val="000000" w:themeColor="text1"/>
        </w:rPr>
        <w:t xml:space="preserve"> for</w:t>
      </w:r>
      <w:r w:rsidR="00CC216E">
        <w:rPr>
          <w:color w:val="000000" w:themeColor="text1"/>
        </w:rPr>
        <w:t xml:space="preserve"> Pharmaceutical Process Design </w:t>
      </w:r>
      <w:r w:rsidR="005317AB">
        <w:rPr>
          <w:color w:val="000000" w:themeColor="text1"/>
        </w:rPr>
        <w:t>–</w:t>
      </w:r>
      <w:r w:rsidR="000E4D29">
        <w:rPr>
          <w:color w:val="000000" w:themeColor="text1"/>
        </w:rPr>
        <w:t xml:space="preserve"> Ibuprofen</w:t>
      </w:r>
      <w:r w:rsidR="005317AB">
        <w:rPr>
          <w:color w:val="000000" w:themeColor="text1"/>
        </w:rPr>
        <w:t xml:space="preserve"> Synthesis as case study</w:t>
      </w:r>
      <w:r w:rsidR="000E4D29">
        <w:rPr>
          <w:color w:val="000000" w:themeColor="text1"/>
        </w:rPr>
        <w:t xml:space="preserve"> </w:t>
      </w:r>
    </w:p>
    <w:p w14:paraId="144DE680" w14:textId="79D89FC7" w:rsidR="00DD3D9E" w:rsidRPr="00573600" w:rsidRDefault="008521CB">
      <w:pPr>
        <w:pStyle w:val="Els-Author"/>
        <w:rPr>
          <w:lang w:val="da-DK"/>
        </w:rPr>
      </w:pPr>
      <w:r w:rsidRPr="00573600">
        <w:rPr>
          <w:lang w:val="da-DK"/>
        </w:rPr>
        <w:t>Tuse Asrav,</w:t>
      </w:r>
      <w:r w:rsidR="00F61455" w:rsidRPr="00573600">
        <w:rPr>
          <w:lang w:val="da-DK"/>
        </w:rPr>
        <w:t xml:space="preserve"> </w:t>
      </w:r>
      <w:r w:rsidRPr="00573600">
        <w:rPr>
          <w:lang w:val="da-DK"/>
        </w:rPr>
        <w:t>Merlin Alvarado-Morales,</w:t>
      </w:r>
      <w:r w:rsidR="00F61455" w:rsidRPr="00573600">
        <w:rPr>
          <w:lang w:val="da-DK"/>
        </w:rPr>
        <w:t xml:space="preserve"> </w:t>
      </w:r>
      <w:r w:rsidRPr="00573600">
        <w:rPr>
          <w:szCs w:val="22"/>
          <w:lang w:val="da-DK"/>
        </w:rPr>
        <w:t>Gürkan Sin</w:t>
      </w:r>
    </w:p>
    <w:p w14:paraId="7BEF4658" w14:textId="77777777" w:rsidR="00AE250C" w:rsidRDefault="00F61455">
      <w:pPr>
        <w:pStyle w:val="Els-Affiliation"/>
        <w:rPr>
          <w:lang w:val="en-US"/>
        </w:rPr>
      </w:pPr>
      <w:r w:rsidRPr="00F61455">
        <w:rPr>
          <w:lang w:val="en-US"/>
        </w:rPr>
        <w:t>Process and Systems Engineering Center (PROSYS), Department of Chemical and Biochemical Engineering, Technical University of Denmark (DTU), 2800, Kgs. Lyngby/Denmark</w:t>
      </w:r>
    </w:p>
    <w:p w14:paraId="05D9D709" w14:textId="1D8F25AE" w:rsidR="00F61455" w:rsidRPr="00F61455" w:rsidRDefault="00116ED7">
      <w:pPr>
        <w:pStyle w:val="Els-Affiliation"/>
      </w:pPr>
      <w:r>
        <w:rPr>
          <w:lang w:val="en-US"/>
        </w:rPr>
        <w:t>tusas@kt.dtu.dk</w:t>
      </w:r>
      <w:r w:rsidR="00F61455" w:rsidRPr="00F61455">
        <w:t xml:space="preserve"> </w:t>
      </w:r>
    </w:p>
    <w:p w14:paraId="5A43E5E5" w14:textId="00CF605C" w:rsidR="00AE250C" w:rsidRDefault="008D2649" w:rsidP="00AE250C">
      <w:pPr>
        <w:pStyle w:val="Els-Abstract"/>
      </w:pPr>
      <w:r>
        <w:t>Abstract</w:t>
      </w:r>
      <w:r w:rsidR="00073926">
        <w:t xml:space="preserve">  </w:t>
      </w:r>
    </w:p>
    <w:p w14:paraId="5AEE65C3" w14:textId="6E525B8F" w:rsidR="00960E30" w:rsidRDefault="002333BB" w:rsidP="00BD1A94">
      <w:pPr>
        <w:pStyle w:val="Els-body-text"/>
        <w:spacing w:after="0"/>
      </w:pPr>
      <w:r w:rsidRPr="002333BB">
        <w:t>By intensifying the manufacturing processes of active pharmaceutical ingredients, there is potential for enhanced productivity and efficiency. This approach may also contribute to a reduction in environmental impact and result in savings from both energy and cost.</w:t>
      </w:r>
      <w:r w:rsidRPr="002333BB">
        <w:rPr>
          <w:rFonts w:ascii="Segoe UI" w:hAnsi="Segoe UI" w:cs="Segoe UI"/>
        </w:rPr>
        <w:t xml:space="preserve"> </w:t>
      </w:r>
      <w:r w:rsidR="0064295E">
        <w:t>In this</w:t>
      </w:r>
      <w:r w:rsidR="00CC216E">
        <w:t xml:space="preserve"> contribution</w:t>
      </w:r>
      <w:r w:rsidR="00726D88">
        <w:t xml:space="preserve">, </w:t>
      </w:r>
      <w:r w:rsidR="00754A24">
        <w:t xml:space="preserve">optimum operational conditions that </w:t>
      </w:r>
      <w:r w:rsidR="004174F8">
        <w:t>maximize</w:t>
      </w:r>
      <w:r w:rsidR="00754A24">
        <w:t xml:space="preserve"> the concentration of </w:t>
      </w:r>
      <w:r w:rsidR="004174F8">
        <w:t>1-(4-isobutylphenyl)-ethanol</w:t>
      </w:r>
      <w:r w:rsidR="00D63896">
        <w:t xml:space="preserve"> (IBPE)</w:t>
      </w:r>
      <w:r w:rsidR="00BD1A94">
        <w:t xml:space="preserve">, </w:t>
      </w:r>
      <w:r w:rsidR="00754A24">
        <w:t>which is an intermediate product for the synthesis of ibuprofen</w:t>
      </w:r>
      <w:r w:rsidR="00CC216E">
        <w:t xml:space="preserve">, </w:t>
      </w:r>
      <w:r w:rsidR="20FB3FCD">
        <w:t>are</w:t>
      </w:r>
      <w:r w:rsidR="00CC216E">
        <w:t xml:space="preserve"> studied. </w:t>
      </w:r>
      <w:r w:rsidR="0033148B">
        <w:t xml:space="preserve"> </w:t>
      </w:r>
      <w:r w:rsidR="00CC216E">
        <w:t>T</w:t>
      </w:r>
      <w:r w:rsidR="0033148B">
        <w:t>he results from</w:t>
      </w:r>
      <w:r w:rsidR="00471038">
        <w:t xml:space="preserve"> deterministic and stochastic optimization </w:t>
      </w:r>
      <w:r w:rsidR="00CC216E">
        <w:t xml:space="preserve">techniques </w:t>
      </w:r>
      <w:r w:rsidR="0033148B">
        <w:t xml:space="preserve">are </w:t>
      </w:r>
      <w:r w:rsidR="00CC216E">
        <w:t>performed and discussed</w:t>
      </w:r>
      <w:r w:rsidR="000A6421">
        <w:t>.</w:t>
      </w:r>
      <w:r w:rsidR="00F4543C">
        <w:t xml:space="preserve"> </w:t>
      </w:r>
      <w:r w:rsidR="00693D03">
        <w:t>Since t</w:t>
      </w:r>
      <w:r w:rsidR="000B399E">
        <w:t>he uncertainties</w:t>
      </w:r>
      <w:r w:rsidR="00693D03">
        <w:t xml:space="preserve"> </w:t>
      </w:r>
      <w:r w:rsidR="0063178C">
        <w:t xml:space="preserve">are </w:t>
      </w:r>
      <w:r w:rsidR="00CC216E">
        <w:t xml:space="preserve">present in the process/kinetics models, we </w:t>
      </w:r>
      <w:r w:rsidR="003E4D87">
        <w:t>account</w:t>
      </w:r>
      <w:r w:rsidR="00CC216E">
        <w:t xml:space="preserve"> for</w:t>
      </w:r>
      <w:r w:rsidR="003E4D87">
        <w:t xml:space="preserve"> the uncertainties </w:t>
      </w:r>
      <w:r w:rsidR="0063178C">
        <w:t>in</w:t>
      </w:r>
      <w:r w:rsidR="00EB454B">
        <w:t xml:space="preserve"> assessing the robustness</w:t>
      </w:r>
      <w:r w:rsidR="00C977ED">
        <w:t xml:space="preserve"> of the proposed solution</w:t>
      </w:r>
      <w:r w:rsidR="003E4D87">
        <w:t xml:space="preserve">. </w:t>
      </w:r>
      <w:r w:rsidR="00CC216E">
        <w:t xml:space="preserve">To this end, </w:t>
      </w:r>
      <w:proofErr w:type="spellStart"/>
      <w:r w:rsidR="00C43C37">
        <w:t>MOSKopt</w:t>
      </w:r>
      <w:proofErr w:type="spellEnd"/>
      <w:r w:rsidR="00C43C37">
        <w:t xml:space="preserve"> </w:t>
      </w:r>
      <w:r w:rsidR="00152AA2">
        <w:t xml:space="preserve">stochastic simulation-based optimization </w:t>
      </w:r>
      <w:r w:rsidR="00C43C37">
        <w:t xml:space="preserve">framework </w:t>
      </w:r>
      <w:r w:rsidR="0016546C">
        <w:t xml:space="preserve">is used to </w:t>
      </w:r>
      <w:r w:rsidR="00152AA2">
        <w:t xml:space="preserve">deal with </w:t>
      </w:r>
      <w:r w:rsidR="006155AB">
        <w:t>uncertain</w:t>
      </w:r>
      <w:r w:rsidR="00152AA2">
        <w:t xml:space="preserve"> parameters</w:t>
      </w:r>
      <w:r w:rsidR="00CC216E">
        <w:t xml:space="preserve"> in the constraints. </w:t>
      </w:r>
      <w:r w:rsidR="0016546C">
        <w:t xml:space="preserve"> </w:t>
      </w:r>
      <w:r w:rsidR="007B1B42">
        <w:t xml:space="preserve">The </w:t>
      </w:r>
      <w:r w:rsidR="00D63EE4">
        <w:t xml:space="preserve">optimization under uncertainty yields </w:t>
      </w:r>
      <w:r w:rsidR="00215B67">
        <w:t xml:space="preserve">different </w:t>
      </w:r>
      <w:r w:rsidR="00CD0CA1">
        <w:t>operational conditions</w:t>
      </w:r>
      <w:r w:rsidR="00CC216E">
        <w:t xml:space="preserve"> with roughly 10 grams less of product in the batch. This </w:t>
      </w:r>
      <w:r w:rsidR="00DE39F7">
        <w:t xml:space="preserve">optimization with uncertainty approach </w:t>
      </w:r>
      <w:r w:rsidR="00CC216E">
        <w:t xml:space="preserve">provides </w:t>
      </w:r>
      <w:r w:rsidR="00DE39F7">
        <w:t>the engineer with</w:t>
      </w:r>
      <w:r w:rsidR="00CC216E">
        <w:t xml:space="preserve"> </w:t>
      </w:r>
      <w:r w:rsidR="0063178C">
        <w:t xml:space="preserve">the </w:t>
      </w:r>
      <w:r w:rsidR="00CC216E">
        <w:t xml:space="preserve">flexibility to generate and test robust design concepts </w:t>
      </w:r>
      <w:r w:rsidR="00DE39F7">
        <w:t>as a trade-off between</w:t>
      </w:r>
      <w:r w:rsidR="00CC216E">
        <w:t xml:space="preserve"> </w:t>
      </w:r>
      <w:r w:rsidR="00CD0CA1">
        <w:t xml:space="preserve">objective </w:t>
      </w:r>
      <w:r w:rsidR="00CC216E">
        <w:t xml:space="preserve">function </w:t>
      </w:r>
      <w:r w:rsidR="00DE39F7">
        <w:t xml:space="preserve">(such as high yield) and </w:t>
      </w:r>
      <w:r w:rsidR="00CC216E">
        <w:t xml:space="preserve">confidence in the expected performance. </w:t>
      </w:r>
    </w:p>
    <w:p w14:paraId="474AF488" w14:textId="77777777" w:rsidR="00184F2E" w:rsidRDefault="00184F2E" w:rsidP="008D2649">
      <w:pPr>
        <w:pStyle w:val="Els-body-text"/>
      </w:pPr>
    </w:p>
    <w:p w14:paraId="2F8EA12B" w14:textId="54186797" w:rsidR="00AF4401" w:rsidRDefault="008D2649" w:rsidP="008D2649">
      <w:pPr>
        <w:pStyle w:val="Els-body-text"/>
        <w:rPr>
          <w:lang w:val="en-GB"/>
        </w:rPr>
      </w:pPr>
      <w:r>
        <w:rPr>
          <w:b/>
          <w:bCs/>
          <w:lang w:val="en-GB"/>
        </w:rPr>
        <w:t>Keywords</w:t>
      </w:r>
      <w:r>
        <w:rPr>
          <w:lang w:val="en-GB"/>
        </w:rPr>
        <w:t xml:space="preserve">: </w:t>
      </w:r>
      <w:r w:rsidR="00AE250C">
        <w:rPr>
          <w:lang w:val="en-GB"/>
        </w:rPr>
        <w:t xml:space="preserve">Optimization under uncertainty, simulation-based optimization, </w:t>
      </w:r>
      <w:r w:rsidR="005221E5">
        <w:rPr>
          <w:lang w:val="en-GB"/>
        </w:rPr>
        <w:t xml:space="preserve">Monte Carlo simulations, </w:t>
      </w:r>
      <w:r w:rsidR="00121D91">
        <w:rPr>
          <w:lang w:val="en-GB"/>
        </w:rPr>
        <w:t>i</w:t>
      </w:r>
      <w:r w:rsidR="005221E5">
        <w:rPr>
          <w:lang w:val="en-GB"/>
        </w:rPr>
        <w:t>buprofen manufacturing</w:t>
      </w:r>
    </w:p>
    <w:p w14:paraId="1E2EFC2C" w14:textId="61C70AE1" w:rsidR="00DC57EF" w:rsidRDefault="00AE250C" w:rsidP="00DC57EF">
      <w:pPr>
        <w:pStyle w:val="Els-1storder-head"/>
      </w:pPr>
      <w:r>
        <w:t>Introduction</w:t>
      </w:r>
    </w:p>
    <w:p w14:paraId="65D25921" w14:textId="77777777" w:rsidR="00DC6EAC" w:rsidRDefault="003D46F1" w:rsidP="00DC6EAC">
      <w:pPr>
        <w:pStyle w:val="Els-body-text"/>
        <w:spacing w:after="0"/>
      </w:pPr>
      <w:r>
        <w:t xml:space="preserve">Awareness </w:t>
      </w:r>
      <w:r w:rsidR="00C47158">
        <w:t>surrounding the environmental impact of drug development</w:t>
      </w:r>
      <w:r w:rsidR="006856ED">
        <w:t xml:space="preserve"> is </w:t>
      </w:r>
      <w:r w:rsidR="001C362E">
        <w:t xml:space="preserve">continuously </w:t>
      </w:r>
      <w:r w:rsidR="006856ED">
        <w:t xml:space="preserve">growing, which </w:t>
      </w:r>
      <w:r w:rsidR="002C7489">
        <w:t>leads manufacturers toward finding greener</w:t>
      </w:r>
      <w:r w:rsidR="00CC7596">
        <w:t xml:space="preserve"> and more sustainable synthesis methods</w:t>
      </w:r>
      <w:r w:rsidR="009D1AAB">
        <w:t xml:space="preserve"> (</w:t>
      </w:r>
      <w:proofErr w:type="spellStart"/>
      <w:r w:rsidR="009D1AAB">
        <w:t>Gernaey</w:t>
      </w:r>
      <w:proofErr w:type="spellEnd"/>
      <w:r w:rsidR="009D1AAB">
        <w:t xml:space="preserve"> et al., 2012).</w:t>
      </w:r>
      <w:r w:rsidR="00CC7596">
        <w:t xml:space="preserve"> </w:t>
      </w:r>
      <w:r w:rsidR="00C13B4A">
        <w:t xml:space="preserve">In addition to environmental considerations, the </w:t>
      </w:r>
      <w:r w:rsidR="003B0E17">
        <w:t>increas</w:t>
      </w:r>
      <w:r w:rsidR="00111EC7">
        <w:t>e in</w:t>
      </w:r>
      <w:r w:rsidR="003B0E17">
        <w:t xml:space="preserve"> costs of </w:t>
      </w:r>
      <w:r w:rsidR="00DA701B">
        <w:t xml:space="preserve">creating new </w:t>
      </w:r>
      <w:r w:rsidR="003B0E17">
        <w:t xml:space="preserve">pharmaceutical </w:t>
      </w:r>
      <w:r w:rsidR="00DA701B">
        <w:t>ingredients</w:t>
      </w:r>
      <w:r w:rsidR="00737A12">
        <w:t xml:space="preserve"> is another challenge that the pharmaceutical industry is facing.</w:t>
      </w:r>
      <w:r w:rsidR="00823CD5">
        <w:t xml:space="preserve"> </w:t>
      </w:r>
      <w:r w:rsidR="00AC4974">
        <w:t>Therefore, it is relevant to study if the existing synthesis methods are both cost-effective and environmentally friendly and</w:t>
      </w:r>
      <w:r w:rsidR="002E5EE7">
        <w:t xml:space="preserve"> can be carried out using </w:t>
      </w:r>
      <w:r w:rsidR="001E61CF">
        <w:t xml:space="preserve">methods and tools from </w:t>
      </w:r>
      <w:r w:rsidR="002007AF">
        <w:t xml:space="preserve">the </w:t>
      </w:r>
      <w:r w:rsidR="002E5EE7">
        <w:t>Process Systems Engineering</w:t>
      </w:r>
      <w:r w:rsidR="00D63791">
        <w:t xml:space="preserve"> (PSE)</w:t>
      </w:r>
      <w:r w:rsidR="009D1AAB">
        <w:t xml:space="preserve"> </w:t>
      </w:r>
      <w:r w:rsidR="001E61CF">
        <w:t>domain</w:t>
      </w:r>
      <w:r w:rsidR="008C2D5A">
        <w:t>.</w:t>
      </w:r>
      <w:r w:rsidR="00BB72DC">
        <w:t xml:space="preserve"> </w:t>
      </w:r>
      <w:r w:rsidR="00D56B05">
        <w:t>Additionally,</w:t>
      </w:r>
      <w:r w:rsidR="00BB72DC">
        <w:t xml:space="preserve"> </w:t>
      </w:r>
      <w:r w:rsidR="00AF2D09">
        <w:t xml:space="preserve">evaluating </w:t>
      </w:r>
      <w:r w:rsidR="00D56B05">
        <w:t xml:space="preserve">the </w:t>
      </w:r>
      <w:r w:rsidR="006262ED">
        <w:t xml:space="preserve">operating </w:t>
      </w:r>
      <w:r w:rsidR="00D56B05">
        <w:t xml:space="preserve">conditions </w:t>
      </w:r>
      <w:r w:rsidR="00456976">
        <w:t xml:space="preserve">and </w:t>
      </w:r>
      <w:r w:rsidR="002956EC">
        <w:t xml:space="preserve">identifying the influential variables or parameters </w:t>
      </w:r>
      <w:r w:rsidR="000F1DBF">
        <w:t xml:space="preserve">could lead </w:t>
      </w:r>
      <w:r w:rsidR="00924BF7">
        <w:t xml:space="preserve">to </w:t>
      </w:r>
      <w:r w:rsidR="00B53CB2">
        <w:t>improvement</w:t>
      </w:r>
      <w:r w:rsidR="000F1DBF">
        <w:t xml:space="preserve">s </w:t>
      </w:r>
      <w:r w:rsidR="00D45096">
        <w:t>in achieving</w:t>
      </w:r>
      <w:r w:rsidR="00924BF7">
        <w:t xml:space="preserve"> process</w:t>
      </w:r>
      <w:r w:rsidR="009D44D1">
        <w:t xml:space="preserve"> objectives</w:t>
      </w:r>
      <w:r w:rsidR="00C52035">
        <w:t xml:space="preserve"> and </w:t>
      </w:r>
      <w:r w:rsidR="00653236">
        <w:t>implementing</w:t>
      </w:r>
      <w:r w:rsidR="00D45096">
        <w:t xml:space="preserve"> more</w:t>
      </w:r>
      <w:r w:rsidR="00482601">
        <w:t xml:space="preserve"> advanced control strategies.</w:t>
      </w:r>
    </w:p>
    <w:p w14:paraId="46BFBB22" w14:textId="77777777" w:rsidR="005172FD" w:rsidRDefault="005172FD" w:rsidP="00DC6EAC">
      <w:pPr>
        <w:pStyle w:val="Els-body-text"/>
        <w:spacing w:after="0"/>
      </w:pPr>
    </w:p>
    <w:p w14:paraId="5903F8DF" w14:textId="129A5BC8" w:rsidR="00E94A23" w:rsidRDefault="00BA6B7C" w:rsidP="00DC6EAC">
      <w:pPr>
        <w:pStyle w:val="Els-body-text"/>
        <w:spacing w:after="0"/>
      </w:pPr>
      <w:r>
        <w:t>T</w:t>
      </w:r>
      <w:r w:rsidR="0077224D">
        <w:t>here are many studies about t</w:t>
      </w:r>
      <w:r>
        <w:t>he synthesis of o</w:t>
      </w:r>
      <w:r w:rsidR="003E508F">
        <w:t xml:space="preserve">ne </w:t>
      </w:r>
      <w:r w:rsidR="00F04468">
        <w:t xml:space="preserve">of the widely used active pharmaceutical </w:t>
      </w:r>
      <w:r w:rsidR="00706973">
        <w:t>ingredients</w:t>
      </w:r>
      <w:r w:rsidR="00F04468">
        <w:t xml:space="preserve">, </w:t>
      </w:r>
      <w:r w:rsidR="003D46F1">
        <w:t xml:space="preserve">namely </w:t>
      </w:r>
      <w:r w:rsidR="00F04468">
        <w:t>ibuprofen</w:t>
      </w:r>
      <w:r w:rsidR="003D46F1">
        <w:t>. While some of these studies show</w:t>
      </w:r>
      <w:r w:rsidR="00767975">
        <w:t xml:space="preserve"> that</w:t>
      </w:r>
      <w:r w:rsidR="00EB4728">
        <w:t xml:space="preserve"> continuous manufacturing production is</w:t>
      </w:r>
      <w:r w:rsidR="001C1549">
        <w:t xml:space="preserve"> feasible</w:t>
      </w:r>
      <w:r w:rsidR="009D1AAB">
        <w:t xml:space="preserve"> (Jolliffe et al., 2016)</w:t>
      </w:r>
      <w:r w:rsidR="00706973">
        <w:t>, h</w:t>
      </w:r>
      <w:r w:rsidR="001C1549">
        <w:t>owever</w:t>
      </w:r>
      <w:r w:rsidR="00A165D8">
        <w:t xml:space="preserve">, </w:t>
      </w:r>
      <w:r w:rsidR="00502BEE">
        <w:t xml:space="preserve">a significant portion of the industry continues to depend on </w:t>
      </w:r>
      <w:r w:rsidR="00AC174F">
        <w:t>Hoechst</w:t>
      </w:r>
      <w:r w:rsidR="00502BEE">
        <w:t xml:space="preserve"> batch production. </w:t>
      </w:r>
      <w:r w:rsidR="00D55D7D">
        <w:t xml:space="preserve">For </w:t>
      </w:r>
      <w:r w:rsidR="00D55D7D">
        <w:lastRenderedPageBreak/>
        <w:t xml:space="preserve">some of the production steps, the </w:t>
      </w:r>
      <w:r w:rsidR="00D24F79">
        <w:t xml:space="preserve">reaction kinetics and the data could be found </w:t>
      </w:r>
      <w:r w:rsidR="002007AF">
        <w:t xml:space="preserve">in </w:t>
      </w:r>
      <w:r w:rsidR="007C6502">
        <w:t>the literature</w:t>
      </w:r>
      <w:r w:rsidR="005D4FFC">
        <w:t xml:space="preserve"> based on the experiments</w:t>
      </w:r>
      <w:r w:rsidR="00F56EFC">
        <w:t xml:space="preserve"> (Thakar et al., 2007)</w:t>
      </w:r>
      <w:r w:rsidR="006B0240">
        <w:t>.</w:t>
      </w:r>
      <w:r w:rsidR="005D4FFC">
        <w:t xml:space="preserve"> </w:t>
      </w:r>
      <w:r w:rsidR="00BE6969">
        <w:t>Montes et al</w:t>
      </w:r>
      <w:r w:rsidR="00A43DAE">
        <w:t>. (2018)</w:t>
      </w:r>
      <w:r w:rsidR="00BE6969">
        <w:t xml:space="preserve">, </w:t>
      </w:r>
      <w:r w:rsidR="00176962">
        <w:t xml:space="preserve">proposed a </w:t>
      </w:r>
      <w:r w:rsidR="00EB3B26">
        <w:t xml:space="preserve">dynamic simulation model </w:t>
      </w:r>
      <w:r w:rsidR="003D46F1">
        <w:t xml:space="preserve">to study </w:t>
      </w:r>
      <w:r w:rsidR="75AFB4D9">
        <w:t>plantwide</w:t>
      </w:r>
      <w:r w:rsidR="003D46F1">
        <w:t xml:space="preserve"> dynamics and operation including propagation of disturbances in the production of ib</w:t>
      </w:r>
      <w:r w:rsidR="6990C8CE">
        <w:t>u</w:t>
      </w:r>
      <w:r w:rsidR="003D46F1">
        <w:t>pr</w:t>
      </w:r>
      <w:r w:rsidR="40D896F2">
        <w:t>o</w:t>
      </w:r>
      <w:r w:rsidR="003D46F1">
        <w:t xml:space="preserve">fen. </w:t>
      </w:r>
    </w:p>
    <w:p w14:paraId="765FA9AA" w14:textId="4E0FD82A" w:rsidR="007F316E" w:rsidRDefault="002C6B40" w:rsidP="00DC6EAC">
      <w:pPr>
        <w:pStyle w:val="Els-body-text"/>
        <w:spacing w:after="0"/>
      </w:pPr>
      <w:r>
        <w:t xml:space="preserve">In this work, </w:t>
      </w:r>
      <w:r w:rsidR="00552EB3">
        <w:t xml:space="preserve">the aim is to </w:t>
      </w:r>
      <w:r w:rsidR="002D5204">
        <w:t xml:space="preserve">study </w:t>
      </w:r>
      <w:r w:rsidR="003D46F1">
        <w:t>the feasibility of applying simulation</w:t>
      </w:r>
      <w:r w:rsidR="3DC8A814">
        <w:t>-</w:t>
      </w:r>
      <w:r w:rsidR="003D46F1">
        <w:t xml:space="preserve">based optimization methods to </w:t>
      </w:r>
      <w:r w:rsidR="002D5204">
        <w:t>expl</w:t>
      </w:r>
      <w:r w:rsidR="009D1AAB">
        <w:t>ore</w:t>
      </w:r>
      <w:r w:rsidR="002D5204">
        <w:t xml:space="preserve"> </w:t>
      </w:r>
      <w:r w:rsidR="00552EB3">
        <w:t xml:space="preserve">the </w:t>
      </w:r>
      <w:r w:rsidR="003D46F1">
        <w:t xml:space="preserve">optimal </w:t>
      </w:r>
      <w:r w:rsidR="00552EB3">
        <w:t xml:space="preserve">operating conditions for </w:t>
      </w:r>
      <w:r w:rsidR="00B76B91">
        <w:t xml:space="preserve">the </w:t>
      </w:r>
      <w:r w:rsidR="007F316E">
        <w:t xml:space="preserve">hydrogenation step of the ibuprofen synthesis while </w:t>
      </w:r>
      <w:r w:rsidR="00C67167">
        <w:t>considering</w:t>
      </w:r>
      <w:r w:rsidR="007F316E">
        <w:t xml:space="preserve"> the uncertainties </w:t>
      </w:r>
      <w:r w:rsidR="00804171">
        <w:t xml:space="preserve">in </w:t>
      </w:r>
      <w:r w:rsidR="007F316E">
        <w:t xml:space="preserve">the parameters. </w:t>
      </w:r>
      <w:r w:rsidR="002442AD">
        <w:t>Given that parameters are derived through parameter estimation methods that may not yield precise outcomes, the uncertainties associated with the parameters should be considered to achieve greater robustness.</w:t>
      </w:r>
    </w:p>
    <w:p w14:paraId="37E49492" w14:textId="77777777" w:rsidR="005172FD" w:rsidRDefault="005172FD" w:rsidP="00DC6EAC">
      <w:pPr>
        <w:pStyle w:val="Els-body-text"/>
        <w:spacing w:after="0"/>
      </w:pPr>
    </w:p>
    <w:p w14:paraId="69770684" w14:textId="447AD906" w:rsidR="00481683" w:rsidRDefault="00AA64DF" w:rsidP="00DC6EAC">
      <w:pPr>
        <w:pStyle w:val="Els-body-text"/>
        <w:spacing w:after="0"/>
      </w:pPr>
      <w:r>
        <w:t xml:space="preserve">For the scope of the work, </w:t>
      </w:r>
      <w:r w:rsidR="0012485B">
        <w:t xml:space="preserve">the optimization of the operating conditions is </w:t>
      </w:r>
      <w:r w:rsidR="00935BDE">
        <w:t xml:space="preserve">conducted through </w:t>
      </w:r>
      <w:r w:rsidR="001C56E5">
        <w:t xml:space="preserve">three different </w:t>
      </w:r>
      <w:r w:rsidR="002D5204">
        <w:t xml:space="preserve">optimization </w:t>
      </w:r>
      <w:r w:rsidR="004A3556">
        <w:t>approache</w:t>
      </w:r>
      <w:r w:rsidR="000A18DB">
        <w:t>s</w:t>
      </w:r>
      <w:r w:rsidR="001C56E5">
        <w:t xml:space="preserve">. </w:t>
      </w:r>
      <w:r w:rsidR="0078753A">
        <w:t xml:space="preserve">As the </w:t>
      </w:r>
      <w:r w:rsidR="00C70444">
        <w:t>initial</w:t>
      </w:r>
      <w:r w:rsidR="0078753A">
        <w:t xml:space="preserve"> approach, t</w:t>
      </w:r>
      <w:r w:rsidR="00FC3371">
        <w:t>he</w:t>
      </w:r>
      <w:r w:rsidR="00853B72">
        <w:t xml:space="preserve"> optimization problem is </w:t>
      </w:r>
      <w:r w:rsidR="00203F5A">
        <w:t>formulated</w:t>
      </w:r>
      <w:r w:rsidR="002D5204">
        <w:t xml:space="preserve"> deterministically</w:t>
      </w:r>
      <w:r w:rsidR="00853B72">
        <w:t xml:space="preserve"> as a </w:t>
      </w:r>
      <w:r w:rsidR="00EF4A74">
        <w:t>constrained nonlinear</w:t>
      </w:r>
      <w:r w:rsidR="007E4FBC">
        <w:t xml:space="preserve"> </w:t>
      </w:r>
      <w:r w:rsidR="7AD9A1F4">
        <w:t>problem and</w:t>
      </w:r>
      <w:r w:rsidR="005B5ADE">
        <w:t xml:space="preserve"> </w:t>
      </w:r>
      <w:r w:rsidR="002D5204">
        <w:t xml:space="preserve">solved using </w:t>
      </w:r>
      <w:r w:rsidR="005B5ADE">
        <w:t>an interior-point algorithm</w:t>
      </w:r>
      <w:r w:rsidR="00EA652C">
        <w:t xml:space="preserve"> </w:t>
      </w:r>
      <w:r w:rsidR="002D5204">
        <w:t xml:space="preserve">implemented in </w:t>
      </w:r>
      <w:proofErr w:type="spellStart"/>
      <w:r w:rsidR="002D5204">
        <w:t>Matlab</w:t>
      </w:r>
      <w:proofErr w:type="spellEnd"/>
      <w:r w:rsidR="003E316A">
        <w:t xml:space="preserve"> by </w:t>
      </w:r>
      <w:r w:rsidR="00437C59">
        <w:t xml:space="preserve">running </w:t>
      </w:r>
      <w:proofErr w:type="spellStart"/>
      <w:r w:rsidR="00437C59">
        <w:t>fmincon</w:t>
      </w:r>
      <w:proofErr w:type="spellEnd"/>
      <w:r w:rsidR="00437C59">
        <w:t xml:space="preserve"> solver in parallel from multiple start points.</w:t>
      </w:r>
      <w:r w:rsidR="002D5204">
        <w:t xml:space="preserve"> </w:t>
      </w:r>
      <w:r w:rsidR="00D462AE">
        <w:t>A simulation-based optimization with and without uncertainties is used for the other approaches</w:t>
      </w:r>
      <w:r w:rsidR="002D5204">
        <w:t xml:space="preserve">. To this end, </w:t>
      </w:r>
      <w:proofErr w:type="spellStart"/>
      <w:r w:rsidR="007B4A79">
        <w:t>MOSKopt</w:t>
      </w:r>
      <w:proofErr w:type="spellEnd"/>
      <w:r w:rsidR="00E6127B">
        <w:t xml:space="preserve"> optimization framework</w:t>
      </w:r>
      <w:r w:rsidR="002D5204">
        <w:t xml:space="preserve"> is </w:t>
      </w:r>
      <w:r w:rsidR="2783B8E0">
        <w:t>used, which</w:t>
      </w:r>
      <w:r w:rsidR="002D5204">
        <w:t xml:space="preserve"> employs a surrogate</w:t>
      </w:r>
      <w:r w:rsidR="4CBB8C62">
        <w:t>-</w:t>
      </w:r>
      <w:r w:rsidR="002D5204">
        <w:t>based modeling approach to deal with</w:t>
      </w:r>
      <w:r w:rsidR="007C2F0C">
        <w:t xml:space="preserve"> uncertainties</w:t>
      </w:r>
      <w:r w:rsidR="002D5204">
        <w:t xml:space="preserve"> as described in </w:t>
      </w:r>
      <w:r w:rsidR="007C2F0C">
        <w:t>Al et al.</w:t>
      </w:r>
      <w:r w:rsidR="009D1AAB">
        <w:t xml:space="preserve"> (</w:t>
      </w:r>
      <w:r w:rsidR="007C2F0C">
        <w:t>2020</w:t>
      </w:r>
      <w:r w:rsidR="009D1AAB">
        <w:t>)</w:t>
      </w:r>
      <w:r w:rsidR="00896ADA">
        <w:t>.</w:t>
      </w:r>
      <w:r w:rsidR="002D5204">
        <w:t xml:space="preserve"> </w:t>
      </w:r>
    </w:p>
    <w:p w14:paraId="1569D837" w14:textId="285D9574" w:rsidR="00024465" w:rsidRDefault="001145D6" w:rsidP="00CD1F6C">
      <w:pPr>
        <w:pStyle w:val="Els-1storder-head"/>
      </w:pPr>
      <w:r>
        <w:t>Methodology</w:t>
      </w:r>
      <w:r w:rsidR="00073926">
        <w:t xml:space="preserve"> </w:t>
      </w:r>
    </w:p>
    <w:p w14:paraId="144DE69A" w14:textId="5E5F9F29" w:rsidR="008D2649" w:rsidRDefault="001145D6" w:rsidP="008D2649">
      <w:pPr>
        <w:pStyle w:val="Els-2ndorder-head"/>
      </w:pPr>
      <w:r>
        <w:t xml:space="preserve">Simulation-based </w:t>
      </w:r>
      <w:r w:rsidR="00EB3D09">
        <w:t>o</w:t>
      </w:r>
      <w:r>
        <w:t xml:space="preserve">ptimization: </w:t>
      </w:r>
      <w:proofErr w:type="spellStart"/>
      <w:r>
        <w:t>MOSKopt</w:t>
      </w:r>
      <w:proofErr w:type="spellEnd"/>
    </w:p>
    <w:p w14:paraId="2719A068" w14:textId="7BB04AEA" w:rsidR="007E525A" w:rsidRPr="007E525A" w:rsidRDefault="007E525A" w:rsidP="007E525A">
      <w:pPr>
        <w:pStyle w:val="Els-body-text"/>
      </w:pPr>
      <w:proofErr w:type="spellStart"/>
      <w:r>
        <w:t>MOSKopt</w:t>
      </w:r>
      <w:proofErr w:type="spellEnd"/>
      <w:r w:rsidR="0054304A">
        <w:t xml:space="preserve">, a </w:t>
      </w:r>
      <w:r w:rsidR="00E70129">
        <w:t xml:space="preserve">stochastic </w:t>
      </w:r>
      <w:r w:rsidR="00FF7A73">
        <w:t>simulation-based optimization framework</w:t>
      </w:r>
      <w:r w:rsidR="0054304A">
        <w:t xml:space="preserve">, </w:t>
      </w:r>
      <w:r w:rsidR="00FF7A73">
        <w:t xml:space="preserve">allows </w:t>
      </w:r>
      <w:r w:rsidR="0088168D">
        <w:t xml:space="preserve">for </w:t>
      </w:r>
      <w:r w:rsidR="001010F7">
        <w:t>solving constrained</w:t>
      </w:r>
      <w:r w:rsidR="00E70129">
        <w:t xml:space="preserve"> </w:t>
      </w:r>
      <w:r w:rsidR="00DB4ED9">
        <w:t xml:space="preserve">complex </w:t>
      </w:r>
      <w:r>
        <w:t>optimization</w:t>
      </w:r>
      <w:r w:rsidR="00DB4ED9">
        <w:t xml:space="preserve"> </w:t>
      </w:r>
      <w:r>
        <w:t>problems.</w:t>
      </w:r>
      <w:r w:rsidR="00A93C94">
        <w:t xml:space="preserve"> </w:t>
      </w:r>
      <w:r w:rsidR="00356E85">
        <w:t xml:space="preserve">For </w:t>
      </w:r>
      <w:r w:rsidR="001B6F8F">
        <w:t>efficient exploration of design space</w:t>
      </w:r>
      <w:r w:rsidR="00505905">
        <w:t xml:space="preserve">, </w:t>
      </w:r>
      <w:r w:rsidR="00356E85">
        <w:t>surrogate models</w:t>
      </w:r>
      <w:r w:rsidR="00AF4D38">
        <w:t xml:space="preserve"> are employed which are</w:t>
      </w:r>
      <w:r w:rsidR="00505905">
        <w:t xml:space="preserve"> </w:t>
      </w:r>
      <w:r w:rsidR="006547CF">
        <w:t>created based on an initial set of design space</w:t>
      </w:r>
      <w:r w:rsidR="00002DE9">
        <w:t xml:space="preserve"> using Latin </w:t>
      </w:r>
      <w:r w:rsidR="0088168D">
        <w:t xml:space="preserve">hypercube </w:t>
      </w:r>
      <w:r w:rsidR="0035420E">
        <w:t>s</w:t>
      </w:r>
      <w:r w:rsidR="00002DE9">
        <w:t>ampling</w:t>
      </w:r>
      <w:r w:rsidR="00EF1EE9">
        <w:t xml:space="preserve">, </w:t>
      </w:r>
      <w:r w:rsidR="00AF4D38">
        <w:t xml:space="preserve">and </w:t>
      </w:r>
      <w:r w:rsidR="00EF1EE9">
        <w:t xml:space="preserve">iteratively enhanced with additional samples based on </w:t>
      </w:r>
      <w:r w:rsidR="00BC1CAF">
        <w:t>infill criteria</w:t>
      </w:r>
      <w:r w:rsidR="00EF1EE9">
        <w:t>.</w:t>
      </w:r>
      <w:r w:rsidR="006547CF">
        <w:t xml:space="preserve"> </w:t>
      </w:r>
      <w:r w:rsidR="005172FD">
        <w:t>The infill</w:t>
      </w:r>
      <w:r w:rsidR="00604830">
        <w:t xml:space="preserve"> criteri</w:t>
      </w:r>
      <w:r w:rsidR="005172FD">
        <w:t>on</w:t>
      </w:r>
      <w:r w:rsidR="00604830">
        <w:t xml:space="preserve"> is selected as</w:t>
      </w:r>
      <w:r w:rsidR="005172FD">
        <w:t xml:space="preserve"> </w:t>
      </w:r>
      <w:r w:rsidR="00DC5B7F">
        <w:t xml:space="preserve">multiple constrained feasibility enhanced expected improvement </w:t>
      </w:r>
      <w:r w:rsidR="004246D8">
        <w:t xml:space="preserve">in this work </w:t>
      </w:r>
      <w:r w:rsidR="00154FA8">
        <w:t>since it</w:t>
      </w:r>
      <w:r w:rsidR="00CE1D07">
        <w:t xml:space="preserve"> </w:t>
      </w:r>
      <w:r w:rsidR="006218D1">
        <w:t>separately</w:t>
      </w:r>
      <w:r w:rsidR="001167AF">
        <w:t xml:space="preserve"> considers the </w:t>
      </w:r>
      <w:r w:rsidR="00083369">
        <w:t xml:space="preserve">probability of </w:t>
      </w:r>
      <w:r w:rsidR="00887AAE">
        <w:t>feasibility for each</w:t>
      </w:r>
      <w:r w:rsidR="00F73280">
        <w:t xml:space="preserve"> stochastic</w:t>
      </w:r>
      <w:r w:rsidR="00887AAE">
        <w:t xml:space="preserve"> constraint</w:t>
      </w:r>
      <w:r w:rsidR="002F468A">
        <w:t xml:space="preserve"> while simultaneously </w:t>
      </w:r>
      <w:r w:rsidR="00B53CB2">
        <w:t xml:space="preserve">seeking enhancements </w:t>
      </w:r>
      <w:r w:rsidR="002F468A">
        <w:t>in the objective value</w:t>
      </w:r>
      <w:r w:rsidR="00896ADA">
        <w:t xml:space="preserve"> </w:t>
      </w:r>
      <w:r w:rsidR="00DC5B7F">
        <w:t>(Al et al., 2020)</w:t>
      </w:r>
      <w:r w:rsidR="00896ADA">
        <w:t>.</w:t>
      </w:r>
      <w:r w:rsidR="00736CB8">
        <w:t xml:space="preserve"> </w:t>
      </w:r>
      <w:proofErr w:type="gramStart"/>
      <w:r w:rsidR="006547CF">
        <w:t>Stochastic</w:t>
      </w:r>
      <w:proofErr w:type="gramEnd"/>
      <w:r w:rsidR="006547CF">
        <w:t xml:space="preserve"> Kriging model </w:t>
      </w:r>
      <w:r w:rsidR="00E13668">
        <w:t xml:space="preserve">is </w:t>
      </w:r>
      <w:r w:rsidR="006547CF">
        <w:t>used as a surrogate model because of the ability to handle intrinsic and extrinsic types of uncertaint</w:t>
      </w:r>
      <w:r w:rsidR="0056364B">
        <w:t>ies of stochastic simulations by introducing an additional noise model (Ankenman et al.,</w:t>
      </w:r>
      <w:r w:rsidR="00CE4C62">
        <w:t xml:space="preserve"> 2010</w:t>
      </w:r>
      <w:r w:rsidR="0056364B">
        <w:t>)</w:t>
      </w:r>
      <w:r w:rsidR="00896ADA">
        <w:t>.</w:t>
      </w:r>
    </w:p>
    <w:p w14:paraId="1578EDF1" w14:textId="68637D8A" w:rsidR="00EB3D09" w:rsidRDefault="00EB3D09" w:rsidP="00EB3D09">
      <w:pPr>
        <w:pStyle w:val="Els-3rdorder-head"/>
      </w:pPr>
      <w:r>
        <w:t>Monte Carlo uncertainty simulations</w:t>
      </w:r>
    </w:p>
    <w:p w14:paraId="46B5BAA9" w14:textId="0F8C7499" w:rsidR="008064AA" w:rsidRPr="0099573F" w:rsidRDefault="00F60517" w:rsidP="00CE4C62">
      <w:pPr>
        <w:pStyle w:val="Els-body-text"/>
      </w:pPr>
      <w:r>
        <w:t xml:space="preserve">Monte Carlo method is </w:t>
      </w:r>
      <w:r w:rsidR="000E459F">
        <w:t xml:space="preserve">widely used to estimate the numerical outcomes of uncertain processes by </w:t>
      </w:r>
      <w:r w:rsidR="002D5204">
        <w:t xml:space="preserve">employing </w:t>
      </w:r>
      <w:r w:rsidR="000E459F">
        <w:t xml:space="preserve">random sampling </w:t>
      </w:r>
      <w:r w:rsidR="002D5204">
        <w:t>strategies</w:t>
      </w:r>
      <w:r>
        <w:t>.</w:t>
      </w:r>
      <w:r w:rsidR="000E459F">
        <w:t xml:space="preserve"> Accordingly,</w:t>
      </w:r>
      <w:r w:rsidR="0099573F">
        <w:t xml:space="preserve"> Monte Carlo simulations </w:t>
      </w:r>
      <w:r>
        <w:t xml:space="preserve">can be integrated into the </w:t>
      </w:r>
      <w:proofErr w:type="spellStart"/>
      <w:r>
        <w:t>MOSKopt</w:t>
      </w:r>
      <w:proofErr w:type="spellEnd"/>
      <w:r w:rsidR="000E459F">
        <w:t xml:space="preserve"> framework </w:t>
      </w:r>
      <w:r w:rsidR="003D77BA">
        <w:t>to account for</w:t>
      </w:r>
      <w:r w:rsidR="008D4468">
        <w:t xml:space="preserve"> </w:t>
      </w:r>
      <w:r w:rsidR="000E459F">
        <w:t xml:space="preserve">uncertainties </w:t>
      </w:r>
      <w:r w:rsidR="000E0280">
        <w:t xml:space="preserve">while </w:t>
      </w:r>
      <w:r w:rsidR="00F71CA6">
        <w:t>searching for</w:t>
      </w:r>
      <w:r w:rsidR="000E0280">
        <w:t xml:space="preserve"> </w:t>
      </w:r>
      <w:r w:rsidR="0054589D">
        <w:t>an optimal combination of design an</w:t>
      </w:r>
      <w:r w:rsidR="00CA2FEB">
        <w:t>d</w:t>
      </w:r>
      <w:r w:rsidR="0054589D">
        <w:t xml:space="preserve"> operational </w:t>
      </w:r>
      <w:r w:rsidR="00CA2FEB">
        <w:t xml:space="preserve">decisions. </w:t>
      </w:r>
      <w:r w:rsidR="000E459F">
        <w:t>The objective and constraints of the optimization problem can be calculated for each design sample considering the uncertainty scenarios provided by Monte Carlo simulations.</w:t>
      </w:r>
      <w:r w:rsidR="004F08F9">
        <w:t xml:space="preserve"> </w:t>
      </w:r>
      <w:r w:rsidR="00653236">
        <w:t>To</w:t>
      </w:r>
      <w:r w:rsidR="004F08F9">
        <w:t xml:space="preserve"> </w:t>
      </w:r>
      <w:r w:rsidR="00813619">
        <w:t xml:space="preserve">find the optimal design points </w:t>
      </w:r>
      <w:r w:rsidR="00AB6B10">
        <w:t xml:space="preserve">in </w:t>
      </w:r>
      <w:r w:rsidR="00813619">
        <w:t>the design space</w:t>
      </w:r>
      <w:r w:rsidR="00C534CB">
        <w:t xml:space="preserve">, hedging strategies are </w:t>
      </w:r>
      <w:r w:rsidR="0099757D">
        <w:t>used against uncertainties</w:t>
      </w:r>
      <w:r w:rsidR="00896ADA">
        <w:t xml:space="preserve"> </w:t>
      </w:r>
      <w:r w:rsidR="006873C6">
        <w:t>(Al et al., 2020)</w:t>
      </w:r>
      <w:r w:rsidR="00896ADA">
        <w:t>.</w:t>
      </w:r>
      <w:r w:rsidR="00CC3677">
        <w:t xml:space="preserve"> </w:t>
      </w:r>
      <w:r w:rsidR="001D644D">
        <w:t xml:space="preserve">The selected hedging strategy for this work </w:t>
      </w:r>
      <w:r w:rsidR="00621343">
        <w:t xml:space="preserve">involves </w:t>
      </w:r>
      <w:r w:rsidR="00A50075">
        <w:t xml:space="preserve">keeping the mean plus one standard deviation </w:t>
      </w:r>
      <w:r w:rsidR="006873C6">
        <w:t xml:space="preserve">of constraint observations from Monte Carlo simulations below the constraint limit. </w:t>
      </w:r>
      <w:r w:rsidR="002D5204">
        <w:t>This strategy</w:t>
      </w:r>
      <w:r w:rsidR="00381A48">
        <w:t xml:space="preserve"> of using</w:t>
      </w:r>
      <w:r w:rsidR="002D5204">
        <w:t xml:space="preserve"> </w:t>
      </w:r>
      <w:r w:rsidR="00381A48">
        <w:t xml:space="preserve">mean plus sigma in the </w:t>
      </w:r>
      <w:r w:rsidR="0061399C">
        <w:t xml:space="preserve">objective function is useful as it accounts for </w:t>
      </w:r>
      <w:r w:rsidR="00381A48">
        <w:t xml:space="preserve">both average performance and the associated risk or variability </w:t>
      </w:r>
      <w:bookmarkStart w:id="0" w:name="_Int_Pl2O0W51"/>
      <w:r w:rsidR="00381A48">
        <w:t>into</w:t>
      </w:r>
      <w:bookmarkEnd w:id="0"/>
      <w:r w:rsidR="00381A48">
        <w:t xml:space="preserve"> the decision-making process</w:t>
      </w:r>
      <w:r w:rsidR="0061399C">
        <w:t>. Hence the resulting decision variables will be more robust against not only the most expected outcome but a wider range of outcomes</w:t>
      </w:r>
      <w:r w:rsidR="00411F6A">
        <w:t xml:space="preserve"> (Wang and </w:t>
      </w:r>
      <w:proofErr w:type="spellStart"/>
      <w:r w:rsidR="00411F6A">
        <w:t>Ierapetritou</w:t>
      </w:r>
      <w:proofErr w:type="spellEnd"/>
      <w:r w:rsidR="00411F6A">
        <w:t>, 2018).</w:t>
      </w:r>
    </w:p>
    <w:p w14:paraId="79311B57" w14:textId="4F4B7FE6" w:rsidR="001145D6" w:rsidRDefault="00FA3575" w:rsidP="001145D6">
      <w:pPr>
        <w:pStyle w:val="Els-1storder-head"/>
      </w:pPr>
      <w:r>
        <w:lastRenderedPageBreak/>
        <w:t xml:space="preserve">Application to </w:t>
      </w:r>
      <w:r w:rsidR="00B4092B">
        <w:t>Ibuprofen</w:t>
      </w:r>
      <w:r>
        <w:t xml:space="preserve"> Synthesis</w:t>
      </w:r>
      <w:r w:rsidR="00B4092B">
        <w:t xml:space="preserve"> </w:t>
      </w:r>
    </w:p>
    <w:p w14:paraId="34663F71" w14:textId="23B1EC32" w:rsidR="002A70B4" w:rsidRPr="002A70B4" w:rsidRDefault="20847243" w:rsidP="002A70B4">
      <w:pPr>
        <w:pStyle w:val="Els-2ndorder-head"/>
      </w:pPr>
      <w:r>
        <w:t>Upstream Processes</w:t>
      </w:r>
    </w:p>
    <w:p w14:paraId="6316A2C2" w14:textId="3CF364F0" w:rsidR="002A70B4" w:rsidRDefault="009C0531" w:rsidP="00D85D11">
      <w:pPr>
        <w:pStyle w:val="Els-body-text"/>
      </w:pPr>
      <w:r>
        <w:t xml:space="preserve">In this work, </w:t>
      </w:r>
      <w:r w:rsidR="00B65C0E">
        <w:t xml:space="preserve">ibuprofen is produced </w:t>
      </w:r>
      <w:r w:rsidR="006A01F4">
        <w:t xml:space="preserve">following the </w:t>
      </w:r>
      <w:proofErr w:type="spellStart"/>
      <w:r w:rsidR="006A01F4">
        <w:t>Hoescht</w:t>
      </w:r>
      <w:proofErr w:type="spellEnd"/>
      <w:r w:rsidR="006A01F4">
        <w:t xml:space="preserve"> synthesis pathway </w:t>
      </w:r>
      <w:r w:rsidR="0050357B">
        <w:t xml:space="preserve">involving </w:t>
      </w:r>
      <w:r w:rsidR="3D58F586">
        <w:t>three main reaction steps:</w:t>
      </w:r>
      <w:r w:rsidR="58A850CD">
        <w:t xml:space="preserve"> </w:t>
      </w:r>
      <w:r w:rsidR="70391233">
        <w:t>Friede</w:t>
      </w:r>
      <w:r w:rsidR="005D2A65">
        <w:t>l-C</w:t>
      </w:r>
      <w:r w:rsidR="70391233">
        <w:t>raft</w:t>
      </w:r>
      <w:r w:rsidR="005D2A65">
        <w:t>s</w:t>
      </w:r>
      <w:r w:rsidR="70391233">
        <w:t xml:space="preserve"> </w:t>
      </w:r>
      <w:r w:rsidR="3D58F586">
        <w:t>acetylation, hydrogenation</w:t>
      </w:r>
      <w:r w:rsidR="00F378BF">
        <w:t>,</w:t>
      </w:r>
      <w:r w:rsidR="3D58F586">
        <w:t xml:space="preserve"> and carb</w:t>
      </w:r>
      <w:r w:rsidR="01E03EFA">
        <w:t>o</w:t>
      </w:r>
      <w:r w:rsidR="61B2AB06">
        <w:t>n</w:t>
      </w:r>
      <w:r w:rsidR="01E03EFA">
        <w:t>ylation</w:t>
      </w:r>
      <w:r w:rsidR="00713DD7">
        <w:t xml:space="preserve"> </w:t>
      </w:r>
      <w:r w:rsidR="00B4677B">
        <w:t>(</w:t>
      </w:r>
      <w:r w:rsidR="00A46594">
        <w:t>Elango et al., 1991)</w:t>
      </w:r>
      <w:r w:rsidR="00896ADA">
        <w:t>.</w:t>
      </w:r>
      <w:r w:rsidR="00A46594">
        <w:t xml:space="preserve"> </w:t>
      </w:r>
      <w:r w:rsidR="00197B3C">
        <w:t>Since no d</w:t>
      </w:r>
      <w:r w:rsidR="006A01F4">
        <w:t xml:space="preserve">ata </w:t>
      </w:r>
      <w:r w:rsidR="00CC51B5">
        <w:t>is available in</w:t>
      </w:r>
      <w:r w:rsidR="00330ADC">
        <w:t xml:space="preserve"> the literature for the </w:t>
      </w:r>
      <w:r w:rsidR="00AD4DCA">
        <w:t xml:space="preserve">Friedel-Crafts </w:t>
      </w:r>
      <w:r w:rsidR="00330ADC">
        <w:t>acetylation</w:t>
      </w:r>
      <w:r w:rsidR="00394E97">
        <w:t xml:space="preserve">, the initial </w:t>
      </w:r>
      <w:r w:rsidR="00EF763A">
        <w:t>reactant</w:t>
      </w:r>
      <w:r w:rsidR="1DC87613">
        <w:t xml:space="preserve"> is</w:t>
      </w:r>
      <w:r w:rsidR="00EF763A">
        <w:t xml:space="preserve"> </w:t>
      </w:r>
      <w:r w:rsidR="00E80D97">
        <w:t xml:space="preserve">assumed to be </w:t>
      </w:r>
      <w:r w:rsidR="009E3FF8">
        <w:t>the product of the</w:t>
      </w:r>
      <w:r w:rsidR="00C97034">
        <w:t xml:space="preserve"> acetylation reaction</w:t>
      </w:r>
      <w:r w:rsidR="00C71136">
        <w:t>,</w:t>
      </w:r>
      <w:r w:rsidR="00C97034">
        <w:t xml:space="preserve"> </w:t>
      </w:r>
      <w:r w:rsidR="00F378BF">
        <w:t>4-isobutyl acetophenone</w:t>
      </w:r>
      <w:r w:rsidR="00F30B7A" w:rsidRPr="00F30B7A">
        <w:t xml:space="preserve"> (IBAP)</w:t>
      </w:r>
      <w:r w:rsidR="00F30B7A">
        <w:t>.</w:t>
      </w:r>
      <w:r w:rsidR="00A073EF">
        <w:t xml:space="preserve"> </w:t>
      </w:r>
      <w:r w:rsidR="00BF23B9">
        <w:t xml:space="preserve">Therefore, the synthesis begins with the reaction of IBAP to </w:t>
      </w:r>
      <w:r w:rsidR="000D2BF1">
        <w:t>produce</w:t>
      </w:r>
      <w:r w:rsidR="00814DF2">
        <w:t xml:space="preserve"> </w:t>
      </w:r>
      <w:r w:rsidR="008349FE">
        <w:t xml:space="preserve">1-(4-isobutylphenyl)-ethanol (IBPE) </w:t>
      </w:r>
      <w:r w:rsidR="00EC7656">
        <w:t>followed by a catalytic carbonylation of</w:t>
      </w:r>
      <w:r w:rsidR="000D2BF1">
        <w:t xml:space="preserve"> resulting</w:t>
      </w:r>
      <w:r w:rsidR="00814DF2">
        <w:t xml:space="preserve"> </w:t>
      </w:r>
      <w:r w:rsidR="00EC7656">
        <w:t xml:space="preserve">IBPE </w:t>
      </w:r>
      <w:r w:rsidR="000D2BF1">
        <w:t>to form</w:t>
      </w:r>
      <w:r w:rsidR="00FE0EDF">
        <w:t xml:space="preserve"> ibuprofen a</w:t>
      </w:r>
      <w:r w:rsidR="000D2BF1">
        <w:t>long with</w:t>
      </w:r>
      <w:r w:rsidR="00FE0EDF">
        <w:t xml:space="preserve"> byproducts. </w:t>
      </w:r>
      <w:r w:rsidR="00D2073C">
        <w:t>Given the significant influence of catalytic</w:t>
      </w:r>
      <w:r w:rsidR="000E3296">
        <w:t xml:space="preserve"> hydrogenation </w:t>
      </w:r>
      <w:r w:rsidR="00D2073C">
        <w:t xml:space="preserve">on </w:t>
      </w:r>
      <w:r w:rsidR="005B2A16">
        <w:t>the final products and it</w:t>
      </w:r>
      <w:r w:rsidR="00D2073C">
        <w:t>s occurrence</w:t>
      </w:r>
      <w:r w:rsidR="005B2A16">
        <w:t xml:space="preserve"> in the early stages</w:t>
      </w:r>
      <w:r w:rsidR="00074040">
        <w:t xml:space="preserve">, </w:t>
      </w:r>
      <w:r w:rsidR="00430F1C">
        <w:t>this work aims</w:t>
      </w:r>
      <w:r w:rsidR="00763B8E">
        <w:t xml:space="preserve"> </w:t>
      </w:r>
      <w:r w:rsidR="00D2073C">
        <w:t xml:space="preserve">to determine </w:t>
      </w:r>
      <w:r w:rsidR="002432DC">
        <w:t xml:space="preserve">the optimum process conditions </w:t>
      </w:r>
      <w:r w:rsidR="00D2073C">
        <w:t>for</w:t>
      </w:r>
      <w:r w:rsidR="00763B8E">
        <w:t xml:space="preserve"> the hydrogenation step. </w:t>
      </w:r>
    </w:p>
    <w:p w14:paraId="5C22C16C" w14:textId="4C8443E6" w:rsidR="001145D6" w:rsidRDefault="001145D6" w:rsidP="00FC22F3">
      <w:pPr>
        <w:pStyle w:val="Els-3rdorder-head"/>
      </w:pPr>
      <w:r>
        <w:t>Hydrogenation</w:t>
      </w:r>
    </w:p>
    <w:p w14:paraId="1928CBCB" w14:textId="7F7D6C41" w:rsidR="00CD3373" w:rsidRDefault="00850590" w:rsidP="00C72366">
      <w:pPr>
        <w:pStyle w:val="Els-body-text"/>
      </w:pPr>
      <w:r w:rsidRPr="00151166">
        <w:rPr>
          <w:noProof/>
        </w:rPr>
        <w:drawing>
          <wp:anchor distT="0" distB="0" distL="114300" distR="114300" simplePos="0" relativeHeight="251658240" behindDoc="1" locked="0" layoutInCell="1" allowOverlap="1" wp14:anchorId="78BFC83B" wp14:editId="0F065E52">
            <wp:simplePos x="0" y="0"/>
            <wp:positionH relativeFrom="margin">
              <wp:posOffset>892810</wp:posOffset>
            </wp:positionH>
            <wp:positionV relativeFrom="paragraph">
              <wp:posOffset>177377</wp:posOffset>
            </wp:positionV>
            <wp:extent cx="2698750" cy="1109345"/>
            <wp:effectExtent l="19050" t="19050" r="25400" b="14605"/>
            <wp:wrapTight wrapText="bothSides">
              <wp:wrapPolygon edited="0">
                <wp:start x="-152" y="-371"/>
                <wp:lineTo x="-152" y="21513"/>
                <wp:lineTo x="21651" y="21513"/>
                <wp:lineTo x="21651" y="-371"/>
                <wp:lineTo x="-152" y="-371"/>
              </wp:wrapPolygon>
            </wp:wrapTight>
            <wp:docPr id="11" name="Picture 11" descr="A chemical formula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chemical formula with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750" cy="1109345"/>
                    </a:xfrm>
                    <a:prstGeom prst="rect">
                      <a:avLst/>
                    </a:prstGeom>
                    <a:noFill/>
                    <a:ln w="9525">
                      <a:solidFill>
                        <a:schemeClr val="bg1"/>
                      </a:solidFill>
                      <a:miter lim="800000"/>
                      <a:headEnd/>
                      <a:tailEnd/>
                    </a:ln>
                  </pic:spPr>
                </pic:pic>
              </a:graphicData>
            </a:graphic>
            <wp14:sizeRelH relativeFrom="margin">
              <wp14:pctWidth>0</wp14:pctWidth>
            </wp14:sizeRelH>
            <wp14:sizeRelV relativeFrom="margin">
              <wp14:pctHeight>0</wp14:pctHeight>
            </wp14:sizeRelV>
          </wp:anchor>
        </w:drawing>
      </w:r>
      <w:r w:rsidR="008D0852">
        <w:t xml:space="preserve">The reactions occurring during </w:t>
      </w:r>
      <w:r w:rsidR="00FA3D2F">
        <w:t xml:space="preserve">the </w:t>
      </w:r>
      <w:r w:rsidR="008D0852">
        <w:t xml:space="preserve">hydrogenation </w:t>
      </w:r>
      <w:r w:rsidR="00A318FC">
        <w:t>step</w:t>
      </w:r>
      <w:r w:rsidR="008D0852">
        <w:t xml:space="preserve"> are shown in Figure 1. </w:t>
      </w:r>
    </w:p>
    <w:p w14:paraId="13FA193E" w14:textId="3CB6EEFC" w:rsidR="00B67884" w:rsidRDefault="00B67884" w:rsidP="00B67884">
      <w:pPr>
        <w:pStyle w:val="Els-body-text"/>
        <w:jc w:val="center"/>
      </w:pPr>
    </w:p>
    <w:p w14:paraId="41D98E04" w14:textId="77777777" w:rsidR="00B67884" w:rsidRDefault="00B67884" w:rsidP="00B67884">
      <w:pPr>
        <w:pStyle w:val="Els-body-text"/>
        <w:jc w:val="center"/>
      </w:pPr>
    </w:p>
    <w:p w14:paraId="2ED934C5" w14:textId="77777777" w:rsidR="00B67884" w:rsidRDefault="00B67884" w:rsidP="00B67884">
      <w:pPr>
        <w:pStyle w:val="Els-body-text"/>
        <w:jc w:val="center"/>
      </w:pPr>
    </w:p>
    <w:p w14:paraId="2F5B6E90" w14:textId="77777777" w:rsidR="00B67884" w:rsidRDefault="00B67884" w:rsidP="00B67884">
      <w:pPr>
        <w:pStyle w:val="Els-body-text"/>
        <w:jc w:val="center"/>
      </w:pPr>
    </w:p>
    <w:p w14:paraId="539D4134" w14:textId="77777777" w:rsidR="00B67884" w:rsidRDefault="00B67884" w:rsidP="00B67884">
      <w:pPr>
        <w:pStyle w:val="Els-body-text"/>
        <w:jc w:val="center"/>
      </w:pPr>
    </w:p>
    <w:p w14:paraId="08A3E4D3" w14:textId="5FDC0D4B" w:rsidR="00CD3373" w:rsidRDefault="00FD730A" w:rsidP="00B67884">
      <w:pPr>
        <w:pStyle w:val="Els-body-text"/>
        <w:jc w:val="center"/>
      </w:pPr>
      <w:r>
        <w:t xml:space="preserve">Figure 1. </w:t>
      </w:r>
      <w:r w:rsidR="008D0852">
        <w:t xml:space="preserve">Reactions during hydrogenation </w:t>
      </w:r>
      <w:r w:rsidR="00B67884">
        <w:t>of IBAP over Pd/SiO</w:t>
      </w:r>
      <w:r w:rsidR="00B67884">
        <w:rPr>
          <w:vertAlign w:val="subscript"/>
        </w:rPr>
        <w:t>2</w:t>
      </w:r>
      <w:r w:rsidR="000E4B19">
        <w:t xml:space="preserve"> (Thakar et al., 2007)</w:t>
      </w:r>
      <w:r w:rsidR="00AE411B">
        <w:t>.</w:t>
      </w:r>
    </w:p>
    <w:p w14:paraId="45C169A0" w14:textId="3A52A409" w:rsidR="00CC3FD7" w:rsidRPr="000E4B19" w:rsidRDefault="006F49B0" w:rsidP="006F49B0">
      <w:pPr>
        <w:pStyle w:val="Els-body-text"/>
        <w:jc w:val="left"/>
      </w:pPr>
      <w:r>
        <w:t>Hydrogenation of IBAP to IBPE is the desired reaction</w:t>
      </w:r>
      <w:r w:rsidR="00107BE3">
        <w:t xml:space="preserve"> while simultaneously occurring oligomerization because of the deactivation of the catalytic activity is the side reaction</w:t>
      </w:r>
      <w:r w:rsidR="006C4059">
        <w:t xml:space="preserve"> and hydrogenolysis of IBPE to IBEB is the undesired consecutive </w:t>
      </w:r>
      <w:r w:rsidR="00646FE3">
        <w:t>reaction.</w:t>
      </w:r>
    </w:p>
    <w:p w14:paraId="4C85ED10" w14:textId="0B761A3C" w:rsidR="003F00C6" w:rsidRDefault="000E129C" w:rsidP="00663370">
      <w:pPr>
        <w:pStyle w:val="Els-body-text"/>
      </w:pPr>
      <w:r>
        <w:t xml:space="preserve">The </w:t>
      </w:r>
      <w:r w:rsidR="00BD2F90">
        <w:t xml:space="preserve">kinetic </w:t>
      </w:r>
      <w:r>
        <w:t>model</w:t>
      </w:r>
      <w:r w:rsidR="004171B5">
        <w:t xml:space="preserve"> </w:t>
      </w:r>
      <w:r w:rsidR="00377A62">
        <w:t xml:space="preserve">ordinary differential </w:t>
      </w:r>
      <w:r w:rsidR="004171B5">
        <w:t>equations</w:t>
      </w:r>
      <w:r>
        <w:t xml:space="preserve"> </w:t>
      </w:r>
      <w:r w:rsidR="00F63480">
        <w:t xml:space="preserve">in terms of concentrations </w:t>
      </w:r>
      <w:r w:rsidR="00C71136">
        <w:t xml:space="preserve">for </w:t>
      </w:r>
      <w:r w:rsidR="00782268">
        <w:t>the</w:t>
      </w:r>
      <w:r w:rsidR="00921B92">
        <w:t xml:space="preserve"> </w:t>
      </w:r>
      <w:r w:rsidR="00C71136">
        <w:t xml:space="preserve">hydrogenation </w:t>
      </w:r>
      <w:r w:rsidR="00782268">
        <w:t>of IBAP in</w:t>
      </w:r>
      <w:r w:rsidR="00C72366">
        <w:t>to 1-(4-isobutylphenyl)-ethanol (IBPE)</w:t>
      </w:r>
      <w:r w:rsidR="009505E0">
        <w:t xml:space="preserve"> </w:t>
      </w:r>
      <w:r w:rsidR="00B8104D">
        <w:t xml:space="preserve">over </w:t>
      </w:r>
      <w:r w:rsidR="00BF5DDD">
        <w:t>Pd/SiO</w:t>
      </w:r>
      <w:r w:rsidR="00BF5DDD">
        <w:rPr>
          <w:vertAlign w:val="subscript"/>
        </w:rPr>
        <w:t>2</w:t>
      </w:r>
      <w:r w:rsidR="00BF5DDD">
        <w:t xml:space="preserve"> catalyst </w:t>
      </w:r>
      <w:r w:rsidR="00B26CA2">
        <w:t>are</w:t>
      </w:r>
      <w:r w:rsidR="003C7AFD">
        <w:t xml:space="preserve"> </w:t>
      </w:r>
      <w:r w:rsidR="009505E0">
        <w:t>taken from Thakar et al. (2007)</w:t>
      </w:r>
      <w:r w:rsidR="00411F6A">
        <w:t>, assuming batch process occurring in a perfectly mixed batch reactor at isothermal conditions</w:t>
      </w:r>
      <w:r w:rsidR="003D30F0">
        <w:t>.</w:t>
      </w:r>
      <w:r w:rsidR="00E972D2">
        <w:t xml:space="preserve"> The </w:t>
      </w:r>
      <w:r w:rsidR="00CF1546">
        <w:t xml:space="preserve">reaction rates </w:t>
      </w:r>
      <w:r w:rsidR="00E972D2">
        <w:t>are expressed as follows:</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426C9D" w14:paraId="1F0D01F7" w14:textId="77777777" w:rsidTr="007B6266">
        <w:tc>
          <w:tcPr>
            <w:tcW w:w="6637" w:type="dxa"/>
          </w:tcPr>
          <w:p w14:paraId="40DB76D4" w14:textId="77777777" w:rsidR="00426C9D" w:rsidRPr="00850590" w:rsidRDefault="00000000" w:rsidP="00663370">
            <w:pPr>
              <w:pStyle w:val="Els-body-text"/>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cat</m:t>
                        </m:r>
                      </m:sub>
                    </m:sSub>
                    <m:sSub>
                      <m:sSubPr>
                        <m:ctrlPr>
                          <w:rPr>
                            <w:rFonts w:ascii="Cambria Math" w:hAnsi="Cambria Math"/>
                            <w:i/>
                          </w:rPr>
                        </m:ctrlPr>
                      </m:sSubPr>
                      <m:e>
                        <m:r>
                          <w:rPr>
                            <w:rFonts w:ascii="Cambria Math" w:hAnsi="Cambria Math"/>
                          </w:rPr>
                          <m:t>ak</m:t>
                        </m:r>
                      </m:e>
                      <m:sub>
                        <m:r>
                          <w:rPr>
                            <w:rFonts w:ascii="Cambria Math" w:hAnsi="Cambria Math"/>
                          </w:rPr>
                          <m:t>1</m:t>
                        </m:r>
                      </m:sub>
                    </m:sSub>
                    <m:sSub>
                      <m:sSubPr>
                        <m:ctrlPr>
                          <w:rPr>
                            <w:rFonts w:ascii="Cambria Math" w:hAnsi="Cambria Math"/>
                            <w:i/>
                          </w:rPr>
                        </m:ctrlPr>
                      </m:sSubPr>
                      <m:e>
                        <m:r>
                          <w:rPr>
                            <w:rFonts w:ascii="Cambria Math" w:hAnsi="Cambria Math"/>
                          </w:rPr>
                          <m:t>C</m:t>
                        </m:r>
                      </m:e>
                      <m:sub>
                        <m:r>
                          <w:rPr>
                            <w:rFonts w:ascii="Cambria Math" w:hAnsi="Cambria Math"/>
                          </w:rPr>
                          <m:t>IBAP</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num>
                  <m:den>
                    <m:sSup>
                      <m:sSupPr>
                        <m:ctrlPr>
                          <w:rPr>
                            <w:rFonts w:ascii="Cambria Math" w:hAnsi="Cambria Math"/>
                            <w:i/>
                          </w:rPr>
                        </m:ctrlPr>
                      </m:sSup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IBAP</m:t>
                            </m:r>
                          </m:sub>
                        </m:sSub>
                        <m:sSub>
                          <m:sSubPr>
                            <m:ctrlPr>
                              <w:rPr>
                                <w:rFonts w:ascii="Cambria Math" w:hAnsi="Cambria Math"/>
                                <w:i/>
                              </w:rPr>
                            </m:ctrlPr>
                          </m:sSubPr>
                          <m:e>
                            <m:r>
                              <w:rPr>
                                <w:rFonts w:ascii="Cambria Math" w:hAnsi="Cambria Math"/>
                              </w:rPr>
                              <m:t>C</m:t>
                            </m:r>
                          </m:e>
                          <m:sub>
                            <m:r>
                              <w:rPr>
                                <w:rFonts w:ascii="Cambria Math" w:hAnsi="Cambria Math"/>
                              </w:rPr>
                              <m:t>IBAP</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K</m:t>
                                </m:r>
                              </m:e>
                              <m:sub>
                                <m:r>
                                  <w:rPr>
                                    <w:rFonts w:ascii="Cambria Math" w:hAnsi="Cambria Math"/>
                                  </w:rPr>
                                  <m:t>H</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e>
                        </m:rad>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m:t>
                        </m:r>
                      </m:e>
                      <m:sup>
                        <m:r>
                          <w:rPr>
                            <w:rFonts w:ascii="Cambria Math" w:hAnsi="Cambria Math"/>
                          </w:rPr>
                          <m:t>2</m:t>
                        </m:r>
                      </m:sup>
                    </m:sSup>
                  </m:den>
                </m:f>
              </m:oMath>
            </m:oMathPara>
          </w:p>
          <w:p w14:paraId="5DB09734" w14:textId="6F62CA90" w:rsidR="00850590" w:rsidRDefault="00850590" w:rsidP="00663370">
            <w:pPr>
              <w:pStyle w:val="Els-body-text"/>
            </w:pPr>
          </w:p>
        </w:tc>
        <w:tc>
          <w:tcPr>
            <w:tcW w:w="450" w:type="dxa"/>
          </w:tcPr>
          <w:p w14:paraId="5AA5A08C" w14:textId="6D589FF7" w:rsidR="00426C9D" w:rsidRDefault="00426C9D" w:rsidP="00663370">
            <w:pPr>
              <w:pStyle w:val="Els-body-text"/>
            </w:pPr>
            <w:r>
              <w:t>(1)</w:t>
            </w:r>
          </w:p>
        </w:tc>
      </w:tr>
      <w:tr w:rsidR="00426C9D" w14:paraId="6BE64EFC" w14:textId="77777777" w:rsidTr="007B6266">
        <w:tc>
          <w:tcPr>
            <w:tcW w:w="6637" w:type="dxa"/>
          </w:tcPr>
          <w:p w14:paraId="76204A88" w14:textId="77777777" w:rsidR="00426C9D" w:rsidRPr="00850590" w:rsidRDefault="00000000" w:rsidP="00663370">
            <w:pPr>
              <w:pStyle w:val="Els-body-text"/>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cat</m:t>
                        </m:r>
                      </m:sub>
                    </m:sSub>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IBPE</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IBAP</m:t>
                                </m:r>
                              </m:sub>
                            </m:sSub>
                            <m:sSub>
                              <m:sSubPr>
                                <m:ctrlPr>
                                  <w:rPr>
                                    <w:rFonts w:ascii="Cambria Math" w:hAnsi="Cambria Math"/>
                                    <w:i/>
                                  </w:rPr>
                                </m:ctrlPr>
                              </m:sSubPr>
                              <m:e>
                                <m:r>
                                  <w:rPr>
                                    <w:rFonts w:ascii="Cambria Math" w:hAnsi="Cambria Math"/>
                                  </w:rPr>
                                  <m:t>C</m:t>
                                </m:r>
                              </m:e>
                              <m:sub>
                                <m:r>
                                  <w:rPr>
                                    <w:rFonts w:ascii="Cambria Math" w:hAnsi="Cambria Math"/>
                                  </w:rPr>
                                  <m:t>IBAP</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K</m:t>
                                    </m:r>
                                  </m:e>
                                  <m:sub>
                                    <m:r>
                                      <w:rPr>
                                        <w:rFonts w:ascii="Cambria Math" w:hAnsi="Cambria Math"/>
                                      </w:rPr>
                                      <m:t>H</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e>
                            </m:rad>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e>
                        </m:d>
                      </m:e>
                      <m:sup>
                        <m:r>
                          <w:rPr>
                            <w:rFonts w:ascii="Cambria Math" w:hAnsi="Cambria Math"/>
                          </w:rPr>
                          <m:t>2</m:t>
                        </m:r>
                      </m:sup>
                    </m:sSup>
                  </m:den>
                </m:f>
              </m:oMath>
            </m:oMathPara>
          </w:p>
          <w:p w14:paraId="511111CF" w14:textId="495AF8C0" w:rsidR="00850590" w:rsidRDefault="00850590" w:rsidP="00663370">
            <w:pPr>
              <w:pStyle w:val="Els-body-text"/>
            </w:pPr>
          </w:p>
        </w:tc>
        <w:tc>
          <w:tcPr>
            <w:tcW w:w="450" w:type="dxa"/>
          </w:tcPr>
          <w:p w14:paraId="16E50B11" w14:textId="08AF2358" w:rsidR="00426C9D" w:rsidRDefault="00426C9D" w:rsidP="00663370">
            <w:pPr>
              <w:pStyle w:val="Els-body-text"/>
            </w:pPr>
            <w:r>
              <w:t>(2)</w:t>
            </w:r>
          </w:p>
        </w:tc>
      </w:tr>
      <w:tr w:rsidR="00426C9D" w14:paraId="19403924" w14:textId="77777777" w:rsidTr="007B6266">
        <w:tc>
          <w:tcPr>
            <w:tcW w:w="6637" w:type="dxa"/>
          </w:tcPr>
          <w:p w14:paraId="6C08864D" w14:textId="77777777" w:rsidR="00850590" w:rsidRPr="007B6266" w:rsidRDefault="00000000" w:rsidP="00663370">
            <w:pPr>
              <w:pStyle w:val="Els-body-text"/>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cat</m:t>
                        </m:r>
                      </m:sub>
                    </m:sSub>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3</m:t>
                        </m:r>
                      </m:sub>
                    </m:sSub>
                    <m:sSubSup>
                      <m:sSubSupPr>
                        <m:ctrlPr>
                          <w:rPr>
                            <w:rFonts w:ascii="Cambria Math" w:hAnsi="Cambria Math"/>
                            <w:i/>
                          </w:rPr>
                        </m:ctrlPr>
                      </m:sSubSupPr>
                      <m:e>
                        <m:r>
                          <w:rPr>
                            <w:rFonts w:ascii="Cambria Math" w:hAnsi="Cambria Math"/>
                          </w:rPr>
                          <m:t>C</m:t>
                        </m:r>
                      </m:e>
                      <m:sub>
                        <m:r>
                          <w:rPr>
                            <w:rFonts w:ascii="Cambria Math" w:hAnsi="Cambria Math"/>
                          </w:rPr>
                          <m:t>IBAP</m:t>
                        </m:r>
                      </m:sub>
                      <m:sup>
                        <m:r>
                          <w:rPr>
                            <w:rFonts w:ascii="Cambria Math" w:hAnsi="Cambria Math"/>
                          </w:rPr>
                          <m:t>2</m:t>
                        </m:r>
                      </m:sup>
                    </m:sSub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IBAP</m:t>
                                </m:r>
                              </m:sub>
                            </m:sSub>
                            <m:sSub>
                              <m:sSubPr>
                                <m:ctrlPr>
                                  <w:rPr>
                                    <w:rFonts w:ascii="Cambria Math" w:hAnsi="Cambria Math"/>
                                    <w:i/>
                                  </w:rPr>
                                </m:ctrlPr>
                              </m:sSubPr>
                              <m:e>
                                <m:r>
                                  <w:rPr>
                                    <w:rFonts w:ascii="Cambria Math" w:hAnsi="Cambria Math"/>
                                  </w:rPr>
                                  <m:t>C</m:t>
                                </m:r>
                              </m:e>
                              <m:sub>
                                <m:r>
                                  <w:rPr>
                                    <w:rFonts w:ascii="Cambria Math" w:hAnsi="Cambria Math"/>
                                  </w:rPr>
                                  <m:t>IBAP</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K</m:t>
                                    </m:r>
                                  </m:e>
                                  <m:sub>
                                    <m:r>
                                      <w:rPr>
                                        <w:rFonts w:ascii="Cambria Math" w:hAnsi="Cambria Math"/>
                                      </w:rPr>
                                      <m:t>H</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e>
                            </m:rad>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e>
                        </m:d>
                      </m:e>
                      <m:sup>
                        <m:r>
                          <w:rPr>
                            <w:rFonts w:ascii="Cambria Math" w:hAnsi="Cambria Math"/>
                          </w:rPr>
                          <m:t>2</m:t>
                        </m:r>
                      </m:sup>
                    </m:sSup>
                  </m:den>
                </m:f>
              </m:oMath>
            </m:oMathPara>
          </w:p>
          <w:p w14:paraId="7D710225" w14:textId="39B3514B" w:rsidR="007B6266" w:rsidRDefault="007B6266" w:rsidP="00663370">
            <w:pPr>
              <w:pStyle w:val="Els-body-text"/>
            </w:pPr>
          </w:p>
        </w:tc>
        <w:tc>
          <w:tcPr>
            <w:tcW w:w="450" w:type="dxa"/>
          </w:tcPr>
          <w:p w14:paraId="79628F03" w14:textId="77777777" w:rsidR="00426C9D" w:rsidRDefault="00426C9D" w:rsidP="00663370">
            <w:pPr>
              <w:pStyle w:val="Els-body-text"/>
            </w:pPr>
            <w:r>
              <w:t>(3)</w:t>
            </w:r>
          </w:p>
          <w:p w14:paraId="66C159E9" w14:textId="77777777" w:rsidR="00BF4422" w:rsidRDefault="00BF4422" w:rsidP="00663370">
            <w:pPr>
              <w:pStyle w:val="Els-body-text"/>
            </w:pPr>
          </w:p>
          <w:p w14:paraId="736C3528" w14:textId="7668873B" w:rsidR="00BF4422" w:rsidRDefault="00BF4422" w:rsidP="00663370">
            <w:pPr>
              <w:pStyle w:val="Els-body-text"/>
            </w:pPr>
          </w:p>
        </w:tc>
      </w:tr>
    </w:tbl>
    <w:p w14:paraId="410E4765" w14:textId="1442DB29" w:rsidR="00CF1546" w:rsidRDefault="00FB34FA" w:rsidP="00663370">
      <w:pPr>
        <w:pStyle w:val="Els-body-text"/>
        <w:rPr>
          <w:lang w:val="en-GB"/>
        </w:rPr>
      </w:pPr>
      <w:r>
        <w:rPr>
          <w:lang w:val="en-GB"/>
        </w:rPr>
        <w:t xml:space="preserve">Where </w:t>
      </w:r>
      <m:oMath>
        <m:r>
          <w:rPr>
            <w:rFonts w:ascii="Cambria Math" w:hAnsi="Cambria Math"/>
          </w:rPr>
          <m:t>a</m:t>
        </m:r>
      </m:oMath>
      <w:r w:rsidR="00C51480">
        <w:rPr>
          <w:lang w:val="en-GB"/>
        </w:rPr>
        <w:t xml:space="preserve"> </w:t>
      </w:r>
      <w:r w:rsidR="00D06C8A">
        <w:rPr>
          <w:lang w:val="en-GB"/>
        </w:rPr>
        <w:t xml:space="preserve">accounts for the </w:t>
      </w:r>
      <w:r w:rsidR="00A46636">
        <w:rPr>
          <w:lang w:val="en-GB"/>
        </w:rPr>
        <w:t xml:space="preserve">loss of catalytic activity </w:t>
      </w:r>
      <w:r w:rsidR="00C51480">
        <w:rPr>
          <w:lang w:val="en-GB"/>
        </w:rPr>
        <w:t>due to oligomerization.</w:t>
      </w:r>
    </w:p>
    <w:p w14:paraId="2C0BCF0B" w14:textId="235F53EB" w:rsidR="004D192A" w:rsidRPr="007B6266" w:rsidRDefault="00372F0A" w:rsidP="00663370">
      <w:pPr>
        <w:pStyle w:val="Els-body-text"/>
        <w:rPr>
          <w:lang w:val="en-GB"/>
        </w:rPr>
      </w:pPr>
      <w:r w:rsidRPr="00372F0A">
        <w:t>The rate</w:t>
      </w:r>
      <w:r>
        <w:t xml:space="preserve"> and </w:t>
      </w:r>
      <w:r w:rsidR="00EE53FF">
        <w:t xml:space="preserve">equilibrium constants </w:t>
      </w:r>
      <w:r w:rsidR="004D192A">
        <w:t xml:space="preserve">are reparametrized considering the dependence of temperature </w:t>
      </w:r>
      <w:r w:rsidR="004F34A4">
        <w:t>as follows</w:t>
      </w:r>
      <w:r w:rsidR="004D192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450"/>
      </w:tblGrid>
      <w:tr w:rsidR="004F34A4" w14:paraId="774EFFA5" w14:textId="77777777" w:rsidTr="0050357B">
        <w:tc>
          <w:tcPr>
            <w:tcW w:w="6658" w:type="dxa"/>
          </w:tcPr>
          <w:p w14:paraId="481F9D2D" w14:textId="49D221F7" w:rsidR="009C73A8" w:rsidRDefault="00000000" w:rsidP="004D192A">
            <w:pPr>
              <w:pStyle w:val="Els-body-text"/>
            </w:pPr>
            <m:oMathPara>
              <m:oMath>
                <m:sSub>
                  <m:sSubPr>
                    <m:ctrlPr>
                      <w:rPr>
                        <w:rFonts w:ascii="Cambria Math" w:hAnsi="Cambria Math"/>
                        <w:i/>
                      </w:rPr>
                    </m:ctrlPr>
                  </m:sSubPr>
                  <m:e>
                    <m:r>
                      <w:rPr>
                        <w:rFonts w:ascii="Cambria Math" w:hAnsi="Cambria Math"/>
                      </w:rPr>
                      <m:t>k</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ub>
                </m:sSub>
                <m:r>
                  <w:rPr>
                    <w:rFonts w:ascii="Cambria Math" w:hAnsi="Cambria Math"/>
                  </w:rPr>
                  <m:t>exp</m:t>
                </m:r>
                <m:d>
                  <m:dPr>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0</m:t>
                                </m:r>
                              </m:sub>
                            </m:sSub>
                          </m:den>
                        </m:f>
                      </m:e>
                    </m:d>
                  </m:e>
                </m:d>
              </m:oMath>
            </m:oMathPara>
          </w:p>
        </w:tc>
        <w:tc>
          <w:tcPr>
            <w:tcW w:w="418" w:type="dxa"/>
            <w:tcBorders>
              <w:left w:val="nil"/>
            </w:tcBorders>
          </w:tcPr>
          <w:p w14:paraId="7FDDB3FD" w14:textId="0AC16FBA" w:rsidR="004F34A4" w:rsidRDefault="004F34A4" w:rsidP="004D192A">
            <w:pPr>
              <w:pStyle w:val="Els-body-text"/>
            </w:pPr>
            <w:r>
              <w:t>(</w:t>
            </w:r>
            <w:r w:rsidR="00426C9D">
              <w:t>4</w:t>
            </w:r>
            <w:r>
              <w:t>)</w:t>
            </w:r>
          </w:p>
        </w:tc>
      </w:tr>
    </w:tbl>
    <w:p w14:paraId="156A6499" w14:textId="6074178A" w:rsidR="00B464BD" w:rsidRDefault="00BF2E2B" w:rsidP="004D192A">
      <w:pPr>
        <w:pStyle w:val="Els-body-text"/>
      </w:pPr>
      <w:r>
        <w:lastRenderedPageBreak/>
        <w:t xml:space="preserve">The parameters are </w:t>
      </w:r>
      <w:r w:rsidR="000E3EF8">
        <w:t xml:space="preserve">taken based on the results of the </w:t>
      </w:r>
      <w:r w:rsidR="004D68A1">
        <w:t>parameter estimation of Thakar et al. (2007)</w:t>
      </w:r>
      <w:r w:rsidR="001E4789">
        <w:t xml:space="preserve">. </w:t>
      </w:r>
      <w:r w:rsidR="00DB3617">
        <w:t>Optimization without uncertaint</w:t>
      </w:r>
      <w:r w:rsidR="00C45F93">
        <w:t>y</w:t>
      </w:r>
      <w:r w:rsidR="00DB3617">
        <w:t xml:space="preserve"> </w:t>
      </w:r>
      <w:r w:rsidR="00C378EF">
        <w:t>is</w:t>
      </w:r>
      <w:r w:rsidR="00DB3617">
        <w:t xml:space="preserve"> made by using the mean values of the parameter</w:t>
      </w:r>
      <w:r w:rsidR="003824B4">
        <w:t xml:space="preserve">s and optimization with uncertainty is made by </w:t>
      </w:r>
      <w:r w:rsidR="001D2BB0">
        <w:t xml:space="preserve">using uncertainty space </w:t>
      </w:r>
      <w:r w:rsidR="00B31E2C">
        <w:t>of</w:t>
      </w:r>
      <w:r w:rsidR="003824B4">
        <w:t xml:space="preserve"> the parameters considering their 95% confidence intervals. </w:t>
      </w:r>
      <w:r w:rsidR="001E4789">
        <w:t xml:space="preserve">The </w:t>
      </w:r>
      <w:r w:rsidR="00B31E2C">
        <w:t xml:space="preserve">uncertain parameters and their 95% confidence intervals when temperature is 373 K </w:t>
      </w:r>
      <w:r w:rsidR="00E94A9B">
        <w:t>are</w:t>
      </w:r>
      <w:r w:rsidR="00B31E2C">
        <w:t xml:space="preserve"> given in</w:t>
      </w:r>
      <w:r w:rsidR="00E94A9B">
        <w:t xml:space="preserve"> Table 1</w:t>
      </w:r>
      <w:r w:rsidR="00411F6A">
        <w:t>.</w:t>
      </w:r>
    </w:p>
    <w:p w14:paraId="7821AEB2" w14:textId="77777777" w:rsidR="00411F6A" w:rsidRDefault="00411F6A" w:rsidP="00411F6A">
      <w:pPr>
        <w:pStyle w:val="Els-body-text"/>
        <w:jc w:val="center"/>
      </w:pPr>
      <w:r>
        <w:t>Table 1. Estimated values of uncertain parameters and their 95% confidence intervals.</w:t>
      </w:r>
    </w:p>
    <w:tbl>
      <w:tblPr>
        <w:tblStyle w:val="TableGrid"/>
        <w:tblW w:w="5949" w:type="dxa"/>
        <w:jc w:val="center"/>
        <w:tblLook w:val="04A0" w:firstRow="1" w:lastRow="0" w:firstColumn="1" w:lastColumn="0" w:noHBand="0" w:noVBand="1"/>
      </w:tblPr>
      <w:tblGrid>
        <w:gridCol w:w="1983"/>
        <w:gridCol w:w="1983"/>
        <w:gridCol w:w="1983"/>
      </w:tblGrid>
      <w:tr w:rsidR="00411F6A" w14:paraId="7AC8FF39" w14:textId="77777777">
        <w:trPr>
          <w:trHeight w:val="270"/>
          <w:jc w:val="center"/>
        </w:trPr>
        <w:tc>
          <w:tcPr>
            <w:tcW w:w="1701" w:type="dxa"/>
            <w:vMerge w:val="restart"/>
          </w:tcPr>
          <w:p w14:paraId="3F37EABC" w14:textId="77777777" w:rsidR="00411F6A" w:rsidRPr="00C63E1C" w:rsidRDefault="00411F6A">
            <w:pPr>
              <w:rPr>
                <w:lang w:val="en-US"/>
              </w:rPr>
            </w:pPr>
            <w:r w:rsidRPr="00C63E1C">
              <w:rPr>
                <w:lang w:val="en-US"/>
              </w:rPr>
              <w:t>Rate constants</w:t>
            </w:r>
          </w:p>
        </w:tc>
        <w:tc>
          <w:tcPr>
            <w:tcW w:w="1701" w:type="dxa"/>
          </w:tcPr>
          <w:p w14:paraId="5F3502BD" w14:textId="77777777" w:rsidR="00411F6A" w:rsidRPr="00C63E1C" w:rsidRDefault="00411F6A">
            <w:r w:rsidRPr="00C63E1C">
              <w:t>k</w:t>
            </w:r>
            <w:r w:rsidRPr="00C63E1C">
              <w:rPr>
                <w:vertAlign w:val="subscript"/>
              </w:rPr>
              <w:t>1</w:t>
            </w:r>
            <w:r w:rsidRPr="00C63E1C">
              <w:t xml:space="preserve"> (L/</w:t>
            </w:r>
            <w:proofErr w:type="spellStart"/>
            <w:proofErr w:type="gramStart"/>
            <w:r w:rsidRPr="00C63E1C">
              <w:t>g</w:t>
            </w:r>
            <w:r w:rsidRPr="00C63E1C">
              <w:rPr>
                <w:vertAlign w:val="subscript"/>
              </w:rPr>
              <w:t>cat</w:t>
            </w:r>
            <w:r w:rsidRPr="00C63E1C">
              <w:t>atm.s</w:t>
            </w:r>
            <w:proofErr w:type="spellEnd"/>
            <w:proofErr w:type="gramEnd"/>
            <w:r w:rsidRPr="00C63E1C">
              <w:t>)</w:t>
            </w:r>
          </w:p>
        </w:tc>
        <w:tc>
          <w:tcPr>
            <w:tcW w:w="1701" w:type="dxa"/>
          </w:tcPr>
          <w:p w14:paraId="0FB701B4" w14:textId="77777777" w:rsidR="00411F6A" w:rsidRPr="00C63E1C" w:rsidRDefault="00411F6A">
            <w:r w:rsidRPr="00C63E1C">
              <w:t>1.14±0.25</w:t>
            </w:r>
          </w:p>
        </w:tc>
      </w:tr>
      <w:tr w:rsidR="00411F6A" w14:paraId="0EF6388C" w14:textId="77777777">
        <w:trPr>
          <w:trHeight w:val="142"/>
          <w:jc w:val="center"/>
        </w:trPr>
        <w:tc>
          <w:tcPr>
            <w:tcW w:w="1701" w:type="dxa"/>
            <w:vMerge/>
          </w:tcPr>
          <w:p w14:paraId="0BF42DB0" w14:textId="77777777" w:rsidR="00411F6A" w:rsidRPr="00C63E1C" w:rsidRDefault="00411F6A"/>
        </w:tc>
        <w:tc>
          <w:tcPr>
            <w:tcW w:w="1701" w:type="dxa"/>
          </w:tcPr>
          <w:p w14:paraId="318975B5" w14:textId="77777777" w:rsidR="00411F6A" w:rsidRPr="00C63E1C" w:rsidRDefault="00411F6A">
            <w:r w:rsidRPr="00C63E1C">
              <w:t>k</w:t>
            </w:r>
            <w:r w:rsidRPr="00C63E1C">
              <w:rPr>
                <w:vertAlign w:val="subscript"/>
              </w:rPr>
              <w:t>2</w:t>
            </w:r>
            <w:r w:rsidRPr="00C63E1C">
              <w:t xml:space="preserve"> (L/</w:t>
            </w:r>
            <w:proofErr w:type="spellStart"/>
            <w:proofErr w:type="gramStart"/>
            <w:r w:rsidRPr="00C63E1C">
              <w:t>g</w:t>
            </w:r>
            <w:r w:rsidRPr="00C63E1C">
              <w:rPr>
                <w:vertAlign w:val="subscript"/>
              </w:rPr>
              <w:t>cat</w:t>
            </w:r>
            <w:r w:rsidRPr="00C63E1C">
              <w:t>atm.s</w:t>
            </w:r>
            <w:proofErr w:type="spellEnd"/>
            <w:proofErr w:type="gramEnd"/>
            <w:r w:rsidRPr="00C63E1C">
              <w:t>)</w:t>
            </w:r>
          </w:p>
        </w:tc>
        <w:tc>
          <w:tcPr>
            <w:tcW w:w="1701" w:type="dxa"/>
          </w:tcPr>
          <w:p w14:paraId="01756026" w14:textId="77777777" w:rsidR="00411F6A" w:rsidRPr="00C63E1C" w:rsidRDefault="00411F6A">
            <w:pPr>
              <w:rPr>
                <w:b/>
                <w:bCs/>
              </w:rPr>
            </w:pPr>
            <w:r w:rsidRPr="00C63E1C">
              <w:t>0.095±0.02</w:t>
            </w:r>
          </w:p>
        </w:tc>
      </w:tr>
      <w:tr w:rsidR="00411F6A" w14:paraId="32AC4FEE" w14:textId="77777777">
        <w:trPr>
          <w:trHeight w:val="142"/>
          <w:jc w:val="center"/>
        </w:trPr>
        <w:tc>
          <w:tcPr>
            <w:tcW w:w="1701" w:type="dxa"/>
            <w:vMerge/>
          </w:tcPr>
          <w:p w14:paraId="16E402D1" w14:textId="77777777" w:rsidR="00411F6A" w:rsidRPr="00C63E1C" w:rsidRDefault="00411F6A"/>
        </w:tc>
        <w:tc>
          <w:tcPr>
            <w:tcW w:w="1701" w:type="dxa"/>
          </w:tcPr>
          <w:p w14:paraId="444CD47E" w14:textId="77777777" w:rsidR="00411F6A" w:rsidRPr="00C63E1C" w:rsidRDefault="00411F6A">
            <w:r w:rsidRPr="00C63E1C">
              <w:t>k</w:t>
            </w:r>
            <w:r w:rsidRPr="00C63E1C">
              <w:rPr>
                <w:vertAlign w:val="subscript"/>
              </w:rPr>
              <w:t>3</w:t>
            </w:r>
            <w:r w:rsidRPr="00C63E1C">
              <w:t xml:space="preserve"> (L</w:t>
            </w:r>
            <w:r w:rsidRPr="00C63E1C">
              <w:rPr>
                <w:vertAlign w:val="superscript"/>
              </w:rPr>
              <w:t>2</w:t>
            </w:r>
            <w:r w:rsidRPr="00C63E1C">
              <w:t>/</w:t>
            </w:r>
            <w:proofErr w:type="spellStart"/>
            <w:proofErr w:type="gramStart"/>
            <w:r w:rsidRPr="00C63E1C">
              <w:t>g</w:t>
            </w:r>
            <w:r w:rsidRPr="00C63E1C">
              <w:rPr>
                <w:vertAlign w:val="subscript"/>
              </w:rPr>
              <w:t>cat</w:t>
            </w:r>
            <w:r w:rsidRPr="00C63E1C">
              <w:t>atm.s</w:t>
            </w:r>
            <w:proofErr w:type="spellEnd"/>
            <w:proofErr w:type="gramEnd"/>
            <w:r w:rsidRPr="00C63E1C">
              <w:t>)</w:t>
            </w:r>
          </w:p>
        </w:tc>
        <w:tc>
          <w:tcPr>
            <w:tcW w:w="1701" w:type="dxa"/>
          </w:tcPr>
          <w:p w14:paraId="5280CFAF" w14:textId="77777777" w:rsidR="00411F6A" w:rsidRPr="00C63E1C" w:rsidRDefault="00411F6A">
            <w:r w:rsidRPr="00C63E1C">
              <w:t>0.024±0.004</w:t>
            </w:r>
          </w:p>
        </w:tc>
      </w:tr>
      <w:tr w:rsidR="00411F6A" w14:paraId="0B59491A" w14:textId="77777777">
        <w:trPr>
          <w:trHeight w:val="270"/>
          <w:jc w:val="center"/>
        </w:trPr>
        <w:tc>
          <w:tcPr>
            <w:tcW w:w="1701" w:type="dxa"/>
            <w:vMerge w:val="restart"/>
          </w:tcPr>
          <w:p w14:paraId="178331C2" w14:textId="77777777" w:rsidR="00411F6A" w:rsidRPr="00C63E1C" w:rsidRDefault="00411F6A">
            <w:r w:rsidRPr="00C63E1C">
              <w:t>Adsorption constants</w:t>
            </w:r>
          </w:p>
        </w:tc>
        <w:tc>
          <w:tcPr>
            <w:tcW w:w="1701" w:type="dxa"/>
          </w:tcPr>
          <w:p w14:paraId="1F18A038" w14:textId="77777777" w:rsidR="00411F6A" w:rsidRPr="00C63E1C" w:rsidRDefault="00411F6A">
            <w:r w:rsidRPr="00C63E1C">
              <w:t>K</w:t>
            </w:r>
            <w:r w:rsidRPr="00C63E1C">
              <w:rPr>
                <w:vertAlign w:val="subscript"/>
              </w:rPr>
              <w:t>IBAP</w:t>
            </w:r>
            <w:r w:rsidRPr="00C63E1C">
              <w:t xml:space="preserve"> (L/mol)</w:t>
            </w:r>
          </w:p>
        </w:tc>
        <w:tc>
          <w:tcPr>
            <w:tcW w:w="1701" w:type="dxa"/>
          </w:tcPr>
          <w:p w14:paraId="0EC7356D" w14:textId="77777777" w:rsidR="00411F6A" w:rsidRPr="00C63E1C" w:rsidRDefault="00411F6A">
            <w:r w:rsidRPr="00C63E1C">
              <w:t>76.4±23.7</w:t>
            </w:r>
          </w:p>
        </w:tc>
      </w:tr>
      <w:tr w:rsidR="00411F6A" w14:paraId="0EBC7D6A" w14:textId="77777777">
        <w:trPr>
          <w:trHeight w:val="142"/>
          <w:jc w:val="center"/>
        </w:trPr>
        <w:tc>
          <w:tcPr>
            <w:tcW w:w="1701" w:type="dxa"/>
            <w:vMerge/>
          </w:tcPr>
          <w:p w14:paraId="7B562E41" w14:textId="77777777" w:rsidR="00411F6A" w:rsidRPr="00C63E1C" w:rsidRDefault="00411F6A"/>
        </w:tc>
        <w:tc>
          <w:tcPr>
            <w:tcW w:w="1701" w:type="dxa"/>
          </w:tcPr>
          <w:p w14:paraId="34395C37" w14:textId="77777777" w:rsidR="00411F6A" w:rsidRPr="00C63E1C" w:rsidRDefault="00411F6A">
            <w:r w:rsidRPr="00C63E1C">
              <w:t>K</w:t>
            </w:r>
            <w:r w:rsidRPr="00C63E1C">
              <w:rPr>
                <w:vertAlign w:val="subscript"/>
              </w:rPr>
              <w:t>H2O</w:t>
            </w:r>
            <w:r w:rsidRPr="00C63E1C">
              <w:t xml:space="preserve"> (L/mol)</w:t>
            </w:r>
          </w:p>
        </w:tc>
        <w:tc>
          <w:tcPr>
            <w:tcW w:w="1701" w:type="dxa"/>
          </w:tcPr>
          <w:p w14:paraId="17937357" w14:textId="77777777" w:rsidR="00411F6A" w:rsidRPr="00C63E1C" w:rsidRDefault="00411F6A">
            <w:r w:rsidRPr="00C63E1C">
              <w:t>529±106</w:t>
            </w:r>
          </w:p>
        </w:tc>
      </w:tr>
      <w:tr w:rsidR="00411F6A" w14:paraId="629A65C5" w14:textId="77777777">
        <w:trPr>
          <w:trHeight w:val="270"/>
          <w:jc w:val="center"/>
        </w:trPr>
        <w:tc>
          <w:tcPr>
            <w:tcW w:w="1701" w:type="dxa"/>
            <w:vMerge w:val="restart"/>
          </w:tcPr>
          <w:p w14:paraId="702416CF" w14:textId="77777777" w:rsidR="00411F6A" w:rsidRPr="00C63E1C" w:rsidRDefault="00411F6A">
            <w:pPr>
              <w:rPr>
                <w:lang w:val="en-US"/>
              </w:rPr>
            </w:pPr>
            <w:r w:rsidRPr="00C63E1C">
              <w:rPr>
                <w:lang w:val="en-US"/>
              </w:rPr>
              <w:t xml:space="preserve">Activation </w:t>
            </w:r>
            <w:r>
              <w:rPr>
                <w:lang w:val="en-US"/>
              </w:rPr>
              <w:t>e</w:t>
            </w:r>
            <w:r w:rsidRPr="00C63E1C">
              <w:rPr>
                <w:lang w:val="en-US"/>
              </w:rPr>
              <w:t>nergies</w:t>
            </w:r>
          </w:p>
          <w:p w14:paraId="338BF218" w14:textId="77777777" w:rsidR="00411F6A" w:rsidRPr="00C63E1C" w:rsidRDefault="00411F6A"/>
        </w:tc>
        <w:tc>
          <w:tcPr>
            <w:tcW w:w="1701" w:type="dxa"/>
          </w:tcPr>
          <w:p w14:paraId="1AD355F7" w14:textId="77777777" w:rsidR="00411F6A" w:rsidRPr="00C63E1C" w:rsidRDefault="00411F6A">
            <w:r w:rsidRPr="00C63E1C">
              <w:t>Ea</w:t>
            </w:r>
            <w:r w:rsidRPr="00C63E1C">
              <w:rPr>
                <w:vertAlign w:val="subscript"/>
              </w:rPr>
              <w:t>1</w:t>
            </w:r>
            <w:r w:rsidRPr="00C63E1C">
              <w:t xml:space="preserve"> </w:t>
            </w:r>
            <w:r w:rsidRPr="00C63E1C">
              <w:rPr>
                <w:lang w:val="en-US"/>
              </w:rPr>
              <w:t>(kJ/mol)</w:t>
            </w:r>
          </w:p>
        </w:tc>
        <w:tc>
          <w:tcPr>
            <w:tcW w:w="1701" w:type="dxa"/>
          </w:tcPr>
          <w:p w14:paraId="3895B701" w14:textId="77777777" w:rsidR="00411F6A" w:rsidRPr="00C63E1C" w:rsidRDefault="00411F6A">
            <w:r w:rsidRPr="00C63E1C">
              <w:t>102±15</w:t>
            </w:r>
          </w:p>
        </w:tc>
      </w:tr>
      <w:tr w:rsidR="00411F6A" w14:paraId="40D4349E" w14:textId="77777777">
        <w:trPr>
          <w:trHeight w:val="142"/>
          <w:jc w:val="center"/>
        </w:trPr>
        <w:tc>
          <w:tcPr>
            <w:tcW w:w="1701" w:type="dxa"/>
            <w:vMerge/>
          </w:tcPr>
          <w:p w14:paraId="583F308C" w14:textId="77777777" w:rsidR="00411F6A" w:rsidRPr="00C63E1C" w:rsidRDefault="00411F6A"/>
        </w:tc>
        <w:tc>
          <w:tcPr>
            <w:tcW w:w="1701" w:type="dxa"/>
          </w:tcPr>
          <w:p w14:paraId="0B365FFA" w14:textId="77777777" w:rsidR="00411F6A" w:rsidRPr="00C63E1C" w:rsidRDefault="00411F6A">
            <w:r w:rsidRPr="00C63E1C">
              <w:t>Ea</w:t>
            </w:r>
            <w:r w:rsidRPr="00C63E1C">
              <w:rPr>
                <w:vertAlign w:val="subscript"/>
              </w:rPr>
              <w:t>2</w:t>
            </w:r>
            <w:r w:rsidRPr="00C63E1C">
              <w:t xml:space="preserve"> </w:t>
            </w:r>
            <w:r w:rsidRPr="00C63E1C">
              <w:rPr>
                <w:lang w:val="en-US"/>
              </w:rPr>
              <w:t>(kJ/mol)</w:t>
            </w:r>
          </w:p>
        </w:tc>
        <w:tc>
          <w:tcPr>
            <w:tcW w:w="1701" w:type="dxa"/>
          </w:tcPr>
          <w:p w14:paraId="400CA9A0" w14:textId="77777777" w:rsidR="00411F6A" w:rsidRPr="00C63E1C" w:rsidRDefault="00411F6A">
            <w:r w:rsidRPr="00C63E1C">
              <w:t>105±14</w:t>
            </w:r>
          </w:p>
        </w:tc>
      </w:tr>
      <w:tr w:rsidR="00411F6A" w14:paraId="327165F3" w14:textId="77777777">
        <w:trPr>
          <w:trHeight w:val="142"/>
          <w:jc w:val="center"/>
        </w:trPr>
        <w:tc>
          <w:tcPr>
            <w:tcW w:w="1701" w:type="dxa"/>
            <w:vMerge/>
          </w:tcPr>
          <w:p w14:paraId="27F374E8" w14:textId="77777777" w:rsidR="00411F6A" w:rsidRPr="00C63E1C" w:rsidRDefault="00411F6A"/>
        </w:tc>
        <w:tc>
          <w:tcPr>
            <w:tcW w:w="1701" w:type="dxa"/>
          </w:tcPr>
          <w:p w14:paraId="41D8A426" w14:textId="77777777" w:rsidR="00411F6A" w:rsidRPr="00C63E1C" w:rsidRDefault="00411F6A">
            <w:r w:rsidRPr="00C63E1C">
              <w:t>Ea</w:t>
            </w:r>
            <w:r w:rsidRPr="00C63E1C">
              <w:rPr>
                <w:vertAlign w:val="subscript"/>
              </w:rPr>
              <w:t>3</w:t>
            </w:r>
            <w:r w:rsidRPr="00C63E1C">
              <w:t xml:space="preserve"> </w:t>
            </w:r>
            <w:r w:rsidRPr="00C63E1C">
              <w:rPr>
                <w:lang w:val="en-US"/>
              </w:rPr>
              <w:t>(kJ/mol)</w:t>
            </w:r>
          </w:p>
        </w:tc>
        <w:tc>
          <w:tcPr>
            <w:tcW w:w="1701" w:type="dxa"/>
          </w:tcPr>
          <w:p w14:paraId="2F1E24AA" w14:textId="77777777" w:rsidR="00411F6A" w:rsidRPr="00C63E1C" w:rsidRDefault="00411F6A">
            <w:r w:rsidRPr="00C63E1C">
              <w:t>117±15</w:t>
            </w:r>
          </w:p>
        </w:tc>
      </w:tr>
    </w:tbl>
    <w:p w14:paraId="3985E841" w14:textId="77777777" w:rsidR="00411F6A" w:rsidRDefault="00411F6A" w:rsidP="004D192A">
      <w:pPr>
        <w:pStyle w:val="Els-body-text"/>
      </w:pPr>
    </w:p>
    <w:p w14:paraId="60529EC2" w14:textId="6115FB92" w:rsidR="00DD1135" w:rsidRDefault="001145D6" w:rsidP="004D0203">
      <w:pPr>
        <w:pStyle w:val="Els-1storder-head"/>
      </w:pPr>
      <w:r>
        <w:t>Results a</w:t>
      </w:r>
      <w:r w:rsidR="00DF3000">
        <w:t>n</w:t>
      </w:r>
      <w:r>
        <w:t>d Discussion</w:t>
      </w:r>
      <w:r w:rsidR="00073926">
        <w:t xml:space="preserve"> </w:t>
      </w:r>
    </w:p>
    <w:p w14:paraId="1641A65C" w14:textId="5BA4BEDB" w:rsidR="00906699" w:rsidRPr="00C66866" w:rsidRDefault="007B21CD" w:rsidP="00116EB8">
      <w:pPr>
        <w:pStyle w:val="Els-body-text"/>
      </w:pPr>
      <w:r>
        <w:t xml:space="preserve">The optimization problem is defined </w:t>
      </w:r>
      <w:r w:rsidR="00437D43">
        <w:t xml:space="preserve">to maximize </w:t>
      </w:r>
      <w:r w:rsidR="004776E0">
        <w:t xml:space="preserve">IBPE </w:t>
      </w:r>
      <w:r w:rsidR="0019747A">
        <w:t>concentration</w:t>
      </w:r>
      <w:r w:rsidR="004776E0">
        <w:t xml:space="preserve"> in the </w:t>
      </w:r>
      <w:r w:rsidR="006B4458">
        <w:t>catalytic hydrogenation reaction</w:t>
      </w:r>
      <w:r w:rsidR="00A52781">
        <w:t>, with IBPE yield calculated relative to initial IBAP concentration</w:t>
      </w:r>
      <w:r w:rsidR="0025756F">
        <w:t>, by o</w:t>
      </w:r>
      <w:r w:rsidR="00DF5749">
        <w:t xml:space="preserve">ptimizing </w:t>
      </w:r>
      <w:r w:rsidR="001765BA">
        <w:t>the temperature, hydrogen partial pressure, catalyst concentration</w:t>
      </w:r>
      <w:r w:rsidR="00731B21">
        <w:t>,</w:t>
      </w:r>
      <w:r w:rsidR="001765BA">
        <w:t xml:space="preserve"> and residence time</w:t>
      </w:r>
      <w:r w:rsidR="007A30AD">
        <w:t xml:space="preserve">. </w:t>
      </w:r>
      <w:r w:rsidR="00762DA6">
        <w:t>I</w:t>
      </w:r>
      <w:r w:rsidR="00906699">
        <w:t xml:space="preserve">ncreasing </w:t>
      </w:r>
      <w:r w:rsidR="00731B21">
        <w:t xml:space="preserve">the </w:t>
      </w:r>
      <w:r w:rsidR="00906699">
        <w:t xml:space="preserve">partial pressure of hydrogen can increase the yield of IBPE if the hydrogenation is more favorable than catalyst deactivation until the hydrogenolysis of IBPE to IBEB becomes favored. Beyond this point, increasing pressure may contribute to the undesired consecutive reaction. On the other hand, lower pressure may favor catalyst deactivation which allows </w:t>
      </w:r>
      <w:r w:rsidR="00776AC4">
        <w:t xml:space="preserve">a </w:t>
      </w:r>
      <w:r w:rsidR="00906699">
        <w:t xml:space="preserve">slower decrease of IBPE to form </w:t>
      </w:r>
      <w:r w:rsidR="00776AC4">
        <w:t xml:space="preserve">an </w:t>
      </w:r>
      <w:r w:rsidR="00906699">
        <w:t>undesired product which is also affected by the catalyst amount.</w:t>
      </w:r>
      <w:r w:rsidR="00762DA6">
        <w:t xml:space="preserve"> Therefore, optimizing these decision variables is crucial </w:t>
      </w:r>
      <w:r w:rsidR="00776AC4">
        <w:t xml:space="preserve">for </w:t>
      </w:r>
      <w:r w:rsidR="005032E9">
        <w:t>achieving</w:t>
      </w:r>
      <w:r w:rsidR="00762DA6">
        <w:t xml:space="preserve"> the maximum yield of IBPE because of the </w:t>
      </w:r>
      <w:r w:rsidR="00BF50B2">
        <w:t>tradeoffs</w:t>
      </w:r>
      <w:r w:rsidR="00762DA6">
        <w:t xml:space="preserve"> inherent in the process.</w:t>
      </w:r>
    </w:p>
    <w:p w14:paraId="4A0D2498" w14:textId="496FBE50" w:rsidR="00724EDF" w:rsidRDefault="000550EE" w:rsidP="0051201F">
      <w:pPr>
        <w:pStyle w:val="Els-body-text"/>
      </w:pPr>
      <w:r w:rsidRPr="00222CD9">
        <w:t>Th</w:t>
      </w:r>
      <w:r w:rsidR="0058491A" w:rsidRPr="00222CD9">
        <w:t>akar et al</w:t>
      </w:r>
      <w:r w:rsidR="00052A94" w:rsidRPr="00222CD9">
        <w:t xml:space="preserve">. </w:t>
      </w:r>
      <w:r w:rsidR="00052A94" w:rsidRPr="00052A94">
        <w:t>(20</w:t>
      </w:r>
      <w:r w:rsidR="00411F6A">
        <w:t>07</w:t>
      </w:r>
      <w:r w:rsidR="00052A94" w:rsidRPr="00052A94">
        <w:t>) investigated the reaction kinetics o</w:t>
      </w:r>
      <w:r w:rsidR="00052A94">
        <w:t>f hydrogenation</w:t>
      </w:r>
      <w:r w:rsidR="008E7561">
        <w:t xml:space="preserve"> </w:t>
      </w:r>
      <w:r w:rsidR="00D02EAC">
        <w:t xml:space="preserve">at various </w:t>
      </w:r>
      <w:r w:rsidR="008E7561">
        <w:t>temperature</w:t>
      </w:r>
      <w:r w:rsidR="00C67167">
        <w:t>s</w:t>
      </w:r>
      <w:r w:rsidR="008E7561">
        <w:t>, hydrogen partial pressure</w:t>
      </w:r>
      <w:r w:rsidR="00C67167">
        <w:t>s</w:t>
      </w:r>
      <w:r w:rsidR="005032E9">
        <w:t>,</w:t>
      </w:r>
      <w:r w:rsidR="008E7561">
        <w:t xml:space="preserve"> and catalyst concentration</w:t>
      </w:r>
      <w:r w:rsidR="0025386F">
        <w:t>s</w:t>
      </w:r>
      <w:r w:rsidR="00D02EAC">
        <w:t>, ranging</w:t>
      </w:r>
      <w:r w:rsidR="0025386F">
        <w:t xml:space="preserve"> </w:t>
      </w:r>
      <w:r w:rsidR="00E50228">
        <w:t xml:space="preserve">from </w:t>
      </w:r>
      <w:r w:rsidR="00E50228" w:rsidRPr="006701ED">
        <w:t>3</w:t>
      </w:r>
      <w:r w:rsidR="0025386F" w:rsidRPr="006701ED">
        <w:t>33</w:t>
      </w:r>
      <w:r w:rsidR="00E50228" w:rsidRPr="006701ED">
        <w:t xml:space="preserve"> to </w:t>
      </w:r>
      <w:r w:rsidR="0025386F" w:rsidRPr="006701ED">
        <w:t>373 K, 10</w:t>
      </w:r>
      <w:r w:rsidR="00E50228" w:rsidRPr="006701ED">
        <w:t xml:space="preserve"> to </w:t>
      </w:r>
      <w:r w:rsidR="0025386F" w:rsidRPr="006701ED">
        <w:t>40 bar</w:t>
      </w:r>
      <w:r w:rsidR="005032E9">
        <w:t>,</w:t>
      </w:r>
      <w:r w:rsidR="00E50228" w:rsidRPr="006701ED">
        <w:t xml:space="preserve"> and</w:t>
      </w:r>
      <w:r w:rsidR="0025386F" w:rsidRPr="006701ED">
        <w:t xml:space="preserve"> 0.26</w:t>
      </w:r>
      <w:r w:rsidR="00E50228" w:rsidRPr="006701ED">
        <w:t xml:space="preserve"> to </w:t>
      </w:r>
      <w:r w:rsidR="0025386F" w:rsidRPr="006701ED">
        <w:t xml:space="preserve">0.78 g/L respectively. </w:t>
      </w:r>
      <w:r w:rsidR="004C7D70" w:rsidRPr="006701ED">
        <w:t xml:space="preserve">Consequently, </w:t>
      </w:r>
      <w:r w:rsidR="00724EDF" w:rsidRPr="006701ED">
        <w:t xml:space="preserve">in this work, </w:t>
      </w:r>
      <w:r w:rsidR="006701ED" w:rsidRPr="006701ED">
        <w:t xml:space="preserve">the decision variable limits </w:t>
      </w:r>
      <w:r w:rsidR="006701ED">
        <w:t>are selected</w:t>
      </w:r>
      <w:r w:rsidR="006701ED" w:rsidRPr="006701ED">
        <w:t xml:space="preserve"> based on these specified ranges. Additionally, the lower and upper bounds for the residence time </w:t>
      </w:r>
      <w:r w:rsidR="00FF3A0E">
        <w:t>are</w:t>
      </w:r>
      <w:r w:rsidR="006701ED" w:rsidRPr="006701ED">
        <w:t xml:space="preserve"> set at 10 and 60 minutes, respectively.</w:t>
      </w:r>
      <w:r w:rsidR="00FF3A0E">
        <w:t xml:space="preserve"> </w:t>
      </w:r>
      <w:r w:rsidR="00CC4948">
        <w:t>The volume of the hydrogenation batch reactor is taken as 185 L</w:t>
      </w:r>
      <w:r w:rsidR="003C3DD5">
        <w:t xml:space="preserve"> and the initial concentration of IBPA is taken as 0.27 mol/L</w:t>
      </w:r>
      <w:r w:rsidR="00FF3A0E">
        <w:t xml:space="preserve"> </w:t>
      </w:r>
      <w:r w:rsidR="0056549B">
        <w:t xml:space="preserve">aiming to obtain approximately </w:t>
      </w:r>
      <w:r w:rsidR="00092877">
        <w:t>7 kg</w:t>
      </w:r>
      <w:r w:rsidR="006C5500">
        <w:t xml:space="preserve"> per batch</w:t>
      </w:r>
      <w:r w:rsidR="00092877">
        <w:t xml:space="preserve"> </w:t>
      </w:r>
      <w:r w:rsidR="00754A24">
        <w:t xml:space="preserve">of </w:t>
      </w:r>
      <w:r w:rsidR="00EF6254">
        <w:t>IBPE</w:t>
      </w:r>
      <w:r w:rsidR="00754A24">
        <w:t>.</w:t>
      </w:r>
      <w:r w:rsidR="003C3DD5">
        <w:t xml:space="preserve"> </w:t>
      </w:r>
    </w:p>
    <w:p w14:paraId="6F56D9CD" w14:textId="23B61B70" w:rsidR="0072090C" w:rsidRDefault="00C42188" w:rsidP="0072090C">
      <w:pPr>
        <w:pStyle w:val="Els-body-text"/>
      </w:pPr>
      <w:r>
        <w:t>Three different optimization procedures are applied in this work.</w:t>
      </w:r>
      <w:r w:rsidR="0007516C">
        <w:t xml:space="preserve"> The mean values of the parameters from the parameter estimations results</w:t>
      </w:r>
      <w:r w:rsidR="00C9134C">
        <w:t xml:space="preserve"> </w:t>
      </w:r>
      <w:r w:rsidR="0007516C">
        <w:t xml:space="preserve">are </w:t>
      </w:r>
      <w:r w:rsidR="0018233E">
        <w:t xml:space="preserve">used for the deterministic </w:t>
      </w:r>
      <w:r w:rsidR="00D26090">
        <w:t>solvers</w:t>
      </w:r>
      <w:r w:rsidR="00B57F74">
        <w:t>.</w:t>
      </w:r>
      <w:r w:rsidR="006E0764">
        <w:t xml:space="preserve"> </w:t>
      </w:r>
      <w:r w:rsidR="00B57F74">
        <w:t xml:space="preserve">On the other hand, </w:t>
      </w:r>
      <w:r w:rsidR="003E0D0E">
        <w:t>using the mean and the standard deviati</w:t>
      </w:r>
      <w:r w:rsidR="00102272">
        <w:t xml:space="preserve">on </w:t>
      </w:r>
      <w:r w:rsidR="00A9750A">
        <w:t>of the parameters</w:t>
      </w:r>
      <w:r w:rsidR="00C16719">
        <w:t>,</w:t>
      </w:r>
      <w:r w:rsidR="00D664C8">
        <w:t xml:space="preserve"> </w:t>
      </w:r>
      <w:r w:rsidR="00116787">
        <w:t xml:space="preserve">it is assumed that the uncertainties follow </w:t>
      </w:r>
      <w:r w:rsidR="00D664C8">
        <w:t xml:space="preserve">multivariate random normal distribution </w:t>
      </w:r>
      <w:r w:rsidR="00116787">
        <w:t xml:space="preserve">and </w:t>
      </w:r>
      <w:r w:rsidR="00C9134C">
        <w:t xml:space="preserve">employed </w:t>
      </w:r>
      <w:r w:rsidR="00D26090">
        <w:t>for</w:t>
      </w:r>
      <w:r w:rsidR="00D8082E">
        <w:t xml:space="preserve"> </w:t>
      </w:r>
      <w:r w:rsidR="00C9134C">
        <w:t>sampling</w:t>
      </w:r>
      <w:r w:rsidR="00D26090">
        <w:t xml:space="preserve"> for </w:t>
      </w:r>
      <w:r w:rsidR="00C20E20">
        <w:t xml:space="preserve">the </w:t>
      </w:r>
      <w:r w:rsidR="00D26090">
        <w:t xml:space="preserve">stochastic solver. </w:t>
      </w:r>
      <w:r w:rsidR="00FE1D0A">
        <w:t>T</w:t>
      </w:r>
      <w:r w:rsidR="00D44BD1">
        <w:t>he maximum</w:t>
      </w:r>
      <w:r w:rsidR="0038354A">
        <w:t xml:space="preserve"> number of </w:t>
      </w:r>
      <w:r w:rsidR="0080261F">
        <w:t xml:space="preserve">iterations </w:t>
      </w:r>
      <w:r w:rsidR="008F6795">
        <w:t xml:space="preserve">for </w:t>
      </w:r>
      <w:r w:rsidR="005E2128">
        <w:t>the optimization</w:t>
      </w:r>
      <w:r w:rsidR="008F6795">
        <w:t xml:space="preserve"> task</w:t>
      </w:r>
      <w:r w:rsidR="005E2128">
        <w:t xml:space="preserve"> is set to 150</w:t>
      </w:r>
      <w:r w:rsidR="00FE1D0A">
        <w:t xml:space="preserve"> for each </w:t>
      </w:r>
      <w:proofErr w:type="spellStart"/>
      <w:r w:rsidR="00FE1D0A">
        <w:t>MOSKopt</w:t>
      </w:r>
      <w:proofErr w:type="spellEnd"/>
      <w:r w:rsidR="00FE1D0A">
        <w:t xml:space="preserve"> algorithm</w:t>
      </w:r>
      <w:r w:rsidR="005E2128">
        <w:t>.</w:t>
      </w:r>
      <w:r w:rsidR="003F28E8">
        <w:t xml:space="preserve"> </w:t>
      </w:r>
      <w:r w:rsidR="00076549">
        <w:t>To account for</w:t>
      </w:r>
      <w:r w:rsidR="00A3295A">
        <w:t xml:space="preserve"> the </w:t>
      </w:r>
      <w:r w:rsidR="00942AD6">
        <w:t xml:space="preserve">influence of the </w:t>
      </w:r>
      <w:r w:rsidR="00A3295A">
        <w:t>uncertainties</w:t>
      </w:r>
      <w:r w:rsidR="00942AD6">
        <w:t xml:space="preserve"> o</w:t>
      </w:r>
      <w:r w:rsidR="00F613F5">
        <w:t>n objective and constraints</w:t>
      </w:r>
      <w:r w:rsidR="00A3295A">
        <w:t>, 250 Monte Carlo simulations are performed for each iteration.</w:t>
      </w:r>
      <w:r w:rsidR="002260E4">
        <w:t xml:space="preserve"> </w:t>
      </w:r>
    </w:p>
    <w:p w14:paraId="3897E8A1" w14:textId="7AB2CFFE" w:rsidR="00673780" w:rsidRDefault="00673780" w:rsidP="0072090C">
      <w:pPr>
        <w:pStyle w:val="Els-body-text"/>
      </w:pPr>
      <w:r>
        <w:t xml:space="preserve">The optimal objective values along with the values of decision variables at the optimal for three different optimization approaches are given in Table </w:t>
      </w:r>
      <w:r w:rsidR="6555FDEB">
        <w:t>2</w:t>
      </w:r>
      <w:r>
        <w:t xml:space="preserve">. </w:t>
      </w:r>
    </w:p>
    <w:p w14:paraId="72F148A7" w14:textId="57527F82" w:rsidR="00073926" w:rsidRDefault="00000CA7" w:rsidP="00C64D03">
      <w:pPr>
        <w:pStyle w:val="Els-body-text"/>
        <w:jc w:val="center"/>
      </w:pPr>
      <w:r>
        <w:lastRenderedPageBreak/>
        <w:t xml:space="preserve">Table </w:t>
      </w:r>
      <w:r w:rsidR="2F6E5FDC">
        <w:t>2</w:t>
      </w:r>
      <w:r>
        <w:t xml:space="preserve">. </w:t>
      </w:r>
      <w:r w:rsidR="00F63D90">
        <w:t>Optimization results</w:t>
      </w:r>
      <w:r w:rsidR="00961790">
        <w:t>.</w:t>
      </w:r>
    </w:p>
    <w:tbl>
      <w:tblPr>
        <w:tblStyle w:val="TableGrid"/>
        <w:tblW w:w="7077" w:type="dxa"/>
        <w:tblLayout w:type="fixed"/>
        <w:tblLook w:val="04A0" w:firstRow="1" w:lastRow="0" w:firstColumn="1" w:lastColumn="0" w:noHBand="0" w:noVBand="1"/>
      </w:tblPr>
      <w:tblGrid>
        <w:gridCol w:w="1276"/>
        <w:gridCol w:w="2126"/>
        <w:gridCol w:w="851"/>
        <w:gridCol w:w="850"/>
        <w:gridCol w:w="993"/>
        <w:gridCol w:w="981"/>
      </w:tblGrid>
      <w:tr w:rsidR="001B4698" w14:paraId="611FFA0D" w14:textId="6B7DEC1B" w:rsidTr="008461B0">
        <w:tc>
          <w:tcPr>
            <w:tcW w:w="1276" w:type="dxa"/>
            <w:tcBorders>
              <w:top w:val="nil"/>
              <w:left w:val="nil"/>
            </w:tcBorders>
          </w:tcPr>
          <w:p w14:paraId="4B9DFC50" w14:textId="77777777" w:rsidR="006C6DFE" w:rsidRDefault="006C6DFE" w:rsidP="00073926">
            <w:pPr>
              <w:pStyle w:val="Els-body-text"/>
            </w:pPr>
          </w:p>
        </w:tc>
        <w:tc>
          <w:tcPr>
            <w:tcW w:w="2126" w:type="dxa"/>
          </w:tcPr>
          <w:p w14:paraId="52CF6CCF" w14:textId="072E8A6E" w:rsidR="000C61F3" w:rsidRDefault="006C6DFE" w:rsidP="00073926">
            <w:pPr>
              <w:pStyle w:val="Els-body-text"/>
            </w:pPr>
            <w:r>
              <w:t xml:space="preserve">Decision </w:t>
            </w:r>
          </w:p>
          <w:p w14:paraId="06E55F9C" w14:textId="70ED1870" w:rsidR="006C6DFE" w:rsidRDefault="006C6DFE" w:rsidP="00073926">
            <w:pPr>
              <w:pStyle w:val="Els-body-text"/>
            </w:pPr>
            <w:r>
              <w:t>variable</w:t>
            </w:r>
          </w:p>
        </w:tc>
        <w:tc>
          <w:tcPr>
            <w:tcW w:w="851" w:type="dxa"/>
          </w:tcPr>
          <w:p w14:paraId="28918F48" w14:textId="72B7E5F0" w:rsidR="006C6DFE" w:rsidRDefault="006C6DFE" w:rsidP="00073926">
            <w:pPr>
              <w:pStyle w:val="Els-body-text"/>
            </w:pPr>
            <w:r>
              <w:t>Lower bound</w:t>
            </w:r>
          </w:p>
        </w:tc>
        <w:tc>
          <w:tcPr>
            <w:tcW w:w="850" w:type="dxa"/>
          </w:tcPr>
          <w:p w14:paraId="73328C0E" w14:textId="30DF6788" w:rsidR="006C6DFE" w:rsidRDefault="006C6DFE" w:rsidP="00073926">
            <w:pPr>
              <w:pStyle w:val="Els-body-text"/>
            </w:pPr>
            <w:r>
              <w:t>Upper bound</w:t>
            </w:r>
          </w:p>
        </w:tc>
        <w:tc>
          <w:tcPr>
            <w:tcW w:w="993" w:type="dxa"/>
          </w:tcPr>
          <w:p w14:paraId="7533D930" w14:textId="5C650C18" w:rsidR="006C6DFE" w:rsidRDefault="00F6384C" w:rsidP="00073926">
            <w:pPr>
              <w:pStyle w:val="Els-body-text"/>
            </w:pPr>
            <w:r>
              <w:t>Optimal values</w:t>
            </w:r>
          </w:p>
        </w:tc>
        <w:tc>
          <w:tcPr>
            <w:tcW w:w="981" w:type="dxa"/>
          </w:tcPr>
          <w:p w14:paraId="58381155" w14:textId="21F47968" w:rsidR="00F10BA2" w:rsidRDefault="00DC1663" w:rsidP="00073926">
            <w:pPr>
              <w:pStyle w:val="Els-body-text"/>
            </w:pPr>
            <w:r>
              <w:t>Best</w:t>
            </w:r>
            <w:r w:rsidR="008F017E">
              <w:t xml:space="preserve"> </w:t>
            </w:r>
            <w:r>
              <w:t>obj</w:t>
            </w:r>
            <w:r w:rsidR="008766D1">
              <w:t>.</w:t>
            </w:r>
          </w:p>
          <w:p w14:paraId="58D7AD56" w14:textId="42A541AF" w:rsidR="006C6DFE" w:rsidRDefault="00F10BA2" w:rsidP="00073926">
            <w:pPr>
              <w:pStyle w:val="Els-body-text"/>
            </w:pPr>
            <w:r>
              <w:t>(mol/L)</w:t>
            </w:r>
            <w:r w:rsidR="00F6384C">
              <w:t xml:space="preserve"> </w:t>
            </w:r>
          </w:p>
        </w:tc>
      </w:tr>
      <w:tr w:rsidR="00C90905" w14:paraId="5355174B" w14:textId="7D465D5C" w:rsidTr="008461B0">
        <w:tc>
          <w:tcPr>
            <w:tcW w:w="1276" w:type="dxa"/>
            <w:vMerge w:val="restart"/>
          </w:tcPr>
          <w:p w14:paraId="22C8A90E" w14:textId="5DF50EB3" w:rsidR="00C90905" w:rsidRDefault="00C90905" w:rsidP="00073926">
            <w:pPr>
              <w:pStyle w:val="Els-body-text"/>
            </w:pPr>
            <w:r>
              <w:t>Interior-point algorithm</w:t>
            </w:r>
          </w:p>
        </w:tc>
        <w:tc>
          <w:tcPr>
            <w:tcW w:w="2126" w:type="dxa"/>
          </w:tcPr>
          <w:p w14:paraId="070A39E2" w14:textId="10B0FCE5" w:rsidR="00C90905" w:rsidRDefault="00C90905" w:rsidP="00073926">
            <w:pPr>
              <w:pStyle w:val="Els-body-text"/>
            </w:pPr>
            <w:r>
              <w:t>Temperature (K)</w:t>
            </w:r>
          </w:p>
        </w:tc>
        <w:tc>
          <w:tcPr>
            <w:tcW w:w="851" w:type="dxa"/>
          </w:tcPr>
          <w:p w14:paraId="2E5B44A1" w14:textId="6B873A3F" w:rsidR="00C90905" w:rsidRDefault="00C90905" w:rsidP="00073926">
            <w:pPr>
              <w:pStyle w:val="Els-body-text"/>
            </w:pPr>
            <w:r>
              <w:t>333</w:t>
            </w:r>
          </w:p>
        </w:tc>
        <w:tc>
          <w:tcPr>
            <w:tcW w:w="850" w:type="dxa"/>
          </w:tcPr>
          <w:p w14:paraId="7E64B0CC" w14:textId="5B4DEC23" w:rsidR="00C90905" w:rsidRDefault="00C90905" w:rsidP="00073926">
            <w:pPr>
              <w:pStyle w:val="Els-body-text"/>
            </w:pPr>
            <w:r>
              <w:t>373</w:t>
            </w:r>
          </w:p>
        </w:tc>
        <w:tc>
          <w:tcPr>
            <w:tcW w:w="993" w:type="dxa"/>
          </w:tcPr>
          <w:p w14:paraId="77DF79EB" w14:textId="3FE16CD7" w:rsidR="00C90905" w:rsidRDefault="0021208C" w:rsidP="00073926">
            <w:pPr>
              <w:pStyle w:val="Els-body-text"/>
            </w:pPr>
            <w:r>
              <w:t>333</w:t>
            </w:r>
          </w:p>
        </w:tc>
        <w:tc>
          <w:tcPr>
            <w:tcW w:w="981" w:type="dxa"/>
            <w:vMerge w:val="restart"/>
          </w:tcPr>
          <w:p w14:paraId="63B4CA5D" w14:textId="77777777" w:rsidR="00C90905" w:rsidRDefault="00C90905" w:rsidP="00073926">
            <w:pPr>
              <w:pStyle w:val="Els-body-text"/>
            </w:pPr>
            <w:r>
              <w:t>0.2192</w:t>
            </w:r>
            <w:r w:rsidR="000C61F3">
              <w:t xml:space="preserve"> </w:t>
            </w:r>
          </w:p>
          <w:p w14:paraId="0F789EFE" w14:textId="3043A702" w:rsidR="00273A5E" w:rsidRDefault="00273A5E" w:rsidP="00073926">
            <w:pPr>
              <w:pStyle w:val="Els-body-text"/>
            </w:pPr>
          </w:p>
        </w:tc>
      </w:tr>
      <w:tr w:rsidR="00C90905" w14:paraId="4A269B72" w14:textId="77777777" w:rsidTr="008461B0">
        <w:tc>
          <w:tcPr>
            <w:tcW w:w="1276" w:type="dxa"/>
            <w:vMerge/>
          </w:tcPr>
          <w:p w14:paraId="05E9E18C" w14:textId="77777777" w:rsidR="00C90905" w:rsidRDefault="00C90905" w:rsidP="00073926">
            <w:pPr>
              <w:pStyle w:val="Els-body-text"/>
            </w:pPr>
          </w:p>
        </w:tc>
        <w:tc>
          <w:tcPr>
            <w:tcW w:w="2126" w:type="dxa"/>
          </w:tcPr>
          <w:p w14:paraId="787E7BD1" w14:textId="12DA7DA7" w:rsidR="00C90905" w:rsidRDefault="00C90905" w:rsidP="00073926">
            <w:pPr>
              <w:pStyle w:val="Els-body-text"/>
            </w:pPr>
            <w:r w:rsidRPr="001B4698">
              <w:t>H</w:t>
            </w:r>
            <w:r>
              <w:rPr>
                <w:vertAlign w:val="subscript"/>
              </w:rPr>
              <w:t>2</w:t>
            </w:r>
            <w:r>
              <w:t xml:space="preserve"> </w:t>
            </w:r>
            <w:r w:rsidRPr="001B4698">
              <w:t>partial</w:t>
            </w:r>
            <w:r>
              <w:t xml:space="preserve"> pressure (bar)</w:t>
            </w:r>
          </w:p>
        </w:tc>
        <w:tc>
          <w:tcPr>
            <w:tcW w:w="851" w:type="dxa"/>
          </w:tcPr>
          <w:p w14:paraId="2760F777" w14:textId="6A701A9E" w:rsidR="00C90905" w:rsidRDefault="00C90905" w:rsidP="00073926">
            <w:pPr>
              <w:pStyle w:val="Els-body-text"/>
            </w:pPr>
            <w:r>
              <w:t>10</w:t>
            </w:r>
          </w:p>
        </w:tc>
        <w:tc>
          <w:tcPr>
            <w:tcW w:w="850" w:type="dxa"/>
          </w:tcPr>
          <w:p w14:paraId="4E02517E" w14:textId="23279675" w:rsidR="00C90905" w:rsidRDefault="00C90905" w:rsidP="00073926">
            <w:pPr>
              <w:pStyle w:val="Els-body-text"/>
            </w:pPr>
            <w:r>
              <w:t>40</w:t>
            </w:r>
          </w:p>
        </w:tc>
        <w:tc>
          <w:tcPr>
            <w:tcW w:w="993" w:type="dxa"/>
          </w:tcPr>
          <w:p w14:paraId="49FD30A1" w14:textId="77F7C86B" w:rsidR="00C90905" w:rsidRDefault="0021208C" w:rsidP="00073926">
            <w:pPr>
              <w:pStyle w:val="Els-body-text"/>
            </w:pPr>
            <w:r>
              <w:t>19.93</w:t>
            </w:r>
          </w:p>
        </w:tc>
        <w:tc>
          <w:tcPr>
            <w:tcW w:w="981" w:type="dxa"/>
            <w:vMerge/>
          </w:tcPr>
          <w:p w14:paraId="113F72DF" w14:textId="77777777" w:rsidR="00C90905" w:rsidRDefault="00C90905" w:rsidP="00073926">
            <w:pPr>
              <w:pStyle w:val="Els-body-text"/>
            </w:pPr>
          </w:p>
        </w:tc>
      </w:tr>
      <w:tr w:rsidR="00C90905" w14:paraId="642BD4C0" w14:textId="77777777" w:rsidTr="008461B0">
        <w:tc>
          <w:tcPr>
            <w:tcW w:w="1276" w:type="dxa"/>
            <w:vMerge/>
          </w:tcPr>
          <w:p w14:paraId="46EDA46B" w14:textId="77777777" w:rsidR="00C90905" w:rsidRDefault="00C90905" w:rsidP="00073926">
            <w:pPr>
              <w:pStyle w:val="Els-body-text"/>
            </w:pPr>
          </w:p>
        </w:tc>
        <w:tc>
          <w:tcPr>
            <w:tcW w:w="2126" w:type="dxa"/>
          </w:tcPr>
          <w:p w14:paraId="25C97729" w14:textId="5407BE90" w:rsidR="00C90905" w:rsidRDefault="00C90905" w:rsidP="00073926">
            <w:pPr>
              <w:pStyle w:val="Els-body-text"/>
            </w:pPr>
            <w:r>
              <w:t>Catalyst amount (g)</w:t>
            </w:r>
          </w:p>
        </w:tc>
        <w:tc>
          <w:tcPr>
            <w:tcW w:w="851" w:type="dxa"/>
          </w:tcPr>
          <w:p w14:paraId="3CED3503" w14:textId="286FDB11" w:rsidR="00C90905" w:rsidRDefault="00CB303B" w:rsidP="00073926">
            <w:pPr>
              <w:pStyle w:val="Els-body-text"/>
            </w:pPr>
            <w:r>
              <w:t>48.1</w:t>
            </w:r>
          </w:p>
        </w:tc>
        <w:tc>
          <w:tcPr>
            <w:tcW w:w="850" w:type="dxa"/>
          </w:tcPr>
          <w:p w14:paraId="73179B1D" w14:textId="65EEC0FA" w:rsidR="00C90905" w:rsidRDefault="00CB303B" w:rsidP="00073926">
            <w:pPr>
              <w:pStyle w:val="Els-body-text"/>
            </w:pPr>
            <w:r>
              <w:t>144.3</w:t>
            </w:r>
          </w:p>
        </w:tc>
        <w:tc>
          <w:tcPr>
            <w:tcW w:w="993" w:type="dxa"/>
          </w:tcPr>
          <w:p w14:paraId="6BA69E5E" w14:textId="2FACC2DC" w:rsidR="00C90905" w:rsidRDefault="0021208C" w:rsidP="00073926">
            <w:pPr>
              <w:pStyle w:val="Els-body-text"/>
            </w:pPr>
            <w:r>
              <w:t>58.95</w:t>
            </w:r>
          </w:p>
        </w:tc>
        <w:tc>
          <w:tcPr>
            <w:tcW w:w="981" w:type="dxa"/>
            <w:vMerge/>
          </w:tcPr>
          <w:p w14:paraId="72167FA5" w14:textId="77777777" w:rsidR="00C90905" w:rsidRDefault="00C90905" w:rsidP="00073926">
            <w:pPr>
              <w:pStyle w:val="Els-body-text"/>
            </w:pPr>
          </w:p>
        </w:tc>
      </w:tr>
      <w:tr w:rsidR="00C90905" w14:paraId="099E18C4" w14:textId="77777777" w:rsidTr="008461B0">
        <w:tc>
          <w:tcPr>
            <w:tcW w:w="1276" w:type="dxa"/>
            <w:vMerge/>
          </w:tcPr>
          <w:p w14:paraId="371CC43B" w14:textId="77777777" w:rsidR="00C90905" w:rsidRDefault="00C90905" w:rsidP="00073926">
            <w:pPr>
              <w:pStyle w:val="Els-body-text"/>
            </w:pPr>
          </w:p>
        </w:tc>
        <w:tc>
          <w:tcPr>
            <w:tcW w:w="2126" w:type="dxa"/>
          </w:tcPr>
          <w:p w14:paraId="65A0EBB7" w14:textId="08E65E95" w:rsidR="00C90905" w:rsidRDefault="00C90905" w:rsidP="00073926">
            <w:pPr>
              <w:pStyle w:val="Els-body-text"/>
            </w:pPr>
            <w:r>
              <w:t>Residence time (min)</w:t>
            </w:r>
          </w:p>
        </w:tc>
        <w:tc>
          <w:tcPr>
            <w:tcW w:w="851" w:type="dxa"/>
          </w:tcPr>
          <w:p w14:paraId="697FB4FA" w14:textId="1EB77482" w:rsidR="00C90905" w:rsidRDefault="00CB303B" w:rsidP="00073926">
            <w:pPr>
              <w:pStyle w:val="Els-body-text"/>
            </w:pPr>
            <w:r>
              <w:t>10</w:t>
            </w:r>
          </w:p>
        </w:tc>
        <w:tc>
          <w:tcPr>
            <w:tcW w:w="850" w:type="dxa"/>
          </w:tcPr>
          <w:p w14:paraId="634ED16E" w14:textId="3F4AA653" w:rsidR="00C90905" w:rsidRDefault="00CB303B" w:rsidP="00073926">
            <w:pPr>
              <w:pStyle w:val="Els-body-text"/>
            </w:pPr>
            <w:r>
              <w:t>60</w:t>
            </w:r>
          </w:p>
        </w:tc>
        <w:tc>
          <w:tcPr>
            <w:tcW w:w="993" w:type="dxa"/>
          </w:tcPr>
          <w:p w14:paraId="61C55767" w14:textId="3F22A763" w:rsidR="00C90905" w:rsidRDefault="00CB303B" w:rsidP="00073926">
            <w:pPr>
              <w:pStyle w:val="Els-body-text"/>
            </w:pPr>
            <w:r>
              <w:t>32.06</w:t>
            </w:r>
          </w:p>
        </w:tc>
        <w:tc>
          <w:tcPr>
            <w:tcW w:w="981" w:type="dxa"/>
            <w:vMerge/>
          </w:tcPr>
          <w:p w14:paraId="6AB70094" w14:textId="77777777" w:rsidR="00C90905" w:rsidRDefault="00C90905" w:rsidP="00073926">
            <w:pPr>
              <w:pStyle w:val="Els-body-text"/>
            </w:pPr>
          </w:p>
        </w:tc>
      </w:tr>
      <w:tr w:rsidR="00C90905" w14:paraId="4B8CE613" w14:textId="5024CA2E" w:rsidTr="008461B0">
        <w:tc>
          <w:tcPr>
            <w:tcW w:w="1276" w:type="dxa"/>
            <w:vMerge w:val="restart"/>
          </w:tcPr>
          <w:p w14:paraId="026B79E2" w14:textId="28B97F16" w:rsidR="00C90905" w:rsidRDefault="00C90905" w:rsidP="00073926">
            <w:pPr>
              <w:pStyle w:val="Els-body-text"/>
            </w:pPr>
            <w:proofErr w:type="spellStart"/>
            <w:r>
              <w:t>MOSKopt</w:t>
            </w:r>
            <w:proofErr w:type="spellEnd"/>
            <w:r w:rsidR="008B14FE">
              <w:t xml:space="preserve"> deterministic</w:t>
            </w:r>
          </w:p>
        </w:tc>
        <w:tc>
          <w:tcPr>
            <w:tcW w:w="2126" w:type="dxa"/>
          </w:tcPr>
          <w:p w14:paraId="702F7A36" w14:textId="35455CCA" w:rsidR="00C90905" w:rsidRDefault="00C90905" w:rsidP="00073926">
            <w:pPr>
              <w:pStyle w:val="Els-body-text"/>
            </w:pPr>
            <w:r>
              <w:t>Temperature (K)</w:t>
            </w:r>
          </w:p>
        </w:tc>
        <w:tc>
          <w:tcPr>
            <w:tcW w:w="851" w:type="dxa"/>
          </w:tcPr>
          <w:p w14:paraId="687062C7" w14:textId="4EF3D1E5" w:rsidR="00C90905" w:rsidRDefault="00C90905" w:rsidP="00073926">
            <w:pPr>
              <w:pStyle w:val="Els-body-text"/>
            </w:pPr>
            <w:r>
              <w:t>333</w:t>
            </w:r>
          </w:p>
        </w:tc>
        <w:tc>
          <w:tcPr>
            <w:tcW w:w="850" w:type="dxa"/>
          </w:tcPr>
          <w:p w14:paraId="3A8A521F" w14:textId="2DDDE4F2" w:rsidR="00C90905" w:rsidRDefault="00C90905" w:rsidP="00073926">
            <w:pPr>
              <w:pStyle w:val="Els-body-text"/>
            </w:pPr>
            <w:r>
              <w:t>373</w:t>
            </w:r>
          </w:p>
        </w:tc>
        <w:tc>
          <w:tcPr>
            <w:tcW w:w="993" w:type="dxa"/>
          </w:tcPr>
          <w:p w14:paraId="677D4354" w14:textId="36648F8B" w:rsidR="00C90905" w:rsidRDefault="0015118B" w:rsidP="00073926">
            <w:pPr>
              <w:pStyle w:val="Els-body-text"/>
            </w:pPr>
            <w:r>
              <w:t>333</w:t>
            </w:r>
          </w:p>
        </w:tc>
        <w:tc>
          <w:tcPr>
            <w:tcW w:w="981" w:type="dxa"/>
            <w:vMerge w:val="restart"/>
          </w:tcPr>
          <w:p w14:paraId="4935FB3E" w14:textId="77777777" w:rsidR="00C90905" w:rsidRDefault="00703EB7" w:rsidP="00073926">
            <w:pPr>
              <w:pStyle w:val="Els-body-text"/>
            </w:pPr>
            <w:r>
              <w:t>0.2192</w:t>
            </w:r>
          </w:p>
          <w:p w14:paraId="2E6D3335" w14:textId="1722F819" w:rsidR="000C61F3" w:rsidRDefault="000C61F3" w:rsidP="00073926">
            <w:pPr>
              <w:pStyle w:val="Els-body-text"/>
            </w:pPr>
          </w:p>
        </w:tc>
      </w:tr>
      <w:tr w:rsidR="00C90905" w14:paraId="540D1D51" w14:textId="77777777" w:rsidTr="008461B0">
        <w:tc>
          <w:tcPr>
            <w:tcW w:w="1276" w:type="dxa"/>
            <w:vMerge/>
          </w:tcPr>
          <w:p w14:paraId="64C92F4A" w14:textId="77777777" w:rsidR="00C90905" w:rsidRDefault="00C90905" w:rsidP="00073926">
            <w:pPr>
              <w:pStyle w:val="Els-body-text"/>
            </w:pPr>
          </w:p>
        </w:tc>
        <w:tc>
          <w:tcPr>
            <w:tcW w:w="2126" w:type="dxa"/>
          </w:tcPr>
          <w:p w14:paraId="152807B2" w14:textId="39390BA4" w:rsidR="00C90905" w:rsidRDefault="00C90905" w:rsidP="00073926">
            <w:pPr>
              <w:pStyle w:val="Els-body-text"/>
            </w:pPr>
            <w:r w:rsidRPr="001B4698">
              <w:t>H</w:t>
            </w:r>
            <w:r>
              <w:rPr>
                <w:vertAlign w:val="subscript"/>
              </w:rPr>
              <w:t>2</w:t>
            </w:r>
            <w:r>
              <w:t xml:space="preserve"> </w:t>
            </w:r>
            <w:r w:rsidRPr="001B4698">
              <w:t>partial</w:t>
            </w:r>
            <w:r>
              <w:t xml:space="preserve"> pressure (bar)</w:t>
            </w:r>
          </w:p>
        </w:tc>
        <w:tc>
          <w:tcPr>
            <w:tcW w:w="851" w:type="dxa"/>
          </w:tcPr>
          <w:p w14:paraId="3BBBFB06" w14:textId="49968768" w:rsidR="00C90905" w:rsidRDefault="00C90905" w:rsidP="00073926">
            <w:pPr>
              <w:pStyle w:val="Els-body-text"/>
            </w:pPr>
            <w:r>
              <w:t>10</w:t>
            </w:r>
          </w:p>
        </w:tc>
        <w:tc>
          <w:tcPr>
            <w:tcW w:w="850" w:type="dxa"/>
          </w:tcPr>
          <w:p w14:paraId="3599FA55" w14:textId="3FCE5796" w:rsidR="00C90905" w:rsidRDefault="00C90905" w:rsidP="00073926">
            <w:pPr>
              <w:pStyle w:val="Els-body-text"/>
            </w:pPr>
            <w:r>
              <w:t>40</w:t>
            </w:r>
          </w:p>
        </w:tc>
        <w:tc>
          <w:tcPr>
            <w:tcW w:w="993" w:type="dxa"/>
          </w:tcPr>
          <w:p w14:paraId="6F2570F5" w14:textId="66DA8503" w:rsidR="00C90905" w:rsidRDefault="0015118B" w:rsidP="00073926">
            <w:pPr>
              <w:pStyle w:val="Els-body-text"/>
            </w:pPr>
            <w:r>
              <w:t>14.3</w:t>
            </w:r>
            <w:r w:rsidR="007729BB">
              <w:t>6</w:t>
            </w:r>
          </w:p>
        </w:tc>
        <w:tc>
          <w:tcPr>
            <w:tcW w:w="981" w:type="dxa"/>
            <w:vMerge/>
          </w:tcPr>
          <w:p w14:paraId="0A6B5E4B" w14:textId="77777777" w:rsidR="00C90905" w:rsidRDefault="00C90905" w:rsidP="00073926">
            <w:pPr>
              <w:pStyle w:val="Els-body-text"/>
            </w:pPr>
          </w:p>
        </w:tc>
      </w:tr>
      <w:tr w:rsidR="00C90905" w14:paraId="623B1B88" w14:textId="77777777" w:rsidTr="008461B0">
        <w:tc>
          <w:tcPr>
            <w:tcW w:w="1276" w:type="dxa"/>
            <w:vMerge/>
          </w:tcPr>
          <w:p w14:paraId="13E992D1" w14:textId="77777777" w:rsidR="00C90905" w:rsidRDefault="00C90905" w:rsidP="00073926">
            <w:pPr>
              <w:pStyle w:val="Els-body-text"/>
            </w:pPr>
          </w:p>
        </w:tc>
        <w:tc>
          <w:tcPr>
            <w:tcW w:w="2126" w:type="dxa"/>
          </w:tcPr>
          <w:p w14:paraId="02B224FC" w14:textId="544C58DF" w:rsidR="00C90905" w:rsidRDefault="00C90905" w:rsidP="00073926">
            <w:pPr>
              <w:pStyle w:val="Els-body-text"/>
            </w:pPr>
            <w:r>
              <w:t>Catalyst amount (g)</w:t>
            </w:r>
          </w:p>
        </w:tc>
        <w:tc>
          <w:tcPr>
            <w:tcW w:w="851" w:type="dxa"/>
          </w:tcPr>
          <w:p w14:paraId="07418ED9" w14:textId="7D308D38" w:rsidR="00C90905" w:rsidRDefault="00CB303B" w:rsidP="00073926">
            <w:pPr>
              <w:pStyle w:val="Els-body-text"/>
            </w:pPr>
            <w:r>
              <w:t>48.1</w:t>
            </w:r>
          </w:p>
        </w:tc>
        <w:tc>
          <w:tcPr>
            <w:tcW w:w="850" w:type="dxa"/>
          </w:tcPr>
          <w:p w14:paraId="7911D041" w14:textId="5361766A" w:rsidR="00C90905" w:rsidRDefault="00CB303B" w:rsidP="00073926">
            <w:pPr>
              <w:pStyle w:val="Els-body-text"/>
            </w:pPr>
            <w:r>
              <w:t>144.3</w:t>
            </w:r>
          </w:p>
        </w:tc>
        <w:tc>
          <w:tcPr>
            <w:tcW w:w="993" w:type="dxa"/>
          </w:tcPr>
          <w:p w14:paraId="3B6F5201" w14:textId="18329FEC" w:rsidR="00C90905" w:rsidRDefault="007729BB" w:rsidP="00073926">
            <w:pPr>
              <w:pStyle w:val="Els-body-text"/>
            </w:pPr>
            <w:r>
              <w:t>77.39</w:t>
            </w:r>
          </w:p>
        </w:tc>
        <w:tc>
          <w:tcPr>
            <w:tcW w:w="981" w:type="dxa"/>
            <w:vMerge/>
          </w:tcPr>
          <w:p w14:paraId="38A9B96B" w14:textId="77777777" w:rsidR="00C90905" w:rsidRDefault="00C90905" w:rsidP="00073926">
            <w:pPr>
              <w:pStyle w:val="Els-body-text"/>
            </w:pPr>
          </w:p>
        </w:tc>
      </w:tr>
      <w:tr w:rsidR="00C90905" w14:paraId="5C615FDC" w14:textId="77777777" w:rsidTr="008461B0">
        <w:tc>
          <w:tcPr>
            <w:tcW w:w="1276" w:type="dxa"/>
            <w:vMerge/>
          </w:tcPr>
          <w:p w14:paraId="1A39BC6B" w14:textId="77777777" w:rsidR="00C90905" w:rsidRDefault="00C90905" w:rsidP="00073926">
            <w:pPr>
              <w:pStyle w:val="Els-body-text"/>
            </w:pPr>
          </w:p>
        </w:tc>
        <w:tc>
          <w:tcPr>
            <w:tcW w:w="2126" w:type="dxa"/>
          </w:tcPr>
          <w:p w14:paraId="33FE0593" w14:textId="176E4E85" w:rsidR="00C90905" w:rsidRDefault="00C90905" w:rsidP="00073926">
            <w:pPr>
              <w:pStyle w:val="Els-body-text"/>
            </w:pPr>
            <w:r>
              <w:t>Residence time (min)</w:t>
            </w:r>
          </w:p>
        </w:tc>
        <w:tc>
          <w:tcPr>
            <w:tcW w:w="851" w:type="dxa"/>
          </w:tcPr>
          <w:p w14:paraId="3328B4CA" w14:textId="6DED722E" w:rsidR="00C90905" w:rsidRDefault="00CB303B" w:rsidP="00073926">
            <w:pPr>
              <w:pStyle w:val="Els-body-text"/>
            </w:pPr>
            <w:r>
              <w:t>10</w:t>
            </w:r>
          </w:p>
        </w:tc>
        <w:tc>
          <w:tcPr>
            <w:tcW w:w="850" w:type="dxa"/>
          </w:tcPr>
          <w:p w14:paraId="3BAC81CC" w14:textId="163E7564" w:rsidR="00C90905" w:rsidRDefault="00CB303B" w:rsidP="00073926">
            <w:pPr>
              <w:pStyle w:val="Els-body-text"/>
            </w:pPr>
            <w:r>
              <w:t>60</w:t>
            </w:r>
          </w:p>
        </w:tc>
        <w:tc>
          <w:tcPr>
            <w:tcW w:w="993" w:type="dxa"/>
          </w:tcPr>
          <w:p w14:paraId="63FC55D6" w14:textId="2605DC96" w:rsidR="00C90905" w:rsidRDefault="007729BB" w:rsidP="00073926">
            <w:pPr>
              <w:pStyle w:val="Els-body-text"/>
            </w:pPr>
            <w:r>
              <w:t>26.11</w:t>
            </w:r>
          </w:p>
        </w:tc>
        <w:tc>
          <w:tcPr>
            <w:tcW w:w="981" w:type="dxa"/>
            <w:vMerge/>
          </w:tcPr>
          <w:p w14:paraId="6275CDB4" w14:textId="77777777" w:rsidR="00C90905" w:rsidRDefault="00C90905" w:rsidP="00073926">
            <w:pPr>
              <w:pStyle w:val="Els-body-text"/>
            </w:pPr>
          </w:p>
        </w:tc>
      </w:tr>
      <w:tr w:rsidR="00C90905" w14:paraId="275B7FAA" w14:textId="252E08D8" w:rsidTr="008461B0">
        <w:tc>
          <w:tcPr>
            <w:tcW w:w="1276" w:type="dxa"/>
            <w:vMerge w:val="restart"/>
          </w:tcPr>
          <w:p w14:paraId="1AFD853C" w14:textId="77777777" w:rsidR="00C90905" w:rsidRDefault="00C90905" w:rsidP="00073926">
            <w:pPr>
              <w:pStyle w:val="Els-body-text"/>
            </w:pPr>
            <w:proofErr w:type="spellStart"/>
            <w:r>
              <w:t>MOSKopt</w:t>
            </w:r>
            <w:proofErr w:type="spellEnd"/>
          </w:p>
          <w:p w14:paraId="77634AB4" w14:textId="0A23D05F" w:rsidR="00C90905" w:rsidRDefault="00C90905" w:rsidP="00073926">
            <w:pPr>
              <w:pStyle w:val="Els-body-text"/>
            </w:pPr>
            <w:r>
              <w:t>with uncertainties</w:t>
            </w:r>
          </w:p>
        </w:tc>
        <w:tc>
          <w:tcPr>
            <w:tcW w:w="2126" w:type="dxa"/>
          </w:tcPr>
          <w:p w14:paraId="3735D97F" w14:textId="48C1C5AD" w:rsidR="00C90905" w:rsidRDefault="00C90905" w:rsidP="00073926">
            <w:pPr>
              <w:pStyle w:val="Els-body-text"/>
            </w:pPr>
            <w:r>
              <w:t>Temperature (K)</w:t>
            </w:r>
          </w:p>
        </w:tc>
        <w:tc>
          <w:tcPr>
            <w:tcW w:w="851" w:type="dxa"/>
          </w:tcPr>
          <w:p w14:paraId="27E5AB97" w14:textId="6CC3BC3C" w:rsidR="00C90905" w:rsidRDefault="00C90905" w:rsidP="00073926">
            <w:pPr>
              <w:pStyle w:val="Els-body-text"/>
            </w:pPr>
            <w:r>
              <w:t>333</w:t>
            </w:r>
          </w:p>
        </w:tc>
        <w:tc>
          <w:tcPr>
            <w:tcW w:w="850" w:type="dxa"/>
          </w:tcPr>
          <w:p w14:paraId="30F47A27" w14:textId="0763522E" w:rsidR="00C90905" w:rsidRDefault="00C90905" w:rsidP="00073926">
            <w:pPr>
              <w:pStyle w:val="Els-body-text"/>
            </w:pPr>
            <w:r>
              <w:t>373</w:t>
            </w:r>
          </w:p>
        </w:tc>
        <w:tc>
          <w:tcPr>
            <w:tcW w:w="993" w:type="dxa"/>
          </w:tcPr>
          <w:p w14:paraId="2DFEE9C9" w14:textId="4E807A02" w:rsidR="00C90905" w:rsidRDefault="00200F70" w:rsidP="00073926">
            <w:pPr>
              <w:pStyle w:val="Els-body-text"/>
            </w:pPr>
            <w:r>
              <w:t>333</w:t>
            </w:r>
          </w:p>
        </w:tc>
        <w:tc>
          <w:tcPr>
            <w:tcW w:w="981" w:type="dxa"/>
            <w:vMerge w:val="restart"/>
          </w:tcPr>
          <w:p w14:paraId="722FB3DE" w14:textId="77777777" w:rsidR="00C90905" w:rsidRDefault="00703EB7" w:rsidP="00073926">
            <w:pPr>
              <w:pStyle w:val="Els-body-text"/>
            </w:pPr>
            <w:r>
              <w:t>0.2189</w:t>
            </w:r>
          </w:p>
          <w:p w14:paraId="721617B0" w14:textId="33949EF0" w:rsidR="000C61F3" w:rsidRDefault="000C61F3" w:rsidP="00073926">
            <w:pPr>
              <w:pStyle w:val="Els-body-text"/>
            </w:pPr>
          </w:p>
        </w:tc>
      </w:tr>
      <w:tr w:rsidR="00C90905" w14:paraId="70634933" w14:textId="77777777" w:rsidTr="008461B0">
        <w:tc>
          <w:tcPr>
            <w:tcW w:w="1276" w:type="dxa"/>
            <w:vMerge/>
          </w:tcPr>
          <w:p w14:paraId="56FC9D19" w14:textId="77777777" w:rsidR="00C90905" w:rsidRDefault="00C90905" w:rsidP="00073926">
            <w:pPr>
              <w:pStyle w:val="Els-body-text"/>
            </w:pPr>
          </w:p>
        </w:tc>
        <w:tc>
          <w:tcPr>
            <w:tcW w:w="2126" w:type="dxa"/>
          </w:tcPr>
          <w:p w14:paraId="3423AC90" w14:textId="7DEC4671" w:rsidR="00C90905" w:rsidRDefault="00C90905" w:rsidP="00073926">
            <w:pPr>
              <w:pStyle w:val="Els-body-text"/>
            </w:pPr>
            <w:r w:rsidRPr="001B4698">
              <w:t>H</w:t>
            </w:r>
            <w:r>
              <w:rPr>
                <w:vertAlign w:val="subscript"/>
              </w:rPr>
              <w:t>2</w:t>
            </w:r>
            <w:r>
              <w:t xml:space="preserve"> </w:t>
            </w:r>
            <w:r w:rsidRPr="001B4698">
              <w:t>partial</w:t>
            </w:r>
            <w:r>
              <w:t xml:space="preserve"> pressure (bar)</w:t>
            </w:r>
          </w:p>
        </w:tc>
        <w:tc>
          <w:tcPr>
            <w:tcW w:w="851" w:type="dxa"/>
          </w:tcPr>
          <w:p w14:paraId="579FDA0A" w14:textId="0D680445" w:rsidR="00C90905" w:rsidRDefault="00C90905" w:rsidP="00073926">
            <w:pPr>
              <w:pStyle w:val="Els-body-text"/>
            </w:pPr>
            <w:r>
              <w:t>10</w:t>
            </w:r>
          </w:p>
        </w:tc>
        <w:tc>
          <w:tcPr>
            <w:tcW w:w="850" w:type="dxa"/>
          </w:tcPr>
          <w:p w14:paraId="2A7CA7A6" w14:textId="2D02BC01" w:rsidR="00C90905" w:rsidRDefault="00C90905" w:rsidP="00073926">
            <w:pPr>
              <w:pStyle w:val="Els-body-text"/>
            </w:pPr>
            <w:r>
              <w:t>40</w:t>
            </w:r>
          </w:p>
        </w:tc>
        <w:tc>
          <w:tcPr>
            <w:tcW w:w="993" w:type="dxa"/>
          </w:tcPr>
          <w:p w14:paraId="0B384202" w14:textId="7A49CB48" w:rsidR="00C90905" w:rsidRDefault="00200F70" w:rsidP="00073926">
            <w:pPr>
              <w:pStyle w:val="Els-body-text"/>
            </w:pPr>
            <w:r>
              <w:t>31.77</w:t>
            </w:r>
          </w:p>
        </w:tc>
        <w:tc>
          <w:tcPr>
            <w:tcW w:w="981" w:type="dxa"/>
            <w:vMerge/>
          </w:tcPr>
          <w:p w14:paraId="0848EAC5" w14:textId="77777777" w:rsidR="00C90905" w:rsidRDefault="00C90905" w:rsidP="00073926">
            <w:pPr>
              <w:pStyle w:val="Els-body-text"/>
            </w:pPr>
          </w:p>
        </w:tc>
      </w:tr>
      <w:tr w:rsidR="00C90905" w14:paraId="2A9E9590" w14:textId="77777777" w:rsidTr="008461B0">
        <w:tc>
          <w:tcPr>
            <w:tcW w:w="1276" w:type="dxa"/>
            <w:vMerge/>
          </w:tcPr>
          <w:p w14:paraId="2CC557AF" w14:textId="77777777" w:rsidR="00C90905" w:rsidRDefault="00C90905" w:rsidP="00073926">
            <w:pPr>
              <w:pStyle w:val="Els-body-text"/>
            </w:pPr>
          </w:p>
        </w:tc>
        <w:tc>
          <w:tcPr>
            <w:tcW w:w="2126" w:type="dxa"/>
          </w:tcPr>
          <w:p w14:paraId="29C1964A" w14:textId="6C4E3EDB" w:rsidR="00C90905" w:rsidRDefault="00C90905" w:rsidP="00073926">
            <w:pPr>
              <w:pStyle w:val="Els-body-text"/>
            </w:pPr>
            <w:r>
              <w:t>Catalyst amount (g)</w:t>
            </w:r>
          </w:p>
        </w:tc>
        <w:tc>
          <w:tcPr>
            <w:tcW w:w="851" w:type="dxa"/>
          </w:tcPr>
          <w:p w14:paraId="02AF53D4" w14:textId="01F2C341" w:rsidR="00C90905" w:rsidRDefault="00CB303B" w:rsidP="00073926">
            <w:pPr>
              <w:pStyle w:val="Els-body-text"/>
            </w:pPr>
            <w:r>
              <w:t>48.1</w:t>
            </w:r>
          </w:p>
        </w:tc>
        <w:tc>
          <w:tcPr>
            <w:tcW w:w="850" w:type="dxa"/>
          </w:tcPr>
          <w:p w14:paraId="1B2F8F4F" w14:textId="05C56BEB" w:rsidR="00C90905" w:rsidRDefault="00CB303B" w:rsidP="00073926">
            <w:pPr>
              <w:pStyle w:val="Els-body-text"/>
            </w:pPr>
            <w:r>
              <w:t>144.3</w:t>
            </w:r>
          </w:p>
        </w:tc>
        <w:tc>
          <w:tcPr>
            <w:tcW w:w="993" w:type="dxa"/>
          </w:tcPr>
          <w:p w14:paraId="0A999263" w14:textId="61E3C1E4" w:rsidR="00C90905" w:rsidRDefault="00200F70" w:rsidP="00073926">
            <w:pPr>
              <w:pStyle w:val="Els-body-text"/>
            </w:pPr>
            <w:r>
              <w:t>88.59</w:t>
            </w:r>
          </w:p>
        </w:tc>
        <w:tc>
          <w:tcPr>
            <w:tcW w:w="981" w:type="dxa"/>
            <w:vMerge/>
          </w:tcPr>
          <w:p w14:paraId="40918B6C" w14:textId="77777777" w:rsidR="00C90905" w:rsidRDefault="00C90905" w:rsidP="00073926">
            <w:pPr>
              <w:pStyle w:val="Els-body-text"/>
            </w:pPr>
          </w:p>
        </w:tc>
      </w:tr>
      <w:tr w:rsidR="00C90905" w14:paraId="04D80EA8" w14:textId="77777777" w:rsidTr="008461B0">
        <w:tc>
          <w:tcPr>
            <w:tcW w:w="1276" w:type="dxa"/>
            <w:vMerge/>
          </w:tcPr>
          <w:p w14:paraId="2074CA33" w14:textId="77777777" w:rsidR="00C90905" w:rsidRDefault="00C90905" w:rsidP="00073926">
            <w:pPr>
              <w:pStyle w:val="Els-body-text"/>
            </w:pPr>
          </w:p>
        </w:tc>
        <w:tc>
          <w:tcPr>
            <w:tcW w:w="2126" w:type="dxa"/>
          </w:tcPr>
          <w:p w14:paraId="3B7DD3DB" w14:textId="68E6AF70" w:rsidR="00C90905" w:rsidRDefault="00C90905" w:rsidP="00073926">
            <w:pPr>
              <w:pStyle w:val="Els-body-text"/>
            </w:pPr>
            <w:r>
              <w:t>Residence time (min)</w:t>
            </w:r>
          </w:p>
        </w:tc>
        <w:tc>
          <w:tcPr>
            <w:tcW w:w="851" w:type="dxa"/>
          </w:tcPr>
          <w:p w14:paraId="65353D6A" w14:textId="6D828D4F" w:rsidR="00C90905" w:rsidRDefault="00CB303B" w:rsidP="00073926">
            <w:pPr>
              <w:pStyle w:val="Els-body-text"/>
            </w:pPr>
            <w:r>
              <w:t>10</w:t>
            </w:r>
          </w:p>
        </w:tc>
        <w:tc>
          <w:tcPr>
            <w:tcW w:w="850" w:type="dxa"/>
          </w:tcPr>
          <w:p w14:paraId="468208F0" w14:textId="316AFB7F" w:rsidR="00C90905" w:rsidRDefault="00CB303B" w:rsidP="00073926">
            <w:pPr>
              <w:pStyle w:val="Els-body-text"/>
            </w:pPr>
            <w:r>
              <w:t>60</w:t>
            </w:r>
          </w:p>
        </w:tc>
        <w:tc>
          <w:tcPr>
            <w:tcW w:w="993" w:type="dxa"/>
          </w:tcPr>
          <w:p w14:paraId="059DBB94" w14:textId="6D1A995D" w:rsidR="00C90905" w:rsidRDefault="00200F70" w:rsidP="00073926">
            <w:pPr>
              <w:pStyle w:val="Els-body-text"/>
            </w:pPr>
            <w:r>
              <w:t>17.5</w:t>
            </w:r>
          </w:p>
        </w:tc>
        <w:tc>
          <w:tcPr>
            <w:tcW w:w="981" w:type="dxa"/>
            <w:vMerge/>
          </w:tcPr>
          <w:p w14:paraId="0F31CED2" w14:textId="77777777" w:rsidR="00C90905" w:rsidRDefault="00C90905" w:rsidP="00073926">
            <w:pPr>
              <w:pStyle w:val="Els-body-text"/>
            </w:pPr>
          </w:p>
        </w:tc>
      </w:tr>
    </w:tbl>
    <w:p w14:paraId="0D110566" w14:textId="77777777" w:rsidR="00DF5572" w:rsidRDefault="00DF5572" w:rsidP="00646FE3">
      <w:pPr>
        <w:pStyle w:val="Els-body-text"/>
      </w:pPr>
    </w:p>
    <w:p w14:paraId="61010E6F" w14:textId="40ED9965" w:rsidR="00646FE3" w:rsidRPr="00116EB8" w:rsidRDefault="00040430" w:rsidP="00646FE3">
      <w:pPr>
        <w:pStyle w:val="Els-body-text"/>
      </w:pPr>
      <w:r>
        <w:t xml:space="preserve">The </w:t>
      </w:r>
      <w:r w:rsidR="00646FE3">
        <w:t xml:space="preserve">ideal residence time is significantly influenced by catalyst concentration. If the catalyst concentration is low, it takes more time to reach the maximum yield and therefore more time to complete the production batch. On the other hand, for higher catalyst </w:t>
      </w:r>
      <w:r w:rsidR="00F30FAA">
        <w:t>concentrations</w:t>
      </w:r>
      <w:r w:rsidR="00646FE3">
        <w:t>, the residence time becomes smaller causing a slight reduction in the yield of product. (Thakar et al., 2007). The tradeoff between</w:t>
      </w:r>
      <w:r w:rsidR="003D732A">
        <w:t xml:space="preserve"> </w:t>
      </w:r>
      <w:r w:rsidR="00646FE3">
        <w:t>the catalyst amount and residence time as explained above can be observed from the optimization results.</w:t>
      </w:r>
    </w:p>
    <w:p w14:paraId="6E79E3A7" w14:textId="25B20063" w:rsidR="00882B67" w:rsidRDefault="00882B67" w:rsidP="00882B67">
      <w:pPr>
        <w:pStyle w:val="Els-body-text"/>
      </w:pPr>
      <w:r>
        <w:t xml:space="preserve">From Table </w:t>
      </w:r>
      <w:r w:rsidR="00F7294A">
        <w:t>2</w:t>
      </w:r>
      <w:r>
        <w:t xml:space="preserve">, there are three competing design candidates. </w:t>
      </w:r>
      <w:r w:rsidR="00767418">
        <w:t>Multiple run</w:t>
      </w:r>
      <w:r w:rsidR="00390AEF">
        <w:t>ning</w:t>
      </w:r>
      <w:r w:rsidR="00767418">
        <w:t xml:space="preserve"> of</w:t>
      </w:r>
      <w:r w:rsidR="00390AEF">
        <w:t xml:space="preserve"> a local</w:t>
      </w:r>
      <w:r>
        <w:t xml:space="preserve"> </w:t>
      </w:r>
      <w:r w:rsidR="004561A4">
        <w:t xml:space="preserve">nonlinear programming solver </w:t>
      </w:r>
      <w:r>
        <w:t xml:space="preserve">with interior-point algorithm and </w:t>
      </w:r>
      <w:proofErr w:type="spellStart"/>
      <w:r>
        <w:t>MOSKopt</w:t>
      </w:r>
      <w:proofErr w:type="spellEnd"/>
      <w:r>
        <w:t xml:space="preserve"> using deterministic approach provided the same optimal objective value, albeit with different values for the decision variables. </w:t>
      </w:r>
      <w:proofErr w:type="spellStart"/>
      <w:r>
        <w:t>MOSKopt</w:t>
      </w:r>
      <w:proofErr w:type="spellEnd"/>
      <w:r>
        <w:t xml:space="preserve"> including uncertainties provided slightly lower objective value, approximately 10 g less desired product produced per batch volume of 185 L. Since the latter accounts for a range of likely outcomes</w:t>
      </w:r>
      <w:r w:rsidR="00DB2608">
        <w:t xml:space="preserve">, </w:t>
      </w:r>
      <w:r>
        <w:t xml:space="preserve">due to uncertainties inherent in the process, the provided solutions are considered more robust to the uncertainties considered. </w:t>
      </w:r>
    </w:p>
    <w:p w14:paraId="2C8C9E84" w14:textId="4F0C9C2F" w:rsidR="00C16354" w:rsidRDefault="0044620C" w:rsidP="00882B67">
      <w:pPr>
        <w:pStyle w:val="Els-body-text"/>
      </w:pPr>
      <w:r>
        <w:rPr>
          <w:noProof/>
        </w:rPr>
        <w:drawing>
          <wp:anchor distT="0" distB="0" distL="114300" distR="114300" simplePos="0" relativeHeight="251659264" behindDoc="1" locked="0" layoutInCell="1" allowOverlap="1" wp14:anchorId="334AB0EC" wp14:editId="765E6B84">
            <wp:simplePos x="0" y="0"/>
            <wp:positionH relativeFrom="margin">
              <wp:align>center</wp:align>
            </wp:positionH>
            <wp:positionV relativeFrom="paragraph">
              <wp:posOffset>685800</wp:posOffset>
            </wp:positionV>
            <wp:extent cx="2086813" cy="1681480"/>
            <wp:effectExtent l="0" t="0" r="8890" b="0"/>
            <wp:wrapTight wrapText="bothSides">
              <wp:wrapPolygon edited="0">
                <wp:start x="0" y="0"/>
                <wp:lineTo x="0" y="21290"/>
                <wp:lineTo x="21495" y="21290"/>
                <wp:lineTo x="21495" y="0"/>
                <wp:lineTo x="0" y="0"/>
              </wp:wrapPolygon>
            </wp:wrapTight>
            <wp:docPr id="1556796478" name="Picture 1"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96478" name="Picture 1" descr="A graph of a line graph&#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6813" cy="1681480"/>
                    </a:xfrm>
                    <a:prstGeom prst="rect">
                      <a:avLst/>
                    </a:prstGeom>
                  </pic:spPr>
                </pic:pic>
              </a:graphicData>
            </a:graphic>
            <wp14:sizeRelH relativeFrom="margin">
              <wp14:pctWidth>0</wp14:pctWidth>
            </wp14:sizeRelH>
            <wp14:sizeRelV relativeFrom="margin">
              <wp14:pctHeight>0</wp14:pctHeight>
            </wp14:sizeRelV>
          </wp:anchor>
        </w:drawing>
      </w:r>
      <w:r w:rsidR="00C16354">
        <w:t>Selectivity dynamics, illustrated in Figure 2 using</w:t>
      </w:r>
      <w:r w:rsidR="00965FAA">
        <w:t xml:space="preserve"> optimal values of the temperature, hydrogen partial pressure and catalyst amount reveal an increase up to optimal residence time</w:t>
      </w:r>
      <w:r w:rsidR="003C2A44">
        <w:t xml:space="preserve"> and decrease beyond this point, emphasizing the importance of optimizing residence time for desired selectivity. </w:t>
      </w:r>
      <w:r w:rsidR="00127E60">
        <w:t>The i</w:t>
      </w:r>
      <w:r w:rsidR="006150E9">
        <w:t>nfluence</w:t>
      </w:r>
      <w:r w:rsidR="00127E60">
        <w:t xml:space="preserve"> of the uncertainties can also be observed from Figure 2.</w:t>
      </w:r>
    </w:p>
    <w:p w14:paraId="648AE97E" w14:textId="483C5EC6" w:rsidR="0044620C" w:rsidRDefault="0044620C" w:rsidP="0044620C">
      <w:pPr>
        <w:pStyle w:val="Els-body-text"/>
        <w:jc w:val="center"/>
      </w:pPr>
    </w:p>
    <w:p w14:paraId="4454E370" w14:textId="77777777" w:rsidR="0044620C" w:rsidRDefault="0044620C" w:rsidP="0044620C">
      <w:pPr>
        <w:pStyle w:val="Els-body-text"/>
        <w:jc w:val="center"/>
      </w:pPr>
    </w:p>
    <w:p w14:paraId="0A817DF8" w14:textId="77777777" w:rsidR="0044620C" w:rsidRDefault="0044620C" w:rsidP="0044620C">
      <w:pPr>
        <w:pStyle w:val="Els-body-text"/>
        <w:jc w:val="center"/>
      </w:pPr>
    </w:p>
    <w:p w14:paraId="7E47491D" w14:textId="77777777" w:rsidR="0044620C" w:rsidRDefault="0044620C" w:rsidP="0044620C">
      <w:pPr>
        <w:pStyle w:val="Els-body-text"/>
        <w:jc w:val="center"/>
      </w:pPr>
    </w:p>
    <w:p w14:paraId="41384F46" w14:textId="77777777" w:rsidR="0044620C" w:rsidRDefault="0044620C" w:rsidP="0044620C">
      <w:pPr>
        <w:pStyle w:val="Els-body-text"/>
        <w:jc w:val="center"/>
      </w:pPr>
    </w:p>
    <w:p w14:paraId="1FB78541" w14:textId="77777777" w:rsidR="0044620C" w:rsidRDefault="0044620C" w:rsidP="0044620C">
      <w:pPr>
        <w:pStyle w:val="Els-body-text"/>
        <w:jc w:val="center"/>
      </w:pPr>
    </w:p>
    <w:p w14:paraId="66541D61" w14:textId="77777777" w:rsidR="0044620C" w:rsidRDefault="0044620C" w:rsidP="0044620C">
      <w:pPr>
        <w:pStyle w:val="Els-body-text"/>
        <w:jc w:val="center"/>
      </w:pPr>
    </w:p>
    <w:p w14:paraId="4B3E6237" w14:textId="5E7FC276" w:rsidR="00A17703" w:rsidRPr="00017EC7" w:rsidRDefault="00A17703" w:rsidP="0044620C">
      <w:pPr>
        <w:pStyle w:val="Els-body-text"/>
        <w:jc w:val="center"/>
      </w:pPr>
      <w:r w:rsidRPr="00017EC7">
        <w:t>Figure 2. Selectivity of IBPE</w:t>
      </w:r>
      <w:r>
        <w:t>.</w:t>
      </w:r>
    </w:p>
    <w:p w14:paraId="47E2D115" w14:textId="4BBD719A" w:rsidR="00B74016" w:rsidRDefault="006A2906" w:rsidP="00073926">
      <w:pPr>
        <w:pStyle w:val="Els-body-text"/>
      </w:pPr>
      <w:r>
        <w:lastRenderedPageBreak/>
        <w:t xml:space="preserve">From </w:t>
      </w:r>
      <w:r w:rsidR="00882B67">
        <w:t>a production capacity point of view, small residence time is preferred, however</w:t>
      </w:r>
      <w:r w:rsidR="001B4853">
        <w:t>,</w:t>
      </w:r>
      <w:r w:rsidR="00B739E2">
        <w:t xml:space="preserve"> it </w:t>
      </w:r>
      <w:r w:rsidR="00BC42D7">
        <w:t xml:space="preserve">comes with the expense of increased production cost with a </w:t>
      </w:r>
      <w:r w:rsidR="00882B67">
        <w:t>higher catalyst amount. A multi</w:t>
      </w:r>
      <w:r w:rsidR="001B4853">
        <w:t>-</w:t>
      </w:r>
      <w:r w:rsidR="00882B67">
        <w:t>objective optimization accounting for different priorities in the operation can be formulated to address this tradeoff. To this end, this study will be complemented with techno-economic metrics as well as sustainability to generate a holistic view of the process design.</w:t>
      </w:r>
    </w:p>
    <w:p w14:paraId="0DEAAAF3" w14:textId="7B185EAE" w:rsidR="00E81624" w:rsidRDefault="008D2649" w:rsidP="00CD0264">
      <w:pPr>
        <w:pStyle w:val="Els-1storder-head"/>
      </w:pPr>
      <w:r w:rsidRPr="76DE305E">
        <w:t>Conclusions</w:t>
      </w:r>
      <w:r w:rsidR="00073926" w:rsidRPr="76DE305E">
        <w:t xml:space="preserve"> and Future Work </w:t>
      </w:r>
    </w:p>
    <w:p w14:paraId="549AF1CB" w14:textId="78B1ADDD" w:rsidR="006C5A3F" w:rsidRDefault="00547131" w:rsidP="00411F6A">
      <w:pPr>
        <w:pStyle w:val="Els-body-text"/>
      </w:pPr>
      <w:r>
        <w:rPr>
          <w:lang w:val="en-GB"/>
        </w:rPr>
        <w:t xml:space="preserve">The study optimizes </w:t>
      </w:r>
      <w:r w:rsidR="00BE1F42">
        <w:rPr>
          <w:lang w:val="en-GB"/>
        </w:rPr>
        <w:t>the hydrogenation step in ibuprofen</w:t>
      </w:r>
      <w:r w:rsidR="00B43425">
        <w:rPr>
          <w:lang w:val="en-GB"/>
        </w:rPr>
        <w:t xml:space="preserve"> synthesis</w:t>
      </w:r>
      <w:r w:rsidR="00BE1F42">
        <w:rPr>
          <w:lang w:val="en-GB"/>
        </w:rPr>
        <w:t xml:space="preserve">, focusing on maximizing the </w:t>
      </w:r>
      <w:r w:rsidR="00415167">
        <w:rPr>
          <w:lang w:val="en-GB"/>
        </w:rPr>
        <w:t xml:space="preserve">yield </w:t>
      </w:r>
      <w:r w:rsidR="00BE1F42">
        <w:rPr>
          <w:lang w:val="en-GB"/>
        </w:rPr>
        <w:t>of</w:t>
      </w:r>
      <w:r w:rsidR="00C51152">
        <w:rPr>
          <w:lang w:val="en-GB"/>
        </w:rPr>
        <w:t xml:space="preserve"> </w:t>
      </w:r>
      <w:r w:rsidR="00603101">
        <w:rPr>
          <w:lang w:val="en-GB"/>
        </w:rPr>
        <w:t xml:space="preserve">IBPE. </w:t>
      </w:r>
      <w:r w:rsidR="00B43425">
        <w:t xml:space="preserve">Three </w:t>
      </w:r>
      <w:r w:rsidR="0049259D">
        <w:t>optimization approaches</w:t>
      </w:r>
      <w:r w:rsidR="00B44E25">
        <w:t>:</w:t>
      </w:r>
      <w:r w:rsidR="00394FA1">
        <w:t xml:space="preserve"> </w:t>
      </w:r>
      <w:r w:rsidR="00BA334A">
        <w:t xml:space="preserve">constrained </w:t>
      </w:r>
      <w:r w:rsidR="00B3459D">
        <w:t>nonlinear program</w:t>
      </w:r>
      <w:r w:rsidR="00BA334A">
        <w:t>ming</w:t>
      </w:r>
      <w:r w:rsidR="00B3459D">
        <w:t xml:space="preserve"> solver </w:t>
      </w:r>
      <w:r w:rsidR="00BA334A">
        <w:t xml:space="preserve">with </w:t>
      </w:r>
      <w:r w:rsidR="001B4853">
        <w:t xml:space="preserve">the </w:t>
      </w:r>
      <w:r w:rsidR="00394FA1">
        <w:t xml:space="preserve">interior-point algorithm, </w:t>
      </w:r>
      <w:r w:rsidR="00CA5081">
        <w:t xml:space="preserve">and </w:t>
      </w:r>
      <w:proofErr w:type="spellStart"/>
      <w:r w:rsidR="00394FA1">
        <w:t>MOSKopt</w:t>
      </w:r>
      <w:proofErr w:type="spellEnd"/>
      <w:r w:rsidR="00394FA1">
        <w:t xml:space="preserve"> </w:t>
      </w:r>
      <w:r w:rsidR="00CA5081">
        <w:t xml:space="preserve">framework </w:t>
      </w:r>
      <w:r w:rsidR="00394FA1">
        <w:t>without</w:t>
      </w:r>
      <w:r w:rsidR="00291EC4">
        <w:t xml:space="preserve"> </w:t>
      </w:r>
      <w:r w:rsidR="00642D3A">
        <w:t>and with</w:t>
      </w:r>
      <w:r w:rsidR="006A2906">
        <w:t xml:space="preserve"> the inclusion of</w:t>
      </w:r>
      <w:r w:rsidR="00642D3A">
        <w:t xml:space="preserve"> uncertainties </w:t>
      </w:r>
      <w:r w:rsidR="00B43425">
        <w:t>are employed</w:t>
      </w:r>
      <w:r w:rsidR="00957875">
        <w:t>. The uncertainties in the</w:t>
      </w:r>
      <w:r w:rsidR="00B52A81">
        <w:t xml:space="preserve"> rate and adsorption constant</w:t>
      </w:r>
      <w:r w:rsidR="00EE136E">
        <w:t>s and activation energies</w:t>
      </w:r>
      <w:r w:rsidR="00E9023E">
        <w:t xml:space="preserve"> derived from experimental </w:t>
      </w:r>
      <w:r w:rsidR="00A2140F">
        <w:t>data</w:t>
      </w:r>
      <w:r w:rsidR="00E9023E">
        <w:t xml:space="preserve"> are </w:t>
      </w:r>
      <w:r w:rsidR="00C64D03">
        <w:t>accounted for</w:t>
      </w:r>
      <w:r w:rsidR="00E9023E">
        <w:t xml:space="preserve"> to assess the robustness of the optimization results</w:t>
      </w:r>
      <w:r w:rsidR="0000583A">
        <w:t xml:space="preserve">. </w:t>
      </w:r>
      <w:r w:rsidR="00D720D9">
        <w:t xml:space="preserve">Considering </w:t>
      </w:r>
      <w:r w:rsidR="00BA2B7C">
        <w:t xml:space="preserve">their </w:t>
      </w:r>
      <w:r w:rsidR="00D720D9">
        <w:t xml:space="preserve">great </w:t>
      </w:r>
      <w:r w:rsidR="00BA2B7C">
        <w:t>i</w:t>
      </w:r>
      <w:r w:rsidR="00D720D9">
        <w:t>nfluence on the reaction kinetics</w:t>
      </w:r>
      <w:r w:rsidR="002512D9">
        <w:t xml:space="preserve">, </w:t>
      </w:r>
      <w:r w:rsidR="004B5309">
        <w:t xml:space="preserve">incorporating uncertainties </w:t>
      </w:r>
      <w:r w:rsidR="009E2414">
        <w:t>provides</w:t>
      </w:r>
      <w:r w:rsidR="004B5309">
        <w:t xml:space="preserve"> </w:t>
      </w:r>
      <w:r w:rsidR="00321C79">
        <w:t xml:space="preserve">a </w:t>
      </w:r>
      <w:r w:rsidR="004B5309">
        <w:t>more comprehensive understanding</w:t>
      </w:r>
      <w:r w:rsidR="00034938">
        <w:t>.</w:t>
      </w:r>
      <w:r w:rsidR="00F9752A">
        <w:t xml:space="preserve"> </w:t>
      </w:r>
      <w:r w:rsidR="009E2414">
        <w:t xml:space="preserve">It </w:t>
      </w:r>
      <w:r w:rsidR="000869B5">
        <w:t xml:space="preserve">is </w:t>
      </w:r>
      <w:r w:rsidR="009E2414">
        <w:t xml:space="preserve">observed </w:t>
      </w:r>
      <w:r w:rsidR="000869B5">
        <w:t>that</w:t>
      </w:r>
      <w:r w:rsidR="009E2414">
        <w:t xml:space="preserve"> accounting for the uncertainties lead</w:t>
      </w:r>
      <w:r w:rsidR="000869B5">
        <w:t>s to variations in the optimal operating conditions</w:t>
      </w:r>
      <w:r w:rsidR="008C3F7A">
        <w:t xml:space="preserve"> causing a slight </w:t>
      </w:r>
      <w:r w:rsidR="000F6A78">
        <w:t>decrease</w:t>
      </w:r>
      <w:r w:rsidR="008C3F7A">
        <w:t xml:space="preserve"> </w:t>
      </w:r>
      <w:r w:rsidR="006D371F">
        <w:t>in</w:t>
      </w:r>
      <w:r w:rsidR="008C3F7A">
        <w:t xml:space="preserve"> the objective value</w:t>
      </w:r>
      <w:r w:rsidR="00EE44F7">
        <w:t xml:space="preserve"> as</w:t>
      </w:r>
      <w:r w:rsidR="00F61623">
        <w:t xml:space="preserve"> expected </w:t>
      </w:r>
      <w:r w:rsidR="00EE44F7">
        <w:t>since</w:t>
      </w:r>
      <w:r w:rsidR="00F61623">
        <w:t xml:space="preserve"> the </w:t>
      </w:r>
      <w:r w:rsidR="00BF44C3">
        <w:t xml:space="preserve">variations </w:t>
      </w:r>
      <w:bookmarkStart w:id="1" w:name="_Int_02zR3Gka"/>
      <w:r w:rsidR="00BF44C3">
        <w:t>of</w:t>
      </w:r>
      <w:bookmarkEnd w:id="1"/>
      <w:r w:rsidR="00BF44C3">
        <w:t xml:space="preserve"> the performance are also </w:t>
      </w:r>
      <w:r w:rsidR="0696E404">
        <w:t>accounted for</w:t>
      </w:r>
      <w:r w:rsidR="00BF44C3">
        <w:t xml:space="preserve"> in addition to</w:t>
      </w:r>
      <w:r w:rsidR="000350EF">
        <w:t xml:space="preserve"> the expected performance.</w:t>
      </w:r>
      <w:r w:rsidR="008A4068">
        <w:t xml:space="preserve"> </w:t>
      </w:r>
      <w:r w:rsidR="00C22F27">
        <w:t xml:space="preserve">Optimization </w:t>
      </w:r>
      <w:r w:rsidR="0062330F">
        <w:t>with uncertainty</w:t>
      </w:r>
      <w:r w:rsidR="0091514C">
        <w:t xml:space="preserve"> </w:t>
      </w:r>
      <w:r w:rsidR="00BB674E">
        <w:t xml:space="preserve">favors faster </w:t>
      </w:r>
      <w:r w:rsidR="0074095C">
        <w:t>batch</w:t>
      </w:r>
      <w:r w:rsidR="00107FCC">
        <w:t xml:space="preserve"> completion</w:t>
      </w:r>
      <w:r w:rsidR="00BC42D7">
        <w:t xml:space="preserve"> but</w:t>
      </w:r>
      <w:r w:rsidR="00107FCC">
        <w:t xml:space="preserve"> in</w:t>
      </w:r>
      <w:r w:rsidR="00BC42D7">
        <w:t xml:space="preserve">curs higher production costs. </w:t>
      </w:r>
      <w:r w:rsidR="0030272E">
        <w:t xml:space="preserve">To navigate the tradeoff, </w:t>
      </w:r>
      <w:r w:rsidR="002D635E">
        <w:t xml:space="preserve">a </w:t>
      </w:r>
      <w:r w:rsidR="002E4D4A">
        <w:t>multi</w:t>
      </w:r>
      <w:r w:rsidR="001B4853">
        <w:t>-</w:t>
      </w:r>
      <w:r w:rsidR="002E4D4A">
        <w:t xml:space="preserve">objective optimization approach can be developed </w:t>
      </w:r>
      <w:r w:rsidR="008A2442">
        <w:t xml:space="preserve">encompassing </w:t>
      </w:r>
      <w:r w:rsidR="00635295">
        <w:t>perspectives</w:t>
      </w:r>
      <w:r w:rsidR="002D635E">
        <w:t xml:space="preserve"> from both techno-economic and </w:t>
      </w:r>
      <w:r w:rsidR="00C72C69">
        <w:t>sustainability considerations.</w:t>
      </w:r>
      <w:r w:rsidR="007F56B0">
        <w:t xml:space="preserve"> </w:t>
      </w:r>
      <w:r w:rsidR="000F1297" w:rsidRPr="000F1297">
        <w:t xml:space="preserve">The </w:t>
      </w:r>
      <w:proofErr w:type="spellStart"/>
      <w:r w:rsidR="000F1297" w:rsidRPr="000F1297">
        <w:t>MOSKopt</w:t>
      </w:r>
      <w:proofErr w:type="spellEnd"/>
      <w:r w:rsidR="000F1297" w:rsidRPr="000F1297">
        <w:t xml:space="preserve"> framework, coupled with Monte Carlo simulations</w:t>
      </w:r>
      <w:r w:rsidR="00353979">
        <w:t xml:space="preserve"> for uncertainties</w:t>
      </w:r>
      <w:r w:rsidR="000F1297" w:rsidRPr="000F1297">
        <w:t>, proved to be a valuable tool for addressing uncertainties</w:t>
      </w:r>
      <w:r w:rsidR="00430045">
        <w:t xml:space="preserve"> and</w:t>
      </w:r>
      <w:r w:rsidR="00023138">
        <w:t xml:space="preserve"> </w:t>
      </w:r>
      <w:r w:rsidR="000F1297" w:rsidRPr="000F1297">
        <w:t>enhancing the robustness</w:t>
      </w:r>
      <w:r w:rsidR="00E3035B">
        <w:t xml:space="preserve"> and reliability</w:t>
      </w:r>
      <w:r w:rsidR="000F1297" w:rsidRPr="000F1297">
        <w:t xml:space="preserve"> of the optimization</w:t>
      </w:r>
      <w:r w:rsidR="00AA3696">
        <w:t xml:space="preserve"> of pharmaceutical</w:t>
      </w:r>
      <w:r w:rsidR="000F1297" w:rsidRPr="000F1297">
        <w:t xml:space="preserve"> process</w:t>
      </w:r>
      <w:r w:rsidR="00AA3696">
        <w:t>es</w:t>
      </w:r>
      <w:r w:rsidR="008C1094">
        <w:t xml:space="preserve">. </w:t>
      </w:r>
      <w:r w:rsidR="00990765">
        <w:t>The</w:t>
      </w:r>
      <w:r w:rsidR="00607791">
        <w:t xml:space="preserve"> pharmaceutical</w:t>
      </w:r>
      <w:r w:rsidR="00990765">
        <w:t xml:space="preserve"> processes</w:t>
      </w:r>
      <w:r w:rsidR="008C1094">
        <w:t xml:space="preserve"> </w:t>
      </w:r>
      <w:r w:rsidR="006A0B8B">
        <w:t xml:space="preserve">are sensitive to variations in conditions and parameters, therefore, the identification of optimal solutions that perform well across a range of likely outcomes enhances the adaptability </w:t>
      </w:r>
      <w:r w:rsidR="007A3525">
        <w:t xml:space="preserve">to </w:t>
      </w:r>
      <w:r w:rsidR="006A0B8B">
        <w:t>real-world variations.</w:t>
      </w:r>
      <w:r w:rsidR="00990765">
        <w:t xml:space="preserve"> </w:t>
      </w:r>
      <w:r w:rsidR="004077CC">
        <w:t xml:space="preserve">The </w:t>
      </w:r>
      <w:r w:rsidR="00411F6A" w:rsidRPr="000F1297">
        <w:t>finding</w:t>
      </w:r>
      <w:r w:rsidR="00411F6A">
        <w:t>s can</w:t>
      </w:r>
      <w:r w:rsidR="00411F6A" w:rsidRPr="000F1297">
        <w:t xml:space="preserve"> contribute to the ongoing efforts in pharmaceutical manufacturing to achieve greener, more sustainable, and cost-effective processes</w:t>
      </w:r>
      <w:r w:rsidR="00411F6A">
        <w:t>.</w:t>
      </w:r>
    </w:p>
    <w:p w14:paraId="144DE6BF" w14:textId="5A11A1F1" w:rsidR="008D2649" w:rsidRDefault="008D2649" w:rsidP="004407FF">
      <w:pPr>
        <w:pStyle w:val="Els-reference-head"/>
        <w:spacing w:beforeLines="120" w:before="288" w:after="120"/>
      </w:pPr>
      <w:r>
        <w:t>References</w:t>
      </w:r>
    </w:p>
    <w:p w14:paraId="6E54782C" w14:textId="7A65E582" w:rsidR="00A2140F" w:rsidRPr="00A2140F" w:rsidRDefault="00A2140F" w:rsidP="0085345B">
      <w:pPr>
        <w:pStyle w:val="Els-referenceno-number"/>
        <w:spacing w:after="0"/>
        <w:rPr>
          <w:i/>
          <w:iCs/>
          <w:lang w:val="en-US"/>
        </w:rPr>
      </w:pPr>
      <w:r w:rsidRPr="00CF2DC0">
        <w:rPr>
          <w:lang w:val="en-US"/>
        </w:rPr>
        <w:t>Al, R., Behera, C. R., Gernaey, K. V., Sin, G. (2020) Stochastic simulation-base</w:t>
      </w:r>
      <w:r>
        <w:rPr>
          <w:lang w:val="en-US"/>
        </w:rPr>
        <w:t xml:space="preserve">d superstructure optimization framework for process synthesis and design under uncertainty. </w:t>
      </w:r>
      <w:r w:rsidRPr="00CF2DC0">
        <w:rPr>
          <w:i/>
          <w:iCs/>
          <w:lang w:val="en-US"/>
        </w:rPr>
        <w:t>Comp</w:t>
      </w:r>
      <w:r w:rsidR="00D32BB0">
        <w:rPr>
          <w:i/>
          <w:iCs/>
          <w:lang w:val="en-US"/>
        </w:rPr>
        <w:t>.</w:t>
      </w:r>
      <w:r w:rsidRPr="00CF2DC0">
        <w:rPr>
          <w:i/>
          <w:iCs/>
          <w:lang w:val="en-US"/>
        </w:rPr>
        <w:t xml:space="preserve"> Chem</w:t>
      </w:r>
      <w:r w:rsidR="00D32BB0">
        <w:rPr>
          <w:i/>
          <w:iCs/>
          <w:lang w:val="en-US"/>
        </w:rPr>
        <w:t>.</w:t>
      </w:r>
      <w:r w:rsidRPr="00CF2DC0">
        <w:rPr>
          <w:i/>
          <w:iCs/>
          <w:lang w:val="en-US"/>
        </w:rPr>
        <w:t xml:space="preserve"> Eng</w:t>
      </w:r>
      <w:r w:rsidR="00D32BB0">
        <w:rPr>
          <w:i/>
          <w:iCs/>
          <w:lang w:val="en-US"/>
        </w:rPr>
        <w:t>.</w:t>
      </w:r>
      <w:r w:rsidRPr="00CF2DC0">
        <w:rPr>
          <w:i/>
          <w:iCs/>
          <w:lang w:val="en-US"/>
        </w:rPr>
        <w:t>, 143.</w:t>
      </w:r>
    </w:p>
    <w:p w14:paraId="6990021F" w14:textId="77777777" w:rsidR="00A300D5" w:rsidRDefault="0056364B" w:rsidP="0085345B">
      <w:pPr>
        <w:pStyle w:val="Els-referenceno-number"/>
        <w:spacing w:after="0"/>
        <w:rPr>
          <w:i/>
          <w:iCs/>
          <w:lang w:val="en-US"/>
        </w:rPr>
      </w:pPr>
      <w:r w:rsidRPr="001C472B">
        <w:rPr>
          <w:lang w:val="en-US"/>
        </w:rPr>
        <w:t xml:space="preserve">Ankenman, </w:t>
      </w:r>
      <w:r w:rsidR="00E26A54" w:rsidRPr="001C472B">
        <w:rPr>
          <w:lang w:val="en-US"/>
        </w:rPr>
        <w:t>B.,</w:t>
      </w:r>
      <w:r w:rsidRPr="001C472B">
        <w:rPr>
          <w:lang w:val="en-US"/>
        </w:rPr>
        <w:t xml:space="preserve"> Nelson,</w:t>
      </w:r>
      <w:r w:rsidR="00E26A54" w:rsidRPr="001C472B">
        <w:rPr>
          <w:lang w:val="en-US"/>
        </w:rPr>
        <w:t xml:space="preserve"> B. L.</w:t>
      </w:r>
      <w:r w:rsidR="001C472B" w:rsidRPr="001C472B">
        <w:rPr>
          <w:lang w:val="en-US"/>
        </w:rPr>
        <w:t>,</w:t>
      </w:r>
      <w:r w:rsidRPr="001C472B">
        <w:rPr>
          <w:lang w:val="en-US"/>
        </w:rPr>
        <w:t xml:space="preserve"> </w:t>
      </w:r>
      <w:r w:rsidRPr="00CE4C62">
        <w:rPr>
          <w:lang w:val="en-US"/>
        </w:rPr>
        <w:t>Staum,</w:t>
      </w:r>
      <w:r w:rsidR="001C472B">
        <w:rPr>
          <w:lang w:val="en-US"/>
        </w:rPr>
        <w:t xml:space="preserve"> J.</w:t>
      </w:r>
      <w:r w:rsidRPr="00CE4C62">
        <w:rPr>
          <w:lang w:val="en-US"/>
        </w:rPr>
        <w:t xml:space="preserve"> </w:t>
      </w:r>
      <w:r w:rsidR="00C32E32">
        <w:rPr>
          <w:lang w:val="en-US"/>
        </w:rPr>
        <w:t xml:space="preserve">(2010) </w:t>
      </w:r>
      <w:r w:rsidRPr="00CE4C62">
        <w:rPr>
          <w:lang w:val="en-US"/>
        </w:rPr>
        <w:t xml:space="preserve">Stochastic Kriging for Simulation </w:t>
      </w:r>
      <w:r w:rsidR="00CE4C62" w:rsidRPr="00CE4C62">
        <w:rPr>
          <w:lang w:val="en-US"/>
        </w:rPr>
        <w:t>Me</w:t>
      </w:r>
      <w:r w:rsidR="00CE4C62">
        <w:rPr>
          <w:lang w:val="en-US"/>
        </w:rPr>
        <w:t xml:space="preserve">tamodeling, </w:t>
      </w:r>
      <w:r w:rsidR="00CE4C62" w:rsidRPr="00E00675">
        <w:rPr>
          <w:i/>
          <w:iCs/>
          <w:lang w:val="en-US"/>
        </w:rPr>
        <w:t>Oper. Res. 58 371-382.</w:t>
      </w:r>
    </w:p>
    <w:p w14:paraId="16A9887F" w14:textId="0C7B198E" w:rsidR="0023404B" w:rsidRDefault="00CE4C62" w:rsidP="0085345B">
      <w:pPr>
        <w:pStyle w:val="Els-referenceno-number"/>
        <w:spacing w:after="0"/>
        <w:rPr>
          <w:i/>
          <w:iCs/>
          <w:lang w:val="en-US"/>
        </w:rPr>
      </w:pPr>
      <w:r>
        <w:rPr>
          <w:lang w:val="en-US"/>
        </w:rPr>
        <w:t>Elango,</w:t>
      </w:r>
      <w:r w:rsidR="001C472B">
        <w:rPr>
          <w:lang w:val="en-US"/>
        </w:rPr>
        <w:t xml:space="preserve"> V.,</w:t>
      </w:r>
      <w:r>
        <w:rPr>
          <w:lang w:val="en-US"/>
        </w:rPr>
        <w:t xml:space="preserve"> Murphy,</w:t>
      </w:r>
      <w:r w:rsidR="001C472B">
        <w:rPr>
          <w:lang w:val="en-US"/>
        </w:rPr>
        <w:t xml:space="preserve"> M. A.,</w:t>
      </w:r>
      <w:r w:rsidR="00591BA9" w:rsidRPr="00591BA9">
        <w:rPr>
          <w:lang w:val="en-US"/>
        </w:rPr>
        <w:t xml:space="preserve"> </w:t>
      </w:r>
      <w:r>
        <w:rPr>
          <w:lang w:val="en-US"/>
        </w:rPr>
        <w:t xml:space="preserve">Smith, </w:t>
      </w:r>
      <w:r w:rsidR="001C472B">
        <w:rPr>
          <w:lang w:val="en-US"/>
        </w:rPr>
        <w:t xml:space="preserve">B. L., </w:t>
      </w:r>
      <w:r>
        <w:rPr>
          <w:lang w:val="en-US"/>
        </w:rPr>
        <w:t xml:space="preserve">Davenport, </w:t>
      </w:r>
      <w:r w:rsidR="001C472B">
        <w:rPr>
          <w:lang w:val="en-US"/>
        </w:rPr>
        <w:t xml:space="preserve">G. K., </w:t>
      </w:r>
      <w:r>
        <w:rPr>
          <w:lang w:val="en-US"/>
        </w:rPr>
        <w:t>Mott,</w:t>
      </w:r>
      <w:r w:rsidR="001C472B">
        <w:rPr>
          <w:lang w:val="en-US"/>
        </w:rPr>
        <w:t xml:space="preserve"> G. N.,</w:t>
      </w:r>
      <w:r w:rsidR="00591BA9" w:rsidRPr="00591BA9">
        <w:rPr>
          <w:lang w:val="en-US"/>
        </w:rPr>
        <w:t xml:space="preserve"> </w:t>
      </w:r>
      <w:r>
        <w:rPr>
          <w:lang w:val="en-US"/>
        </w:rPr>
        <w:t>Zey,</w:t>
      </w:r>
      <w:r w:rsidR="001C472B">
        <w:rPr>
          <w:lang w:val="en-US"/>
        </w:rPr>
        <w:t xml:space="preserve"> E.G.,</w:t>
      </w:r>
      <w:r>
        <w:rPr>
          <w:lang w:val="en-US"/>
        </w:rPr>
        <w:t xml:space="preserve"> Zey,</w:t>
      </w:r>
      <w:r w:rsidR="001C472B">
        <w:rPr>
          <w:lang w:val="en-US"/>
        </w:rPr>
        <w:t xml:space="preserve"> G. L.</w:t>
      </w:r>
      <w:r w:rsidR="0023404B">
        <w:rPr>
          <w:i/>
          <w:iCs/>
          <w:lang w:val="en-US"/>
        </w:rPr>
        <w:t xml:space="preserve"> </w:t>
      </w:r>
      <w:r w:rsidR="00591BA9" w:rsidRPr="00591BA9">
        <w:rPr>
          <w:lang w:val="en-US"/>
        </w:rPr>
        <w:t xml:space="preserve">Method for producing Ibuprofen. </w:t>
      </w:r>
      <w:r w:rsidR="00591BA9" w:rsidRPr="0023404B">
        <w:rPr>
          <w:i/>
          <w:iCs/>
          <w:lang w:val="en-US"/>
        </w:rPr>
        <w:t>US</w:t>
      </w:r>
      <w:r w:rsidR="00B66F14" w:rsidRPr="0023404B">
        <w:rPr>
          <w:i/>
          <w:iCs/>
          <w:lang w:val="en-US"/>
        </w:rPr>
        <w:t xml:space="preserve"> </w:t>
      </w:r>
      <w:r w:rsidR="00591BA9" w:rsidRPr="0023404B">
        <w:rPr>
          <w:i/>
          <w:iCs/>
          <w:lang w:val="en-US"/>
        </w:rPr>
        <w:t>Patent US 4981995A.</w:t>
      </w:r>
    </w:p>
    <w:p w14:paraId="1421663E" w14:textId="47DC705E" w:rsidR="00CB2DAB" w:rsidRPr="0079277A" w:rsidRDefault="00CB2DAB" w:rsidP="0085345B">
      <w:pPr>
        <w:pStyle w:val="Els-referenceno-number"/>
        <w:spacing w:after="0"/>
        <w:rPr>
          <w:lang w:val="en-US"/>
        </w:rPr>
      </w:pPr>
      <w:r w:rsidRPr="0079277A">
        <w:rPr>
          <w:lang w:val="en-US"/>
        </w:rPr>
        <w:t>Gernaey, K. V.</w:t>
      </w:r>
      <w:r>
        <w:rPr>
          <w:lang w:val="en-US"/>
        </w:rPr>
        <w:t>,</w:t>
      </w:r>
      <w:r w:rsidRPr="0079277A">
        <w:rPr>
          <w:lang w:val="en-US"/>
        </w:rPr>
        <w:t xml:space="preserve"> Cervera-Padrell, A. E.</w:t>
      </w:r>
      <w:r>
        <w:rPr>
          <w:lang w:val="en-US"/>
        </w:rPr>
        <w:t>,</w:t>
      </w:r>
      <w:r w:rsidRPr="0079277A">
        <w:rPr>
          <w:lang w:val="en-US"/>
        </w:rPr>
        <w:t xml:space="preserve"> Woodley, J. M.</w:t>
      </w:r>
      <w:r>
        <w:rPr>
          <w:lang w:val="en-US"/>
        </w:rPr>
        <w:t xml:space="preserve"> (2012)</w:t>
      </w:r>
      <w:r w:rsidRPr="0079277A">
        <w:rPr>
          <w:lang w:val="en-US"/>
        </w:rPr>
        <w:t xml:space="preserve"> A</w:t>
      </w:r>
      <w:r w:rsidR="0079277A" w:rsidRPr="0079277A">
        <w:rPr>
          <w:lang w:val="en-US"/>
        </w:rPr>
        <w:t xml:space="preserve"> </w:t>
      </w:r>
      <w:r w:rsidR="0079277A" w:rsidRPr="006A4D01">
        <w:rPr>
          <w:lang w:val="en-US"/>
        </w:rPr>
        <w:t>perspective on PSE in</w:t>
      </w:r>
    </w:p>
    <w:p w14:paraId="07FF1A76" w14:textId="60403625" w:rsidR="00CD2A59" w:rsidRPr="008461B0" w:rsidRDefault="00CB2DAB" w:rsidP="008461B0">
      <w:pPr>
        <w:pStyle w:val="Els-referenceno-number"/>
        <w:spacing w:after="0"/>
        <w:ind w:left="0" w:firstLine="240"/>
        <w:rPr>
          <w:i/>
          <w:iCs/>
          <w:lang w:val="en-US"/>
        </w:rPr>
      </w:pPr>
      <w:r w:rsidRPr="0079277A">
        <w:rPr>
          <w:lang w:val="en-US"/>
        </w:rPr>
        <w:t>pharmaceutical process development and</w:t>
      </w:r>
      <w:r w:rsidR="0079277A">
        <w:rPr>
          <w:lang w:val="en-US"/>
        </w:rPr>
        <w:t xml:space="preserve"> </w:t>
      </w:r>
      <w:r w:rsidR="0079277A" w:rsidRPr="006A4D01">
        <w:rPr>
          <w:lang w:val="en-US"/>
        </w:rPr>
        <w:t xml:space="preserve">innovation. </w:t>
      </w:r>
      <w:r w:rsidR="0079277A" w:rsidRPr="00CB2DAB">
        <w:rPr>
          <w:i/>
          <w:iCs/>
          <w:lang w:val="en-US"/>
        </w:rPr>
        <w:t>Comput. Chem. Eng. 42,15−29.</w:t>
      </w:r>
    </w:p>
    <w:p w14:paraId="40C0E273" w14:textId="253E8129" w:rsidR="0076257B" w:rsidRDefault="00BC2DD1" w:rsidP="0085345B">
      <w:pPr>
        <w:pStyle w:val="Els-referenceno-number"/>
        <w:spacing w:after="0"/>
        <w:rPr>
          <w:lang w:val="en-US"/>
        </w:rPr>
      </w:pPr>
      <w:r w:rsidRPr="003E15AB">
        <w:rPr>
          <w:lang w:val="en-US"/>
        </w:rPr>
        <w:t xml:space="preserve">Jolliffe, H. G.; Gerogiorgis, D. I. </w:t>
      </w:r>
      <w:r w:rsidR="0076257B">
        <w:rPr>
          <w:lang w:val="en-US"/>
        </w:rPr>
        <w:t xml:space="preserve">(2016) </w:t>
      </w:r>
      <w:r w:rsidRPr="003E15AB">
        <w:rPr>
          <w:lang w:val="en-US"/>
        </w:rPr>
        <w:t>Plantwide design and economic</w:t>
      </w:r>
      <w:r>
        <w:rPr>
          <w:lang w:val="en-US"/>
        </w:rPr>
        <w:t xml:space="preserve"> evaluation of two Continuous</w:t>
      </w:r>
      <w:r w:rsidR="0076257B" w:rsidRPr="003E15AB">
        <w:rPr>
          <w:lang w:val="en-US"/>
        </w:rPr>
        <w:t>Pharmaceutical Manufacturing (CPM)</w:t>
      </w:r>
      <w:r w:rsidR="0076257B">
        <w:rPr>
          <w:lang w:val="en-US"/>
        </w:rPr>
        <w:t xml:space="preserve"> cases: Ibuprofen and Artemisinin. </w:t>
      </w:r>
      <w:r w:rsidR="0076257B" w:rsidRPr="003E15AB">
        <w:rPr>
          <w:i/>
          <w:iCs/>
          <w:lang w:val="en-US"/>
        </w:rPr>
        <w:t>Comput. Chem. Eng.  91,</w:t>
      </w:r>
      <w:r w:rsidR="0076257B">
        <w:rPr>
          <w:i/>
          <w:iCs/>
          <w:lang w:val="en-US"/>
        </w:rPr>
        <w:t xml:space="preserve"> </w:t>
      </w:r>
      <w:r w:rsidR="0076257B" w:rsidRPr="003E15AB">
        <w:rPr>
          <w:i/>
          <w:iCs/>
          <w:lang w:val="en-US"/>
        </w:rPr>
        <w:t>269-188.</w:t>
      </w:r>
    </w:p>
    <w:p w14:paraId="0A52E344" w14:textId="02ACF85E" w:rsidR="004407FF" w:rsidRDefault="001C472B" w:rsidP="0085345B">
      <w:pPr>
        <w:pStyle w:val="Els-referenceno-number"/>
        <w:spacing w:after="0"/>
        <w:rPr>
          <w:i/>
          <w:iCs/>
          <w:lang w:val="en-US"/>
        </w:rPr>
      </w:pPr>
      <w:r w:rsidRPr="00106A14">
        <w:rPr>
          <w:lang w:val="en-US"/>
        </w:rPr>
        <w:t>Montes</w:t>
      </w:r>
      <w:r w:rsidR="00106A14" w:rsidRPr="00106A14">
        <w:rPr>
          <w:lang w:val="en-US"/>
        </w:rPr>
        <w:t>, F. C. C., Gernaey, K., Sin, G. (2018) Dynamic Plan</w:t>
      </w:r>
      <w:r w:rsidR="00106A14">
        <w:rPr>
          <w:lang w:val="en-US"/>
        </w:rPr>
        <w:t xml:space="preserve">twide Modeling, Uncertainty, and Sensitivity Analysis of a Pharmaceutical Upstream Synthesis: Ibuprofen Case Study. </w:t>
      </w:r>
      <w:r w:rsidR="004D057F">
        <w:rPr>
          <w:i/>
          <w:iCs/>
          <w:lang w:val="en-US"/>
        </w:rPr>
        <w:t>Ind</w:t>
      </w:r>
      <w:r w:rsidR="00D32BB0">
        <w:rPr>
          <w:i/>
          <w:iCs/>
          <w:lang w:val="en-US"/>
        </w:rPr>
        <w:t>.</w:t>
      </w:r>
      <w:r w:rsidR="004D057F">
        <w:rPr>
          <w:i/>
          <w:iCs/>
          <w:lang w:val="en-US"/>
        </w:rPr>
        <w:t xml:space="preserve"> Eng</w:t>
      </w:r>
      <w:r w:rsidR="00D32BB0">
        <w:rPr>
          <w:i/>
          <w:iCs/>
          <w:lang w:val="en-US"/>
        </w:rPr>
        <w:t>.</w:t>
      </w:r>
      <w:r w:rsidR="004D057F">
        <w:rPr>
          <w:i/>
          <w:iCs/>
          <w:lang w:val="en-US"/>
        </w:rPr>
        <w:t xml:space="preserve"> Chem</w:t>
      </w:r>
      <w:r w:rsidR="00D32BB0">
        <w:rPr>
          <w:i/>
          <w:iCs/>
          <w:lang w:val="en-US"/>
        </w:rPr>
        <w:t>.</w:t>
      </w:r>
      <w:r w:rsidR="004D057F">
        <w:rPr>
          <w:i/>
          <w:iCs/>
          <w:lang w:val="en-US"/>
        </w:rPr>
        <w:t xml:space="preserve"> Res</w:t>
      </w:r>
      <w:r w:rsidR="00D32BB0">
        <w:rPr>
          <w:i/>
          <w:iCs/>
          <w:lang w:val="en-US"/>
        </w:rPr>
        <w:t>.</w:t>
      </w:r>
      <w:r w:rsidR="004D057F">
        <w:rPr>
          <w:i/>
          <w:iCs/>
          <w:lang w:val="en-US"/>
        </w:rPr>
        <w:t>, 57(30), 10026-10037.</w:t>
      </w:r>
    </w:p>
    <w:p w14:paraId="27046F4E" w14:textId="3384D7AD" w:rsidR="00E00675" w:rsidRDefault="00E00675" w:rsidP="0085345B">
      <w:pPr>
        <w:pStyle w:val="Els-referenceno-number"/>
        <w:spacing w:after="0"/>
        <w:rPr>
          <w:i/>
          <w:iCs/>
          <w:lang w:val="en-US"/>
        </w:rPr>
      </w:pPr>
      <w:r>
        <w:rPr>
          <w:lang w:val="en-US"/>
        </w:rPr>
        <w:t>Thakar, N., Berger, R. J., Kapteijn, F.,</w:t>
      </w:r>
      <w:r w:rsidRPr="00B66F14">
        <w:rPr>
          <w:lang w:val="en-US"/>
        </w:rPr>
        <w:t xml:space="preserve"> Moulijn, </w:t>
      </w:r>
      <w:r>
        <w:rPr>
          <w:lang w:val="en-US"/>
        </w:rPr>
        <w:t xml:space="preserve">J. (2007) </w:t>
      </w:r>
      <w:r w:rsidRPr="00B66F14">
        <w:rPr>
          <w:lang w:val="en-US"/>
        </w:rPr>
        <w:t xml:space="preserve">Modelling </w:t>
      </w:r>
      <w:r w:rsidRPr="00763186">
        <w:rPr>
          <w:lang w:val="en-US"/>
        </w:rPr>
        <w:t>kinetics and deactivation for the</w:t>
      </w:r>
      <w:r>
        <w:rPr>
          <w:lang w:val="en-US"/>
        </w:rPr>
        <w:t xml:space="preserve"> </w:t>
      </w:r>
      <w:r w:rsidRPr="00763186">
        <w:rPr>
          <w:lang w:val="en-US"/>
        </w:rPr>
        <w:t>selective hydrogenation ofan aromatic</w:t>
      </w:r>
      <w:r>
        <w:rPr>
          <w:lang w:val="en-US"/>
        </w:rPr>
        <w:t xml:space="preserve"> </w:t>
      </w:r>
      <w:r w:rsidRPr="00763186">
        <w:rPr>
          <w:lang w:val="en-US"/>
        </w:rPr>
        <w:t xml:space="preserve">ketone over Pd/SiO2. </w:t>
      </w:r>
      <w:r w:rsidRPr="00E00675">
        <w:rPr>
          <w:i/>
          <w:iCs/>
          <w:lang w:val="en-US"/>
        </w:rPr>
        <w:t>Chem. Eng. Sci. 62(18-20) 5322−5329.</w:t>
      </w:r>
    </w:p>
    <w:p w14:paraId="24E15B8E" w14:textId="5EEA4CC7" w:rsidR="00393710" w:rsidRPr="00393710" w:rsidRDefault="00393710" w:rsidP="0085345B">
      <w:pPr>
        <w:pStyle w:val="Els-referenceno-number"/>
        <w:spacing w:after="0"/>
        <w:rPr>
          <w:lang w:val="en-US"/>
        </w:rPr>
      </w:pPr>
      <w:r w:rsidRPr="00393710">
        <w:rPr>
          <w:lang w:val="en-US"/>
        </w:rPr>
        <w:t xml:space="preserve">Wang, Z., Ierapetritou, M. </w:t>
      </w:r>
      <w:r w:rsidR="00A43DAE">
        <w:rPr>
          <w:lang w:val="en-US"/>
        </w:rPr>
        <w:t>(</w:t>
      </w:r>
      <w:r w:rsidRPr="00393710">
        <w:rPr>
          <w:lang w:val="en-US"/>
        </w:rPr>
        <w:t>2018</w:t>
      </w:r>
      <w:r w:rsidR="00A43DAE">
        <w:rPr>
          <w:lang w:val="en-US"/>
        </w:rPr>
        <w:t>)</w:t>
      </w:r>
      <w:r w:rsidRPr="00393710">
        <w:rPr>
          <w:lang w:val="en-US"/>
        </w:rPr>
        <w:t xml:space="preserve"> Constrained optimization of black-box stochas</w:t>
      </w:r>
      <w:r>
        <w:rPr>
          <w:lang w:val="en-US"/>
        </w:rPr>
        <w:t>tic systems using</w:t>
      </w:r>
    </w:p>
    <w:p w14:paraId="469592C5" w14:textId="3B995DA3" w:rsidR="00736714" w:rsidRPr="00393710" w:rsidRDefault="00393710" w:rsidP="008461B0">
      <w:pPr>
        <w:pStyle w:val="Els-referenceno-number"/>
        <w:spacing w:after="0"/>
        <w:ind w:left="0" w:firstLine="240"/>
        <w:rPr>
          <w:i/>
          <w:iCs/>
          <w:lang w:val="en-US"/>
        </w:rPr>
      </w:pPr>
      <w:r w:rsidRPr="00393710">
        <w:rPr>
          <w:lang w:val="en-US"/>
        </w:rPr>
        <w:t xml:space="preserve">a novel feasibility enhanced Kriging-based method. </w:t>
      </w:r>
      <w:r w:rsidRPr="00393710">
        <w:rPr>
          <w:i/>
          <w:iCs/>
          <w:lang w:val="en-US"/>
        </w:rPr>
        <w:t>Comput. Chem. Eng. 118, 210–223.</w:t>
      </w:r>
    </w:p>
    <w:sectPr w:rsidR="00736714" w:rsidRPr="00393710"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AE70" w14:textId="77777777" w:rsidR="003E452E" w:rsidRDefault="003E452E">
      <w:r>
        <w:separator/>
      </w:r>
    </w:p>
  </w:endnote>
  <w:endnote w:type="continuationSeparator" w:id="0">
    <w:p w14:paraId="5531C8FF" w14:textId="77777777" w:rsidR="003E452E" w:rsidRDefault="003E452E">
      <w:r>
        <w:continuationSeparator/>
      </w:r>
    </w:p>
  </w:endnote>
  <w:endnote w:type="continuationNotice" w:id="1">
    <w:p w14:paraId="71DA832C" w14:textId="77777777" w:rsidR="003E452E" w:rsidRDefault="003E45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A916" w14:textId="77777777" w:rsidR="003E452E" w:rsidRDefault="003E452E">
      <w:r>
        <w:separator/>
      </w:r>
    </w:p>
  </w:footnote>
  <w:footnote w:type="continuationSeparator" w:id="0">
    <w:p w14:paraId="3A9ED9D2" w14:textId="77777777" w:rsidR="003E452E" w:rsidRDefault="003E452E">
      <w:r>
        <w:continuationSeparator/>
      </w:r>
    </w:p>
  </w:footnote>
  <w:footnote w:type="continuationNotice" w:id="1">
    <w:p w14:paraId="438F7FCA" w14:textId="77777777" w:rsidR="003E452E" w:rsidRDefault="003E45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7CF4CC7" w:rsidR="003D46F1" w:rsidRDefault="003D46F1">
    <w:pPr>
      <w:pStyle w:val="Header"/>
      <w:tabs>
        <w:tab w:val="clear" w:pos="7200"/>
        <w:tab w:val="right" w:pos="7088"/>
      </w:tabs>
    </w:pPr>
    <w:r>
      <w:rPr>
        <w:rStyle w:val="PageNumber"/>
      </w:rPr>
      <w:tab/>
    </w:r>
    <w:r>
      <w:rPr>
        <w:rStyle w:val="PageNumber"/>
        <w:i/>
      </w:rPr>
      <w:tab/>
    </w:r>
    <w:r>
      <w:rPr>
        <w:i/>
      </w:rPr>
      <w:t>T. Asrav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BFFF971" w:rsidR="003D46F1" w:rsidRDefault="003D46F1">
    <w:pPr>
      <w:pStyle w:val="Header"/>
      <w:tabs>
        <w:tab w:val="clear" w:pos="7200"/>
        <w:tab w:val="right" w:pos="7088"/>
      </w:tabs>
      <w:jc w:val="right"/>
      <w:rPr>
        <w:sz w:val="24"/>
      </w:rPr>
    </w:pPr>
    <w:r>
      <w:rPr>
        <w:i/>
      </w:rPr>
      <w:t>Optimization under Uncertainty for Ibuprofen Synthesis</w:t>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3D46F1" w:rsidRPr="003B50B5" w:rsidRDefault="003D46F1"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3D46F1" w:rsidRDefault="003D46F1"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intelligence2.xml><?xml version="1.0" encoding="utf-8"?>
<int2:intelligence xmlns:int2="http://schemas.microsoft.com/office/intelligence/2020/intelligence" xmlns:oel="http://schemas.microsoft.com/office/2019/extlst">
  <int2:observations>
    <int2:bookmark int2:bookmarkName="_Int_Pl2O0W51" int2:invalidationBookmarkName="" int2:hashCode="o3nIX4xpoNNnnY" int2:id="8Vwafcm0">
      <int2:state int2:value="Rejected" int2:type="AugLoop_Text_Critique"/>
    </int2:bookmark>
    <int2:bookmark int2:bookmarkName="_Int_02zR3Gka" int2:invalidationBookmarkName="" int2:hashCode="3gT6Din5s14kkF" int2:id="YLbVOn5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A75BA9"/>
    <w:multiLevelType w:val="hybridMultilevel"/>
    <w:tmpl w:val="741E0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2C37391"/>
    <w:multiLevelType w:val="hybridMultilevel"/>
    <w:tmpl w:val="9BD851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88555819">
    <w:abstractNumId w:val="12"/>
  </w:num>
  <w:num w:numId="2" w16cid:durableId="1755933690">
    <w:abstractNumId w:val="12"/>
  </w:num>
  <w:num w:numId="3" w16cid:durableId="754209969">
    <w:abstractNumId w:val="12"/>
  </w:num>
  <w:num w:numId="4" w16cid:durableId="1969822811">
    <w:abstractNumId w:val="12"/>
  </w:num>
  <w:num w:numId="5" w16cid:durableId="486167069">
    <w:abstractNumId w:val="0"/>
  </w:num>
  <w:num w:numId="6" w16cid:durableId="505443484">
    <w:abstractNumId w:val="6"/>
  </w:num>
  <w:num w:numId="7" w16cid:durableId="1829205404">
    <w:abstractNumId w:val="13"/>
  </w:num>
  <w:num w:numId="8" w16cid:durableId="638535521">
    <w:abstractNumId w:val="1"/>
  </w:num>
  <w:num w:numId="9" w16cid:durableId="1051466635">
    <w:abstractNumId w:val="11"/>
  </w:num>
  <w:num w:numId="10" w16cid:durableId="1603220047">
    <w:abstractNumId w:val="16"/>
  </w:num>
  <w:num w:numId="11" w16cid:durableId="1973247431">
    <w:abstractNumId w:val="14"/>
  </w:num>
  <w:num w:numId="12" w16cid:durableId="1187793748">
    <w:abstractNumId w:val="5"/>
  </w:num>
  <w:num w:numId="13" w16cid:durableId="109007710">
    <w:abstractNumId w:val="9"/>
  </w:num>
  <w:num w:numId="14" w16cid:durableId="1278874479">
    <w:abstractNumId w:val="2"/>
  </w:num>
  <w:num w:numId="15" w16cid:durableId="974486747">
    <w:abstractNumId w:val="7"/>
  </w:num>
  <w:num w:numId="16" w16cid:durableId="1419208299">
    <w:abstractNumId w:val="3"/>
  </w:num>
  <w:num w:numId="17" w16cid:durableId="658655798">
    <w:abstractNumId w:val="4"/>
  </w:num>
  <w:num w:numId="18" w16cid:durableId="54085774">
    <w:abstractNumId w:val="10"/>
  </w:num>
  <w:num w:numId="19" w16cid:durableId="42293865">
    <w:abstractNumId w:val="8"/>
  </w:num>
  <w:num w:numId="20" w16cid:durableId="55251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NjM3MjQwNTYzsjBT0lEKTi0uzszPAykwrAUAumzhOSwAAAA="/>
  </w:docVars>
  <w:rsids>
    <w:rsidRoot w:val="00B63237"/>
    <w:rsid w:val="00000CA7"/>
    <w:rsid w:val="00002DE9"/>
    <w:rsid w:val="00003DCB"/>
    <w:rsid w:val="0000583A"/>
    <w:rsid w:val="00007590"/>
    <w:rsid w:val="00010B1E"/>
    <w:rsid w:val="00011365"/>
    <w:rsid w:val="00013506"/>
    <w:rsid w:val="00014A40"/>
    <w:rsid w:val="00017EC7"/>
    <w:rsid w:val="00021A6B"/>
    <w:rsid w:val="00022F43"/>
    <w:rsid w:val="00023138"/>
    <w:rsid w:val="00024465"/>
    <w:rsid w:val="000268E3"/>
    <w:rsid w:val="00026B78"/>
    <w:rsid w:val="000343F7"/>
    <w:rsid w:val="00034938"/>
    <w:rsid w:val="000350EF"/>
    <w:rsid w:val="000358A3"/>
    <w:rsid w:val="00040430"/>
    <w:rsid w:val="00041A6C"/>
    <w:rsid w:val="000441BE"/>
    <w:rsid w:val="000443E9"/>
    <w:rsid w:val="00051257"/>
    <w:rsid w:val="00052A94"/>
    <w:rsid w:val="00053FCA"/>
    <w:rsid w:val="000550EE"/>
    <w:rsid w:val="00060C2B"/>
    <w:rsid w:val="00064ED8"/>
    <w:rsid w:val="00066CC5"/>
    <w:rsid w:val="00070057"/>
    <w:rsid w:val="00073926"/>
    <w:rsid w:val="00074040"/>
    <w:rsid w:val="0007516C"/>
    <w:rsid w:val="000755AD"/>
    <w:rsid w:val="00076549"/>
    <w:rsid w:val="0007655C"/>
    <w:rsid w:val="0008107D"/>
    <w:rsid w:val="0008171B"/>
    <w:rsid w:val="00082052"/>
    <w:rsid w:val="00083369"/>
    <w:rsid w:val="00085B3E"/>
    <w:rsid w:val="00085F03"/>
    <w:rsid w:val="000869B5"/>
    <w:rsid w:val="0008755C"/>
    <w:rsid w:val="000903D6"/>
    <w:rsid w:val="00092877"/>
    <w:rsid w:val="00096753"/>
    <w:rsid w:val="000A18DB"/>
    <w:rsid w:val="000A6421"/>
    <w:rsid w:val="000B1534"/>
    <w:rsid w:val="000B399E"/>
    <w:rsid w:val="000B542A"/>
    <w:rsid w:val="000B6178"/>
    <w:rsid w:val="000C1EC4"/>
    <w:rsid w:val="000C60BC"/>
    <w:rsid w:val="000C61F3"/>
    <w:rsid w:val="000C7450"/>
    <w:rsid w:val="000D1FCD"/>
    <w:rsid w:val="000D2BF1"/>
    <w:rsid w:val="000D3D9B"/>
    <w:rsid w:val="000D528F"/>
    <w:rsid w:val="000E0280"/>
    <w:rsid w:val="000E1043"/>
    <w:rsid w:val="000E129C"/>
    <w:rsid w:val="000E3296"/>
    <w:rsid w:val="000E3EF8"/>
    <w:rsid w:val="000E459F"/>
    <w:rsid w:val="000E4B19"/>
    <w:rsid w:val="000E4D29"/>
    <w:rsid w:val="000E4F06"/>
    <w:rsid w:val="000E792F"/>
    <w:rsid w:val="000F1297"/>
    <w:rsid w:val="000F1DBF"/>
    <w:rsid w:val="000F2B9D"/>
    <w:rsid w:val="000F3187"/>
    <w:rsid w:val="000F362F"/>
    <w:rsid w:val="000F6A78"/>
    <w:rsid w:val="001010F7"/>
    <w:rsid w:val="00101FD7"/>
    <w:rsid w:val="00102272"/>
    <w:rsid w:val="00106A14"/>
    <w:rsid w:val="00107BE3"/>
    <w:rsid w:val="00107FCC"/>
    <w:rsid w:val="00111EC7"/>
    <w:rsid w:val="00112326"/>
    <w:rsid w:val="001138EE"/>
    <w:rsid w:val="001145D6"/>
    <w:rsid w:val="00116787"/>
    <w:rsid w:val="001167AF"/>
    <w:rsid w:val="00116EB8"/>
    <w:rsid w:val="00116ED7"/>
    <w:rsid w:val="00117973"/>
    <w:rsid w:val="00121D68"/>
    <w:rsid w:val="00121D91"/>
    <w:rsid w:val="0012485B"/>
    <w:rsid w:val="00126493"/>
    <w:rsid w:val="00127B63"/>
    <w:rsid w:val="00127E60"/>
    <w:rsid w:val="001315B6"/>
    <w:rsid w:val="00131A0F"/>
    <w:rsid w:val="00141C6D"/>
    <w:rsid w:val="001421C9"/>
    <w:rsid w:val="0014255E"/>
    <w:rsid w:val="00143077"/>
    <w:rsid w:val="001462F2"/>
    <w:rsid w:val="00146FFC"/>
    <w:rsid w:val="00147B22"/>
    <w:rsid w:val="00151166"/>
    <w:rsid w:val="0015118B"/>
    <w:rsid w:val="0015251A"/>
    <w:rsid w:val="00152AA2"/>
    <w:rsid w:val="001534E7"/>
    <w:rsid w:val="00154FA8"/>
    <w:rsid w:val="0016032F"/>
    <w:rsid w:val="00160BDB"/>
    <w:rsid w:val="0016380E"/>
    <w:rsid w:val="00163FBF"/>
    <w:rsid w:val="0016546C"/>
    <w:rsid w:val="00171D75"/>
    <w:rsid w:val="001729C8"/>
    <w:rsid w:val="00175BAC"/>
    <w:rsid w:val="00176553"/>
    <w:rsid w:val="001765BA"/>
    <w:rsid w:val="00176962"/>
    <w:rsid w:val="00177FA5"/>
    <w:rsid w:val="00181EDE"/>
    <w:rsid w:val="0018233E"/>
    <w:rsid w:val="00182D36"/>
    <w:rsid w:val="00182F06"/>
    <w:rsid w:val="00184F2E"/>
    <w:rsid w:val="001879F6"/>
    <w:rsid w:val="00192C37"/>
    <w:rsid w:val="0019453A"/>
    <w:rsid w:val="00194761"/>
    <w:rsid w:val="001952E6"/>
    <w:rsid w:val="00196326"/>
    <w:rsid w:val="0019747A"/>
    <w:rsid w:val="00197B3C"/>
    <w:rsid w:val="00197F02"/>
    <w:rsid w:val="001A30FB"/>
    <w:rsid w:val="001A39C8"/>
    <w:rsid w:val="001A3DFD"/>
    <w:rsid w:val="001A6816"/>
    <w:rsid w:val="001B0FD7"/>
    <w:rsid w:val="001B4698"/>
    <w:rsid w:val="001B4853"/>
    <w:rsid w:val="001B6F8F"/>
    <w:rsid w:val="001C0148"/>
    <w:rsid w:val="001C1549"/>
    <w:rsid w:val="001C362E"/>
    <w:rsid w:val="001C472B"/>
    <w:rsid w:val="001C5270"/>
    <w:rsid w:val="001C56E5"/>
    <w:rsid w:val="001C757E"/>
    <w:rsid w:val="001D020B"/>
    <w:rsid w:val="001D2BB0"/>
    <w:rsid w:val="001D2FD9"/>
    <w:rsid w:val="001D644D"/>
    <w:rsid w:val="001D6BA6"/>
    <w:rsid w:val="001E4789"/>
    <w:rsid w:val="001E4B09"/>
    <w:rsid w:val="001E4CE8"/>
    <w:rsid w:val="001E61CF"/>
    <w:rsid w:val="001E6554"/>
    <w:rsid w:val="001F3852"/>
    <w:rsid w:val="001F3A09"/>
    <w:rsid w:val="002007AF"/>
    <w:rsid w:val="00200F70"/>
    <w:rsid w:val="0020169D"/>
    <w:rsid w:val="0020390F"/>
    <w:rsid w:val="00203F5A"/>
    <w:rsid w:val="002047E0"/>
    <w:rsid w:val="002063D5"/>
    <w:rsid w:val="00207F9A"/>
    <w:rsid w:val="0021208C"/>
    <w:rsid w:val="0021232E"/>
    <w:rsid w:val="002130C3"/>
    <w:rsid w:val="00215B67"/>
    <w:rsid w:val="00222CD9"/>
    <w:rsid w:val="002260E4"/>
    <w:rsid w:val="00226919"/>
    <w:rsid w:val="00230628"/>
    <w:rsid w:val="002333BB"/>
    <w:rsid w:val="00233C6C"/>
    <w:rsid w:val="0023404B"/>
    <w:rsid w:val="00241A93"/>
    <w:rsid w:val="00242F0A"/>
    <w:rsid w:val="002432DC"/>
    <w:rsid w:val="002436F0"/>
    <w:rsid w:val="002442AD"/>
    <w:rsid w:val="00244D5A"/>
    <w:rsid w:val="00245DCF"/>
    <w:rsid w:val="00250064"/>
    <w:rsid w:val="002512D9"/>
    <w:rsid w:val="002523F7"/>
    <w:rsid w:val="0025386F"/>
    <w:rsid w:val="00253F7D"/>
    <w:rsid w:val="0025756F"/>
    <w:rsid w:val="00264926"/>
    <w:rsid w:val="002652ED"/>
    <w:rsid w:val="00271A75"/>
    <w:rsid w:val="00273A5E"/>
    <w:rsid w:val="00275352"/>
    <w:rsid w:val="00280A2E"/>
    <w:rsid w:val="002834E2"/>
    <w:rsid w:val="002837D0"/>
    <w:rsid w:val="002844FD"/>
    <w:rsid w:val="00285D45"/>
    <w:rsid w:val="00287ED0"/>
    <w:rsid w:val="0029129D"/>
    <w:rsid w:val="002917A3"/>
    <w:rsid w:val="00291CBB"/>
    <w:rsid w:val="00291EC4"/>
    <w:rsid w:val="0029226B"/>
    <w:rsid w:val="00293C4D"/>
    <w:rsid w:val="00294037"/>
    <w:rsid w:val="002956EC"/>
    <w:rsid w:val="002A248E"/>
    <w:rsid w:val="002A54B8"/>
    <w:rsid w:val="002A57C8"/>
    <w:rsid w:val="002A5A79"/>
    <w:rsid w:val="002A672B"/>
    <w:rsid w:val="002A6798"/>
    <w:rsid w:val="002A70B4"/>
    <w:rsid w:val="002B7AE7"/>
    <w:rsid w:val="002C0EEE"/>
    <w:rsid w:val="002C1AA3"/>
    <w:rsid w:val="002C5FAF"/>
    <w:rsid w:val="002C6B40"/>
    <w:rsid w:val="002C7489"/>
    <w:rsid w:val="002D0BAB"/>
    <w:rsid w:val="002D0C9E"/>
    <w:rsid w:val="002D3913"/>
    <w:rsid w:val="002D5204"/>
    <w:rsid w:val="002D635E"/>
    <w:rsid w:val="002E4D4A"/>
    <w:rsid w:val="002E59B0"/>
    <w:rsid w:val="002E5EE7"/>
    <w:rsid w:val="002E67A1"/>
    <w:rsid w:val="002E70E1"/>
    <w:rsid w:val="002F0C72"/>
    <w:rsid w:val="002F17C8"/>
    <w:rsid w:val="002F1EC0"/>
    <w:rsid w:val="002F2F77"/>
    <w:rsid w:val="002F468A"/>
    <w:rsid w:val="0030272E"/>
    <w:rsid w:val="003039BF"/>
    <w:rsid w:val="00305678"/>
    <w:rsid w:val="00307D67"/>
    <w:rsid w:val="003100AD"/>
    <w:rsid w:val="00312814"/>
    <w:rsid w:val="00321C79"/>
    <w:rsid w:val="00323EAC"/>
    <w:rsid w:val="00324648"/>
    <w:rsid w:val="003254A2"/>
    <w:rsid w:val="003272B4"/>
    <w:rsid w:val="00330ADC"/>
    <w:rsid w:val="0033148B"/>
    <w:rsid w:val="003322E2"/>
    <w:rsid w:val="00332559"/>
    <w:rsid w:val="00335E36"/>
    <w:rsid w:val="00335EBE"/>
    <w:rsid w:val="00341137"/>
    <w:rsid w:val="00342CDA"/>
    <w:rsid w:val="00343F82"/>
    <w:rsid w:val="00346834"/>
    <w:rsid w:val="00352F62"/>
    <w:rsid w:val="00353979"/>
    <w:rsid w:val="0035420E"/>
    <w:rsid w:val="00356E85"/>
    <w:rsid w:val="00362B1E"/>
    <w:rsid w:val="003704F8"/>
    <w:rsid w:val="003728AA"/>
    <w:rsid w:val="00372F0A"/>
    <w:rsid w:val="003738A2"/>
    <w:rsid w:val="00377A10"/>
    <w:rsid w:val="00377A62"/>
    <w:rsid w:val="00377DDF"/>
    <w:rsid w:val="00381A48"/>
    <w:rsid w:val="00381E05"/>
    <w:rsid w:val="003824B4"/>
    <w:rsid w:val="00382D75"/>
    <w:rsid w:val="0038354A"/>
    <w:rsid w:val="0038448B"/>
    <w:rsid w:val="00384D7D"/>
    <w:rsid w:val="00390AEF"/>
    <w:rsid w:val="003914D5"/>
    <w:rsid w:val="00393710"/>
    <w:rsid w:val="00394E97"/>
    <w:rsid w:val="00394FA1"/>
    <w:rsid w:val="0039519A"/>
    <w:rsid w:val="00395E55"/>
    <w:rsid w:val="00397CB4"/>
    <w:rsid w:val="003A758F"/>
    <w:rsid w:val="003B0E17"/>
    <w:rsid w:val="003B411E"/>
    <w:rsid w:val="003B565E"/>
    <w:rsid w:val="003C2A44"/>
    <w:rsid w:val="003C3DD5"/>
    <w:rsid w:val="003C5CFC"/>
    <w:rsid w:val="003C5D67"/>
    <w:rsid w:val="003C6FDE"/>
    <w:rsid w:val="003C7AFD"/>
    <w:rsid w:val="003D053E"/>
    <w:rsid w:val="003D1582"/>
    <w:rsid w:val="003D201A"/>
    <w:rsid w:val="003D29B1"/>
    <w:rsid w:val="003D30F0"/>
    <w:rsid w:val="003D46F1"/>
    <w:rsid w:val="003D6074"/>
    <w:rsid w:val="003D732A"/>
    <w:rsid w:val="003D77BA"/>
    <w:rsid w:val="003D7E4C"/>
    <w:rsid w:val="003E0D0E"/>
    <w:rsid w:val="003E15AB"/>
    <w:rsid w:val="003E316A"/>
    <w:rsid w:val="003E41C2"/>
    <w:rsid w:val="003E452E"/>
    <w:rsid w:val="003E4D87"/>
    <w:rsid w:val="003E508F"/>
    <w:rsid w:val="003E71EE"/>
    <w:rsid w:val="003F00C6"/>
    <w:rsid w:val="003F1F7C"/>
    <w:rsid w:val="003F26BC"/>
    <w:rsid w:val="003F28E8"/>
    <w:rsid w:val="003F53A8"/>
    <w:rsid w:val="003F6953"/>
    <w:rsid w:val="0040037E"/>
    <w:rsid w:val="00402F30"/>
    <w:rsid w:val="0040347F"/>
    <w:rsid w:val="00403A87"/>
    <w:rsid w:val="004077CC"/>
    <w:rsid w:val="00407C53"/>
    <w:rsid w:val="00411F6A"/>
    <w:rsid w:val="00412770"/>
    <w:rsid w:val="00414710"/>
    <w:rsid w:val="00415167"/>
    <w:rsid w:val="004171B5"/>
    <w:rsid w:val="004174F8"/>
    <w:rsid w:val="00421BD8"/>
    <w:rsid w:val="004246D8"/>
    <w:rsid w:val="004260E3"/>
    <w:rsid w:val="00426C9D"/>
    <w:rsid w:val="00427C67"/>
    <w:rsid w:val="00430045"/>
    <w:rsid w:val="00430BC9"/>
    <w:rsid w:val="00430F1C"/>
    <w:rsid w:val="00435884"/>
    <w:rsid w:val="004375F4"/>
    <w:rsid w:val="00437C59"/>
    <w:rsid w:val="00437D43"/>
    <w:rsid w:val="004407FF"/>
    <w:rsid w:val="004439AD"/>
    <w:rsid w:val="0044620C"/>
    <w:rsid w:val="00451381"/>
    <w:rsid w:val="00454849"/>
    <w:rsid w:val="004561A4"/>
    <w:rsid w:val="004565BD"/>
    <w:rsid w:val="00456976"/>
    <w:rsid w:val="00457809"/>
    <w:rsid w:val="00461263"/>
    <w:rsid w:val="0046310E"/>
    <w:rsid w:val="00465081"/>
    <w:rsid w:val="00471038"/>
    <w:rsid w:val="0047260F"/>
    <w:rsid w:val="00472F57"/>
    <w:rsid w:val="00473366"/>
    <w:rsid w:val="004776E0"/>
    <w:rsid w:val="00481683"/>
    <w:rsid w:val="00482601"/>
    <w:rsid w:val="004831F6"/>
    <w:rsid w:val="00484228"/>
    <w:rsid w:val="004846F8"/>
    <w:rsid w:val="00487F2B"/>
    <w:rsid w:val="0049259D"/>
    <w:rsid w:val="00492E2C"/>
    <w:rsid w:val="00493674"/>
    <w:rsid w:val="0049772C"/>
    <w:rsid w:val="004A3556"/>
    <w:rsid w:val="004A4202"/>
    <w:rsid w:val="004A5A5E"/>
    <w:rsid w:val="004A77E8"/>
    <w:rsid w:val="004B1BED"/>
    <w:rsid w:val="004B1E03"/>
    <w:rsid w:val="004B2A7D"/>
    <w:rsid w:val="004B3E6E"/>
    <w:rsid w:val="004B5309"/>
    <w:rsid w:val="004B7D59"/>
    <w:rsid w:val="004B7E8E"/>
    <w:rsid w:val="004C6D4D"/>
    <w:rsid w:val="004C7AA6"/>
    <w:rsid w:val="004C7D70"/>
    <w:rsid w:val="004D0203"/>
    <w:rsid w:val="004D057F"/>
    <w:rsid w:val="004D192A"/>
    <w:rsid w:val="004D68A1"/>
    <w:rsid w:val="004D6D11"/>
    <w:rsid w:val="004F08F9"/>
    <w:rsid w:val="004F34A4"/>
    <w:rsid w:val="004F47BE"/>
    <w:rsid w:val="004F6C43"/>
    <w:rsid w:val="005004C8"/>
    <w:rsid w:val="00502BEE"/>
    <w:rsid w:val="005032E9"/>
    <w:rsid w:val="0050357B"/>
    <w:rsid w:val="0050575B"/>
    <w:rsid w:val="00505905"/>
    <w:rsid w:val="0051201F"/>
    <w:rsid w:val="00512CCF"/>
    <w:rsid w:val="005172FD"/>
    <w:rsid w:val="005221E5"/>
    <w:rsid w:val="00525BFB"/>
    <w:rsid w:val="0052798F"/>
    <w:rsid w:val="005317AB"/>
    <w:rsid w:val="00531BCF"/>
    <w:rsid w:val="005338AC"/>
    <w:rsid w:val="00533EC3"/>
    <w:rsid w:val="00536ECB"/>
    <w:rsid w:val="0053764E"/>
    <w:rsid w:val="00542667"/>
    <w:rsid w:val="00542CA3"/>
    <w:rsid w:val="0054304A"/>
    <w:rsid w:val="00544956"/>
    <w:rsid w:val="0054589D"/>
    <w:rsid w:val="00547131"/>
    <w:rsid w:val="00551465"/>
    <w:rsid w:val="00552EB3"/>
    <w:rsid w:val="00552EEB"/>
    <w:rsid w:val="00553ED2"/>
    <w:rsid w:val="00556779"/>
    <w:rsid w:val="00562B14"/>
    <w:rsid w:val="0056346A"/>
    <w:rsid w:val="0056364B"/>
    <w:rsid w:val="00564510"/>
    <w:rsid w:val="0056549B"/>
    <w:rsid w:val="00565BA5"/>
    <w:rsid w:val="005702B5"/>
    <w:rsid w:val="00571B9C"/>
    <w:rsid w:val="00573600"/>
    <w:rsid w:val="0057379A"/>
    <w:rsid w:val="00574F19"/>
    <w:rsid w:val="00576946"/>
    <w:rsid w:val="0058491A"/>
    <w:rsid w:val="00591958"/>
    <w:rsid w:val="00591BA9"/>
    <w:rsid w:val="00591E30"/>
    <w:rsid w:val="00594D29"/>
    <w:rsid w:val="00595CF9"/>
    <w:rsid w:val="005A0480"/>
    <w:rsid w:val="005A2FF0"/>
    <w:rsid w:val="005B1B19"/>
    <w:rsid w:val="005B2A16"/>
    <w:rsid w:val="005B3946"/>
    <w:rsid w:val="005B4C48"/>
    <w:rsid w:val="005B5ADE"/>
    <w:rsid w:val="005B7495"/>
    <w:rsid w:val="005B7E45"/>
    <w:rsid w:val="005C0005"/>
    <w:rsid w:val="005C3E0A"/>
    <w:rsid w:val="005C563D"/>
    <w:rsid w:val="005D2A65"/>
    <w:rsid w:val="005D4FFC"/>
    <w:rsid w:val="005D59E6"/>
    <w:rsid w:val="005D6183"/>
    <w:rsid w:val="005D7668"/>
    <w:rsid w:val="005D7C87"/>
    <w:rsid w:val="005E137B"/>
    <w:rsid w:val="005E2128"/>
    <w:rsid w:val="005E6BAF"/>
    <w:rsid w:val="005F1B76"/>
    <w:rsid w:val="005F3BF3"/>
    <w:rsid w:val="005F7150"/>
    <w:rsid w:val="006023A2"/>
    <w:rsid w:val="00603101"/>
    <w:rsid w:val="00604830"/>
    <w:rsid w:val="00607791"/>
    <w:rsid w:val="0061399C"/>
    <w:rsid w:val="00613E71"/>
    <w:rsid w:val="006145F8"/>
    <w:rsid w:val="00614A50"/>
    <w:rsid w:val="006150E9"/>
    <w:rsid w:val="006155AB"/>
    <w:rsid w:val="00621343"/>
    <w:rsid w:val="006218D1"/>
    <w:rsid w:val="00622045"/>
    <w:rsid w:val="00622DB5"/>
    <w:rsid w:val="00622FE1"/>
    <w:rsid w:val="0062330F"/>
    <w:rsid w:val="006262ED"/>
    <w:rsid w:val="0063178C"/>
    <w:rsid w:val="0063359C"/>
    <w:rsid w:val="00635295"/>
    <w:rsid w:val="0064295E"/>
    <w:rsid w:val="00642D3A"/>
    <w:rsid w:val="006449AE"/>
    <w:rsid w:val="00644ECA"/>
    <w:rsid w:val="00645019"/>
    <w:rsid w:val="00646546"/>
    <w:rsid w:val="00646FE3"/>
    <w:rsid w:val="0064786F"/>
    <w:rsid w:val="00650ACF"/>
    <w:rsid w:val="00650FEB"/>
    <w:rsid w:val="0065101E"/>
    <w:rsid w:val="0065290A"/>
    <w:rsid w:val="00653236"/>
    <w:rsid w:val="006547CF"/>
    <w:rsid w:val="006625D4"/>
    <w:rsid w:val="00663370"/>
    <w:rsid w:val="00663B37"/>
    <w:rsid w:val="006655F0"/>
    <w:rsid w:val="006665DA"/>
    <w:rsid w:val="006701ED"/>
    <w:rsid w:val="006725E1"/>
    <w:rsid w:val="00673780"/>
    <w:rsid w:val="006742EE"/>
    <w:rsid w:val="00675C8E"/>
    <w:rsid w:val="0068503D"/>
    <w:rsid w:val="0068506A"/>
    <w:rsid w:val="006856ED"/>
    <w:rsid w:val="006873C6"/>
    <w:rsid w:val="00690FCC"/>
    <w:rsid w:val="00693D03"/>
    <w:rsid w:val="00693F67"/>
    <w:rsid w:val="00695AE8"/>
    <w:rsid w:val="00696E0E"/>
    <w:rsid w:val="00697738"/>
    <w:rsid w:val="006A01F4"/>
    <w:rsid w:val="006A0750"/>
    <w:rsid w:val="006A0B8B"/>
    <w:rsid w:val="006A2906"/>
    <w:rsid w:val="006A31D5"/>
    <w:rsid w:val="006A3769"/>
    <w:rsid w:val="006A512B"/>
    <w:rsid w:val="006A69BF"/>
    <w:rsid w:val="006A7AB9"/>
    <w:rsid w:val="006B0240"/>
    <w:rsid w:val="006B0393"/>
    <w:rsid w:val="006B0F57"/>
    <w:rsid w:val="006B1074"/>
    <w:rsid w:val="006B1763"/>
    <w:rsid w:val="006B4458"/>
    <w:rsid w:val="006C31B5"/>
    <w:rsid w:val="006C4059"/>
    <w:rsid w:val="006C5500"/>
    <w:rsid w:val="006C5A3F"/>
    <w:rsid w:val="006C6DFE"/>
    <w:rsid w:val="006C7106"/>
    <w:rsid w:val="006D371F"/>
    <w:rsid w:val="006D510F"/>
    <w:rsid w:val="006D53A2"/>
    <w:rsid w:val="006E03CA"/>
    <w:rsid w:val="006E0722"/>
    <w:rsid w:val="006E0764"/>
    <w:rsid w:val="006E385F"/>
    <w:rsid w:val="006E5DD9"/>
    <w:rsid w:val="006E60C9"/>
    <w:rsid w:val="006E72F8"/>
    <w:rsid w:val="006F0900"/>
    <w:rsid w:val="006F49B0"/>
    <w:rsid w:val="006F5F5A"/>
    <w:rsid w:val="00702127"/>
    <w:rsid w:val="00703EB7"/>
    <w:rsid w:val="0070536F"/>
    <w:rsid w:val="00706973"/>
    <w:rsid w:val="00706F3A"/>
    <w:rsid w:val="007074F7"/>
    <w:rsid w:val="007108F2"/>
    <w:rsid w:val="007118E5"/>
    <w:rsid w:val="00711DF4"/>
    <w:rsid w:val="00713C0F"/>
    <w:rsid w:val="00713DD7"/>
    <w:rsid w:val="00714E25"/>
    <w:rsid w:val="00716AAA"/>
    <w:rsid w:val="00716EF9"/>
    <w:rsid w:val="0072090C"/>
    <w:rsid w:val="00721B90"/>
    <w:rsid w:val="00722348"/>
    <w:rsid w:val="00724EDF"/>
    <w:rsid w:val="00726D88"/>
    <w:rsid w:val="007273C7"/>
    <w:rsid w:val="00731B21"/>
    <w:rsid w:val="00736714"/>
    <w:rsid w:val="007367D2"/>
    <w:rsid w:val="00736AF2"/>
    <w:rsid w:val="00736CB8"/>
    <w:rsid w:val="00737A12"/>
    <w:rsid w:val="0074095C"/>
    <w:rsid w:val="007430F3"/>
    <w:rsid w:val="00744BC2"/>
    <w:rsid w:val="00754450"/>
    <w:rsid w:val="007549ED"/>
    <w:rsid w:val="00754A24"/>
    <w:rsid w:val="007579D7"/>
    <w:rsid w:val="0076257B"/>
    <w:rsid w:val="00762DA6"/>
    <w:rsid w:val="00763186"/>
    <w:rsid w:val="00763B8E"/>
    <w:rsid w:val="00765647"/>
    <w:rsid w:val="00767418"/>
    <w:rsid w:val="00767975"/>
    <w:rsid w:val="0077224D"/>
    <w:rsid w:val="007729BB"/>
    <w:rsid w:val="00773962"/>
    <w:rsid w:val="00776749"/>
    <w:rsid w:val="00776AC4"/>
    <w:rsid w:val="007771EC"/>
    <w:rsid w:val="007774BE"/>
    <w:rsid w:val="00780340"/>
    <w:rsid w:val="00782268"/>
    <w:rsid w:val="007822E6"/>
    <w:rsid w:val="00783CA3"/>
    <w:rsid w:val="00786578"/>
    <w:rsid w:val="0078753A"/>
    <w:rsid w:val="0079277A"/>
    <w:rsid w:val="00795DBD"/>
    <w:rsid w:val="007A20C8"/>
    <w:rsid w:val="007A25C3"/>
    <w:rsid w:val="007A296E"/>
    <w:rsid w:val="007A30AD"/>
    <w:rsid w:val="007A3525"/>
    <w:rsid w:val="007A478A"/>
    <w:rsid w:val="007A6184"/>
    <w:rsid w:val="007B1450"/>
    <w:rsid w:val="007B1B42"/>
    <w:rsid w:val="007B21CD"/>
    <w:rsid w:val="007B369D"/>
    <w:rsid w:val="007B4A25"/>
    <w:rsid w:val="007B4A79"/>
    <w:rsid w:val="007B6266"/>
    <w:rsid w:val="007C0A34"/>
    <w:rsid w:val="007C190F"/>
    <w:rsid w:val="007C2F0C"/>
    <w:rsid w:val="007C6502"/>
    <w:rsid w:val="007C6FE9"/>
    <w:rsid w:val="007D22CF"/>
    <w:rsid w:val="007D3328"/>
    <w:rsid w:val="007D70A1"/>
    <w:rsid w:val="007D7FB7"/>
    <w:rsid w:val="007E1B97"/>
    <w:rsid w:val="007E2069"/>
    <w:rsid w:val="007E2C2C"/>
    <w:rsid w:val="007E45BF"/>
    <w:rsid w:val="007E4DD9"/>
    <w:rsid w:val="007E4FBC"/>
    <w:rsid w:val="007E512D"/>
    <w:rsid w:val="007E525A"/>
    <w:rsid w:val="007E5612"/>
    <w:rsid w:val="007E5829"/>
    <w:rsid w:val="007E6D1A"/>
    <w:rsid w:val="007E7EBB"/>
    <w:rsid w:val="007F18BD"/>
    <w:rsid w:val="007F316E"/>
    <w:rsid w:val="007F56B0"/>
    <w:rsid w:val="0080261F"/>
    <w:rsid w:val="00802881"/>
    <w:rsid w:val="008034E5"/>
    <w:rsid w:val="00804171"/>
    <w:rsid w:val="00804C89"/>
    <w:rsid w:val="008064AA"/>
    <w:rsid w:val="00810089"/>
    <w:rsid w:val="00811A84"/>
    <w:rsid w:val="008132E8"/>
    <w:rsid w:val="00813619"/>
    <w:rsid w:val="00814DF2"/>
    <w:rsid w:val="00821CED"/>
    <w:rsid w:val="00823407"/>
    <w:rsid w:val="00823CD5"/>
    <w:rsid w:val="00830019"/>
    <w:rsid w:val="00832884"/>
    <w:rsid w:val="0083314F"/>
    <w:rsid w:val="008349FE"/>
    <w:rsid w:val="00835627"/>
    <w:rsid w:val="0083648E"/>
    <w:rsid w:val="00843ECD"/>
    <w:rsid w:val="008461B0"/>
    <w:rsid w:val="00850590"/>
    <w:rsid w:val="008521CB"/>
    <w:rsid w:val="00852557"/>
    <w:rsid w:val="0085345B"/>
    <w:rsid w:val="00853A71"/>
    <w:rsid w:val="00853B72"/>
    <w:rsid w:val="00853C0E"/>
    <w:rsid w:val="00854E20"/>
    <w:rsid w:val="00856078"/>
    <w:rsid w:val="00857095"/>
    <w:rsid w:val="00861E23"/>
    <w:rsid w:val="0086634D"/>
    <w:rsid w:val="0087122A"/>
    <w:rsid w:val="008720CA"/>
    <w:rsid w:val="00873DD9"/>
    <w:rsid w:val="008766D1"/>
    <w:rsid w:val="0088168D"/>
    <w:rsid w:val="00882B67"/>
    <w:rsid w:val="00885AA3"/>
    <w:rsid w:val="00886392"/>
    <w:rsid w:val="00887AAE"/>
    <w:rsid w:val="0089279A"/>
    <w:rsid w:val="00892CFE"/>
    <w:rsid w:val="00893447"/>
    <w:rsid w:val="00896ADA"/>
    <w:rsid w:val="00896F9D"/>
    <w:rsid w:val="008971B5"/>
    <w:rsid w:val="008979BC"/>
    <w:rsid w:val="008A1E74"/>
    <w:rsid w:val="008A2442"/>
    <w:rsid w:val="008A4068"/>
    <w:rsid w:val="008A48A6"/>
    <w:rsid w:val="008A6345"/>
    <w:rsid w:val="008A6511"/>
    <w:rsid w:val="008B0184"/>
    <w:rsid w:val="008B0788"/>
    <w:rsid w:val="008B0D20"/>
    <w:rsid w:val="008B14FE"/>
    <w:rsid w:val="008B5F24"/>
    <w:rsid w:val="008B5FF9"/>
    <w:rsid w:val="008C0C37"/>
    <w:rsid w:val="008C0EC0"/>
    <w:rsid w:val="008C1094"/>
    <w:rsid w:val="008C2D5A"/>
    <w:rsid w:val="008C3689"/>
    <w:rsid w:val="008C377C"/>
    <w:rsid w:val="008C3F7A"/>
    <w:rsid w:val="008C429F"/>
    <w:rsid w:val="008C5D02"/>
    <w:rsid w:val="008C6FA3"/>
    <w:rsid w:val="008D0852"/>
    <w:rsid w:val="008D2649"/>
    <w:rsid w:val="008D4468"/>
    <w:rsid w:val="008E09FF"/>
    <w:rsid w:val="008E6465"/>
    <w:rsid w:val="008E7561"/>
    <w:rsid w:val="008E7D7E"/>
    <w:rsid w:val="008F017E"/>
    <w:rsid w:val="008F34FA"/>
    <w:rsid w:val="008F6795"/>
    <w:rsid w:val="008F6B6A"/>
    <w:rsid w:val="008F6C74"/>
    <w:rsid w:val="00902248"/>
    <w:rsid w:val="00903B96"/>
    <w:rsid w:val="00903FA6"/>
    <w:rsid w:val="00904A9A"/>
    <w:rsid w:val="0090568D"/>
    <w:rsid w:val="0090614F"/>
    <w:rsid w:val="00906699"/>
    <w:rsid w:val="009125C9"/>
    <w:rsid w:val="00913879"/>
    <w:rsid w:val="00914C44"/>
    <w:rsid w:val="0091514C"/>
    <w:rsid w:val="00915F15"/>
    <w:rsid w:val="009160D2"/>
    <w:rsid w:val="00917661"/>
    <w:rsid w:val="00921B92"/>
    <w:rsid w:val="00924BF7"/>
    <w:rsid w:val="009264CD"/>
    <w:rsid w:val="009306FA"/>
    <w:rsid w:val="0093090E"/>
    <w:rsid w:val="009312C3"/>
    <w:rsid w:val="00931AA0"/>
    <w:rsid w:val="00933646"/>
    <w:rsid w:val="0093548E"/>
    <w:rsid w:val="00935BDE"/>
    <w:rsid w:val="00942AD6"/>
    <w:rsid w:val="00943984"/>
    <w:rsid w:val="009505E0"/>
    <w:rsid w:val="00956CEC"/>
    <w:rsid w:val="00957875"/>
    <w:rsid w:val="0096095A"/>
    <w:rsid w:val="00960E30"/>
    <w:rsid w:val="00961790"/>
    <w:rsid w:val="0096186A"/>
    <w:rsid w:val="009634C1"/>
    <w:rsid w:val="00965FAA"/>
    <w:rsid w:val="00970E5D"/>
    <w:rsid w:val="00971167"/>
    <w:rsid w:val="00976D8E"/>
    <w:rsid w:val="0097701C"/>
    <w:rsid w:val="00980A65"/>
    <w:rsid w:val="00990765"/>
    <w:rsid w:val="00992E7B"/>
    <w:rsid w:val="00992F9D"/>
    <w:rsid w:val="009951EE"/>
    <w:rsid w:val="009953F7"/>
    <w:rsid w:val="0099573F"/>
    <w:rsid w:val="0099757D"/>
    <w:rsid w:val="009A284C"/>
    <w:rsid w:val="009A29AB"/>
    <w:rsid w:val="009A5047"/>
    <w:rsid w:val="009B00CE"/>
    <w:rsid w:val="009B0F34"/>
    <w:rsid w:val="009B3AC4"/>
    <w:rsid w:val="009B4F40"/>
    <w:rsid w:val="009B54AA"/>
    <w:rsid w:val="009B5F56"/>
    <w:rsid w:val="009B7825"/>
    <w:rsid w:val="009C0531"/>
    <w:rsid w:val="009C081D"/>
    <w:rsid w:val="009C0904"/>
    <w:rsid w:val="009C2126"/>
    <w:rsid w:val="009C66B6"/>
    <w:rsid w:val="009C73A8"/>
    <w:rsid w:val="009D1AAB"/>
    <w:rsid w:val="009D3C2D"/>
    <w:rsid w:val="009D44D1"/>
    <w:rsid w:val="009E2414"/>
    <w:rsid w:val="009E3FF8"/>
    <w:rsid w:val="009E46AC"/>
    <w:rsid w:val="009E5E4A"/>
    <w:rsid w:val="009E783B"/>
    <w:rsid w:val="009F178D"/>
    <w:rsid w:val="009F2327"/>
    <w:rsid w:val="009F49AC"/>
    <w:rsid w:val="009F7CEC"/>
    <w:rsid w:val="00A01231"/>
    <w:rsid w:val="00A05772"/>
    <w:rsid w:val="00A05862"/>
    <w:rsid w:val="00A073EF"/>
    <w:rsid w:val="00A102F8"/>
    <w:rsid w:val="00A10B24"/>
    <w:rsid w:val="00A12313"/>
    <w:rsid w:val="00A165D8"/>
    <w:rsid w:val="00A17703"/>
    <w:rsid w:val="00A2140F"/>
    <w:rsid w:val="00A257CA"/>
    <w:rsid w:val="00A25E70"/>
    <w:rsid w:val="00A300D5"/>
    <w:rsid w:val="00A318FC"/>
    <w:rsid w:val="00A3295A"/>
    <w:rsid w:val="00A33765"/>
    <w:rsid w:val="00A35ED4"/>
    <w:rsid w:val="00A439D5"/>
    <w:rsid w:val="00A43DAE"/>
    <w:rsid w:val="00A46594"/>
    <w:rsid w:val="00A46636"/>
    <w:rsid w:val="00A50075"/>
    <w:rsid w:val="00A519E2"/>
    <w:rsid w:val="00A52781"/>
    <w:rsid w:val="00A60F45"/>
    <w:rsid w:val="00A631EC"/>
    <w:rsid w:val="00A63269"/>
    <w:rsid w:val="00A65B0E"/>
    <w:rsid w:val="00A67CAE"/>
    <w:rsid w:val="00A80712"/>
    <w:rsid w:val="00A80B05"/>
    <w:rsid w:val="00A80F10"/>
    <w:rsid w:val="00A830FF"/>
    <w:rsid w:val="00A83276"/>
    <w:rsid w:val="00A844A3"/>
    <w:rsid w:val="00A91837"/>
    <w:rsid w:val="00A92377"/>
    <w:rsid w:val="00A93C94"/>
    <w:rsid w:val="00A9750A"/>
    <w:rsid w:val="00AA10BB"/>
    <w:rsid w:val="00AA1640"/>
    <w:rsid w:val="00AA3696"/>
    <w:rsid w:val="00AA64DF"/>
    <w:rsid w:val="00AB0587"/>
    <w:rsid w:val="00AB29ED"/>
    <w:rsid w:val="00AB6B10"/>
    <w:rsid w:val="00AC174F"/>
    <w:rsid w:val="00AC2883"/>
    <w:rsid w:val="00AC4974"/>
    <w:rsid w:val="00AC5D08"/>
    <w:rsid w:val="00AD1EC6"/>
    <w:rsid w:val="00AD254A"/>
    <w:rsid w:val="00AD4DCA"/>
    <w:rsid w:val="00AD62E4"/>
    <w:rsid w:val="00AE1937"/>
    <w:rsid w:val="00AE250C"/>
    <w:rsid w:val="00AE411B"/>
    <w:rsid w:val="00AE4BD8"/>
    <w:rsid w:val="00AF05CF"/>
    <w:rsid w:val="00AF2D09"/>
    <w:rsid w:val="00AF4401"/>
    <w:rsid w:val="00AF4D38"/>
    <w:rsid w:val="00AF4DD8"/>
    <w:rsid w:val="00AF7932"/>
    <w:rsid w:val="00B000CE"/>
    <w:rsid w:val="00B03B89"/>
    <w:rsid w:val="00B0656F"/>
    <w:rsid w:val="00B07717"/>
    <w:rsid w:val="00B101CF"/>
    <w:rsid w:val="00B102A8"/>
    <w:rsid w:val="00B21201"/>
    <w:rsid w:val="00B2587A"/>
    <w:rsid w:val="00B267C4"/>
    <w:rsid w:val="00B26CA2"/>
    <w:rsid w:val="00B30662"/>
    <w:rsid w:val="00B30EB0"/>
    <w:rsid w:val="00B31E2C"/>
    <w:rsid w:val="00B3459D"/>
    <w:rsid w:val="00B34D6A"/>
    <w:rsid w:val="00B371BC"/>
    <w:rsid w:val="00B4092B"/>
    <w:rsid w:val="00B43425"/>
    <w:rsid w:val="00B4388F"/>
    <w:rsid w:val="00B449BA"/>
    <w:rsid w:val="00B44E25"/>
    <w:rsid w:val="00B464BD"/>
    <w:rsid w:val="00B4677B"/>
    <w:rsid w:val="00B51E2B"/>
    <w:rsid w:val="00B52A81"/>
    <w:rsid w:val="00B537A3"/>
    <w:rsid w:val="00B53CB2"/>
    <w:rsid w:val="00B54D77"/>
    <w:rsid w:val="00B553F3"/>
    <w:rsid w:val="00B567F4"/>
    <w:rsid w:val="00B5694B"/>
    <w:rsid w:val="00B57B17"/>
    <w:rsid w:val="00B57F74"/>
    <w:rsid w:val="00B60394"/>
    <w:rsid w:val="00B6049F"/>
    <w:rsid w:val="00B60A53"/>
    <w:rsid w:val="00B62892"/>
    <w:rsid w:val="00B63237"/>
    <w:rsid w:val="00B65C0E"/>
    <w:rsid w:val="00B65DA3"/>
    <w:rsid w:val="00B66F14"/>
    <w:rsid w:val="00B67884"/>
    <w:rsid w:val="00B737B6"/>
    <w:rsid w:val="00B739E2"/>
    <w:rsid w:val="00B74016"/>
    <w:rsid w:val="00B76B91"/>
    <w:rsid w:val="00B8104D"/>
    <w:rsid w:val="00B85BA7"/>
    <w:rsid w:val="00B9400B"/>
    <w:rsid w:val="00B941CF"/>
    <w:rsid w:val="00B9595B"/>
    <w:rsid w:val="00B97673"/>
    <w:rsid w:val="00B9778B"/>
    <w:rsid w:val="00BA2B7C"/>
    <w:rsid w:val="00BA334A"/>
    <w:rsid w:val="00BA6396"/>
    <w:rsid w:val="00BA64BC"/>
    <w:rsid w:val="00BA6B7C"/>
    <w:rsid w:val="00BB2DB8"/>
    <w:rsid w:val="00BB3327"/>
    <w:rsid w:val="00BB51BF"/>
    <w:rsid w:val="00BB674E"/>
    <w:rsid w:val="00BB72DC"/>
    <w:rsid w:val="00BC120B"/>
    <w:rsid w:val="00BC14C9"/>
    <w:rsid w:val="00BC1CAF"/>
    <w:rsid w:val="00BC2DD1"/>
    <w:rsid w:val="00BC42D7"/>
    <w:rsid w:val="00BC782E"/>
    <w:rsid w:val="00BD1A94"/>
    <w:rsid w:val="00BD2F90"/>
    <w:rsid w:val="00BE1F42"/>
    <w:rsid w:val="00BE1F69"/>
    <w:rsid w:val="00BE2902"/>
    <w:rsid w:val="00BE38C8"/>
    <w:rsid w:val="00BE4ACB"/>
    <w:rsid w:val="00BE6969"/>
    <w:rsid w:val="00BF12ED"/>
    <w:rsid w:val="00BF23B9"/>
    <w:rsid w:val="00BF2E2B"/>
    <w:rsid w:val="00BF40F9"/>
    <w:rsid w:val="00BF4422"/>
    <w:rsid w:val="00BF44C3"/>
    <w:rsid w:val="00BF50B2"/>
    <w:rsid w:val="00BF5DDD"/>
    <w:rsid w:val="00BF75A1"/>
    <w:rsid w:val="00C036B8"/>
    <w:rsid w:val="00C049B1"/>
    <w:rsid w:val="00C053FB"/>
    <w:rsid w:val="00C115C7"/>
    <w:rsid w:val="00C13B4A"/>
    <w:rsid w:val="00C16354"/>
    <w:rsid w:val="00C16719"/>
    <w:rsid w:val="00C16A61"/>
    <w:rsid w:val="00C20D0B"/>
    <w:rsid w:val="00C20E20"/>
    <w:rsid w:val="00C22F27"/>
    <w:rsid w:val="00C246E4"/>
    <w:rsid w:val="00C267D3"/>
    <w:rsid w:val="00C32E32"/>
    <w:rsid w:val="00C34635"/>
    <w:rsid w:val="00C34B4F"/>
    <w:rsid w:val="00C378EF"/>
    <w:rsid w:val="00C42188"/>
    <w:rsid w:val="00C43373"/>
    <w:rsid w:val="00C43C37"/>
    <w:rsid w:val="00C44520"/>
    <w:rsid w:val="00C45F93"/>
    <w:rsid w:val="00C47158"/>
    <w:rsid w:val="00C47201"/>
    <w:rsid w:val="00C47F3B"/>
    <w:rsid w:val="00C50C44"/>
    <w:rsid w:val="00C51152"/>
    <w:rsid w:val="00C51480"/>
    <w:rsid w:val="00C52035"/>
    <w:rsid w:val="00C5277D"/>
    <w:rsid w:val="00C534CB"/>
    <w:rsid w:val="00C57FE8"/>
    <w:rsid w:val="00C603AA"/>
    <w:rsid w:val="00C639B3"/>
    <w:rsid w:val="00C64C44"/>
    <w:rsid w:val="00C64D03"/>
    <w:rsid w:val="00C65601"/>
    <w:rsid w:val="00C66866"/>
    <w:rsid w:val="00C67167"/>
    <w:rsid w:val="00C70444"/>
    <w:rsid w:val="00C71136"/>
    <w:rsid w:val="00C72366"/>
    <w:rsid w:val="00C72A3A"/>
    <w:rsid w:val="00C72C69"/>
    <w:rsid w:val="00C769F2"/>
    <w:rsid w:val="00C80337"/>
    <w:rsid w:val="00C81BAF"/>
    <w:rsid w:val="00C83897"/>
    <w:rsid w:val="00C843D8"/>
    <w:rsid w:val="00C85A4B"/>
    <w:rsid w:val="00C90905"/>
    <w:rsid w:val="00C90BCD"/>
    <w:rsid w:val="00C9134C"/>
    <w:rsid w:val="00C9532C"/>
    <w:rsid w:val="00C960DC"/>
    <w:rsid w:val="00C967B8"/>
    <w:rsid w:val="00C96C34"/>
    <w:rsid w:val="00C97034"/>
    <w:rsid w:val="00C977ED"/>
    <w:rsid w:val="00CA2FEB"/>
    <w:rsid w:val="00CA5081"/>
    <w:rsid w:val="00CB07F3"/>
    <w:rsid w:val="00CB2DAB"/>
    <w:rsid w:val="00CB301A"/>
    <w:rsid w:val="00CB303B"/>
    <w:rsid w:val="00CB374C"/>
    <w:rsid w:val="00CB50E4"/>
    <w:rsid w:val="00CB74FA"/>
    <w:rsid w:val="00CB770C"/>
    <w:rsid w:val="00CC0DBE"/>
    <w:rsid w:val="00CC216E"/>
    <w:rsid w:val="00CC3677"/>
    <w:rsid w:val="00CC3FD7"/>
    <w:rsid w:val="00CC4948"/>
    <w:rsid w:val="00CC51B5"/>
    <w:rsid w:val="00CC6D93"/>
    <w:rsid w:val="00CC718E"/>
    <w:rsid w:val="00CC7596"/>
    <w:rsid w:val="00CC79CE"/>
    <w:rsid w:val="00CD0264"/>
    <w:rsid w:val="00CD0CA1"/>
    <w:rsid w:val="00CD1F6C"/>
    <w:rsid w:val="00CD2A59"/>
    <w:rsid w:val="00CD3373"/>
    <w:rsid w:val="00CD4478"/>
    <w:rsid w:val="00CD4912"/>
    <w:rsid w:val="00CE01D5"/>
    <w:rsid w:val="00CE0B7A"/>
    <w:rsid w:val="00CE1D07"/>
    <w:rsid w:val="00CE1E98"/>
    <w:rsid w:val="00CE4C62"/>
    <w:rsid w:val="00CE528F"/>
    <w:rsid w:val="00CE5401"/>
    <w:rsid w:val="00CE5602"/>
    <w:rsid w:val="00CE65A7"/>
    <w:rsid w:val="00CE7357"/>
    <w:rsid w:val="00CF1546"/>
    <w:rsid w:val="00CF2DC0"/>
    <w:rsid w:val="00CF344A"/>
    <w:rsid w:val="00CF58E6"/>
    <w:rsid w:val="00D026A7"/>
    <w:rsid w:val="00D02C75"/>
    <w:rsid w:val="00D02EAC"/>
    <w:rsid w:val="00D03062"/>
    <w:rsid w:val="00D0379D"/>
    <w:rsid w:val="00D06C8A"/>
    <w:rsid w:val="00D10E22"/>
    <w:rsid w:val="00D13D2C"/>
    <w:rsid w:val="00D2073C"/>
    <w:rsid w:val="00D22FB9"/>
    <w:rsid w:val="00D2472D"/>
    <w:rsid w:val="00D24F79"/>
    <w:rsid w:val="00D26090"/>
    <w:rsid w:val="00D32055"/>
    <w:rsid w:val="00D322FA"/>
    <w:rsid w:val="00D32B9C"/>
    <w:rsid w:val="00D32BB0"/>
    <w:rsid w:val="00D33FAD"/>
    <w:rsid w:val="00D342F3"/>
    <w:rsid w:val="00D359B4"/>
    <w:rsid w:val="00D41605"/>
    <w:rsid w:val="00D41ADF"/>
    <w:rsid w:val="00D425D4"/>
    <w:rsid w:val="00D44BD1"/>
    <w:rsid w:val="00D45096"/>
    <w:rsid w:val="00D462AE"/>
    <w:rsid w:val="00D52FED"/>
    <w:rsid w:val="00D5380D"/>
    <w:rsid w:val="00D5418A"/>
    <w:rsid w:val="00D55D7D"/>
    <w:rsid w:val="00D56B05"/>
    <w:rsid w:val="00D63791"/>
    <w:rsid w:val="00D63896"/>
    <w:rsid w:val="00D63EE4"/>
    <w:rsid w:val="00D64F36"/>
    <w:rsid w:val="00D65AD3"/>
    <w:rsid w:val="00D664C8"/>
    <w:rsid w:val="00D720D9"/>
    <w:rsid w:val="00D74B65"/>
    <w:rsid w:val="00D77834"/>
    <w:rsid w:val="00D8082E"/>
    <w:rsid w:val="00D84958"/>
    <w:rsid w:val="00D85B10"/>
    <w:rsid w:val="00D85D11"/>
    <w:rsid w:val="00D8601F"/>
    <w:rsid w:val="00D86643"/>
    <w:rsid w:val="00D93165"/>
    <w:rsid w:val="00D9348E"/>
    <w:rsid w:val="00D94D78"/>
    <w:rsid w:val="00D9667C"/>
    <w:rsid w:val="00D96E6B"/>
    <w:rsid w:val="00D97A46"/>
    <w:rsid w:val="00DA5E8B"/>
    <w:rsid w:val="00DA701B"/>
    <w:rsid w:val="00DA77C7"/>
    <w:rsid w:val="00DB2608"/>
    <w:rsid w:val="00DB3617"/>
    <w:rsid w:val="00DB4ED9"/>
    <w:rsid w:val="00DB6030"/>
    <w:rsid w:val="00DB73BC"/>
    <w:rsid w:val="00DC0105"/>
    <w:rsid w:val="00DC1663"/>
    <w:rsid w:val="00DC199C"/>
    <w:rsid w:val="00DC1D2F"/>
    <w:rsid w:val="00DC297E"/>
    <w:rsid w:val="00DC2F94"/>
    <w:rsid w:val="00DC57EF"/>
    <w:rsid w:val="00DC5B7F"/>
    <w:rsid w:val="00DC5E5B"/>
    <w:rsid w:val="00DC6EAC"/>
    <w:rsid w:val="00DD1135"/>
    <w:rsid w:val="00DD2EC1"/>
    <w:rsid w:val="00DD3981"/>
    <w:rsid w:val="00DD3D9E"/>
    <w:rsid w:val="00DD63EA"/>
    <w:rsid w:val="00DD7908"/>
    <w:rsid w:val="00DD7928"/>
    <w:rsid w:val="00DE09C0"/>
    <w:rsid w:val="00DE3232"/>
    <w:rsid w:val="00DE39F7"/>
    <w:rsid w:val="00DE3A20"/>
    <w:rsid w:val="00DF3000"/>
    <w:rsid w:val="00DF3157"/>
    <w:rsid w:val="00DF3447"/>
    <w:rsid w:val="00DF5572"/>
    <w:rsid w:val="00DF5749"/>
    <w:rsid w:val="00E00675"/>
    <w:rsid w:val="00E016BB"/>
    <w:rsid w:val="00E022D3"/>
    <w:rsid w:val="00E04F50"/>
    <w:rsid w:val="00E05F04"/>
    <w:rsid w:val="00E13497"/>
    <w:rsid w:val="00E13668"/>
    <w:rsid w:val="00E153F6"/>
    <w:rsid w:val="00E154ED"/>
    <w:rsid w:val="00E163B2"/>
    <w:rsid w:val="00E24D7F"/>
    <w:rsid w:val="00E25275"/>
    <w:rsid w:val="00E26A54"/>
    <w:rsid w:val="00E27C04"/>
    <w:rsid w:val="00E3035B"/>
    <w:rsid w:val="00E31CD9"/>
    <w:rsid w:val="00E34B43"/>
    <w:rsid w:val="00E34C4E"/>
    <w:rsid w:val="00E352C8"/>
    <w:rsid w:val="00E40177"/>
    <w:rsid w:val="00E43D53"/>
    <w:rsid w:val="00E43D82"/>
    <w:rsid w:val="00E45CEB"/>
    <w:rsid w:val="00E4670A"/>
    <w:rsid w:val="00E469B7"/>
    <w:rsid w:val="00E50228"/>
    <w:rsid w:val="00E50A8F"/>
    <w:rsid w:val="00E52B23"/>
    <w:rsid w:val="00E54DC1"/>
    <w:rsid w:val="00E60BE0"/>
    <w:rsid w:val="00E6127B"/>
    <w:rsid w:val="00E63CF3"/>
    <w:rsid w:val="00E649AA"/>
    <w:rsid w:val="00E6629C"/>
    <w:rsid w:val="00E70129"/>
    <w:rsid w:val="00E70444"/>
    <w:rsid w:val="00E72A78"/>
    <w:rsid w:val="00E80D97"/>
    <w:rsid w:val="00E80EDC"/>
    <w:rsid w:val="00E813FB"/>
    <w:rsid w:val="00E81624"/>
    <w:rsid w:val="00E819B7"/>
    <w:rsid w:val="00E82297"/>
    <w:rsid w:val="00E83E97"/>
    <w:rsid w:val="00E85B68"/>
    <w:rsid w:val="00E9023E"/>
    <w:rsid w:val="00E921DA"/>
    <w:rsid w:val="00E92C02"/>
    <w:rsid w:val="00E92F5F"/>
    <w:rsid w:val="00E94426"/>
    <w:rsid w:val="00E94A23"/>
    <w:rsid w:val="00E94A9B"/>
    <w:rsid w:val="00E972D2"/>
    <w:rsid w:val="00EA0D93"/>
    <w:rsid w:val="00EA20A4"/>
    <w:rsid w:val="00EA3E1C"/>
    <w:rsid w:val="00EA41DC"/>
    <w:rsid w:val="00EA652C"/>
    <w:rsid w:val="00EA6666"/>
    <w:rsid w:val="00EA701C"/>
    <w:rsid w:val="00EB036D"/>
    <w:rsid w:val="00EB2406"/>
    <w:rsid w:val="00EB394E"/>
    <w:rsid w:val="00EB3B26"/>
    <w:rsid w:val="00EB3D09"/>
    <w:rsid w:val="00EB3F2D"/>
    <w:rsid w:val="00EB454B"/>
    <w:rsid w:val="00EB4560"/>
    <w:rsid w:val="00EB4728"/>
    <w:rsid w:val="00EB542E"/>
    <w:rsid w:val="00EB5671"/>
    <w:rsid w:val="00EB6F99"/>
    <w:rsid w:val="00EB79FF"/>
    <w:rsid w:val="00EB7A6D"/>
    <w:rsid w:val="00EC3367"/>
    <w:rsid w:val="00EC3C97"/>
    <w:rsid w:val="00EC42C5"/>
    <w:rsid w:val="00EC64B5"/>
    <w:rsid w:val="00EC7656"/>
    <w:rsid w:val="00ED15A6"/>
    <w:rsid w:val="00ED5DF1"/>
    <w:rsid w:val="00ED6022"/>
    <w:rsid w:val="00EE136E"/>
    <w:rsid w:val="00EE2D8B"/>
    <w:rsid w:val="00EE4440"/>
    <w:rsid w:val="00EE44F7"/>
    <w:rsid w:val="00EE53FF"/>
    <w:rsid w:val="00EF0062"/>
    <w:rsid w:val="00EF0BD2"/>
    <w:rsid w:val="00EF1B00"/>
    <w:rsid w:val="00EF1EE9"/>
    <w:rsid w:val="00EF257C"/>
    <w:rsid w:val="00EF39FD"/>
    <w:rsid w:val="00EF3E2C"/>
    <w:rsid w:val="00EF3FF6"/>
    <w:rsid w:val="00EF4A74"/>
    <w:rsid w:val="00EF6254"/>
    <w:rsid w:val="00EF763A"/>
    <w:rsid w:val="00EF7F67"/>
    <w:rsid w:val="00F028B8"/>
    <w:rsid w:val="00F04468"/>
    <w:rsid w:val="00F06842"/>
    <w:rsid w:val="00F079E9"/>
    <w:rsid w:val="00F107FD"/>
    <w:rsid w:val="00F10BA2"/>
    <w:rsid w:val="00F11FFD"/>
    <w:rsid w:val="00F1395E"/>
    <w:rsid w:val="00F13C33"/>
    <w:rsid w:val="00F17A2B"/>
    <w:rsid w:val="00F24ABF"/>
    <w:rsid w:val="00F2655C"/>
    <w:rsid w:val="00F27149"/>
    <w:rsid w:val="00F30B7A"/>
    <w:rsid w:val="00F30FAA"/>
    <w:rsid w:val="00F32DC3"/>
    <w:rsid w:val="00F33967"/>
    <w:rsid w:val="00F378BF"/>
    <w:rsid w:val="00F4062D"/>
    <w:rsid w:val="00F40E95"/>
    <w:rsid w:val="00F4157E"/>
    <w:rsid w:val="00F42B29"/>
    <w:rsid w:val="00F43D09"/>
    <w:rsid w:val="00F440AF"/>
    <w:rsid w:val="00F4543C"/>
    <w:rsid w:val="00F50B2B"/>
    <w:rsid w:val="00F53B47"/>
    <w:rsid w:val="00F54B83"/>
    <w:rsid w:val="00F56EFC"/>
    <w:rsid w:val="00F60517"/>
    <w:rsid w:val="00F613F5"/>
    <w:rsid w:val="00F61455"/>
    <w:rsid w:val="00F61623"/>
    <w:rsid w:val="00F63480"/>
    <w:rsid w:val="00F6384C"/>
    <w:rsid w:val="00F63D90"/>
    <w:rsid w:val="00F63E8D"/>
    <w:rsid w:val="00F64A92"/>
    <w:rsid w:val="00F66B89"/>
    <w:rsid w:val="00F6717A"/>
    <w:rsid w:val="00F67426"/>
    <w:rsid w:val="00F71373"/>
    <w:rsid w:val="00F71CA6"/>
    <w:rsid w:val="00F7265B"/>
    <w:rsid w:val="00F7294A"/>
    <w:rsid w:val="00F73280"/>
    <w:rsid w:val="00F756D5"/>
    <w:rsid w:val="00F83A10"/>
    <w:rsid w:val="00F85586"/>
    <w:rsid w:val="00F86223"/>
    <w:rsid w:val="00F8740C"/>
    <w:rsid w:val="00F8748C"/>
    <w:rsid w:val="00F923AC"/>
    <w:rsid w:val="00F94219"/>
    <w:rsid w:val="00F9752A"/>
    <w:rsid w:val="00FA3575"/>
    <w:rsid w:val="00FA3D2F"/>
    <w:rsid w:val="00FA54AD"/>
    <w:rsid w:val="00FA5D21"/>
    <w:rsid w:val="00FA63F4"/>
    <w:rsid w:val="00FA726D"/>
    <w:rsid w:val="00FB34FA"/>
    <w:rsid w:val="00FB42E4"/>
    <w:rsid w:val="00FB64A8"/>
    <w:rsid w:val="00FB6A4D"/>
    <w:rsid w:val="00FC0AB2"/>
    <w:rsid w:val="00FC2028"/>
    <w:rsid w:val="00FC22F3"/>
    <w:rsid w:val="00FC27FA"/>
    <w:rsid w:val="00FC3371"/>
    <w:rsid w:val="00FC4A3C"/>
    <w:rsid w:val="00FC55C7"/>
    <w:rsid w:val="00FC7E5A"/>
    <w:rsid w:val="00FD01B1"/>
    <w:rsid w:val="00FD218E"/>
    <w:rsid w:val="00FD730A"/>
    <w:rsid w:val="00FE0EDF"/>
    <w:rsid w:val="00FE1D0A"/>
    <w:rsid w:val="00FE2A13"/>
    <w:rsid w:val="00FE3A23"/>
    <w:rsid w:val="00FE4BB5"/>
    <w:rsid w:val="00FE4ECC"/>
    <w:rsid w:val="00FE53D1"/>
    <w:rsid w:val="00FE699D"/>
    <w:rsid w:val="00FE7032"/>
    <w:rsid w:val="00FE7D35"/>
    <w:rsid w:val="00FF077A"/>
    <w:rsid w:val="00FF1125"/>
    <w:rsid w:val="00FF1597"/>
    <w:rsid w:val="00FF384C"/>
    <w:rsid w:val="00FF3A0E"/>
    <w:rsid w:val="00FF3DC5"/>
    <w:rsid w:val="00FF4BD2"/>
    <w:rsid w:val="00FF6D34"/>
    <w:rsid w:val="00FF7A73"/>
    <w:rsid w:val="01E03EFA"/>
    <w:rsid w:val="04ADF198"/>
    <w:rsid w:val="0696E404"/>
    <w:rsid w:val="16948372"/>
    <w:rsid w:val="16CECAF3"/>
    <w:rsid w:val="1DC87613"/>
    <w:rsid w:val="20847243"/>
    <w:rsid w:val="20FB3FCD"/>
    <w:rsid w:val="21C9F47F"/>
    <w:rsid w:val="23322968"/>
    <w:rsid w:val="2671040C"/>
    <w:rsid w:val="2783B8E0"/>
    <w:rsid w:val="298AE036"/>
    <w:rsid w:val="29DD475F"/>
    <w:rsid w:val="2F6E5FDC"/>
    <w:rsid w:val="2F7162CC"/>
    <w:rsid w:val="30A50855"/>
    <w:rsid w:val="3559F61A"/>
    <w:rsid w:val="37FAC366"/>
    <w:rsid w:val="3A553BFD"/>
    <w:rsid w:val="3D58F586"/>
    <w:rsid w:val="3DC8A814"/>
    <w:rsid w:val="40131EB1"/>
    <w:rsid w:val="40D896F2"/>
    <w:rsid w:val="49979D88"/>
    <w:rsid w:val="49D5023D"/>
    <w:rsid w:val="4BF47752"/>
    <w:rsid w:val="4C053C5B"/>
    <w:rsid w:val="4C25F9A6"/>
    <w:rsid w:val="4CBB8C62"/>
    <w:rsid w:val="4D32E4F6"/>
    <w:rsid w:val="4DC1CA07"/>
    <w:rsid w:val="53C9281E"/>
    <w:rsid w:val="58534195"/>
    <w:rsid w:val="58764C6E"/>
    <w:rsid w:val="58A850CD"/>
    <w:rsid w:val="5AAABF57"/>
    <w:rsid w:val="5C468FB8"/>
    <w:rsid w:val="61B2AB06"/>
    <w:rsid w:val="63FE50A7"/>
    <w:rsid w:val="6555FDEB"/>
    <w:rsid w:val="6990C8CE"/>
    <w:rsid w:val="6CB7D456"/>
    <w:rsid w:val="6F1E5265"/>
    <w:rsid w:val="70391233"/>
    <w:rsid w:val="73D04413"/>
    <w:rsid w:val="75AFB4D9"/>
    <w:rsid w:val="76DE305E"/>
    <w:rsid w:val="780DD430"/>
    <w:rsid w:val="7AD9A1F4"/>
    <w:rsid w:val="7B996F8B"/>
    <w:rsid w:val="7D4AED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7D3B38D8-A22A-4BFD-91B8-007E0D36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AC5D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pPr>
    <w:rPr>
      <w:noProof/>
      <w:lang w:val="en-GB"/>
    </w:rPr>
  </w:style>
  <w:style w:type="paragraph" w:customStyle="1" w:styleId="Els-equation">
    <w:name w:val="Els-equation"/>
    <w:basedOn w:val="Els-body-text"/>
    <w:next w:val="Els-body-text"/>
    <w:rsid w:val="008B0184"/>
    <w:pPr>
      <w:tabs>
        <w:tab w:val="right" w:pos="7088"/>
      </w:tabs>
      <w:spacing w:before="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8B0788"/>
    <w:rPr>
      <w:color w:val="666666"/>
    </w:rPr>
  </w:style>
  <w:style w:type="character" w:customStyle="1" w:styleId="Heading1Char">
    <w:name w:val="Heading 1 Char"/>
    <w:basedOn w:val="DefaultParagraphFont"/>
    <w:link w:val="Heading1"/>
    <w:rsid w:val="00AC5D08"/>
    <w:rPr>
      <w:rFonts w:asciiTheme="majorHAnsi" w:eastAsiaTheme="majorEastAsia" w:hAnsiTheme="majorHAnsi" w:cstheme="majorBidi"/>
      <w:color w:val="365F91" w:themeColor="accent1" w:themeShade="BF"/>
      <w:sz w:val="32"/>
      <w:szCs w:val="32"/>
      <w:lang w:eastAsia="en-US"/>
    </w:rPr>
  </w:style>
  <w:style w:type="table" w:styleId="TableGrid">
    <w:name w:val="Table Grid"/>
    <w:basedOn w:val="TableNormal"/>
    <w:rsid w:val="00352F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1297"/>
    <w:pPr>
      <w:spacing w:before="100" w:beforeAutospacing="1" w:after="100" w:afterAutospacing="1"/>
      <w:jc w:val="left"/>
    </w:pPr>
    <w:rPr>
      <w:sz w:val="24"/>
      <w:szCs w:val="24"/>
      <w:lang w:val="da-DK" w:eastAsia="da-DK"/>
    </w:rPr>
  </w:style>
  <w:style w:type="paragraph" w:styleId="Revision">
    <w:name w:val="Revision"/>
    <w:hidden/>
    <w:uiPriority w:val="99"/>
    <w:semiHidden/>
    <w:rsid w:val="006D510F"/>
    <w:pPr>
      <w:spacing w:after="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05569">
      <w:bodyDiv w:val="1"/>
      <w:marLeft w:val="0"/>
      <w:marRight w:val="0"/>
      <w:marTop w:val="0"/>
      <w:marBottom w:val="0"/>
      <w:divBdr>
        <w:top w:val="none" w:sz="0" w:space="0" w:color="auto"/>
        <w:left w:val="none" w:sz="0" w:space="0" w:color="auto"/>
        <w:bottom w:val="none" w:sz="0" w:space="0" w:color="auto"/>
        <w:right w:val="none" w:sz="0" w:space="0" w:color="auto"/>
      </w:divBdr>
      <w:divsChild>
        <w:div w:id="53446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0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7283">
      <w:bodyDiv w:val="1"/>
      <w:marLeft w:val="0"/>
      <w:marRight w:val="0"/>
      <w:marTop w:val="0"/>
      <w:marBottom w:val="0"/>
      <w:divBdr>
        <w:top w:val="none" w:sz="0" w:space="0" w:color="auto"/>
        <w:left w:val="none" w:sz="0" w:space="0" w:color="auto"/>
        <w:bottom w:val="none" w:sz="0" w:space="0" w:color="auto"/>
        <w:right w:val="none" w:sz="0" w:space="0" w:color="auto"/>
      </w:divBdr>
      <w:divsChild>
        <w:div w:id="1060599051">
          <w:marLeft w:val="480"/>
          <w:marRight w:val="0"/>
          <w:marTop w:val="0"/>
          <w:marBottom w:val="0"/>
          <w:divBdr>
            <w:top w:val="none" w:sz="0" w:space="0" w:color="auto"/>
            <w:left w:val="none" w:sz="0" w:space="0" w:color="auto"/>
            <w:bottom w:val="none" w:sz="0" w:space="0" w:color="auto"/>
            <w:right w:val="none" w:sz="0" w:space="0" w:color="auto"/>
          </w:divBdr>
        </w:div>
        <w:div w:id="1495995234">
          <w:marLeft w:val="480"/>
          <w:marRight w:val="0"/>
          <w:marTop w:val="0"/>
          <w:marBottom w:val="0"/>
          <w:divBdr>
            <w:top w:val="none" w:sz="0" w:space="0" w:color="auto"/>
            <w:left w:val="none" w:sz="0" w:space="0" w:color="auto"/>
            <w:bottom w:val="none" w:sz="0" w:space="0" w:color="auto"/>
            <w:right w:val="none" w:sz="0" w:space="0" w:color="auto"/>
          </w:divBdr>
        </w:div>
      </w:divsChild>
    </w:div>
    <w:div w:id="1321274887">
      <w:bodyDiv w:val="1"/>
      <w:marLeft w:val="0"/>
      <w:marRight w:val="0"/>
      <w:marTop w:val="0"/>
      <w:marBottom w:val="0"/>
      <w:divBdr>
        <w:top w:val="none" w:sz="0" w:space="0" w:color="auto"/>
        <w:left w:val="none" w:sz="0" w:space="0" w:color="auto"/>
        <w:bottom w:val="none" w:sz="0" w:space="0" w:color="auto"/>
        <w:right w:val="none" w:sz="0" w:space="0" w:color="auto"/>
      </w:divBdr>
      <w:divsChild>
        <w:div w:id="32771585">
          <w:marLeft w:val="480"/>
          <w:marRight w:val="0"/>
          <w:marTop w:val="0"/>
          <w:marBottom w:val="0"/>
          <w:divBdr>
            <w:top w:val="none" w:sz="0" w:space="0" w:color="auto"/>
            <w:left w:val="none" w:sz="0" w:space="0" w:color="auto"/>
            <w:bottom w:val="none" w:sz="0" w:space="0" w:color="auto"/>
            <w:right w:val="none" w:sz="0" w:space="0" w:color="auto"/>
          </w:divBdr>
        </w:div>
      </w:divsChild>
    </w:div>
    <w:div w:id="19200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134E48-4AF6-45FB-84C8-CFB05994677D}">
  <we:reference id="f78a3046-9e99-4300-aa2b-5814002b01a2" version="1.55.1.0" store="EXCatalog" storeType="EXCatalog"/>
  <we:alternateReferences>
    <we:reference id="WA104382081" version="1.55.1.0" store="da-DK"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4B7C-AB4E-4880-A044-9CE6A4E6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893</TotalTime>
  <Pages>6</Pages>
  <Words>2444</Words>
  <Characters>14903</Characters>
  <Application>Microsoft Office Word</Application>
  <DocSecurity>0</DocSecurity>
  <Lines>360</Lines>
  <Paragraphs>142</Paragraphs>
  <ScaleCrop>false</ScaleCrop>
  <Company>Elsevier Science</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Tuse Asrav</cp:lastModifiedBy>
  <cp:revision>280</cp:revision>
  <cp:lastPrinted>2004-12-17T09:20:00Z</cp:lastPrinted>
  <dcterms:created xsi:type="dcterms:W3CDTF">2023-11-30T21:12:00Z</dcterms:created>
  <dcterms:modified xsi:type="dcterms:W3CDTF">2023-12-20T14:22:00Z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