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CD8" w14:textId="77777777" w:rsidR="00DA1FE2" w:rsidRPr="00DA1FE2" w:rsidRDefault="00DA1FE2" w:rsidP="00DA1FE2">
      <w:pPr>
        <w:pStyle w:val="Els-Author"/>
        <w:rPr>
          <w:b/>
          <w:noProof w:val="0"/>
          <w:color w:val="000000" w:themeColor="text1"/>
          <w:sz w:val="32"/>
          <w:lang w:val="en-US"/>
        </w:rPr>
      </w:pPr>
    </w:p>
    <w:p w14:paraId="4A6E474D" w14:textId="77777777" w:rsidR="00DC1EDD" w:rsidRDefault="00DC1EDD" w:rsidP="00DC1EDD">
      <w:pPr>
        <w:pStyle w:val="Els-Author"/>
        <w:rPr>
          <w:b/>
          <w:noProof w:val="0"/>
          <w:color w:val="000000" w:themeColor="text1"/>
          <w:sz w:val="32"/>
          <w:lang w:val="en-US"/>
        </w:rPr>
      </w:pPr>
      <w:r>
        <w:rPr>
          <w:b/>
          <w:noProof w:val="0"/>
          <w:color w:val="000000" w:themeColor="text1"/>
          <w:sz w:val="32"/>
          <w:lang w:val="en-US"/>
        </w:rPr>
        <w:t>Development of</w:t>
      </w:r>
      <w:r w:rsidRPr="00DC1EDD">
        <w:rPr>
          <w:b/>
          <w:noProof w:val="0"/>
          <w:color w:val="000000" w:themeColor="text1"/>
          <w:sz w:val="32"/>
          <w:lang w:val="en-US"/>
        </w:rPr>
        <w:t xml:space="preserve"> Electricity Generation System by </w:t>
      </w:r>
      <w:r>
        <w:rPr>
          <w:b/>
          <w:noProof w:val="0"/>
          <w:color w:val="000000" w:themeColor="text1"/>
          <w:sz w:val="32"/>
          <w:lang w:val="en-US"/>
        </w:rPr>
        <w:t xml:space="preserve">Combining </w:t>
      </w:r>
      <w:r w:rsidRPr="00DC1EDD">
        <w:rPr>
          <w:b/>
          <w:noProof w:val="0"/>
          <w:color w:val="000000" w:themeColor="text1"/>
          <w:sz w:val="32"/>
          <w:lang w:val="en-US"/>
        </w:rPr>
        <w:t>Plastic Steam Gasification with Solid Oxide Fuel Cells</w:t>
      </w:r>
    </w:p>
    <w:p w14:paraId="144DE680" w14:textId="53F072BB" w:rsidR="00DD3D9E" w:rsidRPr="00A26321" w:rsidRDefault="0034304D" w:rsidP="00DC1EDD">
      <w:pPr>
        <w:pStyle w:val="Els-Author"/>
      </w:pPr>
      <w:r w:rsidRPr="00A26321">
        <w:t>Khaled Abouemara, Muhammad Shahbaz, Samir Boulfrad, Gordon McKay, Tareq Al-Ansari*</w:t>
      </w:r>
    </w:p>
    <w:p w14:paraId="144DE682" w14:textId="539FD04B" w:rsidR="00DD3D9E" w:rsidRPr="00A26321" w:rsidRDefault="0034304D" w:rsidP="0034304D">
      <w:pPr>
        <w:pStyle w:val="Els-Affiliation"/>
      </w:pPr>
      <w:r w:rsidRPr="00A26321">
        <w:t xml:space="preserve">College of Science and Engineering, Hamad Bin Khalifa University, Qatar Foundation, Doha, Qatar </w:t>
      </w:r>
    </w:p>
    <w:p w14:paraId="144DE683" w14:textId="3F7E5F38" w:rsidR="008D2649" w:rsidRPr="00A26321" w:rsidRDefault="007D70A1" w:rsidP="0034304D">
      <w:pPr>
        <w:pStyle w:val="Els-Affiliation"/>
        <w:spacing w:after="120"/>
      </w:pPr>
      <w:r w:rsidRPr="00A26321">
        <w:t>E</w:t>
      </w:r>
      <w:r w:rsidR="008D2649" w:rsidRPr="00A26321">
        <w:t>mail</w:t>
      </w:r>
      <w:r w:rsidR="0034304D" w:rsidRPr="00A26321">
        <w:t xml:space="preserve">: </w:t>
      </w:r>
      <w:hyperlink r:id="rId8" w:history="1">
        <w:r w:rsidR="0034304D" w:rsidRPr="00A26321">
          <w:rPr>
            <w:rStyle w:val="Hyperlink"/>
          </w:rPr>
          <w:t>talansari@hbku.edu.qa</w:t>
        </w:r>
      </w:hyperlink>
      <w:r w:rsidR="0034304D" w:rsidRPr="00A26321">
        <w:t xml:space="preserve"> </w:t>
      </w:r>
    </w:p>
    <w:p w14:paraId="144DE684" w14:textId="21F0D2EB" w:rsidR="008D2649" w:rsidRPr="00A26321" w:rsidRDefault="008D2649" w:rsidP="008D2649">
      <w:pPr>
        <w:pStyle w:val="Els-Abstract"/>
      </w:pPr>
      <w:r w:rsidRPr="00A26321">
        <w:t>Abstract</w:t>
      </w:r>
      <w:r w:rsidR="006661C9" w:rsidRPr="00A26321">
        <w:t xml:space="preserve"> </w:t>
      </w:r>
    </w:p>
    <w:p w14:paraId="50B86F0A" w14:textId="371D25BC" w:rsidR="0034304D" w:rsidRPr="00A26321" w:rsidRDefault="0034304D" w:rsidP="00E64A12">
      <w:pPr>
        <w:pStyle w:val="Els-body-text"/>
        <w:spacing w:after="120"/>
        <w:rPr>
          <w:lang w:val="en-GB"/>
        </w:rPr>
      </w:pPr>
      <w:r w:rsidRPr="00A26321">
        <w:rPr>
          <w:lang w:val="en-GB"/>
        </w:rPr>
        <w:t>This study introduces a novel integration of steam gasification of plastic waste with solid oxide fuel cells (SOFCs) for sustainable electricity generation. Employing Aspen Plus® and Python, the research evaluates SOFC performance under different operational conditions. Key findings reveal that at a gasifier temperature of 1023 K, and with steam and C</w:t>
      </w:r>
      <w:r w:rsidR="00954CB5" w:rsidRPr="00A26321">
        <w:rPr>
          <w:lang w:val="en-GB"/>
        </w:rPr>
        <w:t>aO flow rates of 1.00 and 0.50 k</w:t>
      </w:r>
      <w:r w:rsidRPr="00A26321">
        <w:rPr>
          <w:lang w:val="en-GB"/>
        </w:rPr>
        <w:t xml:space="preserve">mol/hr respectively, the SOFC's power output consistently increases with temperature. </w:t>
      </w:r>
      <w:r w:rsidR="00E64A12" w:rsidRPr="00A26321">
        <w:rPr>
          <w:lang w:val="en-GB"/>
        </w:rPr>
        <w:t>T</w:t>
      </w:r>
      <w:r w:rsidR="00D74472" w:rsidRPr="00A26321">
        <w:rPr>
          <w:lang w:val="en-GB"/>
        </w:rPr>
        <w:t xml:space="preserve">he </w:t>
      </w:r>
      <w:r w:rsidR="00EE430A">
        <w:rPr>
          <w:lang w:val="en-GB"/>
        </w:rPr>
        <w:t>power output rises from 0.639 to 1.157</w:t>
      </w:r>
      <w:r w:rsidR="00B43BBE" w:rsidRPr="00A26321">
        <w:rPr>
          <w:lang w:val="en-GB"/>
        </w:rPr>
        <w:t xml:space="preserve"> w by raising the temperature </w:t>
      </w:r>
      <w:r w:rsidR="00BC6DAC" w:rsidRPr="00A26321">
        <w:rPr>
          <w:lang w:val="en-GB"/>
        </w:rPr>
        <w:t>from</w:t>
      </w:r>
      <w:r w:rsidR="00B43BBE" w:rsidRPr="00A26321">
        <w:rPr>
          <w:lang w:val="en-GB"/>
        </w:rPr>
        <w:t xml:space="preserve"> 1133 to  1293</w:t>
      </w:r>
      <w:r w:rsidR="00D74472" w:rsidRPr="00A26321">
        <w:rPr>
          <w:lang w:val="en-GB"/>
        </w:rPr>
        <w:t xml:space="preserve"> K, </w:t>
      </w:r>
      <w:r w:rsidR="00B43BBE" w:rsidRPr="00A26321">
        <w:rPr>
          <w:lang w:val="en-GB"/>
        </w:rPr>
        <w:t xml:space="preserve">while </w:t>
      </w:r>
      <w:r w:rsidR="00D74472" w:rsidRPr="00A26321">
        <w:rPr>
          <w:lang w:val="en-GB"/>
        </w:rPr>
        <w:t>the output</w:t>
      </w:r>
      <w:r w:rsidR="00B43BBE" w:rsidRPr="00A26321">
        <w:rPr>
          <w:lang w:val="en-GB"/>
        </w:rPr>
        <w:t xml:space="preserve"> voltage</w:t>
      </w:r>
      <w:r w:rsidR="00EE430A">
        <w:rPr>
          <w:lang w:val="en-GB"/>
        </w:rPr>
        <w:t xml:space="preserve"> dropping from 0.9141V to 0.793</w:t>
      </w:r>
      <w:r w:rsidR="00D74472" w:rsidRPr="00A26321">
        <w:rPr>
          <w:lang w:val="en-GB"/>
        </w:rPr>
        <w:t xml:space="preserve"> V in this temperature range. </w:t>
      </w:r>
      <w:r w:rsidR="00954CB5" w:rsidRPr="00A26321">
        <w:rPr>
          <w:lang w:val="en-GB"/>
        </w:rPr>
        <w:t xml:space="preserve">Similarly for the </w:t>
      </w:r>
      <w:r w:rsidR="00A34558" w:rsidRPr="00A26321">
        <w:rPr>
          <w:lang w:val="en-GB"/>
        </w:rPr>
        <w:t>syngas</w:t>
      </w:r>
      <w:r w:rsidR="00954CB5" w:rsidRPr="00A26321">
        <w:rPr>
          <w:lang w:val="en-GB"/>
        </w:rPr>
        <w:t xml:space="preserve"> composition for the steam flow </w:t>
      </w:r>
      <w:r w:rsidR="00A34558" w:rsidRPr="00A26321">
        <w:rPr>
          <w:lang w:val="en-GB"/>
        </w:rPr>
        <w:t>rate of 1.5kmol/hr,</w:t>
      </w:r>
      <w:r w:rsidR="00954CB5" w:rsidRPr="00A26321">
        <w:rPr>
          <w:lang w:val="en-GB"/>
        </w:rPr>
        <w:t xml:space="preserve"> the power </w:t>
      </w:r>
      <w:r w:rsidR="00BC6DAC" w:rsidRPr="00A26321">
        <w:rPr>
          <w:lang w:val="en-GB"/>
        </w:rPr>
        <w:t>output</w:t>
      </w:r>
      <w:r w:rsidR="00954CB5" w:rsidRPr="00A26321">
        <w:rPr>
          <w:lang w:val="en-GB"/>
        </w:rPr>
        <w:t xml:space="preserve"> o</w:t>
      </w:r>
      <w:r w:rsidR="00EE430A">
        <w:rPr>
          <w:lang w:val="en-GB"/>
        </w:rPr>
        <w:t>f system is increased from0.637 to 1.151</w:t>
      </w:r>
      <w:r w:rsidR="00954CB5" w:rsidRPr="00A26321">
        <w:rPr>
          <w:lang w:val="en-GB"/>
        </w:rPr>
        <w:t xml:space="preserve"> W and voltage decreased from 0.910 to 0</w:t>
      </w:r>
      <w:r w:rsidR="00EE430A">
        <w:rPr>
          <w:lang w:val="en-GB"/>
        </w:rPr>
        <w:t xml:space="preserve">.788 </w:t>
      </w:r>
      <w:r w:rsidR="00954CB5" w:rsidRPr="00A26321">
        <w:rPr>
          <w:lang w:val="en-GB"/>
        </w:rPr>
        <w:t>by raising the SOFC temperature from 1133 to 1293K. Similar profiling is also noticed for the case of</w:t>
      </w:r>
      <w:r w:rsidR="00A34558" w:rsidRPr="00A26321">
        <w:rPr>
          <w:lang w:val="en-GB"/>
        </w:rPr>
        <w:t xml:space="preserve"> CaO flow rate of 0.5 kmol/hr.</w:t>
      </w:r>
      <w:r w:rsidR="001F38EE" w:rsidRPr="00A26321">
        <w:rPr>
          <w:lang w:val="en-GB"/>
        </w:rPr>
        <w:t xml:space="preserve"> </w:t>
      </w:r>
      <w:r w:rsidR="00A34558" w:rsidRPr="00A26321">
        <w:rPr>
          <w:lang w:val="en-GB"/>
        </w:rPr>
        <w:t>The study shows</w:t>
      </w:r>
      <w:r w:rsidRPr="00A26321">
        <w:rPr>
          <w:lang w:val="en-GB"/>
        </w:rPr>
        <w:t xml:space="preserve"> the viability of using plastic waste as a renewable energy source, contributing to the global shift towards sustainable energy solutions</w:t>
      </w:r>
      <w:r w:rsidR="006661C9" w:rsidRPr="00A26321">
        <w:rPr>
          <w:lang w:val="en-GB"/>
        </w:rPr>
        <w:t>.</w:t>
      </w:r>
    </w:p>
    <w:p w14:paraId="5225EC62" w14:textId="4C685B03" w:rsidR="00D52226" w:rsidRPr="00A26321" w:rsidRDefault="008D2649" w:rsidP="00D52226">
      <w:pPr>
        <w:pStyle w:val="Els-body-text"/>
        <w:spacing w:after="120"/>
        <w:rPr>
          <w:lang w:val="en-GB"/>
        </w:rPr>
      </w:pPr>
      <w:r w:rsidRPr="00A26321">
        <w:rPr>
          <w:b/>
          <w:bCs/>
          <w:lang w:val="en-GB"/>
        </w:rPr>
        <w:t>Keywords</w:t>
      </w:r>
      <w:r w:rsidR="00983799" w:rsidRPr="00A26321">
        <w:rPr>
          <w:lang w:val="en-GB"/>
        </w:rPr>
        <w:t>: SOFC, H</w:t>
      </w:r>
      <w:r w:rsidR="00983799" w:rsidRPr="00A26321">
        <w:rPr>
          <w:vertAlign w:val="subscript"/>
          <w:lang w:val="en-GB"/>
        </w:rPr>
        <w:t>2</w:t>
      </w:r>
      <w:r w:rsidR="00FB40F7">
        <w:rPr>
          <w:lang w:val="en-GB"/>
        </w:rPr>
        <w:t>, Volt. Gasification, Power</w:t>
      </w:r>
    </w:p>
    <w:p w14:paraId="3D6014A1" w14:textId="77777777" w:rsidR="0034304D" w:rsidRPr="00A26321" w:rsidRDefault="0034304D" w:rsidP="0082399F">
      <w:pPr>
        <w:pStyle w:val="Els-1storder-head"/>
        <w:spacing w:before="0" w:after="0"/>
      </w:pPr>
      <w:r w:rsidRPr="00A26321">
        <w:t>Introduction</w:t>
      </w:r>
    </w:p>
    <w:p w14:paraId="1F2ABAFE" w14:textId="7E3F5BB9" w:rsidR="00182DE3" w:rsidRPr="00EA66D4" w:rsidRDefault="0034304D" w:rsidP="00765B18">
      <w:pPr>
        <w:pStyle w:val="Els-1storder-head"/>
        <w:numPr>
          <w:ilvl w:val="0"/>
          <w:numId w:val="0"/>
        </w:numPr>
        <w:spacing w:before="0" w:after="0"/>
        <w:rPr>
          <w:b w:val="0"/>
          <w:color w:val="FF0000"/>
          <w:sz w:val="20"/>
        </w:rPr>
      </w:pPr>
      <w:r w:rsidRPr="00A26321">
        <w:rPr>
          <w:b w:val="0"/>
          <w:sz w:val="20"/>
        </w:rPr>
        <w:t xml:space="preserve">The global surge in electricity demand, driven by digitalization and Industry 4.0, necessitates innovative energy solutions </w:t>
      </w:r>
      <w:r w:rsidR="0000252A" w:rsidRPr="00A26321">
        <w:rPr>
          <w:b w:val="0"/>
          <w:sz w:val="20"/>
          <w:lang w:val="en-GB"/>
        </w:rPr>
        <w:t xml:space="preserve">(Karapekmez &amp; Dincer, 2022, Shahbaz et al., 2023). </w:t>
      </w:r>
      <w:r w:rsidRPr="00A26321">
        <w:rPr>
          <w:b w:val="0"/>
          <w:sz w:val="20"/>
        </w:rPr>
        <w:t xml:space="preserve">With the projected energy demand set to increase by 40% by 2030, the focus has shifted towards sustainable, environmentally friendly alternatives to traditional fossil fuels, which are currently the primary global energy source </w:t>
      </w:r>
      <w:r w:rsidR="0000252A" w:rsidRPr="00A26321">
        <w:rPr>
          <w:b w:val="0"/>
          <w:sz w:val="20"/>
          <w:lang w:val="en-GB"/>
        </w:rPr>
        <w:t>(Karapekmez &amp; Dincer, 2022, Ali</w:t>
      </w:r>
      <w:r w:rsidR="0000252A" w:rsidRPr="00A26321">
        <w:rPr>
          <w:sz w:val="20"/>
          <w:lang w:val="en-GB"/>
        </w:rPr>
        <w:t xml:space="preserve"> </w:t>
      </w:r>
      <w:r w:rsidR="0000252A" w:rsidRPr="00A26321">
        <w:rPr>
          <w:b w:val="0"/>
          <w:sz w:val="20"/>
          <w:lang w:val="en-GB"/>
        </w:rPr>
        <w:t>et al., 2022)</w:t>
      </w:r>
      <w:r w:rsidRPr="00A26321">
        <w:rPr>
          <w:b w:val="0"/>
          <w:sz w:val="20"/>
        </w:rPr>
        <w:t xml:space="preserve">. The environmental impact of fossil fuel use, particularly the substantial greenhouse gas emissions, highlights the urgency for cleaner, more efficient energy processes </w:t>
      </w:r>
      <w:r w:rsidR="0000252A" w:rsidRPr="00A26321">
        <w:rPr>
          <w:b w:val="0"/>
          <w:sz w:val="20"/>
        </w:rPr>
        <w:t>(</w:t>
      </w:r>
      <w:r w:rsidR="0000252A" w:rsidRPr="00A26321">
        <w:rPr>
          <w:b w:val="0"/>
          <w:bCs/>
          <w:sz w:val="20"/>
        </w:rPr>
        <w:t>Inayat et al., 2021</w:t>
      </w:r>
      <w:r w:rsidR="0000252A" w:rsidRPr="00A26321">
        <w:rPr>
          <w:b w:val="0"/>
          <w:sz w:val="20"/>
        </w:rPr>
        <w:t>)</w:t>
      </w:r>
      <w:r w:rsidRPr="00A26321">
        <w:rPr>
          <w:b w:val="0"/>
          <w:sz w:val="20"/>
        </w:rPr>
        <w:t>.</w:t>
      </w:r>
      <w:r w:rsidR="0000252A" w:rsidRPr="00A26321">
        <w:rPr>
          <w:b w:val="0"/>
          <w:sz w:val="20"/>
        </w:rPr>
        <w:t xml:space="preserve"> </w:t>
      </w:r>
      <w:r w:rsidRPr="00A26321">
        <w:rPr>
          <w:b w:val="0"/>
          <w:sz w:val="20"/>
        </w:rPr>
        <w:t xml:space="preserve">The transition towards renewable energy, supported by initiatives like the European Union's "Green Deal," is accelerating </w:t>
      </w:r>
      <w:r w:rsidR="0000252A" w:rsidRPr="00A26321">
        <w:rPr>
          <w:b w:val="0"/>
          <w:sz w:val="20"/>
        </w:rPr>
        <w:t>(Li et al., 2021)</w:t>
      </w:r>
      <w:r w:rsidRPr="00A26321">
        <w:rPr>
          <w:b w:val="0"/>
          <w:sz w:val="20"/>
        </w:rPr>
        <w:t xml:space="preserve">. Plastic waste, a prevalent modern material, poses both environmental challenges and opportunities for energy conversion </w:t>
      </w:r>
      <w:r w:rsidR="0000252A" w:rsidRPr="00A26321">
        <w:rPr>
          <w:b w:val="0"/>
          <w:sz w:val="20"/>
        </w:rPr>
        <w:t>(</w:t>
      </w:r>
      <w:r w:rsidR="0000252A" w:rsidRPr="00A26321">
        <w:rPr>
          <w:b w:val="0"/>
          <w:sz w:val="20"/>
          <w:lang w:val="en-GB"/>
        </w:rPr>
        <w:t>Chen et al., 2016)</w:t>
      </w:r>
      <w:r w:rsidRPr="00A26321">
        <w:rPr>
          <w:b w:val="0"/>
          <w:sz w:val="20"/>
        </w:rPr>
        <w:t xml:space="preserve">. The gasification of plastic, transforming it into syngas, stands out for its energy recovery potential. This process, particularly steam gasification, generates a syngas mixture, serving as a promising feedstock for fuel cell technologies </w:t>
      </w:r>
      <w:r w:rsidR="0000252A" w:rsidRPr="00A26321">
        <w:rPr>
          <w:b w:val="0"/>
          <w:sz w:val="20"/>
        </w:rPr>
        <w:t>(</w:t>
      </w:r>
      <w:r w:rsidR="0000252A" w:rsidRPr="00A26321">
        <w:rPr>
          <w:b w:val="0"/>
          <w:sz w:val="20"/>
          <w:lang w:val="en-GB"/>
        </w:rPr>
        <w:t>Sharuddin et al.</w:t>
      </w:r>
      <w:r w:rsidRPr="00A26321">
        <w:rPr>
          <w:b w:val="0"/>
          <w:sz w:val="20"/>
        </w:rPr>
        <w:t xml:space="preserve">, </w:t>
      </w:r>
      <w:r w:rsidR="0000252A" w:rsidRPr="00A26321">
        <w:rPr>
          <w:b w:val="0"/>
          <w:sz w:val="20"/>
        </w:rPr>
        <w:t xml:space="preserve">2016, </w:t>
      </w:r>
      <w:r w:rsidR="0000252A" w:rsidRPr="00A26321">
        <w:rPr>
          <w:b w:val="0"/>
          <w:sz w:val="20"/>
          <w:lang w:val="en-GB"/>
        </w:rPr>
        <w:t>Asadullah</w:t>
      </w:r>
      <w:r w:rsidR="0000252A" w:rsidRPr="00A26321">
        <w:rPr>
          <w:sz w:val="20"/>
          <w:lang w:val="en-GB"/>
        </w:rPr>
        <w:t xml:space="preserve">, </w:t>
      </w:r>
      <w:r w:rsidR="0000252A" w:rsidRPr="00A26321">
        <w:rPr>
          <w:b w:val="0"/>
          <w:bCs/>
          <w:sz w:val="20"/>
          <w:lang w:val="en-GB"/>
        </w:rPr>
        <w:t>2014)</w:t>
      </w:r>
      <w:r w:rsidRPr="00A26321">
        <w:rPr>
          <w:b w:val="0"/>
          <w:sz w:val="20"/>
        </w:rPr>
        <w:t xml:space="preserve">. Fuel cells, especially </w:t>
      </w:r>
      <w:r w:rsidR="00A7585F" w:rsidRPr="00A26321">
        <w:rPr>
          <w:b w:val="0"/>
          <w:sz w:val="20"/>
        </w:rPr>
        <w:t>SOFCs</w:t>
      </w:r>
      <w:r w:rsidRPr="00A26321">
        <w:rPr>
          <w:b w:val="0"/>
          <w:sz w:val="20"/>
        </w:rPr>
        <w:t>, are emerging as key players in the renewable energy sector</w:t>
      </w:r>
      <w:r w:rsidR="00E64A12" w:rsidRPr="00A26321">
        <w:rPr>
          <w:b w:val="0"/>
          <w:sz w:val="20"/>
        </w:rPr>
        <w:t xml:space="preserve"> </w:t>
      </w:r>
      <w:r w:rsidRPr="00A26321">
        <w:rPr>
          <w:b w:val="0"/>
          <w:sz w:val="20"/>
        </w:rPr>
        <w:t xml:space="preserve">due to their high efficiency and low environmental impact </w:t>
      </w:r>
      <w:r w:rsidR="00D52226" w:rsidRPr="00A26321">
        <w:rPr>
          <w:b w:val="0"/>
          <w:sz w:val="20"/>
        </w:rPr>
        <w:t>(Kumar &amp; Singh, 2022)</w:t>
      </w:r>
      <w:r w:rsidRPr="00A26321">
        <w:rPr>
          <w:b w:val="0"/>
          <w:sz w:val="20"/>
        </w:rPr>
        <w:t xml:space="preserve">. The integration of biomass gasification with SOFCs presents a novel approach to electricity generation, combining the advantages of waste management and energy conversion. This study </w:t>
      </w:r>
      <w:r w:rsidRPr="00A26321">
        <w:rPr>
          <w:b w:val="0"/>
          <w:sz w:val="20"/>
        </w:rPr>
        <w:lastRenderedPageBreak/>
        <w:t>focuses on developing an integrated model using Aspen Plus® and Python to simulat</w:t>
      </w:r>
      <w:r w:rsidRPr="00FB40F7">
        <w:rPr>
          <w:b w:val="0"/>
          <w:sz w:val="20"/>
        </w:rPr>
        <w:t>e the gasification process and SOFC performance, respectively. Th</w:t>
      </w:r>
      <w:r w:rsidR="00182DE3" w:rsidRPr="00FB40F7">
        <w:rPr>
          <w:b w:val="0"/>
          <w:sz w:val="20"/>
        </w:rPr>
        <w:t>e</w:t>
      </w:r>
      <w:r w:rsidRPr="00FB40F7">
        <w:rPr>
          <w:b w:val="0"/>
          <w:sz w:val="20"/>
        </w:rPr>
        <w:t xml:space="preserve"> model encompasses a detailed analysis of the gasification </w:t>
      </w:r>
      <w:r w:rsidR="00182DE3" w:rsidRPr="00FB40F7">
        <w:rPr>
          <w:b w:val="0"/>
          <w:sz w:val="20"/>
        </w:rPr>
        <w:t>parameters</w:t>
      </w:r>
      <w:r w:rsidR="00BC6DAC" w:rsidRPr="00FB40F7">
        <w:rPr>
          <w:b w:val="0"/>
          <w:sz w:val="20"/>
        </w:rPr>
        <w:t xml:space="preserve"> </w:t>
      </w:r>
      <w:r w:rsidR="00182DE3" w:rsidRPr="00FB40F7">
        <w:rPr>
          <w:b w:val="0"/>
          <w:sz w:val="20"/>
        </w:rPr>
        <w:t xml:space="preserve">(temperature, steam flow low rate and CaO flow </w:t>
      </w:r>
      <w:r w:rsidR="00BC6DAC" w:rsidRPr="00FB40F7">
        <w:rPr>
          <w:b w:val="0"/>
          <w:sz w:val="20"/>
        </w:rPr>
        <w:t>rate</w:t>
      </w:r>
      <w:r w:rsidR="00182DE3" w:rsidRPr="00FB40F7">
        <w:rPr>
          <w:b w:val="0"/>
          <w:sz w:val="20"/>
        </w:rPr>
        <w:t xml:space="preserve"> on syngas </w:t>
      </w:r>
      <w:r w:rsidRPr="00FB40F7">
        <w:rPr>
          <w:b w:val="0"/>
          <w:sz w:val="20"/>
        </w:rPr>
        <w:t>and the dynamic behavior of SOFCs</w:t>
      </w:r>
      <w:r w:rsidR="00E64A12" w:rsidRPr="00FB40F7">
        <w:rPr>
          <w:b w:val="0"/>
          <w:sz w:val="20"/>
        </w:rPr>
        <w:t xml:space="preserve"> in terms of power output</w:t>
      </w:r>
      <w:r w:rsidRPr="00FB40F7">
        <w:rPr>
          <w:b w:val="0"/>
          <w:sz w:val="20"/>
        </w:rPr>
        <w:t>. Th</w:t>
      </w:r>
      <w:r w:rsidR="00182DE3" w:rsidRPr="00FB40F7">
        <w:rPr>
          <w:b w:val="0"/>
          <w:sz w:val="20"/>
        </w:rPr>
        <w:t xml:space="preserve">e objective of </w:t>
      </w:r>
      <w:r w:rsidR="00950EE1" w:rsidRPr="00FB40F7">
        <w:rPr>
          <w:b w:val="0"/>
          <w:sz w:val="20"/>
        </w:rPr>
        <w:t>the study</w:t>
      </w:r>
      <w:r w:rsidR="00182DE3" w:rsidRPr="00FB40F7">
        <w:rPr>
          <w:b w:val="0"/>
          <w:sz w:val="20"/>
        </w:rPr>
        <w:t xml:space="preserve"> is to investigat</w:t>
      </w:r>
      <w:r w:rsidR="00765B18">
        <w:rPr>
          <w:b w:val="0"/>
          <w:sz w:val="20"/>
        </w:rPr>
        <w:t>e the impact of temperature on p</w:t>
      </w:r>
      <w:r w:rsidR="00182DE3" w:rsidRPr="00FB40F7">
        <w:rPr>
          <w:b w:val="0"/>
          <w:sz w:val="20"/>
        </w:rPr>
        <w:t>ower  and voltage of SOFC based on the H</w:t>
      </w:r>
      <w:r w:rsidR="00182DE3" w:rsidRPr="00FB40F7">
        <w:rPr>
          <w:b w:val="0"/>
          <w:sz w:val="20"/>
          <w:vertAlign w:val="subscript"/>
        </w:rPr>
        <w:t>2</w:t>
      </w:r>
      <w:r w:rsidR="00182DE3" w:rsidRPr="00FB40F7">
        <w:rPr>
          <w:b w:val="0"/>
          <w:sz w:val="20"/>
        </w:rPr>
        <w:t xml:space="preserve"> flow rate obtained from gasification system  for each optimum parameter</w:t>
      </w:r>
      <w:r w:rsidR="00FB40F7" w:rsidRPr="00FB40F7">
        <w:rPr>
          <w:b w:val="0"/>
          <w:sz w:val="20"/>
        </w:rPr>
        <w:t>.</w:t>
      </w:r>
    </w:p>
    <w:p w14:paraId="144DE6A1" w14:textId="5763C408" w:rsidR="008D2649" w:rsidRPr="00A26321" w:rsidRDefault="001B4AE4" w:rsidP="0082399F">
      <w:pPr>
        <w:pStyle w:val="Els-1storder-head"/>
        <w:spacing w:before="0" w:after="0"/>
        <w:rPr>
          <w:lang w:val="en-GB"/>
        </w:rPr>
      </w:pPr>
      <w:r w:rsidRPr="00A26321">
        <w:rPr>
          <w:lang w:val="en-GB"/>
        </w:rPr>
        <w:t xml:space="preserve">Methodology </w:t>
      </w:r>
    </w:p>
    <w:p w14:paraId="3A80FF8E" w14:textId="11C61604" w:rsidR="001B4AE4" w:rsidRPr="00A26321" w:rsidRDefault="001B4AE4" w:rsidP="00983799">
      <w:pPr>
        <w:pStyle w:val="Els-body-text"/>
        <w:rPr>
          <w:lang w:val="en-GB"/>
        </w:rPr>
      </w:pPr>
      <w:r w:rsidRPr="00A26321">
        <w:rPr>
          <w:lang w:val="en-GB"/>
        </w:rPr>
        <w:t xml:space="preserve">The primary aim is to design a carbon-neutral power generation system by integrating a plastic gasification system with a </w:t>
      </w:r>
      <w:r w:rsidR="00983799" w:rsidRPr="00A26321">
        <w:rPr>
          <w:lang w:val="en-GB"/>
        </w:rPr>
        <w:t>SOFC</w:t>
      </w:r>
      <w:r w:rsidRPr="00A26321">
        <w:rPr>
          <w:lang w:val="en-GB"/>
        </w:rPr>
        <w:t xml:space="preserve">. This involves using </w:t>
      </w:r>
      <w:r w:rsidR="00983799" w:rsidRPr="00A26321">
        <w:rPr>
          <w:lang w:val="en-GB"/>
        </w:rPr>
        <w:t>H</w:t>
      </w:r>
      <w:r w:rsidR="00983799" w:rsidRPr="00A26321">
        <w:rPr>
          <w:vertAlign w:val="subscript"/>
          <w:lang w:val="en-GB"/>
        </w:rPr>
        <w:t>2</w:t>
      </w:r>
      <w:r w:rsidRPr="00A26321">
        <w:rPr>
          <w:lang w:val="en-GB"/>
        </w:rPr>
        <w:t xml:space="preserve"> from steam gasification as fuel for the SOFC, with the overall system consisting of two integrated units developed using Aspen Plus® and Python. Figure 1 shows the combined fuel system.</w:t>
      </w:r>
    </w:p>
    <w:p w14:paraId="774754F7" w14:textId="77777777" w:rsidR="001F38EE" w:rsidRPr="00A26321" w:rsidRDefault="001F38EE" w:rsidP="00983799">
      <w:pPr>
        <w:pStyle w:val="Els-body-text"/>
        <w:rPr>
          <w:lang w:val="en-GB"/>
        </w:rPr>
      </w:pPr>
    </w:p>
    <w:p w14:paraId="71E677C3" w14:textId="4BB91A13" w:rsidR="001B4AE4" w:rsidRPr="00A26321" w:rsidRDefault="001B4AE4" w:rsidP="001B4AE4">
      <w:pPr>
        <w:pStyle w:val="Els-body-text"/>
        <w:jc w:val="center"/>
        <w:rPr>
          <w:lang w:val="en-GB"/>
        </w:rPr>
      </w:pPr>
      <w:r w:rsidRPr="00A26321">
        <w:rPr>
          <w:b/>
          <w:bCs/>
          <w:noProof/>
        </w:rPr>
        <w:drawing>
          <wp:inline distT="0" distB="0" distL="0" distR="0" wp14:anchorId="46B7042E" wp14:editId="019E7695">
            <wp:extent cx="3773606" cy="1513331"/>
            <wp:effectExtent l="0" t="0" r="0" b="0"/>
            <wp:docPr id="1583923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23232" name=""/>
                    <pic:cNvPicPr/>
                  </pic:nvPicPr>
                  <pic:blipFill>
                    <a:blip r:embed="rId9"/>
                    <a:stretch>
                      <a:fillRect/>
                    </a:stretch>
                  </pic:blipFill>
                  <pic:spPr>
                    <a:xfrm>
                      <a:off x="0" y="0"/>
                      <a:ext cx="3826477" cy="1534534"/>
                    </a:xfrm>
                    <a:prstGeom prst="rect">
                      <a:avLst/>
                    </a:prstGeom>
                  </pic:spPr>
                </pic:pic>
              </a:graphicData>
            </a:graphic>
          </wp:inline>
        </w:drawing>
      </w:r>
    </w:p>
    <w:p w14:paraId="335CEDEB" w14:textId="1E173361" w:rsidR="00FB40F7" w:rsidRPr="00FB40F7" w:rsidRDefault="001B4AE4" w:rsidP="00FB40F7">
      <w:pPr>
        <w:pStyle w:val="Caption"/>
      </w:pPr>
      <w:r w:rsidRPr="00A26321">
        <w:t xml:space="preserve">Figure </w:t>
      </w:r>
      <w:r w:rsidRPr="00A26321">
        <w:fldChar w:fldCharType="begin"/>
      </w:r>
      <w:r w:rsidRPr="00A26321">
        <w:instrText xml:space="preserve"> SEQ Figure \* ARABIC </w:instrText>
      </w:r>
      <w:r w:rsidRPr="00A26321">
        <w:fldChar w:fldCharType="separate"/>
      </w:r>
      <w:r w:rsidRPr="00A26321">
        <w:rPr>
          <w:noProof/>
        </w:rPr>
        <w:t>1</w:t>
      </w:r>
      <w:r w:rsidRPr="00A26321">
        <w:fldChar w:fldCharType="end"/>
      </w:r>
      <w:r w:rsidRPr="00A26321">
        <w:t>: Process scheme for gasification and SOFC fuel system.</w:t>
      </w:r>
    </w:p>
    <w:p w14:paraId="394802FD" w14:textId="51FEE802" w:rsidR="00FB40F7" w:rsidRDefault="001B4AE4" w:rsidP="00765B18">
      <w:pPr>
        <w:jc w:val="both"/>
      </w:pPr>
      <w:r w:rsidRPr="00A26321">
        <w:t>The steam gasification process focuses on maximizing hydrogen production, using CaO as a sorbent for CO</w:t>
      </w:r>
      <w:r w:rsidRPr="00A26321">
        <w:rPr>
          <w:vertAlign w:val="subscript"/>
        </w:rPr>
        <w:t>2</w:t>
      </w:r>
      <w:r w:rsidRPr="00A26321">
        <w:t xml:space="preserve"> capture. Key assumptions for the process include uniform temperature and pressure, ideal gas </w:t>
      </w:r>
      <w:r w:rsidR="00950EE1" w:rsidRPr="00A26321">
        <w:t>behaviour</w:t>
      </w:r>
      <w:r w:rsidRPr="00A26321">
        <w:t>, and the exclusion of tar and ammonia formation. The system operates under atmospheric pressure, with plastic feedstock and ash considered non-conventional. Utilizing Aspen Plus®, various physical properties packages, like Peng Robinson and Peng Robinson with Boston Modification (PG-RM), are employed to simulate the process. The simulation includes the transform</w:t>
      </w:r>
      <w:r w:rsidR="00934B5F" w:rsidRPr="00A26321">
        <w:t>ation of plastic into syngas</w:t>
      </w:r>
      <w:r w:rsidRPr="00A26321">
        <w:t>. The process begins with a feed material stream and involves several units like a yield reactor, equilibrium reactors, and separation units to produce clean H</w:t>
      </w:r>
      <w:r w:rsidRPr="00A26321">
        <w:rPr>
          <w:vertAlign w:val="subscript"/>
        </w:rPr>
        <w:t>2</w:t>
      </w:r>
      <w:r w:rsidRPr="00A26321">
        <w:t xml:space="preserve">. The proximate and ultimate analyses of the plastic are shown in Table 1 </w:t>
      </w:r>
      <w:r w:rsidR="00D52226" w:rsidRPr="00A26321">
        <w:t>(Ali et al., 2023).</w:t>
      </w:r>
      <w:r w:rsidR="00EE430A" w:rsidRPr="00EE430A">
        <w:t xml:space="preserve"> </w:t>
      </w:r>
      <w:r w:rsidR="00EE430A" w:rsidRPr="00A26321">
        <w:t>The SOFC utilizes H</w:t>
      </w:r>
      <w:r w:rsidR="00EE430A" w:rsidRPr="00A26321">
        <w:rPr>
          <w:vertAlign w:val="subscript"/>
        </w:rPr>
        <w:t>2</w:t>
      </w:r>
      <w:r w:rsidR="00EE430A" w:rsidRPr="00A26321">
        <w:t xml:space="preserve"> as fuel, with O</w:t>
      </w:r>
      <w:r w:rsidR="00EE430A" w:rsidRPr="00A26321">
        <w:rPr>
          <w:vertAlign w:val="subscript"/>
        </w:rPr>
        <w:t>2</w:t>
      </w:r>
      <w:r w:rsidR="00EE430A" w:rsidRPr="00A26321">
        <w:t xml:space="preserve"> sourced separately. Operating on principles of electrochemical conversion, the SOFC model incorporates equations for Nernst voltage and various losses (activation, ohmic, concentration) to determine the </w:t>
      </w:r>
      <w:r w:rsidR="00765B18">
        <w:t xml:space="preserve">cell's voltage and power output are listed in Table 2. </w:t>
      </w:r>
    </w:p>
    <w:p w14:paraId="46BDBC8E" w14:textId="77777777" w:rsidR="00EE430A" w:rsidRPr="00A26321" w:rsidRDefault="00EE430A" w:rsidP="00EE430A">
      <w:pPr>
        <w:pStyle w:val="Els-body-text"/>
      </w:pPr>
    </w:p>
    <w:p w14:paraId="2C66A906" w14:textId="36A1540E" w:rsidR="00E64A12" w:rsidRPr="00A26321" w:rsidRDefault="00983799" w:rsidP="0082399F">
      <w:pPr>
        <w:pStyle w:val="Els-body-text"/>
      </w:pPr>
      <w:r w:rsidRPr="00A26321">
        <w:t>Table 1: Compositi</w:t>
      </w:r>
      <w:r w:rsidR="00E64A12" w:rsidRPr="00A26321">
        <w:t xml:space="preserve">on of plastic waste </w:t>
      </w:r>
      <w:r w:rsidRPr="00A26321">
        <w:t xml:space="preserve"> </w:t>
      </w:r>
      <w:r w:rsidR="00D52226" w:rsidRPr="00A26321">
        <w:t>(Ali et al., 2023)</w:t>
      </w:r>
      <w:r w:rsidRPr="00A26321">
        <w:t>.</w:t>
      </w:r>
    </w:p>
    <w:tbl>
      <w:tblPr>
        <w:tblStyle w:val="PlainTable41"/>
        <w:tblW w:w="7175" w:type="dxa"/>
        <w:tblBorders>
          <w:top w:val="single" w:sz="4" w:space="0" w:color="auto"/>
          <w:bottom w:val="single" w:sz="4" w:space="0" w:color="auto"/>
        </w:tblBorders>
        <w:tblLook w:val="04A0" w:firstRow="1" w:lastRow="0" w:firstColumn="1" w:lastColumn="0" w:noHBand="0" w:noVBand="1"/>
      </w:tblPr>
      <w:tblGrid>
        <w:gridCol w:w="1855"/>
        <w:gridCol w:w="1699"/>
        <w:gridCol w:w="1935"/>
        <w:gridCol w:w="1686"/>
      </w:tblGrid>
      <w:tr w:rsidR="001B4AE4" w:rsidRPr="00765B18" w14:paraId="752DB5A7" w14:textId="77777777" w:rsidTr="00983799">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554" w:type="dxa"/>
            <w:gridSpan w:val="2"/>
            <w:tcBorders>
              <w:top w:val="single" w:sz="4" w:space="0" w:color="auto"/>
              <w:bottom w:val="single" w:sz="4" w:space="0" w:color="auto"/>
            </w:tcBorders>
            <w:shd w:val="clear" w:color="auto" w:fill="auto"/>
            <w:noWrap/>
            <w:hideMark/>
          </w:tcPr>
          <w:p w14:paraId="6C62EB06" w14:textId="77777777" w:rsidR="001B4AE4" w:rsidRPr="00765B18" w:rsidRDefault="001B4AE4" w:rsidP="00882468">
            <w:pPr>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 xml:space="preserve">Proximate analysis </w:t>
            </w:r>
          </w:p>
        </w:tc>
        <w:tc>
          <w:tcPr>
            <w:tcW w:w="3621" w:type="dxa"/>
            <w:gridSpan w:val="2"/>
            <w:tcBorders>
              <w:top w:val="single" w:sz="4" w:space="0" w:color="auto"/>
              <w:bottom w:val="single" w:sz="4" w:space="0" w:color="auto"/>
            </w:tcBorders>
            <w:shd w:val="clear" w:color="auto" w:fill="auto"/>
            <w:noWrap/>
            <w:hideMark/>
          </w:tcPr>
          <w:p w14:paraId="29DF4383" w14:textId="77777777" w:rsidR="001B4AE4" w:rsidRPr="00765B18" w:rsidRDefault="001B4AE4" w:rsidP="0088246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Ultimate analysis</w:t>
            </w:r>
          </w:p>
        </w:tc>
      </w:tr>
      <w:tr w:rsidR="001B4AE4" w:rsidRPr="00765B18" w14:paraId="4F8F3B10" w14:textId="77777777" w:rsidTr="00E64A1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55" w:type="dxa"/>
            <w:tcBorders>
              <w:top w:val="single" w:sz="4" w:space="0" w:color="auto"/>
              <w:bottom w:val="single" w:sz="4" w:space="0" w:color="auto"/>
            </w:tcBorders>
            <w:shd w:val="clear" w:color="auto" w:fill="auto"/>
            <w:noWrap/>
            <w:hideMark/>
          </w:tcPr>
          <w:p w14:paraId="759EC94A" w14:textId="77777777" w:rsidR="001B4AE4" w:rsidRPr="00765B18" w:rsidRDefault="001B4AE4" w:rsidP="00882468">
            <w:pPr>
              <w:rPr>
                <w:rFonts w:ascii="Times New Roman" w:eastAsia="Times New Roman" w:hAnsi="Times New Roman" w:cs="Times New Roman"/>
                <w:b w:val="0"/>
                <w:bCs w:val="0"/>
                <w:sz w:val="18"/>
                <w:szCs w:val="18"/>
              </w:rPr>
            </w:pPr>
            <w:r w:rsidRPr="00765B18">
              <w:rPr>
                <w:rFonts w:ascii="Times New Roman" w:eastAsia="Times New Roman" w:hAnsi="Times New Roman" w:cs="Times New Roman"/>
                <w:b w:val="0"/>
                <w:bCs w:val="0"/>
                <w:sz w:val="18"/>
                <w:szCs w:val="18"/>
              </w:rPr>
              <w:t>Element</w:t>
            </w:r>
          </w:p>
        </w:tc>
        <w:tc>
          <w:tcPr>
            <w:tcW w:w="1699" w:type="dxa"/>
            <w:tcBorders>
              <w:top w:val="single" w:sz="4" w:space="0" w:color="auto"/>
              <w:bottom w:val="single" w:sz="4" w:space="0" w:color="auto"/>
            </w:tcBorders>
            <w:shd w:val="clear" w:color="auto" w:fill="auto"/>
            <w:noWrap/>
            <w:hideMark/>
          </w:tcPr>
          <w:p w14:paraId="679D2560"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Value</w:t>
            </w:r>
          </w:p>
        </w:tc>
        <w:tc>
          <w:tcPr>
            <w:tcW w:w="1935" w:type="dxa"/>
            <w:tcBorders>
              <w:top w:val="single" w:sz="4" w:space="0" w:color="auto"/>
              <w:bottom w:val="single" w:sz="4" w:space="0" w:color="auto"/>
            </w:tcBorders>
            <w:shd w:val="clear" w:color="auto" w:fill="auto"/>
            <w:noWrap/>
            <w:hideMark/>
          </w:tcPr>
          <w:p w14:paraId="12AFB9B5" w14:textId="77777777" w:rsidR="001B4AE4" w:rsidRPr="00765B18" w:rsidRDefault="001B4AE4" w:rsidP="00882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Element</w:t>
            </w:r>
          </w:p>
        </w:tc>
        <w:tc>
          <w:tcPr>
            <w:tcW w:w="1686" w:type="dxa"/>
            <w:tcBorders>
              <w:top w:val="single" w:sz="4" w:space="0" w:color="auto"/>
              <w:bottom w:val="single" w:sz="4" w:space="0" w:color="auto"/>
            </w:tcBorders>
            <w:shd w:val="clear" w:color="auto" w:fill="auto"/>
            <w:noWrap/>
            <w:hideMark/>
          </w:tcPr>
          <w:p w14:paraId="7A740275"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Value</w:t>
            </w:r>
          </w:p>
        </w:tc>
      </w:tr>
      <w:tr w:rsidR="001B4AE4" w:rsidRPr="00765B18" w14:paraId="33E4B15B" w14:textId="77777777" w:rsidTr="00E64A12">
        <w:trPr>
          <w:trHeight w:val="238"/>
        </w:trPr>
        <w:tc>
          <w:tcPr>
            <w:cnfStyle w:val="001000000000" w:firstRow="0" w:lastRow="0" w:firstColumn="1" w:lastColumn="0" w:oddVBand="0" w:evenVBand="0" w:oddHBand="0" w:evenHBand="0" w:firstRowFirstColumn="0" w:firstRowLastColumn="0" w:lastRowFirstColumn="0" w:lastRowLastColumn="0"/>
            <w:tcW w:w="1855" w:type="dxa"/>
            <w:tcBorders>
              <w:top w:val="single" w:sz="4" w:space="0" w:color="auto"/>
            </w:tcBorders>
            <w:shd w:val="clear" w:color="auto" w:fill="auto"/>
            <w:noWrap/>
            <w:hideMark/>
          </w:tcPr>
          <w:p w14:paraId="44D9B8B1" w14:textId="77777777" w:rsidR="001B4AE4" w:rsidRPr="00765B18" w:rsidRDefault="001B4AE4" w:rsidP="00882468">
            <w:pPr>
              <w:rPr>
                <w:rFonts w:ascii="Times New Roman" w:eastAsia="Times New Roman" w:hAnsi="Times New Roman" w:cs="Times New Roman"/>
                <w:b w:val="0"/>
                <w:bCs w:val="0"/>
                <w:sz w:val="18"/>
                <w:szCs w:val="18"/>
              </w:rPr>
            </w:pPr>
            <w:r w:rsidRPr="00765B18">
              <w:rPr>
                <w:rFonts w:ascii="Times New Roman" w:eastAsia="Times New Roman" w:hAnsi="Times New Roman" w:cs="Times New Roman"/>
                <w:b w:val="0"/>
                <w:bCs w:val="0"/>
                <w:sz w:val="18"/>
                <w:szCs w:val="18"/>
              </w:rPr>
              <w:t>MC</w:t>
            </w:r>
          </w:p>
        </w:tc>
        <w:tc>
          <w:tcPr>
            <w:tcW w:w="1699" w:type="dxa"/>
            <w:tcBorders>
              <w:top w:val="single" w:sz="4" w:space="0" w:color="auto"/>
            </w:tcBorders>
            <w:shd w:val="clear" w:color="auto" w:fill="auto"/>
            <w:noWrap/>
            <w:hideMark/>
          </w:tcPr>
          <w:p w14:paraId="6F8F3D02" w14:textId="77777777" w:rsidR="001B4AE4" w:rsidRPr="00765B18" w:rsidRDefault="001B4AE4" w:rsidP="008824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0.2</w:t>
            </w:r>
          </w:p>
        </w:tc>
        <w:tc>
          <w:tcPr>
            <w:tcW w:w="1935" w:type="dxa"/>
            <w:tcBorders>
              <w:top w:val="single" w:sz="4" w:space="0" w:color="auto"/>
            </w:tcBorders>
            <w:shd w:val="clear" w:color="auto" w:fill="auto"/>
            <w:noWrap/>
            <w:hideMark/>
          </w:tcPr>
          <w:p w14:paraId="65246658" w14:textId="77777777" w:rsidR="001B4AE4" w:rsidRPr="00765B18" w:rsidRDefault="001B4AE4" w:rsidP="00882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Ash</w:t>
            </w:r>
          </w:p>
        </w:tc>
        <w:tc>
          <w:tcPr>
            <w:tcW w:w="1686" w:type="dxa"/>
            <w:tcBorders>
              <w:top w:val="single" w:sz="4" w:space="0" w:color="auto"/>
            </w:tcBorders>
            <w:shd w:val="clear" w:color="auto" w:fill="auto"/>
            <w:noWrap/>
            <w:hideMark/>
          </w:tcPr>
          <w:p w14:paraId="4077181C" w14:textId="77777777" w:rsidR="001B4AE4" w:rsidRPr="00765B18" w:rsidRDefault="001B4AE4" w:rsidP="008824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0.1</w:t>
            </w:r>
          </w:p>
        </w:tc>
      </w:tr>
      <w:tr w:rsidR="001B4AE4" w:rsidRPr="00765B18" w14:paraId="79AA8C13" w14:textId="77777777" w:rsidTr="00E64A1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55" w:type="dxa"/>
            <w:shd w:val="clear" w:color="auto" w:fill="auto"/>
            <w:noWrap/>
          </w:tcPr>
          <w:p w14:paraId="6774B8F6" w14:textId="77777777" w:rsidR="001B4AE4" w:rsidRPr="00765B18" w:rsidRDefault="001B4AE4" w:rsidP="00882468">
            <w:pPr>
              <w:rPr>
                <w:rFonts w:ascii="Times New Roman" w:eastAsia="Times New Roman" w:hAnsi="Times New Roman" w:cs="Times New Roman"/>
                <w:b w:val="0"/>
                <w:bCs w:val="0"/>
                <w:sz w:val="18"/>
                <w:szCs w:val="18"/>
              </w:rPr>
            </w:pPr>
            <w:r w:rsidRPr="00765B18">
              <w:rPr>
                <w:rFonts w:ascii="Times New Roman" w:eastAsia="Times New Roman" w:hAnsi="Times New Roman" w:cs="Times New Roman"/>
                <w:b w:val="0"/>
                <w:bCs w:val="0"/>
                <w:sz w:val="18"/>
                <w:szCs w:val="18"/>
              </w:rPr>
              <w:t>FC</w:t>
            </w:r>
          </w:p>
        </w:tc>
        <w:tc>
          <w:tcPr>
            <w:tcW w:w="1699" w:type="dxa"/>
            <w:shd w:val="clear" w:color="auto" w:fill="auto"/>
            <w:noWrap/>
          </w:tcPr>
          <w:p w14:paraId="03E8AB75"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4.44</w:t>
            </w:r>
          </w:p>
        </w:tc>
        <w:tc>
          <w:tcPr>
            <w:tcW w:w="1935" w:type="dxa"/>
            <w:shd w:val="clear" w:color="auto" w:fill="auto"/>
            <w:noWrap/>
            <w:hideMark/>
          </w:tcPr>
          <w:p w14:paraId="1006652C" w14:textId="77777777" w:rsidR="001B4AE4" w:rsidRPr="00765B18" w:rsidRDefault="001B4AE4" w:rsidP="00882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Carbon</w:t>
            </w:r>
          </w:p>
        </w:tc>
        <w:tc>
          <w:tcPr>
            <w:tcW w:w="1686" w:type="dxa"/>
            <w:shd w:val="clear" w:color="auto" w:fill="auto"/>
            <w:noWrap/>
            <w:hideMark/>
          </w:tcPr>
          <w:p w14:paraId="60640F44"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66.89</w:t>
            </w:r>
          </w:p>
        </w:tc>
      </w:tr>
      <w:tr w:rsidR="001B4AE4" w:rsidRPr="00765B18" w14:paraId="315CF68A" w14:textId="77777777" w:rsidTr="00E64A12">
        <w:trPr>
          <w:trHeight w:val="176"/>
        </w:trPr>
        <w:tc>
          <w:tcPr>
            <w:cnfStyle w:val="001000000000" w:firstRow="0" w:lastRow="0" w:firstColumn="1" w:lastColumn="0" w:oddVBand="0" w:evenVBand="0" w:oddHBand="0" w:evenHBand="0" w:firstRowFirstColumn="0" w:firstRowLastColumn="0" w:lastRowFirstColumn="0" w:lastRowLastColumn="0"/>
            <w:tcW w:w="1855" w:type="dxa"/>
            <w:shd w:val="clear" w:color="auto" w:fill="auto"/>
            <w:noWrap/>
          </w:tcPr>
          <w:p w14:paraId="1ECCB615" w14:textId="77777777" w:rsidR="001B4AE4" w:rsidRPr="00765B18" w:rsidRDefault="001B4AE4" w:rsidP="00882468">
            <w:pPr>
              <w:rPr>
                <w:rFonts w:ascii="Times New Roman" w:eastAsia="Times New Roman" w:hAnsi="Times New Roman" w:cs="Times New Roman"/>
                <w:b w:val="0"/>
                <w:bCs w:val="0"/>
                <w:sz w:val="18"/>
                <w:szCs w:val="18"/>
              </w:rPr>
            </w:pPr>
            <w:r w:rsidRPr="00765B18">
              <w:rPr>
                <w:rFonts w:ascii="Times New Roman" w:eastAsia="Times New Roman" w:hAnsi="Times New Roman" w:cs="Times New Roman"/>
                <w:b w:val="0"/>
                <w:bCs w:val="0"/>
                <w:sz w:val="18"/>
                <w:szCs w:val="18"/>
              </w:rPr>
              <w:t>VM</w:t>
            </w:r>
          </w:p>
        </w:tc>
        <w:tc>
          <w:tcPr>
            <w:tcW w:w="1699" w:type="dxa"/>
            <w:shd w:val="clear" w:color="auto" w:fill="auto"/>
            <w:noWrap/>
          </w:tcPr>
          <w:p w14:paraId="2E71FCCD" w14:textId="77777777" w:rsidR="001B4AE4" w:rsidRPr="00765B18" w:rsidRDefault="001B4AE4" w:rsidP="008824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95.36</w:t>
            </w:r>
          </w:p>
        </w:tc>
        <w:tc>
          <w:tcPr>
            <w:tcW w:w="1935" w:type="dxa"/>
            <w:shd w:val="clear" w:color="auto" w:fill="auto"/>
            <w:noWrap/>
            <w:hideMark/>
          </w:tcPr>
          <w:p w14:paraId="65FC0EA6" w14:textId="77777777" w:rsidR="001B4AE4" w:rsidRPr="00765B18" w:rsidRDefault="001B4AE4" w:rsidP="00882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Hydrogen</w:t>
            </w:r>
          </w:p>
        </w:tc>
        <w:tc>
          <w:tcPr>
            <w:tcW w:w="1686" w:type="dxa"/>
            <w:shd w:val="clear" w:color="auto" w:fill="auto"/>
            <w:noWrap/>
            <w:hideMark/>
          </w:tcPr>
          <w:p w14:paraId="11CAEFC4" w14:textId="77777777" w:rsidR="001B4AE4" w:rsidRPr="00765B18" w:rsidRDefault="001B4AE4" w:rsidP="008824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6.06</w:t>
            </w:r>
          </w:p>
        </w:tc>
      </w:tr>
      <w:tr w:rsidR="001B4AE4" w:rsidRPr="00765B18" w14:paraId="352D2D0A" w14:textId="77777777" w:rsidTr="00E64A1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55" w:type="dxa"/>
            <w:shd w:val="clear" w:color="auto" w:fill="auto"/>
            <w:noWrap/>
          </w:tcPr>
          <w:p w14:paraId="566AD8C9" w14:textId="77777777" w:rsidR="001B4AE4" w:rsidRPr="00765B18" w:rsidRDefault="001B4AE4" w:rsidP="00882468">
            <w:pPr>
              <w:rPr>
                <w:rFonts w:ascii="Times New Roman" w:eastAsia="Times New Roman" w:hAnsi="Times New Roman" w:cs="Times New Roman"/>
                <w:b w:val="0"/>
                <w:bCs w:val="0"/>
                <w:sz w:val="18"/>
                <w:szCs w:val="18"/>
              </w:rPr>
            </w:pPr>
            <w:r w:rsidRPr="00765B18">
              <w:rPr>
                <w:rFonts w:ascii="Times New Roman" w:eastAsia="Times New Roman" w:hAnsi="Times New Roman" w:cs="Times New Roman"/>
                <w:b w:val="0"/>
                <w:bCs w:val="0"/>
                <w:sz w:val="18"/>
                <w:szCs w:val="18"/>
              </w:rPr>
              <w:t>Ash</w:t>
            </w:r>
          </w:p>
        </w:tc>
        <w:tc>
          <w:tcPr>
            <w:tcW w:w="1699" w:type="dxa"/>
            <w:shd w:val="clear" w:color="auto" w:fill="auto"/>
            <w:noWrap/>
          </w:tcPr>
          <w:p w14:paraId="5C0B69E4"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0.1</w:t>
            </w:r>
          </w:p>
        </w:tc>
        <w:tc>
          <w:tcPr>
            <w:tcW w:w="1935" w:type="dxa"/>
            <w:shd w:val="clear" w:color="auto" w:fill="auto"/>
            <w:noWrap/>
            <w:hideMark/>
          </w:tcPr>
          <w:p w14:paraId="3CEA259F" w14:textId="77777777" w:rsidR="001B4AE4" w:rsidRPr="00765B18" w:rsidRDefault="001B4AE4" w:rsidP="00882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Nitrogen</w:t>
            </w:r>
          </w:p>
        </w:tc>
        <w:tc>
          <w:tcPr>
            <w:tcW w:w="1686" w:type="dxa"/>
            <w:shd w:val="clear" w:color="auto" w:fill="auto"/>
            <w:noWrap/>
            <w:hideMark/>
          </w:tcPr>
          <w:p w14:paraId="7DB21DC6"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0.08</w:t>
            </w:r>
          </w:p>
        </w:tc>
      </w:tr>
      <w:tr w:rsidR="001B4AE4" w:rsidRPr="00765B18" w14:paraId="09FF9B99" w14:textId="77777777" w:rsidTr="00E64A12">
        <w:trPr>
          <w:trHeight w:val="238"/>
        </w:trPr>
        <w:tc>
          <w:tcPr>
            <w:cnfStyle w:val="001000000000" w:firstRow="0" w:lastRow="0" w:firstColumn="1" w:lastColumn="0" w:oddVBand="0" w:evenVBand="0" w:oddHBand="0" w:evenHBand="0" w:firstRowFirstColumn="0" w:firstRowLastColumn="0" w:lastRowFirstColumn="0" w:lastRowLastColumn="0"/>
            <w:tcW w:w="1855" w:type="dxa"/>
            <w:shd w:val="clear" w:color="auto" w:fill="auto"/>
            <w:noWrap/>
          </w:tcPr>
          <w:p w14:paraId="26B80ACB" w14:textId="77777777" w:rsidR="001B4AE4" w:rsidRPr="00765B18" w:rsidRDefault="001B4AE4" w:rsidP="00882468">
            <w:pPr>
              <w:rPr>
                <w:rFonts w:ascii="Times New Roman" w:eastAsia="Times New Roman" w:hAnsi="Times New Roman" w:cs="Times New Roman"/>
                <w:b w:val="0"/>
                <w:bCs w:val="0"/>
                <w:sz w:val="18"/>
                <w:szCs w:val="18"/>
              </w:rPr>
            </w:pPr>
          </w:p>
        </w:tc>
        <w:tc>
          <w:tcPr>
            <w:tcW w:w="1699" w:type="dxa"/>
            <w:shd w:val="clear" w:color="auto" w:fill="auto"/>
            <w:noWrap/>
          </w:tcPr>
          <w:p w14:paraId="7D82D3A7" w14:textId="77777777" w:rsidR="001B4AE4" w:rsidRPr="00765B18" w:rsidRDefault="001B4AE4" w:rsidP="008824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935" w:type="dxa"/>
            <w:shd w:val="clear" w:color="auto" w:fill="auto"/>
            <w:noWrap/>
            <w:hideMark/>
          </w:tcPr>
          <w:p w14:paraId="1EFE9991" w14:textId="77777777" w:rsidR="001B4AE4" w:rsidRPr="00765B18" w:rsidRDefault="001B4AE4" w:rsidP="008824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Sulfur</w:t>
            </w:r>
          </w:p>
        </w:tc>
        <w:tc>
          <w:tcPr>
            <w:tcW w:w="1686" w:type="dxa"/>
            <w:shd w:val="clear" w:color="auto" w:fill="auto"/>
            <w:noWrap/>
            <w:hideMark/>
          </w:tcPr>
          <w:p w14:paraId="285618BC" w14:textId="77777777" w:rsidR="001B4AE4" w:rsidRPr="00765B18" w:rsidRDefault="001B4AE4" w:rsidP="008824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0.2</w:t>
            </w:r>
          </w:p>
        </w:tc>
      </w:tr>
      <w:tr w:rsidR="001B4AE4" w:rsidRPr="00765B18" w14:paraId="2D671369" w14:textId="77777777" w:rsidTr="00E64A1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55" w:type="dxa"/>
            <w:tcBorders>
              <w:bottom w:val="single" w:sz="4" w:space="0" w:color="auto"/>
            </w:tcBorders>
            <w:shd w:val="clear" w:color="auto" w:fill="auto"/>
            <w:noWrap/>
          </w:tcPr>
          <w:p w14:paraId="2E00F202" w14:textId="77777777" w:rsidR="001B4AE4" w:rsidRPr="00765B18" w:rsidRDefault="001B4AE4" w:rsidP="00882468">
            <w:pPr>
              <w:jc w:val="right"/>
              <w:rPr>
                <w:rFonts w:ascii="Times New Roman" w:eastAsia="Times New Roman" w:hAnsi="Times New Roman" w:cs="Times New Roman"/>
                <w:b w:val="0"/>
                <w:bCs w:val="0"/>
                <w:sz w:val="18"/>
                <w:szCs w:val="18"/>
              </w:rPr>
            </w:pPr>
          </w:p>
        </w:tc>
        <w:tc>
          <w:tcPr>
            <w:tcW w:w="1699" w:type="dxa"/>
            <w:tcBorders>
              <w:bottom w:val="single" w:sz="4" w:space="0" w:color="auto"/>
            </w:tcBorders>
            <w:shd w:val="clear" w:color="auto" w:fill="auto"/>
            <w:noWrap/>
          </w:tcPr>
          <w:p w14:paraId="7550FDC1"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935" w:type="dxa"/>
            <w:tcBorders>
              <w:bottom w:val="single" w:sz="4" w:space="0" w:color="auto"/>
            </w:tcBorders>
            <w:shd w:val="clear" w:color="auto" w:fill="auto"/>
            <w:noWrap/>
            <w:hideMark/>
          </w:tcPr>
          <w:p w14:paraId="3F23DCCF" w14:textId="77777777" w:rsidR="001B4AE4" w:rsidRPr="00765B18" w:rsidRDefault="001B4AE4" w:rsidP="008824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Oxygen*</w:t>
            </w:r>
          </w:p>
        </w:tc>
        <w:tc>
          <w:tcPr>
            <w:tcW w:w="1686" w:type="dxa"/>
            <w:tcBorders>
              <w:bottom w:val="single" w:sz="4" w:space="0" w:color="auto"/>
            </w:tcBorders>
            <w:shd w:val="clear" w:color="auto" w:fill="auto"/>
            <w:noWrap/>
            <w:hideMark/>
          </w:tcPr>
          <w:p w14:paraId="5DDAC93D" w14:textId="77777777" w:rsidR="001B4AE4" w:rsidRPr="00765B18" w:rsidRDefault="001B4AE4" w:rsidP="008824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65B18">
              <w:rPr>
                <w:rFonts w:ascii="Times New Roman" w:eastAsia="Times New Roman" w:hAnsi="Times New Roman" w:cs="Times New Roman"/>
                <w:sz w:val="18"/>
                <w:szCs w:val="18"/>
              </w:rPr>
              <w:t>26.67</w:t>
            </w:r>
          </w:p>
        </w:tc>
      </w:tr>
    </w:tbl>
    <w:p w14:paraId="3EB25D6F" w14:textId="759A7D51" w:rsidR="001B4AE4" w:rsidRPr="00A26321" w:rsidRDefault="001B4AE4" w:rsidP="0082399F">
      <w:pPr>
        <w:pStyle w:val="Caption"/>
        <w:keepNext/>
        <w:spacing w:before="0" w:after="0"/>
        <w:jc w:val="both"/>
        <w:rPr>
          <w:sz w:val="20"/>
          <w:szCs w:val="22"/>
        </w:rPr>
      </w:pPr>
      <w:r w:rsidRPr="00A26321">
        <w:rPr>
          <w:sz w:val="20"/>
          <w:szCs w:val="22"/>
        </w:rPr>
        <w:lastRenderedPageBreak/>
        <w:t xml:space="preserve">Table </w:t>
      </w:r>
      <w:r w:rsidRPr="00A26321">
        <w:rPr>
          <w:sz w:val="20"/>
          <w:szCs w:val="22"/>
        </w:rPr>
        <w:fldChar w:fldCharType="begin"/>
      </w:r>
      <w:r w:rsidRPr="00A26321">
        <w:rPr>
          <w:sz w:val="20"/>
          <w:szCs w:val="22"/>
        </w:rPr>
        <w:instrText xml:space="preserve"> SEQ Table \* ARABIC </w:instrText>
      </w:r>
      <w:r w:rsidRPr="00A26321">
        <w:rPr>
          <w:sz w:val="20"/>
          <w:szCs w:val="22"/>
        </w:rPr>
        <w:fldChar w:fldCharType="separate"/>
      </w:r>
      <w:r w:rsidRPr="00A26321">
        <w:rPr>
          <w:noProof/>
          <w:sz w:val="20"/>
          <w:szCs w:val="22"/>
        </w:rPr>
        <w:t>2</w:t>
      </w:r>
      <w:r w:rsidRPr="00A26321">
        <w:rPr>
          <w:sz w:val="20"/>
          <w:szCs w:val="22"/>
        </w:rPr>
        <w:fldChar w:fldCharType="end"/>
      </w:r>
      <w:r w:rsidRPr="00A26321">
        <w:rPr>
          <w:sz w:val="20"/>
          <w:szCs w:val="22"/>
        </w:rPr>
        <w:t>: Correlations for voltage, power output, and partial pressure calculations</w:t>
      </w:r>
      <w:r w:rsidR="00D74472" w:rsidRPr="00A26321">
        <w:rPr>
          <w:sz w:val="20"/>
          <w:szCs w:val="22"/>
          <w:lang w:val="en-GB"/>
        </w:rPr>
        <w:t xml:space="preserve"> </w:t>
      </w:r>
      <w:r w:rsidR="00D52226" w:rsidRPr="00A26321">
        <w:rPr>
          <w:sz w:val="20"/>
          <w:szCs w:val="22"/>
          <w:lang w:val="en-GB"/>
        </w:rPr>
        <w:t>(Doherty et al., 2010, Gebregergis et al., 2008, Lukas et al., 2001, Qi et al., 2005, Sedghisigarchi &amp; Feliachi, 2004, Ni &amp; Zhao, 2013, Komatsu et al., 2013)</w:t>
      </w:r>
      <w:r w:rsidRPr="00A26321">
        <w:rPr>
          <w:sz w:val="20"/>
          <w:szCs w:val="22"/>
        </w:rPr>
        <w:t>.</w:t>
      </w:r>
    </w:p>
    <w:tbl>
      <w:tblPr>
        <w:tblStyle w:val="PlainTable5"/>
        <w:tblW w:w="7579" w:type="dxa"/>
        <w:tblLook w:val="04A0" w:firstRow="1" w:lastRow="0" w:firstColumn="1" w:lastColumn="0" w:noHBand="0" w:noVBand="1"/>
      </w:tblPr>
      <w:tblGrid>
        <w:gridCol w:w="1725"/>
        <w:gridCol w:w="5854"/>
      </w:tblGrid>
      <w:tr w:rsidR="001B4AE4" w:rsidRPr="00A26321" w14:paraId="3A0F3B1C" w14:textId="77777777" w:rsidTr="001B4AE4">
        <w:trPr>
          <w:cnfStyle w:val="100000000000" w:firstRow="1" w:lastRow="0" w:firstColumn="0" w:lastColumn="0" w:oddVBand="0" w:evenVBand="0" w:oddHBand="0" w:evenHBand="0" w:firstRowFirstColumn="0" w:firstRowLastColumn="0" w:lastRowFirstColumn="0" w:lastRowLastColumn="0"/>
          <w:trHeight w:val="404"/>
        </w:trPr>
        <w:tc>
          <w:tcPr>
            <w:cnfStyle w:val="001000000100" w:firstRow="0" w:lastRow="0" w:firstColumn="1" w:lastColumn="0" w:oddVBand="0" w:evenVBand="0" w:oddHBand="0" w:evenHBand="0" w:firstRowFirstColumn="1" w:firstRowLastColumn="0" w:lastRowFirstColumn="0" w:lastRowLastColumn="0"/>
            <w:tcW w:w="1725" w:type="dxa"/>
            <w:tcBorders>
              <w:top w:val="single" w:sz="4" w:space="0" w:color="auto"/>
              <w:bottom w:val="single" w:sz="4" w:space="0" w:color="auto"/>
            </w:tcBorders>
            <w:shd w:val="clear" w:color="auto" w:fill="auto"/>
          </w:tcPr>
          <w:p w14:paraId="62486B6B" w14:textId="77777777" w:rsidR="001B4AE4" w:rsidRPr="00A26321" w:rsidRDefault="001B4AE4" w:rsidP="00882468">
            <w:pPr>
              <w:rPr>
                <w:rFonts w:ascii="Times New Roman" w:hAnsi="Times New Roman" w:cs="Times New Roman"/>
                <w:b/>
                <w:bCs/>
                <w:i w:val="0"/>
                <w:iCs w:val="0"/>
                <w:sz w:val="20"/>
                <w:szCs w:val="20"/>
              </w:rPr>
            </w:pPr>
            <w:r w:rsidRPr="00A26321">
              <w:rPr>
                <w:rFonts w:ascii="Times New Roman" w:hAnsi="Times New Roman" w:cs="Times New Roman"/>
                <w:b/>
                <w:bCs/>
                <w:sz w:val="20"/>
                <w:szCs w:val="20"/>
              </w:rPr>
              <w:t>Parameter</w:t>
            </w:r>
          </w:p>
        </w:tc>
        <w:tc>
          <w:tcPr>
            <w:tcW w:w="5854" w:type="dxa"/>
            <w:tcBorders>
              <w:top w:val="single" w:sz="4" w:space="0" w:color="auto"/>
              <w:bottom w:val="single" w:sz="4" w:space="0" w:color="auto"/>
            </w:tcBorders>
            <w:shd w:val="clear" w:color="auto" w:fill="auto"/>
          </w:tcPr>
          <w:p w14:paraId="0F4DE322" w14:textId="77777777" w:rsidR="001B4AE4" w:rsidRPr="00A26321" w:rsidRDefault="001B4AE4" w:rsidP="008824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0"/>
                <w:szCs w:val="20"/>
                <w:lang w:val="nl-NL"/>
              </w:rPr>
            </w:pPr>
            <w:r w:rsidRPr="00A26321">
              <w:rPr>
                <w:rFonts w:ascii="Times New Roman" w:hAnsi="Times New Roman" w:cs="Times New Roman"/>
                <w:b/>
                <w:bCs/>
                <w:sz w:val="20"/>
                <w:szCs w:val="20"/>
                <w:lang w:val="nl-NL"/>
              </w:rPr>
              <w:t xml:space="preserve"> Expression</w:t>
            </w:r>
          </w:p>
        </w:tc>
      </w:tr>
      <w:tr w:rsidR="001B4AE4" w:rsidRPr="00A26321" w14:paraId="15B6E502" w14:textId="77777777" w:rsidTr="001B4AE4">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1725" w:type="dxa"/>
            <w:tcBorders>
              <w:top w:val="single" w:sz="4" w:space="0" w:color="auto"/>
            </w:tcBorders>
            <w:shd w:val="clear" w:color="auto" w:fill="auto"/>
          </w:tcPr>
          <w:p w14:paraId="755B7E01" w14:textId="77777777" w:rsidR="001B4AE4" w:rsidRPr="00A26321" w:rsidRDefault="001B4AE4" w:rsidP="00882468">
            <w:pPr>
              <w:rPr>
                <w:rFonts w:ascii="Times New Roman" w:hAnsi="Times New Roman" w:cs="Times New Roman"/>
                <w:i w:val="0"/>
                <w:iCs w:val="0"/>
                <w:sz w:val="18"/>
                <w:szCs w:val="18"/>
              </w:rPr>
            </w:pPr>
            <w:r w:rsidRPr="00A26321">
              <w:rPr>
                <w:rFonts w:ascii="Times New Roman" w:hAnsi="Times New Roman" w:cs="Times New Roman"/>
                <w:sz w:val="18"/>
                <w:szCs w:val="18"/>
              </w:rPr>
              <w:t>Fuel Cell Voltage</w:t>
            </w:r>
          </w:p>
        </w:tc>
        <w:tc>
          <w:tcPr>
            <w:tcW w:w="5854" w:type="dxa"/>
            <w:tcBorders>
              <w:top w:val="single" w:sz="4" w:space="0" w:color="auto"/>
            </w:tcBorders>
            <w:shd w:val="clear" w:color="auto" w:fill="auto"/>
          </w:tcPr>
          <w:p w14:paraId="51FDEE97" w14:textId="7E9B7308" w:rsidR="001B4AE4" w:rsidRPr="00A26321" w:rsidRDefault="001B4AE4" w:rsidP="00532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nl-NL"/>
              </w:rPr>
            </w:pPr>
            <w:r w:rsidRPr="00A26321">
              <w:rPr>
                <w:rFonts w:ascii="Times New Roman" w:hAnsi="Times New Roman" w:cs="Times New Roman"/>
                <w:sz w:val="20"/>
                <w:szCs w:val="20"/>
                <w:lang w:val="nl-NL"/>
              </w:rPr>
              <w:t xml:space="preserve"> V</w:t>
            </w:r>
            <w:r w:rsidRPr="00A26321">
              <w:rPr>
                <w:rFonts w:ascii="Times New Roman" w:hAnsi="Times New Roman" w:cs="Times New Roman"/>
                <w:sz w:val="20"/>
                <w:szCs w:val="20"/>
                <w:vertAlign w:val="subscript"/>
                <w:lang w:val="nl-NL"/>
              </w:rPr>
              <w:t xml:space="preserve">out </w:t>
            </w:r>
            <w:r w:rsidRPr="00A26321">
              <w:rPr>
                <w:rFonts w:ascii="Times New Roman" w:hAnsi="Times New Roman" w:cs="Times New Roman"/>
                <w:sz w:val="20"/>
                <w:szCs w:val="20"/>
                <w:lang w:val="nl-NL"/>
              </w:rPr>
              <w:t>= E</w:t>
            </w:r>
            <w:r w:rsidRPr="00A26321">
              <w:rPr>
                <w:rFonts w:ascii="Times New Roman" w:hAnsi="Times New Roman" w:cs="Times New Roman"/>
                <w:sz w:val="20"/>
                <w:szCs w:val="20"/>
                <w:vertAlign w:val="subscript"/>
                <w:lang w:val="nl-NL"/>
              </w:rPr>
              <w:t>Nernst</w:t>
            </w:r>
            <w:r w:rsidRPr="00A26321">
              <w:rPr>
                <w:rFonts w:ascii="Times New Roman" w:hAnsi="Times New Roman" w:cs="Times New Roman"/>
                <w:sz w:val="20"/>
                <w:szCs w:val="20"/>
                <w:lang w:val="nl-NL"/>
              </w:rPr>
              <w:t xml:space="preserve"> – (V</w:t>
            </w:r>
            <w:r w:rsidRPr="00A26321">
              <w:rPr>
                <w:rFonts w:ascii="Times New Roman" w:hAnsi="Times New Roman" w:cs="Times New Roman"/>
                <w:sz w:val="20"/>
                <w:szCs w:val="20"/>
                <w:vertAlign w:val="subscript"/>
                <w:lang w:val="nl-NL"/>
              </w:rPr>
              <w:t>act</w:t>
            </w:r>
            <w:r w:rsidRPr="00A26321">
              <w:rPr>
                <w:rFonts w:ascii="Times New Roman" w:hAnsi="Times New Roman" w:cs="Times New Roman"/>
                <w:sz w:val="20"/>
                <w:szCs w:val="20"/>
                <w:lang w:val="nl-NL"/>
              </w:rPr>
              <w:t xml:space="preserve"> + V</w:t>
            </w:r>
            <w:r w:rsidRPr="00A26321">
              <w:rPr>
                <w:rFonts w:ascii="Times New Roman" w:hAnsi="Times New Roman" w:cs="Times New Roman"/>
                <w:sz w:val="20"/>
                <w:szCs w:val="20"/>
                <w:vertAlign w:val="subscript"/>
                <w:lang w:val="nl-NL"/>
              </w:rPr>
              <w:t xml:space="preserve">conc </w:t>
            </w:r>
            <w:r w:rsidRPr="00A26321">
              <w:rPr>
                <w:rFonts w:ascii="Times New Roman" w:hAnsi="Times New Roman" w:cs="Times New Roman"/>
                <w:sz w:val="20"/>
                <w:szCs w:val="20"/>
                <w:lang w:val="nl-NL"/>
              </w:rPr>
              <w:t>+ V</w:t>
            </w:r>
            <w:r w:rsidRPr="00A26321">
              <w:rPr>
                <w:rFonts w:ascii="Times New Roman" w:hAnsi="Times New Roman" w:cs="Times New Roman"/>
                <w:sz w:val="20"/>
                <w:szCs w:val="20"/>
                <w:vertAlign w:val="subscript"/>
                <w:lang w:val="nl-NL"/>
              </w:rPr>
              <w:t>ohmic</w:t>
            </w:r>
            <w:r w:rsidRPr="00A26321">
              <w:rPr>
                <w:rFonts w:ascii="Times New Roman" w:hAnsi="Times New Roman" w:cs="Times New Roman"/>
                <w:sz w:val="20"/>
                <w:szCs w:val="20"/>
                <w:lang w:val="nl-NL"/>
              </w:rPr>
              <w:t xml:space="preserve">)  </w:t>
            </w:r>
          </w:p>
        </w:tc>
      </w:tr>
      <w:tr w:rsidR="001B4AE4" w:rsidRPr="00A26321" w14:paraId="67001F71" w14:textId="77777777" w:rsidTr="001B4AE4">
        <w:trPr>
          <w:trHeight w:val="307"/>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tcPr>
          <w:p w14:paraId="247C4283" w14:textId="77777777" w:rsidR="001B4AE4" w:rsidRPr="00A26321" w:rsidRDefault="001B4AE4" w:rsidP="00882468">
            <w:pPr>
              <w:rPr>
                <w:rFonts w:ascii="Times New Roman" w:hAnsi="Times New Roman" w:cs="Times New Roman"/>
                <w:i w:val="0"/>
                <w:iCs w:val="0"/>
                <w:sz w:val="18"/>
                <w:szCs w:val="18"/>
              </w:rPr>
            </w:pPr>
            <w:r w:rsidRPr="00A26321">
              <w:rPr>
                <w:rFonts w:ascii="Times New Roman" w:hAnsi="Times New Roman" w:cs="Times New Roman"/>
                <w:sz w:val="18"/>
                <w:szCs w:val="18"/>
              </w:rPr>
              <w:t>Nernst Voltage</w:t>
            </w:r>
          </w:p>
        </w:tc>
        <w:tc>
          <w:tcPr>
            <w:tcW w:w="5854" w:type="dxa"/>
            <w:shd w:val="clear" w:color="auto" w:fill="auto"/>
          </w:tcPr>
          <w:p w14:paraId="4E106BB0" w14:textId="068FC892" w:rsidR="001B4AE4" w:rsidRPr="00A26321" w:rsidRDefault="00BC6DAC" w:rsidP="005329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6321">
              <w:rPr>
                <w:rFonts w:ascii="Times New Roman" w:hAnsi="Times New Roman" w:cs="Times New Roman"/>
                <w:sz w:val="20"/>
                <w:szCs w:val="20"/>
              </w:rPr>
              <w:t>E</w:t>
            </w:r>
            <w:r w:rsidRPr="00A26321">
              <w:rPr>
                <w:rFonts w:ascii="Times New Roman" w:hAnsi="Times New Roman" w:cs="Times New Roman"/>
                <w:sz w:val="20"/>
                <w:szCs w:val="20"/>
                <w:vertAlign w:val="subscript"/>
              </w:rPr>
              <w:t>Nernst</w:t>
            </w:r>
            <w:r w:rsidR="001B4AE4" w:rsidRPr="00A26321">
              <w:rPr>
                <w:rFonts w:ascii="Times New Roman" w:hAnsi="Times New Roman" w:cs="Times New Roman"/>
                <w:sz w:val="20"/>
                <w:szCs w:val="20"/>
                <w:vertAlign w:val="subscript"/>
              </w:rPr>
              <w:t xml:space="preserve"> </w:t>
            </w:r>
            <w:r w:rsidR="001B4AE4" w:rsidRPr="00A26321">
              <w:rPr>
                <w:rFonts w:ascii="Times New Roman" w:hAnsi="Times New Roman" w:cs="Times New Roman"/>
                <w:sz w:val="20"/>
                <w:szCs w:val="20"/>
              </w:rPr>
              <w:t xml:space="preserve">= Eₒ + </w:t>
            </w:r>
            <m:oMath>
              <m:f>
                <m:fPr>
                  <m:ctrlPr>
                    <w:rPr>
                      <w:rFonts w:ascii="Cambria Math" w:hAnsi="Cambria Math" w:cs="Times New Roman"/>
                      <w:i/>
                      <w:sz w:val="20"/>
                      <w:szCs w:val="20"/>
                    </w:rPr>
                  </m:ctrlPr>
                </m:fPr>
                <m:num>
                  <m:r>
                    <w:rPr>
                      <w:rFonts w:ascii="Cambria Math" w:hAnsi="Cambria Math" w:cs="Times New Roman"/>
                      <w:sz w:val="20"/>
                      <w:szCs w:val="20"/>
                    </w:rPr>
                    <m:t>RT</m:t>
                  </m:r>
                </m:num>
                <m:den>
                  <m:r>
                    <w:rPr>
                      <w:rFonts w:ascii="Cambria Math" w:hAnsi="Cambria Math" w:cs="Times New Roman"/>
                      <w:sz w:val="20"/>
                      <w:szCs w:val="20"/>
                    </w:rPr>
                    <m:t>nF</m:t>
                  </m:r>
                </m:den>
              </m:f>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sub>
                  </m:sSub>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P</m:t>
                          </m:r>
                        </m:e>
                        <m:sub>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2</m:t>
                              </m:r>
                            </m:sub>
                          </m:sSub>
                        </m:sub>
                      </m:sSub>
                    </m:e>
                    <m:sup>
                      <m:r>
                        <w:rPr>
                          <w:rFonts w:ascii="Cambria Math" w:hAnsi="Cambria Math" w:cs="Times New Roman"/>
                          <w:sz w:val="20"/>
                          <w:szCs w:val="20"/>
                        </w:rPr>
                        <m:t>0.5</m:t>
                      </m:r>
                    </m:sup>
                  </m:sSup>
                </m:num>
                <m:den>
                  <m:sSub>
                    <m:sSubPr>
                      <m:ctrlPr>
                        <w:rPr>
                          <w:rFonts w:ascii="Cambria Math" w:hAnsi="Cambria Math" w:cs="Times New Roman"/>
                          <w:i/>
                          <w:sz w:val="20"/>
                          <w:szCs w:val="20"/>
                        </w:rPr>
                      </m:ctrlPr>
                    </m:sSubPr>
                    <m:e>
                      <m:r>
                        <w:rPr>
                          <w:rFonts w:ascii="Cambria Math" w:hAnsi="Cambria Math" w:cs="Times New Roman"/>
                          <w:sz w:val="20"/>
                          <w:szCs w:val="20"/>
                        </w:rPr>
                        <m:t>P</m:t>
                      </m:r>
                    </m:e>
                    <m: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r>
                        <w:rPr>
                          <w:rFonts w:ascii="Cambria Math" w:hAnsi="Cambria Math" w:cs="Times New Roman"/>
                          <w:sz w:val="20"/>
                          <w:szCs w:val="20"/>
                        </w:rPr>
                        <m:t>O</m:t>
                      </m:r>
                    </m:sub>
                  </m:sSub>
                </m:den>
              </m:f>
            </m:oMath>
            <w:r w:rsidR="001B4AE4" w:rsidRPr="00A26321">
              <w:rPr>
                <w:rFonts w:ascii="Times New Roman" w:eastAsiaTheme="minorEastAsia" w:hAnsi="Times New Roman" w:cs="Times New Roman"/>
                <w:sz w:val="20"/>
                <w:szCs w:val="20"/>
              </w:rPr>
              <w:t xml:space="preserve">         Where   Eₒ =  </w: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Δ</m:t>
                      </m:r>
                    </m:e>
                    <m:sub>
                      <m:r>
                        <w:rPr>
                          <w:rFonts w:ascii="Cambria Math" w:eastAsiaTheme="minorEastAsia" w:hAnsi="Cambria Math" w:cs="Times New Roman"/>
                          <w:sz w:val="20"/>
                          <w:szCs w:val="20"/>
                        </w:rPr>
                        <m:t>gf</m:t>
                      </m:r>
                    </m:sub>
                  </m:sSub>
                </m:num>
                <m:den>
                  <m:r>
                    <w:rPr>
                      <w:rFonts w:ascii="Cambria Math" w:eastAsiaTheme="minorEastAsia" w:hAnsi="Cambria Math" w:cs="Times New Roman"/>
                      <w:sz w:val="20"/>
                      <w:szCs w:val="20"/>
                    </w:rPr>
                    <m:t>nF</m:t>
                  </m:r>
                </m:den>
              </m:f>
            </m:oMath>
            <w:r w:rsidR="001B4AE4" w:rsidRPr="00A26321">
              <w:rPr>
                <w:rFonts w:ascii="Times New Roman" w:eastAsiaTheme="minorEastAsia" w:hAnsi="Times New Roman" w:cs="Times New Roman"/>
                <w:sz w:val="20"/>
                <w:szCs w:val="20"/>
              </w:rPr>
              <w:t xml:space="preserve">       </w:t>
            </w:r>
            <w:r w:rsidR="001B4AE4" w:rsidRPr="00A26321">
              <w:fldChar w:fldCharType="begin"/>
            </w:r>
            <w:r w:rsidR="001B4AE4" w:rsidRPr="00A26321">
              <w:rPr>
                <w:rFonts w:ascii="Times New Roman" w:hAnsi="Times New Roman" w:cs="Times New Roman"/>
                <w:sz w:val="20"/>
                <w:szCs w:val="20"/>
              </w:rPr>
              <w:instrText xml:space="preserve"> ADDIN EN.CITE &lt;EndNote&gt;&lt;Cite&gt;&lt;Author&gt;Gebregergis&lt;/Author&gt;&lt;Year&gt;2008&lt;/Year&gt;&lt;RecNum&gt;5094&lt;/RecNum&gt;&lt;DisplayText&gt;[31, 48]&lt;/DisplayText&gt;&lt;record&gt;&lt;rec-number&gt;5094&lt;/rec-number&gt;&lt;foreign-keys&gt;&lt;key app="EN" db-id="vzfteevxj2ert2esr27pvaf9xats20r25r0w" timestamp="1686575338"&gt;5094&lt;/key&gt;&lt;/foreign-keys&gt;&lt;ref-type name="Journal Article"&gt;17&lt;/ref-type&gt;&lt;contributors&gt;&lt;authors&gt;&lt;author&gt;Gebregergis, Abraham&lt;/author&gt;&lt;author&gt;Pillay, Pragasen&lt;/author&gt;&lt;author&gt;Bhattacharyya, Debangsu&lt;/author&gt;&lt;author&gt;Rengaswemy, Raghunathan&lt;/author&gt;&lt;/authors&gt;&lt;/contributors&gt;&lt;titles&gt;&lt;title&gt;Solid oxide fuel cell modeling&lt;/title&gt;&lt;secondary-title&gt;IEEE Transactions on Industrial Electronics&lt;/secondary-title&gt;&lt;/titles&gt;&lt;periodical&gt;&lt;full-title&gt;IEEE Transactions on Industrial Electronics&lt;/full-title&gt;&lt;/periodical&gt;&lt;pages&gt;139-148&lt;/pages&gt;&lt;volume&gt;56&lt;/volume&gt;&lt;number&gt;1&lt;/number&gt;&lt;dates&gt;&lt;year&gt;2008&lt;/year&gt;&lt;/dates&gt;&lt;publisher&gt;IEEE&lt;/publisher&gt;&lt;isbn&gt;0278-0046&lt;/isbn&gt;&lt;urls&gt;&lt;/urls&gt;&lt;/record&gt;&lt;/Cite&gt;&lt;Cite&gt;&lt;Author&gt;Doherty&lt;/Author&gt;&lt;Year&gt;2010&lt;/Year&gt;&lt;RecNum&gt;5086&lt;/RecNum&gt;&lt;record&gt;&lt;rec-number&gt;5086&lt;/rec-number&gt;&lt;foreign-keys&gt;&lt;key app="EN" db-id="vzfteevxj2ert2esr27pvaf9xats20r25r0w" timestamp="1686573566"&gt;5086&lt;/key&gt;&lt;/foreign-keys&gt;&lt;ref-type name="Journal Article"&gt;17&lt;/ref-type&gt;&lt;contributors&gt;&lt;authors&gt;&lt;author&gt;Doherty, Wayne&lt;/author&gt;&lt;author&gt;Reynolds, Anthony&lt;/author&gt;&lt;author&gt;Kennedy, David&lt;/author&gt;&lt;/authors&gt;&lt;/contributors&gt;&lt;titles&gt;&lt;title&gt;Computer simulation of a biomass gasification-solid oxide fuel cell power system using Aspen Plus&lt;/title&gt;&lt;secondary-title&gt;Energy&lt;/secondary-title&gt;&lt;/titles&gt;&lt;periodical&gt;&lt;full-title&gt;Energy&lt;/full-title&gt;&lt;/periodical&gt;&lt;pages&gt;4545-4555&lt;/pages&gt;&lt;volume&gt;35&lt;/volume&gt;&lt;number&gt;12&lt;/number&gt;&lt;dates&gt;&lt;year&gt;2010&lt;/year&gt;&lt;/dates&gt;&lt;publisher&gt;Elsevier&lt;/publisher&gt;&lt;isbn&gt;0360-5442&lt;/isbn&gt;&lt;urls&gt;&lt;/urls&gt;&lt;/record&gt;&lt;/Cite&gt;&lt;/EndNote&gt;</w:instrText>
            </w:r>
            <w:r w:rsidR="001B4AE4" w:rsidRPr="00A26321">
              <w:fldChar w:fldCharType="end"/>
            </w:r>
          </w:p>
        </w:tc>
      </w:tr>
      <w:tr w:rsidR="001B4AE4" w:rsidRPr="00A26321" w14:paraId="52161188" w14:textId="77777777" w:rsidTr="001B4AE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tcPr>
          <w:p w14:paraId="0AC33075" w14:textId="77777777" w:rsidR="001B4AE4" w:rsidRPr="00A26321" w:rsidRDefault="001B4AE4" w:rsidP="00882468">
            <w:pPr>
              <w:rPr>
                <w:rFonts w:ascii="Times New Roman" w:hAnsi="Times New Roman" w:cs="Times New Roman"/>
                <w:i w:val="0"/>
                <w:iCs w:val="0"/>
                <w:sz w:val="18"/>
                <w:szCs w:val="18"/>
              </w:rPr>
            </w:pPr>
            <w:r w:rsidRPr="00A26321">
              <w:rPr>
                <w:rFonts w:ascii="Times New Roman" w:eastAsiaTheme="minorEastAsia" w:hAnsi="Times New Roman" w:cs="Times New Roman"/>
                <w:sz w:val="18"/>
                <w:szCs w:val="18"/>
              </w:rPr>
              <w:t>Ohmic Losses</w:t>
            </w:r>
          </w:p>
        </w:tc>
        <w:tc>
          <w:tcPr>
            <w:tcW w:w="5854" w:type="dxa"/>
            <w:shd w:val="clear" w:color="auto" w:fill="auto"/>
          </w:tcPr>
          <w:p w14:paraId="7D26BC63" w14:textId="67A29623" w:rsidR="001B4AE4" w:rsidRPr="00A26321" w:rsidRDefault="001B4AE4" w:rsidP="005329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6321">
              <w:rPr>
                <w:rFonts w:ascii="Times New Roman" w:eastAsiaTheme="minorEastAsia" w:hAnsi="Times New Roman" w:cs="Times New Roman"/>
                <w:sz w:val="20"/>
                <w:szCs w:val="20"/>
              </w:rPr>
              <w:t>V</w:t>
            </w:r>
            <w:r w:rsidRPr="00A26321">
              <w:rPr>
                <w:rFonts w:ascii="Times New Roman" w:eastAsiaTheme="minorEastAsia" w:hAnsi="Times New Roman" w:cs="Times New Roman"/>
                <w:sz w:val="20"/>
                <w:szCs w:val="20"/>
                <w:vertAlign w:val="subscript"/>
              </w:rPr>
              <w:t xml:space="preserve">ohmic </w:t>
            </w:r>
            <w:r w:rsidRPr="00A26321">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(γ×</m:t>
              </m:r>
              <m:r>
                <m:rPr>
                  <m:sty m:val="p"/>
                </m:rPr>
                <w:rPr>
                  <w:rFonts w:ascii="Cambria Math" w:eastAsiaTheme="minorEastAsia" w:hAnsi="Cambria Math" w:cs="Times New Roman"/>
                  <w:sz w:val="20"/>
                  <w:szCs w:val="20"/>
                </w:rPr>
                <m:t>exp⁡</m:t>
              </m:r>
              <m:r>
                <w:rPr>
                  <w:rFonts w:ascii="Cambria Math" w:eastAsiaTheme="minorEastAsia" w:hAnsi="Cambria Math" w:cs="Times New Roman"/>
                  <w:sz w:val="20"/>
                  <w:szCs w:val="20"/>
                </w:rPr>
                <m:t>(β(</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0</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fc</m:t>
                  </m:r>
                </m:sub>
              </m:sSub>
            </m:oMath>
            <w:r w:rsidRPr="00A26321">
              <w:rPr>
                <w:rFonts w:ascii="Times New Roman" w:eastAsiaTheme="minorEastAsia" w:hAnsi="Times New Roman" w:cs="Times New Roman"/>
                <w:sz w:val="20"/>
                <w:szCs w:val="20"/>
              </w:rPr>
              <w:t xml:space="preserve">     </w:t>
            </w:r>
          </w:p>
        </w:tc>
      </w:tr>
      <w:tr w:rsidR="001B4AE4" w:rsidRPr="00A26321" w14:paraId="7AD75B50" w14:textId="77777777" w:rsidTr="001B4AE4">
        <w:trPr>
          <w:trHeight w:val="261"/>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tcPr>
          <w:p w14:paraId="33AB7A14" w14:textId="77777777" w:rsidR="001B4AE4" w:rsidRPr="00A26321" w:rsidRDefault="001B4AE4" w:rsidP="00882468">
            <w:pPr>
              <w:rPr>
                <w:rFonts w:ascii="Times New Roman" w:hAnsi="Times New Roman" w:cs="Times New Roman"/>
                <w:i w:val="0"/>
                <w:iCs w:val="0"/>
                <w:sz w:val="18"/>
                <w:szCs w:val="18"/>
              </w:rPr>
            </w:pPr>
            <w:r w:rsidRPr="00A26321">
              <w:rPr>
                <w:rFonts w:ascii="Times New Roman" w:hAnsi="Times New Roman" w:cs="Times New Roman"/>
                <w:sz w:val="18"/>
                <w:szCs w:val="18"/>
              </w:rPr>
              <w:t>Activation Losses</w:t>
            </w:r>
          </w:p>
        </w:tc>
        <w:tc>
          <w:tcPr>
            <w:tcW w:w="5854" w:type="dxa"/>
            <w:shd w:val="clear" w:color="auto" w:fill="auto"/>
          </w:tcPr>
          <w:p w14:paraId="54772BC7" w14:textId="0F3D81B4" w:rsidR="001B4AE4" w:rsidRPr="00A26321" w:rsidRDefault="001B4AE4" w:rsidP="005329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26321">
              <w:rPr>
                <w:rFonts w:ascii="Times New Roman" w:hAnsi="Times New Roman" w:cs="Times New Roman"/>
                <w:sz w:val="20"/>
                <w:szCs w:val="20"/>
              </w:rPr>
              <w:t>V</w:t>
            </w:r>
            <w:r w:rsidRPr="00A26321">
              <w:rPr>
                <w:rFonts w:ascii="Times New Roman" w:hAnsi="Times New Roman" w:cs="Times New Roman"/>
                <w:sz w:val="20"/>
                <w:szCs w:val="20"/>
                <w:vertAlign w:val="subscript"/>
              </w:rPr>
              <w:t xml:space="preserve">act </w:t>
            </w:r>
            <w:r w:rsidRPr="00A26321">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RT</m:t>
                  </m:r>
                </m:num>
                <m:den>
                  <m:r>
                    <w:rPr>
                      <w:rFonts w:ascii="Cambria Math" w:hAnsi="Cambria Math" w:cs="Times New Roman"/>
                      <w:sz w:val="20"/>
                      <w:szCs w:val="20"/>
                    </w:rPr>
                    <m:t>nF</m:t>
                  </m:r>
                </m:den>
              </m:f>
              <m:r>
                <w:rPr>
                  <w:rFonts w:ascii="Cambria Math" w:hAnsi="Cambria Math" w:cs="Times New Roman"/>
                  <w:sz w:val="20"/>
                  <w:szCs w:val="20"/>
                </w:rPr>
                <m:t xml:space="preserve"> (z+</m:t>
              </m:r>
              <m:rad>
                <m:radPr>
                  <m:degHide m:val="1"/>
                  <m:ctrlPr>
                    <w:rPr>
                      <w:rFonts w:ascii="Cambria Math" w:hAnsi="Cambria Math" w:cs="Times New Roman"/>
                      <w:i/>
                      <w:sz w:val="20"/>
                      <w:szCs w:val="20"/>
                    </w:rPr>
                  </m:ctrlPr>
                </m:radPr>
                <m:deg/>
                <m:e>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e>
              </m:rad>
              <m:r>
                <w:rPr>
                  <w:rFonts w:ascii="Cambria Math" w:hAnsi="Cambria Math" w:cs="Times New Roman"/>
                  <w:sz w:val="20"/>
                  <w:szCs w:val="20"/>
                </w:rPr>
                <m:t>)</m:t>
              </m:r>
            </m:oMath>
            <w:r w:rsidRPr="00A26321">
              <w:rPr>
                <w:rFonts w:ascii="Times New Roman" w:eastAsiaTheme="minorEastAsia" w:hAnsi="Times New Roman" w:cs="Times New Roman"/>
                <w:sz w:val="20"/>
                <w:szCs w:val="20"/>
              </w:rPr>
              <w:t xml:space="preserve">   Where z = </w: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fc</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2I</m:t>
                      </m:r>
                    </m:e>
                    <m:sub>
                      <m:r>
                        <w:rPr>
                          <w:rFonts w:ascii="Cambria Math" w:eastAsiaTheme="minorEastAsia" w:hAnsi="Cambria Math" w:cs="Times New Roman"/>
                          <w:sz w:val="20"/>
                          <w:szCs w:val="20"/>
                        </w:rPr>
                        <m:t>0</m:t>
                      </m:r>
                    </m:sub>
                  </m:sSub>
                </m:den>
              </m:f>
            </m:oMath>
            <w:r w:rsidRPr="00A26321">
              <w:rPr>
                <w:rFonts w:ascii="Times New Roman" w:eastAsiaTheme="minorEastAsia" w:hAnsi="Times New Roman" w:cs="Times New Roman"/>
                <w:sz w:val="20"/>
                <w:szCs w:val="20"/>
              </w:rPr>
              <w:tab/>
              <w:t xml:space="preserve"> </w:t>
            </w:r>
          </w:p>
        </w:tc>
      </w:tr>
      <w:tr w:rsidR="001B4AE4" w:rsidRPr="00A26321" w14:paraId="3C83AECE" w14:textId="77777777" w:rsidTr="001B4AE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tcPr>
          <w:p w14:paraId="32D70D17" w14:textId="77777777" w:rsidR="001B4AE4" w:rsidRPr="00A26321" w:rsidRDefault="001B4AE4" w:rsidP="00882468">
            <w:pPr>
              <w:rPr>
                <w:rFonts w:ascii="Times New Roman" w:hAnsi="Times New Roman" w:cs="Times New Roman"/>
                <w:i w:val="0"/>
                <w:iCs w:val="0"/>
                <w:sz w:val="18"/>
                <w:szCs w:val="18"/>
              </w:rPr>
            </w:pPr>
            <w:r w:rsidRPr="00A26321">
              <w:rPr>
                <w:rFonts w:ascii="Times New Roman" w:hAnsi="Times New Roman" w:cs="Times New Roman"/>
                <w:sz w:val="18"/>
                <w:szCs w:val="18"/>
              </w:rPr>
              <w:t>Concentration Losses</w:t>
            </w:r>
          </w:p>
        </w:tc>
        <w:tc>
          <w:tcPr>
            <w:tcW w:w="5854" w:type="dxa"/>
            <w:shd w:val="clear" w:color="auto" w:fill="auto"/>
          </w:tcPr>
          <w:p w14:paraId="7F1DFD19" w14:textId="77777777" w:rsidR="001B4AE4" w:rsidRPr="00A26321" w:rsidRDefault="001B4AE4" w:rsidP="008824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26321">
              <w:rPr>
                <w:rFonts w:ascii="Times New Roman" w:hAnsi="Times New Roman" w:cs="Times New Roman"/>
                <w:sz w:val="20"/>
                <w:szCs w:val="20"/>
              </w:rPr>
              <w:t>V</w:t>
            </w:r>
            <w:r w:rsidRPr="00A26321">
              <w:rPr>
                <w:rFonts w:ascii="Times New Roman" w:hAnsi="Times New Roman" w:cs="Times New Roman"/>
                <w:sz w:val="20"/>
                <w:szCs w:val="20"/>
                <w:vertAlign w:val="subscript"/>
              </w:rPr>
              <w:t xml:space="preserve">conc </w:t>
            </w:r>
            <w:r w:rsidRPr="00A26321">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RT</m:t>
                  </m:r>
                </m:num>
                <m:den>
                  <m:r>
                    <w:rPr>
                      <w:rFonts w:ascii="Cambria Math" w:hAnsi="Cambria Math" w:cs="Times New Roman"/>
                      <w:sz w:val="20"/>
                      <w:szCs w:val="20"/>
                    </w:rPr>
                    <m:t>nF</m:t>
                  </m:r>
                </m:den>
              </m:f>
              <m:r>
                <w:rPr>
                  <w:rFonts w:ascii="Cambria Math" w:hAnsi="Cambria Math" w:cs="Times New Roman"/>
                  <w:sz w:val="20"/>
                  <w:szCs w:val="20"/>
                </w:rPr>
                <m:t xml:space="preserve"> </m:t>
              </m:r>
              <m:r>
                <m:rPr>
                  <m:sty m:val="p"/>
                </m:rPr>
                <w:rPr>
                  <w:rFonts w:ascii="Cambria Math" w:hAnsi="Cambria Math" w:cs="Times New Roman"/>
                  <w:sz w:val="20"/>
                  <w:szCs w:val="20"/>
                </w:rPr>
                <m:t>ln⁡</m:t>
              </m:r>
              <m:r>
                <w:rPr>
                  <w:rFonts w:ascii="Cambria Math" w:hAnsi="Cambria Math" w:cs="Times New Roman"/>
                  <w:sz w:val="20"/>
                  <w:szCs w:val="20"/>
                </w:rPr>
                <m:t>(1-</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fc</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L</m:t>
                      </m:r>
                    </m:sub>
                  </m:sSub>
                </m:den>
              </m:f>
              <m:r>
                <w:rPr>
                  <w:rFonts w:ascii="Cambria Math" w:eastAsiaTheme="minorEastAsia" w:hAnsi="Cambria Math" w:cs="Times New Roman"/>
                  <w:sz w:val="20"/>
                  <w:szCs w:val="20"/>
                </w:rPr>
                <m:t>)</m:t>
              </m:r>
            </m:oMath>
            <w:r w:rsidRPr="00A26321">
              <w:rPr>
                <w:rFonts w:ascii="Times New Roman" w:eastAsiaTheme="minorEastAsia" w:hAnsi="Times New Roman" w:cs="Times New Roman"/>
                <w:sz w:val="20"/>
                <w:szCs w:val="20"/>
              </w:rPr>
              <w:tab/>
              <w:t xml:space="preserve"> Where </w:t>
            </w:r>
            <w:r w:rsidRPr="00A26321">
              <w:rPr>
                <w:rFonts w:ascii="Times New Roman" w:eastAsiaTheme="minorEastAsia" w:hAnsi="Times New Roman" w:cs="Times New Roman"/>
                <w:i/>
                <w:iCs/>
                <w:sz w:val="20"/>
                <w:szCs w:val="20"/>
              </w:rPr>
              <w:t>I</w:t>
            </w:r>
            <w:r w:rsidRPr="00A26321">
              <w:rPr>
                <w:rFonts w:ascii="Times New Roman" w:eastAsiaTheme="minorEastAsia" w:hAnsi="Times New Roman" w:cs="Times New Roman"/>
                <w:i/>
                <w:iCs/>
                <w:sz w:val="20"/>
                <w:szCs w:val="20"/>
                <w:vertAlign w:val="subscript"/>
              </w:rPr>
              <w:t>L</w:t>
            </w:r>
            <w:r w:rsidRPr="00A26321">
              <w:rPr>
                <w:rFonts w:ascii="Times New Roman" w:eastAsiaTheme="minorEastAsia" w:hAnsi="Times New Roman" w:cs="Times New Roman"/>
                <w:i/>
                <w:iCs/>
                <w:sz w:val="20"/>
                <w:szCs w:val="20"/>
              </w:rPr>
              <w:t>=K .Cꝏ and I</w:t>
            </w:r>
            <w:r w:rsidRPr="00A26321">
              <w:rPr>
                <w:rFonts w:ascii="Times New Roman" w:eastAsiaTheme="minorEastAsia" w:hAnsi="Times New Roman" w:cs="Times New Roman"/>
                <w:i/>
                <w:iCs/>
                <w:sz w:val="20"/>
                <w:szCs w:val="20"/>
                <w:vertAlign w:val="subscript"/>
              </w:rPr>
              <w:t xml:space="preserve">fc= </w:t>
            </w:r>
            <w:r w:rsidRPr="00A26321">
              <w:rPr>
                <w:rFonts w:ascii="Times New Roman" w:eastAsiaTheme="minorEastAsia" w:hAnsi="Times New Roman" w:cs="Times New Roman"/>
                <w:sz w:val="20"/>
                <w:szCs w:val="20"/>
              </w:rPr>
              <w:t>K. (Cꝏ - Cb)</w:t>
            </w:r>
          </w:p>
        </w:tc>
      </w:tr>
      <w:tr w:rsidR="001B4AE4" w:rsidRPr="00A26321" w14:paraId="6C602D56" w14:textId="77777777" w:rsidTr="001B4AE4">
        <w:trPr>
          <w:trHeight w:val="1670"/>
        </w:trPr>
        <w:tc>
          <w:tcPr>
            <w:cnfStyle w:val="001000000000" w:firstRow="0" w:lastRow="0" w:firstColumn="1" w:lastColumn="0" w:oddVBand="0" w:evenVBand="0" w:oddHBand="0" w:evenHBand="0" w:firstRowFirstColumn="0" w:firstRowLastColumn="0" w:lastRowFirstColumn="0" w:lastRowLastColumn="0"/>
            <w:tcW w:w="1725" w:type="dxa"/>
            <w:shd w:val="clear" w:color="auto" w:fill="auto"/>
          </w:tcPr>
          <w:p w14:paraId="22D5DF18" w14:textId="77777777" w:rsidR="001B4AE4" w:rsidRPr="00A26321" w:rsidRDefault="001B4AE4" w:rsidP="00882468">
            <w:pPr>
              <w:rPr>
                <w:rFonts w:ascii="Times New Roman" w:hAnsi="Times New Roman" w:cs="Times New Roman"/>
                <w:i w:val="0"/>
                <w:iCs w:val="0"/>
                <w:sz w:val="18"/>
                <w:szCs w:val="18"/>
              </w:rPr>
            </w:pPr>
            <w:r w:rsidRPr="00A26321">
              <w:rPr>
                <w:rFonts w:ascii="Times New Roman" w:hAnsi="Times New Roman" w:cs="Times New Roman"/>
                <w:sz w:val="18"/>
                <w:szCs w:val="18"/>
              </w:rPr>
              <w:t xml:space="preserve">Partial Pressure </w:t>
            </w:r>
          </w:p>
        </w:tc>
        <w:tc>
          <w:tcPr>
            <w:tcW w:w="5854" w:type="dxa"/>
            <w:shd w:val="clear" w:color="auto" w:fill="auto"/>
          </w:tcPr>
          <w:p w14:paraId="01DC4F6C" w14:textId="10B4FD09" w:rsidR="001B4AE4" w:rsidRPr="00A26321" w:rsidRDefault="00000000" w:rsidP="0053294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sub>
                      </m:sSub>
                    </m:den>
                  </m:f>
                </m:num>
                <m:den>
                  <m:r>
                    <w:rPr>
                      <w:rFonts w:ascii="Cambria Math" w:eastAsiaTheme="minorEastAsia" w:hAnsi="Cambria Math" w:cs="Times New Roman"/>
                      <w:sz w:val="20"/>
                      <w:szCs w:val="20"/>
                    </w:rPr>
                    <m:t>1+</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τ</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sub>
                  </m:sSub>
                </m:den>
              </m:f>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sub>
              </m:sSub>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r</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fc</m:t>
                  </m:r>
                </m:sub>
              </m:sSub>
              <m:r>
                <w:rPr>
                  <w:rFonts w:ascii="Cambria Math" w:eastAsiaTheme="minorEastAsia" w:hAnsi="Cambria Math" w:cs="Times New Roman"/>
                  <w:sz w:val="20"/>
                  <w:szCs w:val="20"/>
                </w:rPr>
                <m:t>)</m:t>
              </m:r>
            </m:oMath>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p>
          <w:p w14:paraId="7BDFA272" w14:textId="592BE937" w:rsidR="001B4AE4" w:rsidRPr="00A26321" w:rsidRDefault="00000000" w:rsidP="0053294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2</m:t>
                      </m:r>
                    </m:sub>
                  </m:sSub>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2</m:t>
                              </m:r>
                            </m:sub>
                          </m:sSub>
                        </m:sub>
                      </m:sSub>
                    </m:den>
                  </m:f>
                </m:num>
                <m:den>
                  <m:r>
                    <w:rPr>
                      <w:rFonts w:ascii="Cambria Math" w:eastAsiaTheme="minorEastAsia" w:hAnsi="Cambria Math" w:cs="Times New Roman"/>
                      <w:sz w:val="20"/>
                      <w:szCs w:val="20"/>
                    </w:rPr>
                    <m:t>1+</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τ</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2</m:t>
                          </m:r>
                        </m:sub>
                      </m:sSub>
                    </m:sub>
                  </m:sSub>
                </m:den>
              </m:f>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2</m:t>
                      </m:r>
                    </m:sub>
                  </m:sSub>
                </m:sub>
              </m:sSub>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r</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fc</m:t>
                  </m:r>
                </m:sub>
              </m:sSub>
              <m:r>
                <w:rPr>
                  <w:rFonts w:ascii="Cambria Math" w:eastAsiaTheme="minorEastAsia" w:hAnsi="Cambria Math" w:cs="Times New Roman"/>
                  <w:sz w:val="20"/>
                  <w:szCs w:val="20"/>
                </w:rPr>
                <m:t>)</m:t>
              </m:r>
            </m:oMath>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p>
          <w:p w14:paraId="4D67E2CE" w14:textId="66EFBA98" w:rsidR="001B4AE4" w:rsidRPr="00A26321" w:rsidRDefault="00000000" w:rsidP="0053294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O</m:t>
                          </m:r>
                        </m:sub>
                      </m:sSub>
                    </m:den>
                  </m:f>
                </m:num>
                <m:den>
                  <m:r>
                    <w:rPr>
                      <w:rFonts w:ascii="Cambria Math" w:eastAsiaTheme="minorEastAsia" w:hAnsi="Cambria Math" w:cs="Times New Roman"/>
                      <w:sz w:val="20"/>
                      <w:szCs w:val="20"/>
                    </w:rPr>
                    <m:t>1+</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τ</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O</m:t>
                      </m:r>
                    </m:sub>
                  </m:sSub>
                </m:den>
              </m:f>
              <m:r>
                <w:rPr>
                  <w:rFonts w:ascii="Cambria Math" w:eastAsiaTheme="minorEastAsia" w:hAnsi="Cambria Math" w:cs="Times New Roman"/>
                  <w:sz w:val="20"/>
                  <w:szCs w:val="20"/>
                </w:rPr>
                <m:t xml:space="preserve"> ×(2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r</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fc</m:t>
                  </m:r>
                </m:sub>
              </m:sSub>
              <m:r>
                <w:rPr>
                  <w:rFonts w:ascii="Cambria Math" w:eastAsiaTheme="minorEastAsia" w:hAnsi="Cambria Math" w:cs="Times New Roman"/>
                  <w:sz w:val="20"/>
                  <w:szCs w:val="20"/>
                </w:rPr>
                <m:t>)</m:t>
              </m:r>
            </m:oMath>
            <w:r w:rsidR="001B4AE4" w:rsidRPr="00A26321">
              <w:rPr>
                <w:rFonts w:ascii="Times New Roman" w:eastAsiaTheme="minorEastAsia" w:hAnsi="Times New Roman" w:cs="Times New Roman"/>
                <w:sz w:val="20"/>
                <w:szCs w:val="20"/>
              </w:rPr>
              <w:tab/>
              <w:t xml:space="preserve">            </w:t>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p>
          <w:p w14:paraId="2574DF44" w14:textId="798F77C0" w:rsidR="001B4AE4" w:rsidRPr="00A26321" w:rsidRDefault="00000000" w:rsidP="00532942">
            <w:pPr>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r</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opt</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1+</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τ</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s</m:t>
                  </m:r>
                </m:den>
              </m:f>
              <m:r>
                <w:rPr>
                  <w:rFonts w:ascii="Cambria Math" w:eastAsiaTheme="minorEastAsia" w:hAnsi="Cambria Math" w:cs="Times New Roman"/>
                  <w:sz w:val="20"/>
                  <w:szCs w:val="20"/>
                </w:rPr>
                <m:t>)</m:t>
              </m:r>
            </m:oMath>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p>
          <w:p w14:paraId="0FA5F2CC" w14:textId="77777777" w:rsidR="001B4AE4" w:rsidRPr="00A26321" w:rsidRDefault="00000000" w:rsidP="008824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O</m:t>
                      </m:r>
                    </m:e>
                    <m:sub>
                      <m:r>
                        <w:rPr>
                          <w:rFonts w:ascii="Cambria Math" w:eastAsiaTheme="minorEastAsia" w:hAnsi="Cambria Math" w:cs="Times New Roman"/>
                          <w:sz w:val="20"/>
                          <w:szCs w:val="20"/>
                        </w:rPr>
                        <m:t>2</m:t>
                      </m:r>
                    </m:sub>
                  </m:sSub>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q</m:t>
                      </m:r>
                    </m:e>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2</m:t>
                          </m:r>
                        </m:sub>
                      </m:sSub>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OH</m:t>
                      </m:r>
                    </m:sub>
                  </m:sSub>
                </m:den>
              </m:f>
            </m:oMath>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r w:rsidR="001B4AE4" w:rsidRPr="00A26321">
              <w:rPr>
                <w:rFonts w:ascii="Times New Roman" w:eastAsiaTheme="minorEastAsia" w:hAnsi="Times New Roman" w:cs="Times New Roman"/>
                <w:sz w:val="20"/>
                <w:szCs w:val="20"/>
              </w:rPr>
              <w:tab/>
            </w:r>
          </w:p>
        </w:tc>
      </w:tr>
      <w:tr w:rsidR="001B4AE4" w:rsidRPr="00A26321" w14:paraId="76EBF372" w14:textId="77777777" w:rsidTr="001B4AE4">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725" w:type="dxa"/>
            <w:tcBorders>
              <w:bottom w:val="single" w:sz="4" w:space="0" w:color="auto"/>
            </w:tcBorders>
            <w:shd w:val="clear" w:color="auto" w:fill="auto"/>
          </w:tcPr>
          <w:p w14:paraId="40B8230B" w14:textId="77777777" w:rsidR="001B4AE4" w:rsidRPr="00A26321" w:rsidRDefault="001B4AE4" w:rsidP="00882468">
            <w:pPr>
              <w:rPr>
                <w:rFonts w:ascii="Times New Roman" w:hAnsi="Times New Roman" w:cs="Times New Roman"/>
                <w:i w:val="0"/>
                <w:iCs w:val="0"/>
                <w:sz w:val="18"/>
                <w:szCs w:val="18"/>
              </w:rPr>
            </w:pPr>
            <w:r w:rsidRPr="00A26321">
              <w:rPr>
                <w:rFonts w:ascii="Times New Roman" w:hAnsi="Times New Roman" w:cs="Times New Roman"/>
                <w:sz w:val="18"/>
                <w:szCs w:val="18"/>
              </w:rPr>
              <w:t>Power output</w:t>
            </w:r>
          </w:p>
        </w:tc>
        <w:tc>
          <w:tcPr>
            <w:tcW w:w="5854" w:type="dxa"/>
            <w:tcBorders>
              <w:bottom w:val="single" w:sz="4" w:space="0" w:color="auto"/>
            </w:tcBorders>
            <w:shd w:val="clear" w:color="auto" w:fill="auto"/>
          </w:tcPr>
          <w:p w14:paraId="73253EED" w14:textId="1E848A71" w:rsidR="001B4AE4" w:rsidRPr="00A26321" w:rsidRDefault="001B4AE4" w:rsidP="00A3455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m:oMath>
              <m:r>
                <w:rPr>
                  <w:rFonts w:ascii="Cambria Math" w:hAnsi="Cambria Math" w:cs="Times New Roman"/>
                  <w:sz w:val="20"/>
                  <w:szCs w:val="20"/>
                </w:rPr>
                <m:t xml:space="preserve">Pout= </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fc</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w:rPr>
                      <w:rFonts w:ascii="Cambria Math" w:hAnsi="Cambria Math" w:cs="Times New Roman"/>
                      <w:sz w:val="20"/>
                      <w:szCs w:val="20"/>
                    </w:rPr>
                    <m:t>out</m:t>
                  </m:r>
                </m:sub>
              </m:sSub>
            </m:oMath>
            <w:r w:rsidRPr="00A26321">
              <w:rPr>
                <w:rFonts w:ascii="Times New Roman" w:eastAsiaTheme="minorEastAsia" w:hAnsi="Times New Roman" w:cs="Times New Roman"/>
                <w:sz w:val="20"/>
                <w:szCs w:val="20"/>
              </w:rPr>
              <w:tab/>
              <w:t xml:space="preserve">                              </w:t>
            </w:r>
          </w:p>
        </w:tc>
      </w:tr>
    </w:tbl>
    <w:p w14:paraId="046DE818" w14:textId="29B9E2E0" w:rsidR="00765B18" w:rsidRPr="00A26321" w:rsidRDefault="001B4AE4" w:rsidP="00765B18">
      <w:pPr>
        <w:spacing w:before="240" w:after="240"/>
        <w:jc w:val="both"/>
      </w:pPr>
      <w:r w:rsidRPr="00A26321">
        <w:t>The integration methodology feeds the outputs of the g</w:t>
      </w:r>
      <w:r w:rsidR="006542C2" w:rsidRPr="00A26321">
        <w:t>asification into the SOFC,</w:t>
      </w:r>
      <w:r w:rsidRPr="00A26321">
        <w:t xml:space="preserve"> focusing on the syngas composition and flow rates from the gasifier as inputs for the SOFC. </w:t>
      </w:r>
      <w:r w:rsidR="00A7585F" w:rsidRPr="00A26321">
        <w:rPr>
          <w:i/>
          <w:iCs/>
        </w:rPr>
        <w:t>(i)</w:t>
      </w:r>
      <w:r w:rsidR="00A7585F" w:rsidRPr="00A26321">
        <w:t xml:space="preserve"> </w:t>
      </w:r>
      <w:r w:rsidRPr="00A26321">
        <w:t>Gasification Model Outputs: The model generates syngas components (H</w:t>
      </w:r>
      <w:r w:rsidRPr="00A26321">
        <w:rPr>
          <w:vertAlign w:val="subscript"/>
        </w:rPr>
        <w:t>2</w:t>
      </w:r>
      <w:r w:rsidRPr="00A26321">
        <w:t>, CO, CO</w:t>
      </w:r>
      <w:r w:rsidRPr="00A26321">
        <w:rPr>
          <w:vertAlign w:val="subscript"/>
        </w:rPr>
        <w:t>2</w:t>
      </w:r>
      <w:r w:rsidRPr="00A26321">
        <w:t>, CH</w:t>
      </w:r>
      <w:r w:rsidRPr="00A26321">
        <w:rPr>
          <w:vertAlign w:val="subscript"/>
        </w:rPr>
        <w:t>4</w:t>
      </w:r>
      <w:r w:rsidRPr="00A26321">
        <w:t>) from plast</w:t>
      </w:r>
      <w:r w:rsidR="00934B5F" w:rsidRPr="00A26321">
        <w:t>ic waste gasification at 1023 K</w:t>
      </w:r>
      <w:r w:rsidRPr="00A26321">
        <w:t xml:space="preserve"> measured in kmol/hr.</w:t>
      </w:r>
      <w:r w:rsidR="00A7585F" w:rsidRPr="00A26321">
        <w:t xml:space="preserve"> </w:t>
      </w:r>
      <w:r w:rsidR="00A7585F" w:rsidRPr="00A26321">
        <w:rPr>
          <w:i/>
          <w:iCs/>
        </w:rPr>
        <w:t>(ii)</w:t>
      </w:r>
      <w:r w:rsidRPr="00A26321">
        <w:t xml:space="preserve">Unit Conversion: For integration with the </w:t>
      </w:r>
      <w:r w:rsidR="00934B5F" w:rsidRPr="00A26321">
        <w:t>SOFC</w:t>
      </w:r>
      <w:r w:rsidRPr="00A26321">
        <w:t xml:space="preserve"> model and real-time applications, the gas component rates are converted from kmol/hr to mol/min using the formula: Rate in mol/sec = Rate in kmol/hr × 0.277 × 60.</w:t>
      </w:r>
      <w:r w:rsidR="00A7585F" w:rsidRPr="00A26321">
        <w:t xml:space="preserve"> </w:t>
      </w:r>
      <w:r w:rsidR="00A7585F" w:rsidRPr="00A26321">
        <w:rPr>
          <w:i/>
          <w:iCs/>
        </w:rPr>
        <w:t>(iii)</w:t>
      </w:r>
      <w:r w:rsidR="00A7585F" w:rsidRPr="00A26321">
        <w:t xml:space="preserve"> </w:t>
      </w:r>
      <w:r w:rsidR="00934B5F" w:rsidRPr="00A26321">
        <w:t>Calculation of H</w:t>
      </w:r>
      <w:r w:rsidR="00934B5F" w:rsidRPr="00A26321">
        <w:rPr>
          <w:vertAlign w:val="subscript"/>
        </w:rPr>
        <w:t>2</w:t>
      </w:r>
      <w:r w:rsidR="00934B5F" w:rsidRPr="00A26321">
        <w:t xml:space="preserve"> and O</w:t>
      </w:r>
      <w:r w:rsidR="00934B5F" w:rsidRPr="00A26321">
        <w:rPr>
          <w:vertAlign w:val="subscript"/>
        </w:rPr>
        <w:t>2</w:t>
      </w:r>
      <w:r w:rsidR="00934B5F" w:rsidRPr="00A26321">
        <w:t xml:space="preserve">: </w:t>
      </w:r>
      <w:r w:rsidR="00A7585F" w:rsidRPr="00A26321">
        <w:t>Total H</w:t>
      </w:r>
      <w:r w:rsidR="00A7585F" w:rsidRPr="00A26321">
        <w:rPr>
          <w:vertAlign w:val="subscript"/>
        </w:rPr>
        <w:t>2</w:t>
      </w:r>
      <w:r w:rsidRPr="00A26321">
        <w:t xml:space="preserve"> (qh2) is calculated by adding </w:t>
      </w:r>
      <w:r w:rsidR="00A7585F" w:rsidRPr="00A26321">
        <w:t>H</w:t>
      </w:r>
      <w:r w:rsidR="00A7585F" w:rsidRPr="00A26321">
        <w:rPr>
          <w:vertAlign w:val="subscript"/>
        </w:rPr>
        <w:t xml:space="preserve">2 </w:t>
      </w:r>
      <w:r w:rsidRPr="00A26321">
        <w:t xml:space="preserve">from gasification and four times the </w:t>
      </w:r>
      <w:r w:rsidR="00A7585F" w:rsidRPr="00A26321">
        <w:t>H</w:t>
      </w:r>
      <w:r w:rsidR="00A7585F" w:rsidRPr="00A26321">
        <w:rPr>
          <w:vertAlign w:val="subscript"/>
        </w:rPr>
        <w:t>2</w:t>
      </w:r>
      <w:r w:rsidRPr="00A26321">
        <w:t xml:space="preserve"> from CH</w:t>
      </w:r>
      <w:r w:rsidRPr="00A26321">
        <w:rPr>
          <w:vertAlign w:val="subscript"/>
        </w:rPr>
        <w:t>4</w:t>
      </w:r>
      <w:r w:rsidRPr="00A26321">
        <w:t xml:space="preserve"> (as each CH</w:t>
      </w:r>
      <w:r w:rsidRPr="00A26321">
        <w:rPr>
          <w:vertAlign w:val="subscript"/>
        </w:rPr>
        <w:t>4</w:t>
      </w:r>
      <w:r w:rsidR="00A7585F" w:rsidRPr="00A26321">
        <w:t xml:space="preserve"> molecule has four H</w:t>
      </w:r>
      <w:r w:rsidR="00A7585F" w:rsidRPr="00A26321">
        <w:rPr>
          <w:vertAlign w:val="subscript"/>
        </w:rPr>
        <w:t>2</w:t>
      </w:r>
      <w:r w:rsidR="00DA1FE2" w:rsidRPr="00A26321">
        <w:t xml:space="preserve"> atoms) and</w:t>
      </w:r>
      <w:r w:rsidR="00A7585F" w:rsidRPr="00A26321">
        <w:t xml:space="preserve"> </w:t>
      </w:r>
      <w:r w:rsidR="00DA1FE2" w:rsidRPr="00A26321">
        <w:t>t</w:t>
      </w:r>
      <w:r w:rsidRPr="00A26321">
        <w:t>ot</w:t>
      </w:r>
      <w:r w:rsidR="00A7585F" w:rsidRPr="00A26321">
        <w:t>al O</w:t>
      </w:r>
      <w:r w:rsidR="00A7585F" w:rsidRPr="00A26321">
        <w:rPr>
          <w:vertAlign w:val="subscript"/>
        </w:rPr>
        <w:t>2</w:t>
      </w:r>
      <w:r w:rsidRPr="00A26321">
        <w:t xml:space="preserve"> (qo2) is calculated from CO and CO</w:t>
      </w:r>
      <w:r w:rsidRPr="00A26321">
        <w:rPr>
          <w:vertAlign w:val="subscript"/>
        </w:rPr>
        <w:t>2</w:t>
      </w:r>
      <w:r w:rsidRPr="00A26321">
        <w:t xml:space="preserve"> rates, considering each CO</w:t>
      </w:r>
      <w:r w:rsidRPr="00A26321">
        <w:rPr>
          <w:vertAlign w:val="subscript"/>
        </w:rPr>
        <w:t>2</w:t>
      </w:r>
      <w:r w:rsidRPr="00A26321">
        <w:t xml:space="preserve"> molecule contributes two oxygen atoms.</w:t>
      </w:r>
      <w:r w:rsidR="00A7585F" w:rsidRPr="00A26321">
        <w:t xml:space="preserve"> (iv)</w:t>
      </w:r>
      <w:r w:rsidR="00DA1FE2" w:rsidRPr="00A26321">
        <w:t xml:space="preserve"> </w:t>
      </w:r>
      <w:r w:rsidRPr="00A26321">
        <w:t xml:space="preserve">The calculated </w:t>
      </w:r>
      <w:r w:rsidR="00DA1FE2" w:rsidRPr="00A26321">
        <w:t>H</w:t>
      </w:r>
      <w:r w:rsidR="00DA1FE2" w:rsidRPr="00A26321">
        <w:rPr>
          <w:vertAlign w:val="subscript"/>
        </w:rPr>
        <w:t>2</w:t>
      </w:r>
      <w:r w:rsidRPr="00A26321">
        <w:t xml:space="preserve"> (qh2) and </w:t>
      </w:r>
      <w:r w:rsidR="00DA1FE2" w:rsidRPr="00A26321">
        <w:t>O</w:t>
      </w:r>
      <w:r w:rsidR="00DA1FE2" w:rsidRPr="00A26321">
        <w:rPr>
          <w:vertAlign w:val="subscript"/>
        </w:rPr>
        <w:t>2</w:t>
      </w:r>
      <w:r w:rsidRPr="00A26321">
        <w:t xml:space="preserve"> (qo2</w:t>
      </w:r>
      <w:r w:rsidR="00E843EE" w:rsidRPr="00A26321">
        <w:t>) rates are used in the SOFC. H</w:t>
      </w:r>
      <w:r w:rsidR="00E843EE" w:rsidRPr="00A26321">
        <w:rPr>
          <w:vertAlign w:val="subscript"/>
        </w:rPr>
        <w:t>2</w:t>
      </w:r>
      <w:r w:rsidRPr="00A26321">
        <w:t xml:space="preserve"> primarily contributes to electricity, water, and heat generation a</w:t>
      </w:r>
      <w:r w:rsidR="00934B5F" w:rsidRPr="00A26321">
        <w:t>t the SOFC's anode side, while O</w:t>
      </w:r>
      <w:r w:rsidR="00934B5F" w:rsidRPr="00A26321">
        <w:rPr>
          <w:vertAlign w:val="subscript"/>
        </w:rPr>
        <w:t>2</w:t>
      </w:r>
      <w:r w:rsidR="00934B5F" w:rsidRPr="00A26321">
        <w:t xml:space="preserve"> </w:t>
      </w:r>
      <w:r w:rsidRPr="00A26321">
        <w:t>content aids in maintaining the electrochemical balance.</w:t>
      </w:r>
      <w:r w:rsidR="00A7585F" w:rsidRPr="00A26321">
        <w:t xml:space="preserve"> </w:t>
      </w:r>
      <w:r w:rsidR="00E843EE" w:rsidRPr="00A26321">
        <w:t>Moreover, s</w:t>
      </w:r>
      <w:r w:rsidR="00931872" w:rsidRPr="00A26321">
        <w:t xml:space="preserve">ensitivity analysis shows the </w:t>
      </w:r>
      <w:r w:rsidRPr="00A26321">
        <w:t>effects of temperature, ste</w:t>
      </w:r>
      <w:r w:rsidR="00931872" w:rsidRPr="00A26321">
        <w:t>am and CaO flow</w:t>
      </w:r>
      <w:r w:rsidR="00934B5F" w:rsidRPr="00A26321">
        <w:t>rate</w:t>
      </w:r>
      <w:r w:rsidR="00931872" w:rsidRPr="00A26321">
        <w:t xml:space="preserve"> on the system's performance like </w:t>
      </w:r>
      <w:r w:rsidRPr="00A26321">
        <w:t>power and voltage.</w:t>
      </w:r>
    </w:p>
    <w:p w14:paraId="144DE6A5" w14:textId="5F46B04C" w:rsidR="008D2649" w:rsidRPr="00A26321" w:rsidRDefault="001B4AE4" w:rsidP="0082399F">
      <w:pPr>
        <w:pStyle w:val="Els-1storder-head"/>
        <w:spacing w:before="0" w:after="0"/>
        <w:rPr>
          <w:sz w:val="20"/>
          <w:lang w:val="en-GB"/>
        </w:rPr>
      </w:pPr>
      <w:r w:rsidRPr="00A26321">
        <w:rPr>
          <w:sz w:val="20"/>
          <w:lang w:val="en-GB"/>
        </w:rPr>
        <w:t xml:space="preserve">Results and discussion </w:t>
      </w:r>
    </w:p>
    <w:p w14:paraId="39E573C1" w14:textId="5D0E16B9" w:rsidR="00FB40F7" w:rsidRPr="00A26321" w:rsidRDefault="008E13D1" w:rsidP="00765B18">
      <w:pPr>
        <w:pStyle w:val="Els-body-text"/>
        <w:spacing w:after="240"/>
        <w:rPr>
          <w:rFonts w:eastAsia="Calibri" w:cs="Arial"/>
          <w:lang w:val="en-GB"/>
        </w:rPr>
      </w:pPr>
      <w:r w:rsidRPr="00A26321">
        <w:rPr>
          <w:rFonts w:eastAsia="Calibri" w:cs="Arial"/>
          <w:lang w:val="en-GB"/>
        </w:rPr>
        <w:t>As the study investigates the influence of gasification temperature, Ste</w:t>
      </w:r>
      <w:r w:rsidR="00E843EE" w:rsidRPr="00A26321">
        <w:rPr>
          <w:rFonts w:eastAsia="Calibri" w:cs="Arial"/>
          <w:lang w:val="en-GB"/>
        </w:rPr>
        <w:t>am/feed ratio, and CaO/feed</w:t>
      </w:r>
      <w:r w:rsidRPr="00A26321">
        <w:rPr>
          <w:rFonts w:eastAsia="Calibri" w:cs="Arial"/>
          <w:lang w:val="en-GB"/>
        </w:rPr>
        <w:t xml:space="preserve"> ratio on the SOFC’s performance in terms of power, current, and voltage, three data sets were considered for evaluation and discussion: Gasifier temperature at 1023 K,</w:t>
      </w:r>
      <w:r w:rsidRPr="00A26321">
        <w:rPr>
          <w:rFonts w:eastAsiaTheme="minorEastAsia"/>
          <w:szCs w:val="24"/>
          <w:lang w:val="en-GB"/>
        </w:rPr>
        <w:t xml:space="preserve"> </w:t>
      </w:r>
      <w:r w:rsidRPr="00A26321">
        <w:rPr>
          <w:rFonts w:eastAsia="Calibri" w:cs="Arial"/>
          <w:lang w:val="en-GB"/>
        </w:rPr>
        <w:t>this specific temperature is selected as it represents an optimum operating condition for gasifiers, which shows a higher H</w:t>
      </w:r>
      <w:r w:rsidRPr="00A26321">
        <w:rPr>
          <w:rFonts w:eastAsia="Calibri" w:cs="Arial"/>
          <w:vertAlign w:val="subscript"/>
          <w:lang w:val="en-GB"/>
        </w:rPr>
        <w:t>2</w:t>
      </w:r>
      <w:r w:rsidR="00E843EE" w:rsidRPr="00A26321">
        <w:rPr>
          <w:rFonts w:eastAsia="Calibri" w:cs="Arial"/>
          <w:lang w:val="en-GB"/>
        </w:rPr>
        <w:t xml:space="preserve"> flow rate </w:t>
      </w:r>
      <w:r w:rsidRPr="00A26321">
        <w:rPr>
          <w:rFonts w:eastAsia="Calibri" w:cs="Arial"/>
          <w:lang w:val="en-GB"/>
        </w:rPr>
        <w:t>,</w:t>
      </w:r>
      <w:r w:rsidR="00A34558" w:rsidRPr="00A26321">
        <w:rPr>
          <w:rFonts w:eastAsia="Calibri" w:cs="Arial"/>
          <w:lang w:val="en-GB"/>
        </w:rPr>
        <w:t xml:space="preserve"> steam flow rate of 1.00 k</w:t>
      </w:r>
      <w:r w:rsidR="00882468" w:rsidRPr="00A26321">
        <w:rPr>
          <w:rFonts w:eastAsia="Calibri" w:cs="Arial"/>
          <w:lang w:val="en-GB"/>
        </w:rPr>
        <w:t>mol/h</w:t>
      </w:r>
      <w:r w:rsidR="00A34558" w:rsidRPr="00A26321">
        <w:rPr>
          <w:rFonts w:eastAsia="Calibri" w:cs="Arial"/>
          <w:lang w:val="en-GB"/>
        </w:rPr>
        <w:t>, and CaO flow rate of 0.50 k</w:t>
      </w:r>
      <w:r w:rsidRPr="00A26321">
        <w:rPr>
          <w:rFonts w:eastAsia="Calibri" w:cs="Arial"/>
          <w:lang w:val="en-GB"/>
        </w:rPr>
        <w:t xml:space="preserve">mol/hr. As shown below in table 3, the syngas composition, obtained </w:t>
      </w:r>
      <w:r w:rsidRPr="00A26321">
        <w:rPr>
          <w:rFonts w:eastAsia="Calibri" w:cs="Arial"/>
          <w:lang w:val="en-GB"/>
        </w:rPr>
        <w:lastRenderedPageBreak/>
        <w:t>from Aspen Plus</w:t>
      </w:r>
      <w:r w:rsidRPr="00A26321">
        <w:t>®</w:t>
      </w:r>
      <w:r w:rsidRPr="00A26321">
        <w:rPr>
          <w:rFonts w:eastAsia="Calibri" w:cs="Arial"/>
          <w:lang w:val="en-GB"/>
        </w:rPr>
        <w:t xml:space="preserve">  for each data set was outlined. The cell performance is measured in terms of output voltage, power with respect to change in temperature.</w:t>
      </w:r>
    </w:p>
    <w:p w14:paraId="05F9C53F" w14:textId="3017C48F" w:rsidR="00882468" w:rsidRPr="00A26321" w:rsidRDefault="00882468" w:rsidP="0082399F">
      <w:pPr>
        <w:pStyle w:val="Caption"/>
        <w:keepNext/>
        <w:spacing w:before="0" w:after="0"/>
      </w:pPr>
      <w:r w:rsidRPr="00A26321">
        <w:t xml:space="preserve">Table </w:t>
      </w:r>
      <w:r w:rsidRPr="00A26321">
        <w:fldChar w:fldCharType="begin"/>
      </w:r>
      <w:r w:rsidRPr="00A26321">
        <w:instrText xml:space="preserve"> SEQ Table \* ARABIC </w:instrText>
      </w:r>
      <w:r w:rsidRPr="00A26321">
        <w:fldChar w:fldCharType="separate"/>
      </w:r>
      <w:r w:rsidRPr="00A26321">
        <w:rPr>
          <w:noProof/>
        </w:rPr>
        <w:t>3</w:t>
      </w:r>
      <w:r w:rsidRPr="00A26321">
        <w:fldChar w:fldCharType="end"/>
      </w:r>
      <w:r w:rsidRPr="00A26321">
        <w:t xml:space="preserve">: Gasification output at optimum process parameters </w:t>
      </w:r>
    </w:p>
    <w:tbl>
      <w:tblPr>
        <w:tblStyle w:val="TableGrid"/>
        <w:tblW w:w="7077" w:type="dxa"/>
        <w:tblLook w:val="04A0" w:firstRow="1" w:lastRow="0" w:firstColumn="1" w:lastColumn="0" w:noHBand="0" w:noVBand="1"/>
      </w:tblPr>
      <w:tblGrid>
        <w:gridCol w:w="1606"/>
        <w:gridCol w:w="999"/>
        <w:gridCol w:w="968"/>
        <w:gridCol w:w="1168"/>
        <w:gridCol w:w="1321"/>
        <w:gridCol w:w="1015"/>
      </w:tblGrid>
      <w:tr w:rsidR="00882468" w:rsidRPr="00A26321" w14:paraId="140A79B6" w14:textId="77777777" w:rsidTr="00882468">
        <w:trPr>
          <w:trHeight w:val="256"/>
        </w:trPr>
        <w:tc>
          <w:tcPr>
            <w:tcW w:w="1606" w:type="dxa"/>
            <w:noWrap/>
            <w:vAlign w:val="center"/>
            <w:hideMark/>
          </w:tcPr>
          <w:p w14:paraId="1D646581" w14:textId="5C4A86DC" w:rsidR="008E13D1" w:rsidRPr="00A26321" w:rsidRDefault="008E13D1" w:rsidP="008E13D1">
            <w:pPr>
              <w:rPr>
                <w:rFonts w:ascii="Times New Roman" w:eastAsiaTheme="majorEastAsia" w:hAnsi="Times New Roman" w:cs="Times New Roman"/>
                <w:b/>
                <w:bCs/>
                <w:i/>
                <w:iCs/>
                <w:kern w:val="0"/>
                <w:sz w:val="18"/>
                <w:szCs w:val="18"/>
                <w14:ligatures w14:val="none"/>
              </w:rPr>
            </w:pPr>
            <w:r w:rsidRPr="00A26321">
              <w:rPr>
                <w:rFonts w:ascii="Times New Roman" w:eastAsiaTheme="majorEastAsia" w:hAnsi="Times New Roman" w:cs="Times New Roman"/>
                <w:b/>
                <w:bCs/>
                <w:i/>
                <w:iCs/>
                <w:kern w:val="0"/>
                <w:sz w:val="18"/>
                <w:szCs w:val="18"/>
                <w14:ligatures w14:val="none"/>
              </w:rPr>
              <w:t xml:space="preserve">Parameters </w:t>
            </w:r>
          </w:p>
        </w:tc>
        <w:tc>
          <w:tcPr>
            <w:tcW w:w="999" w:type="dxa"/>
            <w:noWrap/>
            <w:vAlign w:val="center"/>
            <w:hideMark/>
          </w:tcPr>
          <w:p w14:paraId="2F96C6D4" w14:textId="33A25690" w:rsidR="008E13D1" w:rsidRPr="00A26321" w:rsidRDefault="008E13D1" w:rsidP="00882468">
            <w:pPr>
              <w:jc w:val="center"/>
              <w:rPr>
                <w:rFonts w:ascii="Times New Roman" w:eastAsiaTheme="majorEastAsia" w:hAnsi="Times New Roman" w:cs="Times New Roman"/>
                <w:b/>
                <w:bCs/>
                <w:i/>
                <w:iCs/>
                <w:kern w:val="0"/>
                <w:sz w:val="18"/>
                <w:szCs w:val="18"/>
                <w14:ligatures w14:val="none"/>
              </w:rPr>
            </w:pPr>
            <w:r w:rsidRPr="00A26321">
              <w:rPr>
                <w:rFonts w:ascii="Times New Roman" w:eastAsiaTheme="majorEastAsia" w:hAnsi="Times New Roman" w:cs="Times New Roman"/>
                <w:b/>
                <w:bCs/>
                <w:i/>
                <w:iCs/>
                <w:kern w:val="0"/>
                <w:sz w:val="18"/>
                <w:szCs w:val="18"/>
                <w14:ligatures w14:val="none"/>
              </w:rPr>
              <w:t>H</w:t>
            </w:r>
            <w:r w:rsidRPr="00A26321">
              <w:rPr>
                <w:rFonts w:ascii="Times New Roman" w:eastAsiaTheme="majorEastAsia" w:hAnsi="Times New Roman" w:cs="Times New Roman"/>
                <w:b/>
                <w:bCs/>
                <w:i/>
                <w:iCs/>
                <w:kern w:val="0"/>
                <w:sz w:val="18"/>
                <w:szCs w:val="18"/>
                <w:vertAlign w:val="subscript"/>
                <w14:ligatures w14:val="none"/>
              </w:rPr>
              <w:t xml:space="preserve">2 </w:t>
            </w:r>
            <w:r w:rsidR="00A34558" w:rsidRPr="00A26321">
              <w:rPr>
                <w:rFonts w:ascii="Times New Roman" w:eastAsiaTheme="majorEastAsia" w:hAnsi="Times New Roman" w:cs="Times New Roman"/>
                <w:b/>
                <w:bCs/>
                <w:i/>
                <w:iCs/>
                <w:kern w:val="0"/>
                <w:sz w:val="18"/>
                <w:szCs w:val="18"/>
                <w14:ligatures w14:val="none"/>
              </w:rPr>
              <w:t>(k</w:t>
            </w:r>
            <w:r w:rsidR="00882468" w:rsidRPr="00A26321">
              <w:rPr>
                <w:rFonts w:ascii="Times New Roman" w:eastAsiaTheme="majorEastAsia" w:hAnsi="Times New Roman" w:cs="Times New Roman"/>
                <w:b/>
                <w:bCs/>
                <w:i/>
                <w:iCs/>
                <w:kern w:val="0"/>
                <w:sz w:val="18"/>
                <w:szCs w:val="18"/>
                <w14:ligatures w14:val="none"/>
              </w:rPr>
              <w:t>mol/hr</w:t>
            </w:r>
            <w:r w:rsidRPr="00A26321">
              <w:rPr>
                <w:rFonts w:ascii="Times New Roman" w:eastAsiaTheme="majorEastAsia" w:hAnsi="Times New Roman" w:cs="Times New Roman"/>
                <w:b/>
                <w:bCs/>
                <w:i/>
                <w:iCs/>
                <w:kern w:val="0"/>
                <w:sz w:val="18"/>
                <w:szCs w:val="18"/>
                <w14:ligatures w14:val="none"/>
              </w:rPr>
              <w:t>)</w:t>
            </w:r>
          </w:p>
        </w:tc>
        <w:tc>
          <w:tcPr>
            <w:tcW w:w="968" w:type="dxa"/>
            <w:noWrap/>
            <w:vAlign w:val="center"/>
            <w:hideMark/>
          </w:tcPr>
          <w:p w14:paraId="46567900" w14:textId="627C9AAE" w:rsidR="008E13D1" w:rsidRPr="00A26321" w:rsidRDefault="00A34558" w:rsidP="00882468">
            <w:pPr>
              <w:jc w:val="center"/>
              <w:rPr>
                <w:rFonts w:ascii="Times New Roman" w:eastAsiaTheme="majorEastAsia" w:hAnsi="Times New Roman" w:cs="Times New Roman"/>
                <w:b/>
                <w:bCs/>
                <w:i/>
                <w:iCs/>
                <w:kern w:val="0"/>
                <w:sz w:val="18"/>
                <w:szCs w:val="18"/>
                <w14:ligatures w14:val="none"/>
              </w:rPr>
            </w:pPr>
            <w:r w:rsidRPr="00A26321">
              <w:rPr>
                <w:rFonts w:ascii="Times New Roman" w:eastAsiaTheme="majorEastAsia" w:hAnsi="Times New Roman" w:cs="Times New Roman"/>
                <w:b/>
                <w:bCs/>
                <w:i/>
                <w:iCs/>
                <w:kern w:val="0"/>
                <w:sz w:val="18"/>
                <w:szCs w:val="18"/>
                <w14:ligatures w14:val="none"/>
              </w:rPr>
              <w:t>CO (k</w:t>
            </w:r>
            <w:r w:rsidR="008E13D1" w:rsidRPr="00A26321">
              <w:rPr>
                <w:rFonts w:ascii="Times New Roman" w:eastAsiaTheme="majorEastAsia" w:hAnsi="Times New Roman" w:cs="Times New Roman"/>
                <w:b/>
                <w:bCs/>
                <w:i/>
                <w:iCs/>
                <w:kern w:val="0"/>
                <w:sz w:val="18"/>
                <w:szCs w:val="18"/>
                <w14:ligatures w14:val="none"/>
              </w:rPr>
              <w:t>mol/hr)</w:t>
            </w:r>
          </w:p>
        </w:tc>
        <w:tc>
          <w:tcPr>
            <w:tcW w:w="1168" w:type="dxa"/>
            <w:noWrap/>
            <w:vAlign w:val="center"/>
            <w:hideMark/>
          </w:tcPr>
          <w:p w14:paraId="7E6CC180" w14:textId="5968FC09" w:rsidR="008E13D1" w:rsidRPr="00A26321" w:rsidRDefault="008E13D1" w:rsidP="00882468">
            <w:pPr>
              <w:jc w:val="center"/>
              <w:rPr>
                <w:rFonts w:ascii="Times New Roman" w:eastAsiaTheme="majorEastAsia" w:hAnsi="Times New Roman" w:cs="Times New Roman"/>
                <w:b/>
                <w:bCs/>
                <w:i/>
                <w:iCs/>
                <w:kern w:val="0"/>
                <w:sz w:val="18"/>
                <w:szCs w:val="18"/>
                <w14:ligatures w14:val="none"/>
              </w:rPr>
            </w:pPr>
            <w:r w:rsidRPr="00A26321">
              <w:rPr>
                <w:rFonts w:ascii="Times New Roman" w:eastAsiaTheme="majorEastAsia" w:hAnsi="Times New Roman" w:cs="Times New Roman"/>
                <w:b/>
                <w:bCs/>
                <w:i/>
                <w:iCs/>
                <w:kern w:val="0"/>
                <w:sz w:val="18"/>
                <w:szCs w:val="18"/>
                <w14:ligatures w14:val="none"/>
              </w:rPr>
              <w:t>CO</w:t>
            </w:r>
            <w:r w:rsidRPr="00A26321">
              <w:rPr>
                <w:rFonts w:ascii="Times New Roman" w:eastAsiaTheme="majorEastAsia" w:hAnsi="Times New Roman" w:cs="Times New Roman"/>
                <w:b/>
                <w:bCs/>
                <w:i/>
                <w:iCs/>
                <w:kern w:val="0"/>
                <w:sz w:val="18"/>
                <w:szCs w:val="18"/>
                <w:vertAlign w:val="subscript"/>
                <w14:ligatures w14:val="none"/>
              </w:rPr>
              <w:t xml:space="preserve">2 </w:t>
            </w:r>
            <w:r w:rsidR="00A34558" w:rsidRPr="00A26321">
              <w:rPr>
                <w:rFonts w:ascii="Times New Roman" w:eastAsiaTheme="majorEastAsia" w:hAnsi="Times New Roman" w:cs="Times New Roman"/>
                <w:b/>
                <w:bCs/>
                <w:i/>
                <w:iCs/>
                <w:kern w:val="0"/>
                <w:sz w:val="18"/>
                <w:szCs w:val="18"/>
                <w14:ligatures w14:val="none"/>
              </w:rPr>
              <w:t>(k</w:t>
            </w:r>
            <w:r w:rsidRPr="00A26321">
              <w:rPr>
                <w:rFonts w:ascii="Times New Roman" w:eastAsiaTheme="majorEastAsia" w:hAnsi="Times New Roman" w:cs="Times New Roman"/>
                <w:b/>
                <w:bCs/>
                <w:i/>
                <w:iCs/>
                <w:kern w:val="0"/>
                <w:sz w:val="18"/>
                <w:szCs w:val="18"/>
                <w14:ligatures w14:val="none"/>
              </w:rPr>
              <w:t>mol/hr)</w:t>
            </w:r>
          </w:p>
        </w:tc>
        <w:tc>
          <w:tcPr>
            <w:tcW w:w="1321" w:type="dxa"/>
            <w:noWrap/>
            <w:vAlign w:val="center"/>
            <w:hideMark/>
          </w:tcPr>
          <w:p w14:paraId="6998F5EC" w14:textId="77777777" w:rsidR="00882468" w:rsidRPr="00A26321" w:rsidRDefault="008E13D1" w:rsidP="00882468">
            <w:pPr>
              <w:jc w:val="center"/>
              <w:rPr>
                <w:rFonts w:ascii="Times New Roman" w:eastAsiaTheme="majorEastAsia" w:hAnsi="Times New Roman" w:cs="Times New Roman"/>
                <w:b/>
                <w:bCs/>
                <w:i/>
                <w:iCs/>
                <w:kern w:val="0"/>
                <w:sz w:val="18"/>
                <w:szCs w:val="18"/>
                <w:vertAlign w:val="subscript"/>
                <w14:ligatures w14:val="none"/>
              </w:rPr>
            </w:pPr>
            <w:r w:rsidRPr="00A26321">
              <w:rPr>
                <w:rFonts w:ascii="Times New Roman" w:eastAsiaTheme="majorEastAsia" w:hAnsi="Times New Roman" w:cs="Times New Roman"/>
                <w:b/>
                <w:bCs/>
                <w:i/>
                <w:iCs/>
                <w:kern w:val="0"/>
                <w:sz w:val="18"/>
                <w:szCs w:val="18"/>
                <w14:ligatures w14:val="none"/>
              </w:rPr>
              <w:t>CH</w:t>
            </w:r>
            <w:r w:rsidRPr="00A26321">
              <w:rPr>
                <w:rFonts w:ascii="Times New Roman" w:eastAsiaTheme="majorEastAsia" w:hAnsi="Times New Roman" w:cs="Times New Roman"/>
                <w:b/>
                <w:bCs/>
                <w:i/>
                <w:iCs/>
                <w:kern w:val="0"/>
                <w:sz w:val="18"/>
                <w:szCs w:val="18"/>
                <w:vertAlign w:val="subscript"/>
                <w14:ligatures w14:val="none"/>
              </w:rPr>
              <w:t xml:space="preserve">4 </w:t>
            </w:r>
          </w:p>
          <w:p w14:paraId="2D4836CC" w14:textId="695FEC3E" w:rsidR="008E13D1" w:rsidRPr="00A26321" w:rsidRDefault="00A34558" w:rsidP="00882468">
            <w:pPr>
              <w:jc w:val="center"/>
              <w:rPr>
                <w:rFonts w:ascii="Times New Roman" w:eastAsiaTheme="majorEastAsia" w:hAnsi="Times New Roman" w:cs="Times New Roman"/>
                <w:b/>
                <w:bCs/>
                <w:i/>
                <w:iCs/>
                <w:kern w:val="0"/>
                <w:sz w:val="18"/>
                <w:szCs w:val="18"/>
                <w14:ligatures w14:val="none"/>
              </w:rPr>
            </w:pPr>
            <w:r w:rsidRPr="00A26321">
              <w:rPr>
                <w:rFonts w:ascii="Times New Roman" w:eastAsiaTheme="majorEastAsia" w:hAnsi="Times New Roman" w:cs="Times New Roman"/>
                <w:b/>
                <w:bCs/>
                <w:i/>
                <w:iCs/>
                <w:kern w:val="0"/>
                <w:sz w:val="18"/>
                <w:szCs w:val="18"/>
                <w14:ligatures w14:val="none"/>
              </w:rPr>
              <w:t>(k</w:t>
            </w:r>
            <w:r w:rsidR="008E13D1" w:rsidRPr="00A26321">
              <w:rPr>
                <w:rFonts w:ascii="Times New Roman" w:eastAsiaTheme="majorEastAsia" w:hAnsi="Times New Roman" w:cs="Times New Roman"/>
                <w:b/>
                <w:bCs/>
                <w:i/>
                <w:iCs/>
                <w:kern w:val="0"/>
                <w:sz w:val="18"/>
                <w:szCs w:val="18"/>
                <w14:ligatures w14:val="none"/>
              </w:rPr>
              <w:t>mol/hr)</w:t>
            </w:r>
          </w:p>
        </w:tc>
        <w:tc>
          <w:tcPr>
            <w:tcW w:w="1015" w:type="dxa"/>
            <w:noWrap/>
            <w:vAlign w:val="center"/>
            <w:hideMark/>
          </w:tcPr>
          <w:p w14:paraId="466B0E25" w14:textId="60D060D6" w:rsidR="008E13D1" w:rsidRPr="00A26321" w:rsidRDefault="00A34558" w:rsidP="00D31956">
            <w:pPr>
              <w:jc w:val="center"/>
              <w:rPr>
                <w:rFonts w:ascii="Times New Roman" w:eastAsiaTheme="majorEastAsia" w:hAnsi="Times New Roman" w:cs="Times New Roman"/>
                <w:b/>
                <w:bCs/>
                <w:i/>
                <w:iCs/>
                <w:kern w:val="0"/>
                <w:sz w:val="18"/>
                <w:szCs w:val="18"/>
                <w14:ligatures w14:val="none"/>
              </w:rPr>
            </w:pPr>
            <w:r w:rsidRPr="00A26321">
              <w:rPr>
                <w:rFonts w:ascii="Times New Roman" w:eastAsiaTheme="majorEastAsia" w:hAnsi="Times New Roman" w:cs="Times New Roman"/>
                <w:b/>
                <w:bCs/>
                <w:i/>
                <w:iCs/>
                <w:kern w:val="0"/>
                <w:sz w:val="18"/>
                <w:szCs w:val="18"/>
                <w14:ligatures w14:val="none"/>
              </w:rPr>
              <w:t>Syngas (k</w:t>
            </w:r>
            <w:r w:rsidR="008E13D1" w:rsidRPr="00A26321">
              <w:rPr>
                <w:rFonts w:ascii="Times New Roman" w:eastAsiaTheme="majorEastAsia" w:hAnsi="Times New Roman" w:cs="Times New Roman"/>
                <w:b/>
                <w:bCs/>
                <w:i/>
                <w:iCs/>
                <w:kern w:val="0"/>
                <w:sz w:val="18"/>
                <w:szCs w:val="18"/>
                <w14:ligatures w14:val="none"/>
              </w:rPr>
              <w:t>mol/hr)</w:t>
            </w:r>
          </w:p>
        </w:tc>
      </w:tr>
      <w:tr w:rsidR="00882468" w:rsidRPr="00A26321" w14:paraId="3E9132CC" w14:textId="77777777" w:rsidTr="00882468">
        <w:trPr>
          <w:trHeight w:val="256"/>
        </w:trPr>
        <w:tc>
          <w:tcPr>
            <w:tcW w:w="1606" w:type="dxa"/>
            <w:noWrap/>
            <w:vAlign w:val="center"/>
            <w:hideMark/>
          </w:tcPr>
          <w:p w14:paraId="70EBED8B" w14:textId="45146F2B" w:rsidR="008E13D1" w:rsidRPr="00A26321" w:rsidRDefault="008E13D1" w:rsidP="00882468">
            <w:pPr>
              <w:jc w:val="center"/>
              <w:rPr>
                <w:rFonts w:ascii="Times New Roman" w:eastAsiaTheme="majorEastAsia" w:hAnsi="Times New Roman" w:cs="Times New Roman"/>
                <w:i/>
                <w:iCs/>
                <w:kern w:val="0"/>
                <w:sz w:val="18"/>
                <w:szCs w:val="18"/>
                <w14:ligatures w14:val="none"/>
              </w:rPr>
            </w:pPr>
            <w:r w:rsidRPr="00A26321">
              <w:rPr>
                <w:rFonts w:ascii="Times New Roman" w:eastAsiaTheme="majorEastAsia" w:hAnsi="Times New Roman" w:cs="Times New Roman"/>
                <w:i/>
                <w:iCs/>
                <w:kern w:val="0"/>
                <w:sz w:val="18"/>
                <w:szCs w:val="18"/>
                <w14:ligatures w14:val="none"/>
              </w:rPr>
              <w:t xml:space="preserve"> Temperature (1023 K)</w:t>
            </w:r>
          </w:p>
        </w:tc>
        <w:tc>
          <w:tcPr>
            <w:tcW w:w="999" w:type="dxa"/>
            <w:noWrap/>
            <w:vAlign w:val="center"/>
            <w:hideMark/>
          </w:tcPr>
          <w:p w14:paraId="2604D0B4" w14:textId="4162F61C" w:rsidR="008E13D1" w:rsidRPr="00A26321" w:rsidRDefault="008E13D1" w:rsidP="008E13D1">
            <w:pPr>
              <w:jc w:val="center"/>
              <w:rPr>
                <w:rFonts w:ascii="Times New Roman" w:hAnsi="Times New Roman" w:cs="Times New Roman"/>
                <w:sz w:val="18"/>
                <w:szCs w:val="18"/>
              </w:rPr>
            </w:pPr>
            <w:r w:rsidRPr="00A26321">
              <w:rPr>
                <w:rFonts w:ascii="Times New Roman" w:hAnsi="Times New Roman" w:cs="Times New Roman"/>
                <w:sz w:val="18"/>
                <w:szCs w:val="18"/>
              </w:rPr>
              <w:t>0.0633</w:t>
            </w:r>
          </w:p>
        </w:tc>
        <w:tc>
          <w:tcPr>
            <w:tcW w:w="968" w:type="dxa"/>
            <w:noWrap/>
            <w:vAlign w:val="center"/>
            <w:hideMark/>
          </w:tcPr>
          <w:p w14:paraId="21C74FC0" w14:textId="0C885A34" w:rsidR="008E13D1" w:rsidRPr="00A26321" w:rsidRDefault="008E13D1" w:rsidP="008E13D1">
            <w:pPr>
              <w:jc w:val="center"/>
              <w:rPr>
                <w:rFonts w:ascii="Times New Roman" w:hAnsi="Times New Roman" w:cs="Times New Roman"/>
                <w:sz w:val="18"/>
                <w:szCs w:val="18"/>
              </w:rPr>
            </w:pPr>
            <w:r w:rsidRPr="00A26321">
              <w:rPr>
                <w:rFonts w:ascii="Times New Roman" w:hAnsi="Times New Roman" w:cs="Times New Roman"/>
                <w:sz w:val="18"/>
                <w:szCs w:val="18"/>
              </w:rPr>
              <w:t>0.0092</w:t>
            </w:r>
          </w:p>
        </w:tc>
        <w:tc>
          <w:tcPr>
            <w:tcW w:w="1168" w:type="dxa"/>
            <w:noWrap/>
            <w:vAlign w:val="center"/>
            <w:hideMark/>
          </w:tcPr>
          <w:p w14:paraId="764B41BA" w14:textId="65F9420C" w:rsidR="008E13D1" w:rsidRPr="00A26321" w:rsidRDefault="008E13D1" w:rsidP="008E13D1">
            <w:pPr>
              <w:jc w:val="center"/>
              <w:rPr>
                <w:rFonts w:ascii="Times New Roman" w:hAnsi="Times New Roman" w:cs="Times New Roman"/>
                <w:sz w:val="18"/>
                <w:szCs w:val="18"/>
              </w:rPr>
            </w:pPr>
            <w:r w:rsidRPr="00A26321">
              <w:rPr>
                <w:rFonts w:ascii="Times New Roman" w:hAnsi="Times New Roman" w:cs="Times New Roman"/>
                <w:sz w:val="18"/>
                <w:szCs w:val="18"/>
              </w:rPr>
              <w:t>0.0086</w:t>
            </w:r>
          </w:p>
        </w:tc>
        <w:tc>
          <w:tcPr>
            <w:tcW w:w="1321" w:type="dxa"/>
            <w:noWrap/>
            <w:vAlign w:val="center"/>
            <w:hideMark/>
          </w:tcPr>
          <w:p w14:paraId="402579A0" w14:textId="51A88D4A" w:rsidR="008E13D1" w:rsidRPr="00A26321" w:rsidRDefault="008E13D1" w:rsidP="008E13D1">
            <w:pPr>
              <w:jc w:val="center"/>
              <w:rPr>
                <w:rFonts w:ascii="Times New Roman" w:hAnsi="Times New Roman" w:cs="Times New Roman"/>
                <w:sz w:val="18"/>
                <w:szCs w:val="18"/>
              </w:rPr>
            </w:pPr>
            <w:r w:rsidRPr="00A26321">
              <w:rPr>
                <w:rFonts w:ascii="Times New Roman" w:hAnsi="Times New Roman" w:cs="Times New Roman"/>
                <w:sz w:val="18"/>
                <w:szCs w:val="18"/>
              </w:rPr>
              <w:t>0.00006</w:t>
            </w:r>
          </w:p>
        </w:tc>
        <w:tc>
          <w:tcPr>
            <w:tcW w:w="1015" w:type="dxa"/>
            <w:noWrap/>
            <w:vAlign w:val="center"/>
            <w:hideMark/>
          </w:tcPr>
          <w:p w14:paraId="78B7CF1B" w14:textId="40BC71F3" w:rsidR="008E13D1" w:rsidRPr="00A26321" w:rsidRDefault="008E13D1" w:rsidP="00882468">
            <w:pPr>
              <w:jc w:val="center"/>
              <w:rPr>
                <w:rFonts w:ascii="Times New Roman" w:hAnsi="Times New Roman" w:cs="Times New Roman"/>
                <w:sz w:val="18"/>
                <w:szCs w:val="18"/>
              </w:rPr>
            </w:pPr>
            <w:r w:rsidRPr="00A26321">
              <w:rPr>
                <w:rFonts w:ascii="Times New Roman" w:hAnsi="Times New Roman" w:cs="Times New Roman"/>
                <w:sz w:val="18"/>
                <w:szCs w:val="18"/>
              </w:rPr>
              <w:t>0.08126</w:t>
            </w:r>
          </w:p>
        </w:tc>
      </w:tr>
      <w:tr w:rsidR="00882468" w:rsidRPr="00A26321" w14:paraId="1BCF5F66" w14:textId="77777777" w:rsidTr="00882468">
        <w:trPr>
          <w:trHeight w:val="256"/>
        </w:trPr>
        <w:tc>
          <w:tcPr>
            <w:tcW w:w="1606" w:type="dxa"/>
            <w:noWrap/>
            <w:vAlign w:val="center"/>
          </w:tcPr>
          <w:p w14:paraId="70758DE0" w14:textId="77777777" w:rsidR="00882468" w:rsidRPr="00A26321" w:rsidRDefault="008E13D1" w:rsidP="00882468">
            <w:pPr>
              <w:jc w:val="center"/>
              <w:rPr>
                <w:rFonts w:ascii="Times New Roman" w:eastAsiaTheme="majorEastAsia" w:hAnsi="Times New Roman" w:cs="Times New Roman"/>
                <w:i/>
                <w:iCs/>
                <w:kern w:val="0"/>
                <w:sz w:val="18"/>
                <w:szCs w:val="18"/>
                <w14:ligatures w14:val="none"/>
              </w:rPr>
            </w:pPr>
            <w:r w:rsidRPr="00A26321">
              <w:rPr>
                <w:rFonts w:ascii="Times New Roman" w:eastAsiaTheme="majorEastAsia" w:hAnsi="Times New Roman" w:cs="Times New Roman"/>
                <w:i/>
                <w:iCs/>
                <w:sz w:val="18"/>
                <w:szCs w:val="18"/>
              </w:rPr>
              <w:t>Steam Flow Rate</w:t>
            </w:r>
            <w:r w:rsidRPr="00A26321">
              <w:rPr>
                <w:rFonts w:ascii="Times New Roman" w:eastAsiaTheme="majorEastAsia" w:hAnsi="Times New Roman" w:cs="Times New Roman"/>
                <w:i/>
                <w:iCs/>
                <w:kern w:val="0"/>
                <w:sz w:val="18"/>
                <w:szCs w:val="18"/>
                <w14:ligatures w14:val="none"/>
              </w:rPr>
              <w:t xml:space="preserve"> </w:t>
            </w:r>
          </w:p>
          <w:p w14:paraId="28AC47CB" w14:textId="0326BA53" w:rsidR="008E13D1" w:rsidRPr="00A26321" w:rsidRDefault="008E13D1" w:rsidP="00882468">
            <w:pPr>
              <w:jc w:val="center"/>
              <w:rPr>
                <w:rFonts w:ascii="Times New Roman" w:eastAsiaTheme="majorEastAsia" w:hAnsi="Times New Roman" w:cs="Times New Roman"/>
                <w:i/>
                <w:iCs/>
                <w:sz w:val="18"/>
                <w:szCs w:val="18"/>
              </w:rPr>
            </w:pPr>
            <w:r w:rsidRPr="00A26321">
              <w:rPr>
                <w:rFonts w:ascii="Times New Roman" w:eastAsiaTheme="majorEastAsia" w:hAnsi="Times New Roman" w:cs="Times New Roman"/>
                <w:i/>
                <w:iCs/>
                <w:kern w:val="0"/>
                <w:sz w:val="18"/>
                <w:szCs w:val="18"/>
                <w14:ligatures w14:val="none"/>
              </w:rPr>
              <w:t>(1</w:t>
            </w:r>
            <w:r w:rsidR="00882468" w:rsidRPr="00A26321">
              <w:rPr>
                <w:rFonts w:ascii="Times New Roman" w:eastAsiaTheme="majorEastAsia" w:hAnsi="Times New Roman" w:cs="Times New Roman"/>
                <w:i/>
                <w:iCs/>
                <w:kern w:val="0"/>
                <w:sz w:val="18"/>
                <w:szCs w:val="18"/>
                <w14:ligatures w14:val="none"/>
              </w:rPr>
              <w:t xml:space="preserve"> </w:t>
            </w:r>
            <w:r w:rsidRPr="00A26321">
              <w:rPr>
                <w:rFonts w:ascii="Times New Roman" w:eastAsiaTheme="majorEastAsia" w:hAnsi="Times New Roman" w:cs="Times New Roman"/>
                <w:i/>
                <w:iCs/>
                <w:kern w:val="0"/>
                <w:sz w:val="18"/>
                <w:szCs w:val="18"/>
                <w14:ligatures w14:val="none"/>
              </w:rPr>
              <w:t>Kmol/hr</w:t>
            </w:r>
            <w:r w:rsidRPr="00A26321">
              <w:rPr>
                <w:rFonts w:ascii="Times New Roman" w:eastAsiaTheme="majorEastAsia" w:hAnsi="Times New Roman" w:cs="Times New Roman"/>
                <w:i/>
                <w:iCs/>
                <w:sz w:val="18"/>
                <w:szCs w:val="18"/>
              </w:rPr>
              <w:t>)</w:t>
            </w:r>
          </w:p>
        </w:tc>
        <w:tc>
          <w:tcPr>
            <w:tcW w:w="999" w:type="dxa"/>
            <w:noWrap/>
            <w:vAlign w:val="center"/>
          </w:tcPr>
          <w:p w14:paraId="744AFD8D" w14:textId="186C45E1" w:rsidR="008E13D1" w:rsidRPr="00A26321" w:rsidRDefault="008E13D1" w:rsidP="008E13D1">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sz w:val="18"/>
                <w:szCs w:val="18"/>
              </w:rPr>
              <w:t>0.05888</w:t>
            </w:r>
          </w:p>
        </w:tc>
        <w:tc>
          <w:tcPr>
            <w:tcW w:w="968" w:type="dxa"/>
            <w:noWrap/>
            <w:vAlign w:val="center"/>
          </w:tcPr>
          <w:p w14:paraId="7BEDFD02" w14:textId="0CC190F9" w:rsidR="008E13D1" w:rsidRPr="00A26321" w:rsidRDefault="008E13D1" w:rsidP="008E13D1">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sz w:val="18"/>
                <w:szCs w:val="18"/>
              </w:rPr>
              <w:t>0.01068</w:t>
            </w:r>
          </w:p>
        </w:tc>
        <w:tc>
          <w:tcPr>
            <w:tcW w:w="1168" w:type="dxa"/>
            <w:noWrap/>
            <w:vAlign w:val="center"/>
          </w:tcPr>
          <w:p w14:paraId="7410406A" w14:textId="698808D8" w:rsidR="008E13D1" w:rsidRPr="00A26321" w:rsidRDefault="008E13D1" w:rsidP="00D31956">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sz w:val="18"/>
                <w:szCs w:val="18"/>
              </w:rPr>
              <w:t>0.00639</w:t>
            </w:r>
          </w:p>
        </w:tc>
        <w:tc>
          <w:tcPr>
            <w:tcW w:w="1321" w:type="dxa"/>
            <w:noWrap/>
            <w:vAlign w:val="center"/>
          </w:tcPr>
          <w:p w14:paraId="2E842B1A" w14:textId="77777777" w:rsidR="008E13D1" w:rsidRPr="00A26321" w:rsidRDefault="008E13D1" w:rsidP="00882468">
            <w:pPr>
              <w:jc w:val="center"/>
              <w:rPr>
                <w:rFonts w:ascii="Times New Roman" w:eastAsiaTheme="majorEastAsia" w:hAnsi="Times New Roman" w:cs="Times New Roman"/>
                <w:sz w:val="18"/>
                <w:szCs w:val="18"/>
              </w:rPr>
            </w:pPr>
            <w:r w:rsidRPr="00A26321">
              <w:rPr>
                <w:rFonts w:ascii="Times New Roman" w:eastAsiaTheme="majorEastAsia" w:hAnsi="Times New Roman" w:cs="Times New Roman"/>
                <w:sz w:val="18"/>
                <w:szCs w:val="18"/>
              </w:rPr>
              <w:t>0.000815</w:t>
            </w:r>
          </w:p>
        </w:tc>
        <w:tc>
          <w:tcPr>
            <w:tcW w:w="1015" w:type="dxa"/>
            <w:noWrap/>
            <w:vAlign w:val="center"/>
          </w:tcPr>
          <w:p w14:paraId="1F766362" w14:textId="5D4F28EF" w:rsidR="008E13D1" w:rsidRPr="00A26321" w:rsidRDefault="008E13D1" w:rsidP="00D31956">
            <w:pPr>
              <w:jc w:val="center"/>
              <w:rPr>
                <w:rFonts w:ascii="Times New Roman" w:eastAsiaTheme="majorEastAsia" w:hAnsi="Times New Roman" w:cs="Times New Roman"/>
                <w:sz w:val="18"/>
                <w:szCs w:val="18"/>
              </w:rPr>
            </w:pPr>
            <w:r w:rsidRPr="00A26321">
              <w:rPr>
                <w:rFonts w:ascii="Times New Roman" w:eastAsiaTheme="majorEastAsia" w:hAnsi="Times New Roman" w:cs="Times New Roman"/>
                <w:sz w:val="18"/>
                <w:szCs w:val="18"/>
              </w:rPr>
              <w:t>0.07677</w:t>
            </w:r>
          </w:p>
        </w:tc>
      </w:tr>
      <w:tr w:rsidR="00882468" w:rsidRPr="00A26321" w14:paraId="428621ED" w14:textId="77777777" w:rsidTr="00882468">
        <w:trPr>
          <w:trHeight w:val="256"/>
        </w:trPr>
        <w:tc>
          <w:tcPr>
            <w:tcW w:w="1606" w:type="dxa"/>
            <w:noWrap/>
            <w:vAlign w:val="center"/>
          </w:tcPr>
          <w:p w14:paraId="02B2007A" w14:textId="256B10B8" w:rsidR="008E13D1" w:rsidRPr="00A26321" w:rsidRDefault="008E13D1" w:rsidP="00882468">
            <w:pPr>
              <w:jc w:val="center"/>
              <w:rPr>
                <w:rFonts w:ascii="Times New Roman" w:eastAsiaTheme="majorEastAsia" w:hAnsi="Times New Roman" w:cs="Times New Roman"/>
                <w:i/>
                <w:iCs/>
                <w:sz w:val="18"/>
                <w:szCs w:val="18"/>
              </w:rPr>
            </w:pPr>
            <w:r w:rsidRPr="00A26321">
              <w:rPr>
                <w:rFonts w:ascii="Times New Roman" w:eastAsiaTheme="majorEastAsia" w:hAnsi="Times New Roman" w:cs="Times New Roman"/>
                <w:i/>
                <w:iCs/>
                <w:sz w:val="18"/>
                <w:szCs w:val="18"/>
              </w:rPr>
              <w:t xml:space="preserve">CaO Flow Rate </w:t>
            </w:r>
            <w:r w:rsidRPr="00A26321">
              <w:rPr>
                <w:rFonts w:ascii="Times New Roman" w:eastAsiaTheme="majorEastAsia" w:hAnsi="Times New Roman" w:cs="Times New Roman"/>
                <w:i/>
                <w:iCs/>
                <w:kern w:val="0"/>
                <w:sz w:val="18"/>
                <w:szCs w:val="18"/>
                <w14:ligatures w14:val="none"/>
              </w:rPr>
              <w:t>(0.5 Kmol/hr)</w:t>
            </w:r>
          </w:p>
        </w:tc>
        <w:tc>
          <w:tcPr>
            <w:tcW w:w="999" w:type="dxa"/>
            <w:noWrap/>
            <w:vAlign w:val="center"/>
          </w:tcPr>
          <w:p w14:paraId="01C8EB8A" w14:textId="711701EA" w:rsidR="008E13D1" w:rsidRPr="00A26321" w:rsidRDefault="008E13D1" w:rsidP="00D31956">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kern w:val="0"/>
                <w:sz w:val="18"/>
                <w:szCs w:val="18"/>
                <w14:ligatures w14:val="none"/>
              </w:rPr>
              <w:t>0.06045</w:t>
            </w:r>
          </w:p>
        </w:tc>
        <w:tc>
          <w:tcPr>
            <w:tcW w:w="968" w:type="dxa"/>
            <w:noWrap/>
            <w:vAlign w:val="center"/>
          </w:tcPr>
          <w:p w14:paraId="1400CEDA" w14:textId="39782EAE" w:rsidR="008E13D1" w:rsidRPr="00A26321" w:rsidRDefault="008E13D1" w:rsidP="00D31956">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kern w:val="0"/>
                <w:sz w:val="18"/>
                <w:szCs w:val="18"/>
                <w14:ligatures w14:val="none"/>
              </w:rPr>
              <w:t>0.0114</w:t>
            </w:r>
          </w:p>
        </w:tc>
        <w:tc>
          <w:tcPr>
            <w:tcW w:w="1168" w:type="dxa"/>
            <w:noWrap/>
            <w:vAlign w:val="center"/>
          </w:tcPr>
          <w:p w14:paraId="7E0C30C4" w14:textId="52A39B42" w:rsidR="008E13D1" w:rsidRPr="00A26321" w:rsidRDefault="008E13D1" w:rsidP="00D31956">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kern w:val="0"/>
                <w:sz w:val="18"/>
                <w:szCs w:val="18"/>
                <w14:ligatures w14:val="none"/>
              </w:rPr>
              <w:t>0.01469</w:t>
            </w:r>
          </w:p>
        </w:tc>
        <w:tc>
          <w:tcPr>
            <w:tcW w:w="1321" w:type="dxa"/>
            <w:noWrap/>
            <w:vAlign w:val="center"/>
          </w:tcPr>
          <w:p w14:paraId="34B7D4E5" w14:textId="22C82674" w:rsidR="008E13D1" w:rsidRPr="00A26321" w:rsidRDefault="008E13D1" w:rsidP="00D31956">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kern w:val="0"/>
                <w:sz w:val="18"/>
                <w:szCs w:val="18"/>
                <w14:ligatures w14:val="none"/>
              </w:rPr>
              <w:t>0.00023</w:t>
            </w:r>
          </w:p>
        </w:tc>
        <w:tc>
          <w:tcPr>
            <w:tcW w:w="1015" w:type="dxa"/>
            <w:noWrap/>
            <w:vAlign w:val="center"/>
          </w:tcPr>
          <w:p w14:paraId="0B6F290A" w14:textId="7377FDC3" w:rsidR="008E13D1" w:rsidRPr="00A26321" w:rsidRDefault="008E13D1" w:rsidP="00D31956">
            <w:pPr>
              <w:jc w:val="center"/>
              <w:rPr>
                <w:rFonts w:ascii="Times New Roman" w:eastAsiaTheme="majorEastAsia" w:hAnsi="Times New Roman" w:cs="Times New Roman"/>
                <w:kern w:val="0"/>
                <w:sz w:val="18"/>
                <w:szCs w:val="18"/>
                <w14:ligatures w14:val="none"/>
              </w:rPr>
            </w:pPr>
            <w:r w:rsidRPr="00A26321">
              <w:rPr>
                <w:rFonts w:ascii="Times New Roman" w:eastAsiaTheme="majorEastAsia" w:hAnsi="Times New Roman" w:cs="Times New Roman"/>
                <w:kern w:val="0"/>
                <w:sz w:val="18"/>
                <w:szCs w:val="18"/>
                <w14:ligatures w14:val="none"/>
              </w:rPr>
              <w:t>0.08682</w:t>
            </w:r>
          </w:p>
        </w:tc>
      </w:tr>
    </w:tbl>
    <w:p w14:paraId="78E83B9E" w14:textId="77777777" w:rsidR="00FB40F7" w:rsidRDefault="005D174A" w:rsidP="00FB40F7">
      <w:pPr>
        <w:pStyle w:val="Els-body-text"/>
        <w:spacing w:before="240" w:after="240"/>
        <w:rPr>
          <w:lang w:val="en-GB"/>
        </w:rPr>
      </w:pPr>
      <w:r w:rsidRPr="005D174A">
        <w:rPr>
          <w:lang w:val="en-GB"/>
        </w:rPr>
        <w:t xml:space="preserve">In </w:t>
      </w:r>
      <w:r>
        <w:rPr>
          <w:lang w:val="en-GB"/>
        </w:rPr>
        <w:t>SOFCs</w:t>
      </w:r>
      <w:r w:rsidRPr="005D174A">
        <w:rPr>
          <w:lang w:val="en-GB"/>
        </w:rPr>
        <w:t xml:space="preserve">, current density represents the electric current per unit area within the cell. This parameter significantly influences the fuel cell's power output, being closely tied to electrochemical processes at the electrodes. As current density increases, FC performance improves up to a certain threshold, known as the limiting current density. </w:t>
      </w:r>
      <w:r>
        <w:rPr>
          <w:lang w:val="en-GB"/>
        </w:rPr>
        <w:t>Figure 2</w:t>
      </w:r>
      <w:r w:rsidRPr="005D174A">
        <w:rPr>
          <w:lang w:val="en-GB"/>
        </w:rPr>
        <w:t xml:space="preserve"> below illustrates prevailing Ifc values at various temperatures, along with their corresponding current</w:t>
      </w:r>
      <w:r w:rsidR="00EA66D4">
        <w:rPr>
          <w:lang w:val="en-GB"/>
        </w:rPr>
        <w:t xml:space="preserve"> </w:t>
      </w:r>
      <w:r w:rsidRPr="005D174A">
        <w:rPr>
          <w:lang w:val="en-GB"/>
        </w:rPr>
        <w:t>density (A/cm</w:t>
      </w:r>
      <w:r w:rsidRPr="00EA66D4">
        <w:rPr>
          <w:vertAlign w:val="superscript"/>
          <w:lang w:val="en-GB"/>
        </w:rPr>
        <w:t>2</w:t>
      </w:r>
      <w:r w:rsidRPr="005D174A">
        <w:rPr>
          <w:lang w:val="en-GB"/>
        </w:rPr>
        <w:t>) values.</w:t>
      </w:r>
    </w:p>
    <w:p w14:paraId="2D465B24" w14:textId="1F541CF9" w:rsidR="005D174A" w:rsidRPr="00FB40F7" w:rsidRDefault="00FB40F7" w:rsidP="00FB40F7">
      <w:pPr>
        <w:pStyle w:val="Els-body-text"/>
        <w:spacing w:after="240"/>
        <w:jc w:val="center"/>
        <w:rPr>
          <w:lang w:val="en-GB"/>
        </w:rPr>
      </w:pPr>
      <w:r>
        <w:rPr>
          <w:noProof/>
        </w:rPr>
        <w:drawing>
          <wp:inline distT="0" distB="0" distL="0" distR="0" wp14:anchorId="4D8C15BF" wp14:editId="0D86E7DB">
            <wp:extent cx="3568889" cy="1835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7033" cy="1844929"/>
                    </a:xfrm>
                    <a:prstGeom prst="rect">
                      <a:avLst/>
                    </a:prstGeom>
                    <a:noFill/>
                  </pic:spPr>
                </pic:pic>
              </a:graphicData>
            </a:graphic>
          </wp:inline>
        </w:drawing>
      </w:r>
    </w:p>
    <w:p w14:paraId="14F13CC6" w14:textId="5AC1F2C1" w:rsidR="00FB40F7" w:rsidRPr="00FB40F7" w:rsidRDefault="005D174A" w:rsidP="00FB40F7">
      <w:pPr>
        <w:pStyle w:val="Caption"/>
        <w:keepNext/>
        <w:rPr>
          <w:lang w:val="en-GB"/>
        </w:rPr>
      </w:pPr>
      <w:r>
        <w:t>Figure 2</w:t>
      </w:r>
      <w:r w:rsidRPr="00A26321">
        <w:t xml:space="preserve">: </w:t>
      </w:r>
      <w:r w:rsidRPr="005D174A">
        <w:rPr>
          <w:lang w:val="en-GB"/>
        </w:rPr>
        <w:t>Typical corresponding current density (A/cm</w:t>
      </w:r>
      <w:r w:rsidRPr="005D174A">
        <w:rPr>
          <w:vertAlign w:val="superscript"/>
          <w:lang w:val="en-GB"/>
        </w:rPr>
        <w:t>2</w:t>
      </w:r>
      <w:r w:rsidRPr="005D174A">
        <w:rPr>
          <w:lang w:val="en-GB"/>
        </w:rPr>
        <w:t>) at temperatures in (K)</w:t>
      </w:r>
      <w:r w:rsidR="00AE031C">
        <w:rPr>
          <w:lang w:val="en-GB"/>
        </w:rPr>
        <w:t xml:space="preserve"> (</w:t>
      </w:r>
      <w:r w:rsidR="00AE031C" w:rsidRPr="00DA690E">
        <w:rPr>
          <w:noProof/>
          <w:szCs w:val="18"/>
          <w:lang w:val="en-GB"/>
        </w:rPr>
        <w:t>Gebregergis</w:t>
      </w:r>
      <w:r w:rsidR="00AE031C">
        <w:rPr>
          <w:noProof/>
          <w:szCs w:val="18"/>
          <w:lang w:val="en-GB"/>
        </w:rPr>
        <w:t xml:space="preserve"> et al., 2008, </w:t>
      </w:r>
      <w:r w:rsidR="00AE031C" w:rsidRPr="00DA690E">
        <w:rPr>
          <w:noProof/>
          <w:szCs w:val="18"/>
          <w:lang w:val="en-GB"/>
        </w:rPr>
        <w:t>Udomsilp</w:t>
      </w:r>
      <w:r w:rsidR="00AE031C">
        <w:rPr>
          <w:noProof/>
          <w:szCs w:val="18"/>
          <w:lang w:val="en-GB"/>
        </w:rPr>
        <w:t xml:space="preserve"> et al., 2020, </w:t>
      </w:r>
      <w:r w:rsidR="00AE031C" w:rsidRPr="00DA690E">
        <w:rPr>
          <w:noProof/>
          <w:szCs w:val="18"/>
          <w:lang w:val="en-GB"/>
        </w:rPr>
        <w:t>Khan</w:t>
      </w:r>
      <w:r w:rsidR="00AE031C">
        <w:rPr>
          <w:noProof/>
          <w:szCs w:val="18"/>
          <w:lang w:val="en-GB"/>
        </w:rPr>
        <w:t xml:space="preserve"> et al., 2020</w:t>
      </w:r>
      <w:r w:rsidR="00AE031C">
        <w:rPr>
          <w:lang w:val="en-GB"/>
        </w:rPr>
        <w:t>)</w:t>
      </w:r>
      <w:r>
        <w:rPr>
          <w:lang w:val="en-GB"/>
        </w:rPr>
        <w:t>.</w:t>
      </w:r>
    </w:p>
    <w:p w14:paraId="208103AD" w14:textId="71E29BBC" w:rsidR="00FB40F7" w:rsidRDefault="00882468" w:rsidP="00FB40F7">
      <w:pPr>
        <w:spacing w:after="240"/>
        <w:jc w:val="both"/>
      </w:pPr>
      <w:r w:rsidRPr="00A26321">
        <w:t>The SOFC performance, with the gasifier operating at 1023 K, demonstrates a clear relationship between the SOFC temperature, current density, output voltage, and power output. As the SOFC temperature inc</w:t>
      </w:r>
      <w:r w:rsidR="00E843EE" w:rsidRPr="00A26321">
        <w:t>reases from 1133 K to 1293</w:t>
      </w:r>
      <w:r w:rsidRPr="00A26321">
        <w:t xml:space="preserve"> K, there is a noticeable rise in current density, indicating enhanced electrochemical activity. However, this increase in temperature and current density coincides with a decrease in output vo</w:t>
      </w:r>
      <w:r w:rsidR="00A34558" w:rsidRPr="00A26321">
        <w:t>ltage, which drops from 0.914</w:t>
      </w:r>
      <w:r w:rsidRPr="00A26321">
        <w:t xml:space="preserve"> V </w:t>
      </w:r>
      <w:r w:rsidR="00A34558" w:rsidRPr="00A26321">
        <w:t>to 0.793</w:t>
      </w:r>
      <w:r w:rsidR="00E843EE" w:rsidRPr="00A26321">
        <w:t xml:space="preserve"> V</w:t>
      </w:r>
      <w:r w:rsidRPr="00A26321">
        <w:t>. Despite the reduction in voltage, the power output shows a positive trend, increa</w:t>
      </w:r>
      <w:r w:rsidR="00A34558" w:rsidRPr="00A26321">
        <w:t>sing from 0.639 W to 1.157</w:t>
      </w:r>
      <w:r w:rsidRPr="00A26321">
        <w:t xml:space="preserve"> W. This suggests that the SOFC system, becomes more efficient in power generation as the temperature rises, likely due to improved ion conductivity and reaction kinetics at higher temperatures. </w:t>
      </w:r>
      <w:r w:rsidR="0023514D" w:rsidRPr="00A26321">
        <w:t xml:space="preserve">The SOFC performance under a steady steam flow rate of 1 Kmol/hr follows a similar pattern. As the SOFC temperature increases from 1133 to 1293 K, the output voltage decreases with increasing temperature, moving from 0.910 V to 0.788 V. This inverse relationship between temperature and voltage might be attributed to increased thermal activity impacting the electrochemical potential within the cell. Despite the reduction in voltage, </w:t>
      </w:r>
      <w:r w:rsidR="0023514D" w:rsidRPr="00A26321">
        <w:lastRenderedPageBreak/>
        <w:t>the power output shows a</w:t>
      </w:r>
      <w:r w:rsidR="006E77FE">
        <w:t xml:space="preserve">n </w:t>
      </w:r>
      <w:r w:rsidR="0023514D" w:rsidRPr="00A26321">
        <w:t>increase, from 0.637 W to 1.151 W. This trend suggests that the SOFC system's efficiency in converting chemical energy to electrical energy improves with temperature, even under a constant steam flow rate. The results indicate that the steam flow rate maintains a conducive environment for the SOFC operation, allowing for effective energy conversion under varying thermal conditions</w:t>
      </w:r>
      <w:r w:rsidR="0023514D">
        <w:t xml:space="preserve">. </w:t>
      </w:r>
      <w:r w:rsidR="0023514D" w:rsidRPr="00A26321">
        <w:t xml:space="preserve">The </w:t>
      </w:r>
      <w:r w:rsidR="006E77FE">
        <w:t xml:space="preserve">SOFC’s </w:t>
      </w:r>
      <w:r w:rsidR="0023514D" w:rsidRPr="00A26321">
        <w:t>performance, when operated with a CaO flow rate of 0.50 kmol/hr, displays a notable correlation between the SOFC temperature, output voltage and power output. Interestingly, the output voltage shows a gradual decrease over this temperature range, starting at 0.923 V to 0.803 V. This decrease in voltage could be due to increased ohmic, activation, and concentration losses within the SOFC as temperature rises, which is typical in high-temperature fuel cell operations. The power output grows from 0.646 W to 1.173 W. These results imply that the CaO flow rate effectively maintains syngas quality for efficient SOFC operation, thereby enhancing overall energy conversion efficiency under varying thermal conditions.</w:t>
      </w:r>
      <w:r w:rsidR="006E77FE">
        <w:t xml:space="preserve"> Results are shown </w:t>
      </w:r>
      <w:r w:rsidR="006E77FE" w:rsidRPr="00A26321">
        <w:t>table 4</w:t>
      </w:r>
      <w:r w:rsidR="006E77FE">
        <w:t xml:space="preserve"> below.</w:t>
      </w:r>
    </w:p>
    <w:p w14:paraId="15E01CDD" w14:textId="6A21EF62" w:rsidR="00882468" w:rsidRDefault="00882468" w:rsidP="00EE430A">
      <w:pPr>
        <w:pStyle w:val="Caption"/>
        <w:keepNext/>
        <w:spacing w:before="0"/>
      </w:pPr>
      <w:r w:rsidRPr="00A26321">
        <w:t xml:space="preserve">Table </w:t>
      </w:r>
      <w:r w:rsidRPr="00A26321">
        <w:fldChar w:fldCharType="begin"/>
      </w:r>
      <w:r w:rsidRPr="00A26321">
        <w:instrText xml:space="preserve"> SEQ Table \* ARABIC </w:instrText>
      </w:r>
      <w:r w:rsidRPr="00A26321">
        <w:fldChar w:fldCharType="separate"/>
      </w:r>
      <w:r w:rsidRPr="00A26321">
        <w:rPr>
          <w:noProof/>
        </w:rPr>
        <w:t>4</w:t>
      </w:r>
      <w:r w:rsidRPr="00A26321">
        <w:fldChar w:fldCharType="end"/>
      </w:r>
      <w:r w:rsidRPr="00A26321">
        <w:t>: SOFC performance based on a gasifier temperature</w:t>
      </w:r>
      <w:r w:rsidR="00EE430A">
        <w:t xml:space="preserve"> of 1073 </w:t>
      </w:r>
      <w:r w:rsidRPr="00A26321">
        <w:t xml:space="preserve"> </w:t>
      </w:r>
      <w:r w:rsidR="0023514D">
        <w:t xml:space="preserve">, </w:t>
      </w:r>
      <w:r w:rsidR="0023514D" w:rsidRPr="0023514D">
        <w:t>steam flow rate of 1.00 kmol/hr</w:t>
      </w:r>
      <w:r w:rsidR="0023514D">
        <w:t xml:space="preserve">, and </w:t>
      </w:r>
      <w:r w:rsidR="0023514D" w:rsidRPr="00A26321">
        <w:t>CaO flow rate of 0.50 kmol/hr</w:t>
      </w:r>
      <w:r w:rsidRPr="00A26321">
        <w:t>.</w:t>
      </w:r>
    </w:p>
    <w:tbl>
      <w:tblPr>
        <w:tblStyle w:val="TableGrid"/>
        <w:tblW w:w="7105" w:type="dxa"/>
        <w:tblLayout w:type="fixed"/>
        <w:tblLook w:val="04A0" w:firstRow="1" w:lastRow="0" w:firstColumn="1" w:lastColumn="0" w:noHBand="0" w:noVBand="1"/>
      </w:tblPr>
      <w:tblGrid>
        <w:gridCol w:w="1075"/>
        <w:gridCol w:w="963"/>
        <w:gridCol w:w="981"/>
        <w:gridCol w:w="1062"/>
        <w:gridCol w:w="981"/>
        <w:gridCol w:w="1062"/>
        <w:gridCol w:w="981"/>
      </w:tblGrid>
      <w:tr w:rsidR="00307CB1" w14:paraId="6F2DF8E4" w14:textId="77777777" w:rsidTr="00307CB1">
        <w:trPr>
          <w:trHeight w:val="464"/>
        </w:trPr>
        <w:tc>
          <w:tcPr>
            <w:tcW w:w="1075" w:type="dxa"/>
            <w:vAlign w:val="center"/>
          </w:tcPr>
          <w:p w14:paraId="5177E7B1" w14:textId="22294B9C" w:rsidR="0023514D" w:rsidRPr="00EA66D4" w:rsidRDefault="0023514D" w:rsidP="00EA66D4">
            <w:pPr>
              <w:pStyle w:val="Els-caption"/>
              <w:jc w:val="center"/>
              <w:rPr>
                <w:szCs w:val="18"/>
              </w:rPr>
            </w:pPr>
            <w:r w:rsidRPr="00EA66D4">
              <w:rPr>
                <w:rFonts w:ascii="Times New Roman" w:eastAsiaTheme="majorEastAsia" w:hAnsi="Times New Roman" w:cs="Times New Roman"/>
                <w:b/>
                <w:bCs/>
                <w:i/>
                <w:iCs/>
                <w:szCs w:val="18"/>
              </w:rPr>
              <w:t>Parameter</w:t>
            </w:r>
          </w:p>
        </w:tc>
        <w:tc>
          <w:tcPr>
            <w:tcW w:w="1944" w:type="dxa"/>
            <w:gridSpan w:val="2"/>
            <w:vAlign w:val="center"/>
          </w:tcPr>
          <w:p w14:paraId="2A268986" w14:textId="1005209B" w:rsidR="0023514D" w:rsidRPr="00EA66D4" w:rsidRDefault="0023514D" w:rsidP="00EA66D4">
            <w:pPr>
              <w:pStyle w:val="Els-caption"/>
              <w:jc w:val="center"/>
              <w:rPr>
                <w:szCs w:val="18"/>
              </w:rPr>
            </w:pPr>
            <w:r w:rsidRPr="00EA66D4">
              <w:rPr>
                <w:rFonts w:ascii="Times New Roman" w:eastAsiaTheme="majorEastAsia" w:hAnsi="Times New Roman" w:cs="Times New Roman"/>
                <w:b/>
                <w:bCs/>
                <w:i/>
                <w:iCs/>
                <w:szCs w:val="18"/>
              </w:rPr>
              <w:t>Gasification Temperature at 1023 K</w:t>
            </w:r>
          </w:p>
        </w:tc>
        <w:tc>
          <w:tcPr>
            <w:tcW w:w="2043" w:type="dxa"/>
            <w:gridSpan w:val="2"/>
            <w:vAlign w:val="center"/>
          </w:tcPr>
          <w:p w14:paraId="17820670" w14:textId="36C66A5B" w:rsidR="0023514D" w:rsidRPr="00EA66D4" w:rsidRDefault="0023514D" w:rsidP="00FB40F7">
            <w:pPr>
              <w:pStyle w:val="Els-caption"/>
              <w:jc w:val="center"/>
              <w:rPr>
                <w:szCs w:val="18"/>
              </w:rPr>
            </w:pPr>
            <w:r w:rsidRPr="00EA66D4">
              <w:rPr>
                <w:rFonts w:ascii="Times New Roman" w:eastAsiaTheme="majorEastAsia" w:hAnsi="Times New Roman" w:cs="Times New Roman"/>
                <w:b/>
                <w:bCs/>
                <w:i/>
                <w:iCs/>
                <w:szCs w:val="18"/>
              </w:rPr>
              <w:t>Gasification Steam Flow Rate 1.00 kmol/hr</w:t>
            </w:r>
          </w:p>
        </w:tc>
        <w:tc>
          <w:tcPr>
            <w:tcW w:w="2043" w:type="dxa"/>
            <w:gridSpan w:val="2"/>
            <w:vAlign w:val="center"/>
          </w:tcPr>
          <w:p w14:paraId="46817338" w14:textId="21B29431" w:rsidR="0023514D" w:rsidRPr="00EA66D4" w:rsidRDefault="0023514D" w:rsidP="00EA66D4">
            <w:pPr>
              <w:pStyle w:val="Els-caption"/>
              <w:jc w:val="center"/>
              <w:rPr>
                <w:szCs w:val="18"/>
              </w:rPr>
            </w:pPr>
            <w:r w:rsidRPr="00EA66D4">
              <w:rPr>
                <w:rFonts w:ascii="Times New Roman" w:eastAsiaTheme="majorEastAsia" w:hAnsi="Times New Roman" w:cs="Times New Roman"/>
                <w:b/>
                <w:bCs/>
                <w:i/>
                <w:iCs/>
                <w:szCs w:val="18"/>
              </w:rPr>
              <w:t>Gasification CaO Flow Rate of 0.50 kmol/hr</w:t>
            </w:r>
          </w:p>
        </w:tc>
      </w:tr>
      <w:tr w:rsidR="00EA66D4" w14:paraId="0758F874" w14:textId="77777777" w:rsidTr="00307CB1">
        <w:trPr>
          <w:trHeight w:val="350"/>
        </w:trPr>
        <w:tc>
          <w:tcPr>
            <w:tcW w:w="1075" w:type="dxa"/>
            <w:vAlign w:val="center"/>
          </w:tcPr>
          <w:p w14:paraId="51B242F4" w14:textId="22D9923D" w:rsidR="0023514D" w:rsidRPr="00EE430A" w:rsidRDefault="0023514D"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i/>
                <w:iCs/>
                <w:szCs w:val="18"/>
              </w:rPr>
              <w:t>SOFC Temp in K</w:t>
            </w:r>
          </w:p>
        </w:tc>
        <w:tc>
          <w:tcPr>
            <w:tcW w:w="963" w:type="dxa"/>
            <w:vAlign w:val="center"/>
          </w:tcPr>
          <w:p w14:paraId="3EBF7BDC" w14:textId="3B4F2D7B" w:rsidR="0023514D" w:rsidRPr="00EE430A" w:rsidRDefault="0023514D"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i/>
                <w:iCs/>
                <w:szCs w:val="18"/>
              </w:rPr>
              <w:t>Voltage in V</w:t>
            </w:r>
          </w:p>
        </w:tc>
        <w:tc>
          <w:tcPr>
            <w:tcW w:w="981" w:type="dxa"/>
            <w:vAlign w:val="center"/>
          </w:tcPr>
          <w:p w14:paraId="52FF6C01" w14:textId="05129CFA" w:rsidR="0023514D" w:rsidRPr="00EE430A" w:rsidRDefault="0023514D"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i/>
                <w:iCs/>
                <w:szCs w:val="18"/>
              </w:rPr>
              <w:t>Power</w:t>
            </w:r>
            <w:r w:rsidR="008C1076" w:rsidRPr="00EE430A">
              <w:rPr>
                <w:rFonts w:ascii="Times New Roman" w:eastAsiaTheme="majorEastAsia" w:hAnsi="Times New Roman" w:cs="Times New Roman"/>
                <w:i/>
                <w:iCs/>
                <w:szCs w:val="18"/>
              </w:rPr>
              <w:t xml:space="preserve"> in</w:t>
            </w:r>
            <w:r w:rsidRPr="00EE430A">
              <w:rPr>
                <w:rFonts w:ascii="Times New Roman" w:eastAsiaTheme="majorEastAsia" w:hAnsi="Times New Roman" w:cs="Times New Roman"/>
                <w:i/>
                <w:iCs/>
                <w:szCs w:val="18"/>
              </w:rPr>
              <w:t xml:space="preserve"> W</w:t>
            </w:r>
          </w:p>
        </w:tc>
        <w:tc>
          <w:tcPr>
            <w:tcW w:w="1062" w:type="dxa"/>
            <w:vAlign w:val="center"/>
          </w:tcPr>
          <w:p w14:paraId="2BDF4E56" w14:textId="54C4ECD0" w:rsidR="0023514D" w:rsidRPr="00EE430A" w:rsidRDefault="0023514D"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i/>
                <w:iCs/>
                <w:szCs w:val="18"/>
              </w:rPr>
              <w:t>Voltage in V</w:t>
            </w:r>
          </w:p>
        </w:tc>
        <w:tc>
          <w:tcPr>
            <w:tcW w:w="981" w:type="dxa"/>
            <w:vAlign w:val="center"/>
          </w:tcPr>
          <w:p w14:paraId="30CD0944" w14:textId="19807AE2" w:rsidR="0023514D" w:rsidRPr="00EE430A" w:rsidRDefault="008C1076"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i/>
                <w:iCs/>
                <w:szCs w:val="18"/>
              </w:rPr>
              <w:t>Power in W</w:t>
            </w:r>
          </w:p>
        </w:tc>
        <w:tc>
          <w:tcPr>
            <w:tcW w:w="1062" w:type="dxa"/>
            <w:vAlign w:val="center"/>
          </w:tcPr>
          <w:p w14:paraId="44E94F3E" w14:textId="60BAE5F5" w:rsidR="0023514D" w:rsidRPr="00EE430A" w:rsidRDefault="0023514D"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i/>
                <w:iCs/>
                <w:szCs w:val="18"/>
              </w:rPr>
              <w:t>Voltage in V</w:t>
            </w:r>
          </w:p>
        </w:tc>
        <w:tc>
          <w:tcPr>
            <w:tcW w:w="981" w:type="dxa"/>
            <w:vAlign w:val="center"/>
          </w:tcPr>
          <w:p w14:paraId="4591D9AF" w14:textId="4EAFE675" w:rsidR="0023514D" w:rsidRPr="00EE430A" w:rsidRDefault="008C1076"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i/>
                <w:iCs/>
                <w:szCs w:val="18"/>
              </w:rPr>
              <w:t>Power in W</w:t>
            </w:r>
          </w:p>
        </w:tc>
      </w:tr>
      <w:tr w:rsidR="00EA66D4" w14:paraId="59F6BABB" w14:textId="77777777" w:rsidTr="00EE430A">
        <w:trPr>
          <w:trHeight w:val="367"/>
        </w:trPr>
        <w:tc>
          <w:tcPr>
            <w:tcW w:w="1075" w:type="dxa"/>
            <w:vAlign w:val="center"/>
          </w:tcPr>
          <w:p w14:paraId="7B402080" w14:textId="3C768A72"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1133</w:t>
            </w:r>
          </w:p>
        </w:tc>
        <w:tc>
          <w:tcPr>
            <w:tcW w:w="963" w:type="dxa"/>
            <w:vAlign w:val="center"/>
          </w:tcPr>
          <w:p w14:paraId="662BCEB3" w14:textId="74FCD5BB"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0.914</w:t>
            </w:r>
          </w:p>
        </w:tc>
        <w:tc>
          <w:tcPr>
            <w:tcW w:w="981" w:type="dxa"/>
            <w:vAlign w:val="center"/>
          </w:tcPr>
          <w:p w14:paraId="39A5A123" w14:textId="0F80C986"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0.639</w:t>
            </w:r>
          </w:p>
        </w:tc>
        <w:tc>
          <w:tcPr>
            <w:tcW w:w="1062" w:type="dxa"/>
            <w:vAlign w:val="center"/>
          </w:tcPr>
          <w:p w14:paraId="22239C13" w14:textId="5AF492A0"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0.910</w:t>
            </w:r>
          </w:p>
        </w:tc>
        <w:tc>
          <w:tcPr>
            <w:tcW w:w="981" w:type="dxa"/>
            <w:vAlign w:val="center"/>
          </w:tcPr>
          <w:p w14:paraId="4B274F02" w14:textId="2ABC5797"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0.637</w:t>
            </w:r>
          </w:p>
        </w:tc>
        <w:tc>
          <w:tcPr>
            <w:tcW w:w="1062" w:type="dxa"/>
            <w:vAlign w:val="center"/>
          </w:tcPr>
          <w:p w14:paraId="3E0ECBDB" w14:textId="0D889F49"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0.923</w:t>
            </w:r>
          </w:p>
        </w:tc>
        <w:tc>
          <w:tcPr>
            <w:tcW w:w="981" w:type="dxa"/>
            <w:vAlign w:val="center"/>
          </w:tcPr>
          <w:p w14:paraId="58AF5903" w14:textId="7D1CD543"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0.646</w:t>
            </w:r>
          </w:p>
        </w:tc>
      </w:tr>
      <w:tr w:rsidR="00EA66D4" w14:paraId="38A28A30" w14:textId="77777777" w:rsidTr="00307CB1">
        <w:trPr>
          <w:trHeight w:val="230"/>
        </w:trPr>
        <w:tc>
          <w:tcPr>
            <w:tcW w:w="1075" w:type="dxa"/>
            <w:vAlign w:val="center"/>
          </w:tcPr>
          <w:p w14:paraId="69666E53" w14:textId="2AA9F8AE"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1173</w:t>
            </w:r>
          </w:p>
        </w:tc>
        <w:tc>
          <w:tcPr>
            <w:tcW w:w="963" w:type="dxa"/>
            <w:vAlign w:val="center"/>
          </w:tcPr>
          <w:p w14:paraId="19A3508E" w14:textId="22A050F6"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0.885</w:t>
            </w:r>
          </w:p>
        </w:tc>
        <w:tc>
          <w:tcPr>
            <w:tcW w:w="981" w:type="dxa"/>
            <w:vAlign w:val="center"/>
          </w:tcPr>
          <w:p w14:paraId="2956085E" w14:textId="5ABFE282"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0.779</w:t>
            </w:r>
          </w:p>
        </w:tc>
        <w:tc>
          <w:tcPr>
            <w:tcW w:w="1062" w:type="dxa"/>
            <w:vAlign w:val="center"/>
          </w:tcPr>
          <w:p w14:paraId="648BBB23" w14:textId="73A9F0D8"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0.881</w:t>
            </w:r>
          </w:p>
        </w:tc>
        <w:tc>
          <w:tcPr>
            <w:tcW w:w="981" w:type="dxa"/>
            <w:vAlign w:val="center"/>
          </w:tcPr>
          <w:p w14:paraId="5F97285F" w14:textId="1679103A"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0.775</w:t>
            </w:r>
          </w:p>
        </w:tc>
        <w:tc>
          <w:tcPr>
            <w:tcW w:w="1062" w:type="dxa"/>
            <w:vAlign w:val="center"/>
          </w:tcPr>
          <w:p w14:paraId="44F4AB9D" w14:textId="4D53778E"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0.894</w:t>
            </w:r>
          </w:p>
        </w:tc>
        <w:tc>
          <w:tcPr>
            <w:tcW w:w="981" w:type="dxa"/>
            <w:vAlign w:val="center"/>
          </w:tcPr>
          <w:p w14:paraId="79687D79" w14:textId="562E54FD"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0.787</w:t>
            </w:r>
          </w:p>
        </w:tc>
      </w:tr>
      <w:tr w:rsidR="00EA66D4" w14:paraId="63578FAF" w14:textId="77777777" w:rsidTr="00307CB1">
        <w:trPr>
          <w:trHeight w:val="236"/>
        </w:trPr>
        <w:tc>
          <w:tcPr>
            <w:tcW w:w="1075" w:type="dxa"/>
            <w:vAlign w:val="center"/>
          </w:tcPr>
          <w:p w14:paraId="4E9C1766" w14:textId="55B5E6B4"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1213</w:t>
            </w:r>
          </w:p>
        </w:tc>
        <w:tc>
          <w:tcPr>
            <w:tcW w:w="963" w:type="dxa"/>
            <w:vAlign w:val="center"/>
          </w:tcPr>
          <w:p w14:paraId="553A743A" w14:textId="7B4EA1BD"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0.856</w:t>
            </w:r>
          </w:p>
        </w:tc>
        <w:tc>
          <w:tcPr>
            <w:tcW w:w="981" w:type="dxa"/>
            <w:vAlign w:val="center"/>
          </w:tcPr>
          <w:p w14:paraId="3E89BC8C" w14:textId="0E618459"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0.907</w:t>
            </w:r>
          </w:p>
        </w:tc>
        <w:tc>
          <w:tcPr>
            <w:tcW w:w="1062" w:type="dxa"/>
            <w:vAlign w:val="center"/>
          </w:tcPr>
          <w:p w14:paraId="45131AC7" w14:textId="59897DD0"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0.852</w:t>
            </w:r>
          </w:p>
        </w:tc>
        <w:tc>
          <w:tcPr>
            <w:tcW w:w="981" w:type="dxa"/>
            <w:vAlign w:val="center"/>
          </w:tcPr>
          <w:p w14:paraId="08F72EEB" w14:textId="3D7048C7"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0.903</w:t>
            </w:r>
          </w:p>
        </w:tc>
        <w:tc>
          <w:tcPr>
            <w:tcW w:w="1062" w:type="dxa"/>
            <w:vAlign w:val="center"/>
          </w:tcPr>
          <w:p w14:paraId="0DCFB30F" w14:textId="161E59BB"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0.865</w:t>
            </w:r>
          </w:p>
        </w:tc>
        <w:tc>
          <w:tcPr>
            <w:tcW w:w="981" w:type="dxa"/>
            <w:vAlign w:val="center"/>
          </w:tcPr>
          <w:p w14:paraId="7414F713" w14:textId="4A7F4C3F"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0.917</w:t>
            </w:r>
          </w:p>
        </w:tc>
      </w:tr>
      <w:tr w:rsidR="00EA66D4" w14:paraId="1BE1BCE8" w14:textId="77777777" w:rsidTr="00307CB1">
        <w:trPr>
          <w:trHeight w:val="230"/>
        </w:trPr>
        <w:tc>
          <w:tcPr>
            <w:tcW w:w="1075" w:type="dxa"/>
            <w:vAlign w:val="center"/>
          </w:tcPr>
          <w:p w14:paraId="2816F195" w14:textId="3E6069C6"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1253</w:t>
            </w:r>
          </w:p>
        </w:tc>
        <w:tc>
          <w:tcPr>
            <w:tcW w:w="963" w:type="dxa"/>
            <w:vAlign w:val="center"/>
          </w:tcPr>
          <w:p w14:paraId="133EA012" w14:textId="129FCE97"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0.825</w:t>
            </w:r>
          </w:p>
        </w:tc>
        <w:tc>
          <w:tcPr>
            <w:tcW w:w="981" w:type="dxa"/>
            <w:vAlign w:val="center"/>
          </w:tcPr>
          <w:p w14:paraId="648F9C31" w14:textId="4E1F0C1E"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1.039</w:t>
            </w:r>
          </w:p>
        </w:tc>
        <w:tc>
          <w:tcPr>
            <w:tcW w:w="1062" w:type="dxa"/>
            <w:vAlign w:val="center"/>
          </w:tcPr>
          <w:p w14:paraId="7467F2D7" w14:textId="0AAC6B68"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0.820</w:t>
            </w:r>
          </w:p>
        </w:tc>
        <w:tc>
          <w:tcPr>
            <w:tcW w:w="981" w:type="dxa"/>
            <w:vAlign w:val="center"/>
          </w:tcPr>
          <w:p w14:paraId="52DC29A6" w14:textId="17A4CD9E"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1.033</w:t>
            </w:r>
          </w:p>
        </w:tc>
        <w:tc>
          <w:tcPr>
            <w:tcW w:w="1062" w:type="dxa"/>
            <w:vAlign w:val="center"/>
          </w:tcPr>
          <w:p w14:paraId="6336B5C5" w14:textId="256517ED"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0.834</w:t>
            </w:r>
          </w:p>
        </w:tc>
        <w:tc>
          <w:tcPr>
            <w:tcW w:w="981" w:type="dxa"/>
            <w:vAlign w:val="center"/>
          </w:tcPr>
          <w:p w14:paraId="44E8390F" w14:textId="109CDAAA"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1.051</w:t>
            </w:r>
          </w:p>
        </w:tc>
      </w:tr>
      <w:tr w:rsidR="00EA66D4" w14:paraId="1D81DDA0" w14:textId="77777777" w:rsidTr="00FB40F7">
        <w:trPr>
          <w:trHeight w:val="331"/>
        </w:trPr>
        <w:tc>
          <w:tcPr>
            <w:tcW w:w="1075" w:type="dxa"/>
            <w:vAlign w:val="center"/>
          </w:tcPr>
          <w:p w14:paraId="612B3FA0" w14:textId="13C6975E"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1293</w:t>
            </w:r>
          </w:p>
        </w:tc>
        <w:tc>
          <w:tcPr>
            <w:tcW w:w="963" w:type="dxa"/>
            <w:vAlign w:val="center"/>
          </w:tcPr>
          <w:p w14:paraId="5334D9A8" w14:textId="17C5454F"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0.793</w:t>
            </w:r>
          </w:p>
        </w:tc>
        <w:tc>
          <w:tcPr>
            <w:tcW w:w="981" w:type="dxa"/>
            <w:vAlign w:val="center"/>
          </w:tcPr>
          <w:p w14:paraId="2D8ED787" w14:textId="1820C72C"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1.157</w:t>
            </w:r>
          </w:p>
        </w:tc>
        <w:tc>
          <w:tcPr>
            <w:tcW w:w="1062" w:type="dxa"/>
            <w:vAlign w:val="center"/>
          </w:tcPr>
          <w:p w14:paraId="5BEF132F" w14:textId="13A13C44"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0.788</w:t>
            </w:r>
          </w:p>
        </w:tc>
        <w:tc>
          <w:tcPr>
            <w:tcW w:w="981" w:type="dxa"/>
            <w:vAlign w:val="center"/>
          </w:tcPr>
          <w:p w14:paraId="7DBFD44D" w14:textId="2870D947"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1.150</w:t>
            </w:r>
          </w:p>
        </w:tc>
        <w:tc>
          <w:tcPr>
            <w:tcW w:w="1062" w:type="dxa"/>
            <w:vAlign w:val="center"/>
          </w:tcPr>
          <w:p w14:paraId="43409332" w14:textId="3253B365"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0.803</w:t>
            </w:r>
          </w:p>
        </w:tc>
        <w:tc>
          <w:tcPr>
            <w:tcW w:w="981" w:type="dxa"/>
            <w:vAlign w:val="center"/>
          </w:tcPr>
          <w:p w14:paraId="1F5BBD82" w14:textId="6C7D7410" w:rsidR="00EA66D4" w:rsidRPr="00EE430A" w:rsidRDefault="00EA66D4" w:rsidP="00EA66D4">
            <w:pPr>
              <w:pStyle w:val="Els-caption"/>
              <w:jc w:val="center"/>
              <w:rPr>
                <w:rFonts w:ascii="Times New Roman" w:hAnsi="Times New Roman" w:cs="Times New Roman"/>
                <w:szCs w:val="18"/>
              </w:rPr>
            </w:pPr>
            <w:r w:rsidRPr="00EE430A">
              <w:rPr>
                <w:rFonts w:ascii="Times New Roman" w:eastAsiaTheme="majorEastAsia" w:hAnsi="Times New Roman" w:cs="Times New Roman"/>
                <w:szCs w:val="18"/>
              </w:rPr>
              <w:t>1.172</w:t>
            </w:r>
          </w:p>
        </w:tc>
      </w:tr>
    </w:tbl>
    <w:p w14:paraId="144DE6BA" w14:textId="1E5B5FE9" w:rsidR="008D2649" w:rsidRPr="00A26321" w:rsidRDefault="008D2649" w:rsidP="007C2942">
      <w:pPr>
        <w:pStyle w:val="Els-1storder-head"/>
      </w:pPr>
      <w:r w:rsidRPr="00A26321">
        <w:t>Conclusions</w:t>
      </w:r>
    </w:p>
    <w:p w14:paraId="0D4416A3" w14:textId="747FB73F" w:rsidR="00882468" w:rsidRDefault="00882468" w:rsidP="00EA66D4">
      <w:pPr>
        <w:pStyle w:val="Els-body-text"/>
        <w:rPr>
          <w:lang w:val="en-GB"/>
        </w:rPr>
      </w:pPr>
      <w:r w:rsidRPr="00A26321">
        <w:rPr>
          <w:lang w:val="en-GB"/>
        </w:rPr>
        <w:t xml:space="preserve">This study successfully demonstrated an innovative approach to sustainable electricity generation by integrating a plastic gasification system with a </w:t>
      </w:r>
      <w:r w:rsidR="00934B5F" w:rsidRPr="00A26321">
        <w:rPr>
          <w:lang w:val="en-GB"/>
        </w:rPr>
        <w:t>SOFC</w:t>
      </w:r>
      <w:r w:rsidRPr="00A26321">
        <w:rPr>
          <w:lang w:val="en-GB"/>
        </w:rPr>
        <w:t>. The research focused on evaluating the SOFC's performance under various operational conditions, including different gasifier temperatures, steam flow rates, and CaO flow rates. Key findings from the operational conditions examined revealed that at a gasifier temperature of 1023 K, the SOFC's power output improved significantly with rising temperature. Specifically, power output incr</w:t>
      </w:r>
      <w:r w:rsidR="00A34558" w:rsidRPr="00A26321">
        <w:rPr>
          <w:lang w:val="en-GB"/>
        </w:rPr>
        <w:t>eased from 0.639 W at 1133 K to 1.157</w:t>
      </w:r>
      <w:r w:rsidR="00934B5F" w:rsidRPr="00A26321">
        <w:rPr>
          <w:lang w:val="en-GB"/>
        </w:rPr>
        <w:t xml:space="preserve"> W at 1293</w:t>
      </w:r>
      <w:r w:rsidRPr="00A26321">
        <w:rPr>
          <w:lang w:val="en-GB"/>
        </w:rPr>
        <w:t xml:space="preserve"> K, despite a decrease</w:t>
      </w:r>
      <w:r w:rsidR="00934B5F" w:rsidRPr="00A26321">
        <w:rPr>
          <w:lang w:val="en-GB"/>
        </w:rPr>
        <w:t xml:space="preserve"> in </w:t>
      </w:r>
      <w:r w:rsidR="00A34558" w:rsidRPr="00A26321">
        <w:rPr>
          <w:lang w:val="en-GB"/>
        </w:rPr>
        <w:t>output voltage from 0.914 V to 0.793</w:t>
      </w:r>
      <w:r w:rsidRPr="00A26321">
        <w:rPr>
          <w:lang w:val="en-GB"/>
        </w:rPr>
        <w:t xml:space="preserve"> V over this temperature range. Under a </w:t>
      </w:r>
      <w:r w:rsidR="00A34558" w:rsidRPr="00A26321">
        <w:rPr>
          <w:lang w:val="en-GB"/>
        </w:rPr>
        <w:t>steady steam flow rate of 1.00 k</w:t>
      </w:r>
      <w:r w:rsidRPr="00A26321">
        <w:rPr>
          <w:lang w:val="en-GB"/>
        </w:rPr>
        <w:t>mol/hr, a similar pattern was observed, with power output gr</w:t>
      </w:r>
      <w:r w:rsidR="006542C2" w:rsidRPr="00A26321">
        <w:rPr>
          <w:lang w:val="en-GB"/>
        </w:rPr>
        <w:t>owing from 0.637 W at 1133 K to 1.150</w:t>
      </w:r>
      <w:r w:rsidR="00934B5F" w:rsidRPr="00A26321">
        <w:rPr>
          <w:lang w:val="en-GB"/>
        </w:rPr>
        <w:t xml:space="preserve"> W at 1293</w:t>
      </w:r>
      <w:r w:rsidRPr="00A26321">
        <w:rPr>
          <w:lang w:val="en-GB"/>
        </w:rPr>
        <w:t xml:space="preserve"> K. Additionally</w:t>
      </w:r>
      <w:r w:rsidR="00A34558" w:rsidRPr="00A26321">
        <w:rPr>
          <w:lang w:val="en-GB"/>
        </w:rPr>
        <w:t>, with a CaO flow rate of 0.50 k</w:t>
      </w:r>
      <w:r w:rsidRPr="00A26321">
        <w:rPr>
          <w:lang w:val="en-GB"/>
        </w:rPr>
        <w:t>mol/hr, the SOFC's power output continued this upward</w:t>
      </w:r>
      <w:r w:rsidR="00A34558" w:rsidRPr="00A26321">
        <w:rPr>
          <w:lang w:val="en-GB"/>
        </w:rPr>
        <w:t xml:space="preserve"> trend, increasing from 0.646</w:t>
      </w:r>
      <w:r w:rsidRPr="00A26321">
        <w:rPr>
          <w:lang w:val="en-GB"/>
        </w:rPr>
        <w:t xml:space="preserve"> W at 1133K to 1.</w:t>
      </w:r>
      <w:r w:rsidR="00A34558" w:rsidRPr="00A26321">
        <w:rPr>
          <w:lang w:val="en-GB"/>
        </w:rPr>
        <w:t>172</w:t>
      </w:r>
      <w:r w:rsidRPr="00A26321">
        <w:rPr>
          <w:lang w:val="en-GB"/>
        </w:rPr>
        <w:t xml:space="preserve"> W at 1293K. Future research could expand on this study by exploring the scalability of the integrated system, its economic viability, and the potential for real-world application. </w:t>
      </w:r>
    </w:p>
    <w:p w14:paraId="6F283EFC" w14:textId="2CD80E39" w:rsidR="0082399F" w:rsidRDefault="0082399F" w:rsidP="0082399F">
      <w:pPr>
        <w:pStyle w:val="Els-body-text"/>
      </w:pPr>
      <w:r w:rsidRPr="0082399F">
        <w:rPr>
          <w:b/>
          <w:bCs/>
        </w:rPr>
        <w:lastRenderedPageBreak/>
        <w:t>Acknowledgment:</w:t>
      </w:r>
      <w:r w:rsidRPr="0082399F">
        <w:t xml:space="preserve"> </w:t>
      </w:r>
      <w:r w:rsidRPr="0082399F">
        <w:rPr>
          <w:bCs/>
        </w:rPr>
        <w:t>The author thanks the GSRA Grant No. GSRA9-L-2-0524-22035 from the Qatar National Research Fund (a member of Qatar Foundation) for financial support. The authors would also like to acknowledge Hamad Bin Khalifa University for the support. Open Access funding provided by the Qatar National Library, Qatar.</w:t>
      </w:r>
    </w:p>
    <w:p w14:paraId="47E647F9" w14:textId="77777777" w:rsidR="0082399F" w:rsidRPr="0082399F" w:rsidRDefault="0082399F" w:rsidP="0082399F">
      <w:pPr>
        <w:pStyle w:val="Els-body-text"/>
      </w:pPr>
    </w:p>
    <w:p w14:paraId="144DE6BF" w14:textId="0E6743E1" w:rsidR="008D2649" w:rsidRPr="00A26321" w:rsidRDefault="008D2649" w:rsidP="00EA66D4">
      <w:pPr>
        <w:pStyle w:val="Els-reference-head"/>
        <w:spacing w:before="0" w:after="0"/>
      </w:pPr>
      <w:r w:rsidRPr="00A26321">
        <w:t>References</w:t>
      </w:r>
    </w:p>
    <w:p w14:paraId="23E1D7CD" w14:textId="1F6B81DF" w:rsidR="00A7585F" w:rsidRPr="00A26321" w:rsidRDefault="00A7585F" w:rsidP="00FB40F7">
      <w:pPr>
        <w:pStyle w:val="EndNoteBibliography"/>
        <w:ind w:left="270" w:hanging="270"/>
        <w:rPr>
          <w:sz w:val="18"/>
          <w:szCs w:val="18"/>
        </w:rPr>
      </w:pPr>
      <w:r w:rsidRPr="00A26321">
        <w:rPr>
          <w:sz w:val="18"/>
          <w:szCs w:val="18"/>
        </w:rPr>
        <w:t>A. Karapekmez, I. Dincer. Development of a new solar, gasification and fuel cell based integrated plant. International Journal of Hydrogen Energy. 47 (2022) 4196-210.</w:t>
      </w:r>
    </w:p>
    <w:p w14:paraId="2A2088C0" w14:textId="121788FC" w:rsidR="00A7585F" w:rsidRPr="00A26321" w:rsidRDefault="00A7585F" w:rsidP="00FB40F7">
      <w:pPr>
        <w:pStyle w:val="EndNoteBibliography"/>
        <w:ind w:left="270" w:hanging="270"/>
        <w:rPr>
          <w:sz w:val="18"/>
          <w:szCs w:val="18"/>
        </w:rPr>
      </w:pPr>
      <w:r w:rsidRPr="00A26321">
        <w:rPr>
          <w:sz w:val="18"/>
          <w:szCs w:val="18"/>
        </w:rPr>
        <w:t>M. Shahbaz, N. Rashid, J. Saleem, H. Mackey, G. McKay, T. Al-Ansari. A review of waste management approaches to maximise sustainable value of waste from the oil and gas industry and potential for the State of Qatar. Fuel. 332 (2023) 126220.</w:t>
      </w:r>
    </w:p>
    <w:p w14:paraId="3D2AE6D9" w14:textId="44BC598A" w:rsidR="00A7585F" w:rsidRPr="00A26321" w:rsidRDefault="00A7585F" w:rsidP="00FB40F7">
      <w:pPr>
        <w:pStyle w:val="EndNoteBibliography"/>
        <w:ind w:left="270" w:hanging="270"/>
        <w:rPr>
          <w:sz w:val="18"/>
          <w:szCs w:val="18"/>
        </w:rPr>
      </w:pPr>
      <w:r w:rsidRPr="00A26321">
        <w:rPr>
          <w:sz w:val="18"/>
          <w:szCs w:val="18"/>
        </w:rPr>
        <w:t>A.M. Ali, M. Inayat, A.A. Zahrani, K. Shahzad, M. Shahbaz, S.A. Sulaiman, et al. Process optimization and economic evaluation of air gasification of Saudi Arabian date palm fronds for H2-rich syngas using response surface methodology. Fuel. 316 (2022) 123359.</w:t>
      </w:r>
    </w:p>
    <w:p w14:paraId="31E6D60B" w14:textId="0EC66D27" w:rsidR="00A7585F" w:rsidRPr="00A26321" w:rsidRDefault="00A7585F" w:rsidP="00FB40F7">
      <w:pPr>
        <w:pStyle w:val="EndNoteBibliography"/>
        <w:ind w:left="270" w:hanging="270"/>
        <w:rPr>
          <w:sz w:val="18"/>
          <w:szCs w:val="18"/>
        </w:rPr>
      </w:pPr>
      <w:r w:rsidRPr="00A26321">
        <w:rPr>
          <w:sz w:val="18"/>
          <w:szCs w:val="18"/>
        </w:rPr>
        <w:t>A. Inayat, M. Shahbaz, Z. Khan, M. Inayat, M. Mofijur, S.F. Ahmed, et al. Heat integration modeling of hydrogen production from date seeds via steam gasification. International Journal of Hydrogen Energy.  (2021).</w:t>
      </w:r>
    </w:p>
    <w:p w14:paraId="7FAE3B36" w14:textId="3DDD3CC7" w:rsidR="00A7585F" w:rsidRPr="00A26321" w:rsidRDefault="00A7585F" w:rsidP="00FB40F7">
      <w:pPr>
        <w:pStyle w:val="EndNoteBibliography"/>
        <w:ind w:left="270" w:hanging="270"/>
        <w:rPr>
          <w:sz w:val="18"/>
          <w:szCs w:val="18"/>
        </w:rPr>
      </w:pPr>
      <w:r w:rsidRPr="00A26321">
        <w:rPr>
          <w:sz w:val="18"/>
          <w:szCs w:val="18"/>
        </w:rPr>
        <w:t>Y. Li, Y. Pang, H. Tu, F. Torrigino, S.M.A. Biollaz, Z. Li, et al. Impact of syngas from biomass gasification on solid oxide fuel cells: A review study for the energy transition. Energy Conversion and Management. 250 (2021) 114894.</w:t>
      </w:r>
    </w:p>
    <w:p w14:paraId="5A2270F0" w14:textId="5A82AA58" w:rsidR="00A7585F" w:rsidRPr="00A26321" w:rsidRDefault="00A7585F" w:rsidP="00FB40F7">
      <w:pPr>
        <w:pStyle w:val="EndNoteBibliography"/>
        <w:ind w:left="270" w:hanging="270"/>
        <w:rPr>
          <w:sz w:val="18"/>
          <w:szCs w:val="18"/>
        </w:rPr>
      </w:pPr>
      <w:r w:rsidRPr="00A26321">
        <w:rPr>
          <w:sz w:val="18"/>
          <w:szCs w:val="18"/>
        </w:rPr>
        <w:t>Y. Chen, Z. Cui, X. Cui, W. Liu, X. Wang, et al. Life cycle assessment of end-of-life treatments of waste plastics in China. Resources, Conservation and Recycling. 146 (2019) 348-57.</w:t>
      </w:r>
    </w:p>
    <w:p w14:paraId="76539DCC" w14:textId="4CE44012" w:rsidR="00A7585F" w:rsidRPr="00A26321" w:rsidRDefault="00A7585F" w:rsidP="00FB40F7">
      <w:pPr>
        <w:pStyle w:val="EndNoteBibliography"/>
        <w:ind w:left="270" w:hanging="270"/>
        <w:rPr>
          <w:sz w:val="18"/>
          <w:szCs w:val="18"/>
        </w:rPr>
      </w:pPr>
      <w:r w:rsidRPr="00A26321">
        <w:rPr>
          <w:sz w:val="18"/>
          <w:szCs w:val="18"/>
        </w:rPr>
        <w:t>S.D. Anuar Sharuddin, F. Abnisa, W.M.A. Wan Daud, M.K. Aroua. A review on pyrolysis of plastic wastes. Energy Conversion and Management. 115 (2016) 308-26.</w:t>
      </w:r>
    </w:p>
    <w:p w14:paraId="00D9898F" w14:textId="2CA0D72A" w:rsidR="00A7585F" w:rsidRPr="00A26321" w:rsidRDefault="00A7585F" w:rsidP="00FB40F7">
      <w:pPr>
        <w:pStyle w:val="EndNoteBibliography"/>
        <w:ind w:left="270" w:hanging="270"/>
        <w:rPr>
          <w:sz w:val="18"/>
          <w:szCs w:val="18"/>
        </w:rPr>
      </w:pPr>
      <w:r w:rsidRPr="00A26321">
        <w:rPr>
          <w:sz w:val="18"/>
          <w:szCs w:val="18"/>
        </w:rPr>
        <w:t>M. Asadullah. Barriers of commercial power generation using biomass gasification gas: A review. Renewable and Sustainable Energy Reviews. 29 (2014) 201-15.</w:t>
      </w:r>
    </w:p>
    <w:p w14:paraId="347EDC89" w14:textId="07E6422B" w:rsidR="00A7585F" w:rsidRPr="00A26321" w:rsidRDefault="00A7585F" w:rsidP="00FB40F7">
      <w:pPr>
        <w:pStyle w:val="EndNoteBibliography"/>
        <w:ind w:left="270" w:hanging="270"/>
        <w:rPr>
          <w:sz w:val="18"/>
          <w:szCs w:val="18"/>
        </w:rPr>
      </w:pPr>
      <w:r w:rsidRPr="00A26321">
        <w:rPr>
          <w:sz w:val="18"/>
          <w:szCs w:val="18"/>
        </w:rPr>
        <w:t>P. Kumar, O. Singh. A review of solid oxide fuel cell based hybrid cycles. International Journal of Energy Research. 46 (2022) 8560-89.</w:t>
      </w:r>
    </w:p>
    <w:p w14:paraId="01DF4659" w14:textId="6B783A76" w:rsidR="00A7585F" w:rsidRPr="00A26321" w:rsidRDefault="00A7585F" w:rsidP="00FB40F7">
      <w:pPr>
        <w:pStyle w:val="EndNoteBibliography"/>
        <w:ind w:left="270" w:hanging="270"/>
        <w:rPr>
          <w:sz w:val="18"/>
          <w:szCs w:val="18"/>
        </w:rPr>
      </w:pPr>
      <w:r w:rsidRPr="00A26321">
        <w:rPr>
          <w:sz w:val="18"/>
          <w:szCs w:val="18"/>
        </w:rPr>
        <w:t>A.M. Ali, M. Shahbaz, M. Inayat, K. Shahzad, A.A. Al-Zahrani, A.B. Mahpudz. Conversion of municipals waste into syngas and methanol via steam gasification using CaO as sorbent: An Aspen Plus modelling. Fuel. 349 (2023) 128640.</w:t>
      </w:r>
    </w:p>
    <w:p w14:paraId="6D9A6363" w14:textId="75F4E3B7" w:rsidR="00A7585F" w:rsidRPr="00A26321" w:rsidRDefault="00A7585F" w:rsidP="00EE430A">
      <w:pPr>
        <w:pStyle w:val="EndNoteBibliography"/>
        <w:ind w:left="270" w:hanging="270"/>
        <w:rPr>
          <w:sz w:val="18"/>
          <w:szCs w:val="18"/>
        </w:rPr>
      </w:pPr>
      <w:r w:rsidRPr="00A26321">
        <w:rPr>
          <w:sz w:val="18"/>
          <w:szCs w:val="18"/>
        </w:rPr>
        <w:t>W. Doherty, A. Reynolds, D. Kennedy. Computer simulation of a biomass gasification-solid oxide fuel cell power system using Aspen Plus. Energy. 35 (2010) 4545-55.</w:t>
      </w:r>
    </w:p>
    <w:p w14:paraId="56E3C51D" w14:textId="79FBE95A" w:rsidR="00A7585F" w:rsidRPr="00A26321" w:rsidRDefault="00A7585F" w:rsidP="00EE430A">
      <w:pPr>
        <w:pStyle w:val="EndNoteBibliography"/>
        <w:ind w:left="270" w:hanging="270"/>
        <w:rPr>
          <w:sz w:val="18"/>
          <w:szCs w:val="18"/>
        </w:rPr>
      </w:pPr>
      <w:r w:rsidRPr="00A26321">
        <w:rPr>
          <w:sz w:val="18"/>
          <w:szCs w:val="18"/>
        </w:rPr>
        <w:t>A. Gebregergis, P. Pillay, D. Bhattacharyya, R. Rengaswemy. Solid oxide fuel cell modeling. IEEE Transactions on Industrial Electronics. 56 (2008) 139-48.</w:t>
      </w:r>
    </w:p>
    <w:p w14:paraId="7B0DD14F" w14:textId="75454E12" w:rsidR="00A7585F" w:rsidRPr="00A26321" w:rsidRDefault="00A7585F" w:rsidP="00EE430A">
      <w:pPr>
        <w:pStyle w:val="EndNoteBibliography"/>
        <w:ind w:left="270" w:hanging="270"/>
        <w:rPr>
          <w:sz w:val="18"/>
          <w:szCs w:val="18"/>
        </w:rPr>
      </w:pPr>
      <w:r w:rsidRPr="00A26321">
        <w:rPr>
          <w:sz w:val="18"/>
          <w:szCs w:val="18"/>
        </w:rPr>
        <w:t>M.D. Lukas, K.Y. Lee, H. Ghezel-Ayagh. An explicit dynamic model for direct reforming carbonate fuel cell stack. IEEE Transactions on Energy Conversion. 16 (2001) 289-95.</w:t>
      </w:r>
    </w:p>
    <w:p w14:paraId="5C23B37E" w14:textId="42ACDAFA" w:rsidR="00A7585F" w:rsidRPr="00A26321" w:rsidRDefault="00A7585F" w:rsidP="00EE430A">
      <w:pPr>
        <w:pStyle w:val="EndNoteBibliography"/>
        <w:ind w:left="270" w:hanging="270"/>
        <w:rPr>
          <w:sz w:val="18"/>
          <w:szCs w:val="18"/>
        </w:rPr>
      </w:pPr>
      <w:r w:rsidRPr="00A26321">
        <w:rPr>
          <w:sz w:val="18"/>
          <w:szCs w:val="18"/>
        </w:rPr>
        <w:t>Y. Qi, B. Huang, K.T. Chuang. Dynamic modeling of solid oxide fuel cell: The effect of diffusion and inherent impedance. Journal of Power Sources. 150 (2005) 32-47.</w:t>
      </w:r>
    </w:p>
    <w:p w14:paraId="60A9C2E9" w14:textId="797F5C52" w:rsidR="00A7585F" w:rsidRPr="00A26321" w:rsidRDefault="00A7585F" w:rsidP="00EE430A">
      <w:pPr>
        <w:pStyle w:val="EndNoteBibliography"/>
        <w:ind w:left="270" w:hanging="270"/>
        <w:rPr>
          <w:sz w:val="18"/>
          <w:szCs w:val="18"/>
        </w:rPr>
      </w:pPr>
      <w:r w:rsidRPr="00A26321">
        <w:rPr>
          <w:sz w:val="18"/>
          <w:szCs w:val="18"/>
        </w:rPr>
        <w:t>K. Sedghisigarchi, A. Feliachi. Dynamic and transient analysis of power distribution systems with fuel Cells-part I: fuel-cell dynamic model. IEEE Transactions on Energy Conversion. 19 (2004) 423-8.</w:t>
      </w:r>
    </w:p>
    <w:p w14:paraId="6BA75230" w14:textId="65F91671" w:rsidR="00A7585F" w:rsidRPr="00A26321" w:rsidRDefault="00A7585F" w:rsidP="00EE430A">
      <w:pPr>
        <w:pStyle w:val="EndNoteBibliography"/>
        <w:ind w:left="270" w:hanging="270"/>
        <w:rPr>
          <w:sz w:val="18"/>
          <w:szCs w:val="18"/>
        </w:rPr>
      </w:pPr>
      <w:r w:rsidRPr="00A26321">
        <w:rPr>
          <w:sz w:val="18"/>
          <w:szCs w:val="18"/>
        </w:rPr>
        <w:t>M. Ni, T.S. Zhao. Solid oxide fuel cells: from materials to system modeling. Royal society of chemistry2013.</w:t>
      </w:r>
    </w:p>
    <w:p w14:paraId="14612E82" w14:textId="1F9DB8E6" w:rsidR="00DA690E" w:rsidRDefault="00A7585F" w:rsidP="00EE430A">
      <w:pPr>
        <w:pStyle w:val="EndNoteBibliography"/>
        <w:ind w:left="270" w:hanging="270"/>
        <w:rPr>
          <w:sz w:val="18"/>
          <w:szCs w:val="18"/>
        </w:rPr>
      </w:pPr>
      <w:r w:rsidRPr="00A26321">
        <w:rPr>
          <w:sz w:val="18"/>
          <w:szCs w:val="18"/>
        </w:rPr>
        <w:t>Y. Komatsu, S. Kimijima, J.S. Szmyd. Numerical analysis on dynamic behavior of solid oxide fuel cell with power output control scheme. Journal of power sources. 223 (2013) 232-45.</w:t>
      </w:r>
    </w:p>
    <w:p w14:paraId="6188D793" w14:textId="0414F698" w:rsidR="00DA690E" w:rsidRPr="00DA690E" w:rsidRDefault="00DA690E" w:rsidP="00EE430A">
      <w:pPr>
        <w:pStyle w:val="EndNoteBibliography"/>
        <w:ind w:left="270" w:hanging="270"/>
        <w:rPr>
          <w:sz w:val="18"/>
          <w:szCs w:val="18"/>
          <w:lang w:val="en-GB"/>
        </w:rPr>
      </w:pPr>
      <w:r w:rsidRPr="00DA690E">
        <w:rPr>
          <w:sz w:val="18"/>
          <w:szCs w:val="18"/>
          <w:lang w:val="en-GB"/>
        </w:rPr>
        <w:t>D. Udomsilp, J. Rechberger, R. Neubauer, C. Bischof, F. Thaler, W. Schafbauer, et al. Metal-Supported Solid Oxide Fuel Cells with Exceptionally High Power Density for Range Extender Systems. Cell Reports Physical Science. 1 (2020) 100072.</w:t>
      </w:r>
    </w:p>
    <w:p w14:paraId="604AD44E" w14:textId="437A5838" w:rsidR="00307CB1" w:rsidRPr="00DA690E" w:rsidRDefault="00DA690E" w:rsidP="00EE430A">
      <w:pPr>
        <w:pStyle w:val="EndNoteBibliography"/>
        <w:ind w:left="270" w:hanging="270"/>
        <w:rPr>
          <w:sz w:val="18"/>
          <w:szCs w:val="18"/>
          <w:lang w:val="en-GB"/>
        </w:rPr>
      </w:pPr>
      <w:r w:rsidRPr="00DA690E">
        <w:rPr>
          <w:sz w:val="18"/>
          <w:szCs w:val="18"/>
          <w:lang w:val="en-GB"/>
        </w:rPr>
        <w:t>M.Z. Khan, R.-H. Song, A. Hussain, S.-B. Lee, T.-H. Lim, J.-E. Hong. Effect of applied current density on the degradation behavior of anode-supported flat-tubular solid oxide fuel cells. Journal of the European Ceramic Society. 40 (2020) 1407-17.</w:t>
      </w:r>
    </w:p>
    <w:sectPr w:rsidR="00307CB1" w:rsidRPr="00DA690E"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5CF9" w14:textId="77777777" w:rsidR="000A52FD" w:rsidRDefault="000A52FD">
      <w:r>
        <w:separator/>
      </w:r>
    </w:p>
  </w:endnote>
  <w:endnote w:type="continuationSeparator" w:id="0">
    <w:p w14:paraId="08597A45" w14:textId="77777777" w:rsidR="000A52FD" w:rsidRDefault="000A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BD7E" w14:textId="77777777" w:rsidR="000A52FD" w:rsidRDefault="000A52FD">
      <w:r>
        <w:separator/>
      </w:r>
    </w:p>
  </w:footnote>
  <w:footnote w:type="continuationSeparator" w:id="0">
    <w:p w14:paraId="02BD92AD" w14:textId="77777777" w:rsidR="000A52FD" w:rsidRDefault="000A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6811DF1" w:rsidR="00954CB5" w:rsidRDefault="00954CB5" w:rsidP="00E843EE">
    <w:pPr>
      <w:pStyle w:val="Header"/>
      <w:tabs>
        <w:tab w:val="clear" w:pos="7200"/>
        <w:tab w:val="right" w:pos="7088"/>
      </w:tabs>
    </w:pPr>
    <w:r>
      <w:rPr>
        <w:rStyle w:val="PageNumber"/>
      </w:rPr>
      <w:tab/>
    </w:r>
    <w:r>
      <w:rPr>
        <w:rStyle w:val="PageNumber"/>
        <w:i/>
      </w:rPr>
      <w:tab/>
    </w:r>
    <w:r>
      <w:rPr>
        <w:i/>
      </w:rPr>
      <w:t xml:space="preserve">K. </w:t>
    </w:r>
    <w:r w:rsidRPr="00E843EE">
      <w:rPr>
        <w:i/>
      </w:rPr>
      <w:t>Abouemara</w:t>
    </w:r>
    <w:r>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21DA801" w:rsidR="00954CB5" w:rsidRDefault="00DC1EDD">
    <w:pPr>
      <w:pStyle w:val="Header"/>
      <w:tabs>
        <w:tab w:val="clear" w:pos="7200"/>
        <w:tab w:val="right" w:pos="7088"/>
      </w:tabs>
      <w:jc w:val="right"/>
      <w:rPr>
        <w:sz w:val="24"/>
      </w:rPr>
    </w:pPr>
    <w:r w:rsidRPr="00DC1EDD">
      <w:rPr>
        <w:i/>
      </w:rPr>
      <w:t>Development of Electricity Generation System by Combining Plastic Steam Gasification with Solid Oxide Fuel Cells</w:t>
    </w:r>
    <w:r w:rsidR="00954CB5">
      <w:rPr>
        <w:rStyle w:val="PageNumber"/>
        <w:i/>
        <w:sz w:val="24"/>
      </w:rPr>
      <w:tab/>
    </w:r>
    <w:r w:rsidR="00954CB5">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954CB5" w:rsidRPr="003B50B5" w:rsidRDefault="00954CB5"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954CB5" w:rsidRDefault="00954CB5"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836752B"/>
    <w:multiLevelType w:val="multilevel"/>
    <w:tmpl w:val="45681370"/>
    <w:lvl w:ilvl="0">
      <w:start w:val="1"/>
      <w:numFmt w:val="decimal"/>
      <w:lvlText w:val="%1."/>
      <w:lvlJc w:val="left"/>
      <w:pPr>
        <w:tabs>
          <w:tab w:val="num" w:pos="720"/>
        </w:tabs>
        <w:ind w:left="720" w:hanging="360"/>
      </w:pPr>
      <w:rPr>
        <w:rFonts w:asciiTheme="majorBidi" w:eastAsiaTheme="minorHAnsi" w:hAnsiTheme="majorBid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3327158">
    <w:abstractNumId w:val="11"/>
  </w:num>
  <w:num w:numId="2" w16cid:durableId="1947273514">
    <w:abstractNumId w:val="11"/>
  </w:num>
  <w:num w:numId="3" w16cid:durableId="755899281">
    <w:abstractNumId w:val="11"/>
  </w:num>
  <w:num w:numId="4" w16cid:durableId="1319923737">
    <w:abstractNumId w:val="11"/>
  </w:num>
  <w:num w:numId="5" w16cid:durableId="1574270476">
    <w:abstractNumId w:val="0"/>
  </w:num>
  <w:num w:numId="6" w16cid:durableId="2003501780">
    <w:abstractNumId w:val="6"/>
  </w:num>
  <w:num w:numId="7" w16cid:durableId="1253317256">
    <w:abstractNumId w:val="12"/>
  </w:num>
  <w:num w:numId="8" w16cid:durableId="285046921">
    <w:abstractNumId w:val="1"/>
  </w:num>
  <w:num w:numId="9" w16cid:durableId="207768708">
    <w:abstractNumId w:val="10"/>
  </w:num>
  <w:num w:numId="10" w16cid:durableId="1508321990">
    <w:abstractNumId w:val="14"/>
  </w:num>
  <w:num w:numId="11" w16cid:durableId="1033850342">
    <w:abstractNumId w:val="13"/>
  </w:num>
  <w:num w:numId="12" w16cid:durableId="1035807076">
    <w:abstractNumId w:val="5"/>
  </w:num>
  <w:num w:numId="13" w16cid:durableId="100036257">
    <w:abstractNumId w:val="8"/>
  </w:num>
  <w:num w:numId="14" w16cid:durableId="1519193843">
    <w:abstractNumId w:val="2"/>
  </w:num>
  <w:num w:numId="15" w16cid:durableId="2140298814">
    <w:abstractNumId w:val="7"/>
  </w:num>
  <w:num w:numId="16" w16cid:durableId="306252651">
    <w:abstractNumId w:val="3"/>
  </w:num>
  <w:num w:numId="17" w16cid:durableId="930311984">
    <w:abstractNumId w:val="4"/>
  </w:num>
  <w:num w:numId="18" w16cid:durableId="1377271208">
    <w:abstractNumId w:val="9"/>
  </w:num>
  <w:num w:numId="19" w16cid:durableId="1674918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trQwMDIzMrc0NTJU0lEKTi0uzszPAykwrwUAuDotYiwAAAA="/>
  </w:docVars>
  <w:rsids>
    <w:rsidRoot w:val="00B63237"/>
    <w:rsid w:val="0000252A"/>
    <w:rsid w:val="0000487A"/>
    <w:rsid w:val="000A52FD"/>
    <w:rsid w:val="000D3D9B"/>
    <w:rsid w:val="0016032F"/>
    <w:rsid w:val="00182DE3"/>
    <w:rsid w:val="001879F6"/>
    <w:rsid w:val="001A4CBA"/>
    <w:rsid w:val="001B4AE4"/>
    <w:rsid w:val="001C0148"/>
    <w:rsid w:val="001C757E"/>
    <w:rsid w:val="001F38EE"/>
    <w:rsid w:val="0020390F"/>
    <w:rsid w:val="0023514D"/>
    <w:rsid w:val="00264926"/>
    <w:rsid w:val="002D778A"/>
    <w:rsid w:val="00307CB1"/>
    <w:rsid w:val="00330681"/>
    <w:rsid w:val="0034304D"/>
    <w:rsid w:val="0036595A"/>
    <w:rsid w:val="003D1582"/>
    <w:rsid w:val="003D7E4C"/>
    <w:rsid w:val="003E41C2"/>
    <w:rsid w:val="00430832"/>
    <w:rsid w:val="0049772C"/>
    <w:rsid w:val="004E4636"/>
    <w:rsid w:val="00532942"/>
    <w:rsid w:val="00552EEB"/>
    <w:rsid w:val="005D174A"/>
    <w:rsid w:val="006542C2"/>
    <w:rsid w:val="006661C9"/>
    <w:rsid w:val="006A69BF"/>
    <w:rsid w:val="006E77FE"/>
    <w:rsid w:val="00711DF4"/>
    <w:rsid w:val="00765B18"/>
    <w:rsid w:val="007C2942"/>
    <w:rsid w:val="007D70A1"/>
    <w:rsid w:val="008132E8"/>
    <w:rsid w:val="00823407"/>
    <w:rsid w:val="0082399F"/>
    <w:rsid w:val="00882468"/>
    <w:rsid w:val="008B0184"/>
    <w:rsid w:val="008C1076"/>
    <w:rsid w:val="008C5D02"/>
    <w:rsid w:val="008D2649"/>
    <w:rsid w:val="008E13D1"/>
    <w:rsid w:val="0090568D"/>
    <w:rsid w:val="009125C9"/>
    <w:rsid w:val="00913879"/>
    <w:rsid w:val="00917661"/>
    <w:rsid w:val="00931872"/>
    <w:rsid w:val="00934B5F"/>
    <w:rsid w:val="00934F3F"/>
    <w:rsid w:val="00950EE1"/>
    <w:rsid w:val="00954CB5"/>
    <w:rsid w:val="00970E5D"/>
    <w:rsid w:val="0097701C"/>
    <w:rsid w:val="00980A65"/>
    <w:rsid w:val="00983799"/>
    <w:rsid w:val="00996FCD"/>
    <w:rsid w:val="009F0667"/>
    <w:rsid w:val="00A25E70"/>
    <w:rsid w:val="00A26321"/>
    <w:rsid w:val="00A33765"/>
    <w:rsid w:val="00A34558"/>
    <w:rsid w:val="00A63269"/>
    <w:rsid w:val="00A7585F"/>
    <w:rsid w:val="00A92377"/>
    <w:rsid w:val="00AB29ED"/>
    <w:rsid w:val="00AE031C"/>
    <w:rsid w:val="00AE222B"/>
    <w:rsid w:val="00AE4BD8"/>
    <w:rsid w:val="00B4388F"/>
    <w:rsid w:val="00B43BBE"/>
    <w:rsid w:val="00B63237"/>
    <w:rsid w:val="00BB0628"/>
    <w:rsid w:val="00BC6DAC"/>
    <w:rsid w:val="00C960DC"/>
    <w:rsid w:val="00CA7247"/>
    <w:rsid w:val="00D02C75"/>
    <w:rsid w:val="00D10E22"/>
    <w:rsid w:val="00D13D2C"/>
    <w:rsid w:val="00D31956"/>
    <w:rsid w:val="00D52226"/>
    <w:rsid w:val="00D74472"/>
    <w:rsid w:val="00D8465C"/>
    <w:rsid w:val="00DA1FE2"/>
    <w:rsid w:val="00DA690E"/>
    <w:rsid w:val="00DC1EDD"/>
    <w:rsid w:val="00DC2F94"/>
    <w:rsid w:val="00DD3D9E"/>
    <w:rsid w:val="00DD7908"/>
    <w:rsid w:val="00DE3EE9"/>
    <w:rsid w:val="00E64A12"/>
    <w:rsid w:val="00E82297"/>
    <w:rsid w:val="00E843EE"/>
    <w:rsid w:val="00EA66D4"/>
    <w:rsid w:val="00EE430A"/>
    <w:rsid w:val="00EF39FD"/>
    <w:rsid w:val="00F06842"/>
    <w:rsid w:val="00F107FD"/>
    <w:rsid w:val="00FB40F7"/>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customStyle="1" w:styleId="PlainTable41">
    <w:name w:val="Plain Table 41"/>
    <w:basedOn w:val="TableNormal"/>
    <w:next w:val="PlainTable4"/>
    <w:uiPriority w:val="44"/>
    <w:rsid w:val="001B4AE4"/>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1B4A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B4AE4"/>
    <w:rPr>
      <w:rFonts w:asciiTheme="minorHAnsi" w:eastAsiaTheme="minorHAnsi" w:hAnsiTheme="minorHAnsi" w:cstheme="minorBidi"/>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1B4AE4"/>
    <w:pPr>
      <w:spacing w:after="160" w:line="259" w:lineRule="auto"/>
      <w:ind w:left="720"/>
      <w:contextualSpacing/>
    </w:pPr>
    <w:rPr>
      <w:rFonts w:asciiTheme="majorBidi" w:eastAsiaTheme="minorHAnsi" w:hAnsiTheme="majorBidi" w:cstheme="minorBidi"/>
      <w:kern w:val="2"/>
      <w:sz w:val="24"/>
      <w:szCs w:val="22"/>
      <w:lang w:val="en-US"/>
      <w14:ligatures w14:val="standardContextual"/>
    </w:rPr>
  </w:style>
  <w:style w:type="table" w:styleId="TableGrid">
    <w:name w:val="Table Grid"/>
    <w:basedOn w:val="TableNormal"/>
    <w:uiPriority w:val="39"/>
    <w:rsid w:val="008E13D1"/>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D74472"/>
    <w:pPr>
      <w:jc w:val="both"/>
    </w:pPr>
    <w:rPr>
      <w:noProof/>
      <w:lang w:val="en-US"/>
    </w:rPr>
  </w:style>
  <w:style w:type="character" w:customStyle="1" w:styleId="EndNoteBibliographyChar">
    <w:name w:val="EndNote Bibliography Char"/>
    <w:basedOn w:val="DefaultParagraphFont"/>
    <w:link w:val="EndNoteBibliography"/>
    <w:rsid w:val="00D74472"/>
    <w:rPr>
      <w:noProof/>
      <w:lang w:val="en-US" w:eastAsia="en-US"/>
    </w:rPr>
  </w:style>
  <w:style w:type="paragraph" w:styleId="Revision">
    <w:name w:val="Revision"/>
    <w:hidden/>
    <w:uiPriority w:val="99"/>
    <w:semiHidden/>
    <w:rsid w:val="00BC6D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lansari@hbku.edu.q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9461A3-F047-4C6B-B4F6-848F88F6F06C}">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6694-3B03-41D6-B1C4-E5B3B7BA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293</TotalTime>
  <Pages>6</Pages>
  <Words>2897</Words>
  <Characters>16517</Characters>
  <Application>Microsoft Office Word</Application>
  <DocSecurity>0</DocSecurity>
  <Lines>137</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Khaled Ahmed Yousry Mahmoud Elsayed Abouemara</cp:lastModifiedBy>
  <cp:revision>23</cp:revision>
  <cp:lastPrinted>2004-12-17T09:20:00Z</cp:lastPrinted>
  <dcterms:created xsi:type="dcterms:W3CDTF">2023-11-27T08:26:00Z</dcterms:created>
  <dcterms:modified xsi:type="dcterms:W3CDTF">2023-12-25T19:23:00Z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