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2DA3392" w:rsidR="00DD3D9E" w:rsidRPr="00B4388F" w:rsidRDefault="00BB7A8C" w:rsidP="007273CB">
      <w:pPr>
        <w:pStyle w:val="Els-Title"/>
        <w:jc w:val="both"/>
        <w:rPr>
          <w:color w:val="000000" w:themeColor="text1"/>
        </w:rPr>
      </w:pPr>
      <w:proofErr w:type="gramStart"/>
      <w:r w:rsidRPr="00BB7A8C">
        <w:rPr>
          <w:color w:val="000000" w:themeColor="text1"/>
          <w:lang w:val="en-GB"/>
        </w:rPr>
        <w:t>A</w:t>
      </w:r>
      <w:r w:rsidR="00C66AFC">
        <w:rPr>
          <w:color w:val="000000" w:themeColor="text1"/>
          <w:lang w:val="en-GB"/>
        </w:rPr>
        <w:t>n</w:t>
      </w:r>
      <w:proofErr w:type="gramEnd"/>
      <w:r w:rsidR="00C66AFC">
        <w:rPr>
          <w:color w:val="000000" w:themeColor="text1"/>
          <w:lang w:val="en-GB"/>
        </w:rPr>
        <w:t xml:space="preserve"> </w:t>
      </w:r>
      <w:r w:rsidRPr="00BB7A8C">
        <w:rPr>
          <w:color w:val="000000" w:themeColor="text1"/>
          <w:lang w:val="en-GB"/>
        </w:rPr>
        <w:t>MILP based-approach to logistics of air separation supply chains with a heterogeneous fleet of trucks</w:t>
      </w:r>
    </w:p>
    <w:p w14:paraId="144DE680" w14:textId="7C8D66EC" w:rsidR="00DD3D9E" w:rsidRPr="003D0C59" w:rsidRDefault="003D0C59" w:rsidP="007273CB">
      <w:pPr>
        <w:pStyle w:val="Els-Author"/>
        <w:jc w:val="both"/>
        <w:rPr>
          <w:lang w:val="es-AR"/>
        </w:rPr>
      </w:pPr>
      <w:r w:rsidRPr="003D0C59">
        <w:rPr>
          <w:lang w:val="es-AR"/>
        </w:rPr>
        <w:t>Sergio G. Bonino,</w:t>
      </w:r>
      <w:r w:rsidRPr="003D0C59">
        <w:rPr>
          <w:vertAlign w:val="superscript"/>
          <w:lang w:val="es-AR"/>
        </w:rPr>
        <w:t xml:space="preserve"> a</w:t>
      </w:r>
      <w:r w:rsidRPr="003D0C59">
        <w:rPr>
          <w:lang w:val="es-AR"/>
        </w:rPr>
        <w:t xml:space="preserve"> Luis J. Zeballos,</w:t>
      </w:r>
      <w:r w:rsidRPr="003D0C59">
        <w:rPr>
          <w:vertAlign w:val="superscript"/>
          <w:lang w:val="es-AR"/>
        </w:rPr>
        <w:t xml:space="preserve"> a</w:t>
      </w:r>
      <w:r w:rsidRPr="003D0C59">
        <w:rPr>
          <w:lang w:val="es-AR"/>
        </w:rPr>
        <w:t xml:space="preserve"> Akash Moolya,</w:t>
      </w:r>
      <w:r w:rsidRPr="003D0C59">
        <w:rPr>
          <w:vertAlign w:val="superscript"/>
          <w:lang w:val="es-AR"/>
        </w:rPr>
        <w:t>c</w:t>
      </w:r>
      <w:r w:rsidRPr="003D0C59">
        <w:rPr>
          <w:lang w:val="es-AR"/>
        </w:rPr>
        <w:t xml:space="preserve"> Jose Lainez,</w:t>
      </w:r>
      <w:r w:rsidRPr="003D0C59">
        <w:rPr>
          <w:vertAlign w:val="superscript"/>
          <w:lang w:val="es-AR"/>
        </w:rPr>
        <w:t>c</w:t>
      </w:r>
      <w:r w:rsidRPr="003D0C59">
        <w:rPr>
          <w:lang w:val="es-AR"/>
        </w:rPr>
        <w:t xml:space="preserve"> Jose M. Pinto,</w:t>
      </w:r>
      <w:r w:rsidRPr="003D0C59">
        <w:rPr>
          <w:vertAlign w:val="superscript"/>
          <w:lang w:val="es-AR"/>
        </w:rPr>
        <w:t>c</w:t>
      </w:r>
      <w:r w:rsidRPr="003D0C59">
        <w:rPr>
          <w:lang w:val="es-AR"/>
        </w:rPr>
        <w:t xml:space="preserve"> Ignacio E. Grossmann,</w:t>
      </w:r>
      <w:r w:rsidRPr="003D0C59">
        <w:rPr>
          <w:vertAlign w:val="superscript"/>
          <w:lang w:val="es-AR"/>
        </w:rPr>
        <w:t>b</w:t>
      </w:r>
      <w:r w:rsidRPr="003D0C59">
        <w:rPr>
          <w:lang w:val="es-AR"/>
        </w:rPr>
        <w:t xml:space="preserve"> Carlos A. Méndez</w:t>
      </w:r>
      <w:r w:rsidRPr="003D0C59">
        <w:rPr>
          <w:vertAlign w:val="superscript"/>
          <w:lang w:val="es-AR"/>
        </w:rPr>
        <w:t>a</w:t>
      </w:r>
      <w:r w:rsidR="00394CD5">
        <w:rPr>
          <w:vertAlign w:val="superscript"/>
          <w:lang w:val="es-AR"/>
        </w:rPr>
        <w:t>,*</w:t>
      </w:r>
    </w:p>
    <w:p w14:paraId="30DEB3AC" w14:textId="77777777" w:rsidR="003D0C59" w:rsidRPr="008058E7" w:rsidRDefault="003D0C59" w:rsidP="007273CB">
      <w:pPr>
        <w:pStyle w:val="Els-Affiliation"/>
        <w:jc w:val="both"/>
        <w:rPr>
          <w:lang w:val="es-AR"/>
        </w:rPr>
      </w:pPr>
      <w:bookmarkStart w:id="0" w:name="_Hlk151020134"/>
      <w:r w:rsidRPr="008058E7">
        <w:rPr>
          <w:vertAlign w:val="superscript"/>
          <w:lang w:val="es-AR"/>
        </w:rPr>
        <w:t>a</w:t>
      </w:r>
      <w:r w:rsidRPr="008058E7">
        <w:rPr>
          <w:lang w:val="es-AR"/>
        </w:rPr>
        <w:t>Instituto de Desarrollo Tecnológico para la Industria Química (INTEC), UNL-CONICET, Güemes 3450, Santa Fe 3000, Argentina</w:t>
      </w:r>
    </w:p>
    <w:p w14:paraId="6A9F90FE" w14:textId="77777777" w:rsidR="003D0C59" w:rsidRPr="00834615" w:rsidRDefault="003D0C59" w:rsidP="007273CB">
      <w:pPr>
        <w:pStyle w:val="Els-Affiliation"/>
        <w:jc w:val="both"/>
      </w:pPr>
      <w:r w:rsidRPr="00834615">
        <w:rPr>
          <w:vertAlign w:val="superscript"/>
        </w:rPr>
        <w:t>b</w:t>
      </w:r>
      <w:r w:rsidRPr="00834615">
        <w:t xml:space="preserve"> Carnegie Mellon University,</w:t>
      </w:r>
      <w:r>
        <w:t xml:space="preserve"> 5000 Forbes, Pittsburgh 15213, United States</w:t>
      </w:r>
    </w:p>
    <w:p w14:paraId="144DE681" w14:textId="6E00096C" w:rsidR="00DD3D9E" w:rsidRPr="003D0C59" w:rsidRDefault="003D0C59" w:rsidP="007273CB">
      <w:pPr>
        <w:pStyle w:val="Els-Affiliation"/>
        <w:jc w:val="both"/>
        <w:rPr>
          <w:highlight w:val="yellow"/>
          <w:lang w:val="es-AR"/>
        </w:rPr>
      </w:pPr>
      <w:r w:rsidRPr="008106A5">
        <w:rPr>
          <w:vertAlign w:val="superscript"/>
          <w:lang w:val="es-AR"/>
        </w:rPr>
        <w:t>c</w:t>
      </w:r>
      <w:r w:rsidRPr="008106A5">
        <w:rPr>
          <w:lang w:val="es-AR"/>
        </w:rPr>
        <w:t>Linde Digital Americas, Linde PLC</w:t>
      </w:r>
      <w:r w:rsidRPr="00612CA2">
        <w:rPr>
          <w:lang w:val="es-AR"/>
        </w:rPr>
        <w:t>, United States</w:t>
      </w:r>
      <w:bookmarkEnd w:id="0"/>
    </w:p>
    <w:p w14:paraId="144DE683" w14:textId="4B92EF8E" w:rsidR="008D2649" w:rsidRPr="00E34D53" w:rsidRDefault="00394CD5" w:rsidP="007273CB">
      <w:pPr>
        <w:pStyle w:val="Els-Affiliation"/>
        <w:spacing w:after="120"/>
        <w:jc w:val="both"/>
        <w:rPr>
          <w:lang w:val="es-AR"/>
        </w:rPr>
      </w:pPr>
      <w:r w:rsidRPr="00394CD5">
        <w:rPr>
          <w:lang w:val="es-AR"/>
        </w:rPr>
        <w:t>cmendez@intec.unl.edu.ar</w:t>
      </w:r>
      <w:r w:rsidR="00CA3930">
        <w:rPr>
          <w:lang w:val="es-AR"/>
        </w:rPr>
        <w:t xml:space="preserve"> </w:t>
      </w:r>
    </w:p>
    <w:p w14:paraId="144DE684" w14:textId="77777777" w:rsidR="008D2649" w:rsidRDefault="008D2649" w:rsidP="008D2649">
      <w:pPr>
        <w:pStyle w:val="Els-Abstract"/>
      </w:pPr>
      <w:r>
        <w:t>Abstract</w:t>
      </w:r>
    </w:p>
    <w:p w14:paraId="47BF62FE" w14:textId="67F94A6B" w:rsidR="000B066B" w:rsidRDefault="009D0D02" w:rsidP="009D0D02">
      <w:pPr>
        <w:pStyle w:val="Els-body-text"/>
        <w:spacing w:after="120"/>
        <w:rPr>
          <w:lang w:val="en-GB"/>
        </w:rPr>
      </w:pPr>
      <w:r>
        <w:rPr>
          <w:lang w:val="en-GB"/>
        </w:rPr>
        <w:t xml:space="preserve">This </w:t>
      </w:r>
      <w:r w:rsidR="000B066B">
        <w:rPr>
          <w:lang w:val="en-GB"/>
        </w:rPr>
        <w:t>article</w:t>
      </w:r>
      <w:r>
        <w:rPr>
          <w:lang w:val="en-GB"/>
        </w:rPr>
        <w:t xml:space="preserve"> addresses</w:t>
      </w:r>
      <w:r w:rsidR="00BF08E5">
        <w:rPr>
          <w:lang w:val="en-GB"/>
        </w:rPr>
        <w:t xml:space="preserve"> </w:t>
      </w:r>
      <w:r w:rsidR="00BF08E5" w:rsidRPr="00BF08E5">
        <w:rPr>
          <w:lang w:val="en-GB"/>
        </w:rPr>
        <w:t>the</w:t>
      </w:r>
      <w:r w:rsidR="000B066B">
        <w:rPr>
          <w:lang w:val="en-GB"/>
        </w:rPr>
        <w:t xml:space="preserve"> production and</w:t>
      </w:r>
      <w:r w:rsidR="00BF08E5" w:rsidRPr="00BF08E5">
        <w:rPr>
          <w:lang w:val="en-GB"/>
        </w:rPr>
        <w:t xml:space="preserve"> distribution scheduling</w:t>
      </w:r>
      <w:r w:rsidR="00E81C23">
        <w:rPr>
          <w:lang w:val="en-GB"/>
        </w:rPr>
        <w:t xml:space="preserve"> </w:t>
      </w:r>
      <w:r w:rsidR="00BF08E5" w:rsidRPr="00BF08E5">
        <w:rPr>
          <w:lang w:val="en-GB"/>
        </w:rPr>
        <w:t>of industrial-sized gas problems</w:t>
      </w:r>
      <w:r>
        <w:rPr>
          <w:lang w:val="en-GB"/>
        </w:rPr>
        <w:t xml:space="preserve"> when a heterogeneous fleet of trucks is considered</w:t>
      </w:r>
      <w:r w:rsidR="008D2649">
        <w:rPr>
          <w:lang w:val="en-GB"/>
        </w:rPr>
        <w:t>.</w:t>
      </w:r>
      <w:r w:rsidR="00E81C23">
        <w:rPr>
          <w:lang w:val="en-GB"/>
        </w:rPr>
        <w:t xml:space="preserve"> </w:t>
      </w:r>
      <w:r w:rsidR="000B066B">
        <w:rPr>
          <w:lang w:val="en-GB"/>
        </w:rPr>
        <w:t xml:space="preserve">In the work, </w:t>
      </w:r>
      <w:proofErr w:type="gramStart"/>
      <w:r w:rsidR="000B066B">
        <w:rPr>
          <w:lang w:val="en-GB"/>
        </w:rPr>
        <w:t>a</w:t>
      </w:r>
      <w:r w:rsidR="00C66AFC">
        <w:rPr>
          <w:lang w:val="en-GB"/>
        </w:rPr>
        <w:t>n</w:t>
      </w:r>
      <w:proofErr w:type="gramEnd"/>
      <w:r w:rsidR="000B066B">
        <w:rPr>
          <w:lang w:val="en-GB"/>
        </w:rPr>
        <w:t xml:space="preserve"> MILP-based approach is proposed to deal with the characteristics of the problem. </w:t>
      </w:r>
      <w:r w:rsidR="00742599">
        <w:rPr>
          <w:lang w:val="en-GB"/>
        </w:rPr>
        <w:t>In</w:t>
      </w:r>
      <w:r w:rsidR="00742599" w:rsidRPr="000B066B">
        <w:rPr>
          <w:lang w:val="en-GB"/>
        </w:rPr>
        <w:t xml:space="preserve"> the distribution part,</w:t>
      </w:r>
      <w:r w:rsidR="00742599">
        <w:rPr>
          <w:lang w:val="en-GB"/>
        </w:rPr>
        <w:t xml:space="preserve"> for each size of truck</w:t>
      </w:r>
      <w:r w:rsidR="004639C0">
        <w:rPr>
          <w:lang w:val="en-GB"/>
        </w:rPr>
        <w:t xml:space="preserve"> considered</w:t>
      </w:r>
      <w:r w:rsidR="00742599">
        <w:rPr>
          <w:lang w:val="en-GB"/>
        </w:rPr>
        <w:t>,</w:t>
      </w:r>
      <w:r w:rsidR="00742599" w:rsidRPr="000B066B">
        <w:rPr>
          <w:lang w:val="en-GB"/>
        </w:rPr>
        <w:t xml:space="preserve"> a set of feasible routes </w:t>
      </w:r>
      <w:r w:rsidR="00E54B54">
        <w:rPr>
          <w:lang w:val="en-GB"/>
        </w:rPr>
        <w:t>is</w:t>
      </w:r>
      <w:r w:rsidR="00742599" w:rsidRPr="000B066B">
        <w:rPr>
          <w:lang w:val="en-GB"/>
        </w:rPr>
        <w:t xml:space="preserve"> previously generated and selected</w:t>
      </w:r>
      <w:r w:rsidR="00742599">
        <w:rPr>
          <w:lang w:val="en-GB"/>
        </w:rPr>
        <w:t xml:space="preserve">. Then, the model </w:t>
      </w:r>
      <w:r w:rsidR="00E54B54">
        <w:rPr>
          <w:lang w:val="en-GB"/>
        </w:rPr>
        <w:t xml:space="preserve">is solved by </w:t>
      </w:r>
      <w:r w:rsidR="00742599">
        <w:rPr>
          <w:lang w:val="en-GB"/>
        </w:rPr>
        <w:t>considering the routes selected</w:t>
      </w:r>
      <w:r w:rsidR="00E54B54">
        <w:rPr>
          <w:lang w:val="en-GB"/>
        </w:rPr>
        <w:t>, choosing the ones that satisfy all the conditions imposed</w:t>
      </w:r>
      <w:r w:rsidR="004639C0">
        <w:rPr>
          <w:lang w:val="en-GB"/>
        </w:rPr>
        <w:t xml:space="preserve"> while optimizing production and distribution activities. </w:t>
      </w:r>
      <w:r w:rsidR="00E54B54">
        <w:rPr>
          <w:lang w:val="en-GB"/>
        </w:rPr>
        <w:t xml:space="preserve"> </w:t>
      </w:r>
      <w:r w:rsidR="00E54B54" w:rsidRPr="00E54B54">
        <w:rPr>
          <w:lang w:val="en-GB"/>
        </w:rPr>
        <w:t xml:space="preserve">It is </w:t>
      </w:r>
      <w:r w:rsidR="00D63A92">
        <w:rPr>
          <w:lang w:val="en-GB"/>
        </w:rPr>
        <w:t xml:space="preserve">worth remarking </w:t>
      </w:r>
      <w:r w:rsidR="00E54B54" w:rsidRPr="00E54B54">
        <w:rPr>
          <w:lang w:val="en-GB"/>
        </w:rPr>
        <w:t xml:space="preserve">that the </w:t>
      </w:r>
      <w:r w:rsidR="00D63A92">
        <w:rPr>
          <w:lang w:val="en-GB"/>
        </w:rPr>
        <w:t xml:space="preserve">approach </w:t>
      </w:r>
      <w:r w:rsidR="00E54B54" w:rsidRPr="00E54B54">
        <w:rPr>
          <w:lang w:val="en-GB"/>
        </w:rPr>
        <w:t>takes into account the lead time on production and distribution decisions.</w:t>
      </w:r>
      <w:r w:rsidR="00D63A92">
        <w:rPr>
          <w:lang w:val="en-GB"/>
        </w:rPr>
        <w:t xml:space="preserve"> </w:t>
      </w:r>
      <w:r w:rsidR="00E54B54" w:rsidRPr="00E54B54">
        <w:rPr>
          <w:lang w:val="en-GB"/>
        </w:rPr>
        <w:t xml:space="preserve">Finally, </w:t>
      </w:r>
      <w:r w:rsidR="00E54B54">
        <w:rPr>
          <w:lang w:val="en-GB"/>
        </w:rPr>
        <w:t>an</w:t>
      </w:r>
      <w:r w:rsidR="00E54B54" w:rsidRPr="00E54B54">
        <w:rPr>
          <w:lang w:val="en-GB"/>
        </w:rPr>
        <w:t xml:space="preserve"> </w:t>
      </w:r>
      <w:r w:rsidR="00E54B54">
        <w:rPr>
          <w:lang w:val="en-GB"/>
        </w:rPr>
        <w:t>illustrative example</w:t>
      </w:r>
      <w:r w:rsidR="00E54B54" w:rsidRPr="00E54B54">
        <w:rPr>
          <w:lang w:val="en-GB"/>
        </w:rPr>
        <w:t xml:space="preserve"> is presented and solved</w:t>
      </w:r>
      <w:r w:rsidR="00404150">
        <w:rPr>
          <w:lang w:val="en-GB"/>
        </w:rPr>
        <w:t xml:space="preserve"> to show the impact of multi-size trucks</w:t>
      </w:r>
      <w:r w:rsidR="00E54B54" w:rsidRPr="00E54B54">
        <w:rPr>
          <w:lang w:val="en-GB"/>
        </w:rPr>
        <w:t>. The results obtained demonstrate the effectiveness of the proposed approach in reasonable CPU times.</w:t>
      </w:r>
    </w:p>
    <w:p w14:paraId="144DE687" w14:textId="3BF64870" w:rsidR="008D2649" w:rsidRDefault="008D2649" w:rsidP="008D2649">
      <w:pPr>
        <w:pStyle w:val="Els-body-text"/>
        <w:spacing w:after="120"/>
        <w:rPr>
          <w:lang w:val="en-GB"/>
        </w:rPr>
      </w:pPr>
      <w:r>
        <w:rPr>
          <w:b/>
          <w:bCs/>
          <w:lang w:val="en-GB"/>
        </w:rPr>
        <w:t>Keywords</w:t>
      </w:r>
      <w:r>
        <w:rPr>
          <w:lang w:val="en-GB"/>
        </w:rPr>
        <w:t xml:space="preserve">: </w:t>
      </w:r>
      <w:r w:rsidR="00F34EFF" w:rsidRPr="00F34EFF">
        <w:rPr>
          <w:lang w:val="en-GB"/>
        </w:rPr>
        <w:t>Supply chain management, Production routing problem, Mathematical modelling</w:t>
      </w:r>
      <w:r w:rsidR="00F34EFF">
        <w:rPr>
          <w:lang w:val="en-GB"/>
        </w:rPr>
        <w:t>.</w:t>
      </w:r>
    </w:p>
    <w:p w14:paraId="144DE68B" w14:textId="18B2E711" w:rsidR="008D2649" w:rsidRPr="00511D2E" w:rsidRDefault="00320E01" w:rsidP="008D2649">
      <w:pPr>
        <w:pStyle w:val="Els-1storder-head"/>
      </w:pPr>
      <w:r>
        <w:t>Introduction</w:t>
      </w:r>
    </w:p>
    <w:p w14:paraId="5BD163F4" w14:textId="0F69856F" w:rsidR="00286FF4" w:rsidRPr="002D193D" w:rsidRDefault="000E54D1" w:rsidP="00FF5936">
      <w:pPr>
        <w:pStyle w:val="Els-body-text"/>
      </w:pPr>
      <w:r w:rsidRPr="000E54D1">
        <w:t>When examining the operation and management of industries specializing in industrial gas production, a critical aspect is identified in the design and management of the supply chain (SC). In the SC, decisions regarding production and distribution of products to customers are critical. Ramaswamy et al., (2020) provide a comprehensive analysis about the design and management of industrial gas supply chains. Additionally, Barbosa-</w:t>
      </w:r>
      <w:proofErr w:type="spellStart"/>
      <w:r w:rsidRPr="000E54D1">
        <w:t>Povoa</w:t>
      </w:r>
      <w:proofErr w:type="spellEnd"/>
      <w:r w:rsidRPr="000E54D1">
        <w:t xml:space="preserve"> and Pinto, (2020) conduct an exhaustive study of the most significant problems and challenges within SC, offering proposals for their resolution</w:t>
      </w:r>
      <w:r w:rsidR="00200134" w:rsidRPr="00200134">
        <w:t>.</w:t>
      </w:r>
    </w:p>
    <w:p w14:paraId="144DE699" w14:textId="301B55D7" w:rsidR="008D2649" w:rsidRDefault="00E51F45" w:rsidP="00C52162">
      <w:pPr>
        <w:pStyle w:val="Els-1storder-head"/>
        <w:spacing w:before="120"/>
      </w:pPr>
      <w:r>
        <w:t>Problem statement</w:t>
      </w:r>
    </w:p>
    <w:p w14:paraId="6C7169B8" w14:textId="3C5F2535" w:rsidR="00FD15E7" w:rsidRDefault="00C15258" w:rsidP="00B50FC7">
      <w:pPr>
        <w:pStyle w:val="Els-body-text"/>
        <w:rPr>
          <w:lang w:val="en-GB"/>
        </w:rPr>
      </w:pPr>
      <w:r>
        <w:t xml:space="preserve">This work </w:t>
      </w:r>
      <w:r w:rsidR="00170FF1">
        <w:t>deals with</w:t>
      </w:r>
      <w:r>
        <w:t xml:space="preserve"> th</w:t>
      </w:r>
      <w:r w:rsidR="00804029">
        <w:t>e production and distribution problem of an industrial gas supply chain</w:t>
      </w:r>
      <w:r w:rsidR="00B67DCB">
        <w:t xml:space="preserve"> that operates under a vendor-managed inventory (VMI) policy</w:t>
      </w:r>
      <w:r w:rsidR="00804029">
        <w:t>.</w:t>
      </w:r>
      <w:r w:rsidR="00B67DCB">
        <w:t xml:space="preserve"> </w:t>
      </w:r>
      <w:r w:rsidR="00B67DCB" w:rsidRPr="00B67DCB">
        <w:t xml:space="preserve">The </w:t>
      </w:r>
      <w:r w:rsidR="00B67DCB">
        <w:t>aim</w:t>
      </w:r>
      <w:r w:rsidR="00B67DCB" w:rsidRPr="00B67DCB">
        <w:t xml:space="preserve"> is to optimize the operation of the SC, seeking to minimize the</w:t>
      </w:r>
      <w:r w:rsidR="00170FF1">
        <w:t xml:space="preserve"> resulting</w:t>
      </w:r>
      <w:r w:rsidR="00B67DCB" w:rsidRPr="00B67DCB">
        <w:t xml:space="preserve"> total cost.</w:t>
      </w:r>
      <w:r w:rsidR="00244E32">
        <w:t xml:space="preserve"> One particularity of this problem, is the consideration of a </w:t>
      </w:r>
      <w:r w:rsidR="00244E32">
        <w:rPr>
          <w:lang w:val="en-GB"/>
        </w:rPr>
        <w:t>heterogeneous fleet of trucks. Due to the characteristics of customers (i.e., location, demands, tank sizes),</w:t>
      </w:r>
      <w:r w:rsidR="00C66AFC">
        <w:rPr>
          <w:lang w:val="en-GB"/>
        </w:rPr>
        <w:t xml:space="preserve"> </w:t>
      </w:r>
      <w:r w:rsidR="00244E32">
        <w:rPr>
          <w:lang w:val="en-GB"/>
        </w:rPr>
        <w:t>the adoption of multi-size trucks</w:t>
      </w:r>
      <w:r w:rsidR="00C66AFC">
        <w:rPr>
          <w:lang w:val="en-GB"/>
        </w:rPr>
        <w:t xml:space="preserve"> is necessary</w:t>
      </w:r>
      <w:r w:rsidR="00244E32">
        <w:rPr>
          <w:lang w:val="en-GB"/>
        </w:rPr>
        <w:t>. In some cases, customers</w:t>
      </w:r>
      <w:r w:rsidR="009A3534">
        <w:rPr>
          <w:lang w:val="en-GB"/>
        </w:rPr>
        <w:t xml:space="preserve"> who are</w:t>
      </w:r>
      <w:r w:rsidR="00244E32">
        <w:rPr>
          <w:lang w:val="en-GB"/>
        </w:rPr>
        <w:t xml:space="preserve"> located </w:t>
      </w:r>
      <w:r w:rsidR="009A3534">
        <w:rPr>
          <w:lang w:val="en-GB"/>
        </w:rPr>
        <w:t>inside a city or that have</w:t>
      </w:r>
      <w:r w:rsidR="009A3534" w:rsidRPr="009A3534">
        <w:rPr>
          <w:lang w:val="en-GB"/>
        </w:rPr>
        <w:t xml:space="preserve"> low-capacity tanks</w:t>
      </w:r>
      <w:r w:rsidR="006A14DD">
        <w:rPr>
          <w:lang w:val="en-GB"/>
        </w:rPr>
        <w:t>,</w:t>
      </w:r>
      <w:r w:rsidR="009A3534">
        <w:rPr>
          <w:lang w:val="en-GB"/>
        </w:rPr>
        <w:t xml:space="preserve"> </w:t>
      </w:r>
      <w:r w:rsidR="006A14DD">
        <w:rPr>
          <w:lang w:val="en-GB"/>
        </w:rPr>
        <w:t>cannot</w:t>
      </w:r>
      <w:r w:rsidR="009A3534">
        <w:rPr>
          <w:lang w:val="en-GB"/>
        </w:rPr>
        <w:t xml:space="preserve"> receive a delivery from big-sized trucks and smaller trucks are needed.</w:t>
      </w:r>
      <w:r w:rsidR="006A14DD">
        <w:rPr>
          <w:lang w:val="en-GB"/>
        </w:rPr>
        <w:t xml:space="preserve"> </w:t>
      </w:r>
      <w:r w:rsidR="00201954">
        <w:rPr>
          <w:lang w:val="en-GB"/>
        </w:rPr>
        <w:t xml:space="preserve">By taking this </w:t>
      </w:r>
      <w:r w:rsidR="00C66AFC">
        <w:rPr>
          <w:lang w:val="en-GB"/>
        </w:rPr>
        <w:t>issue</w:t>
      </w:r>
      <w:r w:rsidR="00201954">
        <w:rPr>
          <w:lang w:val="en-GB"/>
        </w:rPr>
        <w:t xml:space="preserve"> into account a more efficient utilization of the truck’s capacities is expected.</w:t>
      </w:r>
      <w:r w:rsidR="00E37E75">
        <w:rPr>
          <w:lang w:val="en-GB"/>
        </w:rPr>
        <w:t xml:space="preserve"> As mentioned above, </w:t>
      </w:r>
      <w:r w:rsidR="00E37E75" w:rsidRPr="00E37E75">
        <w:rPr>
          <w:lang w:val="en-GB"/>
        </w:rPr>
        <w:t xml:space="preserve">the company must generate optimal </w:t>
      </w:r>
      <w:r w:rsidR="00E37E75" w:rsidRPr="00E37E75">
        <w:rPr>
          <w:lang w:val="en-GB"/>
        </w:rPr>
        <w:lastRenderedPageBreak/>
        <w:t>production and distribution strategies that allow it to visit customers on time to meet their demands</w:t>
      </w:r>
      <w:r w:rsidR="00E37E75">
        <w:rPr>
          <w:lang w:val="en-GB"/>
        </w:rPr>
        <w:t xml:space="preserve">. </w:t>
      </w:r>
      <w:r w:rsidR="00E37E75" w:rsidRPr="00E37E75">
        <w:rPr>
          <w:lang w:val="en-GB"/>
        </w:rPr>
        <w:t>For this reason, knowing the monthly demands of customers and their maximum and minimum inventory capacities</w:t>
      </w:r>
      <w:r w:rsidR="00987AA1">
        <w:rPr>
          <w:lang w:val="en-GB"/>
        </w:rPr>
        <w:t xml:space="preserve">, the company has to decide the plant’s production rate and the sizes of trucks to use, </w:t>
      </w:r>
      <w:r w:rsidR="00615B61" w:rsidRPr="00615B61">
        <w:rPr>
          <w:lang w:val="en-GB"/>
        </w:rPr>
        <w:t>in terms of supplying the requested product.</w:t>
      </w:r>
      <w:r w:rsidR="00615B61">
        <w:rPr>
          <w:lang w:val="en-GB"/>
        </w:rPr>
        <w:t xml:space="preserve"> </w:t>
      </w:r>
      <w:r w:rsidR="007C4A1C" w:rsidRPr="007C4A1C">
        <w:rPr>
          <w:lang w:val="en-GB"/>
        </w:rPr>
        <w:t xml:space="preserve">An important aspect of the problem under consideration is that trucks can either make multiple short trips per day or a single trip </w:t>
      </w:r>
      <w:r w:rsidR="007C4A1C">
        <w:rPr>
          <w:lang w:val="en-GB"/>
        </w:rPr>
        <w:t>of</w:t>
      </w:r>
      <w:r w:rsidR="007C4A1C" w:rsidRPr="007C4A1C">
        <w:rPr>
          <w:lang w:val="en-GB"/>
        </w:rPr>
        <w:t xml:space="preserve"> several days. The duration of the trip is </w:t>
      </w:r>
      <w:r w:rsidR="007C4A1C">
        <w:rPr>
          <w:lang w:val="en-GB"/>
        </w:rPr>
        <w:t>determin</w:t>
      </w:r>
      <w:r w:rsidR="007C4A1C" w:rsidRPr="007C4A1C">
        <w:rPr>
          <w:lang w:val="en-GB"/>
        </w:rPr>
        <w:t>ed by factors such as the distance to the clients involved, the sequence in which customers are visited, and the loading and unloading times of the products. Given that trips can extend over several days, this problem explicitly takes into account the impact of lead time on</w:t>
      </w:r>
      <w:r w:rsidR="00A4281F">
        <w:rPr>
          <w:lang w:val="en-GB"/>
        </w:rPr>
        <w:t xml:space="preserve">: </w:t>
      </w:r>
      <w:r w:rsidR="0083325D" w:rsidRPr="0083325D">
        <w:rPr>
          <w:lang w:val="en-GB"/>
        </w:rPr>
        <w:t>a) the date when the product is released from the plant and reaches the customer</w:t>
      </w:r>
      <w:r w:rsidR="00A4281F">
        <w:rPr>
          <w:lang w:val="en-GB"/>
        </w:rPr>
        <w:t>, and b) t</w:t>
      </w:r>
      <w:r w:rsidR="00A4281F" w:rsidRPr="00A4281F">
        <w:rPr>
          <w:lang w:val="en-GB"/>
        </w:rPr>
        <w:t>he time during which the trucks are unavailable for other trips</w:t>
      </w:r>
      <w:r w:rsidR="00A4281F">
        <w:rPr>
          <w:lang w:val="en-GB"/>
        </w:rPr>
        <w:t>.</w:t>
      </w:r>
    </w:p>
    <w:p w14:paraId="144DE6A1" w14:textId="53612B17" w:rsidR="008D2649" w:rsidRPr="00A94774" w:rsidRDefault="000B1F0E" w:rsidP="00C52162">
      <w:pPr>
        <w:pStyle w:val="Els-1storder-head"/>
        <w:spacing w:before="120"/>
        <w:rPr>
          <w:lang w:val="en-GB"/>
        </w:rPr>
      </w:pPr>
      <w:r>
        <w:rPr>
          <w:lang w:val="en-GB"/>
        </w:rPr>
        <w:t>S</w:t>
      </w:r>
      <w:r w:rsidRPr="000B1F0E">
        <w:rPr>
          <w:lang w:val="en-GB"/>
        </w:rPr>
        <w:t>olution strategy and main assumptions</w:t>
      </w:r>
    </w:p>
    <w:p w14:paraId="341C3026" w14:textId="157DDF0D" w:rsidR="007E6382" w:rsidRDefault="000E54D1" w:rsidP="00392BF8">
      <w:pPr>
        <w:pStyle w:val="Els-body-text"/>
        <w:rPr>
          <w:lang w:val="en-GB"/>
        </w:rPr>
      </w:pPr>
      <w:r w:rsidRPr="000E54D1">
        <w:t>To address the problem, the MILP model and the route generator algorithm introduced in Bonino et al., (2023) are the basis for the current paper</w:t>
      </w:r>
      <w:r w:rsidR="004E47E9" w:rsidRPr="004E47E9">
        <w:t xml:space="preserve">. </w:t>
      </w:r>
      <w:r w:rsidR="00CC75BD">
        <w:t>Thus</w:t>
      </w:r>
      <w:r w:rsidR="004E47E9" w:rsidRPr="004E47E9">
        <w:t xml:space="preserve">, the route generator algorithm is </w:t>
      </w:r>
      <w:r w:rsidR="00502355">
        <w:t>still</w:t>
      </w:r>
      <w:r w:rsidR="004E47E9" w:rsidRPr="004E47E9">
        <w:t xml:space="preserve"> employed for the creation of all potential trips between customers and plants. Regarding the mathematical formulation, the </w:t>
      </w:r>
      <w:r w:rsidR="00CC75BD">
        <w:t xml:space="preserve">previous </w:t>
      </w:r>
      <w:r w:rsidR="004E47E9" w:rsidRPr="004E47E9">
        <w:t>equation</w:t>
      </w:r>
      <w:r w:rsidR="00502355">
        <w:t xml:space="preserve"> blocks</w:t>
      </w:r>
      <w:r w:rsidR="004E47E9" w:rsidRPr="004E47E9">
        <w:t xml:space="preserve"> and decision variable</w:t>
      </w:r>
      <w:r w:rsidR="00502355">
        <w:t>s</w:t>
      </w:r>
      <w:r w:rsidR="00DB5B66">
        <w:t xml:space="preserve"> </w:t>
      </w:r>
      <w:r w:rsidR="00DB5B66" w:rsidRPr="00030B3C">
        <w:t>introduced in Bonino et al., (2023)</w:t>
      </w:r>
      <w:r w:rsidR="00640584" w:rsidRPr="00030B3C">
        <w:t xml:space="preserve"> are used to face the new problem</w:t>
      </w:r>
      <w:r w:rsidR="00CC75BD" w:rsidRPr="00030B3C">
        <w:t>.</w:t>
      </w:r>
      <w:r w:rsidR="00640584" w:rsidRPr="00030B3C">
        <w:t xml:space="preserve"> Also, to include the sizes of trucks</w:t>
      </w:r>
      <w:r w:rsidR="00CC75BD" w:rsidRPr="00030B3C">
        <w:rPr>
          <w:lang w:val="en-GB"/>
        </w:rPr>
        <w:t xml:space="preserve"> in the previous </w:t>
      </w:r>
      <w:r w:rsidR="00946134" w:rsidRPr="00030B3C">
        <w:rPr>
          <w:lang w:val="en-GB"/>
        </w:rPr>
        <w:t xml:space="preserve">developed </w:t>
      </w:r>
      <w:r w:rsidR="00E80B89" w:rsidRPr="00030B3C">
        <w:rPr>
          <w:lang w:val="en-GB"/>
        </w:rPr>
        <w:t>model</w:t>
      </w:r>
      <w:r w:rsidR="00640584" w:rsidRPr="00030B3C">
        <w:rPr>
          <w:lang w:val="en-GB"/>
        </w:rPr>
        <w:t>,</w:t>
      </w:r>
      <w:r w:rsidR="00E80B89" w:rsidRPr="00030B3C">
        <w:rPr>
          <w:lang w:val="en-GB"/>
        </w:rPr>
        <w:t xml:space="preserve"> a</w:t>
      </w:r>
      <w:r w:rsidR="004E47E9" w:rsidRPr="00030B3C">
        <w:t xml:space="preserve"> new set indicating the </w:t>
      </w:r>
      <w:r w:rsidR="00CC75BD" w:rsidRPr="00030B3C">
        <w:t xml:space="preserve">different available </w:t>
      </w:r>
      <w:r w:rsidR="004E47E9" w:rsidRPr="00030B3C">
        <w:t>size</w:t>
      </w:r>
      <w:r w:rsidR="00CC75BD" w:rsidRPr="00030B3C">
        <w:t xml:space="preserve">s is </w:t>
      </w:r>
      <w:r w:rsidR="00640584" w:rsidRPr="00030B3C">
        <w:t>adde</w:t>
      </w:r>
      <w:r w:rsidR="00CC75BD" w:rsidRPr="00030B3C">
        <w:t>d</w:t>
      </w:r>
      <w:r w:rsidR="004E47E9" w:rsidRPr="00030B3C">
        <w:t>.</w:t>
      </w:r>
      <w:r w:rsidR="004E47E9" w:rsidRPr="004E47E9">
        <w:t xml:space="preserve"> The truck sizes</w:t>
      </w:r>
      <w:r w:rsidR="00470AD9">
        <w:t xml:space="preserve"> </w:t>
      </w:r>
      <w:r w:rsidR="00946134">
        <w:t xml:space="preserve">taken into account </w:t>
      </w:r>
      <w:r w:rsidR="00470AD9">
        <w:t>are</w:t>
      </w:r>
      <w:r w:rsidR="00946134">
        <w:t xml:space="preserve">: </w:t>
      </w:r>
      <w:r w:rsidR="00470AD9">
        <w:t>“</w:t>
      </w:r>
      <w:r w:rsidR="004E47E9" w:rsidRPr="004E47E9">
        <w:t>Small</w:t>
      </w:r>
      <w:r w:rsidR="00470AD9">
        <w:t>”,</w:t>
      </w:r>
      <w:r w:rsidR="004E47E9" w:rsidRPr="004E47E9">
        <w:t xml:space="preserve"> </w:t>
      </w:r>
      <w:r w:rsidR="00470AD9">
        <w:t>“</w:t>
      </w:r>
      <w:r w:rsidR="004E47E9" w:rsidRPr="004E47E9">
        <w:t>Medium</w:t>
      </w:r>
      <w:r w:rsidR="00470AD9">
        <w:t>”</w:t>
      </w:r>
      <w:r w:rsidR="004E47E9" w:rsidRPr="004E47E9">
        <w:t xml:space="preserve"> and </w:t>
      </w:r>
      <w:r w:rsidR="000A6C92">
        <w:t>“</w:t>
      </w:r>
      <w:r w:rsidR="004E47E9" w:rsidRPr="004E47E9">
        <w:t>Big</w:t>
      </w:r>
      <w:r w:rsidR="000A6C92">
        <w:t>”</w:t>
      </w:r>
      <w:r w:rsidR="004E47E9" w:rsidRPr="004E47E9">
        <w:t>.</w:t>
      </w:r>
      <w:r w:rsidR="0048435C" w:rsidRPr="004E47E9">
        <w:t xml:space="preserve"> </w:t>
      </w:r>
      <w:r w:rsidR="00470AD9" w:rsidRPr="00470AD9">
        <w:t xml:space="preserve">This new index impacts </w:t>
      </w:r>
      <w:r w:rsidR="00946134">
        <w:t xml:space="preserve">in </w:t>
      </w:r>
      <w:r w:rsidR="00470AD9" w:rsidRPr="00470AD9">
        <w:t>the variables th</w:t>
      </w:r>
      <w:r w:rsidR="00470AD9">
        <w:t>at</w:t>
      </w:r>
      <w:r w:rsidR="00470AD9" w:rsidRPr="00470AD9">
        <w:t xml:space="preserve"> </w:t>
      </w:r>
      <w:r w:rsidR="00470AD9">
        <w:t>consider</w:t>
      </w:r>
      <w:r w:rsidR="00470AD9" w:rsidRPr="00470AD9">
        <w:t>:</w:t>
      </w:r>
      <w:r w:rsidR="00C741A4">
        <w:t xml:space="preserve"> a) </w:t>
      </w:r>
      <w:r w:rsidR="002A550A">
        <w:t>a</w:t>
      </w:r>
      <w:r w:rsidR="00470AD9" w:rsidRPr="00470AD9">
        <w:t xml:space="preserve">mount of product </w:t>
      </w:r>
      <w:proofErr w:type="spellStart"/>
      <w:r w:rsidR="00946134" w:rsidRPr="00D30A5A">
        <w:rPr>
          <w:i/>
        </w:rPr>
        <w:t>i</w:t>
      </w:r>
      <w:proofErr w:type="spellEnd"/>
      <w:r w:rsidR="00946134">
        <w:t xml:space="preserve"> </w:t>
      </w:r>
      <w:r w:rsidR="00470AD9" w:rsidRPr="00470AD9">
        <w:t>delivered by plant</w:t>
      </w:r>
      <w:r w:rsidR="00946134">
        <w:t xml:space="preserve"> </w:t>
      </w:r>
      <w:r w:rsidR="00946134" w:rsidRPr="00D30A5A">
        <w:rPr>
          <w:i/>
        </w:rPr>
        <w:t>p</w:t>
      </w:r>
      <w:r w:rsidR="00470AD9" w:rsidRPr="00470AD9">
        <w:t xml:space="preserve"> using a specific route</w:t>
      </w:r>
      <w:r w:rsidR="00946134" w:rsidRPr="00D30A5A">
        <w:rPr>
          <w:i/>
        </w:rPr>
        <w:t>s</w:t>
      </w:r>
      <w:r w:rsidR="00946134">
        <w:t xml:space="preserve"> at day </w:t>
      </w:r>
      <w:r w:rsidR="00946134" w:rsidRPr="00D30A5A">
        <w:rPr>
          <w:i/>
        </w:rPr>
        <w:t>t</w:t>
      </w:r>
      <w:r w:rsidR="00D30A5A" w:rsidRPr="00D30A5A">
        <w:t>:</w:t>
      </w:r>
      <w:r w:rsidR="000A6C92" w:rsidRPr="000A6C92">
        <w:t>“</w:t>
      </w:r>
      <m:oMath>
        <m:sSub>
          <m:sSubPr>
            <m:ctrlPr>
              <w:rPr>
                <w:rFonts w:ascii="Cambria Math" w:hAnsi="Cambria Math"/>
              </w:rPr>
            </m:ctrlPr>
          </m:sSubPr>
          <m:e>
            <m:acc>
              <m:accPr>
                <m:chr m:val="̅"/>
                <m:ctrlPr>
                  <w:rPr>
                    <w:rFonts w:ascii="Cambria Math" w:hAnsi="Cambria Math"/>
                  </w:rPr>
                </m:ctrlPr>
              </m:accPr>
              <m:e>
                <m:r>
                  <w:rPr>
                    <w:rFonts w:ascii="Cambria Math" w:hAnsi="Cambria Math"/>
                  </w:rPr>
                  <m:t>DL</m:t>
                </m:r>
              </m:e>
            </m:acc>
          </m:e>
          <m:sub>
            <m:r>
              <w:rPr>
                <w:rFonts w:ascii="Cambria Math" w:hAnsi="Cambria Math"/>
              </w:rPr>
              <m:t>i</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s</m:t>
            </m:r>
            <m:r>
              <m:rPr>
                <m:sty m:val="p"/>
              </m:rPr>
              <w:rPr>
                <w:rFonts w:ascii="Cambria Math" w:hAnsi="Cambria Math"/>
              </w:rPr>
              <m:t>,size,t</m:t>
            </m:r>
          </m:sub>
        </m:sSub>
      </m:oMath>
      <w:r w:rsidR="000A6C92" w:rsidRPr="000A6C92">
        <w:t>”</w:t>
      </w:r>
      <w:r w:rsidR="00C741A4">
        <w:t xml:space="preserve">, b) </w:t>
      </w:r>
      <w:r w:rsidR="002A550A">
        <w:t>a</w:t>
      </w:r>
      <w:r w:rsidR="00470AD9" w:rsidRPr="00470AD9">
        <w:t xml:space="preserve">mount of product </w:t>
      </w:r>
      <w:proofErr w:type="spellStart"/>
      <w:r w:rsidR="00946134" w:rsidRPr="00D30A5A">
        <w:rPr>
          <w:i/>
        </w:rPr>
        <w:t>i</w:t>
      </w:r>
      <w:proofErr w:type="spellEnd"/>
      <w:r w:rsidR="00946134">
        <w:t xml:space="preserve"> </w:t>
      </w:r>
      <w:r w:rsidR="00470AD9" w:rsidRPr="00470AD9">
        <w:t>delivered to customer</w:t>
      </w:r>
      <w:r w:rsidR="000A6C92">
        <w:t xml:space="preserve"> </w:t>
      </w:r>
      <w:r w:rsidR="00946134" w:rsidRPr="00D30A5A">
        <w:rPr>
          <w:i/>
        </w:rPr>
        <w:t>c</w:t>
      </w:r>
      <w:r w:rsidR="00946134">
        <w:t xml:space="preserve"> </w:t>
      </w:r>
      <w:r w:rsidR="000A6C92">
        <w:t>from plant</w:t>
      </w:r>
      <w:r w:rsidR="00946134">
        <w:t xml:space="preserve"> </w:t>
      </w:r>
      <w:r w:rsidR="00946134" w:rsidRPr="00D30A5A">
        <w:rPr>
          <w:i/>
        </w:rPr>
        <w:t>p</w:t>
      </w:r>
      <w:r w:rsidR="000A6C92">
        <w:t xml:space="preserve"> using a specific route </w:t>
      </w:r>
      <w:r w:rsidR="00946134" w:rsidRPr="00D30A5A">
        <w:rPr>
          <w:i/>
        </w:rPr>
        <w:t>s</w:t>
      </w:r>
      <w:r w:rsidR="00946134">
        <w:t xml:space="preserve"> at day </w:t>
      </w:r>
      <w:r w:rsidR="00946134" w:rsidRPr="00422247">
        <w:rPr>
          <w:i/>
        </w:rPr>
        <w:t>t</w:t>
      </w:r>
      <w:r w:rsidR="00D30A5A" w:rsidRPr="008C3DC2">
        <w:t>:</w:t>
      </w:r>
      <w:r w:rsidR="00946134">
        <w:t xml:space="preserve"> </w:t>
      </w:r>
      <w:r w:rsidR="000A6C92">
        <w:t>“</w:t>
      </w:r>
      <m:oMath>
        <m:sSub>
          <m:sSubPr>
            <m:ctrlPr>
              <w:rPr>
                <w:rFonts w:ascii="Cambria Math" w:hAnsi="Cambria Math"/>
                <w:i/>
              </w:rPr>
            </m:ctrlPr>
          </m:sSubPr>
          <m:e>
            <m:acc>
              <m:accPr>
                <m:ctrlPr>
                  <w:rPr>
                    <w:rFonts w:ascii="Cambria Math" w:hAnsi="Cambria Math"/>
                    <w:i/>
                  </w:rPr>
                </m:ctrlPr>
              </m:accPr>
              <m:e>
                <m:r>
                  <w:rPr>
                    <w:rFonts w:ascii="Cambria Math" w:hAnsi="Cambria Math"/>
                  </w:rPr>
                  <m:t>DL</m:t>
                </m:r>
              </m:e>
            </m:acc>
          </m:e>
          <m:sub>
            <m:r>
              <w:rPr>
                <w:rFonts w:ascii="Cambria Math" w:hAnsi="Cambria Math"/>
              </w:rPr>
              <m:t>i,p,s,c,size,t</m:t>
            </m:r>
          </m:sub>
        </m:sSub>
      </m:oMath>
      <w:r w:rsidR="000A6C92">
        <w:t>”</w:t>
      </w:r>
      <w:r w:rsidR="002A550A">
        <w:t>, c) t</w:t>
      </w:r>
      <w:r w:rsidR="00470AD9" w:rsidRPr="00470AD9">
        <w:t xml:space="preserve">rucks </w:t>
      </w:r>
      <w:r w:rsidR="00946134">
        <w:t xml:space="preserve">in the plant </w:t>
      </w:r>
      <w:r w:rsidR="00946134" w:rsidRPr="00D30A5A">
        <w:rPr>
          <w:i/>
        </w:rPr>
        <w:t>p</w:t>
      </w:r>
      <w:r w:rsidR="00946134">
        <w:t xml:space="preserve"> for the product </w:t>
      </w:r>
      <w:proofErr w:type="spellStart"/>
      <w:r w:rsidR="00946134" w:rsidRPr="00D30A5A">
        <w:rPr>
          <w:i/>
        </w:rPr>
        <w:t>i</w:t>
      </w:r>
      <w:proofErr w:type="spellEnd"/>
      <w:r w:rsidR="00946134">
        <w:t xml:space="preserve"> </w:t>
      </w:r>
      <w:r w:rsidR="00470AD9">
        <w:t>available</w:t>
      </w:r>
      <w:r w:rsidR="00470AD9" w:rsidRPr="00470AD9">
        <w:t xml:space="preserve"> </w:t>
      </w:r>
      <w:r w:rsidR="00470AD9">
        <w:t>on</w:t>
      </w:r>
      <w:r w:rsidR="00470AD9" w:rsidRPr="00470AD9">
        <w:t xml:space="preserve"> a given day</w:t>
      </w:r>
      <w:r w:rsidR="000A6C92">
        <w:t xml:space="preserve"> </w:t>
      </w:r>
      <w:r w:rsidR="00946134" w:rsidRPr="00D30A5A">
        <w:rPr>
          <w:i/>
        </w:rPr>
        <w:t>t</w:t>
      </w:r>
      <w:r w:rsidR="00D30A5A" w:rsidRPr="008C3DC2">
        <w:t>:</w:t>
      </w:r>
      <w:r w:rsidR="00946134">
        <w:t xml:space="preserve"> </w:t>
      </w:r>
      <w:r w:rsidR="000A6C92">
        <w:t>“</w:t>
      </w:r>
      <m:oMath>
        <m:r>
          <w:rPr>
            <w:rFonts w:ascii="Cambria Math" w:hAnsi="Cambria Math"/>
          </w:rPr>
          <m:t>T</m:t>
        </m:r>
        <m:sSub>
          <m:sSubPr>
            <m:ctrlPr>
              <w:rPr>
                <w:rFonts w:ascii="Cambria Math" w:hAnsi="Cambria Math"/>
                <w:i/>
              </w:rPr>
            </m:ctrlPr>
          </m:sSubPr>
          <m:e>
            <m:r>
              <w:rPr>
                <w:rFonts w:ascii="Cambria Math" w:hAnsi="Cambria Math"/>
              </w:rPr>
              <m:t>U</m:t>
            </m:r>
          </m:e>
          <m:sub>
            <m:r>
              <w:rPr>
                <w:rFonts w:ascii="Cambria Math" w:hAnsi="Cambria Math"/>
              </w:rPr>
              <m:t>i,p,size,t</m:t>
            </m:r>
          </m:sub>
        </m:sSub>
      </m:oMath>
      <w:r w:rsidR="000A6C92">
        <w:t>”</w:t>
      </w:r>
      <w:r w:rsidR="002A550A">
        <w:t xml:space="preserve">, d) </w:t>
      </w:r>
      <w:r w:rsidR="00793C18">
        <w:t xml:space="preserve">the </w:t>
      </w:r>
      <w:r w:rsidR="00470AD9" w:rsidRPr="00470AD9">
        <w:t>activation or deactivation</w:t>
      </w:r>
      <w:r w:rsidR="000A6C92">
        <w:t xml:space="preserve"> </w:t>
      </w:r>
      <w:r w:rsidR="00793C18">
        <w:t xml:space="preserve">of the route </w:t>
      </w:r>
      <w:r w:rsidR="00793C18" w:rsidRPr="00D30A5A">
        <w:rPr>
          <w:i/>
        </w:rPr>
        <w:t>s</w:t>
      </w:r>
      <w:r w:rsidR="00793C18">
        <w:t xml:space="preserve"> </w:t>
      </w:r>
      <w:r w:rsidR="00E263C7">
        <w:t xml:space="preserve">associated with plant </w:t>
      </w:r>
      <w:r w:rsidR="00E263C7" w:rsidRPr="00D30A5A">
        <w:rPr>
          <w:i/>
        </w:rPr>
        <w:t>p</w:t>
      </w:r>
      <w:r w:rsidR="00E263C7">
        <w:t xml:space="preserve"> and product </w:t>
      </w:r>
      <w:proofErr w:type="spellStart"/>
      <w:r w:rsidR="00E263C7" w:rsidRPr="00D30A5A">
        <w:rPr>
          <w:i/>
        </w:rPr>
        <w:t>i</w:t>
      </w:r>
      <w:proofErr w:type="spellEnd"/>
      <w:r w:rsidR="00E263C7">
        <w:t xml:space="preserve"> at day </w:t>
      </w:r>
      <w:r w:rsidR="00E263C7" w:rsidRPr="00D30A5A">
        <w:rPr>
          <w:i/>
        </w:rPr>
        <w:t>t</w:t>
      </w:r>
      <w:r w:rsidR="00D30A5A" w:rsidRPr="008C3DC2">
        <w:t>:</w:t>
      </w:r>
      <w:r w:rsidR="00E263C7">
        <w:t xml:space="preserve"> </w:t>
      </w:r>
      <w:r w:rsidR="000A6C92">
        <w:t>“</w:t>
      </w:r>
      <m:oMath>
        <m:sSub>
          <m:sSubPr>
            <m:ctrlPr>
              <w:rPr>
                <w:rFonts w:ascii="Cambria Math" w:hAnsi="Cambria Math"/>
                <w:i/>
              </w:rPr>
            </m:ctrlPr>
          </m:sSubPr>
          <m:e>
            <m:r>
              <w:rPr>
                <w:rFonts w:ascii="Cambria Math" w:hAnsi="Cambria Math"/>
              </w:rPr>
              <m:t>A</m:t>
            </m:r>
          </m:e>
          <m:sub>
            <m:r>
              <w:rPr>
                <w:rFonts w:ascii="Cambria Math" w:hAnsi="Cambria Math"/>
              </w:rPr>
              <m:t>i,p,s,size,t</m:t>
            </m:r>
          </m:sub>
        </m:sSub>
      </m:oMath>
      <w:r w:rsidR="000A6C92">
        <w:t>”</w:t>
      </w:r>
      <w:r w:rsidR="004C0417">
        <w:t xml:space="preserve">. </w:t>
      </w:r>
      <w:r w:rsidR="00D30A5A">
        <w:t xml:space="preserve">It is </w:t>
      </w:r>
      <w:r w:rsidR="00D30A5A">
        <w:rPr>
          <w:lang w:val="en-GB"/>
        </w:rPr>
        <w:t xml:space="preserve">worth </w:t>
      </w:r>
      <w:r w:rsidR="00C66AFC">
        <w:rPr>
          <w:lang w:val="en-GB"/>
        </w:rPr>
        <w:t>not</w:t>
      </w:r>
      <w:r w:rsidR="00D30A5A">
        <w:rPr>
          <w:lang w:val="en-GB"/>
        </w:rPr>
        <w:t>ing</w:t>
      </w:r>
      <w:r w:rsidR="007A4098">
        <w:rPr>
          <w:lang w:val="en-GB"/>
        </w:rPr>
        <w:t xml:space="preserve"> that the resulting increase in the model size is related to the new set added and not to the number of trucks available.</w:t>
      </w:r>
      <w:r w:rsidR="00E66FB1">
        <w:rPr>
          <w:lang w:val="en-GB"/>
        </w:rPr>
        <w:t xml:space="preserve"> </w:t>
      </w:r>
    </w:p>
    <w:p w14:paraId="19CFCEF5" w14:textId="591FCD84" w:rsidR="001B74BE" w:rsidRPr="00E66FB1" w:rsidRDefault="005E3E76" w:rsidP="00392BF8">
      <w:pPr>
        <w:pStyle w:val="Els-body-text"/>
      </w:pPr>
      <w:r w:rsidRPr="005E3E76">
        <w:rPr>
          <w:lang w:val="en-GB"/>
        </w:rPr>
        <w:t>The following assumptions underlie the proposed solution strategy</w:t>
      </w:r>
      <w:r w:rsidR="00E66FB1">
        <w:t>:</w:t>
      </w:r>
      <w:r w:rsidR="00845CD8">
        <w:t xml:space="preserve"> a) </w:t>
      </w:r>
      <w:r w:rsidR="00E66FB1">
        <w:t xml:space="preserve">Trucks can only be used </w:t>
      </w:r>
      <w:r w:rsidR="00E263C7">
        <w:t xml:space="preserve">a given number of </w:t>
      </w:r>
      <w:r w:rsidR="00E66FB1">
        <w:t>hours per day. More time implies a multiday trip</w:t>
      </w:r>
      <w:r w:rsidR="00392BF8">
        <w:t xml:space="preserve">, b) </w:t>
      </w:r>
      <w:r w:rsidR="00E66FB1">
        <w:t xml:space="preserve">Routes of </w:t>
      </w:r>
      <w:r w:rsidR="00E263C7">
        <w:t xml:space="preserve">more than one day </w:t>
      </w:r>
      <w:r w:rsidR="00E66FB1">
        <w:t>are considered</w:t>
      </w:r>
      <w:r w:rsidR="00392BF8">
        <w:t xml:space="preserve">, c) </w:t>
      </w:r>
      <w:r w:rsidR="00E66FB1">
        <w:t xml:space="preserve">Routes of </w:t>
      </w:r>
      <w:r w:rsidR="00E263C7">
        <w:t>several</w:t>
      </w:r>
      <w:r w:rsidR="00E66FB1">
        <w:t xml:space="preserve"> customers are considered</w:t>
      </w:r>
      <w:r w:rsidR="00392BF8">
        <w:t>,</w:t>
      </w:r>
      <w:r w:rsidR="00E66FB1">
        <w:t xml:space="preserve"> </w:t>
      </w:r>
      <w:r w:rsidR="00392BF8">
        <w:t xml:space="preserve">d) </w:t>
      </w:r>
      <w:r w:rsidR="00E66FB1">
        <w:t>Lead time is taken into account when scheduling a customer visit</w:t>
      </w:r>
      <w:r w:rsidR="00392BF8">
        <w:t xml:space="preserve">, e) </w:t>
      </w:r>
      <w:r w:rsidR="00E66FB1">
        <w:t xml:space="preserve">Trucks making trips longer than </w:t>
      </w:r>
      <w:r w:rsidR="00692544">
        <w:t xml:space="preserve">the limit of </w:t>
      </w:r>
      <w:r w:rsidR="00E66FB1">
        <w:t xml:space="preserve">hours </w:t>
      </w:r>
      <w:r w:rsidR="00692544">
        <w:t xml:space="preserve">per day </w:t>
      </w:r>
      <w:r w:rsidR="00E66FB1">
        <w:t xml:space="preserve">are not available for use until their return to </w:t>
      </w:r>
      <w:r w:rsidR="00692544">
        <w:t xml:space="preserve">the </w:t>
      </w:r>
      <w:r w:rsidR="00E66FB1">
        <w:t>plant</w:t>
      </w:r>
      <w:r w:rsidR="00692544">
        <w:t>s</w:t>
      </w:r>
      <w:r w:rsidR="00392BF8">
        <w:t xml:space="preserve">, f) </w:t>
      </w:r>
      <w:r w:rsidR="00E66FB1">
        <w:t>The total ending inventory must be greater than or equal to the total beginning inventory</w:t>
      </w:r>
      <w:r w:rsidR="00392BF8">
        <w:t xml:space="preserve">, g) </w:t>
      </w:r>
      <w:r w:rsidR="00E66FB1">
        <w:t xml:space="preserve">A truck can </w:t>
      </w:r>
      <w:r w:rsidR="00CF3754">
        <w:t>have multiple</w:t>
      </w:r>
      <w:r w:rsidR="00E66FB1">
        <w:t xml:space="preserve"> trips in one day only if the total time of </w:t>
      </w:r>
      <w:r w:rsidR="001C4638">
        <w:t>all</w:t>
      </w:r>
      <w:r w:rsidR="00E66FB1">
        <w:t xml:space="preserve"> trips is less than or equal to </w:t>
      </w:r>
      <w:r w:rsidR="00692544">
        <w:t>the limit of hours per day</w:t>
      </w:r>
      <w:r w:rsidR="00392BF8">
        <w:t xml:space="preserve">, h) </w:t>
      </w:r>
      <w:r w:rsidR="00E66FB1">
        <w:t xml:space="preserve">A customer can be visited at most twice </w:t>
      </w:r>
      <w:r w:rsidR="002769CC">
        <w:t>on</w:t>
      </w:r>
      <w:r w:rsidR="00E66FB1">
        <w:t xml:space="preserve"> the same day</w:t>
      </w:r>
      <w:r w:rsidR="00392BF8">
        <w:t xml:space="preserve">, </w:t>
      </w:r>
      <w:proofErr w:type="spellStart"/>
      <w:r w:rsidR="00392BF8">
        <w:t>i</w:t>
      </w:r>
      <w:proofErr w:type="spellEnd"/>
      <w:r w:rsidR="00392BF8">
        <w:t xml:space="preserve">) </w:t>
      </w:r>
      <w:r w:rsidR="00B41CF0" w:rsidRPr="00B41CF0">
        <w:t>All the parameters and variables representing quantity of product are standardized to</w:t>
      </w:r>
      <w:r w:rsidR="001B74BE">
        <w:t xml:space="preserve"> medium-sized</w:t>
      </w:r>
      <w:r w:rsidR="00B41CF0" w:rsidRPr="00B41CF0">
        <w:t xml:space="preserve"> truck units</w:t>
      </w:r>
      <w:r w:rsidR="00392BF8">
        <w:t>,</w:t>
      </w:r>
      <w:r w:rsidR="00713AD3">
        <w:t xml:space="preserve"> </w:t>
      </w:r>
    </w:p>
    <w:p w14:paraId="10F8211D" w14:textId="75C7D1B7" w:rsidR="001143C3" w:rsidRDefault="004C0417" w:rsidP="001143C3">
      <w:pPr>
        <w:pStyle w:val="Els-2ndorder-head"/>
      </w:pPr>
      <w:r>
        <w:t>Model formulation</w:t>
      </w:r>
    </w:p>
    <w:p w14:paraId="41374E29" w14:textId="66E1A103" w:rsidR="00ED2BEF" w:rsidRDefault="00FD5062" w:rsidP="00ED2BEF">
      <w:pPr>
        <w:pStyle w:val="Els-body-text"/>
      </w:pPr>
      <w:r w:rsidRPr="00FD5062">
        <w:t xml:space="preserve">The extended MILP model is designed to minimize the costs associated with production and distribution operations when considering a heterogeneous fleet of trucks. The introduction of </w:t>
      </w:r>
      <w:r>
        <w:t>a</w:t>
      </w:r>
      <w:r w:rsidRPr="00FD5062">
        <w:t xml:space="preserve"> new index indicating the size of the trucks has an impact on the variables mentioned earlier and, consequently, on all equations related to them. </w:t>
      </w:r>
      <w:r w:rsidR="00845CD8" w:rsidRPr="00845CD8">
        <w:t xml:space="preserve">Unfortunately, due to space limitations, the complete model </w:t>
      </w:r>
      <w:r w:rsidR="00D30A5A">
        <w:t>cann</w:t>
      </w:r>
      <w:r w:rsidR="00D30A5A" w:rsidRPr="00845CD8">
        <w:t>ot</w:t>
      </w:r>
      <w:r w:rsidR="00845CD8" w:rsidRPr="00845CD8">
        <w:t xml:space="preserve"> </w:t>
      </w:r>
      <w:r w:rsidR="00D30A5A">
        <w:t xml:space="preserve">be </w:t>
      </w:r>
      <w:r w:rsidR="00845CD8" w:rsidRPr="00845CD8">
        <w:t>included.</w:t>
      </w:r>
      <w:r w:rsidR="00845CD8">
        <w:t xml:space="preserve"> Nevertheless, t</w:t>
      </w:r>
      <w:r w:rsidRPr="00FD5062">
        <w:t xml:space="preserve">o illustrate </w:t>
      </w:r>
      <w:r w:rsidR="00845CD8">
        <w:t xml:space="preserve">the impact of the </w:t>
      </w:r>
      <w:r w:rsidRPr="00FD5062">
        <w:t>changes in constraints, Equation</w:t>
      </w:r>
      <w:r w:rsidR="002D688A">
        <w:t>s</w:t>
      </w:r>
      <w:r w:rsidRPr="00FD5062">
        <w:t xml:space="preserve"> </w:t>
      </w:r>
      <w:r w:rsidR="00762E4F">
        <w:t>(</w:t>
      </w:r>
      <w:r w:rsidRPr="00FD5062">
        <w:t>1</w:t>
      </w:r>
      <w:r w:rsidR="00762E4F">
        <w:t>)</w:t>
      </w:r>
      <w:r w:rsidRPr="00FD5062">
        <w:t xml:space="preserve"> </w:t>
      </w:r>
      <w:r w:rsidR="002D688A">
        <w:t xml:space="preserve">and </w:t>
      </w:r>
      <w:r w:rsidR="00762E4F">
        <w:t>(</w:t>
      </w:r>
      <w:r w:rsidR="002D688A">
        <w:t>2</w:t>
      </w:r>
      <w:r w:rsidR="00762E4F">
        <w:t>)</w:t>
      </w:r>
      <w:r w:rsidR="002D688A">
        <w:t xml:space="preserve"> are</w:t>
      </w:r>
      <w:r w:rsidRPr="00FD5062">
        <w:t xml:space="preserve"> </w:t>
      </w:r>
      <w:r w:rsidR="00845CD8">
        <w:t>given as example</w:t>
      </w:r>
      <w:r w:rsidRPr="00FD5062">
        <w:t>.</w:t>
      </w:r>
      <w:r w:rsidR="009B4137">
        <w:t xml:space="preserve"> Both constraints are</w:t>
      </w:r>
      <w:r w:rsidR="009B4137" w:rsidRPr="008C2355">
        <w:t xml:space="preserve"> performed for trucks that are engaged in trips </w:t>
      </w:r>
      <w:r w:rsidR="009B4137">
        <w:t>with durations</w:t>
      </w:r>
      <w:r w:rsidR="009B4137" w:rsidRPr="008C2355">
        <w:t xml:space="preserve"> longer than </w:t>
      </w:r>
      <w:r w:rsidR="009B4137">
        <w:t>the maximum number of working hours per day (</w:t>
      </w:r>
      <w:proofErr w:type="spellStart"/>
      <w:r w:rsidR="009B4137" w:rsidRPr="002D688A">
        <w:rPr>
          <w:i/>
        </w:rPr>
        <w:t>hd</w:t>
      </w:r>
      <w:proofErr w:type="spellEnd"/>
      <w:r w:rsidR="009B4137">
        <w:t>)</w:t>
      </w:r>
      <w:r w:rsidR="009B4137" w:rsidRPr="00C459EC">
        <w:t>.</w:t>
      </w:r>
      <w:r w:rsidR="00A52CA9">
        <w:t xml:space="preserve"> </w:t>
      </w:r>
      <w:r w:rsidR="009B4137">
        <w:t>C</w:t>
      </w:r>
      <w:r w:rsidR="00845CD8">
        <w:t xml:space="preserve">onstraint </w:t>
      </w:r>
      <w:r w:rsidR="00762E4F">
        <w:t>(</w:t>
      </w:r>
      <w:r w:rsidR="009B4137">
        <w:t>1</w:t>
      </w:r>
      <w:r w:rsidR="00762E4F">
        <w:t>)</w:t>
      </w:r>
      <w:r w:rsidR="009B4137">
        <w:t xml:space="preserve"> </w:t>
      </w:r>
      <w:r w:rsidRPr="00FD5062">
        <w:t xml:space="preserve">calculates the number of trucks for each size that are available to </w:t>
      </w:r>
      <w:r>
        <w:t>perform</w:t>
      </w:r>
      <w:r w:rsidRPr="00FD5062">
        <w:t xml:space="preserve"> multi-day trips. </w:t>
      </w:r>
      <m:oMath>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i,p,size</m:t>
            </m:r>
          </m:sub>
        </m:sSub>
      </m:oMath>
      <w:r w:rsidRPr="00FD5062">
        <w:t xml:space="preserve"> </w:t>
      </w:r>
      <w:r w:rsidR="0048113B">
        <w:t xml:space="preserve">is a parameter that </w:t>
      </w:r>
      <w:r w:rsidRPr="00FD5062">
        <w:t xml:space="preserve">indicates the </w:t>
      </w:r>
      <w:r w:rsidR="00EE5E9A">
        <w:t xml:space="preserve">total </w:t>
      </w:r>
      <w:r w:rsidR="0048113B" w:rsidRPr="0048113B">
        <w:t xml:space="preserve">number of trucks of </w:t>
      </w:r>
      <w:r w:rsidR="00EE5E9A">
        <w:t xml:space="preserve">a given </w:t>
      </w:r>
      <w:r w:rsidR="0048113B" w:rsidRPr="0048113B">
        <w:t xml:space="preserve">size </w:t>
      </w:r>
      <w:r w:rsidR="00EE5E9A">
        <w:t xml:space="preserve">available in plant </w:t>
      </w:r>
      <w:r w:rsidR="00EE5E9A" w:rsidRPr="00F679AF">
        <w:rPr>
          <w:i/>
        </w:rPr>
        <w:t>p</w:t>
      </w:r>
      <w:r w:rsidR="00EE5E9A">
        <w:t xml:space="preserve"> </w:t>
      </w:r>
      <w:r w:rsidR="0048113B" w:rsidRPr="0048113B">
        <w:t xml:space="preserve">to transport product </w:t>
      </w:r>
      <w:proofErr w:type="spellStart"/>
      <w:r w:rsidR="0048113B" w:rsidRPr="00F679AF">
        <w:rPr>
          <w:i/>
        </w:rPr>
        <w:t>i</w:t>
      </w:r>
      <w:proofErr w:type="spellEnd"/>
      <w:r w:rsidR="00EE5E9A">
        <w:t>.</w:t>
      </w:r>
      <w:r w:rsidR="002D688A">
        <w:t xml:space="preserve"> </w:t>
      </w:r>
      <w:proofErr w:type="spellStart"/>
      <w:r w:rsidR="009B4137" w:rsidRPr="009B4137">
        <w:rPr>
          <w:i/>
        </w:rPr>
        <w:t>SP</w:t>
      </w:r>
      <w:r w:rsidR="009B4137" w:rsidRPr="009B4137">
        <w:rPr>
          <w:i/>
          <w:vertAlign w:val="subscript"/>
        </w:rPr>
        <w:t>p</w:t>
      </w:r>
      <w:proofErr w:type="spellEnd"/>
      <w:r w:rsidR="009B4137" w:rsidRPr="009B4137">
        <w:rPr>
          <w:i/>
        </w:rPr>
        <w:t xml:space="preserve">, </w:t>
      </w:r>
      <w:proofErr w:type="spellStart"/>
      <w:r w:rsidR="009B4137" w:rsidRPr="009B4137">
        <w:rPr>
          <w:i/>
        </w:rPr>
        <w:t>SI</w:t>
      </w:r>
      <w:r w:rsidR="009B4137" w:rsidRPr="009B4137">
        <w:rPr>
          <w:i/>
          <w:vertAlign w:val="subscript"/>
        </w:rPr>
        <w:t>i</w:t>
      </w:r>
      <w:proofErr w:type="spellEnd"/>
      <w:r w:rsidR="009B4137" w:rsidRPr="009B4137">
        <w:rPr>
          <w:i/>
        </w:rPr>
        <w:t xml:space="preserve">, </w:t>
      </w:r>
      <w:proofErr w:type="spellStart"/>
      <w:r w:rsidR="009B4137" w:rsidRPr="009B4137">
        <w:rPr>
          <w:i/>
        </w:rPr>
        <w:t>SAS</w:t>
      </w:r>
      <w:r w:rsidR="009B4137" w:rsidRPr="009B4137">
        <w:rPr>
          <w:i/>
          <w:vertAlign w:val="subscript"/>
        </w:rPr>
        <w:t>t</w:t>
      </w:r>
      <w:proofErr w:type="spellEnd"/>
      <w:r w:rsidR="009B4137">
        <w:t xml:space="preserve"> are the sets of r</w:t>
      </w:r>
      <w:r w:rsidR="009B4137" w:rsidRPr="009B4137">
        <w:t xml:space="preserve">outes departing from plant </w:t>
      </w:r>
      <w:r w:rsidR="009B4137" w:rsidRPr="00762E4F">
        <w:rPr>
          <w:i/>
        </w:rPr>
        <w:t>p</w:t>
      </w:r>
      <w:r w:rsidR="009B4137">
        <w:t>,</w:t>
      </w:r>
      <w:r w:rsidR="009B4137" w:rsidRPr="009B4137">
        <w:t xml:space="preserve"> transporting product </w:t>
      </w:r>
      <w:proofErr w:type="spellStart"/>
      <w:r w:rsidR="009B4137" w:rsidRPr="00762E4F">
        <w:rPr>
          <w:i/>
        </w:rPr>
        <w:lastRenderedPageBreak/>
        <w:t>i</w:t>
      </w:r>
      <w:proofErr w:type="spellEnd"/>
      <w:r w:rsidR="009B4137">
        <w:t>, and a</w:t>
      </w:r>
      <w:r w:rsidR="009B4137" w:rsidRPr="009B4137">
        <w:t xml:space="preserve">vailable routes on day </w:t>
      </w:r>
      <w:r w:rsidR="009B4137" w:rsidRPr="00762E4F">
        <w:rPr>
          <w:i/>
        </w:rPr>
        <w:t>t</w:t>
      </w:r>
      <w:r w:rsidR="009B4137">
        <w:t xml:space="preserve">, respectively. </w:t>
      </w:r>
      <w:proofErr w:type="spellStart"/>
      <w:r w:rsidR="00C11CF9" w:rsidRPr="00C11CF9">
        <w:rPr>
          <w:i/>
        </w:rPr>
        <w:t>IP</w:t>
      </w:r>
      <w:r w:rsidR="00C11CF9" w:rsidRPr="00D61EB3">
        <w:rPr>
          <w:i/>
          <w:vertAlign w:val="subscript"/>
        </w:rPr>
        <w:t>i</w:t>
      </w:r>
      <w:proofErr w:type="spellEnd"/>
      <w:r w:rsidR="00C11CF9">
        <w:t xml:space="preserve"> are </w:t>
      </w:r>
      <w:r w:rsidR="009E6636">
        <w:t xml:space="preserve">the set of </w:t>
      </w:r>
      <w:r w:rsidR="00D61EB3">
        <w:t>p</w:t>
      </w:r>
      <w:r w:rsidR="00D61EB3" w:rsidRPr="00D61EB3">
        <w:t xml:space="preserve">lants producing product </w:t>
      </w:r>
      <w:proofErr w:type="spellStart"/>
      <w:r w:rsidR="00D61EB3" w:rsidRPr="00D61EB3">
        <w:rPr>
          <w:i/>
        </w:rPr>
        <w:t>i</w:t>
      </w:r>
      <w:proofErr w:type="spellEnd"/>
      <w:r w:rsidR="00D61EB3">
        <w:t>.</w:t>
      </w:r>
      <w:r w:rsidR="00C11CF9">
        <w:t xml:space="preserve"> </w:t>
      </w:r>
      <w:r w:rsidR="002D688A" w:rsidRPr="008C2355">
        <w:t xml:space="preserve">Constraint </w:t>
      </w:r>
      <w:r w:rsidR="00762E4F">
        <w:t>(</w:t>
      </w:r>
      <w:r w:rsidR="002D688A">
        <w:t>2</w:t>
      </w:r>
      <w:r w:rsidR="00762E4F">
        <w:t>)</w:t>
      </w:r>
      <w:r w:rsidR="002D688A" w:rsidRPr="008C2355">
        <w:t xml:space="preserve"> calculate</w:t>
      </w:r>
      <w:r w:rsidR="002D688A">
        <w:t>s</w:t>
      </w:r>
      <w:r w:rsidR="002D688A" w:rsidRPr="008C2355">
        <w:t xml:space="preserve"> the number of unavailable trucks </w:t>
      </w:r>
      <w:r w:rsidR="002D688A">
        <w:t xml:space="preserve">for transporting the product </w:t>
      </w:r>
      <w:proofErr w:type="spellStart"/>
      <w:r w:rsidR="002D688A" w:rsidRPr="002D688A">
        <w:rPr>
          <w:i/>
        </w:rPr>
        <w:t>i</w:t>
      </w:r>
      <w:proofErr w:type="spellEnd"/>
      <w:r w:rsidR="002D688A">
        <w:t xml:space="preserve"> since the </w:t>
      </w:r>
      <w:r w:rsidR="002D688A" w:rsidRPr="008C2355">
        <w:t>plant</w:t>
      </w:r>
      <w:r w:rsidR="002D688A">
        <w:t xml:space="preserve"> </w:t>
      </w:r>
      <w:r w:rsidR="002D688A" w:rsidRPr="002D688A">
        <w:rPr>
          <w:i/>
        </w:rPr>
        <w:t>p</w:t>
      </w:r>
      <w:r w:rsidR="002D688A">
        <w:t xml:space="preserve"> </w:t>
      </w:r>
      <w:r w:rsidR="002D688A" w:rsidRPr="008C2355">
        <w:t xml:space="preserve">in </w:t>
      </w:r>
      <w:r w:rsidR="002D688A">
        <w:t xml:space="preserve">the </w:t>
      </w:r>
      <w:r w:rsidR="002D688A" w:rsidRPr="008C2355">
        <w:t xml:space="preserve">period </w:t>
      </w:r>
      <w:r w:rsidR="002D688A" w:rsidRPr="002D688A">
        <w:rPr>
          <w:i/>
        </w:rPr>
        <w:t>t</w:t>
      </w:r>
      <w:r w:rsidR="002D688A" w:rsidRPr="008C2355">
        <w:t xml:space="preserve"> (</w:t>
      </w:r>
      <m:oMath>
        <m:r>
          <w:rPr>
            <w:rFonts w:ascii="Cambria Math" w:hAnsi="Cambria Math"/>
          </w:rPr>
          <m:t>T</m:t>
        </m:r>
        <m:sSub>
          <m:sSubPr>
            <m:ctrlPr>
              <w:rPr>
                <w:rFonts w:ascii="Cambria Math" w:hAnsi="Cambria Math"/>
                <w:i/>
              </w:rPr>
            </m:ctrlPr>
          </m:sSubPr>
          <m:e>
            <m:r>
              <w:rPr>
                <w:rFonts w:ascii="Cambria Math" w:hAnsi="Cambria Math"/>
              </w:rPr>
              <m:t>U</m:t>
            </m:r>
          </m:e>
          <m:sub>
            <m:r>
              <w:rPr>
                <w:rFonts w:ascii="Cambria Math" w:hAnsi="Cambria Math"/>
              </w:rPr>
              <m:t>i,p,size,t</m:t>
            </m:r>
          </m:sub>
        </m:sSub>
      </m:oMath>
      <w:r w:rsidR="002D688A" w:rsidRPr="008C2355">
        <w:t xml:space="preserve">). </w:t>
      </w:r>
      <w:r w:rsidR="00ED2BEF">
        <w:t xml:space="preserve">To calculate the trucks not available in period t, equation (2) takes into account the parameter </w:t>
      </w:r>
      <w:r w:rsidR="00ED2BEF" w:rsidRPr="00ED2BEF">
        <w:rPr>
          <w:i/>
        </w:rPr>
        <w:t>Duration</w:t>
      </w:r>
      <w:r w:rsidR="00ED2BEF" w:rsidRPr="00ED2BEF">
        <w:rPr>
          <w:i/>
          <w:vertAlign w:val="subscript"/>
        </w:rPr>
        <w:t>s</w:t>
      </w:r>
      <w:r w:rsidR="00ED2BEF">
        <w:t xml:space="preserve"> in order to consider the trucks that are in use in period </w:t>
      </w:r>
      <w:r w:rsidR="00ED2BEF" w:rsidRPr="00ED2BEF">
        <w:rPr>
          <w:i/>
        </w:rPr>
        <w:t>t</w:t>
      </w:r>
      <w:r w:rsidR="00ED2BEF">
        <w:t xml:space="preserve"> because they are yet performing a given route </w:t>
      </w:r>
      <w:r w:rsidR="00ED2BEF" w:rsidRPr="00ED2BEF">
        <w:rPr>
          <w:i/>
        </w:rPr>
        <w:t>s</w:t>
      </w:r>
      <w:r w:rsidR="00ED2BEF">
        <w:t xml:space="preserve">. </w:t>
      </w:r>
    </w:p>
    <w:p w14:paraId="7A3F62C6" w14:textId="693C8051" w:rsidR="004C0417" w:rsidRDefault="004C0417" w:rsidP="00B50FC7">
      <w:pPr>
        <w:pStyle w:val="Els-body-text"/>
      </w:pPr>
    </w:p>
    <w:tbl>
      <w:tblPr>
        <w:tblW w:w="5000" w:type="pct"/>
        <w:jc w:val="center"/>
        <w:tblLook w:val="04A0" w:firstRow="1" w:lastRow="0" w:firstColumn="1" w:lastColumn="0" w:noHBand="0" w:noVBand="1"/>
      </w:tblPr>
      <w:tblGrid>
        <w:gridCol w:w="6454"/>
        <w:gridCol w:w="632"/>
      </w:tblGrid>
      <w:tr w:rsidR="003F7624" w:rsidRPr="00D7003A" w14:paraId="36BB7F01" w14:textId="77777777" w:rsidTr="003F7624">
        <w:trPr>
          <w:jc w:val="center"/>
        </w:trPr>
        <w:tc>
          <w:tcPr>
            <w:tcW w:w="4554" w:type="pct"/>
            <w:vAlign w:val="center"/>
          </w:tcPr>
          <w:p w14:paraId="0AE6DD5A" w14:textId="511392BB" w:rsidR="003F7624" w:rsidRPr="00C66AFC" w:rsidRDefault="001F23F8" w:rsidP="0048113B">
            <w:pPr>
              <w:jc w:val="both"/>
              <w:rPr>
                <w:rFonts w:eastAsiaTheme="minorEastAsia"/>
                <w:sz w:val="18"/>
                <w:szCs w:val="18"/>
              </w:rPr>
            </w:pPr>
            <m:oMathPara>
              <m:oMathParaPr>
                <m:jc m:val="left"/>
              </m:oMathParaPr>
              <m:oMath>
                <m:nary>
                  <m:naryPr>
                    <m:chr m:val="∑"/>
                    <m:limLoc m:val="undOvr"/>
                    <m:supHide m:val="1"/>
                    <m:ctrlPr>
                      <w:rPr>
                        <w:rFonts w:ascii="Cambria Math" w:hAnsi="Cambria Math"/>
                        <w:i/>
                        <w:sz w:val="18"/>
                        <w:szCs w:val="18"/>
                      </w:rPr>
                    </m:ctrlPr>
                  </m:naryPr>
                  <m:sub>
                    <m:r>
                      <w:rPr>
                        <w:rFonts w:ascii="Cambria Math" w:hAnsi="Cambria Math"/>
                        <w:sz w:val="18"/>
                        <w:szCs w:val="18"/>
                      </w:rPr>
                      <m:t>s ∈</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p</m:t>
                            </m:r>
                          </m:sub>
                        </m:sSub>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r>
                          <w:rPr>
                            <w:rFonts w:ascii="Cambria Math" w:hAnsi="Cambria Math"/>
                            <w:sz w:val="18"/>
                            <w:szCs w:val="18"/>
                          </w:rPr>
                          <m:t>∧SA</m:t>
                        </m:r>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s</m:t>
                            </m:r>
                          </m:sub>
                        </m:sSub>
                        <m:r>
                          <w:rPr>
                            <w:rFonts w:ascii="Cambria Math" w:hAnsi="Cambria Math"/>
                            <w:sz w:val="18"/>
                            <w:szCs w:val="18"/>
                          </w:rPr>
                          <m:t>&gt;hd)</m:t>
                        </m:r>
                      </m:e>
                    </m:d>
                  </m:sub>
                  <m:sup/>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i,p,s,size,t</m:t>
                        </m:r>
                      </m:sub>
                    </m:sSub>
                  </m:e>
                </m:nary>
                <m:r>
                  <w:rPr>
                    <w:rFonts w:ascii="Cambria Math" w:hAnsi="Cambria Math"/>
                    <w:sz w:val="18"/>
                    <w:szCs w:val="18"/>
                  </w:rPr>
                  <m:t xml:space="preserve">  ≤(L</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i,p,size</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i,p,size,t</m:t>
                    </m:r>
                  </m:sub>
                </m:sSub>
                <m:r>
                  <w:rPr>
                    <w:rFonts w:ascii="Cambria Math" w:hAnsi="Cambria Math"/>
                    <w:sz w:val="18"/>
                    <w:szCs w:val="18"/>
                  </w:rPr>
                  <m:t>) ,</m:t>
                </m:r>
              </m:oMath>
            </m:oMathPara>
          </w:p>
          <w:p w14:paraId="55C683BC" w14:textId="77777777" w:rsidR="003F7624" w:rsidRPr="00C66AFC" w:rsidRDefault="003F7624" w:rsidP="0048113B">
            <w:pPr>
              <w:jc w:val="both"/>
              <w:rPr>
                <w:sz w:val="18"/>
                <w:szCs w:val="18"/>
              </w:rPr>
            </w:pPr>
            <m:oMathPara>
              <m:oMathParaPr>
                <m:jc m:val="right"/>
              </m:oMathParaPr>
              <m:oMath>
                <m:r>
                  <w:rPr>
                    <w:rFonts w:ascii="Cambria Math" w:hAnsi="Cambria Math"/>
                    <w:sz w:val="18"/>
                    <w:szCs w:val="18"/>
                  </w:rPr>
                  <m:t>  </m:t>
                </m:r>
                <m:r>
                  <w:rPr>
                    <w:rFonts w:ascii="Cambria Math" w:hAnsi="Cambria Math" w:cs="Arial"/>
                    <w:sz w:val="18"/>
                    <w:szCs w:val="18"/>
                  </w:rPr>
                  <m:t xml:space="preserve">∀i∈I, </m:t>
                </m:r>
                <m:r>
                  <w:rPr>
                    <w:rFonts w:ascii="Cambria Math" w:hAnsi="Cambria Math"/>
                    <w:sz w:val="18"/>
                    <w:szCs w:val="18"/>
                  </w:rPr>
                  <m:t>∀p∈I</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 ∀t</m:t>
                </m:r>
                <m:r>
                  <w:rPr>
                    <w:rFonts w:ascii="Cambria Math" w:eastAsiaTheme="minorEastAsia" w:hAnsi="Cambria Math"/>
                    <w:sz w:val="18"/>
                    <w:szCs w:val="18"/>
                  </w:rPr>
                  <m:t xml:space="preserve">, </m:t>
                </m:r>
                <m:r>
                  <w:rPr>
                    <w:rFonts w:ascii="Cambria Math" w:hAnsi="Cambria Math"/>
                    <w:sz w:val="18"/>
                    <w:szCs w:val="18"/>
                  </w:rPr>
                  <m:t>∀size∈Size</m:t>
                </m:r>
              </m:oMath>
            </m:oMathPara>
          </w:p>
        </w:tc>
        <w:tc>
          <w:tcPr>
            <w:tcW w:w="446" w:type="pct"/>
            <w:vAlign w:val="center"/>
          </w:tcPr>
          <w:p w14:paraId="3BB8AC6C" w14:textId="3A53161E" w:rsidR="003F7624" w:rsidRPr="00D7003A" w:rsidRDefault="003F7624" w:rsidP="0048113B">
            <w:pPr>
              <w:jc w:val="center"/>
              <w:rPr>
                <w:sz w:val="18"/>
                <w:szCs w:val="18"/>
                <w:lang w:val="es-AR"/>
              </w:rPr>
            </w:pPr>
            <w:r w:rsidRPr="00D7003A">
              <w:rPr>
                <w:sz w:val="18"/>
                <w:szCs w:val="18"/>
                <w:lang w:val="es-AR"/>
              </w:rPr>
              <w:t>(1)</w:t>
            </w:r>
          </w:p>
        </w:tc>
      </w:tr>
      <w:tr w:rsidR="00EE14C4" w:rsidRPr="00D7003A" w14:paraId="7A709DEB" w14:textId="77777777" w:rsidTr="003F7624">
        <w:trPr>
          <w:jc w:val="center"/>
        </w:trPr>
        <w:tc>
          <w:tcPr>
            <w:tcW w:w="4554" w:type="pct"/>
            <w:vAlign w:val="center"/>
          </w:tcPr>
          <w:p w14:paraId="691607E5" w14:textId="77777777" w:rsidR="00EE14C4" w:rsidRDefault="00EE14C4" w:rsidP="0048113B">
            <w:pPr>
              <w:jc w:val="both"/>
              <w:rPr>
                <w:sz w:val="18"/>
                <w:szCs w:val="18"/>
              </w:rPr>
            </w:pPr>
          </w:p>
        </w:tc>
        <w:tc>
          <w:tcPr>
            <w:tcW w:w="446" w:type="pct"/>
            <w:vAlign w:val="center"/>
          </w:tcPr>
          <w:p w14:paraId="0D39B8BB" w14:textId="77777777" w:rsidR="00EE14C4" w:rsidRPr="00D7003A" w:rsidRDefault="00EE14C4" w:rsidP="0048113B">
            <w:pPr>
              <w:jc w:val="center"/>
              <w:rPr>
                <w:sz w:val="18"/>
                <w:szCs w:val="18"/>
                <w:lang w:val="es-AR"/>
              </w:rPr>
            </w:pPr>
          </w:p>
        </w:tc>
      </w:tr>
      <w:tr w:rsidR="00EE14C4" w:rsidRPr="00D7003A" w14:paraId="59A2228D" w14:textId="77777777" w:rsidTr="003F7624">
        <w:trPr>
          <w:jc w:val="center"/>
        </w:trPr>
        <w:tc>
          <w:tcPr>
            <w:tcW w:w="4554" w:type="pct"/>
            <w:vAlign w:val="center"/>
          </w:tcPr>
          <w:p w14:paraId="42B8888A" w14:textId="3A85A65B" w:rsidR="00EE14C4" w:rsidRPr="00C66AFC" w:rsidRDefault="002D688A" w:rsidP="0048113B">
            <w:pPr>
              <w:jc w:val="both"/>
              <w:rPr>
                <w:sz w:val="18"/>
              </w:rPr>
            </w:pPr>
            <m:oMathPara>
              <m:oMathParaPr>
                <m:jc m:val="left"/>
              </m:oMathParaPr>
              <m:oMath>
                <m:r>
                  <w:rPr>
                    <w:rFonts w:ascii="Cambria Math" w:hAnsi="Cambria Math"/>
                  </w:rPr>
                  <m:t>T</m:t>
                </m:r>
                <m:sSub>
                  <m:sSubPr>
                    <m:ctrlPr>
                      <w:rPr>
                        <w:rFonts w:ascii="Cambria Math" w:hAnsi="Cambria Math"/>
                        <w:i/>
                      </w:rPr>
                    </m:ctrlPr>
                  </m:sSubPr>
                  <m:e>
                    <m:r>
                      <w:rPr>
                        <w:rFonts w:ascii="Cambria Math" w:hAnsi="Cambria Math"/>
                      </w:rPr>
                      <m:t>U</m:t>
                    </m:r>
                  </m:e>
                  <m:sub>
                    <m:r>
                      <w:rPr>
                        <w:rFonts w:ascii="Cambria Math" w:hAnsi="Cambria Math"/>
                      </w:rPr>
                      <m:t>i,p,size,t</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 xml:space="preserve">s ∈ </m:t>
                        </m:r>
                        <m:d>
                          <m:dPr>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P</m:t>
                                </m:r>
                              </m:e>
                              <m:sub>
                                <m:r>
                                  <w:rPr>
                                    <w:rFonts w:ascii="Cambria Math" w:hAnsi="Cambria Math"/>
                                  </w:rPr>
                                  <m:t>p</m:t>
                                </m:r>
                              </m:sub>
                            </m:sSub>
                            <m:r>
                              <w:rPr>
                                <w:rFonts w:ascii="Cambria Math" w:hAnsi="Cambria Math"/>
                              </w:rPr>
                              <m:t>∧S</m:t>
                            </m:r>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∧SA</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 xml:space="preserve"> ∧</m:t>
                            </m:r>
                            <m:d>
                              <m:dPr>
                                <m:ctrlPr>
                                  <w:rPr>
                                    <w:rFonts w:ascii="Cambria Math" w:hAnsi="Cambria Math"/>
                                    <w:i/>
                                  </w:rPr>
                                </m:ctrlPr>
                              </m:dPr>
                              <m:e>
                                <m:r>
                                  <w:rPr>
                                    <w:rFonts w:ascii="Cambria Math" w:hAnsi="Cambria Math"/>
                                  </w:rPr>
                                  <m:t>Duratio</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&gt;1</m:t>
                                </m:r>
                              </m:e>
                            </m:d>
                          </m:e>
                        </m:d>
                        <m:r>
                          <w:rPr>
                            <w:rFonts w:ascii="Cambria Math" w:hAnsi="Cambria Math"/>
                          </w:rPr>
                          <m:t>,</m:t>
                        </m:r>
                      </m:e>
                      <m:e>
                        <m:r>
                          <w:rPr>
                            <w:rFonts w:ascii="Cambria Math" w:hAnsi="Cambria Math"/>
                          </w:rPr>
                          <m:t>tt :(</m:t>
                        </m:r>
                        <m:d>
                          <m:dPr>
                            <m:ctrlPr>
                              <w:rPr>
                                <w:rFonts w:ascii="Cambria Math" w:hAnsi="Cambria Math"/>
                                <w:i/>
                              </w:rPr>
                            </m:ctrlPr>
                          </m:dPr>
                          <m:e>
                            <m:r>
                              <w:rPr>
                                <w:rFonts w:ascii="Cambria Math" w:hAnsi="Cambria Math"/>
                              </w:rPr>
                              <m:t>tt≥t-Duratio</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+1) ∧ (tt≤t-1)</m:t>
                            </m:r>
                          </m:e>
                        </m:d>
                        <m:r>
                          <w:rPr>
                            <w:rFonts w:ascii="Cambria Math" w:hAnsi="Cambria Math"/>
                          </w:rPr>
                          <m:t xml:space="preserve"> </m:t>
                        </m:r>
                      </m:e>
                    </m:eqArr>
                  </m:sub>
                  <m:sup/>
                  <m:e>
                    <m:sSub>
                      <m:sSubPr>
                        <m:ctrlPr>
                          <w:rPr>
                            <w:rFonts w:ascii="Cambria Math" w:hAnsi="Cambria Math"/>
                            <w:i/>
                          </w:rPr>
                        </m:ctrlPr>
                      </m:sSubPr>
                      <m:e>
                        <m:r>
                          <w:rPr>
                            <w:rFonts w:ascii="Cambria Math" w:hAnsi="Cambria Math"/>
                          </w:rPr>
                          <m:t>A</m:t>
                        </m:r>
                      </m:e>
                      <m:sub>
                        <m:r>
                          <w:rPr>
                            <w:rFonts w:ascii="Cambria Math" w:hAnsi="Cambria Math"/>
                          </w:rPr>
                          <m:t>i,p,s, size, tt</m:t>
                        </m:r>
                      </m:sub>
                    </m:sSub>
                  </m:e>
                </m:nary>
              </m:oMath>
            </m:oMathPara>
          </w:p>
          <w:p w14:paraId="2638E1CF" w14:textId="62124C60" w:rsidR="00EE14C4" w:rsidRPr="00C66AFC" w:rsidRDefault="002D688A" w:rsidP="0048113B">
            <w:pPr>
              <w:jc w:val="both"/>
              <w:rPr>
                <w:sz w:val="18"/>
                <w:szCs w:val="18"/>
              </w:rPr>
            </w:pPr>
            <m:oMathPara>
              <m:oMathParaPr>
                <m:jc m:val="right"/>
              </m:oMathParaPr>
              <m:oMath>
                <m:r>
                  <w:rPr>
                    <w:rFonts w:ascii="Cambria Math" w:hAnsi="Cambria Math" w:cs="Arial"/>
                    <w:sz w:val="18"/>
                    <w:szCs w:val="18"/>
                  </w:rPr>
                  <m:t xml:space="preserve">∀i∈I, </m:t>
                </m:r>
                <m:r>
                  <w:rPr>
                    <w:rFonts w:ascii="Cambria Math" w:hAnsi="Cambria Math"/>
                    <w:sz w:val="18"/>
                    <w:szCs w:val="18"/>
                  </w:rPr>
                  <m:t>∀p∈I</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,∀t:t&gt;1</m:t>
                </m:r>
                <m:r>
                  <w:rPr>
                    <w:rFonts w:ascii="Cambria Math" w:eastAsiaTheme="minorEastAsia" w:hAnsi="Cambria Math" w:cs="Arial"/>
                    <w:sz w:val="18"/>
                    <w:szCs w:val="18"/>
                  </w:rPr>
                  <m:t>,</m:t>
                </m:r>
                <m:r>
                  <w:rPr>
                    <w:rFonts w:ascii="Cambria Math" w:hAnsi="Cambria Math"/>
                    <w:sz w:val="18"/>
                    <w:szCs w:val="18"/>
                  </w:rPr>
                  <m:t xml:space="preserve"> ∀size∈Size</m:t>
                </m:r>
              </m:oMath>
            </m:oMathPara>
          </w:p>
        </w:tc>
        <w:tc>
          <w:tcPr>
            <w:tcW w:w="446" w:type="pct"/>
            <w:vAlign w:val="center"/>
          </w:tcPr>
          <w:p w14:paraId="6F3B8675" w14:textId="054B6648" w:rsidR="00556944" w:rsidRPr="00D7003A" w:rsidRDefault="00EE14C4" w:rsidP="00556944">
            <w:pPr>
              <w:jc w:val="center"/>
              <w:rPr>
                <w:sz w:val="18"/>
                <w:szCs w:val="18"/>
                <w:lang w:val="es-AR"/>
              </w:rPr>
            </w:pPr>
            <w:r>
              <w:rPr>
                <w:sz w:val="18"/>
                <w:szCs w:val="18"/>
                <w:lang w:val="es-AR"/>
              </w:rPr>
              <w:t>(2)</w:t>
            </w:r>
          </w:p>
        </w:tc>
      </w:tr>
      <w:tr w:rsidR="00556944" w:rsidRPr="00D7003A" w14:paraId="0F26C180" w14:textId="77777777" w:rsidTr="003F7624">
        <w:trPr>
          <w:jc w:val="center"/>
        </w:trPr>
        <w:tc>
          <w:tcPr>
            <w:tcW w:w="4554" w:type="pct"/>
            <w:vAlign w:val="center"/>
          </w:tcPr>
          <w:p w14:paraId="4182982B" w14:textId="77777777" w:rsidR="00556944" w:rsidRDefault="00556944" w:rsidP="0048113B">
            <w:pPr>
              <w:jc w:val="both"/>
            </w:pPr>
          </w:p>
        </w:tc>
        <w:tc>
          <w:tcPr>
            <w:tcW w:w="446" w:type="pct"/>
            <w:vAlign w:val="center"/>
          </w:tcPr>
          <w:p w14:paraId="4A147DB1" w14:textId="77777777" w:rsidR="00556944" w:rsidRDefault="00556944" w:rsidP="00556944">
            <w:pPr>
              <w:jc w:val="center"/>
              <w:rPr>
                <w:sz w:val="18"/>
                <w:szCs w:val="18"/>
                <w:lang w:val="es-AR"/>
              </w:rPr>
            </w:pPr>
          </w:p>
        </w:tc>
      </w:tr>
    </w:tbl>
    <w:p w14:paraId="0EDB3901" w14:textId="3E883F30" w:rsidR="00B50FC7" w:rsidRPr="00B50FC7" w:rsidRDefault="000D4C38" w:rsidP="002B2155">
      <w:pPr>
        <w:pStyle w:val="Els-2ndorder-head"/>
      </w:pPr>
      <w:r>
        <w:t>Strategy for m</w:t>
      </w:r>
      <w:r w:rsidR="002B2155">
        <w:t>atching routes with t</w:t>
      </w:r>
      <w:r w:rsidR="002B2155" w:rsidRPr="002B2155">
        <w:t>ruck</w:t>
      </w:r>
      <w:r w:rsidR="002B2155">
        <w:t>s considering the</w:t>
      </w:r>
      <w:r>
        <w:t>ir</w:t>
      </w:r>
      <w:r w:rsidR="002B2155">
        <w:t xml:space="preserve"> sizes</w:t>
      </w:r>
    </w:p>
    <w:p w14:paraId="733B60F0" w14:textId="7D5DFFF1" w:rsidR="004E6B29" w:rsidRDefault="002B2155" w:rsidP="00C52162">
      <w:pPr>
        <w:pStyle w:val="Els-body-text"/>
        <w:spacing w:after="120"/>
      </w:pPr>
      <w:r>
        <w:t>In this section</w:t>
      </w:r>
      <w:r w:rsidR="002B3183">
        <w:t>, the</w:t>
      </w:r>
      <w:r w:rsidR="00C66AFC">
        <w:t xml:space="preserve"> proposed</w:t>
      </w:r>
      <w:r w:rsidR="002B3183">
        <w:t xml:space="preserve"> strategy </w:t>
      </w:r>
      <w:r w:rsidR="00C66AFC">
        <w:t>is presented</w:t>
      </w:r>
      <w:r w:rsidR="002B3183">
        <w:t xml:space="preserve"> in order to </w:t>
      </w:r>
      <w:r w:rsidR="00C66AFC">
        <w:t>e</w:t>
      </w:r>
      <w:r w:rsidR="002B3183">
        <w:t xml:space="preserve">stablish an </w:t>
      </w:r>
      <w:r w:rsidR="000D4C38">
        <w:t>efficient relationship</w:t>
      </w:r>
      <w:r w:rsidR="002B3183">
        <w:t xml:space="preserve"> between </w:t>
      </w:r>
      <w:r w:rsidR="000D4C38">
        <w:t>the generated routes and the available truck sizes. In this work t</w:t>
      </w:r>
      <w:r w:rsidR="00DE12AD" w:rsidRPr="00DE12AD">
        <w:t xml:space="preserve">he </w:t>
      </w:r>
      <w:r w:rsidR="00E54BDD">
        <w:t xml:space="preserve">truck </w:t>
      </w:r>
      <w:r w:rsidR="00DE12AD" w:rsidRPr="00DE12AD">
        <w:t xml:space="preserve">capacities </w:t>
      </w:r>
      <w:r w:rsidR="00E33DF0">
        <w:t>(</w:t>
      </w:r>
      <m:oMath>
        <m:r>
          <w:rPr>
            <w:rFonts w:ascii="Cambria Math" w:hAnsi="Cambria Math"/>
            <w:lang w:val="en-GB"/>
          </w:rPr>
          <m:t>Capacit</m:t>
        </m:r>
        <m:sSub>
          <m:sSubPr>
            <m:ctrlPr>
              <w:rPr>
                <w:rFonts w:ascii="Cambria Math" w:hAnsi="Cambria Math"/>
                <w:i/>
                <w:iCs/>
                <w:lang w:val="en-GB"/>
              </w:rPr>
            </m:ctrlPr>
          </m:sSubPr>
          <m:e>
            <m:r>
              <w:rPr>
                <w:rFonts w:ascii="Cambria Math" w:hAnsi="Cambria Math"/>
                <w:lang w:val="en-GB"/>
              </w:rPr>
              <m:t>y</m:t>
            </m:r>
          </m:e>
          <m:sub>
            <m:r>
              <w:rPr>
                <w:rFonts w:ascii="Cambria Math" w:hAnsi="Cambria Math"/>
                <w:lang w:val="en-GB"/>
              </w:rPr>
              <m:t>size</m:t>
            </m:r>
          </m:sub>
        </m:sSub>
      </m:oMath>
      <w:r w:rsidR="00E33DF0">
        <w:t xml:space="preserve">) </w:t>
      </w:r>
      <w:r w:rsidR="000D4C38">
        <w:t xml:space="preserve">considered are </w:t>
      </w:r>
      <w:r w:rsidR="000D4C38" w:rsidRPr="00DE12AD">
        <w:t>0.5, 1, and 1.4</w:t>
      </w:r>
      <w:r w:rsidR="000D4C38">
        <w:t xml:space="preserve"> for </w:t>
      </w:r>
      <w:r w:rsidR="00DE12AD" w:rsidRPr="00DE12AD">
        <w:t>small, medium, and large trucks</w:t>
      </w:r>
      <w:r w:rsidR="000D4C38">
        <w:t xml:space="preserve">, </w:t>
      </w:r>
      <w:r w:rsidR="00DE12AD" w:rsidRPr="00DE12AD">
        <w:t>respectively.</w:t>
      </w:r>
      <w:r w:rsidR="00434ACC">
        <w:t xml:space="preserve"> </w:t>
      </w:r>
      <w:r w:rsidR="00097655" w:rsidRPr="00097655">
        <w:t>To match routes and truck sizes, the characteristics of the clients involved in the trips are considered. Customer location is a key aspect because not all trucks can deliver product to customers due to accessibility issues. On the other hand, tank capacity and daily customer demand substantially affect the minimum and maximum delivery connected to the routes.</w:t>
      </w:r>
      <w:r w:rsidR="00FA7027">
        <w:t xml:space="preserve"> </w:t>
      </w:r>
      <w:r w:rsidR="00A41468">
        <w:t xml:space="preserve">For </w:t>
      </w:r>
      <w:r w:rsidR="00FA7027">
        <w:t xml:space="preserve">the generated </w:t>
      </w:r>
      <w:r w:rsidR="00A41468">
        <w:t>routes that do not have limitations</w:t>
      </w:r>
      <w:r w:rsidR="00FE7308">
        <w:t xml:space="preserve"> (</w:t>
      </w:r>
      <w:r w:rsidR="00FA7027">
        <w:t xml:space="preserve">for example, </w:t>
      </w:r>
      <w:r w:rsidR="00FE7308">
        <w:t>due to the location of customers)</w:t>
      </w:r>
      <w:r w:rsidR="00A41468">
        <w:t xml:space="preserve">, </w:t>
      </w:r>
      <w:r w:rsidR="00FA7027">
        <w:t>A</w:t>
      </w:r>
      <w:r w:rsidR="00134106">
        <w:t xml:space="preserve">lgorithm </w:t>
      </w:r>
      <w:r w:rsidR="00FA7027">
        <w:t xml:space="preserve">1 </w:t>
      </w:r>
      <w:r w:rsidR="00C66AFC">
        <w:t>e</w:t>
      </w:r>
      <w:r w:rsidR="00FA7027">
        <w:t xml:space="preserve">stablishes the set of routes that can be </w:t>
      </w:r>
      <w:r w:rsidR="00982554">
        <w:t xml:space="preserve">used </w:t>
      </w:r>
      <w:r w:rsidR="00FA7027">
        <w:t>by the trucks of the different sizes</w:t>
      </w:r>
      <w:r w:rsidR="00134106">
        <w:t xml:space="preserve">. </w:t>
      </w:r>
      <w:r w:rsidR="00E54BDD">
        <w:t xml:space="preserve">It is important to note that for each route generated </w:t>
      </w:r>
      <w:r w:rsidR="00134106">
        <w:t>the minimum and maximum amount</w:t>
      </w:r>
      <w:r w:rsidR="00C32C21">
        <w:t xml:space="preserve"> </w:t>
      </w:r>
      <w:r w:rsidR="00134106">
        <w:t xml:space="preserve">of product </w:t>
      </w:r>
      <w:r w:rsidR="00982554">
        <w:t>(</w:t>
      </w:r>
      <m:oMath>
        <m:r>
          <w:rPr>
            <w:rFonts w:ascii="Cambria Math" w:hAnsi="Cambria Math"/>
            <w:lang w:val="en-GB"/>
          </w:rPr>
          <m:t>Del</m:t>
        </m:r>
        <m:r>
          <m:rPr>
            <m:sty m:val="p"/>
          </m:rPr>
          <w:rPr>
            <w:rFonts w:ascii="Cambria Math" w:hAnsi="Cambria Math"/>
            <w:lang w:val="en-GB"/>
          </w:rPr>
          <m:t>ivery</m:t>
        </m:r>
        <m:r>
          <w:rPr>
            <w:rFonts w:ascii="Cambria Math" w:hAnsi="Cambria Math"/>
            <w:lang w:val="en-GB"/>
          </w:rPr>
          <m:t>Mi</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s</m:t>
            </m:r>
          </m:sub>
        </m:sSub>
      </m:oMath>
      <w:r w:rsidR="00982554">
        <w:rPr>
          <w:iCs/>
          <w:lang w:val="en-GB"/>
        </w:rPr>
        <w:t>,</w:t>
      </w:r>
      <w:r w:rsidR="00982554">
        <w:rPr>
          <w:rFonts w:ascii="Cambria Math" w:hAnsi="Cambria Math"/>
          <w:i/>
          <w:iCs/>
          <w:lang w:val="en-GB"/>
        </w:rPr>
        <w:t xml:space="preserve"> </w:t>
      </w:r>
      <m:oMath>
        <m:r>
          <w:rPr>
            <w:rFonts w:ascii="Cambria Math" w:hAnsi="Cambria Math"/>
            <w:lang w:val="en-GB"/>
          </w:rPr>
          <m:t>Del</m:t>
        </m:r>
        <m:r>
          <m:rPr>
            <m:sty m:val="p"/>
          </m:rPr>
          <w:rPr>
            <w:rFonts w:ascii="Cambria Math" w:hAnsi="Cambria Math"/>
            <w:lang w:val="en-GB"/>
          </w:rPr>
          <m:t>ivery</m:t>
        </m:r>
        <m:r>
          <w:rPr>
            <w:rFonts w:ascii="Cambria Math" w:hAnsi="Cambria Math"/>
            <w:lang w:val="en-GB"/>
          </w:rPr>
          <m:t>Ma</m:t>
        </m:r>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s</m:t>
            </m:r>
          </m:sub>
        </m:sSub>
      </m:oMath>
      <w:r w:rsidR="00982554">
        <w:t xml:space="preserve">) </w:t>
      </w:r>
      <w:r w:rsidR="00134106">
        <w:t xml:space="preserve">that the route can deliver </w:t>
      </w:r>
      <w:r w:rsidR="00982554">
        <w:t>is determined. These parameters are computed considering the daily customer demands and the difference between the tank capacity and the reserve levels of the customers included on the routes</w:t>
      </w:r>
      <w:r w:rsidR="00E33DF0">
        <w:t>, respectively.</w:t>
      </w:r>
    </w:p>
    <w:p w14:paraId="3EFC701C" w14:textId="16D87CE1" w:rsidR="00C52162" w:rsidRDefault="00E16D9C" w:rsidP="002A550A">
      <w:pPr>
        <w:pStyle w:val="Els-body-text"/>
      </w:pPr>
      <w:r w:rsidRPr="00F21030">
        <w:rPr>
          <w:noProof/>
        </w:rPr>
        <w:drawing>
          <wp:inline distT="0" distB="0" distL="0" distR="0" wp14:anchorId="0A3B7F89" wp14:editId="54C62CF9">
            <wp:extent cx="4496908" cy="2230502"/>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6908" cy="2230502"/>
                    </a:xfrm>
                    <a:prstGeom prst="rect">
                      <a:avLst/>
                    </a:prstGeom>
                    <a:noFill/>
                    <a:ln>
                      <a:noFill/>
                    </a:ln>
                  </pic:spPr>
                </pic:pic>
              </a:graphicData>
            </a:graphic>
          </wp:inline>
        </w:drawing>
      </w:r>
    </w:p>
    <w:p w14:paraId="4896CDE0" w14:textId="77777777" w:rsidR="00556944" w:rsidRDefault="00556944" w:rsidP="00556944">
      <w:pPr>
        <w:pStyle w:val="Els-body-text"/>
      </w:pPr>
      <w:r w:rsidRPr="00D732AE">
        <w:t xml:space="preserve">The procedure is initiated by generating empty lists for the </w:t>
      </w:r>
      <w:r>
        <w:t>different</w:t>
      </w:r>
      <w:r w:rsidRPr="00D732AE">
        <w:t xml:space="preserve"> truck sizes, where the assigned routes will be stored. For each route, a comparison is made between the minimum </w:t>
      </w:r>
      <w:r>
        <w:t>delivery</w:t>
      </w:r>
      <w:r w:rsidRPr="00D732AE">
        <w:t xml:space="preserve"> and the capacities of different trucks to determine if, in any case, the </w:t>
      </w:r>
      <w:r>
        <w:lastRenderedPageBreak/>
        <w:t>lowest</w:t>
      </w:r>
      <w:r w:rsidRPr="00D732AE">
        <w:t xml:space="preserve"> quantity to be shipped exceeds the available capacity for a given </w:t>
      </w:r>
      <w:r>
        <w:t xml:space="preserve">truck </w:t>
      </w:r>
      <w:r w:rsidRPr="00D732AE">
        <w:t xml:space="preserve">size. If the minimum shipment for a route is less than the capacity of the </w:t>
      </w:r>
      <w:r>
        <w:t xml:space="preserve">truck </w:t>
      </w:r>
      <w:r w:rsidRPr="00D732AE">
        <w:t xml:space="preserve">size under analysis, the maximum shipment is then compared with the available capacity of the next </w:t>
      </w:r>
      <w:r>
        <w:t>size of truck</w:t>
      </w:r>
      <w:r w:rsidRPr="00D732AE">
        <w:t xml:space="preserve">. If the </w:t>
      </w:r>
      <w:r>
        <w:t>highest</w:t>
      </w:r>
      <w:r w:rsidRPr="00D732AE">
        <w:t xml:space="preserve"> </w:t>
      </w:r>
      <w:r>
        <w:t>delivery of the route</w:t>
      </w:r>
      <w:r w:rsidRPr="00D732AE">
        <w:t xml:space="preserve"> </w:t>
      </w:r>
      <w:r>
        <w:t xml:space="preserve">is greater than </w:t>
      </w:r>
      <w:r w:rsidRPr="00D732AE">
        <w:t xml:space="preserve">the </w:t>
      </w:r>
      <w:r>
        <w:t xml:space="preserve">80% of the </w:t>
      </w:r>
      <w:r w:rsidRPr="00D732AE">
        <w:t xml:space="preserve">capacity of the next truck, the route is assigned to that truck size; otherwise, the route is assigned to the </w:t>
      </w:r>
      <w:r>
        <w:t>initial</w:t>
      </w:r>
      <w:r w:rsidRPr="00D732AE">
        <w:t xml:space="preserve"> size.</w:t>
      </w:r>
    </w:p>
    <w:p w14:paraId="049BAC31" w14:textId="79227E67" w:rsidR="00556944" w:rsidRDefault="00556944" w:rsidP="00556944">
      <w:pPr>
        <w:pStyle w:val="Els-body-text"/>
      </w:pPr>
      <w:r>
        <w:t xml:space="preserve">The algorithm presented </w:t>
      </w:r>
      <w:r w:rsidRPr="00584835">
        <w:t xml:space="preserve">outlines the assignment of a single truck size per route. </w:t>
      </w:r>
      <w:r>
        <w:t xml:space="preserve">Nevertheless, </w:t>
      </w:r>
      <w:r w:rsidR="00C66AFC">
        <w:t>with</w:t>
      </w:r>
      <w:r>
        <w:t xml:space="preserve"> </w:t>
      </w:r>
      <w:r w:rsidRPr="00584835">
        <w:t xml:space="preserve">slight adjustments, it can also be extended to consider two truck sizes per route. In this </w:t>
      </w:r>
      <w:r>
        <w:t>case</w:t>
      </w:r>
      <w:r w:rsidRPr="00584835">
        <w:t xml:space="preserve">, the sizes are determined by those ensuring the minimum </w:t>
      </w:r>
      <w:r>
        <w:t>delivery</w:t>
      </w:r>
      <w:r w:rsidRPr="00584835">
        <w:t xml:space="preserve"> of the route, along with the inclusion of the next larger </w:t>
      </w:r>
      <w:r>
        <w:t xml:space="preserve">truck </w:t>
      </w:r>
      <w:r w:rsidRPr="00584835">
        <w:t>size.</w:t>
      </w:r>
    </w:p>
    <w:p w14:paraId="1F504FF0" w14:textId="226A0643" w:rsidR="00DB5FD5" w:rsidRPr="00744CF5" w:rsidRDefault="002255E9" w:rsidP="00C52162">
      <w:pPr>
        <w:pStyle w:val="Els-1storder-head"/>
        <w:spacing w:before="120"/>
      </w:pPr>
      <w:r>
        <w:t>Illustrative example</w:t>
      </w:r>
      <w:r w:rsidRPr="009137F1">
        <w:t xml:space="preserve"> and computational results</w:t>
      </w:r>
    </w:p>
    <w:p w14:paraId="7013117B" w14:textId="7B7756BA" w:rsidR="00FC576C" w:rsidRDefault="001D3372" w:rsidP="00744CF5">
      <w:pPr>
        <w:pStyle w:val="Els-body-text"/>
        <w:spacing w:after="120"/>
        <w:rPr>
          <w:noProof/>
        </w:rPr>
      </w:pPr>
      <w:r w:rsidRPr="001D3372">
        <w:t xml:space="preserve">To demonstrate the </w:t>
      </w:r>
      <w:r w:rsidR="00E83CD4">
        <w:t xml:space="preserve">advantage of considering </w:t>
      </w:r>
      <w:r w:rsidRPr="001D3372">
        <w:t>a heterogeneous fleet</w:t>
      </w:r>
      <w:r w:rsidR="00E83CD4">
        <w:t xml:space="preserve"> of trucks</w:t>
      </w:r>
      <w:r w:rsidRPr="001D3372">
        <w:t xml:space="preserve">, an illustrative </w:t>
      </w:r>
      <w:r w:rsidR="00E83CD4" w:rsidRPr="001D3372">
        <w:t>example</w:t>
      </w:r>
      <w:r w:rsidRPr="001D3372">
        <w:t xml:space="preserve"> is presented. </w:t>
      </w:r>
      <w:r w:rsidR="00E83CD4">
        <w:t>Figure 1, illustrates the logistic decisions expected with a heterogeneous truck fleet.</w:t>
      </w:r>
      <w:r w:rsidR="00E83CD4" w:rsidRPr="00FC576C">
        <w:rPr>
          <w:noProof/>
        </w:rPr>
        <w:t xml:space="preserve"> </w:t>
      </w:r>
      <w:r w:rsidRPr="001D3372">
        <w:t>Th</w:t>
      </w:r>
      <w:r w:rsidR="00E83CD4">
        <w:t>e</w:t>
      </w:r>
      <w:r w:rsidRPr="001D3372">
        <w:t xml:space="preserve"> case </w:t>
      </w:r>
      <w:r w:rsidR="00E83CD4">
        <w:t xml:space="preserve">addressed </w:t>
      </w:r>
      <w:r w:rsidRPr="001D3372">
        <w:t xml:space="preserve">involves one production plant, one product, 14 customers with different demands and storage tank sizes, three vehicles of different sizes, and a time horizon of 28 days. The geographical locations of the plant and customers are depicted in Figure </w:t>
      </w:r>
      <w:r w:rsidR="00E83CD4">
        <w:t>2</w:t>
      </w:r>
      <w:r w:rsidRPr="001D3372">
        <w:t>. As observed in the image, customers</w:t>
      </w:r>
      <w:r>
        <w:t xml:space="preserve"> </w:t>
      </w:r>
      <w:r w:rsidR="00C66AFC">
        <w:t>have</w:t>
      </w:r>
      <w:r w:rsidRPr="001D3372">
        <w:t xml:space="preserve"> different</w:t>
      </w:r>
      <w:r>
        <w:t xml:space="preserve"> </w:t>
      </w:r>
      <w:r w:rsidR="00E83CD4">
        <w:t xml:space="preserve">daily demand and </w:t>
      </w:r>
      <w:r>
        <w:t>tank</w:t>
      </w:r>
      <w:r w:rsidRPr="001D3372">
        <w:t xml:space="preserve"> sizes. All </w:t>
      </w:r>
      <w:r w:rsidR="00E83CD4">
        <w:t>the c</w:t>
      </w:r>
      <w:r w:rsidRPr="001D3372">
        <w:t xml:space="preserve">ustomers </w:t>
      </w:r>
      <w:r w:rsidR="00E83CD4">
        <w:t>are</w:t>
      </w:r>
      <w:r w:rsidRPr="001D3372">
        <w:t xml:space="preserve"> located to </w:t>
      </w:r>
      <w:r w:rsidR="00E83CD4" w:rsidRPr="001D3372">
        <w:t xml:space="preserve">less than 24 hours </w:t>
      </w:r>
      <w:r w:rsidR="00E83CD4">
        <w:t>of the plant. The maximum number of working hours per day (</w:t>
      </w:r>
      <w:proofErr w:type="spellStart"/>
      <w:r w:rsidR="00E83CD4" w:rsidRPr="002D688A">
        <w:rPr>
          <w:i/>
        </w:rPr>
        <w:t>hd</w:t>
      </w:r>
      <w:proofErr w:type="spellEnd"/>
      <w:r w:rsidR="00E83CD4">
        <w:t>) considered i</w:t>
      </w:r>
      <w:r w:rsidR="008E79C7">
        <w:t>s 12</w:t>
      </w:r>
      <w:r w:rsidR="00E83CD4" w:rsidRPr="00C459EC">
        <w:t>.</w:t>
      </w:r>
      <w:r w:rsidR="003329F7">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3517"/>
      </w:tblGrid>
      <w:tr w:rsidR="00B55D7E" w14:paraId="18E91EFA" w14:textId="77777777" w:rsidTr="002D0406">
        <w:tc>
          <w:tcPr>
            <w:tcW w:w="3538" w:type="dxa"/>
          </w:tcPr>
          <w:p w14:paraId="5A389758" w14:textId="222770D0" w:rsidR="00B55D7E" w:rsidRDefault="00B55D7E" w:rsidP="00C52162">
            <w:pPr>
              <w:pStyle w:val="Els-body-text"/>
              <w:jc w:val="center"/>
            </w:pPr>
            <w:r w:rsidRPr="000D1D9A">
              <w:rPr>
                <w:noProof/>
              </w:rPr>
              <w:drawing>
                <wp:inline distT="0" distB="0" distL="0" distR="0" wp14:anchorId="5E1FB15B" wp14:editId="6F86A3C6">
                  <wp:extent cx="2177024" cy="1235034"/>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464" cy="1246630"/>
                          </a:xfrm>
                          <a:prstGeom prst="rect">
                            <a:avLst/>
                          </a:prstGeom>
                          <a:noFill/>
                          <a:ln>
                            <a:noFill/>
                          </a:ln>
                        </pic:spPr>
                      </pic:pic>
                    </a:graphicData>
                  </a:graphic>
                </wp:inline>
              </w:drawing>
            </w:r>
          </w:p>
        </w:tc>
        <w:tc>
          <w:tcPr>
            <w:tcW w:w="3538" w:type="dxa"/>
          </w:tcPr>
          <w:p w14:paraId="4812EBB3" w14:textId="328046A6" w:rsidR="00B55D7E" w:rsidRDefault="00B55D7E" w:rsidP="00C52162">
            <w:pPr>
              <w:pStyle w:val="Els-body-text"/>
              <w:jc w:val="center"/>
            </w:pPr>
            <w:r w:rsidRPr="00693F32">
              <w:rPr>
                <w:noProof/>
              </w:rPr>
              <w:drawing>
                <wp:inline distT="0" distB="0" distL="0" distR="0" wp14:anchorId="7E2311D0" wp14:editId="58A923F8">
                  <wp:extent cx="2143067" cy="1199408"/>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981" t="16339" r="6930" b="12023"/>
                          <a:stretch/>
                        </pic:blipFill>
                        <pic:spPr bwMode="auto">
                          <a:xfrm>
                            <a:off x="0" y="0"/>
                            <a:ext cx="2158065" cy="12078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5D7E" w14:paraId="5CFDCAA4" w14:textId="77777777" w:rsidTr="002D0406">
        <w:tc>
          <w:tcPr>
            <w:tcW w:w="3538" w:type="dxa"/>
          </w:tcPr>
          <w:p w14:paraId="42561458" w14:textId="735FE997" w:rsidR="00B55D7E" w:rsidRPr="00B55D7E" w:rsidRDefault="00B55D7E" w:rsidP="00C52162">
            <w:pPr>
              <w:pStyle w:val="Els-body-text"/>
              <w:jc w:val="center"/>
              <w:rPr>
                <w:rFonts w:ascii="Times New Roman" w:hAnsi="Times New Roman" w:cs="Times New Roman"/>
              </w:rPr>
            </w:pPr>
            <w:r w:rsidRPr="00B55D7E">
              <w:rPr>
                <w:rFonts w:ascii="Times New Roman" w:hAnsi="Times New Roman" w:cs="Times New Roman"/>
                <w:b/>
                <w:bCs/>
                <w:sz w:val="18"/>
                <w:szCs w:val="18"/>
              </w:rPr>
              <w:t xml:space="preserve">Figure </w:t>
            </w:r>
            <w:r>
              <w:rPr>
                <w:rFonts w:ascii="Times New Roman" w:hAnsi="Times New Roman" w:cs="Times New Roman"/>
                <w:b/>
                <w:bCs/>
                <w:sz w:val="18"/>
                <w:szCs w:val="18"/>
              </w:rPr>
              <w:t>1</w:t>
            </w:r>
            <w:r w:rsidRPr="00B55D7E">
              <w:rPr>
                <w:rFonts w:ascii="Times New Roman" w:hAnsi="Times New Roman" w:cs="Times New Roman"/>
                <w:sz w:val="18"/>
                <w:szCs w:val="18"/>
              </w:rPr>
              <w:t xml:space="preserve">. Trips with heterogeneous fleet </w:t>
            </w:r>
          </w:p>
        </w:tc>
        <w:tc>
          <w:tcPr>
            <w:tcW w:w="3538" w:type="dxa"/>
          </w:tcPr>
          <w:p w14:paraId="7B573E4B" w14:textId="79094F82" w:rsidR="00B55D7E" w:rsidRPr="00B55D7E" w:rsidRDefault="00B55D7E" w:rsidP="00C52162">
            <w:pPr>
              <w:pStyle w:val="Els-body-text"/>
              <w:jc w:val="center"/>
              <w:rPr>
                <w:rFonts w:ascii="Times New Roman" w:hAnsi="Times New Roman" w:cs="Times New Roman"/>
              </w:rPr>
            </w:pPr>
            <w:r w:rsidRPr="00B55D7E">
              <w:rPr>
                <w:rFonts w:ascii="Times New Roman" w:hAnsi="Times New Roman" w:cs="Times New Roman"/>
                <w:b/>
                <w:bCs/>
                <w:sz w:val="18"/>
                <w:szCs w:val="18"/>
              </w:rPr>
              <w:t xml:space="preserve">Figure </w:t>
            </w:r>
            <w:r>
              <w:rPr>
                <w:rFonts w:ascii="Times New Roman" w:hAnsi="Times New Roman" w:cs="Times New Roman"/>
                <w:b/>
                <w:bCs/>
                <w:sz w:val="18"/>
                <w:szCs w:val="18"/>
              </w:rPr>
              <w:t>2</w:t>
            </w:r>
            <w:r w:rsidRPr="00B55D7E">
              <w:rPr>
                <w:rFonts w:ascii="Times New Roman" w:hAnsi="Times New Roman" w:cs="Times New Roman"/>
                <w:sz w:val="18"/>
                <w:szCs w:val="18"/>
              </w:rPr>
              <w:t>. Plant and customer location</w:t>
            </w:r>
          </w:p>
        </w:tc>
      </w:tr>
    </w:tbl>
    <w:p w14:paraId="6FEEBDBD" w14:textId="5F5ADAB6" w:rsidR="00A17805" w:rsidRDefault="005A3FF5" w:rsidP="00D804D3">
      <w:pPr>
        <w:pStyle w:val="Els-body-text"/>
        <w:spacing w:before="120"/>
      </w:pPr>
      <w:r w:rsidRPr="005A3FF5">
        <w:t>To assess the performance of the mathematical formulation, nine different scenarios were tested. In each scenario, the number of trucks considered varies, as well as the number of possible truck sizes per route. Table 1 provides a detailed description of the conditions in each scenario.</w:t>
      </w:r>
      <w:r>
        <w:t xml:space="preserve"> </w:t>
      </w:r>
      <w:r w:rsidR="008E79C7">
        <w:t xml:space="preserve">The model was </w:t>
      </w:r>
      <w:r w:rsidR="00E627DF" w:rsidRPr="00E627DF">
        <w:t xml:space="preserve">implemented in GAMS 32.0 and </w:t>
      </w:r>
      <w:r w:rsidR="008E79C7">
        <w:t xml:space="preserve">all scenarios were </w:t>
      </w:r>
      <w:r w:rsidR="00E627DF" w:rsidRPr="00E627DF">
        <w:t xml:space="preserve">solved with GUROBI 10.0.0 on a desktop computer with 2.80GHz Intel(R) </w:t>
      </w:r>
      <w:proofErr w:type="gramStart"/>
      <w:r w:rsidR="00E627DF" w:rsidRPr="00E627DF">
        <w:t>Core(</w:t>
      </w:r>
      <w:proofErr w:type="gramEnd"/>
      <w:r w:rsidR="00E627DF" w:rsidRPr="00E627DF">
        <w:t xml:space="preserve">TM) i9-10900F processor and 16 GB RAM on Windows 10. The maximum run time for each scenario was set to </w:t>
      </w:r>
      <w:r w:rsidR="00E627DF">
        <w:t>9</w:t>
      </w:r>
      <w:r w:rsidR="00E627DF" w:rsidRPr="00E627DF">
        <w:t>00 seconds.</w:t>
      </w:r>
    </w:p>
    <w:p w14:paraId="70D1E885" w14:textId="7680E8F9" w:rsidR="005A3FF5" w:rsidRPr="005A3FF5" w:rsidRDefault="005A3FF5" w:rsidP="002676B6">
      <w:pPr>
        <w:pStyle w:val="Els-body-text"/>
        <w:jc w:val="center"/>
        <w:rPr>
          <w:sz w:val="18"/>
          <w:szCs w:val="18"/>
        </w:rPr>
      </w:pPr>
      <w:r>
        <w:rPr>
          <w:b/>
          <w:bCs/>
          <w:sz w:val="18"/>
          <w:szCs w:val="18"/>
        </w:rPr>
        <w:t>Table</w:t>
      </w:r>
      <w:r w:rsidRPr="00EA39E1">
        <w:rPr>
          <w:b/>
          <w:bCs/>
          <w:sz w:val="18"/>
          <w:szCs w:val="18"/>
        </w:rPr>
        <w:t xml:space="preserve"> 1</w:t>
      </w:r>
      <w:r w:rsidRPr="00EA39E1">
        <w:rPr>
          <w:sz w:val="18"/>
          <w:szCs w:val="18"/>
        </w:rPr>
        <w:t xml:space="preserve">. </w:t>
      </w:r>
      <w:r>
        <w:rPr>
          <w:sz w:val="18"/>
          <w:szCs w:val="18"/>
        </w:rPr>
        <w:t>Scenarios tested</w:t>
      </w:r>
    </w:p>
    <w:tbl>
      <w:tblPr>
        <w:tblW w:w="5000" w:type="pct"/>
        <w:tblCellMar>
          <w:left w:w="70" w:type="dxa"/>
          <w:right w:w="70" w:type="dxa"/>
        </w:tblCellMar>
        <w:tblLook w:val="04A0" w:firstRow="1" w:lastRow="0" w:firstColumn="1" w:lastColumn="0" w:noHBand="0" w:noVBand="1"/>
      </w:tblPr>
      <w:tblGrid>
        <w:gridCol w:w="1063"/>
        <w:gridCol w:w="821"/>
        <w:gridCol w:w="1122"/>
        <w:gridCol w:w="560"/>
        <w:gridCol w:w="1353"/>
        <w:gridCol w:w="719"/>
        <w:gridCol w:w="1448"/>
      </w:tblGrid>
      <w:tr w:rsidR="004E5A96" w:rsidRPr="004E5A96" w14:paraId="0DC98809" w14:textId="77777777" w:rsidTr="007C02CE">
        <w:trPr>
          <w:trHeight w:val="154"/>
        </w:trPr>
        <w:tc>
          <w:tcPr>
            <w:tcW w:w="750" w:type="pct"/>
            <w:vMerge w:val="restart"/>
            <w:tcBorders>
              <w:top w:val="single" w:sz="8" w:space="0" w:color="auto"/>
              <w:bottom w:val="single" w:sz="8" w:space="0" w:color="000000"/>
            </w:tcBorders>
            <w:shd w:val="clear" w:color="auto" w:fill="FFFFFF" w:themeFill="background1"/>
            <w:noWrap/>
            <w:vAlign w:val="center"/>
            <w:hideMark/>
          </w:tcPr>
          <w:p w14:paraId="2B5099D2" w14:textId="77777777" w:rsidR="00D47F39" w:rsidRPr="00701574" w:rsidRDefault="00D47F39" w:rsidP="00D47F39">
            <w:pPr>
              <w:jc w:val="center"/>
              <w:rPr>
                <w:b/>
                <w:bCs/>
                <w:sz w:val="18"/>
                <w:szCs w:val="18"/>
                <w:lang w:val="es-AR" w:eastAsia="es-AR"/>
              </w:rPr>
            </w:pPr>
            <w:proofErr w:type="spellStart"/>
            <w:r w:rsidRPr="00701574">
              <w:rPr>
                <w:b/>
                <w:bCs/>
                <w:sz w:val="18"/>
                <w:szCs w:val="18"/>
                <w:lang w:val="es-AR" w:eastAsia="es-AR"/>
              </w:rPr>
              <w:t>Scenario</w:t>
            </w:r>
            <w:proofErr w:type="spellEnd"/>
          </w:p>
        </w:tc>
        <w:tc>
          <w:tcPr>
            <w:tcW w:w="1766" w:type="pct"/>
            <w:gridSpan w:val="3"/>
            <w:tcBorders>
              <w:top w:val="single" w:sz="8" w:space="0" w:color="auto"/>
              <w:bottom w:val="single" w:sz="4" w:space="0" w:color="auto"/>
            </w:tcBorders>
            <w:shd w:val="clear" w:color="auto" w:fill="FFFFFF" w:themeFill="background1"/>
            <w:noWrap/>
            <w:vAlign w:val="center"/>
            <w:hideMark/>
          </w:tcPr>
          <w:p w14:paraId="4E29E388" w14:textId="1D321899" w:rsidR="00D47F39" w:rsidRPr="00701574" w:rsidRDefault="00D47F39" w:rsidP="00F21C5D">
            <w:pPr>
              <w:jc w:val="center"/>
              <w:rPr>
                <w:b/>
                <w:bCs/>
                <w:sz w:val="18"/>
                <w:szCs w:val="18"/>
                <w:lang w:val="en-US" w:eastAsia="es-AR"/>
              </w:rPr>
            </w:pPr>
            <w:r w:rsidRPr="00701574">
              <w:rPr>
                <w:b/>
                <w:bCs/>
                <w:sz w:val="18"/>
                <w:szCs w:val="18"/>
                <w:lang w:val="en-US" w:eastAsia="es-AR"/>
              </w:rPr>
              <w:t>Number of truck</w:t>
            </w:r>
            <w:r w:rsidR="00F21C5D" w:rsidRPr="00701574">
              <w:rPr>
                <w:b/>
                <w:bCs/>
                <w:sz w:val="18"/>
                <w:szCs w:val="18"/>
                <w:lang w:val="en-US" w:eastAsia="es-AR"/>
              </w:rPr>
              <w:t>s per capacity</w:t>
            </w:r>
          </w:p>
        </w:tc>
        <w:tc>
          <w:tcPr>
            <w:tcW w:w="2484" w:type="pct"/>
            <w:gridSpan w:val="3"/>
            <w:tcBorders>
              <w:top w:val="single" w:sz="8" w:space="0" w:color="auto"/>
              <w:left w:val="nil"/>
              <w:bottom w:val="single" w:sz="4" w:space="0" w:color="auto"/>
            </w:tcBorders>
            <w:shd w:val="clear" w:color="auto" w:fill="FFFFFF" w:themeFill="background1"/>
            <w:noWrap/>
            <w:vAlign w:val="center"/>
            <w:hideMark/>
          </w:tcPr>
          <w:p w14:paraId="380AB4DE" w14:textId="77777777" w:rsidR="00D47F39" w:rsidRPr="00701574" w:rsidRDefault="00D47F39" w:rsidP="00D47F39">
            <w:pPr>
              <w:jc w:val="center"/>
              <w:rPr>
                <w:b/>
                <w:bCs/>
                <w:sz w:val="18"/>
                <w:szCs w:val="18"/>
                <w:lang w:val="es-AR" w:eastAsia="es-AR"/>
              </w:rPr>
            </w:pPr>
            <w:proofErr w:type="spellStart"/>
            <w:r w:rsidRPr="00701574">
              <w:rPr>
                <w:b/>
                <w:bCs/>
                <w:sz w:val="18"/>
                <w:szCs w:val="18"/>
                <w:lang w:val="es-AR" w:eastAsia="es-AR"/>
              </w:rPr>
              <w:t>Truck</w:t>
            </w:r>
            <w:proofErr w:type="spellEnd"/>
            <w:r w:rsidRPr="00701574">
              <w:rPr>
                <w:b/>
                <w:bCs/>
                <w:sz w:val="18"/>
                <w:szCs w:val="18"/>
                <w:lang w:val="es-AR" w:eastAsia="es-AR"/>
              </w:rPr>
              <w:t xml:space="preserve"> </w:t>
            </w:r>
            <w:proofErr w:type="spellStart"/>
            <w:r w:rsidRPr="00701574">
              <w:rPr>
                <w:b/>
                <w:bCs/>
                <w:sz w:val="18"/>
                <w:szCs w:val="18"/>
                <w:lang w:val="es-AR" w:eastAsia="es-AR"/>
              </w:rPr>
              <w:t>sizes</w:t>
            </w:r>
            <w:proofErr w:type="spellEnd"/>
            <w:r w:rsidRPr="00701574">
              <w:rPr>
                <w:b/>
                <w:bCs/>
                <w:sz w:val="18"/>
                <w:szCs w:val="18"/>
                <w:lang w:val="es-AR" w:eastAsia="es-AR"/>
              </w:rPr>
              <w:t xml:space="preserve"> per </w:t>
            </w:r>
            <w:proofErr w:type="spellStart"/>
            <w:r w:rsidRPr="00701574">
              <w:rPr>
                <w:b/>
                <w:bCs/>
                <w:sz w:val="18"/>
                <w:szCs w:val="18"/>
                <w:lang w:val="es-AR" w:eastAsia="es-AR"/>
              </w:rPr>
              <w:t>route</w:t>
            </w:r>
            <w:proofErr w:type="spellEnd"/>
          </w:p>
        </w:tc>
      </w:tr>
      <w:tr w:rsidR="007C02CE" w:rsidRPr="004E5A96" w14:paraId="2B3199F3" w14:textId="77777777" w:rsidTr="007C02CE">
        <w:trPr>
          <w:trHeight w:val="72"/>
        </w:trPr>
        <w:tc>
          <w:tcPr>
            <w:tcW w:w="750" w:type="pct"/>
            <w:vMerge/>
            <w:tcBorders>
              <w:top w:val="single" w:sz="8" w:space="0" w:color="auto"/>
              <w:bottom w:val="single" w:sz="8" w:space="0" w:color="000000"/>
            </w:tcBorders>
            <w:shd w:val="clear" w:color="auto" w:fill="FFFFFF" w:themeFill="background1"/>
            <w:vAlign w:val="center"/>
            <w:hideMark/>
          </w:tcPr>
          <w:p w14:paraId="07747D84" w14:textId="77777777" w:rsidR="00D47F39" w:rsidRPr="00701574" w:rsidRDefault="00D47F39" w:rsidP="00D47F39">
            <w:pPr>
              <w:rPr>
                <w:b/>
                <w:bCs/>
                <w:sz w:val="18"/>
                <w:szCs w:val="18"/>
                <w:lang w:val="es-AR" w:eastAsia="es-AR"/>
              </w:rPr>
            </w:pPr>
          </w:p>
        </w:tc>
        <w:tc>
          <w:tcPr>
            <w:tcW w:w="579" w:type="pct"/>
            <w:tcBorders>
              <w:top w:val="nil"/>
              <w:bottom w:val="single" w:sz="8" w:space="0" w:color="auto"/>
              <w:right w:val="nil"/>
            </w:tcBorders>
            <w:shd w:val="clear" w:color="auto" w:fill="FFFFFF" w:themeFill="background1"/>
            <w:noWrap/>
            <w:vAlign w:val="center"/>
            <w:hideMark/>
          </w:tcPr>
          <w:p w14:paraId="1AFFE5EE" w14:textId="77777777" w:rsidR="00D47F39" w:rsidRPr="00701574" w:rsidRDefault="00D47F39" w:rsidP="00D47F39">
            <w:pPr>
              <w:jc w:val="center"/>
              <w:rPr>
                <w:b/>
                <w:bCs/>
                <w:sz w:val="18"/>
                <w:szCs w:val="18"/>
                <w:lang w:val="es-AR" w:eastAsia="es-AR"/>
              </w:rPr>
            </w:pPr>
            <w:r w:rsidRPr="00701574">
              <w:rPr>
                <w:b/>
                <w:bCs/>
                <w:sz w:val="18"/>
                <w:szCs w:val="18"/>
                <w:lang w:val="es-AR" w:eastAsia="es-AR"/>
              </w:rPr>
              <w:t>Small</w:t>
            </w:r>
          </w:p>
        </w:tc>
        <w:tc>
          <w:tcPr>
            <w:tcW w:w="792" w:type="pct"/>
            <w:tcBorders>
              <w:top w:val="nil"/>
              <w:left w:val="nil"/>
              <w:bottom w:val="single" w:sz="8" w:space="0" w:color="auto"/>
              <w:right w:val="nil"/>
            </w:tcBorders>
            <w:shd w:val="clear" w:color="auto" w:fill="FFFFFF" w:themeFill="background1"/>
            <w:noWrap/>
            <w:vAlign w:val="center"/>
            <w:hideMark/>
          </w:tcPr>
          <w:p w14:paraId="66249F0B" w14:textId="77777777" w:rsidR="00D47F39" w:rsidRPr="00701574" w:rsidRDefault="00D47F39" w:rsidP="00D47F39">
            <w:pPr>
              <w:jc w:val="center"/>
              <w:rPr>
                <w:b/>
                <w:bCs/>
                <w:sz w:val="18"/>
                <w:szCs w:val="18"/>
                <w:lang w:val="es-AR" w:eastAsia="es-AR"/>
              </w:rPr>
            </w:pPr>
            <w:r w:rsidRPr="00701574">
              <w:rPr>
                <w:b/>
                <w:bCs/>
                <w:sz w:val="18"/>
                <w:szCs w:val="18"/>
                <w:lang w:val="es-AR" w:eastAsia="es-AR"/>
              </w:rPr>
              <w:t>Medium</w:t>
            </w:r>
          </w:p>
        </w:tc>
        <w:tc>
          <w:tcPr>
            <w:tcW w:w="395" w:type="pct"/>
            <w:tcBorders>
              <w:top w:val="nil"/>
              <w:left w:val="nil"/>
              <w:bottom w:val="single" w:sz="8" w:space="0" w:color="auto"/>
            </w:tcBorders>
            <w:shd w:val="clear" w:color="auto" w:fill="FFFFFF" w:themeFill="background1"/>
            <w:noWrap/>
            <w:vAlign w:val="center"/>
            <w:hideMark/>
          </w:tcPr>
          <w:p w14:paraId="25F6630E" w14:textId="77777777" w:rsidR="00D47F39" w:rsidRPr="00701574" w:rsidRDefault="00D47F39" w:rsidP="00D47F39">
            <w:pPr>
              <w:jc w:val="center"/>
              <w:rPr>
                <w:b/>
                <w:bCs/>
                <w:sz w:val="18"/>
                <w:szCs w:val="18"/>
                <w:lang w:val="es-AR" w:eastAsia="es-AR"/>
              </w:rPr>
            </w:pPr>
            <w:r w:rsidRPr="00701574">
              <w:rPr>
                <w:b/>
                <w:bCs/>
                <w:sz w:val="18"/>
                <w:szCs w:val="18"/>
                <w:lang w:val="es-AR" w:eastAsia="es-AR"/>
              </w:rPr>
              <w:t>Big</w:t>
            </w:r>
          </w:p>
        </w:tc>
        <w:tc>
          <w:tcPr>
            <w:tcW w:w="955" w:type="pct"/>
            <w:tcBorders>
              <w:top w:val="nil"/>
              <w:left w:val="nil"/>
              <w:bottom w:val="single" w:sz="8" w:space="0" w:color="auto"/>
              <w:right w:val="nil"/>
            </w:tcBorders>
            <w:shd w:val="clear" w:color="auto" w:fill="FFFFFF" w:themeFill="background1"/>
            <w:noWrap/>
            <w:vAlign w:val="center"/>
            <w:hideMark/>
          </w:tcPr>
          <w:p w14:paraId="7842E5CD" w14:textId="14CDF354" w:rsidR="00D47F39" w:rsidRPr="00701574" w:rsidRDefault="00D47F39" w:rsidP="00D47F39">
            <w:pPr>
              <w:jc w:val="center"/>
              <w:rPr>
                <w:b/>
                <w:bCs/>
                <w:sz w:val="18"/>
                <w:szCs w:val="18"/>
                <w:lang w:val="es-AR" w:eastAsia="es-AR"/>
              </w:rPr>
            </w:pPr>
            <w:proofErr w:type="spellStart"/>
            <w:r w:rsidRPr="00701574">
              <w:rPr>
                <w:b/>
                <w:bCs/>
                <w:sz w:val="18"/>
                <w:szCs w:val="18"/>
                <w:lang w:val="es-AR" w:eastAsia="es-AR"/>
              </w:rPr>
              <w:t>All</w:t>
            </w:r>
            <w:proofErr w:type="spellEnd"/>
            <w:r w:rsidRPr="00701574">
              <w:rPr>
                <w:b/>
                <w:bCs/>
                <w:sz w:val="18"/>
                <w:szCs w:val="18"/>
                <w:lang w:val="es-AR" w:eastAsia="es-AR"/>
              </w:rPr>
              <w:t xml:space="preserve"> </w:t>
            </w:r>
            <w:r w:rsidR="00A65DD6" w:rsidRPr="00701574">
              <w:rPr>
                <w:b/>
                <w:bCs/>
                <w:sz w:val="18"/>
                <w:szCs w:val="18"/>
                <w:lang w:val="es-AR" w:eastAsia="es-AR"/>
              </w:rPr>
              <w:t xml:space="preserve">posible </w:t>
            </w:r>
            <w:r w:rsidR="00A65DD6" w:rsidRPr="00701574">
              <w:rPr>
                <w:b/>
                <w:bCs/>
                <w:sz w:val="18"/>
                <w:szCs w:val="18"/>
                <w:vertAlign w:val="superscript"/>
                <w:lang w:val="es-AR" w:eastAsia="es-AR"/>
              </w:rPr>
              <w:t>(*)</w:t>
            </w:r>
          </w:p>
        </w:tc>
        <w:tc>
          <w:tcPr>
            <w:tcW w:w="507" w:type="pct"/>
            <w:tcBorders>
              <w:top w:val="nil"/>
              <w:left w:val="nil"/>
              <w:bottom w:val="single" w:sz="8" w:space="0" w:color="auto"/>
              <w:right w:val="nil"/>
            </w:tcBorders>
            <w:shd w:val="clear" w:color="auto" w:fill="FFFFFF" w:themeFill="background1"/>
            <w:noWrap/>
            <w:vAlign w:val="center"/>
            <w:hideMark/>
          </w:tcPr>
          <w:p w14:paraId="3976E1E2" w14:textId="77777777" w:rsidR="00D47F39" w:rsidRPr="00701574" w:rsidRDefault="00D47F39" w:rsidP="00D47F39">
            <w:pPr>
              <w:jc w:val="center"/>
              <w:rPr>
                <w:b/>
                <w:bCs/>
                <w:sz w:val="18"/>
                <w:szCs w:val="18"/>
                <w:lang w:val="es-AR" w:eastAsia="es-AR"/>
              </w:rPr>
            </w:pPr>
            <w:r w:rsidRPr="00701574">
              <w:rPr>
                <w:b/>
                <w:bCs/>
                <w:sz w:val="18"/>
                <w:szCs w:val="18"/>
                <w:lang w:val="es-AR" w:eastAsia="es-AR"/>
              </w:rPr>
              <w:t xml:space="preserve">1 </w:t>
            </w:r>
            <w:proofErr w:type="spellStart"/>
            <w:r w:rsidRPr="00701574">
              <w:rPr>
                <w:b/>
                <w:bCs/>
                <w:sz w:val="18"/>
                <w:szCs w:val="18"/>
                <w:lang w:val="es-AR" w:eastAsia="es-AR"/>
              </w:rPr>
              <w:t>size</w:t>
            </w:r>
            <w:proofErr w:type="spellEnd"/>
          </w:p>
        </w:tc>
        <w:tc>
          <w:tcPr>
            <w:tcW w:w="1022" w:type="pct"/>
            <w:tcBorders>
              <w:top w:val="nil"/>
              <w:left w:val="nil"/>
              <w:bottom w:val="single" w:sz="8" w:space="0" w:color="auto"/>
            </w:tcBorders>
            <w:shd w:val="clear" w:color="auto" w:fill="FFFFFF" w:themeFill="background1"/>
            <w:noWrap/>
            <w:vAlign w:val="center"/>
            <w:hideMark/>
          </w:tcPr>
          <w:p w14:paraId="20C4710C" w14:textId="77777777" w:rsidR="00D47F39" w:rsidRPr="00701574" w:rsidRDefault="00D47F39" w:rsidP="00D47F39">
            <w:pPr>
              <w:jc w:val="center"/>
              <w:rPr>
                <w:b/>
                <w:bCs/>
                <w:sz w:val="18"/>
                <w:szCs w:val="18"/>
                <w:lang w:val="es-AR" w:eastAsia="es-AR"/>
              </w:rPr>
            </w:pPr>
            <w:r w:rsidRPr="00701574">
              <w:rPr>
                <w:b/>
                <w:bCs/>
                <w:sz w:val="18"/>
                <w:szCs w:val="18"/>
                <w:lang w:val="es-AR" w:eastAsia="es-AR"/>
              </w:rPr>
              <w:t xml:space="preserve">Up </w:t>
            </w:r>
            <w:proofErr w:type="spellStart"/>
            <w:r w:rsidRPr="00701574">
              <w:rPr>
                <w:b/>
                <w:bCs/>
                <w:sz w:val="18"/>
                <w:szCs w:val="18"/>
                <w:lang w:val="es-AR" w:eastAsia="es-AR"/>
              </w:rPr>
              <w:t>to</w:t>
            </w:r>
            <w:proofErr w:type="spellEnd"/>
            <w:r w:rsidRPr="00701574">
              <w:rPr>
                <w:b/>
                <w:bCs/>
                <w:sz w:val="18"/>
                <w:szCs w:val="18"/>
                <w:lang w:val="es-AR" w:eastAsia="es-AR"/>
              </w:rPr>
              <w:t xml:space="preserve"> 2 </w:t>
            </w:r>
            <w:proofErr w:type="spellStart"/>
            <w:r w:rsidRPr="00701574">
              <w:rPr>
                <w:b/>
                <w:bCs/>
                <w:sz w:val="18"/>
                <w:szCs w:val="18"/>
                <w:lang w:val="es-AR" w:eastAsia="es-AR"/>
              </w:rPr>
              <w:t>sizes</w:t>
            </w:r>
            <w:proofErr w:type="spellEnd"/>
          </w:p>
        </w:tc>
      </w:tr>
      <w:tr w:rsidR="007C02CE" w:rsidRPr="00D47F39" w14:paraId="521DA8C8" w14:textId="77777777" w:rsidTr="007C02CE">
        <w:trPr>
          <w:trHeight w:val="37"/>
        </w:trPr>
        <w:tc>
          <w:tcPr>
            <w:tcW w:w="750" w:type="pct"/>
            <w:tcBorders>
              <w:top w:val="nil"/>
              <w:bottom w:val="nil"/>
            </w:tcBorders>
            <w:shd w:val="clear" w:color="000000" w:fill="FDFDFD"/>
            <w:noWrap/>
            <w:vAlign w:val="center"/>
            <w:hideMark/>
          </w:tcPr>
          <w:p w14:paraId="28EBC8C9" w14:textId="77777777" w:rsidR="00565369" w:rsidRPr="002935A8" w:rsidRDefault="00565369" w:rsidP="00565369">
            <w:pPr>
              <w:jc w:val="center"/>
              <w:rPr>
                <w:color w:val="000000"/>
                <w:sz w:val="18"/>
                <w:szCs w:val="18"/>
                <w:lang w:val="es-AR" w:eastAsia="es-AR"/>
              </w:rPr>
            </w:pPr>
            <w:r w:rsidRPr="002935A8">
              <w:rPr>
                <w:color w:val="000000"/>
                <w:sz w:val="18"/>
                <w:szCs w:val="18"/>
                <w:lang w:val="es-AR" w:eastAsia="es-AR"/>
              </w:rPr>
              <w:t>S1</w:t>
            </w:r>
          </w:p>
        </w:tc>
        <w:tc>
          <w:tcPr>
            <w:tcW w:w="579" w:type="pct"/>
            <w:tcBorders>
              <w:top w:val="nil"/>
              <w:bottom w:val="nil"/>
              <w:right w:val="nil"/>
            </w:tcBorders>
            <w:shd w:val="clear" w:color="000000" w:fill="FDFDFD"/>
            <w:noWrap/>
            <w:vAlign w:val="center"/>
            <w:hideMark/>
          </w:tcPr>
          <w:p w14:paraId="788281C3" w14:textId="3C198BCF" w:rsidR="00565369" w:rsidRPr="008E4A08" w:rsidRDefault="00565369" w:rsidP="00565369">
            <w:pPr>
              <w:jc w:val="center"/>
              <w:rPr>
                <w:color w:val="000000"/>
                <w:sz w:val="18"/>
                <w:szCs w:val="18"/>
                <w:lang w:val="es-AR" w:eastAsia="es-AR"/>
              </w:rPr>
            </w:pPr>
            <w:r w:rsidRPr="008E4A08">
              <w:rPr>
                <w:color w:val="000000"/>
                <w:sz w:val="18"/>
                <w:szCs w:val="18"/>
                <w:lang w:val="es-AR" w:eastAsia="es-AR"/>
              </w:rPr>
              <w:t>3</w:t>
            </w:r>
          </w:p>
        </w:tc>
        <w:tc>
          <w:tcPr>
            <w:tcW w:w="792" w:type="pct"/>
            <w:tcBorders>
              <w:top w:val="nil"/>
              <w:left w:val="nil"/>
              <w:bottom w:val="nil"/>
              <w:right w:val="nil"/>
            </w:tcBorders>
            <w:shd w:val="clear" w:color="000000" w:fill="FDFDFD"/>
            <w:noWrap/>
            <w:vAlign w:val="center"/>
            <w:hideMark/>
          </w:tcPr>
          <w:p w14:paraId="41B8FF44" w14:textId="3C52A7FD"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395" w:type="pct"/>
            <w:tcBorders>
              <w:top w:val="nil"/>
              <w:left w:val="nil"/>
              <w:bottom w:val="nil"/>
            </w:tcBorders>
            <w:shd w:val="clear" w:color="000000" w:fill="FDFDFD"/>
            <w:noWrap/>
            <w:vAlign w:val="center"/>
            <w:hideMark/>
          </w:tcPr>
          <w:p w14:paraId="71259D0E" w14:textId="77777777"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955" w:type="pct"/>
            <w:tcBorders>
              <w:top w:val="nil"/>
              <w:left w:val="nil"/>
              <w:bottom w:val="nil"/>
              <w:right w:val="nil"/>
            </w:tcBorders>
            <w:shd w:val="clear" w:color="000000" w:fill="FDFDFD"/>
            <w:noWrap/>
            <w:vAlign w:val="center"/>
            <w:hideMark/>
          </w:tcPr>
          <w:p w14:paraId="4B071B9F" w14:textId="42862984"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tcBorders>
            <w:shd w:val="clear" w:color="000000" w:fill="FDFDFD"/>
            <w:noWrap/>
            <w:vAlign w:val="center"/>
            <w:hideMark/>
          </w:tcPr>
          <w:p w14:paraId="6ABB6E36" w14:textId="57D7DE8A"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FDFDFD"/>
            <w:noWrap/>
            <w:vAlign w:val="center"/>
            <w:hideMark/>
          </w:tcPr>
          <w:p w14:paraId="33800A73" w14:textId="77777777"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r>
      <w:tr w:rsidR="007C02CE" w:rsidRPr="00D47F39" w14:paraId="45BCD2F9" w14:textId="77777777" w:rsidTr="007C02CE">
        <w:trPr>
          <w:trHeight w:val="57"/>
        </w:trPr>
        <w:tc>
          <w:tcPr>
            <w:tcW w:w="750" w:type="pct"/>
            <w:tcBorders>
              <w:top w:val="nil"/>
              <w:bottom w:val="nil"/>
            </w:tcBorders>
            <w:shd w:val="clear" w:color="000000" w:fill="E7E6E6"/>
            <w:noWrap/>
            <w:vAlign w:val="center"/>
            <w:hideMark/>
          </w:tcPr>
          <w:p w14:paraId="56E0D3AD" w14:textId="77777777" w:rsidR="00565369" w:rsidRPr="002935A8" w:rsidRDefault="00565369" w:rsidP="00565369">
            <w:pPr>
              <w:jc w:val="center"/>
              <w:rPr>
                <w:color w:val="000000"/>
                <w:sz w:val="18"/>
                <w:szCs w:val="18"/>
                <w:lang w:val="es-AR" w:eastAsia="es-AR"/>
              </w:rPr>
            </w:pPr>
            <w:r w:rsidRPr="002935A8">
              <w:rPr>
                <w:color w:val="000000"/>
                <w:sz w:val="18"/>
                <w:szCs w:val="18"/>
                <w:lang w:val="es-AR" w:eastAsia="es-AR"/>
              </w:rPr>
              <w:t>S2</w:t>
            </w:r>
          </w:p>
        </w:tc>
        <w:tc>
          <w:tcPr>
            <w:tcW w:w="579" w:type="pct"/>
            <w:tcBorders>
              <w:top w:val="nil"/>
              <w:bottom w:val="nil"/>
              <w:right w:val="nil"/>
            </w:tcBorders>
            <w:shd w:val="clear" w:color="000000" w:fill="E7E6E6"/>
            <w:noWrap/>
            <w:vAlign w:val="center"/>
            <w:hideMark/>
          </w:tcPr>
          <w:p w14:paraId="0A257795" w14:textId="77777777" w:rsidR="00565369" w:rsidRPr="002935A8" w:rsidRDefault="00565369" w:rsidP="00565369">
            <w:pPr>
              <w:jc w:val="center"/>
              <w:rPr>
                <w:color w:val="000000"/>
                <w:sz w:val="18"/>
                <w:szCs w:val="18"/>
                <w:lang w:val="es-AR" w:eastAsia="es-AR"/>
              </w:rPr>
            </w:pPr>
            <w:r w:rsidRPr="002935A8">
              <w:rPr>
                <w:color w:val="000000"/>
                <w:sz w:val="18"/>
                <w:szCs w:val="18"/>
                <w:lang w:val="es-AR" w:eastAsia="es-AR"/>
              </w:rPr>
              <w:t>-</w:t>
            </w:r>
          </w:p>
        </w:tc>
        <w:tc>
          <w:tcPr>
            <w:tcW w:w="792" w:type="pct"/>
            <w:tcBorders>
              <w:top w:val="nil"/>
              <w:left w:val="nil"/>
              <w:bottom w:val="nil"/>
              <w:right w:val="nil"/>
            </w:tcBorders>
            <w:shd w:val="clear" w:color="000000" w:fill="E7E6E6"/>
            <w:noWrap/>
            <w:vAlign w:val="center"/>
            <w:hideMark/>
          </w:tcPr>
          <w:p w14:paraId="5A693989" w14:textId="16959E10" w:rsidR="00565369" w:rsidRPr="008E4A08" w:rsidRDefault="00565369" w:rsidP="00565369">
            <w:pPr>
              <w:jc w:val="center"/>
              <w:rPr>
                <w:color w:val="000000"/>
                <w:sz w:val="18"/>
                <w:szCs w:val="18"/>
                <w:lang w:val="es-AR" w:eastAsia="es-AR"/>
              </w:rPr>
            </w:pPr>
            <w:r w:rsidRPr="008E4A08">
              <w:rPr>
                <w:color w:val="000000"/>
                <w:sz w:val="18"/>
                <w:szCs w:val="18"/>
                <w:lang w:val="es-AR" w:eastAsia="es-AR"/>
              </w:rPr>
              <w:t>3</w:t>
            </w:r>
          </w:p>
        </w:tc>
        <w:tc>
          <w:tcPr>
            <w:tcW w:w="395" w:type="pct"/>
            <w:tcBorders>
              <w:top w:val="nil"/>
              <w:left w:val="nil"/>
              <w:bottom w:val="nil"/>
            </w:tcBorders>
            <w:shd w:val="clear" w:color="000000" w:fill="E7E6E6"/>
            <w:noWrap/>
            <w:vAlign w:val="center"/>
            <w:hideMark/>
          </w:tcPr>
          <w:p w14:paraId="11D135A2" w14:textId="3E41B639"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955" w:type="pct"/>
            <w:tcBorders>
              <w:top w:val="nil"/>
              <w:left w:val="nil"/>
              <w:bottom w:val="nil"/>
              <w:right w:val="nil"/>
            </w:tcBorders>
            <w:shd w:val="clear" w:color="000000" w:fill="E7E6E6"/>
            <w:noWrap/>
            <w:vAlign w:val="center"/>
            <w:hideMark/>
          </w:tcPr>
          <w:p w14:paraId="22033ACE" w14:textId="11FE8D8E"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tcBorders>
            <w:shd w:val="clear" w:color="000000" w:fill="E7E6E6"/>
            <w:noWrap/>
            <w:vAlign w:val="center"/>
            <w:hideMark/>
          </w:tcPr>
          <w:p w14:paraId="70F3B817" w14:textId="6B09ACE7"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E7E6E6"/>
            <w:noWrap/>
            <w:vAlign w:val="center"/>
            <w:hideMark/>
          </w:tcPr>
          <w:p w14:paraId="50EA4097" w14:textId="77777777"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r>
      <w:tr w:rsidR="007C02CE" w:rsidRPr="00D47F39" w14:paraId="1B1D77DA" w14:textId="77777777" w:rsidTr="007C02CE">
        <w:trPr>
          <w:trHeight w:val="207"/>
        </w:trPr>
        <w:tc>
          <w:tcPr>
            <w:tcW w:w="750" w:type="pct"/>
            <w:tcBorders>
              <w:top w:val="nil"/>
              <w:bottom w:val="nil"/>
            </w:tcBorders>
            <w:shd w:val="clear" w:color="000000" w:fill="FDFDFD"/>
            <w:noWrap/>
            <w:vAlign w:val="center"/>
            <w:hideMark/>
          </w:tcPr>
          <w:p w14:paraId="77F6666E" w14:textId="77777777" w:rsidR="00565369" w:rsidRPr="002935A8" w:rsidRDefault="00565369" w:rsidP="00565369">
            <w:pPr>
              <w:jc w:val="center"/>
              <w:rPr>
                <w:color w:val="000000"/>
                <w:sz w:val="18"/>
                <w:szCs w:val="18"/>
                <w:lang w:val="es-AR" w:eastAsia="es-AR"/>
              </w:rPr>
            </w:pPr>
            <w:r w:rsidRPr="002935A8">
              <w:rPr>
                <w:color w:val="000000"/>
                <w:sz w:val="18"/>
                <w:szCs w:val="18"/>
                <w:lang w:val="es-AR" w:eastAsia="es-AR"/>
              </w:rPr>
              <w:t>S3</w:t>
            </w:r>
          </w:p>
        </w:tc>
        <w:tc>
          <w:tcPr>
            <w:tcW w:w="579" w:type="pct"/>
            <w:tcBorders>
              <w:top w:val="nil"/>
              <w:bottom w:val="nil"/>
              <w:right w:val="nil"/>
            </w:tcBorders>
            <w:shd w:val="clear" w:color="000000" w:fill="FDFDFD"/>
            <w:noWrap/>
            <w:vAlign w:val="center"/>
            <w:hideMark/>
          </w:tcPr>
          <w:p w14:paraId="42C49135" w14:textId="47A520A5" w:rsidR="00565369" w:rsidRPr="002935A8" w:rsidRDefault="00565369" w:rsidP="00565369">
            <w:pPr>
              <w:jc w:val="center"/>
              <w:rPr>
                <w:color w:val="000000"/>
                <w:sz w:val="18"/>
                <w:szCs w:val="18"/>
                <w:lang w:val="es-AR" w:eastAsia="es-AR"/>
              </w:rPr>
            </w:pPr>
            <w:r w:rsidRPr="002935A8">
              <w:rPr>
                <w:color w:val="000000"/>
                <w:sz w:val="18"/>
                <w:szCs w:val="18"/>
                <w:lang w:val="es-AR" w:eastAsia="es-AR"/>
              </w:rPr>
              <w:t>-</w:t>
            </w:r>
          </w:p>
        </w:tc>
        <w:tc>
          <w:tcPr>
            <w:tcW w:w="792" w:type="pct"/>
            <w:tcBorders>
              <w:top w:val="nil"/>
              <w:left w:val="nil"/>
              <w:bottom w:val="nil"/>
              <w:right w:val="nil"/>
            </w:tcBorders>
            <w:shd w:val="clear" w:color="000000" w:fill="FDFDFD"/>
            <w:noWrap/>
            <w:vAlign w:val="center"/>
            <w:hideMark/>
          </w:tcPr>
          <w:p w14:paraId="0A0372DA" w14:textId="77777777"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395" w:type="pct"/>
            <w:tcBorders>
              <w:top w:val="nil"/>
              <w:left w:val="nil"/>
              <w:bottom w:val="nil"/>
            </w:tcBorders>
            <w:shd w:val="clear" w:color="000000" w:fill="FDFDFD"/>
            <w:noWrap/>
            <w:vAlign w:val="center"/>
            <w:hideMark/>
          </w:tcPr>
          <w:p w14:paraId="4159CB72" w14:textId="4A98CA5B" w:rsidR="00565369" w:rsidRPr="008E4A08" w:rsidRDefault="00565369" w:rsidP="00565369">
            <w:pPr>
              <w:jc w:val="center"/>
              <w:rPr>
                <w:color w:val="000000"/>
                <w:sz w:val="18"/>
                <w:szCs w:val="18"/>
                <w:lang w:val="es-AR" w:eastAsia="es-AR"/>
              </w:rPr>
            </w:pPr>
            <w:r w:rsidRPr="008E4A08">
              <w:rPr>
                <w:color w:val="000000"/>
                <w:sz w:val="18"/>
                <w:szCs w:val="18"/>
                <w:lang w:val="es-AR" w:eastAsia="es-AR"/>
              </w:rPr>
              <w:t>3</w:t>
            </w:r>
          </w:p>
        </w:tc>
        <w:tc>
          <w:tcPr>
            <w:tcW w:w="955" w:type="pct"/>
            <w:tcBorders>
              <w:top w:val="nil"/>
              <w:left w:val="nil"/>
              <w:bottom w:val="nil"/>
              <w:right w:val="nil"/>
            </w:tcBorders>
            <w:shd w:val="clear" w:color="000000" w:fill="FDFDFD"/>
            <w:noWrap/>
            <w:vAlign w:val="center"/>
            <w:hideMark/>
          </w:tcPr>
          <w:p w14:paraId="2CDE9B5F" w14:textId="453FE8BB"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tcBorders>
            <w:shd w:val="clear" w:color="000000" w:fill="FDFDFD"/>
            <w:noWrap/>
            <w:vAlign w:val="center"/>
            <w:hideMark/>
          </w:tcPr>
          <w:p w14:paraId="72FB65DF" w14:textId="0AA31FD9"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FDFDFD"/>
            <w:noWrap/>
            <w:vAlign w:val="center"/>
            <w:hideMark/>
          </w:tcPr>
          <w:p w14:paraId="31801E77" w14:textId="77777777" w:rsidR="00565369" w:rsidRPr="008E4A08" w:rsidRDefault="00565369" w:rsidP="00565369">
            <w:pPr>
              <w:jc w:val="center"/>
              <w:rPr>
                <w:color w:val="000000"/>
                <w:sz w:val="18"/>
                <w:szCs w:val="18"/>
                <w:lang w:val="es-AR" w:eastAsia="es-AR"/>
              </w:rPr>
            </w:pPr>
            <w:r w:rsidRPr="008E4A08">
              <w:rPr>
                <w:color w:val="000000"/>
                <w:sz w:val="18"/>
                <w:szCs w:val="18"/>
                <w:lang w:val="es-AR" w:eastAsia="es-AR"/>
              </w:rPr>
              <w:t>-</w:t>
            </w:r>
          </w:p>
        </w:tc>
      </w:tr>
      <w:tr w:rsidR="007C02CE" w:rsidRPr="00D47F39" w14:paraId="55289F97" w14:textId="77777777" w:rsidTr="007C02CE">
        <w:trPr>
          <w:trHeight w:val="207"/>
        </w:trPr>
        <w:tc>
          <w:tcPr>
            <w:tcW w:w="750" w:type="pct"/>
            <w:tcBorders>
              <w:top w:val="nil"/>
              <w:bottom w:val="nil"/>
            </w:tcBorders>
            <w:shd w:val="clear" w:color="000000" w:fill="E7E6E6"/>
            <w:noWrap/>
            <w:vAlign w:val="center"/>
            <w:hideMark/>
          </w:tcPr>
          <w:p w14:paraId="548B97A6"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S4</w:t>
            </w:r>
          </w:p>
        </w:tc>
        <w:tc>
          <w:tcPr>
            <w:tcW w:w="579" w:type="pct"/>
            <w:tcBorders>
              <w:top w:val="nil"/>
              <w:bottom w:val="nil"/>
              <w:right w:val="nil"/>
            </w:tcBorders>
            <w:shd w:val="clear" w:color="000000" w:fill="E7E6E6"/>
            <w:noWrap/>
            <w:vAlign w:val="center"/>
            <w:hideMark/>
          </w:tcPr>
          <w:p w14:paraId="0A4590A7"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1</w:t>
            </w:r>
          </w:p>
        </w:tc>
        <w:tc>
          <w:tcPr>
            <w:tcW w:w="792" w:type="pct"/>
            <w:tcBorders>
              <w:top w:val="nil"/>
              <w:left w:val="nil"/>
              <w:bottom w:val="nil"/>
              <w:right w:val="nil"/>
            </w:tcBorders>
            <w:shd w:val="clear" w:color="000000" w:fill="E7E6E6"/>
            <w:noWrap/>
            <w:vAlign w:val="center"/>
            <w:hideMark/>
          </w:tcPr>
          <w:p w14:paraId="29CB05E0"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395" w:type="pct"/>
            <w:tcBorders>
              <w:top w:val="nil"/>
              <w:left w:val="nil"/>
              <w:bottom w:val="nil"/>
            </w:tcBorders>
            <w:shd w:val="clear" w:color="000000" w:fill="E7E6E6"/>
            <w:noWrap/>
            <w:vAlign w:val="center"/>
            <w:hideMark/>
          </w:tcPr>
          <w:p w14:paraId="6CAD267B"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955" w:type="pct"/>
            <w:tcBorders>
              <w:top w:val="nil"/>
              <w:left w:val="nil"/>
              <w:bottom w:val="nil"/>
              <w:right w:val="nil"/>
            </w:tcBorders>
            <w:shd w:val="clear" w:color="000000" w:fill="E7E6E6"/>
            <w:noWrap/>
            <w:vAlign w:val="center"/>
            <w:hideMark/>
          </w:tcPr>
          <w:p w14:paraId="49AA4128"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right w:val="nil"/>
            </w:tcBorders>
            <w:shd w:val="clear" w:color="000000" w:fill="E7E6E6"/>
            <w:noWrap/>
            <w:vAlign w:val="center"/>
            <w:hideMark/>
          </w:tcPr>
          <w:p w14:paraId="23927AC4"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E7E6E6"/>
            <w:noWrap/>
            <w:vAlign w:val="center"/>
            <w:hideMark/>
          </w:tcPr>
          <w:p w14:paraId="457C85DF"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r>
      <w:tr w:rsidR="007C02CE" w:rsidRPr="00D47F39" w14:paraId="18FA841E" w14:textId="77777777" w:rsidTr="007C02CE">
        <w:trPr>
          <w:trHeight w:val="207"/>
        </w:trPr>
        <w:tc>
          <w:tcPr>
            <w:tcW w:w="750" w:type="pct"/>
            <w:tcBorders>
              <w:top w:val="nil"/>
              <w:bottom w:val="nil"/>
            </w:tcBorders>
            <w:shd w:val="clear" w:color="000000" w:fill="FDFDFD"/>
            <w:noWrap/>
            <w:vAlign w:val="center"/>
            <w:hideMark/>
          </w:tcPr>
          <w:p w14:paraId="127F4D0F"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S5</w:t>
            </w:r>
          </w:p>
        </w:tc>
        <w:tc>
          <w:tcPr>
            <w:tcW w:w="579" w:type="pct"/>
            <w:tcBorders>
              <w:top w:val="nil"/>
              <w:bottom w:val="nil"/>
              <w:right w:val="nil"/>
            </w:tcBorders>
            <w:shd w:val="clear" w:color="000000" w:fill="FDFDFD"/>
            <w:noWrap/>
            <w:vAlign w:val="center"/>
            <w:hideMark/>
          </w:tcPr>
          <w:p w14:paraId="38BBECD3"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w:t>
            </w:r>
          </w:p>
        </w:tc>
        <w:tc>
          <w:tcPr>
            <w:tcW w:w="792" w:type="pct"/>
            <w:tcBorders>
              <w:top w:val="nil"/>
              <w:left w:val="nil"/>
              <w:bottom w:val="nil"/>
              <w:right w:val="nil"/>
            </w:tcBorders>
            <w:shd w:val="clear" w:color="000000" w:fill="FDFDFD"/>
            <w:noWrap/>
            <w:vAlign w:val="center"/>
            <w:hideMark/>
          </w:tcPr>
          <w:p w14:paraId="1C793338"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2</w:t>
            </w:r>
          </w:p>
        </w:tc>
        <w:tc>
          <w:tcPr>
            <w:tcW w:w="395" w:type="pct"/>
            <w:tcBorders>
              <w:top w:val="nil"/>
              <w:left w:val="nil"/>
              <w:bottom w:val="nil"/>
            </w:tcBorders>
            <w:shd w:val="clear" w:color="000000" w:fill="FDFDFD"/>
            <w:noWrap/>
            <w:vAlign w:val="center"/>
            <w:hideMark/>
          </w:tcPr>
          <w:p w14:paraId="70AEB9A4"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955" w:type="pct"/>
            <w:tcBorders>
              <w:top w:val="nil"/>
              <w:left w:val="nil"/>
              <w:bottom w:val="nil"/>
              <w:right w:val="nil"/>
            </w:tcBorders>
            <w:shd w:val="clear" w:color="000000" w:fill="FDFDFD"/>
            <w:noWrap/>
            <w:vAlign w:val="center"/>
            <w:hideMark/>
          </w:tcPr>
          <w:p w14:paraId="7A14C1A9"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right w:val="nil"/>
            </w:tcBorders>
            <w:shd w:val="clear" w:color="000000" w:fill="FDFDFD"/>
            <w:noWrap/>
            <w:vAlign w:val="center"/>
            <w:hideMark/>
          </w:tcPr>
          <w:p w14:paraId="09565E9E"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FDFDFD"/>
            <w:noWrap/>
            <w:vAlign w:val="center"/>
            <w:hideMark/>
          </w:tcPr>
          <w:p w14:paraId="51788E5E"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r>
      <w:tr w:rsidR="007C02CE" w:rsidRPr="00D47F39" w14:paraId="5B890F97" w14:textId="77777777" w:rsidTr="007C02CE">
        <w:trPr>
          <w:trHeight w:val="207"/>
        </w:trPr>
        <w:tc>
          <w:tcPr>
            <w:tcW w:w="750" w:type="pct"/>
            <w:tcBorders>
              <w:top w:val="nil"/>
              <w:bottom w:val="nil"/>
            </w:tcBorders>
            <w:shd w:val="clear" w:color="000000" w:fill="E7E6E6"/>
            <w:noWrap/>
            <w:vAlign w:val="center"/>
            <w:hideMark/>
          </w:tcPr>
          <w:p w14:paraId="5DAB2FD0"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S6</w:t>
            </w:r>
          </w:p>
        </w:tc>
        <w:tc>
          <w:tcPr>
            <w:tcW w:w="579" w:type="pct"/>
            <w:tcBorders>
              <w:top w:val="nil"/>
              <w:bottom w:val="nil"/>
              <w:right w:val="nil"/>
            </w:tcBorders>
            <w:shd w:val="clear" w:color="000000" w:fill="E7E6E6"/>
            <w:noWrap/>
            <w:vAlign w:val="center"/>
            <w:hideMark/>
          </w:tcPr>
          <w:p w14:paraId="0B563241"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w:t>
            </w:r>
          </w:p>
        </w:tc>
        <w:tc>
          <w:tcPr>
            <w:tcW w:w="792" w:type="pct"/>
            <w:tcBorders>
              <w:top w:val="nil"/>
              <w:left w:val="nil"/>
              <w:bottom w:val="nil"/>
              <w:right w:val="nil"/>
            </w:tcBorders>
            <w:shd w:val="clear" w:color="000000" w:fill="E7E6E6"/>
            <w:noWrap/>
            <w:vAlign w:val="center"/>
            <w:hideMark/>
          </w:tcPr>
          <w:p w14:paraId="04D2AC7A"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395" w:type="pct"/>
            <w:tcBorders>
              <w:top w:val="nil"/>
              <w:left w:val="nil"/>
              <w:bottom w:val="nil"/>
            </w:tcBorders>
            <w:shd w:val="clear" w:color="000000" w:fill="E7E6E6"/>
            <w:noWrap/>
            <w:vAlign w:val="center"/>
            <w:hideMark/>
          </w:tcPr>
          <w:p w14:paraId="212F7507"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2</w:t>
            </w:r>
          </w:p>
        </w:tc>
        <w:tc>
          <w:tcPr>
            <w:tcW w:w="955" w:type="pct"/>
            <w:tcBorders>
              <w:top w:val="nil"/>
              <w:left w:val="nil"/>
              <w:bottom w:val="nil"/>
              <w:right w:val="nil"/>
            </w:tcBorders>
            <w:shd w:val="clear" w:color="000000" w:fill="E7E6E6"/>
            <w:noWrap/>
            <w:vAlign w:val="center"/>
            <w:hideMark/>
          </w:tcPr>
          <w:p w14:paraId="34A94391"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right w:val="nil"/>
            </w:tcBorders>
            <w:shd w:val="clear" w:color="000000" w:fill="E7E6E6"/>
            <w:noWrap/>
            <w:vAlign w:val="center"/>
            <w:hideMark/>
          </w:tcPr>
          <w:p w14:paraId="5C91EA17"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E7E6E6"/>
            <w:noWrap/>
            <w:vAlign w:val="center"/>
            <w:hideMark/>
          </w:tcPr>
          <w:p w14:paraId="64CE5B15"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r>
      <w:tr w:rsidR="007C02CE" w:rsidRPr="00D47F39" w14:paraId="2A88BC6F" w14:textId="77777777" w:rsidTr="007C02CE">
        <w:trPr>
          <w:trHeight w:val="207"/>
        </w:trPr>
        <w:tc>
          <w:tcPr>
            <w:tcW w:w="750" w:type="pct"/>
            <w:tcBorders>
              <w:top w:val="nil"/>
              <w:bottom w:val="nil"/>
            </w:tcBorders>
            <w:shd w:val="clear" w:color="000000" w:fill="FDFDFD"/>
            <w:noWrap/>
            <w:vAlign w:val="center"/>
            <w:hideMark/>
          </w:tcPr>
          <w:p w14:paraId="34280154"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S7</w:t>
            </w:r>
          </w:p>
        </w:tc>
        <w:tc>
          <w:tcPr>
            <w:tcW w:w="579" w:type="pct"/>
            <w:tcBorders>
              <w:top w:val="nil"/>
              <w:bottom w:val="nil"/>
              <w:right w:val="nil"/>
            </w:tcBorders>
            <w:shd w:val="clear" w:color="000000" w:fill="FDFDFD"/>
            <w:noWrap/>
            <w:vAlign w:val="center"/>
            <w:hideMark/>
          </w:tcPr>
          <w:p w14:paraId="7DC7B573"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1</w:t>
            </w:r>
          </w:p>
        </w:tc>
        <w:tc>
          <w:tcPr>
            <w:tcW w:w="792" w:type="pct"/>
            <w:tcBorders>
              <w:top w:val="nil"/>
              <w:left w:val="nil"/>
              <w:bottom w:val="nil"/>
              <w:right w:val="nil"/>
            </w:tcBorders>
            <w:shd w:val="clear" w:color="000000" w:fill="FDFDFD"/>
            <w:noWrap/>
            <w:vAlign w:val="center"/>
            <w:hideMark/>
          </w:tcPr>
          <w:p w14:paraId="7188F6FC"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395" w:type="pct"/>
            <w:tcBorders>
              <w:top w:val="nil"/>
              <w:left w:val="nil"/>
              <w:bottom w:val="nil"/>
            </w:tcBorders>
            <w:shd w:val="clear" w:color="000000" w:fill="FDFDFD"/>
            <w:noWrap/>
            <w:vAlign w:val="center"/>
            <w:hideMark/>
          </w:tcPr>
          <w:p w14:paraId="2E780547"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955" w:type="pct"/>
            <w:tcBorders>
              <w:top w:val="nil"/>
              <w:left w:val="nil"/>
              <w:bottom w:val="nil"/>
              <w:right w:val="nil"/>
            </w:tcBorders>
            <w:shd w:val="clear" w:color="000000" w:fill="FDFDFD"/>
            <w:noWrap/>
            <w:vAlign w:val="center"/>
            <w:hideMark/>
          </w:tcPr>
          <w:p w14:paraId="4D6F45A4"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right w:val="nil"/>
            </w:tcBorders>
            <w:shd w:val="clear" w:color="000000" w:fill="FDFDFD"/>
            <w:noWrap/>
            <w:vAlign w:val="center"/>
            <w:hideMark/>
          </w:tcPr>
          <w:p w14:paraId="40CF7E0B"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FDFDFD"/>
            <w:noWrap/>
            <w:vAlign w:val="center"/>
            <w:hideMark/>
          </w:tcPr>
          <w:p w14:paraId="73234130"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r>
      <w:tr w:rsidR="007C02CE" w:rsidRPr="00D47F39" w14:paraId="39322044" w14:textId="77777777" w:rsidTr="007C02CE">
        <w:trPr>
          <w:trHeight w:val="207"/>
        </w:trPr>
        <w:tc>
          <w:tcPr>
            <w:tcW w:w="750" w:type="pct"/>
            <w:tcBorders>
              <w:top w:val="nil"/>
              <w:bottom w:val="nil"/>
            </w:tcBorders>
            <w:shd w:val="clear" w:color="000000" w:fill="E7E6E6"/>
            <w:noWrap/>
            <w:vAlign w:val="center"/>
            <w:hideMark/>
          </w:tcPr>
          <w:p w14:paraId="5AB1BAAD"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S8</w:t>
            </w:r>
          </w:p>
        </w:tc>
        <w:tc>
          <w:tcPr>
            <w:tcW w:w="579" w:type="pct"/>
            <w:tcBorders>
              <w:top w:val="nil"/>
              <w:bottom w:val="nil"/>
              <w:right w:val="nil"/>
            </w:tcBorders>
            <w:shd w:val="clear" w:color="000000" w:fill="E7E6E6"/>
            <w:noWrap/>
            <w:vAlign w:val="center"/>
            <w:hideMark/>
          </w:tcPr>
          <w:p w14:paraId="6F535C35"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1</w:t>
            </w:r>
          </w:p>
        </w:tc>
        <w:tc>
          <w:tcPr>
            <w:tcW w:w="792" w:type="pct"/>
            <w:tcBorders>
              <w:top w:val="nil"/>
              <w:left w:val="nil"/>
              <w:bottom w:val="nil"/>
              <w:right w:val="nil"/>
            </w:tcBorders>
            <w:shd w:val="clear" w:color="000000" w:fill="E7E6E6"/>
            <w:noWrap/>
            <w:vAlign w:val="center"/>
            <w:hideMark/>
          </w:tcPr>
          <w:p w14:paraId="6C054387"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395" w:type="pct"/>
            <w:tcBorders>
              <w:top w:val="nil"/>
              <w:left w:val="nil"/>
              <w:bottom w:val="nil"/>
            </w:tcBorders>
            <w:shd w:val="clear" w:color="000000" w:fill="E7E6E6"/>
            <w:noWrap/>
            <w:vAlign w:val="center"/>
            <w:hideMark/>
          </w:tcPr>
          <w:p w14:paraId="20FC9000"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955" w:type="pct"/>
            <w:tcBorders>
              <w:top w:val="nil"/>
              <w:left w:val="nil"/>
              <w:bottom w:val="nil"/>
              <w:right w:val="nil"/>
            </w:tcBorders>
            <w:shd w:val="clear" w:color="000000" w:fill="E7E6E6"/>
            <w:noWrap/>
            <w:vAlign w:val="center"/>
            <w:hideMark/>
          </w:tcPr>
          <w:p w14:paraId="142D1084"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nil"/>
              <w:right w:val="nil"/>
            </w:tcBorders>
            <w:shd w:val="clear" w:color="000000" w:fill="E7E6E6"/>
            <w:noWrap/>
            <w:vAlign w:val="center"/>
            <w:hideMark/>
          </w:tcPr>
          <w:p w14:paraId="1FDF5A7E"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nil"/>
            </w:tcBorders>
            <w:shd w:val="clear" w:color="000000" w:fill="E7E6E6"/>
            <w:noWrap/>
            <w:vAlign w:val="center"/>
            <w:hideMark/>
          </w:tcPr>
          <w:p w14:paraId="569F52A3"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r>
      <w:tr w:rsidR="007C02CE" w:rsidRPr="00D47F39" w14:paraId="16738731" w14:textId="77777777" w:rsidTr="007C02CE">
        <w:trPr>
          <w:trHeight w:val="207"/>
        </w:trPr>
        <w:tc>
          <w:tcPr>
            <w:tcW w:w="750" w:type="pct"/>
            <w:tcBorders>
              <w:top w:val="nil"/>
              <w:bottom w:val="single" w:sz="8" w:space="0" w:color="auto"/>
            </w:tcBorders>
            <w:shd w:val="clear" w:color="000000" w:fill="FDFDFD"/>
            <w:noWrap/>
            <w:vAlign w:val="center"/>
            <w:hideMark/>
          </w:tcPr>
          <w:p w14:paraId="530C9D81"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S9</w:t>
            </w:r>
          </w:p>
        </w:tc>
        <w:tc>
          <w:tcPr>
            <w:tcW w:w="579" w:type="pct"/>
            <w:tcBorders>
              <w:top w:val="nil"/>
              <w:bottom w:val="single" w:sz="8" w:space="0" w:color="auto"/>
              <w:right w:val="nil"/>
            </w:tcBorders>
            <w:shd w:val="clear" w:color="000000" w:fill="FDFDFD"/>
            <w:noWrap/>
            <w:vAlign w:val="center"/>
            <w:hideMark/>
          </w:tcPr>
          <w:p w14:paraId="26033EAC" w14:textId="77777777" w:rsidR="00D47F39" w:rsidRPr="002935A8" w:rsidRDefault="00D47F39" w:rsidP="00D47F39">
            <w:pPr>
              <w:jc w:val="center"/>
              <w:rPr>
                <w:color w:val="000000"/>
                <w:sz w:val="18"/>
                <w:szCs w:val="18"/>
                <w:lang w:val="es-AR" w:eastAsia="es-AR"/>
              </w:rPr>
            </w:pPr>
            <w:r w:rsidRPr="002935A8">
              <w:rPr>
                <w:color w:val="000000"/>
                <w:sz w:val="18"/>
                <w:szCs w:val="18"/>
                <w:lang w:val="es-AR" w:eastAsia="es-AR"/>
              </w:rPr>
              <w:t>-</w:t>
            </w:r>
          </w:p>
        </w:tc>
        <w:tc>
          <w:tcPr>
            <w:tcW w:w="792" w:type="pct"/>
            <w:tcBorders>
              <w:top w:val="nil"/>
              <w:left w:val="nil"/>
              <w:bottom w:val="single" w:sz="8" w:space="0" w:color="auto"/>
              <w:right w:val="nil"/>
            </w:tcBorders>
            <w:shd w:val="clear" w:color="000000" w:fill="FDFDFD"/>
            <w:noWrap/>
            <w:vAlign w:val="center"/>
            <w:hideMark/>
          </w:tcPr>
          <w:p w14:paraId="65881A08"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1</w:t>
            </w:r>
          </w:p>
        </w:tc>
        <w:tc>
          <w:tcPr>
            <w:tcW w:w="395" w:type="pct"/>
            <w:tcBorders>
              <w:top w:val="nil"/>
              <w:left w:val="nil"/>
              <w:bottom w:val="single" w:sz="8" w:space="0" w:color="auto"/>
            </w:tcBorders>
            <w:shd w:val="clear" w:color="000000" w:fill="FDFDFD"/>
            <w:noWrap/>
            <w:vAlign w:val="center"/>
            <w:hideMark/>
          </w:tcPr>
          <w:p w14:paraId="315BA509"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2</w:t>
            </w:r>
          </w:p>
        </w:tc>
        <w:tc>
          <w:tcPr>
            <w:tcW w:w="955" w:type="pct"/>
            <w:tcBorders>
              <w:top w:val="nil"/>
              <w:left w:val="nil"/>
              <w:bottom w:val="single" w:sz="8" w:space="0" w:color="auto"/>
              <w:right w:val="nil"/>
            </w:tcBorders>
            <w:shd w:val="clear" w:color="000000" w:fill="FDFDFD"/>
            <w:noWrap/>
            <w:vAlign w:val="center"/>
            <w:hideMark/>
          </w:tcPr>
          <w:p w14:paraId="23D714FA"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507" w:type="pct"/>
            <w:tcBorders>
              <w:top w:val="nil"/>
              <w:left w:val="nil"/>
              <w:bottom w:val="single" w:sz="8" w:space="0" w:color="auto"/>
              <w:right w:val="nil"/>
            </w:tcBorders>
            <w:shd w:val="clear" w:color="000000" w:fill="FDFDFD"/>
            <w:noWrap/>
            <w:vAlign w:val="center"/>
            <w:hideMark/>
          </w:tcPr>
          <w:p w14:paraId="0D4C71F9"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c>
          <w:tcPr>
            <w:tcW w:w="1022" w:type="pct"/>
            <w:tcBorders>
              <w:top w:val="nil"/>
              <w:left w:val="nil"/>
              <w:bottom w:val="single" w:sz="8" w:space="0" w:color="auto"/>
            </w:tcBorders>
            <w:shd w:val="clear" w:color="000000" w:fill="FDFDFD"/>
            <w:noWrap/>
            <w:vAlign w:val="center"/>
            <w:hideMark/>
          </w:tcPr>
          <w:p w14:paraId="48BD04F2" w14:textId="77777777" w:rsidR="00D47F39" w:rsidRPr="008E4A08" w:rsidRDefault="00D47F39" w:rsidP="00D47F39">
            <w:pPr>
              <w:jc w:val="center"/>
              <w:rPr>
                <w:color w:val="000000"/>
                <w:sz w:val="18"/>
                <w:szCs w:val="18"/>
                <w:lang w:val="es-AR" w:eastAsia="es-AR"/>
              </w:rPr>
            </w:pPr>
            <w:r w:rsidRPr="008E4A08">
              <w:rPr>
                <w:color w:val="000000"/>
                <w:sz w:val="18"/>
                <w:szCs w:val="18"/>
                <w:lang w:val="es-AR" w:eastAsia="es-AR"/>
              </w:rPr>
              <w:t>●</w:t>
            </w:r>
          </w:p>
        </w:tc>
      </w:tr>
      <w:tr w:rsidR="00A65DD6" w:rsidRPr="00752FB7" w14:paraId="1AB38C9B" w14:textId="77777777" w:rsidTr="00A65DD6">
        <w:trPr>
          <w:trHeight w:val="227"/>
        </w:trPr>
        <w:tc>
          <w:tcPr>
            <w:tcW w:w="5000" w:type="pct"/>
            <w:gridSpan w:val="7"/>
            <w:tcBorders>
              <w:top w:val="single" w:sz="8" w:space="0" w:color="auto"/>
            </w:tcBorders>
            <w:shd w:val="clear" w:color="000000" w:fill="FDFDFD"/>
            <w:noWrap/>
            <w:vAlign w:val="center"/>
          </w:tcPr>
          <w:p w14:paraId="60619590" w14:textId="41F9E059" w:rsidR="00A65DD6" w:rsidRPr="00752FB7" w:rsidRDefault="00A65DD6" w:rsidP="00491D05">
            <w:pPr>
              <w:rPr>
                <w:color w:val="000000"/>
                <w:sz w:val="24"/>
                <w:szCs w:val="24"/>
                <w:vertAlign w:val="superscript"/>
                <w:lang w:val="en-US" w:eastAsia="es-AR"/>
              </w:rPr>
            </w:pPr>
            <w:r w:rsidRPr="00752FB7">
              <w:rPr>
                <w:color w:val="000000"/>
                <w:sz w:val="24"/>
                <w:szCs w:val="24"/>
                <w:vertAlign w:val="superscript"/>
                <w:lang w:val="en-US" w:eastAsia="es-AR"/>
              </w:rPr>
              <w:t>(</w:t>
            </w:r>
            <w:proofErr w:type="gramStart"/>
            <w:r w:rsidRPr="00752FB7">
              <w:rPr>
                <w:color w:val="000000"/>
                <w:sz w:val="24"/>
                <w:szCs w:val="24"/>
                <w:vertAlign w:val="superscript"/>
                <w:lang w:val="en-US" w:eastAsia="es-AR"/>
              </w:rPr>
              <w:t>*)</w:t>
            </w:r>
            <w:r w:rsidR="00752FB7" w:rsidRPr="00752FB7">
              <w:rPr>
                <w:color w:val="000000"/>
                <w:sz w:val="24"/>
                <w:szCs w:val="24"/>
                <w:vertAlign w:val="superscript"/>
                <w:lang w:val="en-US" w:eastAsia="es-AR"/>
              </w:rPr>
              <w:t>In</w:t>
            </w:r>
            <w:proofErr w:type="gramEnd"/>
            <w:r w:rsidR="00752FB7" w:rsidRPr="00752FB7">
              <w:rPr>
                <w:color w:val="000000"/>
                <w:sz w:val="24"/>
                <w:szCs w:val="24"/>
                <w:vertAlign w:val="superscript"/>
                <w:lang w:val="en-US" w:eastAsia="es-AR"/>
              </w:rPr>
              <w:t xml:space="preserve"> S1, S2, and S3, the allowed truck sizes per route </w:t>
            </w:r>
            <w:r w:rsidR="00491D05">
              <w:rPr>
                <w:color w:val="000000"/>
                <w:sz w:val="24"/>
                <w:szCs w:val="24"/>
                <w:vertAlign w:val="superscript"/>
                <w:lang w:val="en-US" w:eastAsia="es-AR"/>
              </w:rPr>
              <w:t>are</w:t>
            </w:r>
            <w:r w:rsidR="00752FB7" w:rsidRPr="00752FB7">
              <w:rPr>
                <w:color w:val="000000"/>
                <w:sz w:val="24"/>
                <w:szCs w:val="24"/>
                <w:vertAlign w:val="superscript"/>
                <w:lang w:val="en-US" w:eastAsia="es-AR"/>
              </w:rPr>
              <w:t xml:space="preserve"> small, medium, and large, respectively.</w:t>
            </w:r>
          </w:p>
        </w:tc>
      </w:tr>
    </w:tbl>
    <w:p w14:paraId="6DCE49BA" w14:textId="6D101EAE" w:rsidR="007C02CE" w:rsidRDefault="007C02CE" w:rsidP="00E138A7">
      <w:pPr>
        <w:pStyle w:val="Els-body-text"/>
      </w:pPr>
      <w:r w:rsidRPr="00D90508">
        <w:lastRenderedPageBreak/>
        <w:t xml:space="preserve">The results obtained </w:t>
      </w:r>
      <w:r>
        <w:t xml:space="preserve">for the </w:t>
      </w:r>
      <w:r w:rsidRPr="00D90508">
        <w:t>scenarios are presented below</w:t>
      </w:r>
      <w:r>
        <w:t xml:space="preserve"> in Tables 2 and 3</w:t>
      </w:r>
      <w:r w:rsidRPr="00D90508">
        <w:t xml:space="preserve">. </w:t>
      </w:r>
      <w:r>
        <w:t xml:space="preserve">For the addressed example, </w:t>
      </w:r>
      <w:r w:rsidRPr="00D90508">
        <w:t xml:space="preserve">the goal is to </w:t>
      </w:r>
      <w:r>
        <w:t>satisfy</w:t>
      </w:r>
      <w:r w:rsidRPr="00D90508">
        <w:t xml:space="preserve"> all customer demand</w:t>
      </w:r>
      <w:r w:rsidR="00C66AFC">
        <w:t>s</w:t>
      </w:r>
      <w:r w:rsidRPr="00D90508">
        <w:t xml:space="preserve"> through the company's production. If it</w:t>
      </w:r>
      <w:r>
        <w:t xml:space="preserve"> i</w:t>
      </w:r>
      <w:r w:rsidRPr="00D90508">
        <w:t>s not possible, and external purchases are needed to meet the total demand, the result is considered</w:t>
      </w:r>
      <w:r w:rsidR="00C66AFC">
        <w:t xml:space="preserve"> to be</w:t>
      </w:r>
      <w:r w:rsidRPr="00D90508">
        <w:t xml:space="preserve"> infeasible. </w:t>
      </w:r>
      <w:r>
        <w:t xml:space="preserve"> Th</w:t>
      </w:r>
      <w:r w:rsidRPr="00D90508">
        <w:t>e scenarios S</w:t>
      </w:r>
      <w:r>
        <w:t>1</w:t>
      </w:r>
      <w:r w:rsidRPr="00D90508">
        <w:t xml:space="preserve"> and S7 were found to be infeasible, and therefore, no results will be displayed in the tables. Th</w:t>
      </w:r>
      <w:r>
        <w:t>e</w:t>
      </w:r>
      <w:r w:rsidRPr="00D90508">
        <w:t xml:space="preserve"> infeasibility is attributed to the fact that both scenarios only consider a single truck size per route, and the assigned trucks cannot fulfill the entire demand.</w:t>
      </w:r>
    </w:p>
    <w:p w14:paraId="2D92C7A3" w14:textId="7400D142" w:rsidR="0087535F" w:rsidRDefault="003E4281" w:rsidP="00744CF5">
      <w:pPr>
        <w:pStyle w:val="Els-body-text"/>
        <w:spacing w:after="120"/>
      </w:pPr>
      <w:r w:rsidRPr="003E4281">
        <w:t xml:space="preserve">The performance of the model </w:t>
      </w:r>
      <w:r w:rsidR="008E79C7">
        <w:t xml:space="preserve">for the </w:t>
      </w:r>
      <w:r w:rsidRPr="003E4281">
        <w:t xml:space="preserve">scenarios tested is </w:t>
      </w:r>
      <w:r w:rsidR="00C66AFC">
        <w:t>shown</w:t>
      </w:r>
      <w:r w:rsidRPr="003E4281">
        <w:t xml:space="preserve"> in Table 2. It includes the size of the resulting MILP model, the processing time, and the value of the objective function with the associated </w:t>
      </w:r>
      <w:r w:rsidR="008E79C7">
        <w:t xml:space="preserve">optimality </w:t>
      </w:r>
      <w:r w:rsidRPr="003E4281">
        <w:t>GAP. Table 3 provides a detailed analysis of the solution in terms of distribution</w:t>
      </w:r>
      <w:r>
        <w:t>.</w:t>
      </w:r>
    </w:p>
    <w:p w14:paraId="0A180DEB" w14:textId="46AAFFED" w:rsidR="00A80EAA" w:rsidRPr="00A80EAA" w:rsidRDefault="00A80EAA" w:rsidP="00A80EAA">
      <w:pPr>
        <w:pStyle w:val="Els-body-text"/>
        <w:jc w:val="center"/>
        <w:rPr>
          <w:sz w:val="18"/>
          <w:szCs w:val="18"/>
        </w:rPr>
      </w:pPr>
      <w:r>
        <w:rPr>
          <w:b/>
          <w:bCs/>
          <w:sz w:val="18"/>
          <w:szCs w:val="18"/>
        </w:rPr>
        <w:t>Table</w:t>
      </w:r>
      <w:r w:rsidRPr="00EA39E1">
        <w:rPr>
          <w:b/>
          <w:bCs/>
          <w:sz w:val="18"/>
          <w:szCs w:val="18"/>
        </w:rPr>
        <w:t xml:space="preserve"> </w:t>
      </w:r>
      <w:r>
        <w:rPr>
          <w:b/>
          <w:bCs/>
          <w:sz w:val="18"/>
          <w:szCs w:val="18"/>
        </w:rPr>
        <w:t>2</w:t>
      </w:r>
      <w:r w:rsidRPr="00EA39E1">
        <w:rPr>
          <w:sz w:val="18"/>
          <w:szCs w:val="18"/>
        </w:rPr>
        <w:t xml:space="preserve">. </w:t>
      </w:r>
      <w:r>
        <w:rPr>
          <w:sz w:val="18"/>
          <w:szCs w:val="18"/>
        </w:rPr>
        <w:t>Model performance</w:t>
      </w:r>
    </w:p>
    <w:tbl>
      <w:tblPr>
        <w:tblW w:w="5000" w:type="pct"/>
        <w:tblCellMar>
          <w:left w:w="70" w:type="dxa"/>
          <w:right w:w="70" w:type="dxa"/>
        </w:tblCellMar>
        <w:tblLook w:val="04A0" w:firstRow="1" w:lastRow="0" w:firstColumn="1" w:lastColumn="0" w:noHBand="0" w:noVBand="1"/>
      </w:tblPr>
      <w:tblGrid>
        <w:gridCol w:w="1696"/>
        <w:gridCol w:w="770"/>
        <w:gridCol w:w="770"/>
        <w:gridCol w:w="770"/>
        <w:gridCol w:w="770"/>
        <w:gridCol w:w="770"/>
        <w:gridCol w:w="770"/>
        <w:gridCol w:w="770"/>
      </w:tblGrid>
      <w:tr w:rsidR="003355A3" w:rsidRPr="00A80EAA" w14:paraId="5F6A148C" w14:textId="77777777" w:rsidTr="00C52162">
        <w:trPr>
          <w:trHeight w:val="108"/>
        </w:trPr>
        <w:tc>
          <w:tcPr>
            <w:tcW w:w="1197" w:type="pct"/>
            <w:tcBorders>
              <w:top w:val="single" w:sz="8" w:space="0" w:color="auto"/>
              <w:left w:val="nil"/>
              <w:bottom w:val="single" w:sz="8" w:space="0" w:color="auto"/>
              <w:right w:val="nil"/>
            </w:tcBorders>
            <w:shd w:val="clear" w:color="auto" w:fill="FFFFFF" w:themeFill="background1"/>
            <w:noWrap/>
            <w:vAlign w:val="center"/>
            <w:hideMark/>
          </w:tcPr>
          <w:p w14:paraId="48AF40EC" w14:textId="6437B666" w:rsidR="00362AA6" w:rsidRPr="005F316E" w:rsidRDefault="00362AA6" w:rsidP="005F316E">
            <w:pPr>
              <w:jc w:val="center"/>
              <w:rPr>
                <w:b/>
                <w:bCs/>
                <w:sz w:val="18"/>
                <w:szCs w:val="18"/>
                <w:lang w:val="en-US" w:eastAsia="es-AR"/>
              </w:rPr>
            </w:pPr>
          </w:p>
        </w:tc>
        <w:tc>
          <w:tcPr>
            <w:tcW w:w="543" w:type="pct"/>
            <w:tcBorders>
              <w:top w:val="single" w:sz="8" w:space="0" w:color="auto"/>
              <w:left w:val="nil"/>
              <w:bottom w:val="single" w:sz="8" w:space="0" w:color="auto"/>
              <w:right w:val="nil"/>
            </w:tcBorders>
            <w:shd w:val="clear" w:color="auto" w:fill="FFFFFF" w:themeFill="background1"/>
            <w:noWrap/>
            <w:vAlign w:val="center"/>
            <w:hideMark/>
          </w:tcPr>
          <w:p w14:paraId="065A8BF5" w14:textId="247AC3B5" w:rsidR="00362AA6" w:rsidRPr="005F316E" w:rsidRDefault="00362AA6" w:rsidP="005F316E">
            <w:pPr>
              <w:jc w:val="center"/>
              <w:rPr>
                <w:b/>
                <w:bCs/>
                <w:sz w:val="18"/>
                <w:szCs w:val="18"/>
                <w:lang w:val="es-AR" w:eastAsia="es-AR"/>
              </w:rPr>
            </w:pPr>
            <w:r w:rsidRPr="005F316E">
              <w:rPr>
                <w:b/>
                <w:bCs/>
                <w:sz w:val="18"/>
                <w:szCs w:val="18"/>
                <w:lang w:val="es-AR" w:eastAsia="es-AR"/>
              </w:rPr>
              <w:t>S</w:t>
            </w:r>
            <w:r w:rsidR="00C7413E" w:rsidRPr="005F316E">
              <w:rPr>
                <w:b/>
                <w:bCs/>
                <w:sz w:val="18"/>
                <w:szCs w:val="18"/>
                <w:lang w:val="es-AR" w:eastAsia="es-AR"/>
              </w:rPr>
              <w:t>2</w:t>
            </w:r>
          </w:p>
        </w:tc>
        <w:tc>
          <w:tcPr>
            <w:tcW w:w="543" w:type="pct"/>
            <w:tcBorders>
              <w:top w:val="single" w:sz="8" w:space="0" w:color="auto"/>
              <w:left w:val="nil"/>
              <w:bottom w:val="single" w:sz="8" w:space="0" w:color="auto"/>
              <w:right w:val="nil"/>
            </w:tcBorders>
            <w:shd w:val="clear" w:color="auto" w:fill="FFFFFF" w:themeFill="background1"/>
            <w:noWrap/>
            <w:vAlign w:val="center"/>
            <w:hideMark/>
          </w:tcPr>
          <w:p w14:paraId="5AB7F0E5" w14:textId="2750130D" w:rsidR="00362AA6" w:rsidRPr="008E4A08" w:rsidRDefault="00362AA6" w:rsidP="005F316E">
            <w:pPr>
              <w:jc w:val="center"/>
              <w:rPr>
                <w:b/>
                <w:bCs/>
                <w:sz w:val="18"/>
                <w:szCs w:val="18"/>
                <w:lang w:val="es-AR" w:eastAsia="es-AR"/>
              </w:rPr>
            </w:pPr>
            <w:r w:rsidRPr="008E4A08">
              <w:rPr>
                <w:b/>
                <w:bCs/>
                <w:sz w:val="18"/>
                <w:szCs w:val="18"/>
                <w:lang w:val="es-AR" w:eastAsia="es-AR"/>
              </w:rPr>
              <w:t>S</w:t>
            </w:r>
            <w:r w:rsidR="00C7413E" w:rsidRPr="008E4A08">
              <w:rPr>
                <w:b/>
                <w:bCs/>
                <w:sz w:val="18"/>
                <w:szCs w:val="18"/>
                <w:lang w:val="es-AR" w:eastAsia="es-AR"/>
              </w:rPr>
              <w:t>3</w:t>
            </w:r>
          </w:p>
        </w:tc>
        <w:tc>
          <w:tcPr>
            <w:tcW w:w="543" w:type="pct"/>
            <w:tcBorders>
              <w:top w:val="single" w:sz="8" w:space="0" w:color="auto"/>
              <w:left w:val="nil"/>
              <w:bottom w:val="single" w:sz="8" w:space="0" w:color="auto"/>
              <w:right w:val="nil"/>
            </w:tcBorders>
            <w:shd w:val="clear" w:color="auto" w:fill="FFFFFF" w:themeFill="background1"/>
            <w:noWrap/>
            <w:vAlign w:val="center"/>
            <w:hideMark/>
          </w:tcPr>
          <w:p w14:paraId="5DA1788D" w14:textId="77777777" w:rsidR="00362AA6" w:rsidRPr="008E4A08" w:rsidRDefault="00362AA6" w:rsidP="005F316E">
            <w:pPr>
              <w:jc w:val="center"/>
              <w:rPr>
                <w:b/>
                <w:bCs/>
                <w:sz w:val="18"/>
                <w:szCs w:val="18"/>
                <w:lang w:val="es-AR" w:eastAsia="es-AR"/>
              </w:rPr>
            </w:pPr>
            <w:r w:rsidRPr="008E4A08">
              <w:rPr>
                <w:b/>
                <w:bCs/>
                <w:sz w:val="18"/>
                <w:szCs w:val="18"/>
                <w:lang w:val="es-AR" w:eastAsia="es-AR"/>
              </w:rPr>
              <w:t>S4</w:t>
            </w:r>
          </w:p>
        </w:tc>
        <w:tc>
          <w:tcPr>
            <w:tcW w:w="543" w:type="pct"/>
            <w:tcBorders>
              <w:top w:val="single" w:sz="8" w:space="0" w:color="auto"/>
              <w:left w:val="nil"/>
              <w:bottom w:val="single" w:sz="8" w:space="0" w:color="auto"/>
              <w:right w:val="nil"/>
            </w:tcBorders>
            <w:shd w:val="clear" w:color="auto" w:fill="FFFFFF" w:themeFill="background1"/>
            <w:noWrap/>
            <w:vAlign w:val="center"/>
            <w:hideMark/>
          </w:tcPr>
          <w:p w14:paraId="169AA0A0" w14:textId="77777777" w:rsidR="00362AA6" w:rsidRPr="008E4A08" w:rsidRDefault="00362AA6" w:rsidP="005F316E">
            <w:pPr>
              <w:jc w:val="center"/>
              <w:rPr>
                <w:b/>
                <w:bCs/>
                <w:sz w:val="18"/>
                <w:szCs w:val="18"/>
                <w:lang w:val="es-AR" w:eastAsia="es-AR"/>
              </w:rPr>
            </w:pPr>
            <w:r w:rsidRPr="008E4A08">
              <w:rPr>
                <w:b/>
                <w:bCs/>
                <w:sz w:val="18"/>
                <w:szCs w:val="18"/>
                <w:lang w:val="es-AR" w:eastAsia="es-AR"/>
              </w:rPr>
              <w:t>S5</w:t>
            </w:r>
          </w:p>
        </w:tc>
        <w:tc>
          <w:tcPr>
            <w:tcW w:w="543" w:type="pct"/>
            <w:tcBorders>
              <w:top w:val="single" w:sz="8" w:space="0" w:color="auto"/>
              <w:left w:val="nil"/>
              <w:bottom w:val="single" w:sz="8" w:space="0" w:color="auto"/>
              <w:right w:val="nil"/>
            </w:tcBorders>
            <w:shd w:val="clear" w:color="auto" w:fill="FFFFFF" w:themeFill="background1"/>
            <w:noWrap/>
            <w:vAlign w:val="center"/>
            <w:hideMark/>
          </w:tcPr>
          <w:p w14:paraId="4510E714" w14:textId="77777777" w:rsidR="00362AA6" w:rsidRPr="008E4A08" w:rsidRDefault="00362AA6" w:rsidP="005F316E">
            <w:pPr>
              <w:jc w:val="center"/>
              <w:rPr>
                <w:b/>
                <w:bCs/>
                <w:sz w:val="18"/>
                <w:szCs w:val="18"/>
                <w:lang w:val="es-AR" w:eastAsia="es-AR"/>
              </w:rPr>
            </w:pPr>
            <w:r w:rsidRPr="008E4A08">
              <w:rPr>
                <w:b/>
                <w:bCs/>
                <w:sz w:val="18"/>
                <w:szCs w:val="18"/>
                <w:lang w:val="es-AR" w:eastAsia="es-AR"/>
              </w:rPr>
              <w:t>S6</w:t>
            </w:r>
          </w:p>
        </w:tc>
        <w:tc>
          <w:tcPr>
            <w:tcW w:w="543" w:type="pct"/>
            <w:tcBorders>
              <w:top w:val="single" w:sz="8" w:space="0" w:color="auto"/>
              <w:left w:val="nil"/>
              <w:bottom w:val="single" w:sz="8" w:space="0" w:color="auto"/>
              <w:right w:val="nil"/>
            </w:tcBorders>
            <w:shd w:val="clear" w:color="auto" w:fill="FFFFFF" w:themeFill="background1"/>
            <w:noWrap/>
            <w:vAlign w:val="center"/>
            <w:hideMark/>
          </w:tcPr>
          <w:p w14:paraId="347DB2A6" w14:textId="77777777" w:rsidR="00362AA6" w:rsidRPr="008E4A08" w:rsidRDefault="00362AA6" w:rsidP="005F316E">
            <w:pPr>
              <w:jc w:val="center"/>
              <w:rPr>
                <w:b/>
                <w:bCs/>
                <w:sz w:val="18"/>
                <w:szCs w:val="18"/>
                <w:lang w:val="es-AR" w:eastAsia="es-AR"/>
              </w:rPr>
            </w:pPr>
            <w:r w:rsidRPr="008E4A08">
              <w:rPr>
                <w:b/>
                <w:bCs/>
                <w:sz w:val="18"/>
                <w:szCs w:val="18"/>
                <w:lang w:val="es-AR" w:eastAsia="es-AR"/>
              </w:rPr>
              <w:t>S8</w:t>
            </w:r>
          </w:p>
        </w:tc>
        <w:tc>
          <w:tcPr>
            <w:tcW w:w="543" w:type="pct"/>
            <w:tcBorders>
              <w:top w:val="single" w:sz="8" w:space="0" w:color="auto"/>
              <w:left w:val="nil"/>
              <w:bottom w:val="single" w:sz="8" w:space="0" w:color="auto"/>
              <w:right w:val="nil"/>
            </w:tcBorders>
            <w:shd w:val="clear" w:color="auto" w:fill="FFFFFF" w:themeFill="background1"/>
            <w:noWrap/>
            <w:vAlign w:val="center"/>
            <w:hideMark/>
          </w:tcPr>
          <w:p w14:paraId="553B4F9D" w14:textId="77777777" w:rsidR="00362AA6" w:rsidRPr="008E4A08" w:rsidRDefault="00362AA6" w:rsidP="005F316E">
            <w:pPr>
              <w:jc w:val="center"/>
              <w:rPr>
                <w:b/>
                <w:bCs/>
                <w:sz w:val="18"/>
                <w:szCs w:val="18"/>
                <w:lang w:val="es-AR" w:eastAsia="es-AR"/>
              </w:rPr>
            </w:pPr>
            <w:r w:rsidRPr="008E4A08">
              <w:rPr>
                <w:b/>
                <w:bCs/>
                <w:sz w:val="18"/>
                <w:szCs w:val="18"/>
                <w:lang w:val="es-AR" w:eastAsia="es-AR"/>
              </w:rPr>
              <w:t>S9</w:t>
            </w:r>
          </w:p>
        </w:tc>
      </w:tr>
      <w:tr w:rsidR="00A80EAA" w:rsidRPr="00A80EAA" w14:paraId="26113955" w14:textId="77777777" w:rsidTr="008E4A08">
        <w:trPr>
          <w:trHeight w:val="247"/>
        </w:trPr>
        <w:tc>
          <w:tcPr>
            <w:tcW w:w="1197" w:type="pct"/>
            <w:tcBorders>
              <w:top w:val="single" w:sz="8" w:space="0" w:color="auto"/>
              <w:left w:val="nil"/>
              <w:bottom w:val="nil"/>
              <w:right w:val="nil"/>
            </w:tcBorders>
            <w:shd w:val="clear" w:color="000000" w:fill="E7E6E6"/>
            <w:noWrap/>
            <w:vAlign w:val="center"/>
            <w:hideMark/>
          </w:tcPr>
          <w:p w14:paraId="03A328E3" w14:textId="77777777" w:rsidR="00A80EAA" w:rsidRPr="005F316E" w:rsidRDefault="00A80EAA" w:rsidP="005F316E">
            <w:pPr>
              <w:jc w:val="center"/>
              <w:rPr>
                <w:b/>
                <w:bCs/>
                <w:color w:val="000000"/>
                <w:sz w:val="18"/>
                <w:szCs w:val="18"/>
                <w:lang w:val="es-AR" w:eastAsia="es-AR"/>
              </w:rPr>
            </w:pPr>
            <w:proofErr w:type="spellStart"/>
            <w:r w:rsidRPr="005F316E">
              <w:rPr>
                <w:b/>
                <w:bCs/>
                <w:color w:val="000000"/>
                <w:sz w:val="18"/>
                <w:szCs w:val="18"/>
                <w:lang w:val="es-AR" w:eastAsia="es-AR"/>
              </w:rPr>
              <w:t>Equations</w:t>
            </w:r>
            <w:proofErr w:type="spellEnd"/>
          </w:p>
        </w:tc>
        <w:tc>
          <w:tcPr>
            <w:tcW w:w="543" w:type="pct"/>
            <w:tcBorders>
              <w:top w:val="single" w:sz="8" w:space="0" w:color="auto"/>
              <w:left w:val="nil"/>
              <w:bottom w:val="nil"/>
              <w:right w:val="nil"/>
            </w:tcBorders>
            <w:shd w:val="clear" w:color="000000" w:fill="E7E6E6"/>
            <w:noWrap/>
            <w:vAlign w:val="center"/>
            <w:hideMark/>
          </w:tcPr>
          <w:p w14:paraId="256440C4"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27,372</w:t>
            </w:r>
          </w:p>
        </w:tc>
        <w:tc>
          <w:tcPr>
            <w:tcW w:w="543" w:type="pct"/>
            <w:tcBorders>
              <w:top w:val="single" w:sz="8" w:space="0" w:color="auto"/>
              <w:left w:val="nil"/>
              <w:bottom w:val="nil"/>
              <w:right w:val="nil"/>
            </w:tcBorders>
            <w:shd w:val="clear" w:color="000000" w:fill="E7E6E6"/>
            <w:noWrap/>
            <w:vAlign w:val="center"/>
            <w:hideMark/>
          </w:tcPr>
          <w:p w14:paraId="121570CE"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28,632</w:t>
            </w:r>
          </w:p>
        </w:tc>
        <w:tc>
          <w:tcPr>
            <w:tcW w:w="543" w:type="pct"/>
            <w:tcBorders>
              <w:top w:val="single" w:sz="8" w:space="0" w:color="auto"/>
              <w:left w:val="nil"/>
              <w:bottom w:val="nil"/>
              <w:right w:val="nil"/>
            </w:tcBorders>
            <w:shd w:val="clear" w:color="000000" w:fill="E7E6E6"/>
            <w:noWrap/>
            <w:vAlign w:val="center"/>
            <w:hideMark/>
          </w:tcPr>
          <w:p w14:paraId="5B953AE4"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74,606</w:t>
            </w:r>
          </w:p>
        </w:tc>
        <w:tc>
          <w:tcPr>
            <w:tcW w:w="543" w:type="pct"/>
            <w:tcBorders>
              <w:top w:val="single" w:sz="8" w:space="0" w:color="auto"/>
              <w:left w:val="nil"/>
              <w:bottom w:val="nil"/>
              <w:right w:val="nil"/>
            </w:tcBorders>
            <w:shd w:val="clear" w:color="000000" w:fill="E7E6E6"/>
            <w:noWrap/>
            <w:vAlign w:val="center"/>
            <w:hideMark/>
          </w:tcPr>
          <w:p w14:paraId="0701358B"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51,619</w:t>
            </w:r>
          </w:p>
        </w:tc>
        <w:tc>
          <w:tcPr>
            <w:tcW w:w="543" w:type="pct"/>
            <w:tcBorders>
              <w:top w:val="single" w:sz="8" w:space="0" w:color="auto"/>
              <w:left w:val="nil"/>
              <w:bottom w:val="nil"/>
              <w:right w:val="nil"/>
            </w:tcBorders>
            <w:shd w:val="clear" w:color="000000" w:fill="E7E6E6"/>
            <w:noWrap/>
            <w:vAlign w:val="center"/>
            <w:hideMark/>
          </w:tcPr>
          <w:p w14:paraId="546FBA82"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51,619</w:t>
            </w:r>
          </w:p>
        </w:tc>
        <w:tc>
          <w:tcPr>
            <w:tcW w:w="543" w:type="pct"/>
            <w:tcBorders>
              <w:top w:val="single" w:sz="8" w:space="0" w:color="auto"/>
              <w:left w:val="nil"/>
              <w:bottom w:val="nil"/>
              <w:right w:val="nil"/>
            </w:tcBorders>
            <w:shd w:val="clear" w:color="000000" w:fill="E7E6E6"/>
            <w:noWrap/>
            <w:vAlign w:val="center"/>
            <w:hideMark/>
          </w:tcPr>
          <w:p w14:paraId="5D530316" w14:textId="108E0031" w:rsidR="00A80EAA" w:rsidRPr="008E4A08" w:rsidRDefault="00A80EAA" w:rsidP="005F316E">
            <w:pPr>
              <w:jc w:val="center"/>
              <w:rPr>
                <w:color w:val="000000"/>
                <w:sz w:val="18"/>
                <w:szCs w:val="18"/>
                <w:lang w:val="es-AR" w:eastAsia="es-AR"/>
              </w:rPr>
            </w:pPr>
            <w:r w:rsidRPr="008E4A08">
              <w:rPr>
                <w:sz w:val="18"/>
                <w:szCs w:val="18"/>
              </w:rPr>
              <w:t>43,974</w:t>
            </w:r>
          </w:p>
        </w:tc>
        <w:tc>
          <w:tcPr>
            <w:tcW w:w="543" w:type="pct"/>
            <w:tcBorders>
              <w:top w:val="single" w:sz="8" w:space="0" w:color="auto"/>
              <w:left w:val="nil"/>
              <w:bottom w:val="nil"/>
              <w:right w:val="nil"/>
            </w:tcBorders>
            <w:shd w:val="clear" w:color="000000" w:fill="E7E6E6"/>
            <w:noWrap/>
            <w:vAlign w:val="center"/>
            <w:hideMark/>
          </w:tcPr>
          <w:p w14:paraId="54AA587B" w14:textId="42232195" w:rsidR="00A80EAA" w:rsidRPr="008E4A08" w:rsidRDefault="00A80EAA" w:rsidP="005F316E">
            <w:pPr>
              <w:jc w:val="center"/>
              <w:rPr>
                <w:color w:val="000000"/>
                <w:sz w:val="18"/>
                <w:szCs w:val="18"/>
                <w:lang w:val="es-AR" w:eastAsia="es-AR"/>
              </w:rPr>
            </w:pPr>
            <w:r w:rsidRPr="008E4A08">
              <w:rPr>
                <w:sz w:val="18"/>
                <w:szCs w:val="18"/>
              </w:rPr>
              <w:t>43,974</w:t>
            </w:r>
          </w:p>
        </w:tc>
      </w:tr>
      <w:tr w:rsidR="00A80EAA" w:rsidRPr="00A80EAA" w14:paraId="68514C66" w14:textId="77777777" w:rsidTr="008E4A08">
        <w:trPr>
          <w:trHeight w:val="247"/>
        </w:trPr>
        <w:tc>
          <w:tcPr>
            <w:tcW w:w="1197" w:type="pct"/>
            <w:tcBorders>
              <w:top w:val="nil"/>
              <w:left w:val="nil"/>
              <w:bottom w:val="nil"/>
              <w:right w:val="nil"/>
            </w:tcBorders>
            <w:shd w:val="clear" w:color="auto" w:fill="FFFFFF" w:themeFill="background1"/>
            <w:noWrap/>
            <w:vAlign w:val="center"/>
            <w:hideMark/>
          </w:tcPr>
          <w:p w14:paraId="7DD132C3" w14:textId="10FD97FB" w:rsidR="00A80EAA" w:rsidRPr="005F316E" w:rsidRDefault="00A80EAA" w:rsidP="005F316E">
            <w:pPr>
              <w:jc w:val="center"/>
              <w:rPr>
                <w:b/>
                <w:bCs/>
                <w:color w:val="000000"/>
                <w:sz w:val="18"/>
                <w:szCs w:val="18"/>
                <w:lang w:val="es-AR" w:eastAsia="es-AR"/>
              </w:rPr>
            </w:pPr>
            <w:proofErr w:type="spellStart"/>
            <w:r w:rsidRPr="005F316E">
              <w:rPr>
                <w:b/>
                <w:bCs/>
                <w:color w:val="000000"/>
                <w:sz w:val="18"/>
                <w:szCs w:val="18"/>
                <w:lang w:val="es-AR" w:eastAsia="es-AR"/>
              </w:rPr>
              <w:t>Continuous</w:t>
            </w:r>
            <w:proofErr w:type="spellEnd"/>
            <w:r w:rsidRPr="005F316E">
              <w:rPr>
                <w:b/>
                <w:bCs/>
                <w:color w:val="000000"/>
                <w:sz w:val="18"/>
                <w:szCs w:val="18"/>
                <w:lang w:val="es-AR" w:eastAsia="es-AR"/>
              </w:rPr>
              <w:t xml:space="preserve"> </w:t>
            </w:r>
            <w:proofErr w:type="spellStart"/>
            <w:r w:rsidRPr="005F316E">
              <w:rPr>
                <w:b/>
                <w:bCs/>
                <w:color w:val="000000"/>
                <w:sz w:val="18"/>
                <w:szCs w:val="18"/>
                <w:lang w:val="es-AR" w:eastAsia="es-AR"/>
              </w:rPr>
              <w:t>var</w:t>
            </w:r>
            <w:proofErr w:type="spellEnd"/>
            <w:r w:rsidRPr="005F316E">
              <w:rPr>
                <w:b/>
                <w:bCs/>
                <w:color w:val="000000"/>
                <w:sz w:val="18"/>
                <w:szCs w:val="18"/>
                <w:lang w:val="es-AR" w:eastAsia="es-AR"/>
              </w:rPr>
              <w:t>.</w:t>
            </w:r>
          </w:p>
        </w:tc>
        <w:tc>
          <w:tcPr>
            <w:tcW w:w="543" w:type="pct"/>
            <w:tcBorders>
              <w:top w:val="nil"/>
              <w:left w:val="nil"/>
              <w:bottom w:val="nil"/>
              <w:right w:val="nil"/>
            </w:tcBorders>
            <w:shd w:val="clear" w:color="auto" w:fill="FFFFFF" w:themeFill="background1"/>
            <w:noWrap/>
            <w:vAlign w:val="center"/>
            <w:hideMark/>
          </w:tcPr>
          <w:p w14:paraId="5D956E94"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12,293</w:t>
            </w:r>
          </w:p>
        </w:tc>
        <w:tc>
          <w:tcPr>
            <w:tcW w:w="543" w:type="pct"/>
            <w:tcBorders>
              <w:top w:val="nil"/>
              <w:left w:val="nil"/>
              <w:bottom w:val="nil"/>
              <w:right w:val="nil"/>
            </w:tcBorders>
            <w:shd w:val="clear" w:color="auto" w:fill="FFFFFF" w:themeFill="background1"/>
            <w:noWrap/>
            <w:vAlign w:val="center"/>
            <w:hideMark/>
          </w:tcPr>
          <w:p w14:paraId="48C01AD4"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12,853</w:t>
            </w:r>
          </w:p>
        </w:tc>
        <w:tc>
          <w:tcPr>
            <w:tcW w:w="543" w:type="pct"/>
            <w:tcBorders>
              <w:top w:val="nil"/>
              <w:left w:val="nil"/>
              <w:bottom w:val="nil"/>
              <w:right w:val="nil"/>
            </w:tcBorders>
            <w:shd w:val="clear" w:color="auto" w:fill="FFFFFF" w:themeFill="background1"/>
            <w:noWrap/>
            <w:vAlign w:val="center"/>
            <w:hideMark/>
          </w:tcPr>
          <w:p w14:paraId="0CD2028C"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35,813</w:t>
            </w:r>
          </w:p>
        </w:tc>
        <w:tc>
          <w:tcPr>
            <w:tcW w:w="543" w:type="pct"/>
            <w:tcBorders>
              <w:top w:val="nil"/>
              <w:left w:val="nil"/>
              <w:bottom w:val="nil"/>
              <w:right w:val="nil"/>
            </w:tcBorders>
            <w:shd w:val="clear" w:color="auto" w:fill="FFFFFF" w:themeFill="background1"/>
            <w:noWrap/>
            <w:vAlign w:val="center"/>
            <w:hideMark/>
          </w:tcPr>
          <w:p w14:paraId="6FB86BEE"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24,333</w:t>
            </w:r>
          </w:p>
        </w:tc>
        <w:tc>
          <w:tcPr>
            <w:tcW w:w="543" w:type="pct"/>
            <w:tcBorders>
              <w:top w:val="nil"/>
              <w:left w:val="nil"/>
              <w:bottom w:val="nil"/>
              <w:right w:val="nil"/>
            </w:tcBorders>
            <w:shd w:val="clear" w:color="auto" w:fill="FFFFFF" w:themeFill="background1"/>
            <w:noWrap/>
            <w:vAlign w:val="center"/>
            <w:hideMark/>
          </w:tcPr>
          <w:p w14:paraId="111176B6"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24,333</w:t>
            </w:r>
          </w:p>
        </w:tc>
        <w:tc>
          <w:tcPr>
            <w:tcW w:w="543" w:type="pct"/>
            <w:tcBorders>
              <w:top w:val="nil"/>
              <w:left w:val="nil"/>
              <w:bottom w:val="nil"/>
              <w:right w:val="nil"/>
            </w:tcBorders>
            <w:shd w:val="clear" w:color="auto" w:fill="FFFFFF" w:themeFill="background1"/>
            <w:noWrap/>
            <w:vAlign w:val="center"/>
            <w:hideMark/>
          </w:tcPr>
          <w:p w14:paraId="6603D14C" w14:textId="2D59A998" w:rsidR="00A80EAA" w:rsidRPr="008E4A08" w:rsidRDefault="00A80EAA" w:rsidP="005F316E">
            <w:pPr>
              <w:jc w:val="center"/>
              <w:rPr>
                <w:color w:val="000000"/>
                <w:sz w:val="18"/>
                <w:szCs w:val="18"/>
                <w:lang w:val="es-AR" w:eastAsia="es-AR"/>
              </w:rPr>
            </w:pPr>
            <w:r w:rsidRPr="008E4A08">
              <w:rPr>
                <w:sz w:val="18"/>
                <w:szCs w:val="18"/>
              </w:rPr>
              <w:t>20,497</w:t>
            </w:r>
          </w:p>
        </w:tc>
        <w:tc>
          <w:tcPr>
            <w:tcW w:w="543" w:type="pct"/>
            <w:tcBorders>
              <w:top w:val="nil"/>
              <w:left w:val="nil"/>
              <w:bottom w:val="nil"/>
              <w:right w:val="nil"/>
            </w:tcBorders>
            <w:shd w:val="clear" w:color="auto" w:fill="FFFFFF" w:themeFill="background1"/>
            <w:noWrap/>
            <w:vAlign w:val="center"/>
            <w:hideMark/>
          </w:tcPr>
          <w:p w14:paraId="3B813EC1" w14:textId="20A4B214" w:rsidR="00A80EAA" w:rsidRPr="008E4A08" w:rsidRDefault="00A80EAA" w:rsidP="005F316E">
            <w:pPr>
              <w:jc w:val="center"/>
              <w:rPr>
                <w:color w:val="000000"/>
                <w:sz w:val="18"/>
                <w:szCs w:val="18"/>
                <w:lang w:val="es-AR" w:eastAsia="es-AR"/>
              </w:rPr>
            </w:pPr>
            <w:r w:rsidRPr="008E4A08">
              <w:rPr>
                <w:sz w:val="18"/>
                <w:szCs w:val="18"/>
              </w:rPr>
              <w:t>20,497</w:t>
            </w:r>
          </w:p>
        </w:tc>
      </w:tr>
      <w:tr w:rsidR="00A80EAA" w:rsidRPr="00A80EAA" w14:paraId="7B80654D" w14:textId="77777777" w:rsidTr="008E4A08">
        <w:trPr>
          <w:trHeight w:val="247"/>
        </w:trPr>
        <w:tc>
          <w:tcPr>
            <w:tcW w:w="1197" w:type="pct"/>
            <w:tcBorders>
              <w:top w:val="nil"/>
              <w:left w:val="nil"/>
              <w:bottom w:val="nil"/>
              <w:right w:val="nil"/>
            </w:tcBorders>
            <w:shd w:val="clear" w:color="000000" w:fill="E7E6E6"/>
            <w:noWrap/>
            <w:vAlign w:val="center"/>
            <w:hideMark/>
          </w:tcPr>
          <w:p w14:paraId="11ECE08A" w14:textId="21F44A66" w:rsidR="00A80EAA" w:rsidRPr="005F316E" w:rsidRDefault="00A80EAA" w:rsidP="005F316E">
            <w:pPr>
              <w:jc w:val="center"/>
              <w:rPr>
                <w:b/>
                <w:bCs/>
                <w:color w:val="000000"/>
                <w:sz w:val="18"/>
                <w:szCs w:val="18"/>
                <w:lang w:val="es-AR" w:eastAsia="es-AR"/>
              </w:rPr>
            </w:pPr>
            <w:proofErr w:type="spellStart"/>
            <w:r w:rsidRPr="005F316E">
              <w:rPr>
                <w:b/>
                <w:bCs/>
                <w:color w:val="000000"/>
                <w:sz w:val="18"/>
                <w:szCs w:val="18"/>
                <w:lang w:val="es-AR" w:eastAsia="es-AR"/>
              </w:rPr>
              <w:t>Binary</w:t>
            </w:r>
            <w:proofErr w:type="spellEnd"/>
            <w:r w:rsidRPr="005F316E">
              <w:rPr>
                <w:b/>
                <w:bCs/>
                <w:color w:val="000000"/>
                <w:sz w:val="18"/>
                <w:szCs w:val="18"/>
                <w:lang w:val="es-AR" w:eastAsia="es-AR"/>
              </w:rPr>
              <w:t xml:space="preserve"> </w:t>
            </w:r>
            <w:proofErr w:type="spellStart"/>
            <w:r w:rsidRPr="005F316E">
              <w:rPr>
                <w:b/>
                <w:bCs/>
                <w:color w:val="000000"/>
                <w:sz w:val="18"/>
                <w:szCs w:val="18"/>
                <w:lang w:val="es-AR" w:eastAsia="es-AR"/>
              </w:rPr>
              <w:t>var</w:t>
            </w:r>
            <w:proofErr w:type="spellEnd"/>
            <w:r w:rsidRPr="005F316E">
              <w:rPr>
                <w:b/>
                <w:bCs/>
                <w:color w:val="000000"/>
                <w:sz w:val="18"/>
                <w:szCs w:val="18"/>
                <w:lang w:val="es-AR" w:eastAsia="es-AR"/>
              </w:rPr>
              <w:t>.</w:t>
            </w:r>
          </w:p>
        </w:tc>
        <w:tc>
          <w:tcPr>
            <w:tcW w:w="543" w:type="pct"/>
            <w:tcBorders>
              <w:top w:val="nil"/>
              <w:left w:val="nil"/>
              <w:bottom w:val="nil"/>
              <w:right w:val="nil"/>
            </w:tcBorders>
            <w:shd w:val="clear" w:color="000000" w:fill="E7E6E6"/>
            <w:noWrap/>
            <w:vAlign w:val="center"/>
            <w:hideMark/>
          </w:tcPr>
          <w:p w14:paraId="476ECECC"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3,332</w:t>
            </w:r>
          </w:p>
        </w:tc>
        <w:tc>
          <w:tcPr>
            <w:tcW w:w="543" w:type="pct"/>
            <w:tcBorders>
              <w:top w:val="nil"/>
              <w:left w:val="nil"/>
              <w:bottom w:val="nil"/>
              <w:right w:val="nil"/>
            </w:tcBorders>
            <w:shd w:val="clear" w:color="000000" w:fill="E7E6E6"/>
            <w:noWrap/>
            <w:vAlign w:val="center"/>
            <w:hideMark/>
          </w:tcPr>
          <w:p w14:paraId="01003896"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3,472</w:t>
            </w:r>
          </w:p>
        </w:tc>
        <w:tc>
          <w:tcPr>
            <w:tcW w:w="543" w:type="pct"/>
            <w:tcBorders>
              <w:top w:val="nil"/>
              <w:left w:val="nil"/>
              <w:bottom w:val="nil"/>
              <w:right w:val="nil"/>
            </w:tcBorders>
            <w:shd w:val="clear" w:color="000000" w:fill="E7E6E6"/>
            <w:noWrap/>
            <w:vAlign w:val="center"/>
            <w:hideMark/>
          </w:tcPr>
          <w:p w14:paraId="0087891E"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10,416</w:t>
            </w:r>
          </w:p>
        </w:tc>
        <w:tc>
          <w:tcPr>
            <w:tcW w:w="543" w:type="pct"/>
            <w:tcBorders>
              <w:top w:val="nil"/>
              <w:left w:val="nil"/>
              <w:bottom w:val="nil"/>
              <w:right w:val="nil"/>
            </w:tcBorders>
            <w:shd w:val="clear" w:color="000000" w:fill="E7E6E6"/>
            <w:noWrap/>
            <w:vAlign w:val="center"/>
            <w:hideMark/>
          </w:tcPr>
          <w:p w14:paraId="6AA40755"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6,944</w:t>
            </w:r>
          </w:p>
        </w:tc>
        <w:tc>
          <w:tcPr>
            <w:tcW w:w="543" w:type="pct"/>
            <w:tcBorders>
              <w:top w:val="nil"/>
              <w:left w:val="nil"/>
              <w:bottom w:val="nil"/>
              <w:right w:val="nil"/>
            </w:tcBorders>
            <w:shd w:val="clear" w:color="000000" w:fill="E7E6E6"/>
            <w:noWrap/>
            <w:vAlign w:val="center"/>
            <w:hideMark/>
          </w:tcPr>
          <w:p w14:paraId="31BA3F80" w14:textId="77777777" w:rsidR="00A80EAA" w:rsidRPr="008E4A08" w:rsidRDefault="00A80EAA" w:rsidP="005F316E">
            <w:pPr>
              <w:jc w:val="center"/>
              <w:rPr>
                <w:color w:val="000000"/>
                <w:sz w:val="18"/>
                <w:szCs w:val="18"/>
                <w:lang w:val="es-AR" w:eastAsia="es-AR"/>
              </w:rPr>
            </w:pPr>
            <w:r w:rsidRPr="008E4A08">
              <w:rPr>
                <w:color w:val="000000"/>
                <w:sz w:val="18"/>
                <w:szCs w:val="18"/>
                <w:lang w:val="es-AR" w:eastAsia="es-AR"/>
              </w:rPr>
              <w:t>6,944</w:t>
            </w:r>
          </w:p>
        </w:tc>
        <w:tc>
          <w:tcPr>
            <w:tcW w:w="543" w:type="pct"/>
            <w:tcBorders>
              <w:top w:val="nil"/>
              <w:left w:val="nil"/>
              <w:bottom w:val="nil"/>
              <w:right w:val="nil"/>
            </w:tcBorders>
            <w:shd w:val="clear" w:color="000000" w:fill="E7E6E6"/>
            <w:noWrap/>
            <w:vAlign w:val="center"/>
            <w:hideMark/>
          </w:tcPr>
          <w:p w14:paraId="5122E724" w14:textId="4CCEA201" w:rsidR="00A80EAA" w:rsidRPr="008E4A08" w:rsidRDefault="00A80EAA" w:rsidP="005F316E">
            <w:pPr>
              <w:jc w:val="center"/>
              <w:rPr>
                <w:color w:val="000000"/>
                <w:sz w:val="18"/>
                <w:szCs w:val="18"/>
                <w:lang w:val="es-AR" w:eastAsia="es-AR"/>
              </w:rPr>
            </w:pPr>
            <w:r w:rsidRPr="008E4A08">
              <w:rPr>
                <w:sz w:val="18"/>
                <w:szCs w:val="18"/>
              </w:rPr>
              <w:t>5,768</w:t>
            </w:r>
          </w:p>
        </w:tc>
        <w:tc>
          <w:tcPr>
            <w:tcW w:w="543" w:type="pct"/>
            <w:tcBorders>
              <w:top w:val="nil"/>
              <w:left w:val="nil"/>
              <w:bottom w:val="nil"/>
              <w:right w:val="nil"/>
            </w:tcBorders>
            <w:shd w:val="clear" w:color="000000" w:fill="E7E6E6"/>
            <w:noWrap/>
            <w:vAlign w:val="center"/>
            <w:hideMark/>
          </w:tcPr>
          <w:p w14:paraId="430A4185" w14:textId="157F9BC2" w:rsidR="00A80EAA" w:rsidRPr="008E4A08" w:rsidRDefault="00A80EAA" w:rsidP="005F316E">
            <w:pPr>
              <w:jc w:val="center"/>
              <w:rPr>
                <w:color w:val="000000"/>
                <w:sz w:val="18"/>
                <w:szCs w:val="18"/>
                <w:lang w:val="es-AR" w:eastAsia="es-AR"/>
              </w:rPr>
            </w:pPr>
            <w:r w:rsidRPr="008E4A08">
              <w:rPr>
                <w:sz w:val="18"/>
                <w:szCs w:val="18"/>
              </w:rPr>
              <w:t>5,768</w:t>
            </w:r>
          </w:p>
        </w:tc>
      </w:tr>
      <w:tr w:rsidR="00362AA6" w:rsidRPr="00A80EAA" w14:paraId="0C985BEC" w14:textId="77777777" w:rsidTr="008E4A08">
        <w:trPr>
          <w:trHeight w:val="247"/>
        </w:trPr>
        <w:tc>
          <w:tcPr>
            <w:tcW w:w="1197" w:type="pct"/>
            <w:tcBorders>
              <w:top w:val="nil"/>
              <w:left w:val="nil"/>
              <w:bottom w:val="nil"/>
              <w:right w:val="nil"/>
            </w:tcBorders>
            <w:shd w:val="clear" w:color="auto" w:fill="FFFFFF" w:themeFill="background1"/>
            <w:noWrap/>
            <w:vAlign w:val="center"/>
            <w:hideMark/>
          </w:tcPr>
          <w:p w14:paraId="07BB40F3" w14:textId="77777777" w:rsidR="00362AA6" w:rsidRPr="005F316E" w:rsidRDefault="00362AA6" w:rsidP="005F316E">
            <w:pPr>
              <w:jc w:val="center"/>
              <w:rPr>
                <w:b/>
                <w:bCs/>
                <w:color w:val="000000"/>
                <w:sz w:val="18"/>
                <w:szCs w:val="18"/>
                <w:lang w:val="es-AR" w:eastAsia="es-AR"/>
              </w:rPr>
            </w:pPr>
            <w:proofErr w:type="spellStart"/>
            <w:r w:rsidRPr="005F316E">
              <w:rPr>
                <w:b/>
                <w:bCs/>
                <w:color w:val="000000"/>
                <w:sz w:val="18"/>
                <w:szCs w:val="18"/>
                <w:lang w:val="es-AR" w:eastAsia="es-AR"/>
              </w:rPr>
              <w:t>Cost</w:t>
            </w:r>
            <w:proofErr w:type="spellEnd"/>
            <w:r w:rsidRPr="005F316E">
              <w:rPr>
                <w:b/>
                <w:bCs/>
                <w:color w:val="000000"/>
                <w:sz w:val="18"/>
                <w:szCs w:val="18"/>
                <w:lang w:val="es-AR" w:eastAsia="es-AR"/>
              </w:rPr>
              <w:t xml:space="preserve"> [$]</w:t>
            </w:r>
          </w:p>
        </w:tc>
        <w:tc>
          <w:tcPr>
            <w:tcW w:w="543" w:type="pct"/>
            <w:tcBorders>
              <w:top w:val="nil"/>
              <w:left w:val="nil"/>
              <w:bottom w:val="nil"/>
              <w:right w:val="nil"/>
            </w:tcBorders>
            <w:shd w:val="clear" w:color="auto" w:fill="FFFFFF" w:themeFill="background1"/>
            <w:noWrap/>
            <w:vAlign w:val="center"/>
            <w:hideMark/>
          </w:tcPr>
          <w:p w14:paraId="35B75510" w14:textId="48673F00" w:rsidR="00362AA6" w:rsidRPr="008E4A08" w:rsidRDefault="00362AA6" w:rsidP="005F316E">
            <w:pPr>
              <w:jc w:val="center"/>
              <w:rPr>
                <w:color w:val="000000"/>
                <w:sz w:val="18"/>
                <w:szCs w:val="18"/>
                <w:lang w:val="es-AR" w:eastAsia="es-AR"/>
              </w:rPr>
            </w:pPr>
            <w:r w:rsidRPr="008E4A08">
              <w:rPr>
                <w:color w:val="000000"/>
                <w:sz w:val="18"/>
                <w:szCs w:val="18"/>
                <w:lang w:val="es-AR" w:eastAsia="es-AR"/>
              </w:rPr>
              <w:t>89,551.7</w:t>
            </w:r>
          </w:p>
        </w:tc>
        <w:tc>
          <w:tcPr>
            <w:tcW w:w="543" w:type="pct"/>
            <w:tcBorders>
              <w:top w:val="nil"/>
              <w:left w:val="nil"/>
              <w:bottom w:val="nil"/>
              <w:right w:val="nil"/>
            </w:tcBorders>
            <w:shd w:val="clear" w:color="auto" w:fill="FFFFFF" w:themeFill="background1"/>
            <w:noWrap/>
            <w:vAlign w:val="center"/>
            <w:hideMark/>
          </w:tcPr>
          <w:p w14:paraId="554715C9" w14:textId="3BE8CE26" w:rsidR="00362AA6" w:rsidRPr="008E4A08" w:rsidRDefault="00362AA6" w:rsidP="005F316E">
            <w:pPr>
              <w:jc w:val="center"/>
              <w:rPr>
                <w:color w:val="000000"/>
                <w:sz w:val="18"/>
                <w:szCs w:val="18"/>
                <w:lang w:val="es-AR" w:eastAsia="es-AR"/>
              </w:rPr>
            </w:pPr>
            <w:r w:rsidRPr="008E4A08">
              <w:rPr>
                <w:color w:val="000000"/>
                <w:sz w:val="18"/>
                <w:szCs w:val="18"/>
                <w:lang w:val="es-AR" w:eastAsia="es-AR"/>
              </w:rPr>
              <w:t>83,600.4</w:t>
            </w:r>
          </w:p>
        </w:tc>
        <w:tc>
          <w:tcPr>
            <w:tcW w:w="543" w:type="pct"/>
            <w:tcBorders>
              <w:top w:val="nil"/>
              <w:left w:val="nil"/>
              <w:bottom w:val="nil"/>
              <w:right w:val="nil"/>
            </w:tcBorders>
            <w:shd w:val="clear" w:color="auto" w:fill="FFFFFF" w:themeFill="background1"/>
            <w:noWrap/>
            <w:vAlign w:val="center"/>
            <w:hideMark/>
          </w:tcPr>
          <w:p w14:paraId="231BAB18" w14:textId="6D3957E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85,183.5</w:t>
            </w:r>
          </w:p>
        </w:tc>
        <w:tc>
          <w:tcPr>
            <w:tcW w:w="543" w:type="pct"/>
            <w:tcBorders>
              <w:top w:val="nil"/>
              <w:left w:val="nil"/>
              <w:bottom w:val="nil"/>
              <w:right w:val="nil"/>
            </w:tcBorders>
            <w:shd w:val="clear" w:color="auto" w:fill="FFFFFF" w:themeFill="background1"/>
            <w:noWrap/>
            <w:vAlign w:val="center"/>
            <w:hideMark/>
          </w:tcPr>
          <w:p w14:paraId="777F80D9" w14:textId="4BEE196D" w:rsidR="00362AA6" w:rsidRPr="008E4A08" w:rsidRDefault="00362AA6" w:rsidP="005F316E">
            <w:pPr>
              <w:jc w:val="center"/>
              <w:rPr>
                <w:color w:val="000000"/>
                <w:sz w:val="18"/>
                <w:szCs w:val="18"/>
                <w:lang w:val="es-AR" w:eastAsia="es-AR"/>
              </w:rPr>
            </w:pPr>
            <w:r w:rsidRPr="008E4A08">
              <w:rPr>
                <w:color w:val="000000"/>
                <w:sz w:val="18"/>
                <w:szCs w:val="18"/>
                <w:lang w:val="es-AR" w:eastAsia="es-AR"/>
              </w:rPr>
              <w:t>84,356.7</w:t>
            </w:r>
          </w:p>
        </w:tc>
        <w:tc>
          <w:tcPr>
            <w:tcW w:w="543" w:type="pct"/>
            <w:tcBorders>
              <w:top w:val="nil"/>
              <w:left w:val="nil"/>
              <w:bottom w:val="nil"/>
              <w:right w:val="nil"/>
            </w:tcBorders>
            <w:shd w:val="clear" w:color="auto" w:fill="FFFFFF" w:themeFill="background1"/>
            <w:noWrap/>
            <w:vAlign w:val="center"/>
            <w:hideMark/>
          </w:tcPr>
          <w:p w14:paraId="717EE975" w14:textId="085242A4" w:rsidR="00362AA6" w:rsidRPr="008E4A08" w:rsidRDefault="00362AA6" w:rsidP="005F316E">
            <w:pPr>
              <w:jc w:val="center"/>
              <w:rPr>
                <w:color w:val="000000"/>
                <w:sz w:val="18"/>
                <w:szCs w:val="18"/>
                <w:lang w:val="es-AR" w:eastAsia="es-AR"/>
              </w:rPr>
            </w:pPr>
            <w:r w:rsidRPr="008E4A08">
              <w:rPr>
                <w:color w:val="000000"/>
                <w:sz w:val="18"/>
                <w:szCs w:val="18"/>
                <w:lang w:val="es-AR" w:eastAsia="es-AR"/>
              </w:rPr>
              <w:t>82,817.7</w:t>
            </w:r>
          </w:p>
        </w:tc>
        <w:tc>
          <w:tcPr>
            <w:tcW w:w="543" w:type="pct"/>
            <w:tcBorders>
              <w:top w:val="nil"/>
              <w:left w:val="nil"/>
              <w:bottom w:val="nil"/>
              <w:right w:val="nil"/>
            </w:tcBorders>
            <w:shd w:val="clear" w:color="auto" w:fill="FFFFFF" w:themeFill="background1"/>
            <w:noWrap/>
            <w:vAlign w:val="center"/>
            <w:hideMark/>
          </w:tcPr>
          <w:p w14:paraId="2CCF2B9C" w14:textId="56D35176" w:rsidR="00362AA6" w:rsidRPr="008E4A08" w:rsidRDefault="00362AA6" w:rsidP="005F316E">
            <w:pPr>
              <w:jc w:val="center"/>
              <w:rPr>
                <w:color w:val="000000"/>
                <w:sz w:val="18"/>
                <w:szCs w:val="18"/>
                <w:lang w:val="es-AR" w:eastAsia="es-AR"/>
              </w:rPr>
            </w:pPr>
            <w:r w:rsidRPr="008E4A08">
              <w:rPr>
                <w:color w:val="000000"/>
                <w:sz w:val="18"/>
                <w:szCs w:val="18"/>
                <w:lang w:val="es-AR" w:eastAsia="es-AR"/>
              </w:rPr>
              <w:t>85,977.8</w:t>
            </w:r>
          </w:p>
        </w:tc>
        <w:tc>
          <w:tcPr>
            <w:tcW w:w="543" w:type="pct"/>
            <w:tcBorders>
              <w:top w:val="nil"/>
              <w:left w:val="nil"/>
              <w:bottom w:val="nil"/>
              <w:right w:val="nil"/>
            </w:tcBorders>
            <w:shd w:val="clear" w:color="auto" w:fill="FFFFFF" w:themeFill="background1"/>
            <w:noWrap/>
            <w:vAlign w:val="center"/>
            <w:hideMark/>
          </w:tcPr>
          <w:p w14:paraId="22C8CE20" w14:textId="03E90B70" w:rsidR="00362AA6" w:rsidRPr="008E4A08" w:rsidRDefault="00362AA6" w:rsidP="005F316E">
            <w:pPr>
              <w:jc w:val="center"/>
              <w:rPr>
                <w:color w:val="000000"/>
                <w:sz w:val="18"/>
                <w:szCs w:val="18"/>
                <w:lang w:val="es-AR" w:eastAsia="es-AR"/>
              </w:rPr>
            </w:pPr>
            <w:r w:rsidRPr="008E4A08">
              <w:rPr>
                <w:color w:val="000000"/>
                <w:sz w:val="18"/>
                <w:szCs w:val="18"/>
                <w:lang w:val="es-AR" w:eastAsia="es-AR"/>
              </w:rPr>
              <w:t>82,812.7</w:t>
            </w:r>
          </w:p>
        </w:tc>
      </w:tr>
      <w:tr w:rsidR="00362AA6" w:rsidRPr="00A80EAA" w14:paraId="4BC701A2" w14:textId="77777777" w:rsidTr="008E4A08">
        <w:trPr>
          <w:trHeight w:val="247"/>
        </w:trPr>
        <w:tc>
          <w:tcPr>
            <w:tcW w:w="1197" w:type="pct"/>
            <w:tcBorders>
              <w:top w:val="nil"/>
              <w:left w:val="nil"/>
              <w:bottom w:val="nil"/>
              <w:right w:val="nil"/>
            </w:tcBorders>
            <w:shd w:val="clear" w:color="000000" w:fill="E7E6E6"/>
            <w:noWrap/>
            <w:vAlign w:val="center"/>
            <w:hideMark/>
          </w:tcPr>
          <w:p w14:paraId="4C0B2C59" w14:textId="51333297" w:rsidR="00362AA6" w:rsidRPr="005F316E" w:rsidRDefault="00362AA6" w:rsidP="005F316E">
            <w:pPr>
              <w:jc w:val="center"/>
              <w:rPr>
                <w:b/>
                <w:bCs/>
                <w:color w:val="000000"/>
                <w:sz w:val="18"/>
                <w:szCs w:val="18"/>
                <w:lang w:val="es-AR" w:eastAsia="es-AR"/>
              </w:rPr>
            </w:pPr>
            <w:r w:rsidRPr="005F316E">
              <w:rPr>
                <w:b/>
                <w:bCs/>
                <w:color w:val="000000"/>
                <w:sz w:val="18"/>
                <w:szCs w:val="18"/>
                <w:lang w:val="es-AR" w:eastAsia="es-AR"/>
              </w:rPr>
              <w:t>CPU Time [s]</w:t>
            </w:r>
          </w:p>
        </w:tc>
        <w:tc>
          <w:tcPr>
            <w:tcW w:w="543" w:type="pct"/>
            <w:tcBorders>
              <w:top w:val="nil"/>
              <w:left w:val="nil"/>
              <w:bottom w:val="nil"/>
              <w:right w:val="nil"/>
            </w:tcBorders>
            <w:shd w:val="clear" w:color="000000" w:fill="E7E6E6"/>
            <w:noWrap/>
            <w:vAlign w:val="center"/>
            <w:hideMark/>
          </w:tcPr>
          <w:p w14:paraId="63B13456"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900</w:t>
            </w:r>
          </w:p>
        </w:tc>
        <w:tc>
          <w:tcPr>
            <w:tcW w:w="543" w:type="pct"/>
            <w:tcBorders>
              <w:top w:val="nil"/>
              <w:left w:val="nil"/>
              <w:bottom w:val="nil"/>
              <w:right w:val="nil"/>
            </w:tcBorders>
            <w:shd w:val="clear" w:color="000000" w:fill="E7E6E6"/>
            <w:noWrap/>
            <w:vAlign w:val="center"/>
            <w:hideMark/>
          </w:tcPr>
          <w:p w14:paraId="2031B790"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900</w:t>
            </w:r>
          </w:p>
        </w:tc>
        <w:tc>
          <w:tcPr>
            <w:tcW w:w="543" w:type="pct"/>
            <w:tcBorders>
              <w:top w:val="nil"/>
              <w:left w:val="nil"/>
              <w:bottom w:val="nil"/>
              <w:right w:val="nil"/>
            </w:tcBorders>
            <w:shd w:val="clear" w:color="000000" w:fill="E7E6E6"/>
            <w:noWrap/>
            <w:vAlign w:val="center"/>
            <w:hideMark/>
          </w:tcPr>
          <w:p w14:paraId="2E5BCD81"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900</w:t>
            </w:r>
          </w:p>
        </w:tc>
        <w:tc>
          <w:tcPr>
            <w:tcW w:w="543" w:type="pct"/>
            <w:tcBorders>
              <w:top w:val="nil"/>
              <w:left w:val="nil"/>
              <w:bottom w:val="nil"/>
              <w:right w:val="nil"/>
            </w:tcBorders>
            <w:shd w:val="clear" w:color="000000" w:fill="E7E6E6"/>
            <w:noWrap/>
            <w:vAlign w:val="center"/>
            <w:hideMark/>
          </w:tcPr>
          <w:p w14:paraId="12E79E90"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900</w:t>
            </w:r>
          </w:p>
        </w:tc>
        <w:tc>
          <w:tcPr>
            <w:tcW w:w="543" w:type="pct"/>
            <w:tcBorders>
              <w:top w:val="nil"/>
              <w:left w:val="nil"/>
              <w:bottom w:val="nil"/>
              <w:right w:val="nil"/>
            </w:tcBorders>
            <w:shd w:val="clear" w:color="000000" w:fill="E7E6E6"/>
            <w:noWrap/>
            <w:vAlign w:val="center"/>
            <w:hideMark/>
          </w:tcPr>
          <w:p w14:paraId="5ABAC5D7"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900</w:t>
            </w:r>
          </w:p>
        </w:tc>
        <w:tc>
          <w:tcPr>
            <w:tcW w:w="543" w:type="pct"/>
            <w:tcBorders>
              <w:top w:val="nil"/>
              <w:left w:val="nil"/>
              <w:bottom w:val="nil"/>
              <w:right w:val="nil"/>
            </w:tcBorders>
            <w:shd w:val="clear" w:color="000000" w:fill="E7E6E6"/>
            <w:noWrap/>
            <w:vAlign w:val="center"/>
            <w:hideMark/>
          </w:tcPr>
          <w:p w14:paraId="4A44A68A"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900</w:t>
            </w:r>
          </w:p>
        </w:tc>
        <w:tc>
          <w:tcPr>
            <w:tcW w:w="543" w:type="pct"/>
            <w:tcBorders>
              <w:top w:val="nil"/>
              <w:left w:val="nil"/>
              <w:bottom w:val="nil"/>
              <w:right w:val="nil"/>
            </w:tcBorders>
            <w:shd w:val="clear" w:color="000000" w:fill="E7E6E6"/>
            <w:noWrap/>
            <w:vAlign w:val="center"/>
            <w:hideMark/>
          </w:tcPr>
          <w:p w14:paraId="46B5E961"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900</w:t>
            </w:r>
          </w:p>
        </w:tc>
      </w:tr>
      <w:tr w:rsidR="00362AA6" w:rsidRPr="00A80EAA" w14:paraId="1964DF73" w14:textId="77777777" w:rsidTr="00C52162">
        <w:trPr>
          <w:trHeight w:val="57"/>
        </w:trPr>
        <w:tc>
          <w:tcPr>
            <w:tcW w:w="1197" w:type="pct"/>
            <w:tcBorders>
              <w:top w:val="nil"/>
              <w:left w:val="nil"/>
              <w:bottom w:val="single" w:sz="8" w:space="0" w:color="auto"/>
              <w:right w:val="nil"/>
            </w:tcBorders>
            <w:shd w:val="clear" w:color="auto" w:fill="FFFFFF" w:themeFill="background1"/>
            <w:noWrap/>
            <w:vAlign w:val="center"/>
            <w:hideMark/>
          </w:tcPr>
          <w:p w14:paraId="2C968410" w14:textId="77777777" w:rsidR="00362AA6" w:rsidRPr="005F316E" w:rsidRDefault="00362AA6" w:rsidP="005F316E">
            <w:pPr>
              <w:jc w:val="center"/>
              <w:rPr>
                <w:b/>
                <w:bCs/>
                <w:color w:val="000000"/>
                <w:sz w:val="18"/>
                <w:szCs w:val="18"/>
                <w:lang w:val="es-AR" w:eastAsia="es-AR"/>
              </w:rPr>
            </w:pPr>
            <w:r w:rsidRPr="005F316E">
              <w:rPr>
                <w:b/>
                <w:bCs/>
                <w:color w:val="000000"/>
                <w:sz w:val="18"/>
                <w:szCs w:val="18"/>
                <w:lang w:val="es-AR" w:eastAsia="es-AR"/>
              </w:rPr>
              <w:t>GAP [%]</w:t>
            </w:r>
          </w:p>
        </w:tc>
        <w:tc>
          <w:tcPr>
            <w:tcW w:w="543" w:type="pct"/>
            <w:tcBorders>
              <w:top w:val="nil"/>
              <w:left w:val="nil"/>
              <w:bottom w:val="single" w:sz="8" w:space="0" w:color="auto"/>
              <w:right w:val="nil"/>
            </w:tcBorders>
            <w:shd w:val="clear" w:color="auto" w:fill="FFFFFF" w:themeFill="background1"/>
            <w:noWrap/>
            <w:vAlign w:val="center"/>
            <w:hideMark/>
          </w:tcPr>
          <w:p w14:paraId="255515FB"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1.79</w:t>
            </w:r>
          </w:p>
        </w:tc>
        <w:tc>
          <w:tcPr>
            <w:tcW w:w="543" w:type="pct"/>
            <w:tcBorders>
              <w:top w:val="nil"/>
              <w:left w:val="nil"/>
              <w:bottom w:val="single" w:sz="8" w:space="0" w:color="auto"/>
              <w:right w:val="nil"/>
            </w:tcBorders>
            <w:shd w:val="clear" w:color="auto" w:fill="FFFFFF" w:themeFill="background1"/>
            <w:noWrap/>
            <w:vAlign w:val="center"/>
            <w:hideMark/>
          </w:tcPr>
          <w:p w14:paraId="4C39128D"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1.06</w:t>
            </w:r>
          </w:p>
        </w:tc>
        <w:tc>
          <w:tcPr>
            <w:tcW w:w="543" w:type="pct"/>
            <w:tcBorders>
              <w:top w:val="nil"/>
              <w:left w:val="nil"/>
              <w:bottom w:val="single" w:sz="8" w:space="0" w:color="auto"/>
              <w:right w:val="nil"/>
            </w:tcBorders>
            <w:shd w:val="clear" w:color="auto" w:fill="FFFFFF" w:themeFill="background1"/>
            <w:noWrap/>
            <w:vAlign w:val="center"/>
            <w:hideMark/>
          </w:tcPr>
          <w:p w14:paraId="4489994B"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1.79</w:t>
            </w:r>
          </w:p>
        </w:tc>
        <w:tc>
          <w:tcPr>
            <w:tcW w:w="543" w:type="pct"/>
            <w:tcBorders>
              <w:top w:val="nil"/>
              <w:left w:val="nil"/>
              <w:bottom w:val="single" w:sz="8" w:space="0" w:color="auto"/>
              <w:right w:val="nil"/>
            </w:tcBorders>
            <w:shd w:val="clear" w:color="auto" w:fill="FFFFFF" w:themeFill="background1"/>
            <w:noWrap/>
            <w:vAlign w:val="center"/>
            <w:hideMark/>
          </w:tcPr>
          <w:p w14:paraId="6DCAA590"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1.44</w:t>
            </w:r>
          </w:p>
        </w:tc>
        <w:tc>
          <w:tcPr>
            <w:tcW w:w="543" w:type="pct"/>
            <w:tcBorders>
              <w:top w:val="nil"/>
              <w:left w:val="nil"/>
              <w:bottom w:val="single" w:sz="8" w:space="0" w:color="auto"/>
              <w:right w:val="nil"/>
            </w:tcBorders>
            <w:shd w:val="clear" w:color="auto" w:fill="FFFFFF" w:themeFill="background1"/>
            <w:noWrap/>
            <w:vAlign w:val="center"/>
            <w:hideMark/>
          </w:tcPr>
          <w:p w14:paraId="123E84EB"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0.75</w:t>
            </w:r>
          </w:p>
        </w:tc>
        <w:tc>
          <w:tcPr>
            <w:tcW w:w="543" w:type="pct"/>
            <w:tcBorders>
              <w:top w:val="nil"/>
              <w:left w:val="nil"/>
              <w:bottom w:val="single" w:sz="8" w:space="0" w:color="auto"/>
              <w:right w:val="nil"/>
            </w:tcBorders>
            <w:shd w:val="clear" w:color="auto" w:fill="FFFFFF" w:themeFill="background1"/>
            <w:noWrap/>
            <w:vAlign w:val="center"/>
            <w:hideMark/>
          </w:tcPr>
          <w:p w14:paraId="037DEBBD"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2.31</w:t>
            </w:r>
          </w:p>
        </w:tc>
        <w:tc>
          <w:tcPr>
            <w:tcW w:w="543" w:type="pct"/>
            <w:tcBorders>
              <w:top w:val="nil"/>
              <w:left w:val="nil"/>
              <w:bottom w:val="single" w:sz="8" w:space="0" w:color="auto"/>
              <w:right w:val="nil"/>
            </w:tcBorders>
            <w:shd w:val="clear" w:color="auto" w:fill="FFFFFF" w:themeFill="background1"/>
            <w:noWrap/>
            <w:vAlign w:val="center"/>
            <w:hideMark/>
          </w:tcPr>
          <w:p w14:paraId="10C96643" w14:textId="77777777" w:rsidR="00362AA6" w:rsidRPr="008E4A08" w:rsidRDefault="00362AA6" w:rsidP="005F316E">
            <w:pPr>
              <w:jc w:val="center"/>
              <w:rPr>
                <w:color w:val="000000"/>
                <w:sz w:val="18"/>
                <w:szCs w:val="18"/>
                <w:lang w:val="es-AR" w:eastAsia="es-AR"/>
              </w:rPr>
            </w:pPr>
            <w:r w:rsidRPr="008E4A08">
              <w:rPr>
                <w:color w:val="000000"/>
                <w:sz w:val="18"/>
                <w:szCs w:val="18"/>
                <w:lang w:val="es-AR" w:eastAsia="es-AR"/>
              </w:rPr>
              <w:t>0.98</w:t>
            </w:r>
          </w:p>
        </w:tc>
      </w:tr>
    </w:tbl>
    <w:p w14:paraId="36452E4C" w14:textId="64F822EC" w:rsidR="008E4A08" w:rsidRDefault="00356C86" w:rsidP="00E138A7">
      <w:pPr>
        <w:pStyle w:val="Els-body-text"/>
        <w:spacing w:before="160"/>
      </w:pPr>
      <w:r w:rsidRPr="00356C86">
        <w:t>Table 2</w:t>
      </w:r>
      <w:r w:rsidR="007F0750">
        <w:t xml:space="preserve"> shows that </w:t>
      </w:r>
      <w:r w:rsidRPr="00356C86">
        <w:t xml:space="preserve">the variation in model sizes between scenarios </w:t>
      </w:r>
      <w:r>
        <w:t xml:space="preserve">is </w:t>
      </w:r>
      <w:r w:rsidR="007F0750" w:rsidRPr="00356C86">
        <w:t>predominantly</w:t>
      </w:r>
      <w:r w:rsidR="007F0750">
        <w:t xml:space="preserve"> </w:t>
      </w:r>
      <w:r>
        <w:t>due to</w:t>
      </w:r>
      <w:r w:rsidRPr="00356C86">
        <w:t xml:space="preserve"> the number of enabled routes to solve the problem. In terms of solution quality, it can be observed that within 900 seconds, results close to the optimum were </w:t>
      </w:r>
      <w:r w:rsidR="00C66AFC">
        <w:t>obtained</w:t>
      </w:r>
      <w:r w:rsidRPr="00356C86">
        <w:t xml:space="preserve">, </w:t>
      </w:r>
      <w:r w:rsidR="00F21C5D">
        <w:t xml:space="preserve">where the optimality GAPs </w:t>
      </w:r>
      <w:r w:rsidRPr="00356C86">
        <w:t>rang</w:t>
      </w:r>
      <w:r w:rsidR="00F21C5D">
        <w:t>e</w:t>
      </w:r>
      <w:r w:rsidRPr="00356C86">
        <w:t xml:space="preserve"> from 0.75% to 2.31%. Regarding costs, the </w:t>
      </w:r>
      <w:r w:rsidR="00F21C5D">
        <w:t xml:space="preserve">best solution was obtained for </w:t>
      </w:r>
      <w:r w:rsidRPr="00356C86">
        <w:t xml:space="preserve">scenario S9, which considered a medium-sized truck and two </w:t>
      </w:r>
      <w:r>
        <w:t>big-sized</w:t>
      </w:r>
      <w:r w:rsidRPr="00356C86">
        <w:t xml:space="preserve"> trucks</w:t>
      </w:r>
      <w:r w:rsidR="00BB6954">
        <w:t>. In this scenario</w:t>
      </w:r>
      <w:r w:rsidRPr="00356C86">
        <w:t>,</w:t>
      </w:r>
      <w:r w:rsidR="00C66AFC">
        <w:t xml:space="preserve"> </w:t>
      </w:r>
      <w:r w:rsidRPr="00356C86">
        <w:t>each route</w:t>
      </w:r>
      <w:r w:rsidR="00C66AFC">
        <w:t xml:space="preserve"> is allowed</w:t>
      </w:r>
      <w:r w:rsidRPr="00356C86">
        <w:t xml:space="preserve"> to have up to two truck sizes assigned</w:t>
      </w:r>
      <w:r w:rsidR="00BB6954">
        <w:t>,</w:t>
      </w:r>
      <w:r w:rsidRPr="00356C86">
        <w:t xml:space="preserve"> when </w:t>
      </w:r>
      <w:r w:rsidR="00BB6954">
        <w:t xml:space="preserve">it is </w:t>
      </w:r>
      <w:r w:rsidRPr="00356C86">
        <w:t xml:space="preserve">possible. </w:t>
      </w:r>
      <w:r w:rsidR="00BB6954">
        <w:t xml:space="preserve">The results obtained for </w:t>
      </w:r>
      <w:r w:rsidRPr="00356C86">
        <w:t>S9</w:t>
      </w:r>
      <w:r w:rsidR="00BB6954">
        <w:t xml:space="preserve">, compared with the ones achieved for </w:t>
      </w:r>
      <w:r w:rsidRPr="00356C86">
        <w:t>S</w:t>
      </w:r>
      <w:r w:rsidR="00752FB7">
        <w:t>2</w:t>
      </w:r>
      <w:r w:rsidRPr="00356C86">
        <w:t xml:space="preserve"> and S</w:t>
      </w:r>
      <w:r w:rsidR="00752FB7">
        <w:t>3</w:t>
      </w:r>
      <w:r w:rsidR="00BB6954">
        <w:t>,</w:t>
      </w:r>
      <w:r w:rsidR="00C66AFC">
        <w:t xml:space="preserve"> </w:t>
      </w:r>
      <w:r w:rsidR="00BB6954">
        <w:t xml:space="preserve">show </w:t>
      </w:r>
      <w:r w:rsidRPr="00356C86">
        <w:t>the advantages of considering heterogeneous fleets. S</w:t>
      </w:r>
      <w:r w:rsidR="00752FB7">
        <w:t>2</w:t>
      </w:r>
      <w:r w:rsidRPr="00356C86">
        <w:t xml:space="preserve"> and S</w:t>
      </w:r>
      <w:r w:rsidR="00752FB7">
        <w:t>3</w:t>
      </w:r>
      <w:r w:rsidRPr="00356C86">
        <w:t xml:space="preserve"> assume all medium and </w:t>
      </w:r>
      <w:r>
        <w:t>big</w:t>
      </w:r>
      <w:r w:rsidRPr="00356C86">
        <w:t xml:space="preserve"> trucks, respectively. While S</w:t>
      </w:r>
      <w:r w:rsidR="00752FB7">
        <w:t>3</w:t>
      </w:r>
      <w:r w:rsidRPr="00356C86">
        <w:t xml:space="preserve"> outperforms S</w:t>
      </w:r>
      <w:r w:rsidR="00752FB7">
        <w:t>2</w:t>
      </w:r>
      <w:r w:rsidRPr="00356C86">
        <w:t xml:space="preserve"> by considering larger trucks for </w:t>
      </w:r>
      <w:r w:rsidR="008E4A08">
        <w:t xml:space="preserve">the </w:t>
      </w:r>
      <w:r w:rsidRPr="00356C86">
        <w:t xml:space="preserve">trips, both </w:t>
      </w:r>
      <w:r w:rsidR="00BB6954">
        <w:t xml:space="preserve">scenarios </w:t>
      </w:r>
      <w:r w:rsidRPr="00356C86">
        <w:t>are surpassed by S9</w:t>
      </w:r>
      <w:r w:rsidR="00BB6954">
        <w:t xml:space="preserve"> given that </w:t>
      </w:r>
      <w:r w:rsidRPr="00356C86">
        <w:t>the flexibility to choose the appropriate truck size for each trip.</w:t>
      </w:r>
      <w:r w:rsidR="007F0750">
        <w:t xml:space="preserve"> </w:t>
      </w:r>
    </w:p>
    <w:p w14:paraId="7DAF9A5F" w14:textId="562E5699" w:rsidR="008E4A08" w:rsidRDefault="00D614E8" w:rsidP="008E4A08">
      <w:pPr>
        <w:pStyle w:val="Els-body-text"/>
        <w:spacing w:after="120"/>
      </w:pPr>
      <w:r>
        <w:t>F</w:t>
      </w:r>
      <w:r w:rsidRPr="00C35786">
        <w:t>or each scenario</w:t>
      </w:r>
      <w:r>
        <w:t>,</w:t>
      </w:r>
      <w:r w:rsidRPr="00C35786">
        <w:t xml:space="preserve"> </w:t>
      </w:r>
      <w:r w:rsidR="008E4A08" w:rsidRPr="00C35786">
        <w:t xml:space="preserve">Table 3 displays the </w:t>
      </w:r>
      <w:r w:rsidR="008E4A08">
        <w:t>number</w:t>
      </w:r>
      <w:r w:rsidR="008E4A08" w:rsidRPr="00C35786">
        <w:t xml:space="preserve"> of trips, customer visits, and average truck utilization for each considered size. When contrasting S</w:t>
      </w:r>
      <w:r w:rsidR="008E4A08">
        <w:t>2</w:t>
      </w:r>
      <w:r w:rsidR="008E4A08" w:rsidRPr="00C35786">
        <w:t xml:space="preserve"> with S9, it</w:t>
      </w:r>
      <w:r w:rsidR="00C66AFC">
        <w:t xml:space="preserve"> is</w:t>
      </w:r>
      <w:r w:rsidR="008E4A08" w:rsidRPr="00C35786">
        <w:t xml:space="preserve"> noticeable that in S</w:t>
      </w:r>
      <w:r w:rsidR="008E4A08">
        <w:t>2</w:t>
      </w:r>
      <w:r w:rsidR="008E4A08" w:rsidRPr="00C35786">
        <w:t>, there were 62 trips with 82 customer visits. In S9, with the inclusion of larger truck sizes, the number of trips decreased to 48, and</w:t>
      </w:r>
      <w:r w:rsidR="00C66AFC">
        <w:t xml:space="preserve"> the</w:t>
      </w:r>
      <w:r w:rsidR="008E4A08" w:rsidRPr="00C35786">
        <w:t xml:space="preserve"> visits reduced to 67. This reduction is attributed to the capability of transporting a larger quantity of product in each trip, if needed.</w:t>
      </w:r>
      <w:r w:rsidR="008E4A08">
        <w:t xml:space="preserve"> </w:t>
      </w:r>
    </w:p>
    <w:p w14:paraId="0C79F935" w14:textId="05467094" w:rsidR="001F652B" w:rsidRPr="000E54D1" w:rsidRDefault="001F652B" w:rsidP="001F652B">
      <w:pPr>
        <w:pStyle w:val="Els-body-text"/>
        <w:jc w:val="center"/>
        <w:rPr>
          <w:sz w:val="18"/>
          <w:szCs w:val="18"/>
        </w:rPr>
      </w:pPr>
      <w:r w:rsidRPr="000E54D1">
        <w:rPr>
          <w:b/>
          <w:bCs/>
          <w:sz w:val="18"/>
          <w:szCs w:val="18"/>
        </w:rPr>
        <w:t>Table 3</w:t>
      </w:r>
      <w:r w:rsidRPr="000E54D1">
        <w:rPr>
          <w:sz w:val="18"/>
          <w:szCs w:val="18"/>
        </w:rPr>
        <w:t xml:space="preserve">. </w:t>
      </w:r>
      <w:r w:rsidR="000E54D1">
        <w:rPr>
          <w:sz w:val="18"/>
          <w:szCs w:val="18"/>
        </w:rPr>
        <w:t>S</w:t>
      </w:r>
      <w:r w:rsidR="000E54D1" w:rsidRPr="000E54D1">
        <w:rPr>
          <w:sz w:val="18"/>
          <w:szCs w:val="18"/>
        </w:rPr>
        <w:t>olutions obtained for transportation decisions</w:t>
      </w:r>
    </w:p>
    <w:tbl>
      <w:tblPr>
        <w:tblW w:w="5000" w:type="pct"/>
        <w:tblCellMar>
          <w:left w:w="70" w:type="dxa"/>
          <w:right w:w="70" w:type="dxa"/>
        </w:tblCellMar>
        <w:tblLook w:val="04A0" w:firstRow="1" w:lastRow="0" w:firstColumn="1" w:lastColumn="0" w:noHBand="0" w:noVBand="1"/>
      </w:tblPr>
      <w:tblGrid>
        <w:gridCol w:w="1477"/>
        <w:gridCol w:w="790"/>
        <w:gridCol w:w="689"/>
        <w:gridCol w:w="689"/>
        <w:gridCol w:w="689"/>
        <w:gridCol w:w="689"/>
        <w:gridCol w:w="689"/>
        <w:gridCol w:w="689"/>
        <w:gridCol w:w="685"/>
      </w:tblGrid>
      <w:tr w:rsidR="001F652B" w:rsidRPr="00A80EAA" w14:paraId="0D8D9E64" w14:textId="77777777" w:rsidTr="007C02CE">
        <w:trPr>
          <w:trHeight w:val="37"/>
        </w:trPr>
        <w:tc>
          <w:tcPr>
            <w:tcW w:w="1412" w:type="pct"/>
            <w:gridSpan w:val="2"/>
            <w:tcBorders>
              <w:top w:val="single" w:sz="8" w:space="0" w:color="auto"/>
              <w:left w:val="nil"/>
              <w:bottom w:val="single" w:sz="8" w:space="0" w:color="auto"/>
              <w:right w:val="nil"/>
            </w:tcBorders>
            <w:shd w:val="clear" w:color="auto" w:fill="FFFFFF" w:themeFill="background1"/>
            <w:noWrap/>
            <w:vAlign w:val="center"/>
            <w:hideMark/>
          </w:tcPr>
          <w:p w14:paraId="3E5A0D5E" w14:textId="77777777" w:rsidR="001F652B" w:rsidRPr="000E54D1" w:rsidRDefault="001F652B" w:rsidP="008C3DC2">
            <w:pPr>
              <w:jc w:val="center"/>
              <w:rPr>
                <w:b/>
                <w:bCs/>
                <w:sz w:val="18"/>
                <w:szCs w:val="18"/>
                <w:lang w:val="en-US" w:eastAsia="es-AR"/>
              </w:rPr>
            </w:pPr>
          </w:p>
        </w:tc>
        <w:tc>
          <w:tcPr>
            <w:tcW w:w="513" w:type="pct"/>
            <w:tcBorders>
              <w:top w:val="single" w:sz="8" w:space="0" w:color="auto"/>
              <w:left w:val="nil"/>
              <w:bottom w:val="single" w:sz="8" w:space="0" w:color="auto"/>
              <w:right w:val="nil"/>
            </w:tcBorders>
            <w:shd w:val="clear" w:color="auto" w:fill="FFFFFF" w:themeFill="background1"/>
            <w:noWrap/>
            <w:vAlign w:val="center"/>
            <w:hideMark/>
          </w:tcPr>
          <w:p w14:paraId="1FBFA1F2" w14:textId="77777777" w:rsidR="001F652B" w:rsidRPr="00E90973" w:rsidRDefault="001F652B" w:rsidP="008C3DC2">
            <w:pPr>
              <w:jc w:val="center"/>
              <w:rPr>
                <w:b/>
                <w:bCs/>
                <w:sz w:val="18"/>
                <w:szCs w:val="18"/>
                <w:lang w:val="es-AR" w:eastAsia="es-AR"/>
              </w:rPr>
            </w:pPr>
            <w:r w:rsidRPr="00E90973">
              <w:rPr>
                <w:b/>
                <w:bCs/>
                <w:sz w:val="18"/>
                <w:szCs w:val="18"/>
                <w:lang w:val="es-AR" w:eastAsia="es-AR"/>
              </w:rPr>
              <w:t>S2</w:t>
            </w:r>
          </w:p>
        </w:tc>
        <w:tc>
          <w:tcPr>
            <w:tcW w:w="513" w:type="pct"/>
            <w:tcBorders>
              <w:top w:val="single" w:sz="8" w:space="0" w:color="auto"/>
              <w:left w:val="nil"/>
              <w:bottom w:val="single" w:sz="8" w:space="0" w:color="auto"/>
              <w:right w:val="nil"/>
            </w:tcBorders>
            <w:shd w:val="clear" w:color="auto" w:fill="FFFFFF" w:themeFill="background1"/>
            <w:noWrap/>
            <w:vAlign w:val="center"/>
            <w:hideMark/>
          </w:tcPr>
          <w:p w14:paraId="15B48FBE" w14:textId="77777777" w:rsidR="001F652B" w:rsidRPr="00E90973" w:rsidRDefault="001F652B" w:rsidP="008C3DC2">
            <w:pPr>
              <w:jc w:val="center"/>
              <w:rPr>
                <w:b/>
                <w:bCs/>
                <w:sz w:val="18"/>
                <w:szCs w:val="18"/>
                <w:lang w:val="es-AR" w:eastAsia="es-AR"/>
              </w:rPr>
            </w:pPr>
            <w:r w:rsidRPr="00E90973">
              <w:rPr>
                <w:b/>
                <w:bCs/>
                <w:sz w:val="18"/>
                <w:szCs w:val="18"/>
                <w:lang w:val="es-AR" w:eastAsia="es-AR"/>
              </w:rPr>
              <w:t>S3</w:t>
            </w:r>
          </w:p>
        </w:tc>
        <w:tc>
          <w:tcPr>
            <w:tcW w:w="513" w:type="pct"/>
            <w:tcBorders>
              <w:top w:val="single" w:sz="8" w:space="0" w:color="auto"/>
              <w:left w:val="nil"/>
              <w:bottom w:val="single" w:sz="8" w:space="0" w:color="auto"/>
              <w:right w:val="nil"/>
            </w:tcBorders>
            <w:shd w:val="clear" w:color="auto" w:fill="FFFFFF" w:themeFill="background1"/>
            <w:noWrap/>
            <w:vAlign w:val="center"/>
            <w:hideMark/>
          </w:tcPr>
          <w:p w14:paraId="4AFB22CC" w14:textId="77777777" w:rsidR="001F652B" w:rsidRPr="00C52162" w:rsidRDefault="001F652B" w:rsidP="008C3DC2">
            <w:pPr>
              <w:jc w:val="center"/>
              <w:rPr>
                <w:b/>
                <w:bCs/>
                <w:sz w:val="18"/>
                <w:szCs w:val="18"/>
                <w:lang w:val="es-AR" w:eastAsia="es-AR"/>
              </w:rPr>
            </w:pPr>
            <w:r w:rsidRPr="00C52162">
              <w:rPr>
                <w:b/>
                <w:bCs/>
                <w:sz w:val="18"/>
                <w:szCs w:val="18"/>
                <w:lang w:val="es-AR" w:eastAsia="es-AR"/>
              </w:rPr>
              <w:t>S4</w:t>
            </w:r>
          </w:p>
        </w:tc>
        <w:tc>
          <w:tcPr>
            <w:tcW w:w="513" w:type="pct"/>
            <w:tcBorders>
              <w:top w:val="single" w:sz="8" w:space="0" w:color="auto"/>
              <w:left w:val="nil"/>
              <w:bottom w:val="single" w:sz="8" w:space="0" w:color="auto"/>
              <w:right w:val="nil"/>
            </w:tcBorders>
            <w:shd w:val="clear" w:color="auto" w:fill="FFFFFF" w:themeFill="background1"/>
            <w:noWrap/>
            <w:vAlign w:val="center"/>
            <w:hideMark/>
          </w:tcPr>
          <w:p w14:paraId="1F72BD7C" w14:textId="77777777" w:rsidR="001F652B" w:rsidRPr="00C52162" w:rsidRDefault="001F652B" w:rsidP="008C3DC2">
            <w:pPr>
              <w:jc w:val="center"/>
              <w:rPr>
                <w:b/>
                <w:bCs/>
                <w:sz w:val="18"/>
                <w:szCs w:val="18"/>
                <w:lang w:val="es-AR" w:eastAsia="es-AR"/>
              </w:rPr>
            </w:pPr>
            <w:r w:rsidRPr="00C52162">
              <w:rPr>
                <w:b/>
                <w:bCs/>
                <w:sz w:val="18"/>
                <w:szCs w:val="18"/>
                <w:lang w:val="es-AR" w:eastAsia="es-AR"/>
              </w:rPr>
              <w:t>S5</w:t>
            </w:r>
          </w:p>
        </w:tc>
        <w:tc>
          <w:tcPr>
            <w:tcW w:w="513" w:type="pct"/>
            <w:tcBorders>
              <w:top w:val="single" w:sz="8" w:space="0" w:color="auto"/>
              <w:left w:val="nil"/>
              <w:bottom w:val="single" w:sz="8" w:space="0" w:color="auto"/>
              <w:right w:val="nil"/>
            </w:tcBorders>
            <w:shd w:val="clear" w:color="auto" w:fill="FFFFFF" w:themeFill="background1"/>
            <w:noWrap/>
            <w:vAlign w:val="center"/>
            <w:hideMark/>
          </w:tcPr>
          <w:p w14:paraId="0FDBFB91" w14:textId="77777777" w:rsidR="001F652B" w:rsidRPr="00C52162" w:rsidRDefault="001F652B" w:rsidP="008C3DC2">
            <w:pPr>
              <w:jc w:val="center"/>
              <w:rPr>
                <w:b/>
                <w:bCs/>
                <w:sz w:val="18"/>
                <w:szCs w:val="18"/>
                <w:lang w:val="es-AR" w:eastAsia="es-AR"/>
              </w:rPr>
            </w:pPr>
            <w:r w:rsidRPr="00C52162">
              <w:rPr>
                <w:b/>
                <w:bCs/>
                <w:sz w:val="18"/>
                <w:szCs w:val="18"/>
                <w:lang w:val="es-AR" w:eastAsia="es-AR"/>
              </w:rPr>
              <w:t>S6</w:t>
            </w:r>
          </w:p>
        </w:tc>
        <w:tc>
          <w:tcPr>
            <w:tcW w:w="513" w:type="pct"/>
            <w:tcBorders>
              <w:top w:val="single" w:sz="8" w:space="0" w:color="auto"/>
              <w:left w:val="nil"/>
              <w:bottom w:val="single" w:sz="8" w:space="0" w:color="auto"/>
              <w:right w:val="nil"/>
            </w:tcBorders>
            <w:shd w:val="clear" w:color="auto" w:fill="FFFFFF" w:themeFill="background1"/>
            <w:noWrap/>
            <w:vAlign w:val="center"/>
            <w:hideMark/>
          </w:tcPr>
          <w:p w14:paraId="054EA207" w14:textId="77777777" w:rsidR="001F652B" w:rsidRPr="001F652B" w:rsidRDefault="001F652B" w:rsidP="008C3DC2">
            <w:pPr>
              <w:jc w:val="center"/>
              <w:rPr>
                <w:b/>
                <w:bCs/>
                <w:sz w:val="18"/>
                <w:szCs w:val="18"/>
                <w:lang w:val="es-AR" w:eastAsia="es-AR"/>
              </w:rPr>
            </w:pPr>
            <w:r w:rsidRPr="001F652B">
              <w:rPr>
                <w:b/>
                <w:bCs/>
                <w:sz w:val="18"/>
                <w:szCs w:val="18"/>
                <w:lang w:val="es-AR" w:eastAsia="es-AR"/>
              </w:rPr>
              <w:t>S8</w:t>
            </w:r>
          </w:p>
        </w:tc>
        <w:tc>
          <w:tcPr>
            <w:tcW w:w="513" w:type="pct"/>
            <w:tcBorders>
              <w:top w:val="single" w:sz="8" w:space="0" w:color="auto"/>
              <w:left w:val="nil"/>
              <w:bottom w:val="single" w:sz="8" w:space="0" w:color="auto"/>
              <w:right w:val="nil"/>
            </w:tcBorders>
            <w:shd w:val="clear" w:color="auto" w:fill="FFFFFF" w:themeFill="background1"/>
            <w:noWrap/>
            <w:vAlign w:val="center"/>
            <w:hideMark/>
          </w:tcPr>
          <w:p w14:paraId="34AA8A6F" w14:textId="77777777" w:rsidR="001F652B" w:rsidRPr="007C02CE" w:rsidRDefault="001F652B" w:rsidP="008C3DC2">
            <w:pPr>
              <w:jc w:val="center"/>
              <w:rPr>
                <w:b/>
                <w:bCs/>
                <w:sz w:val="18"/>
                <w:szCs w:val="18"/>
                <w:lang w:val="es-AR" w:eastAsia="es-AR"/>
              </w:rPr>
            </w:pPr>
            <w:r w:rsidRPr="007C02CE">
              <w:rPr>
                <w:b/>
                <w:bCs/>
                <w:sz w:val="18"/>
                <w:szCs w:val="18"/>
                <w:lang w:val="es-AR" w:eastAsia="es-AR"/>
              </w:rPr>
              <w:t>S9</w:t>
            </w:r>
          </w:p>
        </w:tc>
      </w:tr>
      <w:tr w:rsidR="001F652B" w:rsidRPr="00BD4C99" w14:paraId="130EE49D" w14:textId="77777777" w:rsidTr="007C02CE">
        <w:trPr>
          <w:trHeight w:val="179"/>
        </w:trPr>
        <w:tc>
          <w:tcPr>
            <w:tcW w:w="1412" w:type="pct"/>
            <w:gridSpan w:val="2"/>
            <w:tcBorders>
              <w:top w:val="single" w:sz="8" w:space="0" w:color="auto"/>
              <w:left w:val="nil"/>
              <w:bottom w:val="nil"/>
              <w:right w:val="nil"/>
            </w:tcBorders>
            <w:shd w:val="clear" w:color="000000" w:fill="E7E6E6"/>
            <w:noWrap/>
            <w:vAlign w:val="center"/>
            <w:hideMark/>
          </w:tcPr>
          <w:p w14:paraId="0D02228C" w14:textId="77777777" w:rsidR="001F652B" w:rsidRPr="00E90973" w:rsidRDefault="001F652B" w:rsidP="008C3DC2">
            <w:pPr>
              <w:jc w:val="center"/>
              <w:rPr>
                <w:b/>
                <w:bCs/>
                <w:color w:val="000000"/>
                <w:sz w:val="18"/>
                <w:szCs w:val="18"/>
                <w:lang w:val="es-AR" w:eastAsia="es-AR"/>
              </w:rPr>
            </w:pPr>
            <w:proofErr w:type="spellStart"/>
            <w:r w:rsidRPr="00E90973">
              <w:rPr>
                <w:b/>
                <w:bCs/>
                <w:color w:val="000000"/>
                <w:sz w:val="18"/>
                <w:szCs w:val="18"/>
                <w:lang w:val="es-AR" w:eastAsia="es-AR"/>
              </w:rPr>
              <w:t>Trips</w:t>
            </w:r>
            <w:proofErr w:type="spellEnd"/>
          </w:p>
        </w:tc>
        <w:tc>
          <w:tcPr>
            <w:tcW w:w="513" w:type="pct"/>
            <w:tcBorders>
              <w:top w:val="single" w:sz="8" w:space="0" w:color="auto"/>
              <w:left w:val="nil"/>
              <w:bottom w:val="nil"/>
              <w:right w:val="nil"/>
            </w:tcBorders>
            <w:shd w:val="clear" w:color="000000" w:fill="E7E6E6"/>
            <w:noWrap/>
            <w:vAlign w:val="center"/>
            <w:hideMark/>
          </w:tcPr>
          <w:p w14:paraId="25F3FB86"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62</w:t>
            </w:r>
          </w:p>
        </w:tc>
        <w:tc>
          <w:tcPr>
            <w:tcW w:w="513" w:type="pct"/>
            <w:tcBorders>
              <w:top w:val="single" w:sz="8" w:space="0" w:color="auto"/>
              <w:left w:val="nil"/>
              <w:bottom w:val="nil"/>
              <w:right w:val="nil"/>
            </w:tcBorders>
            <w:shd w:val="clear" w:color="000000" w:fill="E7E6E6"/>
            <w:noWrap/>
            <w:vAlign w:val="center"/>
            <w:hideMark/>
          </w:tcPr>
          <w:p w14:paraId="1C051308"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45</w:t>
            </w:r>
          </w:p>
        </w:tc>
        <w:tc>
          <w:tcPr>
            <w:tcW w:w="513" w:type="pct"/>
            <w:tcBorders>
              <w:top w:val="single" w:sz="8" w:space="0" w:color="auto"/>
              <w:left w:val="nil"/>
              <w:bottom w:val="nil"/>
              <w:right w:val="nil"/>
            </w:tcBorders>
            <w:shd w:val="clear" w:color="000000" w:fill="E7E6E6"/>
            <w:noWrap/>
            <w:vAlign w:val="center"/>
            <w:hideMark/>
          </w:tcPr>
          <w:p w14:paraId="09B7DB19"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58</w:t>
            </w:r>
          </w:p>
        </w:tc>
        <w:tc>
          <w:tcPr>
            <w:tcW w:w="513" w:type="pct"/>
            <w:tcBorders>
              <w:top w:val="single" w:sz="8" w:space="0" w:color="auto"/>
              <w:left w:val="nil"/>
              <w:bottom w:val="nil"/>
              <w:right w:val="nil"/>
            </w:tcBorders>
            <w:shd w:val="clear" w:color="000000" w:fill="E7E6E6"/>
            <w:noWrap/>
            <w:vAlign w:val="center"/>
            <w:hideMark/>
          </w:tcPr>
          <w:p w14:paraId="6D5D029B"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52</w:t>
            </w:r>
          </w:p>
        </w:tc>
        <w:tc>
          <w:tcPr>
            <w:tcW w:w="513" w:type="pct"/>
            <w:tcBorders>
              <w:top w:val="single" w:sz="8" w:space="0" w:color="auto"/>
              <w:left w:val="nil"/>
              <w:bottom w:val="nil"/>
              <w:right w:val="nil"/>
            </w:tcBorders>
            <w:shd w:val="clear" w:color="000000" w:fill="E7E6E6"/>
            <w:noWrap/>
            <w:vAlign w:val="center"/>
            <w:hideMark/>
          </w:tcPr>
          <w:p w14:paraId="2439DAD0"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48</w:t>
            </w:r>
          </w:p>
        </w:tc>
        <w:tc>
          <w:tcPr>
            <w:tcW w:w="513" w:type="pct"/>
            <w:tcBorders>
              <w:top w:val="single" w:sz="8" w:space="0" w:color="auto"/>
              <w:left w:val="nil"/>
              <w:bottom w:val="nil"/>
              <w:right w:val="nil"/>
            </w:tcBorders>
            <w:shd w:val="clear" w:color="000000" w:fill="E7E6E6"/>
            <w:noWrap/>
            <w:vAlign w:val="center"/>
            <w:hideMark/>
          </w:tcPr>
          <w:p w14:paraId="5A8C239F" w14:textId="77777777" w:rsidR="001F652B" w:rsidRPr="001F652B" w:rsidRDefault="001F652B" w:rsidP="008C3DC2">
            <w:pPr>
              <w:jc w:val="center"/>
              <w:rPr>
                <w:color w:val="000000"/>
                <w:sz w:val="18"/>
                <w:szCs w:val="18"/>
                <w:lang w:val="es-AR" w:eastAsia="es-AR"/>
              </w:rPr>
            </w:pPr>
            <w:r w:rsidRPr="001F652B">
              <w:rPr>
                <w:color w:val="000000"/>
                <w:sz w:val="18"/>
                <w:szCs w:val="18"/>
                <w:lang w:val="es-AR" w:eastAsia="es-AR"/>
              </w:rPr>
              <w:t>59</w:t>
            </w:r>
          </w:p>
        </w:tc>
        <w:tc>
          <w:tcPr>
            <w:tcW w:w="513" w:type="pct"/>
            <w:tcBorders>
              <w:top w:val="single" w:sz="8" w:space="0" w:color="auto"/>
              <w:left w:val="nil"/>
              <w:bottom w:val="nil"/>
              <w:right w:val="nil"/>
            </w:tcBorders>
            <w:shd w:val="clear" w:color="000000" w:fill="E7E6E6"/>
            <w:noWrap/>
            <w:vAlign w:val="center"/>
            <w:hideMark/>
          </w:tcPr>
          <w:p w14:paraId="4D3F5E3B"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48</w:t>
            </w:r>
          </w:p>
        </w:tc>
      </w:tr>
      <w:tr w:rsidR="001F652B" w:rsidRPr="00BD4C99" w14:paraId="05852E7C" w14:textId="77777777" w:rsidTr="007C02CE">
        <w:trPr>
          <w:trHeight w:val="104"/>
        </w:trPr>
        <w:tc>
          <w:tcPr>
            <w:tcW w:w="1412" w:type="pct"/>
            <w:gridSpan w:val="2"/>
            <w:tcBorders>
              <w:top w:val="nil"/>
              <w:left w:val="nil"/>
              <w:bottom w:val="nil"/>
              <w:right w:val="nil"/>
            </w:tcBorders>
            <w:shd w:val="clear" w:color="auto" w:fill="FFFFFF" w:themeFill="background1"/>
            <w:noWrap/>
            <w:vAlign w:val="center"/>
            <w:hideMark/>
          </w:tcPr>
          <w:p w14:paraId="3D651315" w14:textId="77777777" w:rsidR="001F652B" w:rsidRPr="00E90973" w:rsidRDefault="001F652B" w:rsidP="008C3DC2">
            <w:pPr>
              <w:jc w:val="center"/>
              <w:rPr>
                <w:b/>
                <w:bCs/>
                <w:color w:val="000000"/>
                <w:sz w:val="18"/>
                <w:szCs w:val="18"/>
                <w:lang w:val="es-AR" w:eastAsia="es-AR"/>
              </w:rPr>
            </w:pPr>
            <w:proofErr w:type="spellStart"/>
            <w:r w:rsidRPr="00E90973">
              <w:rPr>
                <w:b/>
                <w:bCs/>
                <w:color w:val="000000"/>
                <w:sz w:val="18"/>
                <w:szCs w:val="18"/>
                <w:lang w:val="es-AR" w:eastAsia="es-AR"/>
              </w:rPr>
              <w:t>Visits</w:t>
            </w:r>
            <w:proofErr w:type="spellEnd"/>
          </w:p>
        </w:tc>
        <w:tc>
          <w:tcPr>
            <w:tcW w:w="513" w:type="pct"/>
            <w:tcBorders>
              <w:top w:val="nil"/>
              <w:left w:val="nil"/>
              <w:bottom w:val="nil"/>
              <w:right w:val="nil"/>
            </w:tcBorders>
            <w:shd w:val="clear" w:color="auto" w:fill="FFFFFF" w:themeFill="background1"/>
            <w:noWrap/>
            <w:vAlign w:val="center"/>
            <w:hideMark/>
          </w:tcPr>
          <w:p w14:paraId="6999E15F"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82</w:t>
            </w:r>
          </w:p>
        </w:tc>
        <w:tc>
          <w:tcPr>
            <w:tcW w:w="513" w:type="pct"/>
            <w:tcBorders>
              <w:top w:val="nil"/>
              <w:left w:val="nil"/>
              <w:bottom w:val="nil"/>
              <w:right w:val="nil"/>
            </w:tcBorders>
            <w:shd w:val="clear" w:color="auto" w:fill="FFFFFF" w:themeFill="background1"/>
            <w:noWrap/>
            <w:vAlign w:val="center"/>
            <w:hideMark/>
          </w:tcPr>
          <w:p w14:paraId="4F67E40F"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70</w:t>
            </w:r>
          </w:p>
        </w:tc>
        <w:tc>
          <w:tcPr>
            <w:tcW w:w="513" w:type="pct"/>
            <w:tcBorders>
              <w:top w:val="nil"/>
              <w:left w:val="nil"/>
              <w:bottom w:val="nil"/>
              <w:right w:val="nil"/>
            </w:tcBorders>
            <w:shd w:val="clear" w:color="auto" w:fill="FFFFFF" w:themeFill="background1"/>
            <w:noWrap/>
            <w:vAlign w:val="center"/>
            <w:hideMark/>
          </w:tcPr>
          <w:p w14:paraId="5FA4F887"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75</w:t>
            </w:r>
          </w:p>
        </w:tc>
        <w:tc>
          <w:tcPr>
            <w:tcW w:w="513" w:type="pct"/>
            <w:tcBorders>
              <w:top w:val="nil"/>
              <w:left w:val="nil"/>
              <w:bottom w:val="nil"/>
              <w:right w:val="nil"/>
            </w:tcBorders>
            <w:shd w:val="clear" w:color="auto" w:fill="FFFFFF" w:themeFill="background1"/>
            <w:noWrap/>
            <w:vAlign w:val="center"/>
            <w:hideMark/>
          </w:tcPr>
          <w:p w14:paraId="56DF2E28"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73</w:t>
            </w:r>
          </w:p>
        </w:tc>
        <w:tc>
          <w:tcPr>
            <w:tcW w:w="513" w:type="pct"/>
            <w:tcBorders>
              <w:top w:val="nil"/>
              <w:left w:val="nil"/>
              <w:bottom w:val="nil"/>
              <w:right w:val="nil"/>
            </w:tcBorders>
            <w:shd w:val="clear" w:color="auto" w:fill="FFFFFF" w:themeFill="background1"/>
            <w:noWrap/>
            <w:vAlign w:val="center"/>
            <w:hideMark/>
          </w:tcPr>
          <w:p w14:paraId="4AFA8993"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66</w:t>
            </w:r>
          </w:p>
        </w:tc>
        <w:tc>
          <w:tcPr>
            <w:tcW w:w="513" w:type="pct"/>
            <w:tcBorders>
              <w:top w:val="nil"/>
              <w:left w:val="nil"/>
              <w:bottom w:val="nil"/>
              <w:right w:val="nil"/>
            </w:tcBorders>
            <w:shd w:val="clear" w:color="auto" w:fill="FFFFFF" w:themeFill="background1"/>
            <w:noWrap/>
            <w:vAlign w:val="center"/>
            <w:hideMark/>
          </w:tcPr>
          <w:p w14:paraId="087CAC77" w14:textId="77777777" w:rsidR="001F652B" w:rsidRPr="001F652B" w:rsidRDefault="001F652B" w:rsidP="008C3DC2">
            <w:pPr>
              <w:jc w:val="center"/>
              <w:rPr>
                <w:color w:val="000000"/>
                <w:sz w:val="18"/>
                <w:szCs w:val="18"/>
                <w:lang w:val="es-AR" w:eastAsia="es-AR"/>
              </w:rPr>
            </w:pPr>
            <w:r w:rsidRPr="001F652B">
              <w:rPr>
                <w:color w:val="000000"/>
                <w:sz w:val="18"/>
                <w:szCs w:val="18"/>
                <w:lang w:val="es-AR" w:eastAsia="es-AR"/>
              </w:rPr>
              <w:t>74</w:t>
            </w:r>
          </w:p>
        </w:tc>
        <w:tc>
          <w:tcPr>
            <w:tcW w:w="513" w:type="pct"/>
            <w:tcBorders>
              <w:top w:val="nil"/>
              <w:left w:val="nil"/>
              <w:bottom w:val="nil"/>
              <w:right w:val="nil"/>
            </w:tcBorders>
            <w:shd w:val="clear" w:color="auto" w:fill="FFFFFF" w:themeFill="background1"/>
            <w:noWrap/>
            <w:vAlign w:val="center"/>
            <w:hideMark/>
          </w:tcPr>
          <w:p w14:paraId="31F0FF76"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67</w:t>
            </w:r>
          </w:p>
        </w:tc>
      </w:tr>
      <w:tr w:rsidR="001F652B" w:rsidRPr="00BD4C99" w14:paraId="1043BBAD" w14:textId="77777777" w:rsidTr="007C02CE">
        <w:trPr>
          <w:trHeight w:val="191"/>
        </w:trPr>
        <w:tc>
          <w:tcPr>
            <w:tcW w:w="977" w:type="pct"/>
            <w:vMerge w:val="restart"/>
            <w:tcBorders>
              <w:top w:val="nil"/>
              <w:left w:val="nil"/>
              <w:bottom w:val="nil"/>
              <w:right w:val="nil"/>
            </w:tcBorders>
            <w:shd w:val="clear" w:color="000000" w:fill="E7E6E6"/>
            <w:vAlign w:val="center"/>
            <w:hideMark/>
          </w:tcPr>
          <w:p w14:paraId="6154EBA4" w14:textId="77777777" w:rsidR="001F652B" w:rsidRPr="00E90973" w:rsidRDefault="001F652B" w:rsidP="008C3DC2">
            <w:pPr>
              <w:jc w:val="center"/>
              <w:rPr>
                <w:b/>
                <w:bCs/>
                <w:color w:val="000000"/>
                <w:sz w:val="18"/>
                <w:szCs w:val="18"/>
                <w:lang w:val="es-AR" w:eastAsia="es-AR"/>
              </w:rPr>
            </w:pPr>
            <w:proofErr w:type="spellStart"/>
            <w:r w:rsidRPr="00E90973">
              <w:rPr>
                <w:b/>
                <w:bCs/>
                <w:color w:val="000000"/>
                <w:sz w:val="18"/>
                <w:szCs w:val="18"/>
                <w:lang w:val="es-AR" w:eastAsia="es-AR"/>
              </w:rPr>
              <w:t>Truck</w:t>
            </w:r>
            <w:proofErr w:type="spellEnd"/>
            <w:r w:rsidRPr="00E90973">
              <w:rPr>
                <w:b/>
                <w:bCs/>
                <w:color w:val="000000"/>
                <w:sz w:val="18"/>
                <w:szCs w:val="18"/>
                <w:lang w:val="es-AR" w:eastAsia="es-AR"/>
              </w:rPr>
              <w:t xml:space="preserve"> </w:t>
            </w:r>
            <w:proofErr w:type="spellStart"/>
            <w:r w:rsidRPr="00E90973">
              <w:rPr>
                <w:b/>
                <w:bCs/>
                <w:color w:val="000000"/>
                <w:sz w:val="18"/>
                <w:szCs w:val="18"/>
                <w:lang w:val="es-AR" w:eastAsia="es-AR"/>
              </w:rPr>
              <w:t>utilization</w:t>
            </w:r>
            <w:proofErr w:type="spellEnd"/>
            <w:r w:rsidRPr="00E90973">
              <w:rPr>
                <w:b/>
                <w:bCs/>
                <w:color w:val="000000"/>
                <w:sz w:val="18"/>
                <w:szCs w:val="18"/>
                <w:lang w:val="es-AR" w:eastAsia="es-AR"/>
              </w:rPr>
              <w:t xml:space="preserve"> </w:t>
            </w:r>
            <w:r w:rsidRPr="00E90973">
              <w:rPr>
                <w:b/>
                <w:bCs/>
                <w:color w:val="000000"/>
                <w:sz w:val="18"/>
                <w:szCs w:val="18"/>
                <w:lang w:val="es-AR" w:eastAsia="es-AR"/>
              </w:rPr>
              <w:br/>
              <w:t>[%]</w:t>
            </w:r>
          </w:p>
        </w:tc>
        <w:tc>
          <w:tcPr>
            <w:tcW w:w="435" w:type="pct"/>
            <w:tcBorders>
              <w:top w:val="nil"/>
              <w:left w:val="nil"/>
              <w:bottom w:val="nil"/>
              <w:right w:val="nil"/>
            </w:tcBorders>
            <w:shd w:val="clear" w:color="000000" w:fill="E7E6E6"/>
            <w:noWrap/>
            <w:vAlign w:val="center"/>
            <w:hideMark/>
          </w:tcPr>
          <w:p w14:paraId="11E0CCF2" w14:textId="77777777" w:rsidR="001F652B" w:rsidRPr="00E90973" w:rsidRDefault="001F652B" w:rsidP="008C3DC2">
            <w:pPr>
              <w:jc w:val="center"/>
              <w:rPr>
                <w:b/>
                <w:bCs/>
                <w:color w:val="000000"/>
                <w:sz w:val="18"/>
                <w:szCs w:val="18"/>
                <w:lang w:val="es-AR" w:eastAsia="es-AR"/>
              </w:rPr>
            </w:pPr>
            <w:r w:rsidRPr="00E90973">
              <w:rPr>
                <w:b/>
                <w:bCs/>
                <w:color w:val="000000"/>
                <w:sz w:val="18"/>
                <w:szCs w:val="18"/>
                <w:lang w:val="es-AR" w:eastAsia="es-AR"/>
              </w:rPr>
              <w:t>Small</w:t>
            </w:r>
          </w:p>
        </w:tc>
        <w:tc>
          <w:tcPr>
            <w:tcW w:w="513" w:type="pct"/>
            <w:tcBorders>
              <w:top w:val="nil"/>
              <w:left w:val="nil"/>
              <w:bottom w:val="nil"/>
              <w:right w:val="nil"/>
            </w:tcBorders>
            <w:shd w:val="clear" w:color="000000" w:fill="E7E6E6"/>
            <w:noWrap/>
            <w:vAlign w:val="center"/>
            <w:hideMark/>
          </w:tcPr>
          <w:p w14:paraId="782315A2"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w:t>
            </w:r>
          </w:p>
        </w:tc>
        <w:tc>
          <w:tcPr>
            <w:tcW w:w="513" w:type="pct"/>
            <w:tcBorders>
              <w:top w:val="nil"/>
              <w:left w:val="nil"/>
              <w:bottom w:val="nil"/>
              <w:right w:val="nil"/>
            </w:tcBorders>
            <w:shd w:val="clear" w:color="000000" w:fill="E7E6E6"/>
            <w:noWrap/>
            <w:vAlign w:val="center"/>
            <w:hideMark/>
          </w:tcPr>
          <w:p w14:paraId="7501F11E"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w:t>
            </w:r>
          </w:p>
        </w:tc>
        <w:tc>
          <w:tcPr>
            <w:tcW w:w="513" w:type="pct"/>
            <w:tcBorders>
              <w:top w:val="nil"/>
              <w:left w:val="nil"/>
              <w:bottom w:val="nil"/>
              <w:right w:val="nil"/>
            </w:tcBorders>
            <w:shd w:val="clear" w:color="000000" w:fill="E7E6E6"/>
            <w:noWrap/>
            <w:vAlign w:val="center"/>
            <w:hideMark/>
          </w:tcPr>
          <w:p w14:paraId="668C031B"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88.46</w:t>
            </w:r>
          </w:p>
        </w:tc>
        <w:tc>
          <w:tcPr>
            <w:tcW w:w="513" w:type="pct"/>
            <w:tcBorders>
              <w:top w:val="nil"/>
              <w:left w:val="nil"/>
              <w:bottom w:val="nil"/>
              <w:right w:val="nil"/>
            </w:tcBorders>
            <w:shd w:val="clear" w:color="000000" w:fill="E7E6E6"/>
            <w:noWrap/>
            <w:vAlign w:val="center"/>
            <w:hideMark/>
          </w:tcPr>
          <w:p w14:paraId="246022B7"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w:t>
            </w:r>
          </w:p>
        </w:tc>
        <w:tc>
          <w:tcPr>
            <w:tcW w:w="513" w:type="pct"/>
            <w:tcBorders>
              <w:top w:val="nil"/>
              <w:left w:val="nil"/>
              <w:bottom w:val="nil"/>
              <w:right w:val="nil"/>
            </w:tcBorders>
            <w:shd w:val="clear" w:color="000000" w:fill="E7E6E6"/>
            <w:noWrap/>
            <w:vAlign w:val="center"/>
            <w:hideMark/>
          </w:tcPr>
          <w:p w14:paraId="17207C48" w14:textId="77777777" w:rsidR="001F652B" w:rsidRPr="001F652B" w:rsidRDefault="001F652B" w:rsidP="008C3DC2">
            <w:pPr>
              <w:jc w:val="center"/>
              <w:rPr>
                <w:color w:val="000000"/>
                <w:sz w:val="18"/>
                <w:szCs w:val="18"/>
                <w:lang w:val="es-AR" w:eastAsia="es-AR"/>
              </w:rPr>
            </w:pPr>
            <w:r w:rsidRPr="001F652B">
              <w:rPr>
                <w:color w:val="000000"/>
                <w:sz w:val="18"/>
                <w:szCs w:val="18"/>
                <w:lang w:val="es-AR" w:eastAsia="es-AR"/>
              </w:rPr>
              <w:t>-</w:t>
            </w:r>
          </w:p>
        </w:tc>
        <w:tc>
          <w:tcPr>
            <w:tcW w:w="513" w:type="pct"/>
            <w:tcBorders>
              <w:top w:val="nil"/>
              <w:left w:val="nil"/>
              <w:bottom w:val="nil"/>
              <w:right w:val="nil"/>
            </w:tcBorders>
            <w:shd w:val="clear" w:color="000000" w:fill="E7E6E6"/>
            <w:noWrap/>
            <w:vAlign w:val="center"/>
            <w:hideMark/>
          </w:tcPr>
          <w:p w14:paraId="544C99AA"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89.29</w:t>
            </w:r>
          </w:p>
        </w:tc>
        <w:tc>
          <w:tcPr>
            <w:tcW w:w="513" w:type="pct"/>
            <w:tcBorders>
              <w:top w:val="nil"/>
              <w:left w:val="nil"/>
              <w:bottom w:val="nil"/>
              <w:right w:val="nil"/>
            </w:tcBorders>
            <w:shd w:val="clear" w:color="000000" w:fill="E7E6E6"/>
            <w:noWrap/>
            <w:vAlign w:val="center"/>
            <w:hideMark/>
          </w:tcPr>
          <w:p w14:paraId="19B001DA"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w:t>
            </w:r>
          </w:p>
        </w:tc>
      </w:tr>
      <w:tr w:rsidR="001F652B" w:rsidRPr="00BD4C99" w14:paraId="35B26841" w14:textId="77777777" w:rsidTr="007C02CE">
        <w:trPr>
          <w:trHeight w:val="266"/>
        </w:trPr>
        <w:tc>
          <w:tcPr>
            <w:tcW w:w="977" w:type="pct"/>
            <w:vMerge/>
            <w:tcBorders>
              <w:top w:val="nil"/>
              <w:left w:val="nil"/>
              <w:bottom w:val="nil"/>
              <w:right w:val="nil"/>
            </w:tcBorders>
            <w:vAlign w:val="center"/>
            <w:hideMark/>
          </w:tcPr>
          <w:p w14:paraId="11838729" w14:textId="77777777" w:rsidR="001F652B" w:rsidRPr="007C02CE" w:rsidRDefault="001F652B" w:rsidP="008C3DC2">
            <w:pPr>
              <w:jc w:val="center"/>
              <w:rPr>
                <w:b/>
                <w:bCs/>
                <w:color w:val="000000"/>
                <w:sz w:val="18"/>
                <w:szCs w:val="18"/>
                <w:lang w:val="es-AR" w:eastAsia="es-AR"/>
              </w:rPr>
            </w:pPr>
          </w:p>
        </w:tc>
        <w:tc>
          <w:tcPr>
            <w:tcW w:w="435" w:type="pct"/>
            <w:tcBorders>
              <w:top w:val="nil"/>
              <w:left w:val="nil"/>
              <w:bottom w:val="nil"/>
              <w:right w:val="nil"/>
            </w:tcBorders>
            <w:shd w:val="clear" w:color="auto" w:fill="FFFFFF" w:themeFill="background1"/>
            <w:noWrap/>
            <w:vAlign w:val="center"/>
            <w:hideMark/>
          </w:tcPr>
          <w:p w14:paraId="7DE4E2EB" w14:textId="77777777" w:rsidR="001F652B" w:rsidRPr="007C02CE" w:rsidRDefault="001F652B" w:rsidP="008C3DC2">
            <w:pPr>
              <w:jc w:val="center"/>
              <w:rPr>
                <w:b/>
                <w:bCs/>
                <w:color w:val="000000"/>
                <w:sz w:val="18"/>
                <w:szCs w:val="18"/>
                <w:lang w:val="es-AR" w:eastAsia="es-AR"/>
              </w:rPr>
            </w:pPr>
            <w:r w:rsidRPr="007C02CE">
              <w:rPr>
                <w:b/>
                <w:bCs/>
                <w:color w:val="000000"/>
                <w:sz w:val="18"/>
                <w:szCs w:val="18"/>
                <w:lang w:val="es-AR" w:eastAsia="es-AR"/>
              </w:rPr>
              <w:t>Medium</w:t>
            </w:r>
          </w:p>
        </w:tc>
        <w:tc>
          <w:tcPr>
            <w:tcW w:w="513" w:type="pct"/>
            <w:tcBorders>
              <w:top w:val="nil"/>
              <w:left w:val="nil"/>
              <w:bottom w:val="nil"/>
              <w:right w:val="nil"/>
            </w:tcBorders>
            <w:shd w:val="clear" w:color="auto" w:fill="FFFFFF" w:themeFill="background1"/>
            <w:noWrap/>
            <w:vAlign w:val="center"/>
            <w:hideMark/>
          </w:tcPr>
          <w:p w14:paraId="50E245F5"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96.19</w:t>
            </w:r>
          </w:p>
        </w:tc>
        <w:tc>
          <w:tcPr>
            <w:tcW w:w="513" w:type="pct"/>
            <w:tcBorders>
              <w:top w:val="nil"/>
              <w:left w:val="nil"/>
              <w:bottom w:val="nil"/>
              <w:right w:val="nil"/>
            </w:tcBorders>
            <w:shd w:val="clear" w:color="auto" w:fill="FFFFFF" w:themeFill="background1"/>
            <w:noWrap/>
            <w:vAlign w:val="center"/>
            <w:hideMark/>
          </w:tcPr>
          <w:p w14:paraId="13A2BA1F"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w:t>
            </w:r>
          </w:p>
        </w:tc>
        <w:tc>
          <w:tcPr>
            <w:tcW w:w="513" w:type="pct"/>
            <w:tcBorders>
              <w:top w:val="nil"/>
              <w:left w:val="nil"/>
              <w:bottom w:val="nil"/>
              <w:right w:val="nil"/>
            </w:tcBorders>
            <w:shd w:val="clear" w:color="auto" w:fill="FFFFFF" w:themeFill="background1"/>
            <w:noWrap/>
            <w:vAlign w:val="center"/>
            <w:hideMark/>
          </w:tcPr>
          <w:p w14:paraId="64CB033D"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98.19</w:t>
            </w:r>
          </w:p>
        </w:tc>
        <w:tc>
          <w:tcPr>
            <w:tcW w:w="513" w:type="pct"/>
            <w:tcBorders>
              <w:top w:val="nil"/>
              <w:left w:val="nil"/>
              <w:bottom w:val="nil"/>
              <w:right w:val="nil"/>
            </w:tcBorders>
            <w:shd w:val="clear" w:color="auto" w:fill="FFFFFF" w:themeFill="background1"/>
            <w:noWrap/>
            <w:vAlign w:val="center"/>
            <w:hideMark/>
          </w:tcPr>
          <w:p w14:paraId="5B481C0B"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92.80</w:t>
            </w:r>
          </w:p>
        </w:tc>
        <w:tc>
          <w:tcPr>
            <w:tcW w:w="513" w:type="pct"/>
            <w:tcBorders>
              <w:top w:val="nil"/>
              <w:left w:val="nil"/>
              <w:bottom w:val="nil"/>
              <w:right w:val="nil"/>
            </w:tcBorders>
            <w:shd w:val="clear" w:color="auto" w:fill="FFFFFF" w:themeFill="background1"/>
            <w:noWrap/>
            <w:vAlign w:val="center"/>
            <w:hideMark/>
          </w:tcPr>
          <w:p w14:paraId="7868A683"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80.75</w:t>
            </w:r>
          </w:p>
        </w:tc>
        <w:tc>
          <w:tcPr>
            <w:tcW w:w="513" w:type="pct"/>
            <w:tcBorders>
              <w:top w:val="nil"/>
              <w:left w:val="nil"/>
              <w:bottom w:val="nil"/>
              <w:right w:val="nil"/>
            </w:tcBorders>
            <w:shd w:val="clear" w:color="auto" w:fill="FFFFFF" w:themeFill="background1"/>
            <w:noWrap/>
            <w:vAlign w:val="center"/>
            <w:hideMark/>
          </w:tcPr>
          <w:p w14:paraId="61C8EB98"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98.59</w:t>
            </w:r>
          </w:p>
        </w:tc>
        <w:tc>
          <w:tcPr>
            <w:tcW w:w="513" w:type="pct"/>
            <w:tcBorders>
              <w:top w:val="nil"/>
              <w:left w:val="nil"/>
              <w:bottom w:val="nil"/>
              <w:right w:val="nil"/>
            </w:tcBorders>
            <w:shd w:val="clear" w:color="auto" w:fill="FFFFFF" w:themeFill="background1"/>
            <w:noWrap/>
            <w:vAlign w:val="center"/>
            <w:hideMark/>
          </w:tcPr>
          <w:p w14:paraId="740317BB"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85.92</w:t>
            </w:r>
          </w:p>
        </w:tc>
      </w:tr>
      <w:tr w:rsidR="001F652B" w:rsidRPr="00BD4C99" w14:paraId="28D5659E" w14:textId="77777777" w:rsidTr="007C02CE">
        <w:trPr>
          <w:trHeight w:val="142"/>
        </w:trPr>
        <w:tc>
          <w:tcPr>
            <w:tcW w:w="977" w:type="pct"/>
            <w:vMerge/>
            <w:tcBorders>
              <w:top w:val="nil"/>
              <w:left w:val="nil"/>
              <w:bottom w:val="nil"/>
              <w:right w:val="nil"/>
            </w:tcBorders>
            <w:vAlign w:val="center"/>
            <w:hideMark/>
          </w:tcPr>
          <w:p w14:paraId="18566141" w14:textId="77777777" w:rsidR="001F652B" w:rsidRPr="007C02CE" w:rsidRDefault="001F652B" w:rsidP="008C3DC2">
            <w:pPr>
              <w:jc w:val="center"/>
              <w:rPr>
                <w:b/>
                <w:bCs/>
                <w:color w:val="000000"/>
                <w:sz w:val="18"/>
                <w:szCs w:val="18"/>
                <w:lang w:val="es-AR" w:eastAsia="es-AR"/>
              </w:rPr>
            </w:pPr>
          </w:p>
        </w:tc>
        <w:tc>
          <w:tcPr>
            <w:tcW w:w="435" w:type="pct"/>
            <w:tcBorders>
              <w:top w:val="nil"/>
              <w:left w:val="nil"/>
              <w:bottom w:val="nil"/>
              <w:right w:val="nil"/>
            </w:tcBorders>
            <w:shd w:val="clear" w:color="000000" w:fill="E7E6E6"/>
            <w:noWrap/>
            <w:vAlign w:val="center"/>
            <w:hideMark/>
          </w:tcPr>
          <w:p w14:paraId="44DDB3B5" w14:textId="77777777" w:rsidR="001F652B" w:rsidRPr="007C02CE" w:rsidRDefault="001F652B" w:rsidP="008C3DC2">
            <w:pPr>
              <w:jc w:val="center"/>
              <w:rPr>
                <w:b/>
                <w:bCs/>
                <w:color w:val="000000"/>
                <w:sz w:val="18"/>
                <w:szCs w:val="18"/>
                <w:lang w:val="es-AR" w:eastAsia="es-AR"/>
              </w:rPr>
            </w:pPr>
            <w:r w:rsidRPr="007C02CE">
              <w:rPr>
                <w:b/>
                <w:bCs/>
                <w:color w:val="000000"/>
                <w:sz w:val="18"/>
                <w:szCs w:val="18"/>
                <w:lang w:val="es-AR" w:eastAsia="es-AR"/>
              </w:rPr>
              <w:t>Big</w:t>
            </w:r>
          </w:p>
        </w:tc>
        <w:tc>
          <w:tcPr>
            <w:tcW w:w="513" w:type="pct"/>
            <w:tcBorders>
              <w:top w:val="nil"/>
              <w:left w:val="nil"/>
              <w:bottom w:val="nil"/>
              <w:right w:val="nil"/>
            </w:tcBorders>
            <w:shd w:val="clear" w:color="000000" w:fill="E7E6E6"/>
            <w:noWrap/>
            <w:vAlign w:val="center"/>
            <w:hideMark/>
          </w:tcPr>
          <w:p w14:paraId="08441055"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w:t>
            </w:r>
          </w:p>
        </w:tc>
        <w:tc>
          <w:tcPr>
            <w:tcW w:w="513" w:type="pct"/>
            <w:tcBorders>
              <w:top w:val="nil"/>
              <w:left w:val="nil"/>
              <w:bottom w:val="nil"/>
              <w:right w:val="nil"/>
            </w:tcBorders>
            <w:shd w:val="clear" w:color="000000" w:fill="E7E6E6"/>
            <w:noWrap/>
            <w:vAlign w:val="center"/>
            <w:hideMark/>
          </w:tcPr>
          <w:p w14:paraId="36333DBC"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94.66</w:t>
            </w:r>
          </w:p>
        </w:tc>
        <w:tc>
          <w:tcPr>
            <w:tcW w:w="513" w:type="pct"/>
            <w:tcBorders>
              <w:top w:val="nil"/>
              <w:left w:val="nil"/>
              <w:bottom w:val="nil"/>
              <w:right w:val="nil"/>
            </w:tcBorders>
            <w:shd w:val="clear" w:color="000000" w:fill="E7E6E6"/>
            <w:noWrap/>
            <w:vAlign w:val="center"/>
            <w:hideMark/>
          </w:tcPr>
          <w:p w14:paraId="66D41941"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99.32</w:t>
            </w:r>
          </w:p>
        </w:tc>
        <w:tc>
          <w:tcPr>
            <w:tcW w:w="513" w:type="pct"/>
            <w:tcBorders>
              <w:top w:val="nil"/>
              <w:left w:val="nil"/>
              <w:bottom w:val="nil"/>
              <w:right w:val="nil"/>
            </w:tcBorders>
            <w:shd w:val="clear" w:color="000000" w:fill="E7E6E6"/>
            <w:noWrap/>
            <w:vAlign w:val="center"/>
            <w:hideMark/>
          </w:tcPr>
          <w:p w14:paraId="71D9C926"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99.80</w:t>
            </w:r>
          </w:p>
        </w:tc>
        <w:tc>
          <w:tcPr>
            <w:tcW w:w="513" w:type="pct"/>
            <w:tcBorders>
              <w:top w:val="nil"/>
              <w:left w:val="nil"/>
              <w:bottom w:val="nil"/>
              <w:right w:val="nil"/>
            </w:tcBorders>
            <w:shd w:val="clear" w:color="000000" w:fill="E7E6E6"/>
            <w:noWrap/>
            <w:vAlign w:val="center"/>
            <w:hideMark/>
          </w:tcPr>
          <w:p w14:paraId="4B069E48"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99.10</w:t>
            </w:r>
          </w:p>
        </w:tc>
        <w:tc>
          <w:tcPr>
            <w:tcW w:w="513" w:type="pct"/>
            <w:tcBorders>
              <w:top w:val="nil"/>
              <w:left w:val="nil"/>
              <w:bottom w:val="nil"/>
              <w:right w:val="nil"/>
            </w:tcBorders>
            <w:shd w:val="clear" w:color="000000" w:fill="E7E6E6"/>
            <w:noWrap/>
            <w:vAlign w:val="center"/>
            <w:hideMark/>
          </w:tcPr>
          <w:p w14:paraId="57F30426"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98.45</w:t>
            </w:r>
          </w:p>
        </w:tc>
        <w:tc>
          <w:tcPr>
            <w:tcW w:w="513" w:type="pct"/>
            <w:tcBorders>
              <w:top w:val="nil"/>
              <w:left w:val="nil"/>
              <w:bottom w:val="nil"/>
              <w:right w:val="nil"/>
            </w:tcBorders>
            <w:shd w:val="clear" w:color="000000" w:fill="E7E6E6"/>
            <w:noWrap/>
            <w:vAlign w:val="center"/>
            <w:hideMark/>
          </w:tcPr>
          <w:p w14:paraId="20F31766"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98.91</w:t>
            </w:r>
          </w:p>
        </w:tc>
      </w:tr>
      <w:tr w:rsidR="001F652B" w:rsidRPr="00BD4C99" w14:paraId="5084FB75" w14:textId="77777777" w:rsidTr="007C02CE">
        <w:trPr>
          <w:trHeight w:val="215"/>
        </w:trPr>
        <w:tc>
          <w:tcPr>
            <w:tcW w:w="1412" w:type="pct"/>
            <w:gridSpan w:val="2"/>
            <w:tcBorders>
              <w:top w:val="nil"/>
              <w:left w:val="nil"/>
              <w:bottom w:val="single" w:sz="8" w:space="0" w:color="auto"/>
              <w:right w:val="nil"/>
            </w:tcBorders>
            <w:shd w:val="clear" w:color="auto" w:fill="FFFFFF" w:themeFill="background1"/>
            <w:noWrap/>
            <w:vAlign w:val="center"/>
            <w:hideMark/>
          </w:tcPr>
          <w:p w14:paraId="1DA835C4" w14:textId="77777777" w:rsidR="001F652B" w:rsidRPr="00E90973" w:rsidRDefault="001F652B" w:rsidP="008C3DC2">
            <w:pPr>
              <w:jc w:val="center"/>
              <w:rPr>
                <w:b/>
                <w:bCs/>
                <w:color w:val="000000"/>
                <w:sz w:val="18"/>
                <w:szCs w:val="18"/>
                <w:lang w:val="es-AR" w:eastAsia="es-AR"/>
              </w:rPr>
            </w:pPr>
            <w:proofErr w:type="spellStart"/>
            <w:r w:rsidRPr="00E90973">
              <w:rPr>
                <w:b/>
                <w:bCs/>
                <w:color w:val="000000"/>
                <w:sz w:val="18"/>
                <w:szCs w:val="18"/>
                <w:lang w:val="es-AR" w:eastAsia="es-AR"/>
              </w:rPr>
              <w:t>Possible</w:t>
            </w:r>
            <w:proofErr w:type="spellEnd"/>
            <w:r w:rsidRPr="00E90973">
              <w:rPr>
                <w:b/>
                <w:bCs/>
                <w:color w:val="000000"/>
                <w:sz w:val="18"/>
                <w:szCs w:val="18"/>
                <w:lang w:val="es-AR" w:eastAsia="es-AR"/>
              </w:rPr>
              <w:t xml:space="preserve"> </w:t>
            </w:r>
            <w:proofErr w:type="spellStart"/>
            <w:r w:rsidRPr="00E90973">
              <w:rPr>
                <w:b/>
                <w:bCs/>
                <w:color w:val="000000"/>
                <w:sz w:val="18"/>
                <w:szCs w:val="18"/>
                <w:lang w:val="es-AR" w:eastAsia="es-AR"/>
              </w:rPr>
              <w:t>number</w:t>
            </w:r>
            <w:proofErr w:type="spellEnd"/>
            <w:r w:rsidRPr="00E90973">
              <w:rPr>
                <w:b/>
                <w:bCs/>
                <w:color w:val="000000"/>
                <w:sz w:val="18"/>
                <w:szCs w:val="18"/>
                <w:lang w:val="es-AR" w:eastAsia="es-AR"/>
              </w:rPr>
              <w:t xml:space="preserve"> </w:t>
            </w:r>
            <w:proofErr w:type="spellStart"/>
            <w:r w:rsidRPr="00E90973">
              <w:rPr>
                <w:b/>
                <w:bCs/>
                <w:color w:val="000000"/>
                <w:sz w:val="18"/>
                <w:szCs w:val="18"/>
                <w:lang w:val="es-AR" w:eastAsia="es-AR"/>
              </w:rPr>
              <w:t>of</w:t>
            </w:r>
            <w:proofErr w:type="spellEnd"/>
            <w:r w:rsidRPr="00E90973">
              <w:rPr>
                <w:b/>
                <w:bCs/>
                <w:color w:val="000000"/>
                <w:sz w:val="18"/>
                <w:szCs w:val="18"/>
                <w:lang w:val="es-AR" w:eastAsia="es-AR"/>
              </w:rPr>
              <w:t xml:space="preserve"> </w:t>
            </w:r>
            <w:proofErr w:type="spellStart"/>
            <w:r w:rsidRPr="00E90973">
              <w:rPr>
                <w:b/>
                <w:bCs/>
                <w:color w:val="000000"/>
                <w:sz w:val="18"/>
                <w:szCs w:val="18"/>
                <w:lang w:val="es-AR" w:eastAsia="es-AR"/>
              </w:rPr>
              <w:t>routes</w:t>
            </w:r>
            <w:proofErr w:type="spellEnd"/>
          </w:p>
        </w:tc>
        <w:tc>
          <w:tcPr>
            <w:tcW w:w="513" w:type="pct"/>
            <w:tcBorders>
              <w:top w:val="nil"/>
              <w:left w:val="nil"/>
              <w:bottom w:val="single" w:sz="8" w:space="0" w:color="auto"/>
              <w:right w:val="nil"/>
            </w:tcBorders>
            <w:shd w:val="clear" w:color="auto" w:fill="FFFFFF" w:themeFill="background1"/>
            <w:noWrap/>
            <w:vAlign w:val="center"/>
            <w:hideMark/>
          </w:tcPr>
          <w:p w14:paraId="59237219"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119</w:t>
            </w:r>
          </w:p>
        </w:tc>
        <w:tc>
          <w:tcPr>
            <w:tcW w:w="513" w:type="pct"/>
            <w:tcBorders>
              <w:top w:val="nil"/>
              <w:left w:val="nil"/>
              <w:bottom w:val="single" w:sz="8" w:space="0" w:color="auto"/>
              <w:right w:val="nil"/>
            </w:tcBorders>
            <w:shd w:val="clear" w:color="auto" w:fill="FFFFFF" w:themeFill="background1"/>
            <w:noWrap/>
            <w:vAlign w:val="center"/>
            <w:hideMark/>
          </w:tcPr>
          <w:p w14:paraId="3FDD1760"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124</w:t>
            </w:r>
          </w:p>
        </w:tc>
        <w:tc>
          <w:tcPr>
            <w:tcW w:w="513" w:type="pct"/>
            <w:tcBorders>
              <w:top w:val="nil"/>
              <w:left w:val="nil"/>
              <w:bottom w:val="single" w:sz="8" w:space="0" w:color="auto"/>
              <w:right w:val="nil"/>
            </w:tcBorders>
            <w:shd w:val="clear" w:color="auto" w:fill="FFFFFF" w:themeFill="background1"/>
            <w:noWrap/>
            <w:vAlign w:val="center"/>
            <w:hideMark/>
          </w:tcPr>
          <w:p w14:paraId="1FD6A61A" w14:textId="77777777" w:rsidR="001F652B" w:rsidRPr="00E90973" w:rsidRDefault="001F652B" w:rsidP="008C3DC2">
            <w:pPr>
              <w:jc w:val="center"/>
              <w:rPr>
                <w:color w:val="000000"/>
                <w:sz w:val="18"/>
                <w:szCs w:val="18"/>
                <w:lang w:val="es-AR" w:eastAsia="es-AR"/>
              </w:rPr>
            </w:pPr>
            <w:r w:rsidRPr="00E90973">
              <w:rPr>
                <w:color w:val="000000"/>
                <w:sz w:val="18"/>
                <w:szCs w:val="18"/>
                <w:lang w:val="es-AR" w:eastAsia="es-AR"/>
              </w:rPr>
              <w:t>292</w:t>
            </w:r>
          </w:p>
        </w:tc>
        <w:tc>
          <w:tcPr>
            <w:tcW w:w="513" w:type="pct"/>
            <w:tcBorders>
              <w:top w:val="nil"/>
              <w:left w:val="nil"/>
              <w:bottom w:val="single" w:sz="8" w:space="0" w:color="auto"/>
              <w:right w:val="nil"/>
            </w:tcBorders>
            <w:shd w:val="clear" w:color="auto" w:fill="FFFFFF" w:themeFill="background1"/>
            <w:noWrap/>
            <w:vAlign w:val="center"/>
            <w:hideMark/>
          </w:tcPr>
          <w:p w14:paraId="08AF0053"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243</w:t>
            </w:r>
          </w:p>
        </w:tc>
        <w:tc>
          <w:tcPr>
            <w:tcW w:w="513" w:type="pct"/>
            <w:tcBorders>
              <w:top w:val="nil"/>
              <w:left w:val="nil"/>
              <w:bottom w:val="single" w:sz="8" w:space="0" w:color="auto"/>
              <w:right w:val="nil"/>
            </w:tcBorders>
            <w:shd w:val="clear" w:color="auto" w:fill="FFFFFF" w:themeFill="background1"/>
            <w:noWrap/>
            <w:vAlign w:val="center"/>
            <w:hideMark/>
          </w:tcPr>
          <w:p w14:paraId="3CAC3191" w14:textId="77777777" w:rsidR="001F652B" w:rsidRPr="00C52162" w:rsidRDefault="001F652B" w:rsidP="008C3DC2">
            <w:pPr>
              <w:jc w:val="center"/>
              <w:rPr>
                <w:color w:val="000000"/>
                <w:sz w:val="18"/>
                <w:szCs w:val="18"/>
                <w:lang w:val="es-AR" w:eastAsia="es-AR"/>
              </w:rPr>
            </w:pPr>
            <w:r w:rsidRPr="00C52162">
              <w:rPr>
                <w:color w:val="000000"/>
                <w:sz w:val="18"/>
                <w:szCs w:val="18"/>
                <w:lang w:val="es-AR" w:eastAsia="es-AR"/>
              </w:rPr>
              <w:t>243</w:t>
            </w:r>
          </w:p>
        </w:tc>
        <w:tc>
          <w:tcPr>
            <w:tcW w:w="513" w:type="pct"/>
            <w:tcBorders>
              <w:top w:val="nil"/>
              <w:left w:val="nil"/>
              <w:bottom w:val="single" w:sz="8" w:space="0" w:color="auto"/>
              <w:right w:val="nil"/>
            </w:tcBorders>
            <w:shd w:val="clear" w:color="auto" w:fill="FFFFFF" w:themeFill="background1"/>
            <w:noWrap/>
            <w:vAlign w:val="center"/>
            <w:hideMark/>
          </w:tcPr>
          <w:p w14:paraId="34F6511B" w14:textId="77777777" w:rsidR="001F652B" w:rsidRPr="001F652B" w:rsidRDefault="001F652B" w:rsidP="008C3DC2">
            <w:pPr>
              <w:jc w:val="center"/>
              <w:rPr>
                <w:color w:val="000000"/>
                <w:sz w:val="18"/>
                <w:szCs w:val="18"/>
                <w:lang w:val="es-AR" w:eastAsia="es-AR"/>
              </w:rPr>
            </w:pPr>
            <w:r w:rsidRPr="001F652B">
              <w:rPr>
                <w:color w:val="000000"/>
                <w:sz w:val="18"/>
                <w:szCs w:val="18"/>
                <w:lang w:val="es-AR" w:eastAsia="es-AR"/>
              </w:rPr>
              <w:t>206</w:t>
            </w:r>
          </w:p>
        </w:tc>
        <w:tc>
          <w:tcPr>
            <w:tcW w:w="513" w:type="pct"/>
            <w:tcBorders>
              <w:top w:val="nil"/>
              <w:left w:val="nil"/>
              <w:bottom w:val="single" w:sz="8" w:space="0" w:color="auto"/>
              <w:right w:val="nil"/>
            </w:tcBorders>
            <w:shd w:val="clear" w:color="auto" w:fill="FFFFFF" w:themeFill="background1"/>
            <w:noWrap/>
            <w:vAlign w:val="center"/>
            <w:hideMark/>
          </w:tcPr>
          <w:p w14:paraId="689252F2" w14:textId="77777777" w:rsidR="001F652B" w:rsidRPr="007C02CE" w:rsidRDefault="001F652B" w:rsidP="008C3DC2">
            <w:pPr>
              <w:jc w:val="center"/>
              <w:rPr>
                <w:color w:val="000000"/>
                <w:sz w:val="18"/>
                <w:szCs w:val="18"/>
                <w:lang w:val="es-AR" w:eastAsia="es-AR"/>
              </w:rPr>
            </w:pPr>
            <w:r w:rsidRPr="007C02CE">
              <w:rPr>
                <w:color w:val="000000"/>
                <w:sz w:val="18"/>
                <w:szCs w:val="18"/>
                <w:lang w:val="es-AR" w:eastAsia="es-AR"/>
              </w:rPr>
              <w:t>206</w:t>
            </w:r>
          </w:p>
        </w:tc>
      </w:tr>
    </w:tbl>
    <w:p w14:paraId="41210587" w14:textId="4ABD0858" w:rsidR="00D93098" w:rsidRDefault="00556944" w:rsidP="00D93098">
      <w:pPr>
        <w:pStyle w:val="Els-body-text"/>
        <w:spacing w:before="120"/>
      </w:pPr>
      <w:r w:rsidRPr="00313F0D">
        <w:t xml:space="preserve">Figures </w:t>
      </w:r>
      <w:r>
        <w:t>3</w:t>
      </w:r>
      <w:r w:rsidRPr="00313F0D">
        <w:t xml:space="preserve"> and </w:t>
      </w:r>
      <w:r>
        <w:t>4</w:t>
      </w:r>
      <w:r w:rsidRPr="00313F0D">
        <w:t xml:space="preserve"> illustrate the inventory profile for customer 12. This customer demands 0.5 units daily </w:t>
      </w:r>
      <w:r>
        <w:t xml:space="preserve">of product </w:t>
      </w:r>
      <w:r w:rsidRPr="00313F0D">
        <w:t xml:space="preserve">and can receive a maximum product delivery of 2.5 units. Figure </w:t>
      </w:r>
      <w:r>
        <w:t>3</w:t>
      </w:r>
      <w:r w:rsidRPr="00313F0D">
        <w:t xml:space="preserve"> </w:t>
      </w:r>
      <w:r>
        <w:t xml:space="preserve">shows </w:t>
      </w:r>
      <w:r w:rsidRPr="00313F0D">
        <w:t xml:space="preserve">the inventory evolution </w:t>
      </w:r>
      <w:r>
        <w:t xml:space="preserve">obtained for </w:t>
      </w:r>
      <w:r w:rsidRPr="00313F0D">
        <w:t>S</w:t>
      </w:r>
      <w:r>
        <w:t>2</w:t>
      </w:r>
      <w:r w:rsidRPr="00313F0D">
        <w:t xml:space="preserve">, where only medium trucks with a </w:t>
      </w:r>
      <w:r w:rsidRPr="00313F0D">
        <w:lastRenderedPageBreak/>
        <w:t xml:space="preserve">capacity of 1 are considered. The graph indicates that to meet the customer's demand, 14 visits with full trucks are scheduled. In Figure </w:t>
      </w:r>
      <w:r>
        <w:t>4</w:t>
      </w:r>
      <w:r w:rsidRPr="00313F0D">
        <w:t xml:space="preserve">, the evolution of C12 in scenario S9 is presented. In this case, with the inclusion of </w:t>
      </w:r>
      <w:r>
        <w:t>big</w:t>
      </w:r>
      <w:r w:rsidRPr="00313F0D">
        <w:t xml:space="preserve"> trucks </w:t>
      </w:r>
      <w:r>
        <w:t xml:space="preserve">with </w:t>
      </w:r>
      <w:r w:rsidRPr="00313F0D">
        <w:t xml:space="preserve">a capacity of 1.4, </w:t>
      </w:r>
      <w:r>
        <w:t xml:space="preserve">only </w:t>
      </w:r>
      <w:r w:rsidRPr="00313F0D">
        <w:t xml:space="preserve">10 visits </w:t>
      </w:r>
      <w:r>
        <w:t>(</w:t>
      </w:r>
      <w:r w:rsidRPr="00313F0D">
        <w:t xml:space="preserve">using </w:t>
      </w:r>
      <w:r>
        <w:t>big-sized</w:t>
      </w:r>
      <w:r w:rsidRPr="00313F0D">
        <w:t xml:space="preserve"> trucks</w:t>
      </w:r>
      <w:r>
        <w:t>) are performed</w:t>
      </w:r>
      <w:r w:rsidRPr="00313F0D">
        <w:t xml:space="preserve">, resulting </w:t>
      </w:r>
      <w:r w:rsidRPr="00EF7544">
        <w:t xml:space="preserve">in a number of visits less than </w:t>
      </w:r>
      <w:r>
        <w:t xml:space="preserve">in </w:t>
      </w:r>
      <w:r w:rsidRPr="00EF7544">
        <w:t>S2.</w:t>
      </w:r>
      <w:r>
        <w:t xml:space="preserve"> </w:t>
      </w:r>
      <w:r w:rsidRPr="00313F0D">
        <w:t>This highlights that the use of heterogeneous trucks enables a more efficient allocation of trucks to trips, optimizing the available capacities.</w:t>
      </w:r>
    </w:p>
    <w:p w14:paraId="521719DA" w14:textId="102A4836" w:rsidR="008858A1" w:rsidRPr="00D93098" w:rsidRDefault="00D93098" w:rsidP="00D93098">
      <w:pPr>
        <w:pStyle w:val="Els-body-text"/>
      </w:pPr>
      <w:r w:rsidRPr="00D93098">
        <w:t xml:space="preserve">The perceived reduction in trips for C12 in the S9 scenario also results in reduced distribution costs. In the case presented in the figures, the scheduling of visits for C12 in S2 incurs a total cost of $13,013, while for S9, the cost is $11,154. This trend in distribution costs explains the difference in total cost between S2 and S9. While the </w:t>
      </w:r>
      <w:r>
        <w:t>production</w:t>
      </w:r>
      <w:r w:rsidRPr="00D93098">
        <w:t xml:space="preserve"> cost for both scenarios is $33,043.5, the distribution costs </w:t>
      </w:r>
      <w:r>
        <w:t>are</w:t>
      </w:r>
      <w:r w:rsidRPr="00D93098">
        <w:t xml:space="preserve"> $56,508.2 and $49,769.2 for S2 and S9, respectively. A lower transportation cost is observed in S9 due to the consideration of heterogeneous trucks.</w:t>
      </w:r>
    </w:p>
    <w:p w14:paraId="60A9D8A4" w14:textId="77777777" w:rsidR="00C60878" w:rsidRDefault="00C60878" w:rsidP="00744CF5">
      <w:pPr>
        <w:pStyle w:val="Els-body-text"/>
        <w:spacing w:after="120"/>
      </w:pPr>
    </w:p>
    <w:p w14:paraId="5000ACD9" w14:textId="5ED9B2B6" w:rsidR="00D93098" w:rsidRPr="00D93098" w:rsidRDefault="00D93098" w:rsidP="00744CF5">
      <w:pPr>
        <w:pStyle w:val="Els-body-text"/>
        <w:spacing w:after="120"/>
        <w:sectPr w:rsidR="00D93098" w:rsidRPr="00D93098"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pPr>
    </w:p>
    <w:p w14:paraId="76D16A62" w14:textId="0CDB3158" w:rsidR="009507AF" w:rsidRDefault="009507AF" w:rsidP="009507AF">
      <w:pPr>
        <w:pStyle w:val="Els-body-text"/>
        <w:jc w:val="center"/>
      </w:pPr>
      <w:r w:rsidRPr="009507AF">
        <w:rPr>
          <w:noProof/>
        </w:rPr>
        <w:drawing>
          <wp:inline distT="0" distB="0" distL="0" distR="0" wp14:anchorId="6551871C" wp14:editId="1D9CE2FF">
            <wp:extent cx="2230755" cy="1656608"/>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9256" cy="1662921"/>
                    </a:xfrm>
                    <a:prstGeom prst="rect">
                      <a:avLst/>
                    </a:prstGeom>
                    <a:noFill/>
                    <a:ln>
                      <a:noFill/>
                    </a:ln>
                  </pic:spPr>
                </pic:pic>
              </a:graphicData>
            </a:graphic>
          </wp:inline>
        </w:drawing>
      </w:r>
    </w:p>
    <w:p w14:paraId="1C6EBD14" w14:textId="56F09B04" w:rsidR="009507AF" w:rsidRPr="009507AF" w:rsidRDefault="009507AF" w:rsidP="009507AF">
      <w:pPr>
        <w:pStyle w:val="Els-body-text"/>
        <w:spacing w:after="120"/>
        <w:jc w:val="center"/>
        <w:rPr>
          <w:sz w:val="18"/>
          <w:szCs w:val="18"/>
        </w:rPr>
      </w:pPr>
      <w:r w:rsidRPr="00EA39E1">
        <w:rPr>
          <w:b/>
          <w:bCs/>
          <w:sz w:val="18"/>
          <w:szCs w:val="18"/>
        </w:rPr>
        <w:t xml:space="preserve">Figure </w:t>
      </w:r>
      <w:r w:rsidR="00A95601">
        <w:rPr>
          <w:b/>
          <w:bCs/>
          <w:sz w:val="18"/>
          <w:szCs w:val="18"/>
        </w:rPr>
        <w:t>3</w:t>
      </w:r>
      <w:r w:rsidRPr="00EA39E1">
        <w:rPr>
          <w:sz w:val="18"/>
          <w:szCs w:val="18"/>
        </w:rPr>
        <w:t xml:space="preserve">. </w:t>
      </w:r>
      <w:r>
        <w:rPr>
          <w:sz w:val="18"/>
          <w:szCs w:val="18"/>
        </w:rPr>
        <w:t>C12 inventory in S</w:t>
      </w:r>
      <w:r w:rsidR="00752FB7">
        <w:rPr>
          <w:sz w:val="18"/>
          <w:szCs w:val="18"/>
        </w:rPr>
        <w:t>2</w:t>
      </w:r>
    </w:p>
    <w:p w14:paraId="0A525DB1" w14:textId="4AC99818" w:rsidR="009507AF" w:rsidRDefault="009507AF" w:rsidP="009507AF">
      <w:pPr>
        <w:pStyle w:val="Els-body-text"/>
        <w:ind w:hanging="284"/>
        <w:jc w:val="center"/>
      </w:pPr>
      <w:r w:rsidRPr="009507AF">
        <w:rPr>
          <w:noProof/>
        </w:rPr>
        <w:drawing>
          <wp:inline distT="0" distB="0" distL="0" distR="0" wp14:anchorId="01F94009" wp14:editId="79A858BC">
            <wp:extent cx="2231390" cy="166254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3412" cy="1671504"/>
                    </a:xfrm>
                    <a:prstGeom prst="rect">
                      <a:avLst/>
                    </a:prstGeom>
                    <a:noFill/>
                    <a:ln>
                      <a:noFill/>
                    </a:ln>
                  </pic:spPr>
                </pic:pic>
              </a:graphicData>
            </a:graphic>
          </wp:inline>
        </w:drawing>
      </w:r>
    </w:p>
    <w:p w14:paraId="5A7D65A1" w14:textId="7803CD50" w:rsidR="009507AF" w:rsidRPr="009507AF" w:rsidRDefault="009507AF" w:rsidP="009507AF">
      <w:pPr>
        <w:pStyle w:val="Els-body-text"/>
        <w:spacing w:after="120"/>
        <w:jc w:val="center"/>
        <w:rPr>
          <w:sz w:val="18"/>
          <w:szCs w:val="18"/>
        </w:rPr>
        <w:sectPr w:rsidR="009507AF" w:rsidRPr="009507AF" w:rsidSect="009507AF">
          <w:type w:val="continuous"/>
          <w:pgSz w:w="11906" w:h="16838" w:code="9"/>
          <w:pgMar w:top="2377" w:right="2410" w:bottom="2892" w:left="2410" w:header="1701" w:footer="2892" w:gutter="0"/>
          <w:cols w:num="2" w:space="720"/>
          <w:titlePg/>
          <w:docGrid w:linePitch="272"/>
        </w:sectPr>
      </w:pPr>
      <w:r w:rsidRPr="00EA39E1">
        <w:rPr>
          <w:b/>
          <w:bCs/>
          <w:sz w:val="18"/>
          <w:szCs w:val="18"/>
        </w:rPr>
        <w:t xml:space="preserve">Figure </w:t>
      </w:r>
      <w:r w:rsidR="00A95601">
        <w:rPr>
          <w:b/>
          <w:bCs/>
          <w:sz w:val="18"/>
          <w:szCs w:val="18"/>
        </w:rPr>
        <w:t>4</w:t>
      </w:r>
      <w:r w:rsidRPr="00EA39E1">
        <w:rPr>
          <w:sz w:val="18"/>
          <w:szCs w:val="18"/>
        </w:rPr>
        <w:t xml:space="preserve">. </w:t>
      </w:r>
      <w:r>
        <w:rPr>
          <w:sz w:val="18"/>
          <w:szCs w:val="18"/>
        </w:rPr>
        <w:t>C12 inventory in S9</w:t>
      </w:r>
    </w:p>
    <w:p w14:paraId="144DE6BA" w14:textId="77777777" w:rsidR="008D2649" w:rsidRPr="00A94774" w:rsidRDefault="008D2649" w:rsidP="00591B8E">
      <w:pPr>
        <w:pStyle w:val="Els-1storder-head"/>
        <w:spacing w:before="120"/>
        <w:rPr>
          <w:lang w:val="en-GB"/>
        </w:rPr>
      </w:pPr>
      <w:r w:rsidRPr="00A94774">
        <w:rPr>
          <w:lang w:val="en-GB"/>
        </w:rPr>
        <w:t>Conclusions</w:t>
      </w:r>
    </w:p>
    <w:p w14:paraId="144DE6BB" w14:textId="50F5ECDD" w:rsidR="008D2649" w:rsidRPr="00A94774" w:rsidRDefault="00B62D13" w:rsidP="008D2649">
      <w:pPr>
        <w:pStyle w:val="Els-body-text"/>
        <w:spacing w:after="120"/>
        <w:rPr>
          <w:lang w:val="en-GB"/>
        </w:rPr>
      </w:pPr>
      <w:r w:rsidRPr="00B62D13">
        <w:rPr>
          <w:lang w:val="en-GB"/>
        </w:rPr>
        <w:t xml:space="preserve">In this work, </w:t>
      </w:r>
      <w:proofErr w:type="gramStart"/>
      <w:r w:rsidRPr="00B62D13">
        <w:rPr>
          <w:lang w:val="en-GB"/>
        </w:rPr>
        <w:t>a</w:t>
      </w:r>
      <w:r w:rsidR="00C66AFC">
        <w:rPr>
          <w:lang w:val="en-GB"/>
        </w:rPr>
        <w:t>n</w:t>
      </w:r>
      <w:proofErr w:type="gramEnd"/>
      <w:r w:rsidRPr="00B62D13">
        <w:rPr>
          <w:lang w:val="en-GB"/>
        </w:rPr>
        <w:t xml:space="preserve"> MILP</w:t>
      </w:r>
      <w:r w:rsidR="00013F13">
        <w:rPr>
          <w:lang w:val="en-GB"/>
        </w:rPr>
        <w:t xml:space="preserve">-based </w:t>
      </w:r>
      <w:r w:rsidRPr="00B62D13">
        <w:rPr>
          <w:lang w:val="en-GB"/>
        </w:rPr>
        <w:t>model was presented to optimize daily production and delivery decisions when considering multiple truck sizes</w:t>
      </w:r>
      <w:r w:rsidR="006B54FA">
        <w:rPr>
          <w:lang w:val="en-GB"/>
        </w:rPr>
        <w:t xml:space="preserve"> and multiday trips</w:t>
      </w:r>
      <w:r w:rsidRPr="00B62D13">
        <w:rPr>
          <w:lang w:val="en-GB"/>
        </w:rPr>
        <w:t xml:space="preserve">. </w:t>
      </w:r>
      <w:r w:rsidR="00013F13">
        <w:rPr>
          <w:lang w:val="en-GB"/>
        </w:rPr>
        <w:t xml:space="preserve">Considering the </w:t>
      </w:r>
      <w:r w:rsidR="009B76F9" w:rsidRPr="000B066B">
        <w:rPr>
          <w:lang w:val="en-GB"/>
        </w:rPr>
        <w:t xml:space="preserve">distribution </w:t>
      </w:r>
      <w:r w:rsidR="00013F13">
        <w:rPr>
          <w:lang w:val="en-GB"/>
        </w:rPr>
        <w:t>decisions</w:t>
      </w:r>
      <w:r w:rsidR="009B76F9" w:rsidRPr="000B066B">
        <w:rPr>
          <w:lang w:val="en-GB"/>
        </w:rPr>
        <w:t>,</w:t>
      </w:r>
      <w:r w:rsidR="009B76F9">
        <w:rPr>
          <w:lang w:val="en-GB"/>
        </w:rPr>
        <w:t xml:space="preserve"> </w:t>
      </w:r>
      <w:r w:rsidR="00013F13">
        <w:rPr>
          <w:lang w:val="en-GB"/>
        </w:rPr>
        <w:t>it is important to remark that t</w:t>
      </w:r>
      <w:r w:rsidR="00013F13" w:rsidRPr="00013F13">
        <w:rPr>
          <w:lang w:val="en-GB"/>
        </w:rPr>
        <w:t xml:space="preserve">he way in which the types of trucks are represented in the </w:t>
      </w:r>
      <w:r w:rsidR="00013F13">
        <w:rPr>
          <w:lang w:val="en-GB"/>
        </w:rPr>
        <w:t xml:space="preserve">formulation </w:t>
      </w:r>
      <w:r w:rsidR="00013F13" w:rsidRPr="00013F13">
        <w:rPr>
          <w:lang w:val="en-GB"/>
        </w:rPr>
        <w:t xml:space="preserve">and the use of strategies for linking routes with the different </w:t>
      </w:r>
      <w:r w:rsidR="00013F13">
        <w:rPr>
          <w:lang w:val="en-GB"/>
        </w:rPr>
        <w:t xml:space="preserve">truck </w:t>
      </w:r>
      <w:r w:rsidR="00013F13" w:rsidRPr="00013F13">
        <w:rPr>
          <w:lang w:val="en-GB"/>
        </w:rPr>
        <w:t xml:space="preserve">sizes allow </w:t>
      </w:r>
      <w:r w:rsidR="00013F13">
        <w:rPr>
          <w:lang w:val="en-GB"/>
        </w:rPr>
        <w:t>obtaining v</w:t>
      </w:r>
      <w:r w:rsidR="00013F13" w:rsidRPr="00013F13">
        <w:rPr>
          <w:lang w:val="en-GB"/>
        </w:rPr>
        <w:t>ery good quality solutions in short CPU times.</w:t>
      </w:r>
      <w:r w:rsidR="00013F13">
        <w:rPr>
          <w:lang w:val="en-GB"/>
        </w:rPr>
        <w:t xml:space="preserve"> F</w:t>
      </w:r>
      <w:r w:rsidR="00013F13" w:rsidRPr="00013F13">
        <w:rPr>
          <w:lang w:val="en-GB"/>
        </w:rPr>
        <w:t>rom a practical point of view</w:t>
      </w:r>
      <w:r w:rsidR="00013F13">
        <w:rPr>
          <w:lang w:val="en-GB"/>
        </w:rPr>
        <w:t>, t</w:t>
      </w:r>
      <w:r w:rsidRPr="00B62D13">
        <w:rPr>
          <w:lang w:val="en-GB"/>
        </w:rPr>
        <w:t>he analysis of various scenarios</w:t>
      </w:r>
      <w:r w:rsidR="00013F13">
        <w:rPr>
          <w:lang w:val="en-GB"/>
        </w:rPr>
        <w:t xml:space="preserve"> address</w:t>
      </w:r>
      <w:r w:rsidR="006B54FA">
        <w:rPr>
          <w:lang w:val="en-GB"/>
        </w:rPr>
        <w:t>ed</w:t>
      </w:r>
      <w:r w:rsidR="00013F13">
        <w:rPr>
          <w:lang w:val="en-GB"/>
        </w:rPr>
        <w:t xml:space="preserve"> shows the advantage of </w:t>
      </w:r>
      <w:r w:rsidRPr="00B62D13">
        <w:rPr>
          <w:lang w:val="en-GB"/>
        </w:rPr>
        <w:t xml:space="preserve">incorporating trucks of different sizes </w:t>
      </w:r>
      <w:r w:rsidR="006B54FA">
        <w:rPr>
          <w:lang w:val="en-GB"/>
        </w:rPr>
        <w:t xml:space="preserve">in order to </w:t>
      </w:r>
      <w:r w:rsidRPr="00B62D13">
        <w:rPr>
          <w:lang w:val="en-GB"/>
        </w:rPr>
        <w:t xml:space="preserve">improve transport efficiency and reduce distribution costs. </w:t>
      </w:r>
    </w:p>
    <w:p w14:paraId="0A8B6FC6" w14:textId="74721B2E" w:rsidR="00AA54AF" w:rsidRPr="00AA54AF" w:rsidRDefault="008D2649" w:rsidP="00591B8E">
      <w:pPr>
        <w:pStyle w:val="Els-reference-head"/>
        <w:spacing w:before="120"/>
        <w:rPr>
          <w:lang w:val="es-AR"/>
        </w:rPr>
      </w:pPr>
      <w:proofErr w:type="spellStart"/>
      <w:r w:rsidRPr="00820CB3">
        <w:rPr>
          <w:lang w:val="es-AR"/>
        </w:rPr>
        <w:t>References</w:t>
      </w:r>
      <w:proofErr w:type="spellEnd"/>
    </w:p>
    <w:p w14:paraId="3BC78378" w14:textId="667377B1" w:rsidR="00AA54AF" w:rsidRPr="000E54D1" w:rsidRDefault="00AA54AF" w:rsidP="00AA54AF">
      <w:pPr>
        <w:pStyle w:val="Els-referenceno-number"/>
        <w:rPr>
          <w:szCs w:val="18"/>
          <w:lang w:val="en-US"/>
        </w:rPr>
      </w:pPr>
      <w:r w:rsidRPr="000E54D1">
        <w:rPr>
          <w:szCs w:val="18"/>
          <w:lang w:val="es-AR"/>
        </w:rPr>
        <w:t xml:space="preserve">Barbosa-Povoa, A.P., Pinto, J.M., 2020. </w:t>
      </w:r>
      <w:r w:rsidRPr="000E54D1">
        <w:rPr>
          <w:szCs w:val="18"/>
          <w:lang w:val="en-US"/>
        </w:rPr>
        <w:t xml:space="preserve">Process supply chains: Perspectives from academia and industry. Comput Chem Eng 132, 106606. </w:t>
      </w:r>
      <w:hyperlink r:id="rId16" w:history="1">
        <w:r w:rsidR="00D804D3" w:rsidRPr="000E54D1">
          <w:rPr>
            <w:rStyle w:val="Hipervnculo"/>
            <w:color w:val="auto"/>
            <w:szCs w:val="18"/>
            <w:u w:val="none"/>
            <w:lang w:val="en-US"/>
          </w:rPr>
          <w:t>https://doi.org/10.1016/J.COMPCHEMENG.2019.106606</w:t>
        </w:r>
      </w:hyperlink>
    </w:p>
    <w:p w14:paraId="700B65D6" w14:textId="1CF2D784" w:rsidR="00AA54AF" w:rsidRPr="000E54D1" w:rsidRDefault="00AA54AF" w:rsidP="00AA54AF">
      <w:pPr>
        <w:pStyle w:val="Els-referenceno-number"/>
        <w:rPr>
          <w:szCs w:val="18"/>
          <w:lang w:val="en-US"/>
        </w:rPr>
      </w:pPr>
      <w:r w:rsidRPr="000E54D1">
        <w:rPr>
          <w:szCs w:val="18"/>
          <w:lang w:val="en-US"/>
        </w:rPr>
        <w:t xml:space="preserve">Bonino, S.G., Zeballos, L.J., Moolya, A., Lainez, J., Pinto, J.M., Grossmann, I.E., Méndez, C.A., 2023. A MILP-based approach to manage logistics in large industrial gas supply chains. Computer Aided Chemical Engineering 52, 3319–3324. </w:t>
      </w:r>
      <w:hyperlink r:id="rId17" w:history="1">
        <w:r w:rsidR="00D93098" w:rsidRPr="000E54D1">
          <w:rPr>
            <w:rStyle w:val="Hipervnculo"/>
            <w:color w:val="auto"/>
            <w:szCs w:val="18"/>
            <w:u w:val="none"/>
            <w:lang w:val="en-US"/>
          </w:rPr>
          <w:t>https://doi.org/10.1016/B978-0-443-15274-0.50529-1</w:t>
        </w:r>
      </w:hyperlink>
    </w:p>
    <w:p w14:paraId="2A1648D3" w14:textId="4C66E023" w:rsidR="00B62D13" w:rsidRPr="000E54D1" w:rsidRDefault="00AA54AF" w:rsidP="00AA54AF">
      <w:pPr>
        <w:pStyle w:val="Els-referenceno-number"/>
        <w:rPr>
          <w:szCs w:val="18"/>
          <w:lang w:val="en-US"/>
        </w:rPr>
      </w:pPr>
      <w:r w:rsidRPr="000E54D1">
        <w:rPr>
          <w:szCs w:val="18"/>
          <w:lang w:val="en-US"/>
        </w:rPr>
        <w:t xml:space="preserve">Ramaswamy, S., Madan, T., Thyagarajan, K., Pinto, J.M., Laínez-Aguirre, J.M., 2020. Advanced decision-support technologies for the design and management of industrial gas supply chains. Smart Manufacturing: Applications and Case Studies 387–421. </w:t>
      </w:r>
      <w:hyperlink r:id="rId18" w:history="1">
        <w:r w:rsidR="00D93098" w:rsidRPr="000E54D1">
          <w:rPr>
            <w:rStyle w:val="Hipervnculo"/>
            <w:color w:val="auto"/>
            <w:szCs w:val="18"/>
            <w:u w:val="none"/>
            <w:lang w:val="en-US"/>
          </w:rPr>
          <w:t>https://doi.org/10.1016/B978-0-12-820028-5.00011-4</w:t>
        </w:r>
      </w:hyperlink>
    </w:p>
    <w:p w14:paraId="7EF70296" w14:textId="4D8B6FF4" w:rsidR="00D93098" w:rsidRDefault="00D93098" w:rsidP="00AA54AF">
      <w:pPr>
        <w:pStyle w:val="Els-referenceno-number"/>
        <w:rPr>
          <w:szCs w:val="18"/>
          <w:lang w:val="en-US"/>
        </w:rPr>
      </w:pPr>
    </w:p>
    <w:p w14:paraId="7952D53B" w14:textId="77777777" w:rsidR="00D93098" w:rsidRPr="00BE40EC" w:rsidRDefault="00D93098" w:rsidP="00AA54AF">
      <w:pPr>
        <w:pStyle w:val="Els-referenceno-number"/>
        <w:rPr>
          <w:szCs w:val="18"/>
          <w:lang w:val="en-US"/>
        </w:rPr>
      </w:pPr>
    </w:p>
    <w:sectPr w:rsidR="00D93098" w:rsidRPr="00BE40EC" w:rsidSect="008B018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DABB" w14:textId="77777777" w:rsidR="001F23F8" w:rsidRDefault="001F23F8">
      <w:r>
        <w:separator/>
      </w:r>
    </w:p>
  </w:endnote>
  <w:endnote w:type="continuationSeparator" w:id="0">
    <w:p w14:paraId="33A8F959" w14:textId="77777777" w:rsidR="001F23F8" w:rsidRDefault="001F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3ADA" w14:textId="77777777" w:rsidR="001F23F8" w:rsidRDefault="001F23F8">
      <w:r>
        <w:separator/>
      </w:r>
    </w:p>
  </w:footnote>
  <w:footnote w:type="continuationSeparator" w:id="0">
    <w:p w14:paraId="55A75FFB" w14:textId="77777777" w:rsidR="001F23F8" w:rsidRDefault="001F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A54D2CD" w:rsidR="00D30A5A" w:rsidRPr="006A14DD" w:rsidRDefault="00D30A5A">
    <w:pPr>
      <w:pStyle w:val="Encabezado"/>
      <w:tabs>
        <w:tab w:val="clear" w:pos="7200"/>
        <w:tab w:val="right" w:pos="7088"/>
      </w:tabs>
      <w:rPr>
        <w:lang w:val="es-AR"/>
      </w:rPr>
    </w:pPr>
    <w:r>
      <w:rPr>
        <w:rStyle w:val="Nmerodepgina"/>
      </w:rPr>
      <w:tab/>
    </w:r>
    <w:r>
      <w:rPr>
        <w:rStyle w:val="Nmerodepgina"/>
        <w:i/>
      </w:rPr>
      <w:tab/>
    </w:r>
    <w:r w:rsidRPr="006A14DD">
      <w:rPr>
        <w:i/>
        <w:lang w:val="es-AR"/>
      </w:rPr>
      <w:t>S. G. Bonino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6D5B822" w:rsidR="00D30A5A" w:rsidRDefault="00D30A5A" w:rsidP="00565369">
    <w:pPr>
      <w:pStyle w:val="Encabezado"/>
      <w:tabs>
        <w:tab w:val="clear" w:pos="7200"/>
        <w:tab w:val="right" w:pos="7088"/>
      </w:tabs>
      <w:rPr>
        <w:sz w:val="24"/>
      </w:rPr>
    </w:pPr>
    <w:r w:rsidRPr="00565369">
      <w:rPr>
        <w:i/>
      </w:rPr>
      <w:t>A MILP based-approach to logistics of air separation supply chains with a</w:t>
    </w:r>
    <w:r>
      <w:rPr>
        <w:i/>
      </w:rPr>
      <w:t xml:space="preserve"> </w:t>
    </w:r>
    <w:r w:rsidRPr="00565369">
      <w:rPr>
        <w:i/>
      </w:rPr>
      <w:t>heterogeneous fleet of trucks</w:t>
    </w:r>
    <w:r>
      <w:rPr>
        <w:rStyle w:val="Nmerodepgina"/>
        <w:i/>
        <w:sz w:val="24"/>
      </w:rPr>
      <w:tab/>
    </w:r>
    <w:r>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D30A5A" w:rsidRPr="003B50B5" w:rsidRDefault="00D30A5A"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30A5A" w:rsidRDefault="00D30A5A"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284"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673767"/>
    <w:multiLevelType w:val="hybridMultilevel"/>
    <w:tmpl w:val="B99E93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AE4AF5"/>
    <w:multiLevelType w:val="hybridMultilevel"/>
    <w:tmpl w:val="D8ACDA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D156DAC"/>
    <w:multiLevelType w:val="hybridMultilevel"/>
    <w:tmpl w:val="80DCEA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5F80"/>
    <w:rsid w:val="00013F13"/>
    <w:rsid w:val="00030B3C"/>
    <w:rsid w:val="00054394"/>
    <w:rsid w:val="0006181B"/>
    <w:rsid w:val="00092322"/>
    <w:rsid w:val="00097655"/>
    <w:rsid w:val="000A50D8"/>
    <w:rsid w:val="000A6C92"/>
    <w:rsid w:val="000B066B"/>
    <w:rsid w:val="000B1F0E"/>
    <w:rsid w:val="000C2B92"/>
    <w:rsid w:val="000D1D9A"/>
    <w:rsid w:val="000D3D9B"/>
    <w:rsid w:val="000D4C38"/>
    <w:rsid w:val="000E54D1"/>
    <w:rsid w:val="000F6698"/>
    <w:rsid w:val="001059E8"/>
    <w:rsid w:val="001143C3"/>
    <w:rsid w:val="00130ED2"/>
    <w:rsid w:val="00134106"/>
    <w:rsid w:val="001450D5"/>
    <w:rsid w:val="0016032F"/>
    <w:rsid w:val="00170FF1"/>
    <w:rsid w:val="00173CA4"/>
    <w:rsid w:val="001810FC"/>
    <w:rsid w:val="0018571B"/>
    <w:rsid w:val="001879F6"/>
    <w:rsid w:val="001B2A58"/>
    <w:rsid w:val="001B74BE"/>
    <w:rsid w:val="001C0148"/>
    <w:rsid w:val="001C3C0A"/>
    <w:rsid w:val="001C4638"/>
    <w:rsid w:val="001C757E"/>
    <w:rsid w:val="001D3372"/>
    <w:rsid w:val="001F23F8"/>
    <w:rsid w:val="001F652B"/>
    <w:rsid w:val="00200134"/>
    <w:rsid w:val="00201954"/>
    <w:rsid w:val="0020390F"/>
    <w:rsid w:val="00220B15"/>
    <w:rsid w:val="002255E9"/>
    <w:rsid w:val="00244E32"/>
    <w:rsid w:val="00264926"/>
    <w:rsid w:val="002676B6"/>
    <w:rsid w:val="002769CC"/>
    <w:rsid w:val="00286FF4"/>
    <w:rsid w:val="002935A8"/>
    <w:rsid w:val="002A550A"/>
    <w:rsid w:val="002B2155"/>
    <w:rsid w:val="002B2B74"/>
    <w:rsid w:val="002B3183"/>
    <w:rsid w:val="002D01C2"/>
    <w:rsid w:val="002D0406"/>
    <w:rsid w:val="002D3690"/>
    <w:rsid w:val="002D664C"/>
    <w:rsid w:val="002D688A"/>
    <w:rsid w:val="002F72A5"/>
    <w:rsid w:val="00313F0D"/>
    <w:rsid w:val="00320E01"/>
    <w:rsid w:val="00323179"/>
    <w:rsid w:val="003236BA"/>
    <w:rsid w:val="003317AB"/>
    <w:rsid w:val="003329F7"/>
    <w:rsid w:val="003355A3"/>
    <w:rsid w:val="00340104"/>
    <w:rsid w:val="00345A9E"/>
    <w:rsid w:val="00356B9F"/>
    <w:rsid w:val="00356C86"/>
    <w:rsid w:val="00362AA6"/>
    <w:rsid w:val="00384EB7"/>
    <w:rsid w:val="003857E1"/>
    <w:rsid w:val="00392BF8"/>
    <w:rsid w:val="00394CD5"/>
    <w:rsid w:val="003A1807"/>
    <w:rsid w:val="003D0C59"/>
    <w:rsid w:val="003D1582"/>
    <w:rsid w:val="003D7E4C"/>
    <w:rsid w:val="003E41C2"/>
    <w:rsid w:val="003E4281"/>
    <w:rsid w:val="003F7624"/>
    <w:rsid w:val="00404150"/>
    <w:rsid w:val="004124BA"/>
    <w:rsid w:val="00412709"/>
    <w:rsid w:val="00422F5F"/>
    <w:rsid w:val="00434ACC"/>
    <w:rsid w:val="00435D63"/>
    <w:rsid w:val="004639C0"/>
    <w:rsid w:val="00470AD9"/>
    <w:rsid w:val="004756E7"/>
    <w:rsid w:val="00475849"/>
    <w:rsid w:val="0048113B"/>
    <w:rsid w:val="0048435C"/>
    <w:rsid w:val="00491D05"/>
    <w:rsid w:val="00496CDA"/>
    <w:rsid w:val="0049772C"/>
    <w:rsid w:val="004C0417"/>
    <w:rsid w:val="004D3837"/>
    <w:rsid w:val="004E47E9"/>
    <w:rsid w:val="004E5A96"/>
    <w:rsid w:val="004E6B29"/>
    <w:rsid w:val="004E6FF4"/>
    <w:rsid w:val="004F3054"/>
    <w:rsid w:val="00501295"/>
    <w:rsid w:val="00502355"/>
    <w:rsid w:val="00511D2E"/>
    <w:rsid w:val="00533153"/>
    <w:rsid w:val="00552EEB"/>
    <w:rsid w:val="00556944"/>
    <w:rsid w:val="00560099"/>
    <w:rsid w:val="00560875"/>
    <w:rsid w:val="00565369"/>
    <w:rsid w:val="00571465"/>
    <w:rsid w:val="00584835"/>
    <w:rsid w:val="00591B8E"/>
    <w:rsid w:val="00592B14"/>
    <w:rsid w:val="005A3FF5"/>
    <w:rsid w:val="005C488E"/>
    <w:rsid w:val="005D003D"/>
    <w:rsid w:val="005D558E"/>
    <w:rsid w:val="005E36FB"/>
    <w:rsid w:val="005E3E76"/>
    <w:rsid w:val="005F316E"/>
    <w:rsid w:val="005F73C7"/>
    <w:rsid w:val="00611DC7"/>
    <w:rsid w:val="00612984"/>
    <w:rsid w:val="00615B61"/>
    <w:rsid w:val="006352D1"/>
    <w:rsid w:val="0063586B"/>
    <w:rsid w:val="00640584"/>
    <w:rsid w:val="00663241"/>
    <w:rsid w:val="006718B4"/>
    <w:rsid w:val="00682FB2"/>
    <w:rsid w:val="00687A5F"/>
    <w:rsid w:val="00692544"/>
    <w:rsid w:val="006A05D5"/>
    <w:rsid w:val="006A14DD"/>
    <w:rsid w:val="006A69BF"/>
    <w:rsid w:val="006B38A2"/>
    <w:rsid w:val="006B54FA"/>
    <w:rsid w:val="006B59FE"/>
    <w:rsid w:val="006C6051"/>
    <w:rsid w:val="006D2144"/>
    <w:rsid w:val="006D5824"/>
    <w:rsid w:val="006E3FBC"/>
    <w:rsid w:val="006F7A99"/>
    <w:rsid w:val="00701574"/>
    <w:rsid w:val="00711DF4"/>
    <w:rsid w:val="007121DB"/>
    <w:rsid w:val="00713AD3"/>
    <w:rsid w:val="0072144E"/>
    <w:rsid w:val="007273CB"/>
    <w:rsid w:val="00742599"/>
    <w:rsid w:val="00744CF5"/>
    <w:rsid w:val="00752FB7"/>
    <w:rsid w:val="007530CD"/>
    <w:rsid w:val="00762E4F"/>
    <w:rsid w:val="007779E5"/>
    <w:rsid w:val="00793C18"/>
    <w:rsid w:val="007975DE"/>
    <w:rsid w:val="007A4098"/>
    <w:rsid w:val="007A43F8"/>
    <w:rsid w:val="007C02CE"/>
    <w:rsid w:val="007C4A1C"/>
    <w:rsid w:val="007C58A0"/>
    <w:rsid w:val="007D70A1"/>
    <w:rsid w:val="007E6382"/>
    <w:rsid w:val="007F0750"/>
    <w:rsid w:val="007F207E"/>
    <w:rsid w:val="007F742E"/>
    <w:rsid w:val="00800A98"/>
    <w:rsid w:val="00804029"/>
    <w:rsid w:val="00810BCC"/>
    <w:rsid w:val="008132E8"/>
    <w:rsid w:val="00820CB3"/>
    <w:rsid w:val="00823407"/>
    <w:rsid w:val="0083325D"/>
    <w:rsid w:val="00833561"/>
    <w:rsid w:val="00844CC9"/>
    <w:rsid w:val="00845CD8"/>
    <w:rsid w:val="00850759"/>
    <w:rsid w:val="00870F3F"/>
    <w:rsid w:val="0087535F"/>
    <w:rsid w:val="00883108"/>
    <w:rsid w:val="008858A1"/>
    <w:rsid w:val="0089436D"/>
    <w:rsid w:val="008B0184"/>
    <w:rsid w:val="008B29DA"/>
    <w:rsid w:val="008C5D02"/>
    <w:rsid w:val="008C7531"/>
    <w:rsid w:val="008D2649"/>
    <w:rsid w:val="008E4A08"/>
    <w:rsid w:val="008E79C7"/>
    <w:rsid w:val="0090568D"/>
    <w:rsid w:val="009067AC"/>
    <w:rsid w:val="009125C9"/>
    <w:rsid w:val="00913879"/>
    <w:rsid w:val="00917661"/>
    <w:rsid w:val="00946134"/>
    <w:rsid w:val="009507AF"/>
    <w:rsid w:val="00951B40"/>
    <w:rsid w:val="00970E5D"/>
    <w:rsid w:val="009724AA"/>
    <w:rsid w:val="0097701C"/>
    <w:rsid w:val="00980A65"/>
    <w:rsid w:val="009821CC"/>
    <w:rsid w:val="00982554"/>
    <w:rsid w:val="00987AA1"/>
    <w:rsid w:val="0099180B"/>
    <w:rsid w:val="009A1643"/>
    <w:rsid w:val="009A3534"/>
    <w:rsid w:val="009B2D70"/>
    <w:rsid w:val="009B4137"/>
    <w:rsid w:val="009B76F9"/>
    <w:rsid w:val="009C2D39"/>
    <w:rsid w:val="009C56A7"/>
    <w:rsid w:val="009D0D02"/>
    <w:rsid w:val="009E4C99"/>
    <w:rsid w:val="009E6636"/>
    <w:rsid w:val="009F57BC"/>
    <w:rsid w:val="00A06685"/>
    <w:rsid w:val="00A17805"/>
    <w:rsid w:val="00A25E70"/>
    <w:rsid w:val="00A277BD"/>
    <w:rsid w:val="00A3218D"/>
    <w:rsid w:val="00A32930"/>
    <w:rsid w:val="00A33765"/>
    <w:rsid w:val="00A37FB7"/>
    <w:rsid w:val="00A41468"/>
    <w:rsid w:val="00A4281F"/>
    <w:rsid w:val="00A52CA9"/>
    <w:rsid w:val="00A52D07"/>
    <w:rsid w:val="00A544B4"/>
    <w:rsid w:val="00A63269"/>
    <w:rsid w:val="00A644CD"/>
    <w:rsid w:val="00A65DD6"/>
    <w:rsid w:val="00A67699"/>
    <w:rsid w:val="00A80EAA"/>
    <w:rsid w:val="00A867A3"/>
    <w:rsid w:val="00A92377"/>
    <w:rsid w:val="00A95601"/>
    <w:rsid w:val="00A95AB0"/>
    <w:rsid w:val="00A9624C"/>
    <w:rsid w:val="00AA54AF"/>
    <w:rsid w:val="00AA5AF7"/>
    <w:rsid w:val="00AB29ED"/>
    <w:rsid w:val="00AE307B"/>
    <w:rsid w:val="00AE4BD8"/>
    <w:rsid w:val="00AF6FA8"/>
    <w:rsid w:val="00B01D6A"/>
    <w:rsid w:val="00B145CD"/>
    <w:rsid w:val="00B2157B"/>
    <w:rsid w:val="00B24240"/>
    <w:rsid w:val="00B41CF0"/>
    <w:rsid w:val="00B4388F"/>
    <w:rsid w:val="00B50143"/>
    <w:rsid w:val="00B50FC7"/>
    <w:rsid w:val="00B54931"/>
    <w:rsid w:val="00B55D7E"/>
    <w:rsid w:val="00B62D13"/>
    <w:rsid w:val="00B63237"/>
    <w:rsid w:val="00B64271"/>
    <w:rsid w:val="00B67434"/>
    <w:rsid w:val="00B67DCB"/>
    <w:rsid w:val="00B76B1C"/>
    <w:rsid w:val="00B83661"/>
    <w:rsid w:val="00B91AB2"/>
    <w:rsid w:val="00BA5243"/>
    <w:rsid w:val="00BB5A9F"/>
    <w:rsid w:val="00BB6954"/>
    <w:rsid w:val="00BB7A8C"/>
    <w:rsid w:val="00BC7231"/>
    <w:rsid w:val="00BD4C99"/>
    <w:rsid w:val="00BE40EC"/>
    <w:rsid w:val="00BE6BD8"/>
    <w:rsid w:val="00BF08E5"/>
    <w:rsid w:val="00C005EA"/>
    <w:rsid w:val="00C11ADE"/>
    <w:rsid w:val="00C11CF9"/>
    <w:rsid w:val="00C11EC4"/>
    <w:rsid w:val="00C13A43"/>
    <w:rsid w:val="00C15258"/>
    <w:rsid w:val="00C276FF"/>
    <w:rsid w:val="00C32C21"/>
    <w:rsid w:val="00C35786"/>
    <w:rsid w:val="00C475C4"/>
    <w:rsid w:val="00C47BC7"/>
    <w:rsid w:val="00C52162"/>
    <w:rsid w:val="00C60878"/>
    <w:rsid w:val="00C60A2A"/>
    <w:rsid w:val="00C639BB"/>
    <w:rsid w:val="00C66AFC"/>
    <w:rsid w:val="00C71FFC"/>
    <w:rsid w:val="00C7413E"/>
    <w:rsid w:val="00C741A4"/>
    <w:rsid w:val="00C755F0"/>
    <w:rsid w:val="00C960DC"/>
    <w:rsid w:val="00CA0D82"/>
    <w:rsid w:val="00CA3930"/>
    <w:rsid w:val="00CA5C1B"/>
    <w:rsid w:val="00CC75BD"/>
    <w:rsid w:val="00CD0971"/>
    <w:rsid w:val="00CE7D83"/>
    <w:rsid w:val="00CF3754"/>
    <w:rsid w:val="00CF3F6D"/>
    <w:rsid w:val="00D02C75"/>
    <w:rsid w:val="00D10E22"/>
    <w:rsid w:val="00D13D2C"/>
    <w:rsid w:val="00D30A5A"/>
    <w:rsid w:val="00D34136"/>
    <w:rsid w:val="00D4316D"/>
    <w:rsid w:val="00D47F39"/>
    <w:rsid w:val="00D614E8"/>
    <w:rsid w:val="00D61EB3"/>
    <w:rsid w:val="00D63A92"/>
    <w:rsid w:val="00D732AE"/>
    <w:rsid w:val="00D804D3"/>
    <w:rsid w:val="00D8706E"/>
    <w:rsid w:val="00D90508"/>
    <w:rsid w:val="00D93098"/>
    <w:rsid w:val="00DB1D40"/>
    <w:rsid w:val="00DB5B66"/>
    <w:rsid w:val="00DB5FD5"/>
    <w:rsid w:val="00DC2F94"/>
    <w:rsid w:val="00DD3D9E"/>
    <w:rsid w:val="00DD7908"/>
    <w:rsid w:val="00DE12AD"/>
    <w:rsid w:val="00DE6823"/>
    <w:rsid w:val="00E138A7"/>
    <w:rsid w:val="00E16D9C"/>
    <w:rsid w:val="00E263C7"/>
    <w:rsid w:val="00E33DF0"/>
    <w:rsid w:val="00E34D53"/>
    <w:rsid w:val="00E37E75"/>
    <w:rsid w:val="00E51F45"/>
    <w:rsid w:val="00E54B54"/>
    <w:rsid w:val="00E54BDD"/>
    <w:rsid w:val="00E626B4"/>
    <w:rsid w:val="00E627DF"/>
    <w:rsid w:val="00E66FB1"/>
    <w:rsid w:val="00E676BD"/>
    <w:rsid w:val="00E7200D"/>
    <w:rsid w:val="00E80B89"/>
    <w:rsid w:val="00E80DBE"/>
    <w:rsid w:val="00E81C23"/>
    <w:rsid w:val="00E82297"/>
    <w:rsid w:val="00E83CD4"/>
    <w:rsid w:val="00E90973"/>
    <w:rsid w:val="00EA39E1"/>
    <w:rsid w:val="00EA7445"/>
    <w:rsid w:val="00EB6067"/>
    <w:rsid w:val="00ED2BEF"/>
    <w:rsid w:val="00EE14C4"/>
    <w:rsid w:val="00EE5E9A"/>
    <w:rsid w:val="00EE6FDB"/>
    <w:rsid w:val="00EF39FD"/>
    <w:rsid w:val="00EF7544"/>
    <w:rsid w:val="00F0617A"/>
    <w:rsid w:val="00F06842"/>
    <w:rsid w:val="00F107FD"/>
    <w:rsid w:val="00F16093"/>
    <w:rsid w:val="00F21C5D"/>
    <w:rsid w:val="00F22135"/>
    <w:rsid w:val="00F34EFF"/>
    <w:rsid w:val="00F679AF"/>
    <w:rsid w:val="00F67E49"/>
    <w:rsid w:val="00F825E8"/>
    <w:rsid w:val="00F8300A"/>
    <w:rsid w:val="00F92F0D"/>
    <w:rsid w:val="00FA7027"/>
    <w:rsid w:val="00FB64A8"/>
    <w:rsid w:val="00FC576C"/>
    <w:rsid w:val="00FC6D31"/>
    <w:rsid w:val="00FD15E7"/>
    <w:rsid w:val="00FD5062"/>
    <w:rsid w:val="00FE7308"/>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Mencinsinresolver1">
    <w:name w:val="Mención sin resolver1"/>
    <w:basedOn w:val="Fuentedeprrafopredeter"/>
    <w:uiPriority w:val="99"/>
    <w:semiHidden/>
    <w:unhideWhenUsed/>
    <w:rsid w:val="00CA3930"/>
    <w:rPr>
      <w:color w:val="605E5C"/>
      <w:shd w:val="clear" w:color="auto" w:fill="E1DFDD"/>
    </w:rPr>
  </w:style>
  <w:style w:type="character" w:styleId="Textodelmarcadordeposicin">
    <w:name w:val="Placeholder Text"/>
    <w:basedOn w:val="Fuentedeprrafopredeter"/>
    <w:uiPriority w:val="99"/>
    <w:semiHidden/>
    <w:rsid w:val="004E47E9"/>
    <w:rPr>
      <w:color w:val="808080"/>
    </w:rPr>
  </w:style>
  <w:style w:type="table" w:styleId="Tablaconcuadrcula">
    <w:name w:val="Table Grid"/>
    <w:basedOn w:val="Tablanormal"/>
    <w:uiPriority w:val="39"/>
    <w:rsid w:val="004E6B2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2144"/>
    <w:pPr>
      <w:spacing w:before="100" w:beforeAutospacing="1" w:after="100" w:afterAutospacing="1"/>
    </w:pPr>
    <w:rPr>
      <w:sz w:val="24"/>
      <w:szCs w:val="24"/>
      <w:lang w:val="es-AR" w:eastAsia="es-AR"/>
    </w:rPr>
  </w:style>
  <w:style w:type="character" w:styleId="Mencinsinresolver">
    <w:name w:val="Unresolved Mention"/>
    <w:basedOn w:val="Fuentedeprrafopredeter"/>
    <w:uiPriority w:val="99"/>
    <w:semiHidden/>
    <w:unhideWhenUsed/>
    <w:rsid w:val="00D93098"/>
    <w:rPr>
      <w:color w:val="605E5C"/>
      <w:shd w:val="clear" w:color="auto" w:fill="E1DFDD"/>
    </w:rPr>
  </w:style>
  <w:style w:type="character" w:styleId="Hipervnculovisitado">
    <w:name w:val="FollowedHyperlink"/>
    <w:basedOn w:val="Fuentedeprrafopredeter"/>
    <w:semiHidden/>
    <w:unhideWhenUsed/>
    <w:rsid w:val="00D80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542">
      <w:bodyDiv w:val="1"/>
      <w:marLeft w:val="0"/>
      <w:marRight w:val="0"/>
      <w:marTop w:val="0"/>
      <w:marBottom w:val="0"/>
      <w:divBdr>
        <w:top w:val="none" w:sz="0" w:space="0" w:color="auto"/>
        <w:left w:val="none" w:sz="0" w:space="0" w:color="auto"/>
        <w:bottom w:val="none" w:sz="0" w:space="0" w:color="auto"/>
        <w:right w:val="none" w:sz="0" w:space="0" w:color="auto"/>
      </w:divBdr>
      <w:divsChild>
        <w:div w:id="2089843265">
          <w:marLeft w:val="480"/>
          <w:marRight w:val="0"/>
          <w:marTop w:val="0"/>
          <w:marBottom w:val="0"/>
          <w:divBdr>
            <w:top w:val="none" w:sz="0" w:space="0" w:color="auto"/>
            <w:left w:val="none" w:sz="0" w:space="0" w:color="auto"/>
            <w:bottom w:val="none" w:sz="0" w:space="0" w:color="auto"/>
            <w:right w:val="none" w:sz="0" w:space="0" w:color="auto"/>
          </w:divBdr>
        </w:div>
        <w:div w:id="1066337505">
          <w:marLeft w:val="480"/>
          <w:marRight w:val="0"/>
          <w:marTop w:val="0"/>
          <w:marBottom w:val="0"/>
          <w:divBdr>
            <w:top w:val="none" w:sz="0" w:space="0" w:color="auto"/>
            <w:left w:val="none" w:sz="0" w:space="0" w:color="auto"/>
            <w:bottom w:val="none" w:sz="0" w:space="0" w:color="auto"/>
            <w:right w:val="none" w:sz="0" w:space="0" w:color="auto"/>
          </w:divBdr>
        </w:div>
        <w:div w:id="637342144">
          <w:marLeft w:val="480"/>
          <w:marRight w:val="0"/>
          <w:marTop w:val="0"/>
          <w:marBottom w:val="0"/>
          <w:divBdr>
            <w:top w:val="none" w:sz="0" w:space="0" w:color="auto"/>
            <w:left w:val="none" w:sz="0" w:space="0" w:color="auto"/>
            <w:bottom w:val="none" w:sz="0" w:space="0" w:color="auto"/>
            <w:right w:val="none" w:sz="0" w:space="0" w:color="auto"/>
          </w:divBdr>
        </w:div>
      </w:divsChild>
    </w:div>
    <w:div w:id="37433167">
      <w:bodyDiv w:val="1"/>
      <w:marLeft w:val="0"/>
      <w:marRight w:val="0"/>
      <w:marTop w:val="0"/>
      <w:marBottom w:val="0"/>
      <w:divBdr>
        <w:top w:val="none" w:sz="0" w:space="0" w:color="auto"/>
        <w:left w:val="none" w:sz="0" w:space="0" w:color="auto"/>
        <w:bottom w:val="none" w:sz="0" w:space="0" w:color="auto"/>
        <w:right w:val="none" w:sz="0" w:space="0" w:color="auto"/>
      </w:divBdr>
    </w:div>
    <w:div w:id="487208671">
      <w:bodyDiv w:val="1"/>
      <w:marLeft w:val="0"/>
      <w:marRight w:val="0"/>
      <w:marTop w:val="0"/>
      <w:marBottom w:val="0"/>
      <w:divBdr>
        <w:top w:val="none" w:sz="0" w:space="0" w:color="auto"/>
        <w:left w:val="none" w:sz="0" w:space="0" w:color="auto"/>
        <w:bottom w:val="none" w:sz="0" w:space="0" w:color="auto"/>
        <w:right w:val="none" w:sz="0" w:space="0" w:color="auto"/>
      </w:divBdr>
    </w:div>
    <w:div w:id="743260360">
      <w:bodyDiv w:val="1"/>
      <w:marLeft w:val="0"/>
      <w:marRight w:val="0"/>
      <w:marTop w:val="0"/>
      <w:marBottom w:val="0"/>
      <w:divBdr>
        <w:top w:val="none" w:sz="0" w:space="0" w:color="auto"/>
        <w:left w:val="none" w:sz="0" w:space="0" w:color="auto"/>
        <w:bottom w:val="none" w:sz="0" w:space="0" w:color="auto"/>
        <w:right w:val="none" w:sz="0" w:space="0" w:color="auto"/>
      </w:divBdr>
      <w:divsChild>
        <w:div w:id="207768247">
          <w:marLeft w:val="480"/>
          <w:marRight w:val="0"/>
          <w:marTop w:val="0"/>
          <w:marBottom w:val="0"/>
          <w:divBdr>
            <w:top w:val="none" w:sz="0" w:space="0" w:color="auto"/>
            <w:left w:val="none" w:sz="0" w:space="0" w:color="auto"/>
            <w:bottom w:val="none" w:sz="0" w:space="0" w:color="auto"/>
            <w:right w:val="none" w:sz="0" w:space="0" w:color="auto"/>
          </w:divBdr>
        </w:div>
        <w:div w:id="2078092389">
          <w:marLeft w:val="480"/>
          <w:marRight w:val="0"/>
          <w:marTop w:val="0"/>
          <w:marBottom w:val="0"/>
          <w:divBdr>
            <w:top w:val="none" w:sz="0" w:space="0" w:color="auto"/>
            <w:left w:val="none" w:sz="0" w:space="0" w:color="auto"/>
            <w:bottom w:val="none" w:sz="0" w:space="0" w:color="auto"/>
            <w:right w:val="none" w:sz="0" w:space="0" w:color="auto"/>
          </w:divBdr>
        </w:div>
        <w:div w:id="939679351">
          <w:marLeft w:val="480"/>
          <w:marRight w:val="0"/>
          <w:marTop w:val="0"/>
          <w:marBottom w:val="0"/>
          <w:divBdr>
            <w:top w:val="none" w:sz="0" w:space="0" w:color="auto"/>
            <w:left w:val="none" w:sz="0" w:space="0" w:color="auto"/>
            <w:bottom w:val="none" w:sz="0" w:space="0" w:color="auto"/>
            <w:right w:val="none" w:sz="0" w:space="0" w:color="auto"/>
          </w:divBdr>
        </w:div>
      </w:divsChild>
    </w:div>
    <w:div w:id="936209465">
      <w:bodyDiv w:val="1"/>
      <w:marLeft w:val="0"/>
      <w:marRight w:val="0"/>
      <w:marTop w:val="0"/>
      <w:marBottom w:val="0"/>
      <w:divBdr>
        <w:top w:val="none" w:sz="0" w:space="0" w:color="auto"/>
        <w:left w:val="none" w:sz="0" w:space="0" w:color="auto"/>
        <w:bottom w:val="none" w:sz="0" w:space="0" w:color="auto"/>
        <w:right w:val="none" w:sz="0" w:space="0" w:color="auto"/>
      </w:divBdr>
    </w:div>
    <w:div w:id="1313102870">
      <w:bodyDiv w:val="1"/>
      <w:marLeft w:val="0"/>
      <w:marRight w:val="0"/>
      <w:marTop w:val="0"/>
      <w:marBottom w:val="0"/>
      <w:divBdr>
        <w:top w:val="none" w:sz="0" w:space="0" w:color="auto"/>
        <w:left w:val="none" w:sz="0" w:space="0" w:color="auto"/>
        <w:bottom w:val="none" w:sz="0" w:space="0" w:color="auto"/>
        <w:right w:val="none" w:sz="0" w:space="0" w:color="auto"/>
      </w:divBdr>
    </w:div>
    <w:div w:id="1516114924">
      <w:bodyDiv w:val="1"/>
      <w:marLeft w:val="0"/>
      <w:marRight w:val="0"/>
      <w:marTop w:val="0"/>
      <w:marBottom w:val="0"/>
      <w:divBdr>
        <w:top w:val="none" w:sz="0" w:space="0" w:color="auto"/>
        <w:left w:val="none" w:sz="0" w:space="0" w:color="auto"/>
        <w:bottom w:val="none" w:sz="0" w:space="0" w:color="auto"/>
        <w:right w:val="none" w:sz="0" w:space="0" w:color="auto"/>
      </w:divBdr>
    </w:div>
    <w:div w:id="1901668938">
      <w:bodyDiv w:val="1"/>
      <w:marLeft w:val="0"/>
      <w:marRight w:val="0"/>
      <w:marTop w:val="0"/>
      <w:marBottom w:val="0"/>
      <w:divBdr>
        <w:top w:val="none" w:sz="0" w:space="0" w:color="auto"/>
        <w:left w:val="none" w:sz="0" w:space="0" w:color="auto"/>
        <w:bottom w:val="none" w:sz="0" w:space="0" w:color="auto"/>
        <w:right w:val="none" w:sz="0" w:space="0" w:color="auto"/>
      </w:divBdr>
    </w:div>
    <w:div w:id="19343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doi.org/10.1016/B978-0-12-820028-5.000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16/B978-0-443-15274-0.50529-1" TargetMode="External"/><Relationship Id="rId2" Type="http://schemas.openxmlformats.org/officeDocument/2006/relationships/numbering" Target="numbering.xml"/><Relationship Id="rId16" Type="http://schemas.openxmlformats.org/officeDocument/2006/relationships/hyperlink" Target="https://doi.org/10.1016/J.COMPCHEMENG.2019.1066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60D0EA-9787-4E6C-A442-DCF8BFC6A022}">
  <we:reference id="wa104382081" version="1.55.1.0" store="es-ES" storeType="OMEX"/>
  <we:alternateReferences>
    <we:reference id="WA104382081" version="1.55.1.0" store="" storeType="OMEX"/>
  </we:alternateReferences>
  <we:properties>
    <we:property name="MENDELEY_CITATIONS" value="[{&quot;citationID&quot;:&quot;MENDELEY_CITATION_4712f0bb-ea8f-4eec-8d6c-70540659b86e&quot;,&quot;properties&quot;:{&quot;noteIndex&quot;:0},&quot;isEdited&quot;:false,&quot;manualOverride&quot;:{&quot;isManuallyOverridden&quot;:false,&quot;citeprocText&quot;:&quot;(Ramaswamy et al., 2020)&quot;,&quot;manualOverrideText&quot;:&quot;&quot;},&quot;citationTag&quot;:&quot;MENDELEY_CITATION_v3_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&quot;,&quot;citationItems&quot;:[{&quot;id&quot;:&quot;88229c2a-21cc-3a9f-8ea4-bc931112453b&quot;,&quot;itemData&quot;:{&quot;type&quot;:&quot;article-journal&quot;,&quot;id&quot;:&quot;88229c2a-21cc-3a9f-8ea4-bc931112453b&quot;,&quot;title&quot;:&quot;Advanced decision-support technologies for the design and management of industrial gas supply chains&quot;,&quot;author&quot;:[{&quot;family&quot;:&quot;Ramaswamy&quot;,&quot;given&quot;:&quot;Sivaraman&quot;,&quot;parse-names&quot;:false,&quot;dropping-particle&quot;:&quot;&quot;,&quot;non-dropping-particle&quot;:&quot;&quot;},{&quot;family&quot;:&quot;Madan&quot;,&quot;given&quot;:&quot;Tarun&quot;,&quot;parse-names&quot;:false,&quot;dropping-particle&quot;:&quot;&quot;,&quot;non-dropping-particle&quot;:&quot;&quot;},{&quot;family&quot;:&quot;Thyagarajan&quot;,&quot;given&quot;:&quot;Karthik&quot;,&quot;parse-names&quot;:false,&quot;dropping-particle&quot;:&quot;&quot;,&quot;non-dropping-particle&quot;:&quot;&quot;},{&quot;family&quot;:&quot;Pinto&quot;,&quot;given&quot;:&quot;Jose M.&quot;,&quot;parse-names&quot;:false,&quot;dropping-particle&quot;:&quot;&quot;,&quot;non-dropping-particle&quot;:&quot;&quot;},{&quot;family&quot;:&quot;Laínez-Aguirre&quot;,&quot;given&quot;:&quot;Jose M.&quot;,&quot;parse-names&quot;:false,&quot;dropping-particle&quot;:&quot;&quot;,&quot;non-dropping-particle&quot;:&quot;&quot;}],&quot;container-title&quot;:&quot;Smart Manufacturing: Applications and Case Studies&quot;,&quot;accessed&quot;:{&quot;date-parts&quot;:[[2023,9,24]]},&quot;DOI&quot;:&quot;10.1016/B978-0-12-820028-5.00011-4&quot;,&quot;ISBN&quot;:&quot;9780128200285&quot;,&quot;issued&quot;:{&quot;date-parts&quot;:[[2020,1,1]]},&quot;page&quot;:&quot;387-421&quot;,&quot;abstract&quot;:&quot;This chapter is concerned with the development and implementation of advanced decision-support technologies for the design and management of supply chains. By focusing on the industrial gas business, it explores the major contributions to the bulk industrial gases and the packaged gas supply chains. This chapter discusses problems that range from strategic network design, including plant reliability, to operational problems such as energy management multisite scheduling and planning, inventory optimization, and vehicle routing. Solutions that integrate business activities, such as production and distribution, are also reviewed and discussed. Moreover, this chapter emphasizes the opportunities to develop more comprehensive optimization models that address multiscale and uncertainty issues, as well as their associated tractability challenges. Finally, it concludes by highlighting the challenges associated with the increasing availability of internal and external real-time data and the deployment and implementation of decision-support systems in an industrial setting.&quot;,&quot;publisher&quot;:&quot;Elsevier&quot;,&quot;container-title-short&quot;:&quot;&quot;},&quot;isTemporary&quot;:false}]},{&quot;citationID&quot;:&quot;MENDELEY_CITATION_6d130495-6222-4fb7-aff7-2c265b1c25ca&quot;,&quot;properties&quot;:{&quot;noteIndex&quot;:0},&quot;isEdited&quot;:false,&quot;manualOverride&quot;:{&quot;isManuallyOverridden&quot;:false,&quot;citeprocText&quot;:&quot;(Barbosa-Povoa and Pinto, 2020)&quot;,&quot;manualOverrideText&quot;:&quot;&quot;},&quot;citationTag&quot;:&quot;MENDELEY_CITATION_v3_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&quot;,&quot;citationItems&quot;:[{&quot;id&quot;:&quot;b673dc9d-b22f-3901-a1f5-c4490620bf97&quot;,&quot;itemData&quot;:{&quot;type&quot;:&quot;article-journal&quot;,&quot;id&quot;:&quot;b673dc9d-b22f-3901-a1f5-c4490620bf97&quot;,&quot;title&quot;:&quot;Process supply chains: Perspectives from academia and industry&quot;,&quot;author&quot;:[{&quot;family&quot;:&quot;Barbosa-Povoa&quot;,&quot;given&quot;:&quot;Ana Paula&quot;,&quot;parse-names&quot;:false,&quot;dropping-particle&quot;:&quot;&quot;,&quot;non-dropping-particle&quot;:&quot;&quot;},{&quot;family&quot;:&quot;Pinto&quot;,&quot;given&quot;:&quot;José Mauricio&quot;,&quot;parse-names&quot;:false,&quot;dropping-particle&quot;:&quot;&quot;,&quot;non-dropping-particle&quot;:&quot;&quot;}],&quot;container-title&quot;:&quot;Computers &amp; Chemical Engineering&quot;,&quot;container-title-short&quot;:&quot;Comput Chem Eng&quot;,&quot;accessed&quot;:{&quot;date-parts&quot;:[[2023,9,24]]},&quot;DOI&quot;:&quot;10.1016/J.COMPCHEMENG.2019.106606&quot;,&quot;ISSN&quot;:&quot;0098-1354&quot;,&quot;issued&quot;:{&quot;date-parts&quot;:[[2020,1,4]]},&quot;page&quot;:&quot;106606&quot;,&quot;abstract&quot;:&quot;Process systems engineering (PSE) has been an active research area for nearly seventy years and addresses multiple systems from the process industry. Among these are Process Supply Chains that can be described as interconnected sets of entities responsible for the sourcing, production and distribution of a large set of chemical and/or bio- based products. Due to the high diversity of materials, processes and information flows such networks result in highly complex systems that are very difficult to manage. The PSE community has a critical role to support the design and management of such systems through the development of tools that are able to address such complexity. Focusing initially on a real-world process supply chain, the industrial gas supply chain, this paper identifies and discusses current contributions, challenges and perspectives in process supply chains that can guide research professionals to address such challenges. In general, such challenges encompass supply chain scope representations, modeling approaches, data management and implementation. Examples include supply chain risk and uncertainty, multiscale decisions, sustainability and resiliency.&quot;,&quot;publisher&quot;:&quot;Pergamon&quot;,&quot;volume&quot;:&quot;132&quot;},&quot;isTemporary&quot;:false}]},{&quot;citationID&quot;:&quot;MENDELEY_CITATION_138b1972-b3f5-44da-bf80-1fc3b9b70481&quot;,&quot;properties&quot;:{&quot;noteIndex&quot;:0},&quot;isEdited&quot;:false,&quot;manualOverride&quot;:{&quot;isManuallyOverridden&quot;:false,&quot;citeprocText&quot;:&quot;(Bonino et al., 2023)&quot;,&quot;manualOverrideText&quot;:&quot;&quot;},&quot;citationTag&quot;:&quot;MENDELEY_CITATION_v3_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&quot;,&quot;citationItems&quot;:[{&quot;id&quot;:&quot;4bd2e7a3-1eb5-3cdb-98a4-9dbb460067c1&quot;,&quot;itemData&quot;:{&quot;type&quot;:&quot;article-journal&quot;,&quot;id&quot;:&quot;4bd2e7a3-1eb5-3cdb-98a4-9dbb460067c1&quot;,&quot;title&quot;:&quot;A MILP-based approach to manage logistics in large industrial gas supply chains&quot;,&quot;author&quot;:[{&quot;family&quot;:&quot;Bonino&quot;,&quot;given&quot;:&quot;Sergio G.&quot;,&quot;parse-names&quot;:false,&quot;dropping-particle&quot;:&quot;&quot;,&quot;non-dropping-particle&quot;:&quot;&quot;},{&quot;family&quot;:&quot;Zeballos&quot;,&quot;given&quot;:&quot;Luis J.&quot;,&quot;parse-names&quot;:false,&quot;dropping-particle&quot;:&quot;&quot;,&quot;non-dropping-particle&quot;:&quot;&quot;},{&quot;family&quot;:&quot;Moolya&quot;,&quot;given&quot;:&quot;Akash&quot;,&quot;parse-names&quot;:false,&quot;dropping-particle&quot;:&quot;&quot;,&quot;non-dropping-particle&quot;:&quot;&quot;},{&quot;family&quot;:&quot;Lainez&quot;,&quot;given&quot;:&quot;Jose&quot;,&quot;parse-names&quot;:false,&quot;dropping-particle&quot;:&quot;&quot;,&quot;non-dropping-particle&quot;:&quot;&quot;},{&quot;family&quot;:&quot;Pinto&quot;,&quot;given&quot;:&quot;Jose M.&quot;,&quot;parse-names&quot;:false,&quot;dropping-particle&quot;:&quot;&quot;,&quot;non-dropping-particle&quot;:&quot;&quot;},{&quot;family&quot;:&quot;Grossmann&quot;,&quot;given&quot;:&quot;Ignacio E.&quot;,&quot;parse-names&quot;:false,&quot;dropping-particle&quot;:&quot;&quot;,&quot;non-dropping-particle&quot;:&quot;&quot;},{&quot;family&quot;:&quot;Méndez&quot;,&quot;given&quot;:&quot;Carlos A.&quot;,&quot;parse-names&quot;:false,&quot;dropping-particle&quot;:&quot;&quot;,&quot;non-dropping-particle&quot;:&quot;&quot;}],&quot;container-title&quot;:&quot;Computer Aided Chemical Engineering&quot;,&quot;accessed&quot;:{&quot;date-parts&quot;:[[2023,9,26]]},&quot;DOI&quot;:&quot;10.1016/B978-0-443-15274-0.50529-1&quot;,&quot;ISSN&quot;:&quot;1570-7946&quot;,&quot;issued&quot;:{&quot;date-parts&quot;:[[2023,1,1]]},&quot;page&quot;:&quot;3319-3324&quot;,&quot;abstract&quot;:&quot;The high competitiveness between companies dedicated to the production and distribution of industrial gases make necessary to optimize their activities in order to improve their profitability. This paper addresses the production routing problem (PRP) of an industrial gas supply chain (SC). The work proposes a MILP-based approach to deal with this problem. The framework seeks to improve the company's profit by optimizing production and distribution activities. For the distribution part, a set of feasible routes are previously generated and selected. Then, considering only the selected routes, the model chooses the best combination of them to satisfy all the constraints. It is important to note that the model takes into account the effect of lead time on production and distribution decisions. Finally, a real case study is presented and solved. The results obtained demonstrate the effectiveness of the proposed approach in reasonable CPU times.&quot;,&quot;publisher&quot;:&quot;Elsevier&quot;,&quot;volume&quot;:&quot;52&quot;,&quot;container-title-short&quot;:&quot;&quot;},&quot;isTemporary&quot;:false}]}]"/>
    <we:property name="MENDELEY_CITATIONS_LOCALE_CODE" value="&quot;en-US&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674A-204A-40A1-B44A-133D11A1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TotalTime>
  <Pages>6</Pages>
  <Words>2854</Words>
  <Characters>14706</Characters>
  <Application>Microsoft Office Word</Application>
  <DocSecurity>0</DocSecurity>
  <Lines>420</Lines>
  <Paragraphs>234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Sergio G. Bonino</cp:lastModifiedBy>
  <cp:revision>4</cp:revision>
  <cp:lastPrinted>2004-12-17T09:20:00Z</cp:lastPrinted>
  <dcterms:created xsi:type="dcterms:W3CDTF">2023-12-12T15:34:00Z</dcterms:created>
  <dcterms:modified xsi:type="dcterms:W3CDTF">2023-12-13T17:53:00Z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