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75066FE" w:rsidR="00DD3D9E" w:rsidRPr="0029557E" w:rsidRDefault="0029557E" w:rsidP="0029557E">
      <w:pPr>
        <w:pStyle w:val="Els-Author"/>
        <w:rPr>
          <w:b/>
          <w:noProof w:val="0"/>
          <w:color w:val="000000" w:themeColor="text1"/>
          <w:sz w:val="32"/>
          <w:lang w:val="en-US"/>
        </w:rPr>
      </w:pPr>
      <w:bookmarkStart w:id="0" w:name="_Hlk152253490"/>
      <w:r w:rsidRPr="00F36223">
        <w:rPr>
          <w:b/>
          <w:noProof w:val="0"/>
          <w:color w:val="000000" w:themeColor="text1"/>
          <w:sz w:val="32"/>
          <w:lang w:val="en-US"/>
        </w:rPr>
        <w:t>Comparing the sustainability level of biofuels with Data Envelopment Analysis</w:t>
      </w:r>
    </w:p>
    <w:bookmarkEnd w:id="0"/>
    <w:p w14:paraId="55883C34" w14:textId="3AB1A4A7" w:rsidR="008461E2" w:rsidRPr="008461E2" w:rsidRDefault="008461E2" w:rsidP="008461E2">
      <w:pPr>
        <w:pStyle w:val="Els-Author"/>
        <w:rPr>
          <w:lang w:val="es-ES"/>
        </w:rPr>
      </w:pPr>
      <w:r w:rsidRPr="008461E2">
        <w:rPr>
          <w:lang w:val="es-ES"/>
        </w:rPr>
        <w:t>Richard Cabrera</w:t>
      </w:r>
      <w:r w:rsidRPr="008461E2">
        <w:rPr>
          <w:vertAlign w:val="superscript"/>
          <w:lang w:val="es-ES"/>
        </w:rPr>
        <w:t>a</w:t>
      </w:r>
      <w:r w:rsidRPr="008461E2">
        <w:rPr>
          <w:lang w:val="es-ES"/>
        </w:rPr>
        <w:t>, Fatemeh Rostami</w:t>
      </w:r>
      <w:r w:rsidRPr="008461E2">
        <w:rPr>
          <w:vertAlign w:val="superscript"/>
          <w:lang w:val="es-ES"/>
        </w:rPr>
        <w:t>a</w:t>
      </w:r>
      <w:r w:rsidRPr="008461E2">
        <w:rPr>
          <w:lang w:val="es-ES"/>
        </w:rPr>
        <w:t>, Laureano Jiménez</w:t>
      </w:r>
      <w:r w:rsidRPr="008461E2">
        <w:rPr>
          <w:vertAlign w:val="superscript"/>
          <w:lang w:val="es-ES"/>
        </w:rPr>
        <w:t>a</w:t>
      </w:r>
      <w:r w:rsidRPr="008461E2">
        <w:rPr>
          <w:lang w:val="es-ES"/>
        </w:rPr>
        <w:t>, Carlos Pozo</w:t>
      </w:r>
      <w:r w:rsidRPr="008461E2">
        <w:rPr>
          <w:vertAlign w:val="superscript"/>
          <w:lang w:val="es-ES"/>
        </w:rPr>
        <w:t>a</w:t>
      </w:r>
    </w:p>
    <w:p w14:paraId="667A8136" w14:textId="77777777" w:rsidR="008461E2" w:rsidRPr="000A0ED5" w:rsidRDefault="008461E2" w:rsidP="008461E2">
      <w:pPr>
        <w:pStyle w:val="Els-Author"/>
      </w:pPr>
      <w:r w:rsidRPr="003045BC">
        <w:rPr>
          <w:vertAlign w:val="superscript"/>
        </w:rPr>
        <w:t>a</w:t>
      </w:r>
      <w:r w:rsidRPr="000A0ED5">
        <w:t>Departament d’Enginyeria Quimica, Universitat Rovira i Virgili, Av. Països Catalans 26, 43007 Tarragona, Spain.</w:t>
      </w:r>
    </w:p>
    <w:p w14:paraId="01F5F5CE" w14:textId="77777777" w:rsidR="008461E2" w:rsidRPr="00A94774" w:rsidRDefault="008461E2" w:rsidP="008461E2">
      <w:pPr>
        <w:pStyle w:val="Els-Affiliation"/>
        <w:spacing w:after="120"/>
      </w:pPr>
      <w:r w:rsidRPr="001E3C52">
        <w:t>corresponding author</w:t>
      </w:r>
      <w:r>
        <w:t>:</w:t>
      </w:r>
      <w:r w:rsidRPr="001E3C52">
        <w:t xml:space="preserve"> </w:t>
      </w:r>
      <w:hyperlink r:id="rId8" w:history="1">
        <w:r w:rsidRPr="004C3D09">
          <w:rPr>
            <w:rStyle w:val="Hipervnculo"/>
            <w:iCs/>
          </w:rPr>
          <w:t>carlos.pozo@urv.cat</w:t>
        </w:r>
      </w:hyperlink>
      <w:r w:rsidRPr="004C3D09">
        <w:rPr>
          <w:iCs/>
        </w:rPr>
        <w:t xml:space="preserve"> </w:t>
      </w:r>
    </w:p>
    <w:p w14:paraId="144DE684" w14:textId="77777777" w:rsidR="008D2649" w:rsidRDefault="008D2649" w:rsidP="008D2649">
      <w:pPr>
        <w:pStyle w:val="Els-Abstract"/>
      </w:pPr>
      <w:r>
        <w:t>Abstract</w:t>
      </w:r>
    </w:p>
    <w:p w14:paraId="51CC9822" w14:textId="5C715B8A" w:rsidR="006A298F" w:rsidRDefault="0029557E" w:rsidP="0029557E">
      <w:pPr>
        <w:pStyle w:val="Els-body-text"/>
        <w:spacing w:after="120"/>
        <w:rPr>
          <w:lang w:val="en-GB"/>
        </w:rPr>
      </w:pPr>
      <w:r w:rsidRPr="0029557E">
        <w:rPr>
          <w:lang w:val="en-GB"/>
        </w:rPr>
        <w:t>Liquid biofuels are an alternative to a more sustainable transport sector, providing an interim solution before the required infrastructure for electric vehicles is in place. With a myriad of biofuel production options available today, decisions regarding fuel type, blend, conversion process, and carbon source significantly impact the cost and environmental footprint of the final product.</w:t>
      </w:r>
      <w:r w:rsidR="006A298F">
        <w:rPr>
          <w:lang w:val="en-GB"/>
        </w:rPr>
        <w:t xml:space="preserve"> Hence, </w:t>
      </w:r>
      <w:r w:rsidR="006A298F" w:rsidRPr="0029557E">
        <w:rPr>
          <w:lang w:val="en-GB"/>
        </w:rPr>
        <w:t>a comprehensive multi-criteria decision-making approach is essential</w:t>
      </w:r>
      <w:r w:rsidR="006A298F">
        <w:rPr>
          <w:lang w:val="en-GB"/>
        </w:rPr>
        <w:t xml:space="preserve"> t</w:t>
      </w:r>
      <w:r w:rsidRPr="0029557E">
        <w:rPr>
          <w:lang w:val="en-GB"/>
        </w:rPr>
        <w:t>o</w:t>
      </w:r>
      <w:r w:rsidR="0074750E">
        <w:rPr>
          <w:lang w:val="en-GB"/>
        </w:rPr>
        <w:t xml:space="preserve"> </w:t>
      </w:r>
      <w:r w:rsidRPr="0029557E">
        <w:rPr>
          <w:lang w:val="en-GB"/>
        </w:rPr>
        <w:t xml:space="preserve">identify the most suitable biofuels, considering economic, environmental, and social </w:t>
      </w:r>
      <w:r w:rsidR="002B72FF">
        <w:rPr>
          <w:lang w:val="en-GB"/>
        </w:rPr>
        <w:t>dimensions</w:t>
      </w:r>
      <w:r w:rsidRPr="0029557E">
        <w:rPr>
          <w:lang w:val="en-GB"/>
        </w:rPr>
        <w:t xml:space="preserve">. </w:t>
      </w:r>
    </w:p>
    <w:p w14:paraId="0BD0F4D8" w14:textId="4AB09CE1" w:rsidR="0074750E" w:rsidRDefault="00350557" w:rsidP="0029557E">
      <w:pPr>
        <w:pStyle w:val="Els-body-text"/>
        <w:spacing w:after="120"/>
        <w:rPr>
          <w:lang w:val="en-GB"/>
        </w:rPr>
      </w:pPr>
      <w:r>
        <w:rPr>
          <w:lang w:val="en-GB"/>
        </w:rPr>
        <w:t>This</w:t>
      </w:r>
      <w:r w:rsidRPr="0029557E">
        <w:rPr>
          <w:lang w:val="en-GB"/>
        </w:rPr>
        <w:t xml:space="preserve"> </w:t>
      </w:r>
      <w:r w:rsidR="0029557E" w:rsidRPr="0029557E">
        <w:rPr>
          <w:lang w:val="en-GB"/>
        </w:rPr>
        <w:t>study combines life cycle assessment with Data Envelopment Analysis (DEA) to assess the performance of 72 biofuel routes using 12 sustainability metrics.</w:t>
      </w:r>
      <w:r w:rsidR="002B72FF">
        <w:rPr>
          <w:lang w:val="en-GB"/>
        </w:rPr>
        <w:t xml:space="preserve"> </w:t>
      </w:r>
      <w:r w:rsidR="0029557E" w:rsidRPr="0029557E">
        <w:rPr>
          <w:lang w:val="en-GB"/>
        </w:rPr>
        <w:t>DEA</w:t>
      </w:r>
      <w:r w:rsidR="002B72FF">
        <w:rPr>
          <w:lang w:val="en-GB"/>
        </w:rPr>
        <w:t xml:space="preserve"> </w:t>
      </w:r>
      <w:r w:rsidR="0074750E">
        <w:rPr>
          <w:lang w:val="en-GB"/>
        </w:rPr>
        <w:t xml:space="preserve">allows to systematically combine the </w:t>
      </w:r>
      <w:proofErr w:type="gramStart"/>
      <w:r w:rsidR="0074750E">
        <w:rPr>
          <w:lang w:val="en-GB"/>
        </w:rPr>
        <w:t>12 sustainability</w:t>
      </w:r>
      <w:proofErr w:type="gramEnd"/>
      <w:r w:rsidR="0074750E">
        <w:rPr>
          <w:lang w:val="en-GB"/>
        </w:rPr>
        <w:t xml:space="preserve"> metrics into a single </w:t>
      </w:r>
      <w:r w:rsidR="002B72FF">
        <w:rPr>
          <w:lang w:val="en-GB"/>
        </w:rPr>
        <w:t>efficiency score</w:t>
      </w:r>
      <w:r w:rsidR="0074750E">
        <w:rPr>
          <w:lang w:val="en-GB"/>
        </w:rPr>
        <w:t>, facilitating the ranking of the biofuel alternative routes</w:t>
      </w:r>
      <w:r w:rsidR="004C3F9A">
        <w:rPr>
          <w:lang w:val="en-GB"/>
        </w:rPr>
        <w:t>, and avoiding the need to predefine subjective weights between the indicators</w:t>
      </w:r>
      <w:r w:rsidR="0074750E">
        <w:rPr>
          <w:lang w:val="en-GB"/>
        </w:rPr>
        <w:t xml:space="preserve">. </w:t>
      </w:r>
    </w:p>
    <w:p w14:paraId="4400EEE6" w14:textId="25465E59" w:rsidR="0029557E" w:rsidRPr="0029557E" w:rsidRDefault="0029557E" w:rsidP="0029557E">
      <w:pPr>
        <w:pStyle w:val="Els-body-text"/>
        <w:spacing w:after="120"/>
        <w:rPr>
          <w:lang w:val="en-GB"/>
        </w:rPr>
      </w:pPr>
      <w:r w:rsidRPr="0029557E">
        <w:rPr>
          <w:lang w:val="en-GB"/>
        </w:rPr>
        <w:t>Our findings reveal that among the biofuel routes</w:t>
      </w:r>
      <w:r w:rsidR="00486693" w:rsidRPr="00486693">
        <w:rPr>
          <w:lang w:val="en-GB"/>
        </w:rPr>
        <w:t xml:space="preserve"> </w:t>
      </w:r>
      <w:r w:rsidR="00486693" w:rsidRPr="0029557E">
        <w:rPr>
          <w:lang w:val="en-GB"/>
        </w:rPr>
        <w:t>analy</w:t>
      </w:r>
      <w:r w:rsidR="00486693">
        <w:rPr>
          <w:lang w:val="en-GB"/>
        </w:rPr>
        <w:t>s</w:t>
      </w:r>
      <w:r w:rsidR="00486693" w:rsidRPr="0029557E">
        <w:rPr>
          <w:lang w:val="en-GB"/>
        </w:rPr>
        <w:t>ed</w:t>
      </w:r>
      <w:r w:rsidRPr="0029557E">
        <w:rPr>
          <w:lang w:val="en-GB"/>
        </w:rPr>
        <w:t>, 35 perform more efficiently, with renewable diesel proving superior to ethanol-based blends or biodiesel. Waste biomass stands out as a preferable choice over cellulosic biomass or bio-oil. The selection of the carbon source emerges as a critical decision, emphasizing the need to consider regional factors like soil and climate conditions.</w:t>
      </w:r>
    </w:p>
    <w:p w14:paraId="086D9199" w14:textId="77777777" w:rsidR="0029557E" w:rsidRDefault="0029557E" w:rsidP="0029557E">
      <w:pPr>
        <w:pStyle w:val="Els-body-text"/>
        <w:spacing w:after="120"/>
        <w:rPr>
          <w:lang w:val="en-GB"/>
        </w:rPr>
      </w:pPr>
      <w:r w:rsidRPr="0029557E">
        <w:rPr>
          <w:lang w:val="en-GB"/>
        </w:rPr>
        <w:t>Overall, this work provides a powerful framework for holistic assessments that could help policymakers develop better-informed regulations and achieve, in this way, the emission reduction targets of current environmental policies for the transportation sector.</w:t>
      </w:r>
    </w:p>
    <w:p w14:paraId="144DE687" w14:textId="179E5593" w:rsidR="008D2649" w:rsidRDefault="008D2649" w:rsidP="008D2649">
      <w:pPr>
        <w:pStyle w:val="Els-body-text"/>
        <w:spacing w:after="120"/>
        <w:rPr>
          <w:lang w:val="en-GB"/>
        </w:rPr>
      </w:pPr>
      <w:r>
        <w:rPr>
          <w:b/>
          <w:bCs/>
          <w:lang w:val="en-GB"/>
        </w:rPr>
        <w:t>Keywords</w:t>
      </w:r>
      <w:r>
        <w:rPr>
          <w:lang w:val="en-GB"/>
        </w:rPr>
        <w:t xml:space="preserve">: </w:t>
      </w:r>
      <w:r w:rsidR="0029557E" w:rsidRPr="0029557E">
        <w:rPr>
          <w:lang w:val="en-GB"/>
        </w:rPr>
        <w:t xml:space="preserve">Sustainable development, Data envelopment analysis, </w:t>
      </w:r>
      <w:r w:rsidR="0074750E" w:rsidRPr="0029557E">
        <w:rPr>
          <w:lang w:val="en-GB"/>
        </w:rPr>
        <w:t>L</w:t>
      </w:r>
      <w:r w:rsidR="0074750E">
        <w:rPr>
          <w:lang w:val="en-GB"/>
        </w:rPr>
        <w:t>ife cycle assessment</w:t>
      </w:r>
      <w:r w:rsidR="0029557E" w:rsidRPr="0029557E">
        <w:rPr>
          <w:lang w:val="en-GB"/>
        </w:rPr>
        <w:t>, Transport, Biofuels</w:t>
      </w:r>
      <w:r>
        <w:rPr>
          <w:lang w:val="en-GB"/>
        </w:rPr>
        <w:t>.</w:t>
      </w:r>
    </w:p>
    <w:p w14:paraId="144DE689" w14:textId="0677E727" w:rsidR="008D2649" w:rsidRDefault="0029557E" w:rsidP="008D2649">
      <w:pPr>
        <w:pStyle w:val="Els-1storder-head"/>
      </w:pPr>
      <w:r>
        <w:t>Introduction</w:t>
      </w:r>
    </w:p>
    <w:p w14:paraId="2C00BB59" w14:textId="2AD9BB2D" w:rsidR="00483BC8" w:rsidRDefault="0029557E" w:rsidP="00191520">
      <w:pPr>
        <w:pStyle w:val="Els-body-text"/>
        <w:spacing w:after="120"/>
      </w:pPr>
      <w:r>
        <w:t>The continued growth of global population and increased living standards have driven energy demand to unprecedented heights. Transport, a dominant energy-consuming sector reliant on fossil fuels (92% of fuel demand), stands as the third major contributor to greenhouse gas emissions, emphasizing the unsustainable nature of current transport sector. In 2018, less than 4% of transport fuel demand was met by renewable energy, predominantly biofuels (93%). Biofuels like biodiesel and bioethanol are considered pivotal for sustainable development, aligning with environmental policies such as the Paris Agreement and the European Green Deal</w:t>
      </w:r>
      <w:sdt>
        <w:sdtPr>
          <w:rPr>
            <w:color w:val="000000"/>
          </w:rPr>
          <w:tag w:val="MENDELEY_CITATION_v3_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"/>
          <w:id w:val="-1008590250"/>
          <w:placeholder>
            <w:docPart w:val="DefaultPlaceholder_-1854013440"/>
          </w:placeholder>
        </w:sdtPr>
        <w:sdtContent>
          <w:r w:rsidR="00486AF9" w:rsidRPr="00486AF9">
            <w:rPr>
              <w:color w:val="000000"/>
            </w:rPr>
            <w:t>(European Commission, n.d.)</w:t>
          </w:r>
        </w:sdtContent>
      </w:sdt>
      <w:r w:rsidR="00F84F94">
        <w:t>.</w:t>
      </w:r>
    </w:p>
    <w:p w14:paraId="490F874B" w14:textId="1DBDB8E1" w:rsidR="0029557E" w:rsidRDefault="0029557E" w:rsidP="00191520">
      <w:pPr>
        <w:pStyle w:val="Els-body-text"/>
        <w:spacing w:after="120"/>
      </w:pPr>
      <w:r>
        <w:t xml:space="preserve">In the current landscape, a plethora of alternatives exist for biofuel production, each influenced by critical decisions regarding fuel type, blend, conversion process, and carbon </w:t>
      </w:r>
      <w:r>
        <w:lastRenderedPageBreak/>
        <w:t>source</w:t>
      </w:r>
      <w:r w:rsidR="00E209B9">
        <w:t>.</w:t>
      </w:r>
      <w:r>
        <w:t xml:space="preserve"> These decisions wield substantial influence over the </w:t>
      </w:r>
      <w:r w:rsidR="00191520">
        <w:t>final</w:t>
      </w:r>
      <w:r>
        <w:t xml:space="preserve"> cost and environmental impact of the biofuel product.</w:t>
      </w:r>
    </w:p>
    <w:p w14:paraId="144DE697" w14:textId="2B69E837" w:rsidR="008D2649" w:rsidRPr="002D193D" w:rsidRDefault="0029557E">
      <w:pPr>
        <w:pStyle w:val="Els-body-text"/>
        <w:spacing w:after="120"/>
      </w:pPr>
      <w:r>
        <w:t>This contribution evaluates the sustainability of 72 biofuels routes, considering their entire life cycle from cultivation to combustion in vehicles (cradle-to-wheel). To address the sustainability of biofuels comprehensively</w:t>
      </w:r>
      <w:r w:rsidR="000A0ED5">
        <w:t xml:space="preserve">. A </w:t>
      </w:r>
      <w:r>
        <w:t>multi-criteria decision-making tool, DEA, is employed. DEA is chosen for its ability to integrate multiple indicators into a single performance score, providing a holistic assessment of biofuels. During the last years, some authors have combined Life Cycle Assessment (LCA) with DEA to assess the overall level of sustainability of alternatives, enabling the identification of efficient processes with a focus on their sustainable performance</w:t>
      </w:r>
      <w:r w:rsidR="00327A3A">
        <w:t xml:space="preserve"> for different applications, including: </w:t>
      </w:r>
      <w:r w:rsidR="009D449D">
        <w:t xml:space="preserve">the production of </w:t>
      </w:r>
      <w:r w:rsidR="00327A3A">
        <w:t xml:space="preserve">liquid fuels </w:t>
      </w:r>
      <w:sdt>
        <w:sdtPr>
          <w:rPr>
            <w:color w:val="000000"/>
          </w:rPr>
          <w:tag w:val="MENDELEY_CITATION_v3_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"/>
          <w:id w:val="169063177"/>
          <w:placeholder>
            <w:docPart w:val="DefaultPlaceholder_-1854013440"/>
          </w:placeholder>
        </w:sdtPr>
        <w:sdtContent>
          <w:r w:rsidR="00486AF9" w:rsidRPr="00486AF9">
            <w:rPr>
              <w:color w:val="000000"/>
            </w:rPr>
            <w:t>(Rodríguez-Vallejo et al., 2019)</w:t>
          </w:r>
        </w:sdtContent>
      </w:sdt>
      <w:r w:rsidR="00327A3A">
        <w:t xml:space="preserve"> </w:t>
      </w:r>
      <w:r w:rsidR="00212DF5">
        <w:t xml:space="preserve">energy storage </w:t>
      </w:r>
      <w:r w:rsidR="009D449D">
        <w:t>alternatives</w:t>
      </w:r>
      <w:r w:rsidR="00486AF9">
        <w:t xml:space="preserve"> </w:t>
      </w:r>
      <w:sdt>
        <w:sdtPr>
          <w:rPr>
            <w:color w:val="000000"/>
          </w:rPr>
          <w:tag w:val="MENDELEY_CITATION_v3_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"/>
          <w:id w:val="579567778"/>
          <w:placeholder>
            <w:docPart w:val="DefaultPlaceholder_-1854013440"/>
          </w:placeholder>
        </w:sdtPr>
        <w:sdtContent>
          <w:r w:rsidR="00486AF9" w:rsidRPr="00486AF9">
            <w:rPr>
              <w:color w:val="000000"/>
            </w:rPr>
            <w:t>(Rostami et al., 2022)</w:t>
          </w:r>
        </w:sdtContent>
      </w:sdt>
      <w:r w:rsidR="00C3631E">
        <w:t xml:space="preserve"> </w:t>
      </w:r>
      <w:r w:rsidR="009D449D">
        <w:t>or</w:t>
      </w:r>
      <w:r w:rsidR="00212DF5">
        <w:t xml:space="preserve"> </w:t>
      </w:r>
      <w:r w:rsidR="00327A3A">
        <w:t>bioenergy systems</w:t>
      </w:r>
      <w:r w:rsidR="00486AF9">
        <w:t xml:space="preserve"> </w:t>
      </w:r>
      <w:sdt>
        <w:sdtPr>
          <w:rPr>
            <w:color w:val="000000"/>
          </w:rPr>
          <w:tag w:val="MENDELEY_CITATION_v3_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"/>
          <w:id w:val="-1300916581"/>
          <w:placeholder>
            <w:docPart w:val="DefaultPlaceholder_-1854013440"/>
          </w:placeholder>
        </w:sdtPr>
        <w:sdtContent>
          <w:r w:rsidR="00486AF9" w:rsidRPr="00486AF9">
            <w:rPr>
              <w:color w:val="000000"/>
            </w:rPr>
            <w:t>(González-García et al., 2012)</w:t>
          </w:r>
        </w:sdtContent>
      </w:sdt>
      <w:r w:rsidR="00FA1F9E">
        <w:t xml:space="preserve"> among others</w:t>
      </w:r>
      <w:r w:rsidR="00E209B9">
        <w:t>.</w:t>
      </w:r>
    </w:p>
    <w:p w14:paraId="144DE699" w14:textId="2DD44EF2" w:rsidR="008D2649" w:rsidRDefault="0029557E" w:rsidP="00191520">
      <w:pPr>
        <w:pStyle w:val="Els-1storder-head"/>
        <w:spacing w:after="120"/>
      </w:pPr>
      <w:r>
        <w:t>Methodology</w:t>
      </w:r>
    </w:p>
    <w:p w14:paraId="144DE69A" w14:textId="4A56D9B0" w:rsidR="008D2649" w:rsidRDefault="0029557E" w:rsidP="00191520">
      <w:pPr>
        <w:pStyle w:val="Els-2ndorder-head"/>
        <w:spacing w:after="120"/>
      </w:pPr>
      <w:r>
        <w:t>Data a</w:t>
      </w:r>
      <w:r w:rsidR="001203DA">
        <w:t>c</w:t>
      </w:r>
      <w:r>
        <w:t>quisition</w:t>
      </w:r>
    </w:p>
    <w:p w14:paraId="45AC1007" w14:textId="1B63E3AA" w:rsidR="0029557E" w:rsidRDefault="00C51578" w:rsidP="00191520">
      <w:pPr>
        <w:pStyle w:val="Els-body-text"/>
        <w:spacing w:after="120"/>
      </w:pPr>
      <w:r>
        <w:t xml:space="preserve">We first </w:t>
      </w:r>
      <w:r w:rsidR="0029557E">
        <w:t>obtain the data required to compute the indicators that will be used to assess the sustainability performance of the biofuels. This requires the collection of different types of data</w:t>
      </w:r>
      <w:r w:rsidR="0066438A">
        <w:t>,</w:t>
      </w:r>
      <w:r w:rsidR="0029557E">
        <w:t xml:space="preserve"> from mass and energy balances for biofuel production processes to traditional LCA data and complementary information such as costs.</w:t>
      </w:r>
    </w:p>
    <w:p w14:paraId="74EFAF1C" w14:textId="3AB34A27" w:rsidR="0029557E" w:rsidRDefault="0029557E" w:rsidP="00191520">
      <w:pPr>
        <w:pStyle w:val="Els-body-text"/>
        <w:spacing w:after="120"/>
      </w:pPr>
      <w:r>
        <w:t>Specifically, 19 types of biological feedstocks are considered as carbon sources,</w:t>
      </w:r>
      <w:r w:rsidR="00C51578">
        <w:t xml:space="preserve"> </w:t>
      </w:r>
      <w:r w:rsidR="00AF2588">
        <w:t xml:space="preserve">together with </w:t>
      </w:r>
      <w:r>
        <w:t>four types of biofuel production processes</w:t>
      </w:r>
      <w:r w:rsidR="00722ACB">
        <w:t xml:space="preserve">. The resulting biofuels can be used in five different blends: </w:t>
      </w:r>
      <w:r w:rsidR="00AF2588">
        <w:t>ethanol</w:t>
      </w:r>
      <w:r w:rsidR="00722ACB">
        <w:t xml:space="preserve"> (blended with gasoline in </w:t>
      </w:r>
      <w:r w:rsidR="00C264E8">
        <w:t>10-90% (E10) or 85-15% (E85) proportions)</w:t>
      </w:r>
      <w:r w:rsidR="00AF2588">
        <w:t xml:space="preserve">, </w:t>
      </w:r>
      <w:r w:rsidR="00842208">
        <w:t>biodiesel</w:t>
      </w:r>
      <w:r w:rsidR="00C264E8">
        <w:t xml:space="preserve"> (blended with diesel in a 20-80% fuel (BD20)</w:t>
      </w:r>
      <w:r w:rsidR="002D3E8B">
        <w:t>), and two types of renewable diesel, one b</w:t>
      </w:r>
      <w:r w:rsidR="002D3E8B" w:rsidRPr="002D3E8B">
        <w:t xml:space="preserve">ased on </w:t>
      </w:r>
      <w:r w:rsidR="002D3E8B">
        <w:t>the s</w:t>
      </w:r>
      <w:r w:rsidR="002D3E8B" w:rsidRPr="002D3E8B">
        <w:t>uper</w:t>
      </w:r>
      <w:r w:rsidR="002D3E8B">
        <w:t xml:space="preserve"> c</w:t>
      </w:r>
      <w:r w:rsidR="002D3E8B" w:rsidRPr="002D3E8B">
        <w:t>etane</w:t>
      </w:r>
      <w:r w:rsidR="00842208">
        <w:t xml:space="preserve"> </w:t>
      </w:r>
      <w:r w:rsidR="002D3E8B">
        <w:t>process (RDI</w:t>
      </w:r>
      <w:proofErr w:type="gramStart"/>
      <w:r w:rsidR="002D3E8B">
        <w:t>)</w:t>
      </w:r>
      <w:proofErr w:type="gramEnd"/>
      <w:r w:rsidR="002D3E8B">
        <w:t xml:space="preserve"> and another based on fluid catalytic cracking technology (RDII). RDI and RDII </w:t>
      </w:r>
      <w:r w:rsidR="00AF2588">
        <w:t xml:space="preserve">can be used </w:t>
      </w:r>
      <w:r w:rsidR="002D3E8B">
        <w:t xml:space="preserve">as standalone fuel </w:t>
      </w:r>
      <w:r>
        <w:t>in compression ignition direct injection engines</w:t>
      </w:r>
      <w:r w:rsidR="00F328B7">
        <w:t>, avoiding blends with fossil fuels</w:t>
      </w:r>
      <w:r w:rsidR="00191520">
        <w:t>.</w:t>
      </w:r>
    </w:p>
    <w:p w14:paraId="77C24930" w14:textId="74E101E4" w:rsidR="0066438A" w:rsidRDefault="0029557E" w:rsidP="00191520">
      <w:pPr>
        <w:pStyle w:val="Els-body-text"/>
        <w:spacing w:after="120"/>
      </w:pPr>
      <w:r>
        <w:t xml:space="preserve">For each of these </w:t>
      </w:r>
      <w:r w:rsidR="00C82125">
        <w:t>72</w:t>
      </w:r>
      <w:r>
        <w:t xml:space="preserve"> biofuels, 12 performance metrics covering the three sustainability dimensions from a </w:t>
      </w:r>
      <w:r w:rsidR="0066438A">
        <w:t>cradle-to-wheel</w:t>
      </w:r>
      <w:r>
        <w:t xml:space="preserve"> approach are considered as follows. The economic dimension is assessed through the cost and the distance that can be </w:t>
      </w:r>
      <w:r w:rsidR="00191520">
        <w:t>traveled</w:t>
      </w:r>
      <w:r>
        <w:t xml:space="preserve"> with the biofuel; the environmental dimension is evaluated through eight life-cycle impacts; and the performance in the social dimension is based on water use and land occupation since </w:t>
      </w:r>
      <w:r w:rsidR="00191520">
        <w:t xml:space="preserve">the </w:t>
      </w:r>
      <w:r>
        <w:t>shortage of these resources can trigger social conflicts</w:t>
      </w:r>
      <w:sdt>
        <w:sdtPr>
          <w:rPr>
            <w:color w:val="000000"/>
          </w:rPr>
          <w:tag w:val="MENDELEY_CITATION_v3_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"/>
          <w:id w:val="-322199346"/>
          <w:placeholder>
            <w:docPart w:val="DefaultPlaceholder_-1854013440"/>
          </w:placeholder>
        </w:sdtPr>
        <w:sdtContent>
          <w:r w:rsidR="00486AF9" w:rsidRPr="00486AF9">
            <w:rPr>
              <w:color w:val="000000"/>
            </w:rPr>
            <w:t>(Pozo et al., 2020)</w:t>
          </w:r>
        </w:sdtContent>
      </w:sdt>
      <w:r w:rsidR="00C51578">
        <w:t>.</w:t>
      </w:r>
    </w:p>
    <w:p w14:paraId="40A2D5D3" w14:textId="54F8C088" w:rsidR="0029557E" w:rsidRDefault="0029557E" w:rsidP="00191520">
      <w:pPr>
        <w:pStyle w:val="Els-body-text"/>
        <w:spacing w:after="120"/>
      </w:pPr>
      <w:r>
        <w:t>We next describe how the</w:t>
      </w:r>
      <w:r w:rsidR="00C51578">
        <w:t>se</w:t>
      </w:r>
      <w:r>
        <w:t xml:space="preserve"> data </w:t>
      </w:r>
      <w:r w:rsidR="00725A0F">
        <w:t xml:space="preserve">from the performed </w:t>
      </w:r>
      <w:proofErr w:type="gramStart"/>
      <w:r w:rsidR="00725A0F">
        <w:t>LCA</w:t>
      </w:r>
      <w:proofErr w:type="gramEnd"/>
      <w:r w:rsidR="00725A0F">
        <w:t xml:space="preserve"> and complementary information </w:t>
      </w:r>
      <w:r>
        <w:t xml:space="preserve">are used in DEA to benchmark the sustainability performance of the different biofuels studied. </w:t>
      </w:r>
    </w:p>
    <w:p w14:paraId="144DE69E" w14:textId="0AB5B253" w:rsidR="008D2649" w:rsidRDefault="0029557E" w:rsidP="009E618E">
      <w:pPr>
        <w:pStyle w:val="Els-2ndorder-head"/>
        <w:spacing w:after="120"/>
      </w:pPr>
      <w:r>
        <w:t xml:space="preserve">Data envelopment </w:t>
      </w:r>
      <w:r w:rsidR="003D00A4">
        <w:t xml:space="preserve">analysis </w:t>
      </w:r>
      <w:r>
        <w:t>model</w:t>
      </w:r>
    </w:p>
    <w:p w14:paraId="2B84DA21" w14:textId="2767B595" w:rsidR="0029557E" w:rsidRDefault="0029557E" w:rsidP="00191520">
      <w:pPr>
        <w:pStyle w:val="Els-body-text"/>
        <w:spacing w:after="120"/>
      </w:pPr>
      <w:r>
        <w:t xml:space="preserve">Data Envelopment Analysis (DEA) is a mathematical programming technique </w:t>
      </w:r>
      <w:sdt>
        <w:sdtPr>
          <w:rPr>
            <w:color w:val="000000"/>
          </w:rPr>
          <w:tag w:val="MENDELEY_CITATION_v3_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"/>
          <w:id w:val="1108469018"/>
          <w:placeholder>
            <w:docPart w:val="DefaultPlaceholder_-1854013440"/>
          </w:placeholder>
        </w:sdtPr>
        <w:sdtContent>
          <w:r w:rsidR="00486AF9" w:rsidRPr="00486AF9">
            <w:rPr>
              <w:color w:val="000000"/>
            </w:rPr>
            <w:t>(Charnes et al., 1978)</w:t>
          </w:r>
        </w:sdtContent>
      </w:sdt>
      <w:r>
        <w:t>, with the aim of comparing and evaluating a homogeneous set of decision-making units (DMUs) in a production system with multiple inputs and multiple outputs.</w:t>
      </w:r>
    </w:p>
    <w:p w14:paraId="144DE69F" w14:textId="2673F046" w:rsidR="008D2649" w:rsidRDefault="0029557E" w:rsidP="00191520">
      <w:pPr>
        <w:pStyle w:val="Els-body-text"/>
        <w:spacing w:after="120"/>
      </w:pPr>
      <w:r>
        <w:t xml:space="preserve">DEA stands out from other multi-criteria assessment methods due to its ability to combine various indicators into one performance score without the need to establish subjective weights between the indicators. This is particularly useful in sustainability assessments that always create controversy. Also, it enables the integration of indicators covering all </w:t>
      </w:r>
      <w:r>
        <w:lastRenderedPageBreak/>
        <w:t xml:space="preserve">three sustainability dimensions into a single metric, allowing for easy identification of efficient and inefficient alternatives. </w:t>
      </w:r>
    </w:p>
    <w:p w14:paraId="25400A2B" w14:textId="092E165C" w:rsidR="0029557E" w:rsidRDefault="0029557E" w:rsidP="00191520">
      <w:pPr>
        <w:spacing w:after="120"/>
        <w:jc w:val="both"/>
        <w:rPr>
          <w:lang w:val="en-US"/>
        </w:rPr>
      </w:pPr>
      <w:r w:rsidRPr="00331539">
        <w:rPr>
          <w:lang w:val="en-US"/>
        </w:rPr>
        <w:t xml:space="preserve">In this contribution, each of the </w:t>
      </w:r>
      <w:r w:rsidR="00483BC8">
        <w:rPr>
          <w:lang w:val="en-US"/>
        </w:rPr>
        <w:t>72</w:t>
      </w:r>
      <w:r w:rsidRPr="00331539">
        <w:rPr>
          <w:lang w:val="en-US"/>
        </w:rPr>
        <w:t xml:space="preserve"> biofuel alternatives is modelled as a DMU whose relative performance is evaluated based on the 12 sustainability </w:t>
      </w:r>
      <w:r w:rsidR="00725A0F" w:rsidRPr="00331539">
        <w:rPr>
          <w:lang w:val="en-US"/>
        </w:rPr>
        <w:t>indicators</w:t>
      </w:r>
      <w:r w:rsidR="00725A0F">
        <w:rPr>
          <w:lang w:val="en-US"/>
        </w:rPr>
        <w:t xml:space="preserve"> and</w:t>
      </w:r>
      <w:r w:rsidRPr="00331539">
        <w:rPr>
          <w:lang w:val="en-US"/>
        </w:rPr>
        <w:t xml:space="preserve"> classified as either inputs or outputs</w:t>
      </w:r>
      <w:r w:rsidR="00C82125">
        <w:rPr>
          <w:lang w:val="en-US"/>
        </w:rPr>
        <w:t>. These sustainability indicators are depicted in Figure 1.</w:t>
      </w:r>
    </w:p>
    <w:p w14:paraId="24D2E37F" w14:textId="77777777" w:rsidR="0029557E" w:rsidRDefault="0029557E" w:rsidP="0029557E">
      <w:pPr>
        <w:rPr>
          <w:lang w:val="en-US"/>
        </w:rPr>
      </w:pPr>
    </w:p>
    <w:p w14:paraId="48C79421" w14:textId="77777777" w:rsidR="00191520" w:rsidRDefault="0029557E" w:rsidP="00191520">
      <w:pPr>
        <w:keepNext/>
        <w:jc w:val="center"/>
      </w:pPr>
      <w:r>
        <w:rPr>
          <w:noProof/>
          <w14:ligatures w14:val="standardContextual"/>
        </w:rPr>
        <w:drawing>
          <wp:inline distT="0" distB="0" distL="0" distR="0" wp14:anchorId="19E2443B" wp14:editId="18603B51">
            <wp:extent cx="3200400" cy="1619250"/>
            <wp:effectExtent l="0" t="0" r="0" b="0"/>
            <wp:docPr id="144948134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8134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200400" cy="1619250"/>
                    </a:xfrm>
                    <a:prstGeom prst="rect">
                      <a:avLst/>
                    </a:prstGeom>
                  </pic:spPr>
                </pic:pic>
              </a:graphicData>
            </a:graphic>
          </wp:inline>
        </w:drawing>
      </w:r>
    </w:p>
    <w:p w14:paraId="616C63EF" w14:textId="0E866DE8" w:rsidR="0029557E" w:rsidRDefault="00191520" w:rsidP="00191520">
      <w:pPr>
        <w:pStyle w:val="Descripcin"/>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r w:rsidRPr="00A91817">
        <w:t>Inputs</w:t>
      </w:r>
      <w:r>
        <w:t xml:space="preserve"> and</w:t>
      </w:r>
      <w:r w:rsidRPr="00A91817">
        <w:t xml:space="preserve"> </w:t>
      </w:r>
      <w:r>
        <w:t>(</w:t>
      </w:r>
      <w:r w:rsidRPr="00A91817">
        <w:t xml:space="preserve">desirable </w:t>
      </w:r>
      <w:r>
        <w:t>and undesirable)</w:t>
      </w:r>
      <w:r w:rsidRPr="00A91817">
        <w:t xml:space="preserve"> </w:t>
      </w:r>
      <w:r>
        <w:t>o</w:t>
      </w:r>
      <w:r w:rsidRPr="00A91817">
        <w:t>utputs</w:t>
      </w:r>
      <w:r>
        <w:t xml:space="preserve"> </w:t>
      </w:r>
      <w:r w:rsidRPr="00A91817">
        <w:t xml:space="preserve">considered for </w:t>
      </w:r>
      <w:r>
        <w:t>each biofuel (</w:t>
      </w:r>
      <w:r w:rsidRPr="00A91817">
        <w:t>DMU</w:t>
      </w:r>
      <w:proofErr w:type="gramStart"/>
      <w:r>
        <w:t>)..</w:t>
      </w:r>
      <w:proofErr w:type="gramEnd"/>
      <w:r>
        <w:t xml:space="preserve"> </w:t>
      </w:r>
      <w:r w:rsidRPr="006B0966">
        <w:rPr>
          <w:rFonts w:cstheme="minorHAnsi"/>
        </w:rPr>
        <w:t xml:space="preserve">LO: land occupation; Water: water used in farming </w:t>
      </w:r>
      <w:r>
        <w:rPr>
          <w:rFonts w:cstheme="minorHAnsi"/>
        </w:rPr>
        <w:t xml:space="preserve">plus </w:t>
      </w:r>
      <w:r w:rsidRPr="006B0966">
        <w:rPr>
          <w:rFonts w:cstheme="minorHAnsi"/>
        </w:rPr>
        <w:t xml:space="preserve">water depletion; GWP: global warming potential; </w:t>
      </w:r>
      <w:r w:rsidR="001203DA">
        <w:rPr>
          <w:rFonts w:cstheme="minorHAnsi"/>
        </w:rPr>
        <w:t xml:space="preserve">PMFP: particulate matter formation potential; </w:t>
      </w:r>
      <w:r w:rsidR="001203DA" w:rsidRPr="006B0966">
        <w:rPr>
          <w:rFonts w:cstheme="minorHAnsi"/>
        </w:rPr>
        <w:t xml:space="preserve">HT: human </w:t>
      </w:r>
      <w:r w:rsidR="001203DA">
        <w:rPr>
          <w:rFonts w:cstheme="minorHAnsi"/>
        </w:rPr>
        <w:t>eco</w:t>
      </w:r>
      <w:r w:rsidR="001203DA" w:rsidRPr="006B0966">
        <w:rPr>
          <w:rFonts w:cstheme="minorHAnsi"/>
        </w:rPr>
        <w:t>toxicity; POFP: photochemical oxidant formation potential; TE: terrestrial ecotoxicity</w:t>
      </w:r>
      <w:r w:rsidR="001203DA">
        <w:rPr>
          <w:rFonts w:cstheme="minorHAnsi"/>
        </w:rPr>
        <w:t>;</w:t>
      </w:r>
      <w:r w:rsidR="001203DA" w:rsidRPr="006B0966">
        <w:rPr>
          <w:rFonts w:cstheme="minorHAnsi"/>
        </w:rPr>
        <w:t xml:space="preserve"> TA: Terrestrial acidification; FW</w:t>
      </w:r>
      <w:r w:rsidR="001203DA">
        <w:rPr>
          <w:rFonts w:cstheme="minorHAnsi"/>
        </w:rPr>
        <w:t>ET</w:t>
      </w:r>
      <w:r w:rsidR="001203DA" w:rsidRPr="006B0966">
        <w:rPr>
          <w:rFonts w:cstheme="minorHAnsi"/>
        </w:rPr>
        <w:t xml:space="preserve">: freshwater </w:t>
      </w:r>
      <w:r w:rsidR="001203DA">
        <w:rPr>
          <w:rFonts w:cstheme="minorHAnsi"/>
        </w:rPr>
        <w:t>ecotoxicity</w:t>
      </w:r>
      <w:r w:rsidR="001203DA" w:rsidRPr="006B0966">
        <w:rPr>
          <w:rFonts w:cstheme="minorHAnsi"/>
        </w:rPr>
        <w:t>; PM</w:t>
      </w:r>
      <w:r w:rsidR="001203DA">
        <w:rPr>
          <w:rFonts w:cstheme="minorHAnsi"/>
        </w:rPr>
        <w:t>F</w:t>
      </w:r>
      <w:r w:rsidR="001203DA" w:rsidRPr="006B0966">
        <w:rPr>
          <w:rFonts w:cstheme="minorHAnsi"/>
        </w:rPr>
        <w:t xml:space="preserve">P: fine particulate matter formation; </w:t>
      </w:r>
      <w:r w:rsidRPr="006B0966">
        <w:rPr>
          <w:rFonts w:cstheme="minorHAnsi"/>
        </w:rPr>
        <w:t>FWEU: freshwater eutrophication</w:t>
      </w:r>
      <w:r w:rsidR="001203DA">
        <w:rPr>
          <w:rFonts w:cstheme="minorHAnsi"/>
        </w:rPr>
        <w:t>.</w:t>
      </w:r>
      <w:r w:rsidR="001203DA" w:rsidRPr="006B0966">
        <w:rPr>
          <w:rFonts w:cstheme="minorHAnsi"/>
        </w:rPr>
        <w:t xml:space="preserve"> </w:t>
      </w:r>
    </w:p>
    <w:p w14:paraId="1642C1F6" w14:textId="439C03AA" w:rsidR="0029557E" w:rsidRDefault="001203DA" w:rsidP="00191520">
      <w:pPr>
        <w:spacing w:after="120"/>
        <w:jc w:val="both"/>
      </w:pPr>
      <w:r>
        <w:rPr>
          <w:rFonts w:asciiTheme="majorBidi" w:hAnsiTheme="majorBidi" w:cstheme="majorBidi"/>
        </w:rPr>
        <w:t>Among the different DEA models available, we opt for a</w:t>
      </w:r>
      <w:r w:rsidR="0029557E">
        <w:rPr>
          <w:rFonts w:asciiTheme="majorBidi" w:hAnsiTheme="majorBidi" w:cstheme="majorBidi"/>
        </w:rPr>
        <w:t xml:space="preserve"> non-oriented</w:t>
      </w:r>
      <w:r w:rsidR="0029557E" w:rsidRPr="007D2EDF">
        <w:rPr>
          <w:rFonts w:asciiTheme="majorBidi" w:hAnsiTheme="majorBidi" w:cstheme="majorBidi"/>
        </w:rPr>
        <w:t xml:space="preserve"> slack-based model</w:t>
      </w:r>
      <w:r w:rsidR="0029557E">
        <w:rPr>
          <w:rFonts w:asciiTheme="majorBidi" w:hAnsiTheme="majorBidi" w:cstheme="majorBidi"/>
        </w:rPr>
        <w:t xml:space="preserve"> (SBM)</w:t>
      </w:r>
      <w:r w:rsidR="00191520">
        <w:rPr>
          <w:rFonts w:asciiTheme="majorBidi" w:hAnsiTheme="majorBidi" w:cstheme="majorBidi"/>
        </w:rPr>
        <w:t>,</w:t>
      </w:r>
      <w:r w:rsidR="0029557E">
        <w:rPr>
          <w:rFonts w:asciiTheme="majorBidi" w:hAnsiTheme="majorBidi" w:cstheme="majorBidi"/>
        </w:rPr>
        <w:t xml:space="preserve"> as presented in Eq. (1)</w:t>
      </w:r>
      <w:r>
        <w:rPr>
          <w:rFonts w:asciiTheme="majorBidi" w:hAnsiTheme="majorBidi" w:cstheme="majorBidi"/>
        </w:rPr>
        <w:t>,</w:t>
      </w:r>
      <w:r w:rsidR="0029557E">
        <w:rPr>
          <w:rFonts w:asciiTheme="majorBidi" w:hAnsiTheme="majorBidi" w:cstheme="majorBidi"/>
        </w:rPr>
        <w:t xml:space="preserve"> </w:t>
      </w:r>
      <w:r w:rsidR="0029557E" w:rsidRPr="007D2EDF">
        <w:rPr>
          <w:rFonts w:asciiTheme="majorBidi" w:hAnsiTheme="majorBidi" w:cstheme="majorBidi"/>
        </w:rPr>
        <w:t>to combine</w:t>
      </w:r>
      <w:r w:rsidR="0029557E">
        <w:rPr>
          <w:rFonts w:asciiTheme="majorBidi" w:hAnsiTheme="majorBidi" w:cstheme="majorBidi"/>
        </w:rPr>
        <w:t xml:space="preserve"> the sustainability indicators into a</w:t>
      </w:r>
      <w:r w:rsidR="009B0AFD">
        <w:rPr>
          <w:rFonts w:asciiTheme="majorBidi" w:hAnsiTheme="majorBidi" w:cstheme="majorBidi"/>
        </w:rPr>
        <w:t xml:space="preserve"> single</w:t>
      </w:r>
      <w:r w:rsidR="0029557E">
        <w:rPr>
          <w:rFonts w:asciiTheme="majorBidi" w:hAnsiTheme="majorBidi" w:cstheme="majorBidi"/>
        </w:rPr>
        <w:t xml:space="preserve"> performance score</w:t>
      </w:r>
      <w:r>
        <w:rPr>
          <w:rFonts w:asciiTheme="majorBidi" w:hAnsiTheme="majorBidi" w:cstheme="majorBidi"/>
        </w:rPr>
        <w:t xml:space="preserve"> (i.e., </w:t>
      </w:r>
      <w:r w:rsidR="0029557E">
        <w:rPr>
          <w:rFonts w:asciiTheme="majorBidi" w:hAnsiTheme="majorBidi" w:cstheme="majorBidi"/>
        </w:rPr>
        <w:t>efficiency score</w:t>
      </w:r>
      <w:r>
        <w:rPr>
          <w:rFonts w:asciiTheme="majorBidi" w:hAnsiTheme="majorBidi" w:cstheme="majorBidi"/>
        </w:rPr>
        <w:t>)</w:t>
      </w:r>
      <w:r w:rsidR="0029557E">
        <w:rPr>
          <w:rFonts w:asciiTheme="majorBidi" w:hAnsiTheme="majorBidi" w:cstheme="majorBidi"/>
        </w:rPr>
        <w:t xml:space="preserve">. This score lies between </w:t>
      </w:r>
      <w:r w:rsidR="0029557E" w:rsidRPr="00EA1F4C">
        <w:t xml:space="preserve">0 </w:t>
      </w:r>
      <w:r w:rsidR="0029557E">
        <w:t>and</w:t>
      </w:r>
      <w:r w:rsidR="0029557E" w:rsidRPr="00EA1F4C">
        <w:t xml:space="preserve"> 1</w:t>
      </w:r>
      <w:r w:rsidR="00217CEA">
        <w:t xml:space="preserve">, so that </w:t>
      </w:r>
      <w:r w:rsidR="0029557E" w:rsidRPr="00ED3C5B">
        <w:t xml:space="preserve">DMUs </w:t>
      </w:r>
      <w:r w:rsidR="0029557E">
        <w:t xml:space="preserve">(i.e., biofuels) </w:t>
      </w:r>
      <w:r w:rsidR="0029557E" w:rsidRPr="00ED3C5B">
        <w:t xml:space="preserve">with a score of </w:t>
      </w:r>
      <w:r w:rsidR="0029557E">
        <w:t>1</w:t>
      </w:r>
      <w:r w:rsidR="0029557E" w:rsidRPr="00ED3C5B">
        <w:t xml:space="preserve"> </w:t>
      </w:r>
      <w:r w:rsidR="0029557E">
        <w:t xml:space="preserve">are </w:t>
      </w:r>
      <w:r w:rsidR="0029557E" w:rsidRPr="00ED3C5B">
        <w:t xml:space="preserve">referred </w:t>
      </w:r>
      <w:r w:rsidR="0029557E">
        <w:t xml:space="preserve">to </w:t>
      </w:r>
      <w:r w:rsidR="0029557E" w:rsidRPr="00ED3C5B">
        <w:t>as efficient</w:t>
      </w:r>
      <w:r>
        <w:t xml:space="preserve">, </w:t>
      </w:r>
      <w:r w:rsidR="0029557E">
        <w:t xml:space="preserve">while </w:t>
      </w:r>
      <w:r w:rsidR="0029557E" w:rsidRPr="00ED3C5B">
        <w:t xml:space="preserve">DMUs with a score </w:t>
      </w:r>
      <w:r w:rsidR="0029557E">
        <w:t xml:space="preserve">strictly lower </w:t>
      </w:r>
      <w:r w:rsidR="0029557E" w:rsidRPr="00ED3C5B">
        <w:t xml:space="preserve">than </w:t>
      </w:r>
      <w:r w:rsidR="0029557E">
        <w:t>1</w:t>
      </w:r>
      <w:r w:rsidR="0029557E" w:rsidRPr="00ED3C5B">
        <w:t xml:space="preserve"> are considered inefficient</w:t>
      </w:r>
      <w:r w:rsidR="0029557E">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750"/>
        <w:gridCol w:w="791"/>
      </w:tblGrid>
      <w:tr w:rsidR="00BA0831" w:rsidRPr="00BA0831" w14:paraId="46A3B588" w14:textId="77777777" w:rsidTr="00B703BC">
        <w:trPr>
          <w:trHeight w:val="1007"/>
        </w:trPr>
        <w:tc>
          <w:tcPr>
            <w:tcW w:w="7922" w:type="dxa"/>
            <w:gridSpan w:val="2"/>
          </w:tcPr>
          <w:p w14:paraId="5582A22C" w14:textId="77777777" w:rsidR="00BA0831" w:rsidRPr="00BA0831" w:rsidRDefault="00000000" w:rsidP="002219FB">
            <w:pPr>
              <w:rPr>
                <w:rFonts w:ascii="Times New Roman" w:hAnsi="Times New Roman" w:cs="Times New Roman"/>
                <w:sz w:val="20"/>
                <w:szCs w:val="20"/>
              </w:rPr>
            </w:pPr>
            <m:oMathPara>
              <m:oMath>
                <m:sSup>
                  <m:sSupPr>
                    <m:ctrlPr>
                      <w:rPr>
                        <w:rFonts w:ascii="Cambria Math" w:hAnsi="Cambria Math" w:cs="Times New Roman"/>
                        <w:sz w:val="20"/>
                        <w:szCs w:val="20"/>
                      </w:rPr>
                    </m:ctrlPr>
                  </m:sSupPr>
                  <m:e>
                    <m:r>
                      <w:rPr>
                        <w:rFonts w:ascii="Cambria Math" w:hAnsi="Cambria Math" w:cs="Times New Roman"/>
                        <w:sz w:val="20"/>
                        <w:szCs w:val="20"/>
                      </w:rPr>
                      <m:t>ρ</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func>
                  <m:funcPr>
                    <m:ctrlPr>
                      <w:rPr>
                        <w:rFonts w:ascii="Cambria Math" w:hAnsi="Cambria Math" w:cs="Times New Roman"/>
                        <w:sz w:val="20"/>
                        <w:szCs w:val="20"/>
                      </w:rPr>
                    </m:ctrlPr>
                  </m:funcPr>
                  <m:fName>
                    <m:r>
                      <m:rPr>
                        <m:sty m:val="p"/>
                      </m:rPr>
                      <w:rPr>
                        <w:rFonts w:ascii="Cambria Math" w:hAnsi="Cambria Math" w:cs="Times New Roman"/>
                        <w:sz w:val="20"/>
                        <w:szCs w:val="20"/>
                      </w:rPr>
                      <m:t>min</m:t>
                    </m:r>
                  </m:fName>
                  <m:e>
                    <m:f>
                      <m:fPr>
                        <m:ctrlPr>
                          <w:rPr>
                            <w:rFonts w:ascii="Cambria Math" w:hAnsi="Cambria Math" w:cs="Times New Roman"/>
                            <w:sz w:val="20"/>
                            <w:szCs w:val="20"/>
                          </w:rPr>
                        </m:ctrlPr>
                      </m:fPr>
                      <m:num>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m</m:t>
                            </m:r>
                          </m:den>
                        </m:f>
                        <m:nary>
                          <m:naryPr>
                            <m:chr m:val="∑"/>
                            <m:limLoc m:val="undOvr"/>
                            <m:ctrlPr>
                              <w:rPr>
                                <w:rFonts w:ascii="Cambria Math" w:hAnsi="Cambria Math" w:cs="Times New Roman"/>
                                <w:sz w:val="20"/>
                                <w:szCs w:val="20"/>
                              </w:rPr>
                            </m:ctrlPr>
                          </m:naryPr>
                          <m:sub>
                            <m:r>
                              <w:rPr>
                                <w:rFonts w:ascii="Cambria Math" w:hAnsi="Cambria Math" w:cs="Times New Roman"/>
                                <w:sz w:val="20"/>
                                <w:szCs w:val="20"/>
                              </w:rPr>
                              <m:t>i</m:t>
                            </m:r>
                            <m:r>
                              <m:rPr>
                                <m:sty m:val="p"/>
                              </m:rPr>
                              <w:rPr>
                                <w:rFonts w:ascii="Cambria Math" w:hAnsi="Cambria Math" w:cs="Times New Roman"/>
                                <w:sz w:val="20"/>
                                <w:szCs w:val="20"/>
                              </w:rPr>
                              <m:t>=1</m:t>
                            </m:r>
                          </m:sub>
                          <m:sup>
                            <m:r>
                              <w:rPr>
                                <w:rFonts w:ascii="Cambria Math" w:hAnsi="Cambria Math" w:cs="Times New Roman"/>
                                <w:sz w:val="20"/>
                                <w:szCs w:val="20"/>
                              </w:rPr>
                              <m:t>m</m:t>
                            </m:r>
                          </m:sup>
                          <m:e>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sz w:val="20"/>
                                        <w:szCs w:val="20"/>
                                      </w:rPr>
                                      <m:t>s</m:t>
                                    </m:r>
                                  </m:e>
                                  <m:sub>
                                    <m:r>
                                      <w:rPr>
                                        <w:rFonts w:ascii="Cambria Math" w:hAnsi="Cambria Math" w:cs="Times New Roman"/>
                                        <w:sz w:val="20"/>
                                        <w:szCs w:val="20"/>
                                      </w:rPr>
                                      <m:t>i</m:t>
                                    </m:r>
                                  </m:sub>
                                  <m:sup>
                                    <m:r>
                                      <m:rPr>
                                        <m:sty m:val="p"/>
                                      </m:rPr>
                                      <w:rPr>
                                        <w:rFonts w:ascii="Cambria Math" w:hAnsi="Cambria Math" w:cs="Times New Roman"/>
                                        <w:sz w:val="20"/>
                                        <w:szCs w:val="20"/>
                                      </w:rPr>
                                      <m:t>-</m:t>
                                    </m:r>
                                  </m:sup>
                                </m:sSubSup>
                              </m:num>
                              <m:den>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r>
                                      <m:rPr>
                                        <m:sty m:val="p"/>
                                      </m:rPr>
                                      <w:rPr>
                                        <w:rFonts w:ascii="Cambria Math" w:hAnsi="Cambria Math" w:cs="Times New Roman"/>
                                        <w:sz w:val="20"/>
                                        <w:szCs w:val="20"/>
                                      </w:rPr>
                                      <m:t>0</m:t>
                                    </m:r>
                                  </m:sub>
                                </m:sSub>
                              </m:den>
                            </m:f>
                          </m:e>
                        </m:nary>
                      </m:num>
                      <m:den>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k</m:t>
                            </m:r>
                          </m:den>
                        </m:f>
                        <m:nary>
                          <m:naryPr>
                            <m:chr m:val="∑"/>
                            <m:limLoc m:val="undOvr"/>
                            <m:ctrlPr>
                              <w:rPr>
                                <w:rFonts w:ascii="Cambria Math" w:hAnsi="Cambria Math" w:cs="Times New Roman"/>
                                <w:sz w:val="20"/>
                                <w:szCs w:val="20"/>
                              </w:rPr>
                            </m:ctrlPr>
                          </m:naryPr>
                          <m:sub>
                            <m:r>
                              <w:rPr>
                                <w:rFonts w:ascii="Cambria Math" w:hAnsi="Cambria Math" w:cs="Times New Roman"/>
                                <w:sz w:val="20"/>
                                <w:szCs w:val="20"/>
                              </w:rPr>
                              <m:t>r</m:t>
                            </m:r>
                            <m:r>
                              <m:rPr>
                                <m:sty m:val="p"/>
                              </m:rPr>
                              <w:rPr>
                                <w:rFonts w:ascii="Cambria Math" w:hAnsi="Cambria Math" w:cs="Times New Roman"/>
                                <w:sz w:val="20"/>
                                <w:szCs w:val="20"/>
                              </w:rPr>
                              <m:t>=1</m:t>
                            </m:r>
                          </m:sub>
                          <m:sup>
                            <m:r>
                              <w:rPr>
                                <w:rFonts w:ascii="Cambria Math" w:hAnsi="Cambria Math" w:cs="Times New Roman"/>
                                <w:sz w:val="20"/>
                                <w:szCs w:val="20"/>
                              </w:rPr>
                              <m:t>k</m:t>
                            </m:r>
                          </m:sup>
                          <m:e>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sz w:val="20"/>
                                        <w:szCs w:val="20"/>
                                      </w:rPr>
                                      <m:t>s</m:t>
                                    </m:r>
                                  </m:e>
                                  <m:sub>
                                    <m:r>
                                      <w:rPr>
                                        <w:rFonts w:ascii="Cambria Math" w:hAnsi="Cambria Math" w:cs="Times New Roman"/>
                                        <w:sz w:val="20"/>
                                        <w:szCs w:val="20"/>
                                      </w:rPr>
                                      <m:t>r</m:t>
                                    </m:r>
                                  </m:sub>
                                  <m:sup>
                                    <m:r>
                                      <w:rPr>
                                        <w:rFonts w:ascii="Cambria Math" w:hAnsi="Cambria Math" w:cs="Times New Roman"/>
                                        <w:sz w:val="20"/>
                                        <w:szCs w:val="20"/>
                                      </w:rPr>
                                      <m:t>+</m:t>
                                    </m:r>
                                  </m:sup>
                                </m:sSubSup>
                              </m:num>
                              <m:den>
                                <m:sSub>
                                  <m:sSubPr>
                                    <m:ctrlPr>
                                      <w:rPr>
                                        <w:rFonts w:ascii="Cambria Math" w:hAnsi="Cambria Math"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r</m:t>
                                    </m:r>
                                    <m:r>
                                      <m:rPr>
                                        <m:sty m:val="p"/>
                                      </m:rPr>
                                      <w:rPr>
                                        <w:rFonts w:ascii="Cambria Math" w:hAnsi="Cambria Math" w:cs="Times New Roman"/>
                                        <w:sz w:val="20"/>
                                        <w:szCs w:val="20"/>
                                      </w:rPr>
                                      <m:t>0</m:t>
                                    </m:r>
                                  </m:sub>
                                </m:sSub>
                              </m:den>
                            </m:f>
                          </m:e>
                        </m:nary>
                      </m:den>
                    </m:f>
                  </m:e>
                </m:func>
              </m:oMath>
            </m:oMathPara>
          </w:p>
        </w:tc>
        <w:tc>
          <w:tcPr>
            <w:tcW w:w="906" w:type="dxa"/>
          </w:tcPr>
          <w:p w14:paraId="0F94483B" w14:textId="24917EB6" w:rsidR="00BA0831" w:rsidRPr="00BA0831" w:rsidRDefault="00BA0831" w:rsidP="002219FB">
            <w:pPr>
              <w:rPr>
                <w:rFonts w:ascii="Times New Roman" w:hAnsi="Times New Roman" w:cs="Times New Roman"/>
                <w:sz w:val="20"/>
                <w:szCs w:val="20"/>
              </w:rPr>
            </w:pPr>
            <w:proofErr w:type="spellStart"/>
            <w:r w:rsidRPr="00BA0831">
              <w:rPr>
                <w:rFonts w:ascii="Times New Roman" w:hAnsi="Times New Roman" w:cs="Times New Roman"/>
                <w:sz w:val="20"/>
                <w:szCs w:val="20"/>
              </w:rPr>
              <w:t>Eq</w:t>
            </w:r>
            <w:proofErr w:type="spellEnd"/>
            <w:r w:rsidRPr="00BA0831">
              <w:rPr>
                <w:rFonts w:ascii="Times New Roman" w:hAnsi="Times New Roman" w:cs="Times New Roman"/>
                <w:sz w:val="20"/>
                <w:szCs w:val="20"/>
              </w:rPr>
              <w:t>.</w:t>
            </w:r>
            <w:r w:rsidR="00B703BC">
              <w:rPr>
                <w:rFonts w:ascii="Times New Roman" w:hAnsi="Times New Roman" w:cs="Times New Roman"/>
                <w:sz w:val="20"/>
                <w:szCs w:val="20"/>
              </w:rPr>
              <w:t xml:space="preserve"> </w:t>
            </w:r>
            <w:r>
              <w:rPr>
                <w:rFonts w:ascii="Times New Roman" w:hAnsi="Times New Roman" w:cs="Times New Roman"/>
                <w:sz w:val="20"/>
                <w:szCs w:val="20"/>
              </w:rPr>
              <w:t>(</w:t>
            </w:r>
            <w:r w:rsidRPr="00BA0831">
              <w:rPr>
                <w:rFonts w:ascii="Times New Roman" w:hAnsi="Times New Roman" w:cs="Times New Roman"/>
                <w:sz w:val="20"/>
                <w:szCs w:val="20"/>
              </w:rPr>
              <w:t>1)</w:t>
            </w:r>
          </w:p>
        </w:tc>
      </w:tr>
      <w:tr w:rsidR="00BA0831" w:rsidRPr="00BA0831" w14:paraId="3A928FD6" w14:textId="77777777" w:rsidTr="00B703BC">
        <w:trPr>
          <w:trHeight w:val="979"/>
        </w:trPr>
        <w:tc>
          <w:tcPr>
            <w:tcW w:w="562" w:type="dxa"/>
            <w:vAlign w:val="center"/>
          </w:tcPr>
          <w:p w14:paraId="117801CB" w14:textId="77777777" w:rsidR="00BA0831" w:rsidRPr="00BA0831" w:rsidRDefault="00BA0831" w:rsidP="002219FB">
            <w:pPr>
              <w:rPr>
                <w:rFonts w:ascii="Times New Roman" w:hAnsi="Times New Roman" w:cs="Times New Roman"/>
                <w:sz w:val="20"/>
                <w:szCs w:val="20"/>
              </w:rPr>
            </w:pPr>
            <w:proofErr w:type="spellStart"/>
            <w:r w:rsidRPr="00BA0831">
              <w:rPr>
                <w:rFonts w:ascii="Times New Roman" w:hAnsi="Times New Roman" w:cs="Times New Roman"/>
                <w:sz w:val="20"/>
                <w:szCs w:val="20"/>
              </w:rPr>
              <w:t>s.t</w:t>
            </w:r>
            <w:proofErr w:type="spellEnd"/>
            <w:r w:rsidRPr="00BA0831">
              <w:rPr>
                <w:rFonts w:ascii="Times New Roman" w:hAnsi="Times New Roman" w:cs="Times New Roman"/>
                <w:sz w:val="20"/>
                <w:szCs w:val="20"/>
              </w:rPr>
              <w:t>.</w:t>
            </w:r>
          </w:p>
        </w:tc>
        <w:tc>
          <w:tcPr>
            <w:tcW w:w="7360" w:type="dxa"/>
            <w:vAlign w:val="center"/>
          </w:tcPr>
          <w:p w14:paraId="43E984FD" w14:textId="77777777" w:rsidR="00BA0831" w:rsidRPr="00BA0831" w:rsidRDefault="00000000" w:rsidP="002219FB">
            <w:pPr>
              <w:rPr>
                <w:rFonts w:ascii="Times New Roman" w:hAnsi="Times New Roman" w:cs="Times New Roman"/>
                <w:sz w:val="20"/>
                <w:szCs w:val="20"/>
              </w:rPr>
            </w:pPr>
            <m:oMathPara>
              <m:oMath>
                <m:nary>
                  <m:naryPr>
                    <m:chr m:val="∑"/>
                    <m:limLoc m:val="undOvr"/>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w:rPr>
                            <w:rFonts w:ascii="Cambria Math" w:hAnsi="Cambria Math" w:cs="Times New Roman"/>
                            <w:sz w:val="20"/>
                            <w:szCs w:val="20"/>
                          </w:rPr>
                          <m:t>λ</m:t>
                        </m:r>
                      </m:e>
                      <m:sub>
                        <m:r>
                          <w:rPr>
                            <w:rFonts w:ascii="Cambria Math" w:hAnsi="Cambria Math" w:cs="Times New Roman"/>
                            <w:sz w:val="20"/>
                            <w:szCs w:val="20"/>
                          </w:rPr>
                          <m:t>j</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s</m:t>
                        </m:r>
                      </m:e>
                      <m:sub>
                        <m:r>
                          <w:rPr>
                            <w:rFonts w:ascii="Cambria Math" w:hAnsi="Cambria Math" w:cs="Times New Roman"/>
                            <w:sz w:val="20"/>
                            <w:szCs w:val="20"/>
                          </w:rPr>
                          <m:t>i</m:t>
                        </m:r>
                      </m:sub>
                      <m:sup>
                        <m:r>
                          <m:rPr>
                            <m:sty m:val="p"/>
                          </m:rPr>
                          <w:rPr>
                            <w:rFonts w:ascii="Cambria Math" w:hAnsi="Cambria Math" w:cs="Times New Roman"/>
                            <w:sz w:val="20"/>
                            <w:szCs w:val="20"/>
                          </w:rPr>
                          <m:t>-</m:t>
                        </m:r>
                      </m:sup>
                    </m:sSubSup>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r>
                  <w:rPr>
                    <w:rFonts w:ascii="Cambria Math" w:hAnsi="Cambria Math" w:cs="Times New Roman"/>
                    <w:sz w:val="20"/>
                    <w:szCs w:val="20"/>
                  </w:rPr>
                  <m:t>i</m:t>
                </m:r>
                <m:r>
                  <m:rPr>
                    <m:sty m:val="p"/>
                  </m:rPr>
                  <w:rPr>
                    <w:rFonts w:ascii="Cambria Math" w:hAnsi="Cambria Math" w:cs="Times New Roman"/>
                    <w:sz w:val="20"/>
                    <w:szCs w:val="20"/>
                  </w:rPr>
                  <m:t xml:space="preserve">=1, 2,…, </m:t>
                </m:r>
                <m:r>
                  <w:rPr>
                    <w:rFonts w:ascii="Cambria Math" w:hAnsi="Cambria Math" w:cs="Times New Roman"/>
                    <w:sz w:val="20"/>
                    <w:szCs w:val="20"/>
                  </w:rPr>
                  <m:t>m</m:t>
                </m:r>
              </m:oMath>
            </m:oMathPara>
          </w:p>
        </w:tc>
        <w:tc>
          <w:tcPr>
            <w:tcW w:w="906" w:type="dxa"/>
          </w:tcPr>
          <w:p w14:paraId="709FB93F" w14:textId="77777777" w:rsidR="00BA0831" w:rsidRPr="00BA0831" w:rsidRDefault="00BA0831" w:rsidP="002219FB">
            <w:pPr>
              <w:rPr>
                <w:rFonts w:ascii="Times New Roman" w:hAnsi="Times New Roman" w:cs="Times New Roman"/>
                <w:sz w:val="20"/>
                <w:szCs w:val="20"/>
              </w:rPr>
            </w:pPr>
          </w:p>
        </w:tc>
      </w:tr>
      <w:tr w:rsidR="00BA0831" w:rsidRPr="00BA0831" w14:paraId="0EC5399D" w14:textId="77777777" w:rsidTr="00B703BC">
        <w:trPr>
          <w:trHeight w:val="838"/>
        </w:trPr>
        <w:tc>
          <w:tcPr>
            <w:tcW w:w="7922" w:type="dxa"/>
            <w:gridSpan w:val="2"/>
          </w:tcPr>
          <w:p w14:paraId="23A4D897" w14:textId="77777777" w:rsidR="00BA0831" w:rsidRPr="00BA0831" w:rsidRDefault="00000000" w:rsidP="002219FB">
            <w:pPr>
              <w:rPr>
                <w:rFonts w:ascii="Times New Roman" w:hAnsi="Times New Roman" w:cs="Times New Roman"/>
                <w:sz w:val="20"/>
                <w:szCs w:val="20"/>
              </w:rPr>
            </w:pPr>
            <m:oMathPara>
              <m:oMath>
                <m:nary>
                  <m:naryPr>
                    <m:chr m:val="∑"/>
                    <m:limLoc m:val="undOvr"/>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w:rPr>
                            <w:rFonts w:ascii="Cambria Math" w:hAnsi="Cambria Math" w:cs="Times New Roman"/>
                            <w:sz w:val="20"/>
                            <w:szCs w:val="20"/>
                          </w:rPr>
                          <m:t>λ</m:t>
                        </m:r>
                      </m:e>
                      <m:sub>
                        <m:r>
                          <w:rPr>
                            <w:rFonts w:ascii="Cambria Math" w:hAnsi="Cambria Math" w:cs="Times New Roman"/>
                            <w:sz w:val="20"/>
                            <w:szCs w:val="20"/>
                          </w:rPr>
                          <m:t>j</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rj</m:t>
                        </m:r>
                      </m:sub>
                    </m:sSub>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s</m:t>
                        </m:r>
                      </m:e>
                      <m:sub>
                        <m:r>
                          <w:rPr>
                            <w:rFonts w:ascii="Cambria Math" w:hAnsi="Cambria Math" w:cs="Times New Roman"/>
                            <w:sz w:val="20"/>
                            <w:szCs w:val="20"/>
                          </w:rPr>
                          <m:t>r</m:t>
                        </m:r>
                      </m:sub>
                      <m:sup>
                        <m:r>
                          <w:rPr>
                            <w:rFonts w:ascii="Cambria Math" w:hAnsi="Cambria Math" w:cs="Times New Roman"/>
                            <w:sz w:val="20"/>
                            <w:szCs w:val="20"/>
                          </w:rPr>
                          <m:t>+</m:t>
                        </m:r>
                      </m:sup>
                    </m:sSubSup>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r0</m:t>
                    </m:r>
                  </m:sub>
                </m:sSub>
                <m:r>
                  <m:rPr>
                    <m:sty m:val="p"/>
                  </m:rPr>
                  <w:rPr>
                    <w:rFonts w:ascii="Cambria Math" w:hAnsi="Cambria Math" w:cs="Times New Roman"/>
                    <w:sz w:val="20"/>
                    <w:szCs w:val="20"/>
                  </w:rPr>
                  <m:t xml:space="preserve">      </m:t>
                </m:r>
                <m:r>
                  <w:rPr>
                    <w:rFonts w:ascii="Cambria Math" w:hAnsi="Cambria Math" w:cs="Times New Roman"/>
                    <w:sz w:val="20"/>
                    <w:szCs w:val="20"/>
                  </w:rPr>
                  <m:t>r</m:t>
                </m:r>
                <m:r>
                  <m:rPr>
                    <m:sty m:val="p"/>
                  </m:rPr>
                  <w:rPr>
                    <w:rFonts w:ascii="Cambria Math" w:hAnsi="Cambria Math" w:cs="Times New Roman"/>
                    <w:sz w:val="20"/>
                    <w:szCs w:val="20"/>
                  </w:rPr>
                  <m:t>=1, 2, … ,</m:t>
                </m:r>
                <m:r>
                  <w:rPr>
                    <w:rFonts w:ascii="Cambria Math" w:hAnsi="Cambria Math" w:cs="Times New Roman"/>
                    <w:sz w:val="20"/>
                    <w:szCs w:val="20"/>
                  </w:rPr>
                  <m:t>k</m:t>
                </m:r>
              </m:oMath>
            </m:oMathPara>
          </w:p>
        </w:tc>
        <w:tc>
          <w:tcPr>
            <w:tcW w:w="906" w:type="dxa"/>
          </w:tcPr>
          <w:p w14:paraId="0615D627" w14:textId="77777777" w:rsidR="00BA0831" w:rsidRPr="00BA0831" w:rsidRDefault="00BA0831" w:rsidP="002219FB">
            <w:pPr>
              <w:rPr>
                <w:rFonts w:ascii="Times New Roman" w:hAnsi="Times New Roman" w:cs="Times New Roman"/>
                <w:sz w:val="20"/>
                <w:szCs w:val="20"/>
              </w:rPr>
            </w:pPr>
          </w:p>
        </w:tc>
      </w:tr>
      <w:tr w:rsidR="00BA0831" w:rsidRPr="00BA0831" w14:paraId="6EC4886E" w14:textId="77777777" w:rsidTr="00B703BC">
        <w:trPr>
          <w:trHeight w:val="410"/>
        </w:trPr>
        <w:tc>
          <w:tcPr>
            <w:tcW w:w="7922" w:type="dxa"/>
            <w:gridSpan w:val="2"/>
          </w:tcPr>
          <w:p w14:paraId="3F3FEC4A" w14:textId="77777777" w:rsidR="00BA0831" w:rsidRPr="00BA0831" w:rsidRDefault="00000000" w:rsidP="002219FB">
            <w:pPr>
              <w:rPr>
                <w:rFonts w:ascii="Times New Roman" w:hAnsi="Times New Roman" w:cs="Times New Roman"/>
                <w:sz w:val="20"/>
                <w:szCs w:val="20"/>
              </w:rPr>
            </w:pPr>
            <m:oMathPara>
              <m:oMath>
                <m:sSup>
                  <m:sSupPr>
                    <m:ctrlPr>
                      <w:rPr>
                        <w:rFonts w:ascii="Cambria Math" w:hAnsi="Cambria Math" w:cs="Times New Roman"/>
                        <w:sz w:val="20"/>
                        <w:szCs w:val="20"/>
                      </w:rPr>
                    </m:ctrlPr>
                  </m:sSupPr>
                  <m:e>
                    <m:r>
                      <w:rPr>
                        <w:rFonts w:ascii="Cambria Math" w:hAnsi="Cambria Math" w:cs="Times New Roman"/>
                        <w:sz w:val="20"/>
                        <w:szCs w:val="20"/>
                      </w:rPr>
                      <m:t>s</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 xml:space="preserve">≥0, </m:t>
                </m:r>
                <m:sSup>
                  <m:sSupPr>
                    <m:ctrlPr>
                      <w:rPr>
                        <w:rFonts w:ascii="Cambria Math" w:hAnsi="Cambria Math" w:cs="Times New Roman"/>
                        <w:sz w:val="20"/>
                        <w:szCs w:val="20"/>
                      </w:rPr>
                    </m:ctrlPr>
                  </m:sSupPr>
                  <m:e>
                    <m:r>
                      <w:rPr>
                        <w:rFonts w:ascii="Cambria Math" w:hAnsi="Cambria Math" w:cs="Times New Roman"/>
                        <w:sz w:val="20"/>
                        <w:szCs w:val="20"/>
                      </w:rPr>
                      <m:t>s</m:t>
                    </m:r>
                  </m:e>
                  <m:sup>
                    <m:r>
                      <w:rPr>
                        <w:rFonts w:ascii="Cambria Math" w:hAnsi="Cambria Math" w:cs="Times New Roman"/>
                        <w:sz w:val="20"/>
                        <w:szCs w:val="20"/>
                      </w:rPr>
                      <m:t>+</m:t>
                    </m:r>
                  </m:sup>
                </m:sSup>
                <m:r>
                  <m:rPr>
                    <m:sty m:val="p"/>
                  </m:rPr>
                  <w:rPr>
                    <w:rFonts w:ascii="Cambria Math" w:hAnsi="Cambria Math" w:cs="Times New Roman"/>
                    <w:sz w:val="20"/>
                    <w:szCs w:val="20"/>
                  </w:rPr>
                  <m:t>≥0</m:t>
                </m:r>
              </m:oMath>
            </m:oMathPara>
          </w:p>
        </w:tc>
        <w:tc>
          <w:tcPr>
            <w:tcW w:w="906" w:type="dxa"/>
          </w:tcPr>
          <w:p w14:paraId="1258ABD3" w14:textId="77777777" w:rsidR="00BA0831" w:rsidRPr="00BA0831" w:rsidRDefault="00BA0831" w:rsidP="002219FB">
            <w:pPr>
              <w:rPr>
                <w:rFonts w:ascii="Times New Roman" w:hAnsi="Times New Roman" w:cs="Times New Roman"/>
                <w:sz w:val="20"/>
                <w:szCs w:val="20"/>
              </w:rPr>
            </w:pPr>
          </w:p>
        </w:tc>
      </w:tr>
      <w:tr w:rsidR="00BA0831" w:rsidRPr="00BA0831" w14:paraId="4450882D" w14:textId="77777777" w:rsidTr="00B703BC">
        <w:tc>
          <w:tcPr>
            <w:tcW w:w="7922" w:type="dxa"/>
            <w:gridSpan w:val="2"/>
          </w:tcPr>
          <w:p w14:paraId="04B2C872" w14:textId="77777777" w:rsidR="00BA0831" w:rsidRPr="00BA0831" w:rsidRDefault="00000000" w:rsidP="002219F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λ</m:t>
                    </m:r>
                  </m:e>
                  <m:sub>
                    <m:r>
                      <w:rPr>
                        <w:rFonts w:ascii="Cambria Math" w:hAnsi="Cambria Math" w:cs="Times New Roman"/>
                        <w:sz w:val="20"/>
                        <w:szCs w:val="20"/>
                      </w:rPr>
                      <m:t>j</m:t>
                    </m:r>
                  </m:sub>
                </m:sSub>
                <m:r>
                  <m:rPr>
                    <m:sty m:val="p"/>
                  </m:rPr>
                  <w:rPr>
                    <w:rFonts w:ascii="Cambria Math" w:hAnsi="Cambria Math" w:cs="Times New Roman"/>
                    <w:sz w:val="20"/>
                    <w:szCs w:val="20"/>
                  </w:rPr>
                  <m:t xml:space="preserve">≥0          </m:t>
                </m:r>
                <m:r>
                  <w:rPr>
                    <w:rFonts w:ascii="Cambria Math" w:hAnsi="Cambria Math" w:cs="Times New Roman"/>
                    <w:sz w:val="20"/>
                    <w:szCs w:val="20"/>
                  </w:rPr>
                  <m:t>j</m:t>
                </m:r>
                <m:r>
                  <m:rPr>
                    <m:sty m:val="p"/>
                  </m:rPr>
                  <w:rPr>
                    <w:rFonts w:ascii="Cambria Math" w:hAnsi="Cambria Math" w:cs="Times New Roman"/>
                    <w:sz w:val="20"/>
                    <w:szCs w:val="20"/>
                  </w:rPr>
                  <m:t>=1, 2,… ,</m:t>
                </m:r>
                <m:r>
                  <w:rPr>
                    <w:rFonts w:ascii="Cambria Math" w:hAnsi="Cambria Math" w:cs="Times New Roman"/>
                    <w:sz w:val="20"/>
                    <w:szCs w:val="20"/>
                  </w:rPr>
                  <m:t>n</m:t>
                </m:r>
              </m:oMath>
            </m:oMathPara>
          </w:p>
        </w:tc>
        <w:tc>
          <w:tcPr>
            <w:tcW w:w="906" w:type="dxa"/>
          </w:tcPr>
          <w:p w14:paraId="59C060DB" w14:textId="77777777" w:rsidR="00BA0831" w:rsidRPr="00BA0831" w:rsidRDefault="00BA0831" w:rsidP="002219FB">
            <w:pPr>
              <w:rPr>
                <w:rFonts w:ascii="Times New Roman" w:hAnsi="Times New Roman" w:cs="Times New Roman"/>
                <w:sz w:val="20"/>
                <w:szCs w:val="20"/>
              </w:rPr>
            </w:pPr>
          </w:p>
        </w:tc>
      </w:tr>
    </w:tbl>
    <w:p w14:paraId="730C5D08" w14:textId="0429233D" w:rsidR="00BA0831" w:rsidRPr="00010E19" w:rsidRDefault="00BA0831" w:rsidP="0066438A">
      <w:pPr>
        <w:jc w:val="both"/>
      </w:pPr>
      <w:r w:rsidRPr="001C08FF">
        <w:t xml:space="preserve">In this model, </w:t>
      </w:r>
      <w:r w:rsidRPr="00795D9F">
        <w:rPr>
          <w:i/>
          <w:iCs/>
        </w:rPr>
        <w:t>ρ</w:t>
      </w:r>
      <w:r w:rsidRPr="001C08FF">
        <w:t xml:space="preserve"> is the </w:t>
      </w:r>
      <w:r>
        <w:t>SBM-</w:t>
      </w:r>
      <w:r w:rsidRPr="001C08FF">
        <w:t xml:space="preserve">efficiency score, </w:t>
      </w:r>
      <w:proofErr w:type="spellStart"/>
      <w:r w:rsidRPr="00795D9F">
        <w:rPr>
          <w:i/>
          <w:iCs/>
        </w:rPr>
        <w:t>x</w:t>
      </w:r>
      <w:r w:rsidRPr="00795D9F">
        <w:rPr>
          <w:i/>
          <w:iCs/>
          <w:vertAlign w:val="subscript"/>
        </w:rPr>
        <w:t>ij</w:t>
      </w:r>
      <w:proofErr w:type="spellEnd"/>
      <w:r w:rsidRPr="001C08FF">
        <w:t xml:space="preserve"> is the value </w:t>
      </w:r>
      <w:r>
        <w:t xml:space="preserve">of </w:t>
      </w:r>
      <w:r w:rsidRPr="001C08FF">
        <w:t xml:space="preserve">input </w:t>
      </w:r>
      <w:r w:rsidRPr="00795D9F">
        <w:rPr>
          <w:i/>
          <w:iCs/>
        </w:rPr>
        <w:t>i</w:t>
      </w:r>
      <w:r>
        <w:t xml:space="preserve"> o</w:t>
      </w:r>
      <w:r w:rsidRPr="001C08FF">
        <w:t xml:space="preserve">f </w:t>
      </w:r>
      <w:r>
        <w:t xml:space="preserve">DMU </w:t>
      </w:r>
      <w:r w:rsidRPr="00795D9F">
        <w:rPr>
          <w:i/>
          <w:iCs/>
        </w:rPr>
        <w:t>j</w:t>
      </w:r>
      <w:r w:rsidRPr="001C08FF">
        <w:t xml:space="preserve">, </w:t>
      </w:r>
      <w:proofErr w:type="spellStart"/>
      <w:r w:rsidRPr="00795D9F">
        <w:rPr>
          <w:i/>
          <w:iCs/>
        </w:rPr>
        <w:t>y</w:t>
      </w:r>
      <w:r w:rsidRPr="00795D9F">
        <w:rPr>
          <w:i/>
          <w:iCs/>
          <w:vertAlign w:val="subscript"/>
        </w:rPr>
        <w:t>rj</w:t>
      </w:r>
      <w:proofErr w:type="spellEnd"/>
      <w:r w:rsidRPr="001C08FF">
        <w:t xml:space="preserve"> is the </w:t>
      </w:r>
      <w:r>
        <w:t xml:space="preserve">value of </w:t>
      </w:r>
      <w:r w:rsidRPr="001C08FF">
        <w:t xml:space="preserve">output </w:t>
      </w:r>
      <w:r w:rsidRPr="00795D9F">
        <w:rPr>
          <w:i/>
          <w:iCs/>
        </w:rPr>
        <w:t>r</w:t>
      </w:r>
      <w:r w:rsidRPr="001C08FF">
        <w:t xml:space="preserve"> </w:t>
      </w:r>
      <w:r>
        <w:t xml:space="preserve">of DMU </w:t>
      </w:r>
      <w:r w:rsidRPr="00795D9F">
        <w:rPr>
          <w:i/>
          <w:iCs/>
        </w:rPr>
        <w:t>j</w:t>
      </w:r>
      <w:r w:rsidRPr="001C08FF">
        <w:t>,</w:t>
      </w:r>
      <w:r>
        <w:t xml:space="preserve"> and</w:t>
      </w:r>
      <w:r w:rsidRPr="001C08FF">
        <w:t xml:space="preserve"> </w:t>
      </w:r>
      <w:proofErr w:type="spellStart"/>
      <w:r w:rsidRPr="00795D9F">
        <w:rPr>
          <w:i/>
          <w:iCs/>
        </w:rPr>
        <w:t>x</w:t>
      </w:r>
      <w:r w:rsidRPr="00795D9F">
        <w:rPr>
          <w:i/>
          <w:iCs/>
          <w:vertAlign w:val="subscript"/>
        </w:rPr>
        <w:t>io</w:t>
      </w:r>
      <w:proofErr w:type="spellEnd"/>
      <w:r w:rsidRPr="001C08FF">
        <w:t xml:space="preserve"> </w:t>
      </w:r>
      <w:r>
        <w:t xml:space="preserve">and </w:t>
      </w:r>
      <w:proofErr w:type="spellStart"/>
      <w:r w:rsidRPr="00795D9F">
        <w:rPr>
          <w:i/>
          <w:iCs/>
        </w:rPr>
        <w:t>y</w:t>
      </w:r>
      <w:r w:rsidRPr="00795D9F">
        <w:rPr>
          <w:i/>
          <w:iCs/>
          <w:vertAlign w:val="subscript"/>
        </w:rPr>
        <w:t>ro</w:t>
      </w:r>
      <w:proofErr w:type="spellEnd"/>
      <w:r w:rsidRPr="001C08FF">
        <w:t xml:space="preserve"> </w:t>
      </w:r>
      <w:r>
        <w:t>are</w:t>
      </w:r>
      <w:r w:rsidRPr="001C08FF">
        <w:t xml:space="preserve"> the </w:t>
      </w:r>
      <w:r>
        <w:t xml:space="preserve">values of </w:t>
      </w:r>
      <w:r w:rsidRPr="001C08FF">
        <w:t xml:space="preserve">input </w:t>
      </w:r>
      <w:r w:rsidRPr="00795D9F">
        <w:rPr>
          <w:i/>
          <w:iCs/>
        </w:rPr>
        <w:t>i</w:t>
      </w:r>
      <w:r w:rsidRPr="001C08FF">
        <w:t xml:space="preserve"> </w:t>
      </w:r>
      <w:r>
        <w:t xml:space="preserve">and output </w:t>
      </w:r>
      <w:r w:rsidRPr="00795D9F">
        <w:rPr>
          <w:i/>
          <w:iCs/>
        </w:rPr>
        <w:t>r</w:t>
      </w:r>
      <w:r>
        <w:t xml:space="preserve"> </w:t>
      </w:r>
      <w:r w:rsidRPr="001C08FF">
        <w:t xml:space="preserve">of the </w:t>
      </w:r>
      <w:r>
        <w:t>DMU</w:t>
      </w:r>
      <w:r w:rsidRPr="001C08FF">
        <w:t xml:space="preserve"> </w:t>
      </w:r>
      <w:r w:rsidRPr="00795D9F">
        <w:rPr>
          <w:i/>
          <w:iCs/>
        </w:rPr>
        <w:t>o</w:t>
      </w:r>
      <w:r w:rsidRPr="001C08FF">
        <w:t xml:space="preserve"> under evaluation</w:t>
      </w:r>
      <w:r>
        <w:t xml:space="preserve">. In turn, </w:t>
      </w:r>
      <m:oMath>
        <m:sSubSup>
          <m:sSubSupPr>
            <m:ctrlPr>
              <w:rPr>
                <w:rFonts w:ascii="Cambria Math" w:eastAsiaTheme="minorEastAsia" w:hAnsi="Cambria Math"/>
                <w:i/>
                <w:color w:val="000000"/>
              </w:rPr>
            </m:ctrlPr>
          </m:sSubSupPr>
          <m:e>
            <m:r>
              <w:rPr>
                <w:rFonts w:ascii="Cambria Math" w:eastAsiaTheme="minorEastAsia" w:hAnsi="Cambria Math"/>
                <w:color w:val="000000"/>
              </w:rPr>
              <m:t>s</m:t>
            </m:r>
          </m:e>
          <m:sub>
            <m:r>
              <w:rPr>
                <w:rFonts w:ascii="Cambria Math" w:eastAsiaTheme="minorEastAsia" w:hAnsi="Cambria Math"/>
                <w:color w:val="000000"/>
              </w:rPr>
              <m:t>i</m:t>
            </m:r>
          </m:sub>
          <m:sup>
            <m:r>
              <w:rPr>
                <w:rFonts w:ascii="Cambria Math" w:eastAsiaTheme="minorEastAsia" w:hAnsi="Cambria Math"/>
                <w:color w:val="000000"/>
              </w:rPr>
              <m:t>-</m:t>
            </m:r>
          </m:sup>
        </m:sSubSup>
      </m:oMath>
      <w:r w:rsidRPr="001C08FF">
        <w:t xml:space="preserve"> </w:t>
      </w:r>
      <w:r>
        <w:t>and</w:t>
      </w:r>
      <w:r w:rsidRPr="001C08FF">
        <w:t xml:space="preserve"> </w:t>
      </w:r>
      <m:oMath>
        <m:sSubSup>
          <m:sSubSupPr>
            <m:ctrlPr>
              <w:rPr>
                <w:rFonts w:ascii="Cambria Math" w:eastAsiaTheme="minorEastAsia" w:hAnsi="Cambria Math"/>
                <w:i/>
                <w:color w:val="000000"/>
              </w:rPr>
            </m:ctrlPr>
          </m:sSubSupPr>
          <m:e>
            <m:r>
              <w:rPr>
                <w:rFonts w:ascii="Cambria Math" w:eastAsiaTheme="minorEastAsia" w:hAnsi="Cambria Math"/>
                <w:color w:val="000000"/>
              </w:rPr>
              <m:t>s</m:t>
            </m:r>
          </m:e>
          <m:sub>
            <m:r>
              <w:rPr>
                <w:rFonts w:ascii="Cambria Math" w:eastAsiaTheme="minorEastAsia" w:hAnsi="Cambria Math"/>
                <w:color w:val="000000"/>
              </w:rPr>
              <m:t>r</m:t>
            </m:r>
          </m:sub>
          <m:sup>
            <m:r>
              <w:rPr>
                <w:rFonts w:ascii="Cambria Math" w:eastAsiaTheme="minorEastAsia" w:hAnsi="Cambria Math"/>
                <w:color w:val="000000"/>
              </w:rPr>
              <m:t>+</m:t>
            </m:r>
          </m:sup>
        </m:sSubSup>
      </m:oMath>
      <w:r>
        <w:t xml:space="preserve"> are the input and output slacks, providing the distance from the DMU assessed to the</w:t>
      </w:r>
      <w:r w:rsidR="001203DA">
        <w:t xml:space="preserve"> so-called</w:t>
      </w:r>
      <w:r>
        <w:t xml:space="preserve"> efficient frontier</w:t>
      </w:r>
      <w:r w:rsidR="00217CEA">
        <w:t xml:space="preserve"> (i.e., the multi-dimensional frontier that would be obtained by linearly combining efficient DMUs)</w:t>
      </w:r>
      <w:r>
        <w:t xml:space="preserve">. </w:t>
      </w:r>
      <w:r>
        <w:lastRenderedPageBreak/>
        <w:t>S</w:t>
      </w:r>
      <w:r w:rsidRPr="00010E19">
        <w:t>lack</w:t>
      </w:r>
      <w:r>
        <w:t xml:space="preserve"> variables in non-oriented </w:t>
      </w:r>
      <w:r w:rsidRPr="00010E19">
        <w:t>SBM model</w:t>
      </w:r>
      <w:r>
        <w:t>s</w:t>
      </w:r>
      <w:r w:rsidRPr="00010E19">
        <w:t xml:space="preserve"> </w:t>
      </w:r>
      <w:r>
        <w:t xml:space="preserve">provide information regarding the degree of inefficiency attained by each </w:t>
      </w:r>
      <w:r w:rsidRPr="00010E19">
        <w:t xml:space="preserve">input and output individually </w:t>
      </w:r>
      <w:sdt>
        <w:sdtPr>
          <w:rPr>
            <w:color w:val="000000"/>
          </w:rPr>
          <w:tag w:val="MENDELEY_CITATION_v3_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"/>
          <w:id w:val="-813644054"/>
          <w:placeholder>
            <w:docPart w:val="DefaultPlaceholder_-1854013440"/>
          </w:placeholder>
        </w:sdtPr>
        <w:sdtContent>
          <w:r w:rsidR="00486AF9" w:rsidRPr="00486AF9">
            <w:rPr>
              <w:color w:val="000000"/>
            </w:rPr>
            <w:t>(Tone, 2001)</w:t>
          </w:r>
        </w:sdtContent>
      </w:sdt>
      <w:r>
        <w:rPr>
          <w:color w:val="000000"/>
        </w:rPr>
        <w:t>.</w:t>
      </w:r>
    </w:p>
    <w:p w14:paraId="348C4155" w14:textId="5B8D1820" w:rsidR="00483BC8" w:rsidRPr="00483BC8" w:rsidRDefault="00483BC8" w:rsidP="00B703BC">
      <w:pPr>
        <w:jc w:val="both"/>
        <w:rPr>
          <w:noProof/>
        </w:rPr>
      </w:pPr>
      <w:r w:rsidRPr="00483BC8">
        <w:rPr>
          <w:noProof/>
        </w:rPr>
        <w:t>In addition to the SBM model, we employ a super-efficiency DEA model</w:t>
      </w:r>
      <w:r w:rsidR="00C3631E">
        <w:rPr>
          <w:noProof/>
        </w:rPr>
        <w:t xml:space="preserve"> </w:t>
      </w:r>
      <w:sdt>
        <w:sdtPr>
          <w:rPr>
            <w:noProof/>
            <w:color w:val="000000"/>
          </w:rPr>
          <w:tag w:val="MENDELEY_CITATION_v3_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"/>
          <w:id w:val="-193384733"/>
          <w:placeholder>
            <w:docPart w:val="DefaultPlaceholder_-1854013440"/>
          </w:placeholder>
        </w:sdtPr>
        <w:sdtContent>
          <w:r w:rsidR="00486AF9" w:rsidRPr="00486AF9">
            <w:rPr>
              <w:noProof/>
              <w:color w:val="000000"/>
            </w:rPr>
            <w:t>(Tone, 2002)</w:t>
          </w:r>
        </w:sdtContent>
      </w:sdt>
      <w:r w:rsidR="00217CEA">
        <w:rPr>
          <w:noProof/>
        </w:rPr>
        <w:t>, which</w:t>
      </w:r>
      <w:r w:rsidR="00217CEA" w:rsidRPr="00483BC8">
        <w:rPr>
          <w:noProof/>
        </w:rPr>
        <w:t xml:space="preserve"> </w:t>
      </w:r>
      <w:r>
        <w:rPr>
          <w:noProof/>
        </w:rPr>
        <w:t>assign</w:t>
      </w:r>
      <w:r w:rsidR="00217CEA">
        <w:rPr>
          <w:noProof/>
        </w:rPr>
        <w:t>s</w:t>
      </w:r>
      <w:r w:rsidRPr="00483BC8">
        <w:rPr>
          <w:noProof/>
        </w:rPr>
        <w:t xml:space="preserve"> efficiency scores above one to efficient alternatives, thus providing an additional option to distinguish among efficient DMUs. </w:t>
      </w:r>
      <w:r w:rsidR="00B703BC">
        <w:rPr>
          <w:noProof/>
        </w:rPr>
        <w:t>DMUs assigning to each of them efficiency scores beyond one. This is obtained by assuming that the DMU to be evaluated is excluded from the reference set.</w:t>
      </w:r>
      <w:r w:rsidRPr="00483BC8">
        <w:rPr>
          <w:noProof/>
        </w:rPr>
        <w:t>The model formulation is as follows</w:t>
      </w:r>
      <w:r>
        <w:rPr>
          <w:noProof/>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696"/>
        <w:gridCol w:w="850"/>
      </w:tblGrid>
      <w:tr w:rsidR="00BA0831" w:rsidRPr="00BA0831" w14:paraId="53F7EB0E" w14:textId="77777777" w:rsidTr="00B703BC">
        <w:trPr>
          <w:trHeight w:val="1112"/>
          <w:jc w:val="center"/>
        </w:trPr>
        <w:tc>
          <w:tcPr>
            <w:tcW w:w="7308" w:type="dxa"/>
            <w:gridSpan w:val="2"/>
            <w:vAlign w:val="center"/>
          </w:tcPr>
          <w:bookmarkStart w:id="1" w:name="_Hlk76418074"/>
          <w:p w14:paraId="1418CE20" w14:textId="073FF045" w:rsidR="00BA0831" w:rsidRPr="00BA0831" w:rsidRDefault="00000000" w:rsidP="00B703BC">
            <w:pPr>
              <w:jc w:val="center"/>
              <w:rPr>
                <w:rFonts w:ascii="Times New Roman" w:hAnsi="Times New Roman" w:cs="Times New Roman"/>
                <w:sz w:val="20"/>
                <w:szCs w:val="20"/>
              </w:rPr>
            </w:pPr>
            <m:oMathPara>
              <m:oMath>
                <m:sSup>
                  <m:sSupPr>
                    <m:ctrlPr>
                      <w:rPr>
                        <w:rFonts w:ascii="Cambria Math" w:hAnsi="Cambria Math" w:cs="Times New Roman"/>
                        <w:sz w:val="20"/>
                        <w:szCs w:val="20"/>
                      </w:rPr>
                    </m:ctrlPr>
                  </m:sSupPr>
                  <m:e>
                    <m:r>
                      <w:rPr>
                        <w:rFonts w:ascii="Cambria Math" w:hAnsi="Cambria Math" w:cs="Times New Roman"/>
                        <w:sz w:val="20"/>
                        <w:szCs w:val="20"/>
                      </w:rPr>
                      <m:t>δ</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min</m:t>
                </m:r>
                <m:f>
                  <m:fPr>
                    <m:ctrlPr>
                      <w:rPr>
                        <w:rFonts w:ascii="Cambria Math" w:hAnsi="Cambria Math" w:cs="Times New Roman"/>
                        <w:sz w:val="20"/>
                        <w:szCs w:val="20"/>
                      </w:rPr>
                    </m:ctrlPr>
                  </m:fPr>
                  <m:num>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m</m:t>
                        </m:r>
                      </m:den>
                    </m:f>
                    <m:nary>
                      <m:naryPr>
                        <m:chr m:val="∑"/>
                        <m:limLoc m:val="undOvr"/>
                        <m:ctrlPr>
                          <w:rPr>
                            <w:rFonts w:ascii="Cambria Math" w:hAnsi="Cambria Math" w:cs="Times New Roman"/>
                            <w:sz w:val="20"/>
                            <w:szCs w:val="20"/>
                          </w:rPr>
                        </m:ctrlPr>
                      </m:naryPr>
                      <m:sub>
                        <m:r>
                          <w:rPr>
                            <w:rFonts w:ascii="Cambria Math" w:hAnsi="Cambria Math" w:cs="Times New Roman"/>
                            <w:sz w:val="20"/>
                            <w:szCs w:val="20"/>
                          </w:rPr>
                          <m:t>i</m:t>
                        </m:r>
                        <m:r>
                          <m:rPr>
                            <m:sty m:val="p"/>
                          </m:rPr>
                          <w:rPr>
                            <w:rFonts w:ascii="Cambria Math" w:hAnsi="Cambria Math" w:cs="Times New Roman"/>
                            <w:sz w:val="20"/>
                            <w:szCs w:val="20"/>
                          </w:rPr>
                          <m:t>=1</m:t>
                        </m:r>
                      </m:sub>
                      <m:sup>
                        <m:r>
                          <w:rPr>
                            <w:rFonts w:ascii="Cambria Math" w:hAnsi="Cambria Math" w:cs="Times New Roman"/>
                            <w:sz w:val="20"/>
                            <w:szCs w:val="20"/>
                          </w:rPr>
                          <m:t>m</m:t>
                        </m:r>
                      </m:sup>
                      <m:e>
                        <m:f>
                          <m:fPr>
                            <m:ctrlPr>
                              <w:rPr>
                                <w:rFonts w:ascii="Cambria Math" w:hAnsi="Cambria Math" w:cs="Times New Roman"/>
                                <w:sz w:val="20"/>
                                <w:szCs w:val="20"/>
                              </w:rPr>
                            </m:ctrlPr>
                          </m:fPr>
                          <m:num>
                            <m:sSub>
                              <m:sSubPr>
                                <m:ctrlPr>
                                  <w:rPr>
                                    <w:rFonts w:ascii="Cambria Math" w:hAnsi="Cambria Math" w:cs="Times New Roman"/>
                                    <w:sz w:val="20"/>
                                    <w:szCs w:val="20"/>
                                  </w:rPr>
                                </m:ctrlPr>
                              </m:sSubPr>
                              <m:e>
                                <m:acc>
                                  <m:accPr>
                                    <m:chr m:val="̅"/>
                                    <m:ctrlPr>
                                      <w:rPr>
                                        <w:rFonts w:ascii="Cambria Math" w:hAnsi="Cambria Math" w:cs="Times New Roman"/>
                                        <w:sz w:val="20"/>
                                        <w:szCs w:val="20"/>
                                      </w:rPr>
                                    </m:ctrlPr>
                                  </m:accPr>
                                  <m:e>
                                    <m:r>
                                      <w:rPr>
                                        <w:rFonts w:ascii="Cambria Math" w:hAnsi="Cambria Math" w:cs="Times New Roman"/>
                                        <w:sz w:val="20"/>
                                        <w:szCs w:val="20"/>
                                      </w:rPr>
                                      <m:t>x</m:t>
                                    </m:r>
                                  </m:e>
                                </m:acc>
                              </m:e>
                              <m:sub>
                                <m:r>
                                  <w:rPr>
                                    <w:rFonts w:ascii="Cambria Math" w:hAnsi="Cambria Math" w:cs="Times New Roman"/>
                                    <w:sz w:val="20"/>
                                    <w:szCs w:val="20"/>
                                  </w:rPr>
                                  <m:t>i</m:t>
                                </m:r>
                              </m:sub>
                            </m:sSub>
                          </m:num>
                          <m:den>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r>
                                  <m:rPr>
                                    <m:sty m:val="p"/>
                                  </m:rPr>
                                  <w:rPr>
                                    <w:rFonts w:ascii="Cambria Math" w:hAnsi="Cambria Math" w:cs="Times New Roman"/>
                                    <w:sz w:val="20"/>
                                    <w:szCs w:val="20"/>
                                  </w:rPr>
                                  <m:t>0</m:t>
                                </m:r>
                              </m:sub>
                            </m:sSub>
                          </m:den>
                        </m:f>
                      </m:e>
                    </m:nary>
                  </m:num>
                  <m:den>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k</m:t>
                        </m:r>
                      </m:den>
                    </m:f>
                    <m:nary>
                      <m:naryPr>
                        <m:chr m:val="∑"/>
                        <m:limLoc m:val="undOvr"/>
                        <m:ctrlPr>
                          <w:rPr>
                            <w:rFonts w:ascii="Cambria Math" w:hAnsi="Cambria Math" w:cs="Times New Roman"/>
                            <w:sz w:val="20"/>
                            <w:szCs w:val="20"/>
                          </w:rPr>
                        </m:ctrlPr>
                      </m:naryPr>
                      <m:sub>
                        <m:r>
                          <w:rPr>
                            <w:rFonts w:ascii="Cambria Math" w:hAnsi="Cambria Math" w:cs="Times New Roman"/>
                            <w:sz w:val="20"/>
                            <w:szCs w:val="20"/>
                          </w:rPr>
                          <m:t>r</m:t>
                        </m:r>
                        <m:r>
                          <m:rPr>
                            <m:sty m:val="p"/>
                          </m:rPr>
                          <w:rPr>
                            <w:rFonts w:ascii="Cambria Math" w:hAnsi="Cambria Math" w:cs="Times New Roman"/>
                            <w:sz w:val="20"/>
                            <w:szCs w:val="20"/>
                          </w:rPr>
                          <m:t>=1</m:t>
                        </m:r>
                      </m:sub>
                      <m:sup>
                        <m:r>
                          <w:rPr>
                            <w:rFonts w:ascii="Cambria Math" w:hAnsi="Cambria Math" w:cs="Times New Roman"/>
                            <w:sz w:val="20"/>
                            <w:szCs w:val="20"/>
                          </w:rPr>
                          <m:t>k</m:t>
                        </m:r>
                      </m:sup>
                      <m:e>
                        <m:f>
                          <m:fPr>
                            <m:ctrlPr>
                              <w:rPr>
                                <w:rFonts w:ascii="Cambria Math" w:hAnsi="Cambria Math" w:cs="Times New Roman"/>
                                <w:sz w:val="20"/>
                                <w:szCs w:val="20"/>
                              </w:rPr>
                            </m:ctrlPr>
                          </m:fPr>
                          <m:num>
                            <m:sSub>
                              <m:sSubPr>
                                <m:ctrlPr>
                                  <w:rPr>
                                    <w:rFonts w:ascii="Cambria Math" w:hAnsi="Cambria Math" w:cs="Times New Roman"/>
                                    <w:sz w:val="20"/>
                                    <w:szCs w:val="20"/>
                                  </w:rPr>
                                </m:ctrlPr>
                              </m:sSubPr>
                              <m:e>
                                <m:acc>
                                  <m:accPr>
                                    <m:chr m:val="̅"/>
                                    <m:ctrlPr>
                                      <w:rPr>
                                        <w:rFonts w:ascii="Cambria Math" w:hAnsi="Cambria Math" w:cs="Times New Roman"/>
                                        <w:sz w:val="20"/>
                                        <w:szCs w:val="20"/>
                                      </w:rPr>
                                    </m:ctrlPr>
                                  </m:accPr>
                                  <m:e>
                                    <m:r>
                                      <w:rPr>
                                        <w:rFonts w:ascii="Cambria Math" w:hAnsi="Cambria Math" w:cs="Times New Roman"/>
                                        <w:sz w:val="20"/>
                                        <w:szCs w:val="20"/>
                                      </w:rPr>
                                      <m:t>y</m:t>
                                    </m:r>
                                  </m:e>
                                </m:acc>
                              </m:e>
                              <m:sub>
                                <m:r>
                                  <w:rPr>
                                    <w:rFonts w:ascii="Cambria Math" w:hAnsi="Cambria Math" w:cs="Times New Roman"/>
                                    <w:sz w:val="20"/>
                                    <w:szCs w:val="20"/>
                                  </w:rPr>
                                  <m:t>r</m:t>
                                </m:r>
                              </m:sub>
                            </m:sSub>
                          </m:num>
                          <m:den>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r0</m:t>
                                </m:r>
                              </m:sub>
                            </m:sSub>
                          </m:den>
                        </m:f>
                      </m:e>
                    </m:nary>
                  </m:den>
                </m:f>
              </m:oMath>
            </m:oMathPara>
          </w:p>
        </w:tc>
        <w:tc>
          <w:tcPr>
            <w:tcW w:w="880" w:type="dxa"/>
            <w:vAlign w:val="center"/>
          </w:tcPr>
          <w:p w14:paraId="16A85CAC" w14:textId="4F1708AA" w:rsidR="00BA0831" w:rsidRPr="00BA0831" w:rsidRDefault="00BA0831" w:rsidP="00B703BC">
            <w:pPr>
              <w:jc w:val="center"/>
              <w:rPr>
                <w:rFonts w:ascii="Times New Roman" w:hAnsi="Times New Roman" w:cs="Times New Roman"/>
                <w:sz w:val="20"/>
                <w:szCs w:val="20"/>
              </w:rPr>
            </w:pPr>
            <w:proofErr w:type="spellStart"/>
            <w:proofErr w:type="gramStart"/>
            <w:r w:rsidRPr="00BA0831">
              <w:rPr>
                <w:rFonts w:ascii="Times New Roman" w:hAnsi="Times New Roman" w:cs="Times New Roman"/>
                <w:sz w:val="20"/>
                <w:szCs w:val="20"/>
              </w:rPr>
              <w:t>Eq</w:t>
            </w:r>
            <w:proofErr w:type="spellEnd"/>
            <w:r w:rsidRPr="00BA0831">
              <w:rPr>
                <w:rFonts w:ascii="Times New Roman" w:hAnsi="Times New Roman" w:cs="Times New Roman"/>
                <w:sz w:val="20"/>
                <w:szCs w:val="20"/>
              </w:rPr>
              <w:t>.</w:t>
            </w:r>
            <w:r>
              <w:rPr>
                <w:rFonts w:ascii="Times New Roman" w:hAnsi="Times New Roman" w:cs="Times New Roman"/>
                <w:sz w:val="20"/>
                <w:szCs w:val="20"/>
              </w:rPr>
              <w:t>(</w:t>
            </w:r>
            <w:proofErr w:type="gramEnd"/>
            <w:r w:rsidRPr="00BA0831">
              <w:rPr>
                <w:rFonts w:ascii="Times New Roman" w:hAnsi="Times New Roman" w:cs="Times New Roman"/>
                <w:sz w:val="20"/>
                <w:szCs w:val="20"/>
              </w:rPr>
              <w:t>2)</w:t>
            </w:r>
          </w:p>
        </w:tc>
      </w:tr>
      <w:tr w:rsidR="00BA0831" w:rsidRPr="00BA0831" w14:paraId="77B63B9F" w14:textId="77777777" w:rsidTr="00B703BC">
        <w:trPr>
          <w:jc w:val="center"/>
        </w:trPr>
        <w:tc>
          <w:tcPr>
            <w:tcW w:w="562" w:type="dxa"/>
            <w:vAlign w:val="center"/>
          </w:tcPr>
          <w:p w14:paraId="6901573E" w14:textId="77777777" w:rsidR="00BA0831" w:rsidRPr="00BA0831" w:rsidRDefault="00BA0831" w:rsidP="00B703BC">
            <w:pPr>
              <w:jc w:val="center"/>
              <w:rPr>
                <w:rFonts w:ascii="Times New Roman" w:hAnsi="Times New Roman" w:cs="Times New Roman"/>
                <w:sz w:val="20"/>
                <w:szCs w:val="20"/>
              </w:rPr>
            </w:pPr>
            <w:proofErr w:type="spellStart"/>
            <w:r w:rsidRPr="00BA0831">
              <w:rPr>
                <w:rFonts w:ascii="Times New Roman" w:hAnsi="Times New Roman" w:cs="Times New Roman"/>
                <w:sz w:val="20"/>
                <w:szCs w:val="20"/>
              </w:rPr>
              <w:t>s.t</w:t>
            </w:r>
            <w:proofErr w:type="spellEnd"/>
            <w:r w:rsidRPr="00BA0831">
              <w:rPr>
                <w:rFonts w:ascii="Times New Roman" w:hAnsi="Times New Roman" w:cs="Times New Roman"/>
                <w:sz w:val="20"/>
                <w:szCs w:val="20"/>
              </w:rPr>
              <w:t>.</w:t>
            </w:r>
          </w:p>
        </w:tc>
        <w:tc>
          <w:tcPr>
            <w:tcW w:w="6746" w:type="dxa"/>
            <w:vAlign w:val="center"/>
          </w:tcPr>
          <w:p w14:paraId="737CD996" w14:textId="77777777" w:rsidR="00BA0831" w:rsidRPr="00BA0831" w:rsidRDefault="00000000" w:rsidP="00B703BC">
            <w:pPr>
              <w:jc w:val="center"/>
              <w:rPr>
                <w:rFonts w:ascii="Times New Roman" w:hAnsi="Times New Roman" w:cs="Times New Roman"/>
                <w:sz w:val="20"/>
                <w:szCs w:val="20"/>
              </w:rPr>
            </w:pPr>
            <m:oMathPara>
              <m:oMath>
                <m:acc>
                  <m:accPr>
                    <m:chr m:val="̅"/>
                    <m:ctrlPr>
                      <w:rPr>
                        <w:rFonts w:ascii="Cambria Math" w:hAnsi="Cambria Math" w:cs="Times New Roman"/>
                        <w:sz w:val="20"/>
                        <w:szCs w:val="20"/>
                      </w:rPr>
                    </m:ctrlPr>
                  </m:accPr>
                  <m:e>
                    <m:r>
                      <w:rPr>
                        <w:rFonts w:ascii="Cambria Math" w:hAnsi="Cambria Math" w:cs="Times New Roman"/>
                        <w:sz w:val="20"/>
                        <w:szCs w:val="20"/>
                      </w:rPr>
                      <m:t>x</m:t>
                    </m:r>
                  </m:e>
                </m:acc>
                <m:r>
                  <m:rPr>
                    <m:sty m:val="p"/>
                  </m:rP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=1,≠0</m:t>
                    </m:r>
                  </m:sub>
                  <m:sup>
                    <m:r>
                      <w:rPr>
                        <w:rFonts w:ascii="Cambria Math" w:hAnsi="Cambria Math" w:cs="Times New Roman"/>
                        <w:sz w:val="20"/>
                        <w:szCs w:val="20"/>
                      </w:rPr>
                      <m:t>n</m:t>
                    </m:r>
                  </m:sup>
                  <m:e>
                    <m:sSub>
                      <m:sSubPr>
                        <m:ctrlPr>
                          <w:rPr>
                            <w:rFonts w:ascii="Cambria Math" w:eastAsiaTheme="minorEastAsia" w:hAnsi="Cambria Math" w:cs="Times New Roman"/>
                            <w:color w:val="000000"/>
                            <w:sz w:val="20"/>
                            <w:szCs w:val="20"/>
                          </w:rPr>
                        </m:ctrlPr>
                      </m:sSubPr>
                      <m:e>
                        <m:r>
                          <w:rPr>
                            <w:rFonts w:ascii="Cambria Math" w:eastAsiaTheme="minorEastAsia" w:hAnsi="Cambria Math" w:cs="Times New Roman"/>
                            <w:color w:val="000000"/>
                            <w:sz w:val="20"/>
                            <w:szCs w:val="20"/>
                          </w:rPr>
                          <m:t>λ</m:t>
                        </m:r>
                      </m:e>
                      <m:sub>
                        <m:r>
                          <w:rPr>
                            <w:rFonts w:ascii="Cambria Math" w:eastAsiaTheme="minorEastAsia" w:hAnsi="Cambria Math" w:cs="Times New Roman"/>
                            <w:color w:val="000000"/>
                            <w:sz w:val="20"/>
                            <w:szCs w:val="20"/>
                          </w:rPr>
                          <m:t>j</m:t>
                        </m:r>
                      </m:sub>
                    </m:sSub>
                    <m:sSub>
                      <m:sSubPr>
                        <m:ctrlPr>
                          <w:rPr>
                            <w:rFonts w:ascii="Cambria Math" w:eastAsiaTheme="minorEastAsia" w:hAnsi="Cambria Math" w:cs="Times New Roman"/>
                            <w:color w:val="000000"/>
                            <w:sz w:val="20"/>
                            <w:szCs w:val="20"/>
                          </w:rPr>
                        </m:ctrlPr>
                      </m:sSubPr>
                      <m:e>
                        <m:r>
                          <w:rPr>
                            <w:rFonts w:ascii="Cambria Math" w:eastAsiaTheme="minorEastAsia" w:hAnsi="Cambria Math" w:cs="Times New Roman"/>
                            <w:color w:val="000000"/>
                            <w:sz w:val="20"/>
                            <w:szCs w:val="20"/>
                          </w:rPr>
                          <m:t>x</m:t>
                        </m:r>
                      </m:e>
                      <m:sub>
                        <m:r>
                          <w:rPr>
                            <w:rFonts w:ascii="Cambria Math" w:eastAsiaTheme="minorEastAsia" w:hAnsi="Cambria Math" w:cs="Times New Roman"/>
                            <w:color w:val="000000"/>
                            <w:sz w:val="20"/>
                            <w:szCs w:val="20"/>
                          </w:rPr>
                          <m:t>j</m:t>
                        </m:r>
                      </m:sub>
                    </m:sSub>
                  </m:e>
                </m:nary>
              </m:oMath>
            </m:oMathPara>
          </w:p>
        </w:tc>
        <w:tc>
          <w:tcPr>
            <w:tcW w:w="880" w:type="dxa"/>
            <w:vAlign w:val="center"/>
          </w:tcPr>
          <w:p w14:paraId="17B43732" w14:textId="77777777" w:rsidR="00BA0831" w:rsidRPr="00BA0831" w:rsidRDefault="00BA0831" w:rsidP="00B703BC">
            <w:pPr>
              <w:jc w:val="center"/>
              <w:rPr>
                <w:rFonts w:ascii="Times New Roman" w:hAnsi="Times New Roman" w:cs="Times New Roman"/>
                <w:sz w:val="20"/>
                <w:szCs w:val="20"/>
              </w:rPr>
            </w:pPr>
          </w:p>
        </w:tc>
      </w:tr>
      <w:tr w:rsidR="00BA0831" w:rsidRPr="00BA0831" w14:paraId="0E6CA31A" w14:textId="77777777" w:rsidTr="00B703BC">
        <w:trPr>
          <w:trHeight w:val="854"/>
          <w:jc w:val="center"/>
        </w:trPr>
        <w:tc>
          <w:tcPr>
            <w:tcW w:w="7308" w:type="dxa"/>
            <w:gridSpan w:val="2"/>
            <w:vAlign w:val="center"/>
          </w:tcPr>
          <w:p w14:paraId="251A4763" w14:textId="77777777" w:rsidR="00BA0831" w:rsidRPr="00BA0831" w:rsidRDefault="00000000" w:rsidP="00B703BC">
            <w:pPr>
              <w:jc w:val="center"/>
              <w:rPr>
                <w:rFonts w:ascii="Times New Roman" w:hAnsi="Times New Roman" w:cs="Times New Roman"/>
                <w:sz w:val="20"/>
                <w:szCs w:val="20"/>
              </w:rPr>
            </w:pPr>
            <m:oMathPara>
              <m:oMath>
                <m:acc>
                  <m:accPr>
                    <m:chr m:val="̅"/>
                    <m:ctrlPr>
                      <w:rPr>
                        <w:rFonts w:ascii="Cambria Math" w:hAnsi="Cambria Math" w:cs="Times New Roman"/>
                        <w:sz w:val="20"/>
                        <w:szCs w:val="20"/>
                      </w:rPr>
                    </m:ctrlPr>
                  </m:accPr>
                  <m:e>
                    <m:r>
                      <w:rPr>
                        <w:rFonts w:ascii="Cambria Math" w:hAnsi="Cambria Math" w:cs="Times New Roman"/>
                        <w:sz w:val="20"/>
                        <w:szCs w:val="20"/>
                      </w:rPr>
                      <m:t>y</m:t>
                    </m:r>
                  </m:e>
                </m:acc>
                <m:r>
                  <m:rPr>
                    <m:sty m:val="p"/>
                  </m:rP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=1,≠0</m:t>
                    </m:r>
                  </m:sub>
                  <m:sup>
                    <m:r>
                      <w:rPr>
                        <w:rFonts w:ascii="Cambria Math" w:hAnsi="Cambria Math" w:cs="Times New Roman"/>
                        <w:sz w:val="20"/>
                        <w:szCs w:val="20"/>
                      </w:rPr>
                      <m:t>n</m:t>
                    </m:r>
                  </m:sup>
                  <m:e>
                    <m:sSub>
                      <m:sSubPr>
                        <m:ctrlPr>
                          <w:rPr>
                            <w:rFonts w:ascii="Cambria Math" w:eastAsiaTheme="minorEastAsia" w:hAnsi="Cambria Math" w:cs="Times New Roman"/>
                            <w:color w:val="000000"/>
                            <w:sz w:val="20"/>
                            <w:szCs w:val="20"/>
                          </w:rPr>
                        </m:ctrlPr>
                      </m:sSubPr>
                      <m:e>
                        <m:r>
                          <w:rPr>
                            <w:rFonts w:ascii="Cambria Math" w:eastAsiaTheme="minorEastAsia" w:hAnsi="Cambria Math" w:cs="Times New Roman"/>
                            <w:color w:val="000000"/>
                            <w:sz w:val="20"/>
                            <w:szCs w:val="20"/>
                          </w:rPr>
                          <m:t>λ</m:t>
                        </m:r>
                      </m:e>
                      <m:sub>
                        <m:r>
                          <w:rPr>
                            <w:rFonts w:ascii="Cambria Math" w:eastAsiaTheme="minorEastAsia" w:hAnsi="Cambria Math" w:cs="Times New Roman"/>
                            <w:color w:val="000000"/>
                            <w:sz w:val="20"/>
                            <w:szCs w:val="20"/>
                          </w:rPr>
                          <m:t>j</m:t>
                        </m:r>
                      </m:sub>
                    </m:sSub>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y</m:t>
                        </m:r>
                      </m:e>
                      <m:sub>
                        <m:r>
                          <w:rPr>
                            <w:rFonts w:ascii="Cambria Math" w:eastAsiaTheme="minorEastAsia" w:hAnsi="Cambria Math" w:cs="Times New Roman"/>
                            <w:color w:val="000000"/>
                            <w:sz w:val="20"/>
                            <w:szCs w:val="20"/>
                          </w:rPr>
                          <m:t>j</m:t>
                        </m:r>
                      </m:sub>
                    </m:sSub>
                  </m:e>
                </m:nary>
              </m:oMath>
            </m:oMathPara>
          </w:p>
        </w:tc>
        <w:tc>
          <w:tcPr>
            <w:tcW w:w="880" w:type="dxa"/>
            <w:vAlign w:val="center"/>
          </w:tcPr>
          <w:p w14:paraId="7C3167EB" w14:textId="77777777" w:rsidR="00BA0831" w:rsidRPr="00BA0831" w:rsidRDefault="00BA0831" w:rsidP="00B703BC">
            <w:pPr>
              <w:jc w:val="center"/>
              <w:rPr>
                <w:rFonts w:ascii="Times New Roman" w:hAnsi="Times New Roman" w:cs="Times New Roman"/>
                <w:sz w:val="20"/>
                <w:szCs w:val="20"/>
              </w:rPr>
            </w:pPr>
          </w:p>
        </w:tc>
      </w:tr>
      <w:tr w:rsidR="00BA0831" w:rsidRPr="00BA0831" w14:paraId="541B45D2" w14:textId="77777777" w:rsidTr="00B703BC">
        <w:trPr>
          <w:jc w:val="center"/>
        </w:trPr>
        <w:tc>
          <w:tcPr>
            <w:tcW w:w="7308" w:type="dxa"/>
            <w:gridSpan w:val="2"/>
            <w:vAlign w:val="center"/>
          </w:tcPr>
          <w:p w14:paraId="78B9D251" w14:textId="77777777" w:rsidR="00BA0831" w:rsidRPr="00BA0831" w:rsidRDefault="00000000" w:rsidP="00B703BC">
            <w:pPr>
              <w:jc w:val="center"/>
              <w:rPr>
                <w:rFonts w:ascii="Times New Roman" w:hAnsi="Times New Roman" w:cs="Times New Roman"/>
                <w:sz w:val="20"/>
                <w:szCs w:val="20"/>
              </w:rPr>
            </w:pPr>
            <m:oMath>
              <m:acc>
                <m:accPr>
                  <m:chr m:val="̅"/>
                  <m:ctrlPr>
                    <w:rPr>
                      <w:rFonts w:ascii="Cambria Math" w:hAnsi="Cambria Math" w:cs="Times New Roman"/>
                      <w:sz w:val="20"/>
                      <w:szCs w:val="20"/>
                    </w:rPr>
                  </m:ctrlPr>
                </m:accPr>
                <m:e>
                  <m:r>
                    <w:rPr>
                      <w:rFonts w:ascii="Cambria Math" w:hAnsi="Cambria Math" w:cs="Times New Roman"/>
                      <w:sz w:val="20"/>
                      <w:szCs w:val="20"/>
                    </w:rPr>
                    <m:t>x</m:t>
                  </m:r>
                </m:e>
              </m:acc>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oMath>
            <w:r w:rsidR="00BA0831" w:rsidRPr="00BA0831">
              <w:rPr>
                <w:rFonts w:ascii="Times New Roman" w:eastAsiaTheme="minorEastAsia" w:hAnsi="Times New Roman" w:cs="Times New Roman"/>
                <w:sz w:val="20"/>
                <w:szCs w:val="20"/>
              </w:rPr>
              <w:t xml:space="preserve">, </w:t>
            </w:r>
            <m:oMath>
              <m:acc>
                <m:accPr>
                  <m:chr m:val="̅"/>
                  <m:ctrlPr>
                    <w:rPr>
                      <w:rFonts w:ascii="Cambria Math" w:hAnsi="Cambria Math" w:cs="Times New Roman"/>
                      <w:i/>
                      <w:sz w:val="20"/>
                      <w:szCs w:val="20"/>
                    </w:rPr>
                  </m:ctrlPr>
                </m:accPr>
                <m:e>
                  <m:r>
                    <w:rPr>
                      <w:rFonts w:ascii="Cambria Math" w:hAnsi="Cambria Math" w:cs="Times New Roman"/>
                      <w:sz w:val="20"/>
                      <w:szCs w:val="20"/>
                    </w:rPr>
                    <m:t>y</m:t>
                  </m:r>
                </m:e>
              </m:acc>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oMath>
            <w:r w:rsidR="00BA0831" w:rsidRPr="00BA0831">
              <w:rPr>
                <w:rFonts w:ascii="Times New Roman" w:eastAsiaTheme="minorEastAsia" w:hAnsi="Times New Roman" w:cs="Times New Roman"/>
                <w:sz w:val="20"/>
                <w:szCs w:val="20"/>
              </w:rPr>
              <w:t xml:space="preserve"> , </w:t>
            </w:r>
            <m:oMath>
              <m:r>
                <w:rPr>
                  <w:rFonts w:ascii="Cambria Math" w:eastAsiaTheme="minorEastAsia" w:hAnsi="Cambria Math" w:cs="Times New Roman"/>
                  <w:color w:val="000000"/>
                  <w:sz w:val="20"/>
                  <w:szCs w:val="20"/>
                </w:rPr>
                <m:t>λ</m:t>
              </m:r>
              <m:r>
                <m:rPr>
                  <m:sty m:val="p"/>
                </m:rPr>
                <w:rPr>
                  <w:rFonts w:ascii="Cambria Math" w:hAnsi="Cambria Math" w:cs="Times New Roman"/>
                  <w:sz w:val="20"/>
                  <w:szCs w:val="20"/>
                </w:rPr>
                <m:t>≥0</m:t>
              </m:r>
            </m:oMath>
          </w:p>
        </w:tc>
        <w:tc>
          <w:tcPr>
            <w:tcW w:w="880" w:type="dxa"/>
            <w:vAlign w:val="center"/>
          </w:tcPr>
          <w:p w14:paraId="0BC65E45" w14:textId="77777777" w:rsidR="00BA0831" w:rsidRPr="00BA0831" w:rsidRDefault="00BA0831" w:rsidP="00B703BC">
            <w:pPr>
              <w:jc w:val="center"/>
              <w:rPr>
                <w:rFonts w:ascii="Times New Roman" w:hAnsi="Times New Roman" w:cs="Times New Roman"/>
                <w:sz w:val="20"/>
                <w:szCs w:val="20"/>
              </w:rPr>
            </w:pPr>
          </w:p>
        </w:tc>
      </w:tr>
    </w:tbl>
    <w:bookmarkEnd w:id="1"/>
    <w:p w14:paraId="144DE6A1" w14:textId="5CA686A5" w:rsidR="008D2649" w:rsidRPr="00A94774" w:rsidRDefault="00BA0831" w:rsidP="008D2649">
      <w:pPr>
        <w:pStyle w:val="Els-1storder-head"/>
        <w:spacing w:after="120"/>
        <w:rPr>
          <w:lang w:val="en-GB"/>
        </w:rPr>
      </w:pPr>
      <w:r>
        <w:rPr>
          <w:lang w:val="en-GB"/>
        </w:rPr>
        <w:t xml:space="preserve">Results and discussion </w:t>
      </w:r>
    </w:p>
    <w:p w14:paraId="010593A8" w14:textId="77777777" w:rsidR="00FF10F6" w:rsidRPr="009E618E" w:rsidRDefault="00FF10F6" w:rsidP="009E618E">
      <w:pPr>
        <w:pStyle w:val="Els-2ndorder-head"/>
        <w:spacing w:after="120"/>
      </w:pPr>
      <w:r w:rsidRPr="009E618E">
        <w:t>Efficiency assessment</w:t>
      </w:r>
    </w:p>
    <w:p w14:paraId="1ED751F3" w14:textId="4D737839" w:rsidR="00483BC8" w:rsidRDefault="00FF10F6" w:rsidP="0066438A">
      <w:pPr>
        <w:pStyle w:val="Els-body-text"/>
        <w:spacing w:after="120"/>
        <w:rPr>
          <w:lang w:val="en-GB"/>
        </w:rPr>
      </w:pPr>
      <w:r w:rsidRPr="00FF10F6">
        <w:rPr>
          <w:lang w:val="en-GB"/>
        </w:rPr>
        <w:t xml:space="preserve">Fig. </w:t>
      </w:r>
      <w:r w:rsidR="00191520">
        <w:rPr>
          <w:lang w:val="en-GB"/>
        </w:rPr>
        <w:t>2</w:t>
      </w:r>
      <w:r w:rsidRPr="00FF10F6">
        <w:rPr>
          <w:lang w:val="en-GB"/>
        </w:rPr>
        <w:t xml:space="preserve"> provides the combined results for the efficiency and super-efficiency DEAs, with inefficient biofuels being represented based on their efficiency score and efficient biofuels depicted based on their super-efficiency score. Results reveal that 48% of the 72 biofuels analyses are efficient</w:t>
      </w:r>
      <w:r w:rsidR="00BA0458">
        <w:rPr>
          <w:lang w:val="en-GB"/>
        </w:rPr>
        <w:t>.</w:t>
      </w:r>
      <w:r w:rsidRPr="00FF10F6">
        <w:rPr>
          <w:lang w:val="en-GB"/>
        </w:rPr>
        <w:t xml:space="preserve"> The highest efficiency score, standing at 1.61, is achieved by the blend using 85% of ethanol from municipal </w:t>
      </w:r>
      <w:r w:rsidR="00483BC8">
        <w:rPr>
          <w:lang w:val="en-GB"/>
        </w:rPr>
        <w:t xml:space="preserve">solid </w:t>
      </w:r>
      <w:r w:rsidRPr="00FF10F6">
        <w:rPr>
          <w:lang w:val="en-GB"/>
        </w:rPr>
        <w:t>waste</w:t>
      </w:r>
      <w:r w:rsidR="00483BC8">
        <w:rPr>
          <w:lang w:val="en-GB"/>
        </w:rPr>
        <w:t xml:space="preserve"> (MSW)</w:t>
      </w:r>
      <w:r w:rsidRPr="00FF10F6">
        <w:rPr>
          <w:lang w:val="en-GB"/>
        </w:rPr>
        <w:t>, owning to different factors</w:t>
      </w:r>
      <w:r w:rsidR="00AA41BA">
        <w:rPr>
          <w:lang w:val="en-GB"/>
        </w:rPr>
        <w:t xml:space="preserve"> such as </w:t>
      </w:r>
      <w:r w:rsidR="00483BC8" w:rsidRPr="00483BC8">
        <w:rPr>
          <w:lang w:val="en-GB"/>
        </w:rPr>
        <w:t xml:space="preserve">its low cost, </w:t>
      </w:r>
      <w:r w:rsidR="00AA41BA">
        <w:rPr>
          <w:lang w:val="en-GB"/>
        </w:rPr>
        <w:t xml:space="preserve">and </w:t>
      </w:r>
      <w:r w:rsidR="00483BC8" w:rsidRPr="00483BC8">
        <w:rPr>
          <w:lang w:val="en-GB"/>
        </w:rPr>
        <w:t>the water and land use requirements attributed to MSW compared to other raw materials.</w:t>
      </w:r>
      <w:r w:rsidR="00C61A04">
        <w:rPr>
          <w:lang w:val="en-GB"/>
        </w:rPr>
        <w:t xml:space="preserve"> </w:t>
      </w:r>
      <w:r w:rsidR="00483BC8" w:rsidRPr="00483BC8">
        <w:rPr>
          <w:lang w:val="en-GB"/>
        </w:rPr>
        <w:t xml:space="preserve">On the contrary, the lowest efficiency score (0.26) </w:t>
      </w:r>
      <w:r w:rsidR="00F60B36">
        <w:rPr>
          <w:lang w:val="en-GB"/>
        </w:rPr>
        <w:t xml:space="preserve">is achieved </w:t>
      </w:r>
      <w:r w:rsidR="009F4F0B">
        <w:rPr>
          <w:lang w:val="en-GB"/>
        </w:rPr>
        <w:t xml:space="preserve">by </w:t>
      </w:r>
      <w:r w:rsidR="00F60B36">
        <w:rPr>
          <w:lang w:val="en-GB"/>
        </w:rPr>
        <w:t xml:space="preserve">a blend using 85% of </w:t>
      </w:r>
      <w:r w:rsidR="00483BC8" w:rsidRPr="00483BC8">
        <w:rPr>
          <w:lang w:val="en-GB"/>
        </w:rPr>
        <w:t>ethanol derived from corn</w:t>
      </w:r>
      <w:r w:rsidR="00F60B36">
        <w:rPr>
          <w:lang w:val="en-GB"/>
        </w:rPr>
        <w:t xml:space="preserve"> (</w:t>
      </w:r>
      <w:r w:rsidR="00483BC8" w:rsidRPr="00483BC8">
        <w:rPr>
          <w:lang w:val="en-GB"/>
        </w:rPr>
        <w:t>E85</w:t>
      </w:r>
      <w:r w:rsidR="00F60B36">
        <w:rPr>
          <w:lang w:val="en-GB"/>
        </w:rPr>
        <w:t>)</w:t>
      </w:r>
      <w:r w:rsidR="00483BC8" w:rsidRPr="00483BC8">
        <w:rPr>
          <w:lang w:val="en-GB"/>
        </w:rPr>
        <w:t xml:space="preserve"> from combined dry and wet milling corn. This outcome can be attributed to its low mileage efficiency (8.63 km per litr</w:t>
      </w:r>
      <w:r w:rsidR="009F4F0B">
        <w:rPr>
          <w:lang w:val="en-GB"/>
        </w:rPr>
        <w:t>e,</w:t>
      </w:r>
      <w:r w:rsidR="00483BC8" w:rsidRPr="00483BC8">
        <w:rPr>
          <w:lang w:val="en-GB"/>
        </w:rPr>
        <w:t xml:space="preserve"> compared to 14.57 km for any renewable diesel), and increased requirements for water</w:t>
      </w:r>
      <w:r w:rsidR="00483BC8">
        <w:rPr>
          <w:lang w:val="en-GB"/>
        </w:rPr>
        <w:t xml:space="preserve"> use</w:t>
      </w:r>
      <w:r w:rsidR="00483BC8" w:rsidRPr="00483BC8">
        <w:rPr>
          <w:lang w:val="en-GB"/>
        </w:rPr>
        <w:t xml:space="preserve"> and land</w:t>
      </w:r>
      <w:r w:rsidR="00483BC8">
        <w:rPr>
          <w:lang w:val="en-GB"/>
        </w:rPr>
        <w:t xml:space="preserve"> </w:t>
      </w:r>
      <w:r w:rsidR="00612F4F">
        <w:rPr>
          <w:lang w:val="en-GB"/>
        </w:rPr>
        <w:t>occupation.</w:t>
      </w:r>
    </w:p>
    <w:p w14:paraId="70A3794D" w14:textId="200F4C80" w:rsidR="00C61A04" w:rsidRDefault="00612F4F" w:rsidP="00C61A04">
      <w:pPr>
        <w:pStyle w:val="Els-body-text"/>
        <w:spacing w:after="120"/>
        <w:rPr>
          <w:lang w:val="en-GB"/>
        </w:rPr>
      </w:pPr>
      <w:r w:rsidRPr="00612F4F">
        <w:rPr>
          <w:lang w:val="en-GB"/>
        </w:rPr>
        <w:t xml:space="preserve">When comparing the five </w:t>
      </w:r>
      <w:r w:rsidR="00AC3E48" w:rsidRPr="00612F4F">
        <w:rPr>
          <w:lang w:val="en-GB"/>
        </w:rPr>
        <w:t xml:space="preserve">types </w:t>
      </w:r>
      <w:r w:rsidR="00AC3E48">
        <w:rPr>
          <w:lang w:val="en-GB"/>
        </w:rPr>
        <w:t xml:space="preserve">of </w:t>
      </w:r>
      <w:r w:rsidRPr="00612F4F">
        <w:rPr>
          <w:lang w:val="en-GB"/>
        </w:rPr>
        <w:t xml:space="preserve">fuel </w:t>
      </w:r>
      <w:r w:rsidR="00AC3E48" w:rsidRPr="00612F4F">
        <w:rPr>
          <w:lang w:val="en-GB"/>
        </w:rPr>
        <w:t xml:space="preserve">studied </w:t>
      </w:r>
      <w:r w:rsidRPr="00612F4F">
        <w:rPr>
          <w:lang w:val="en-GB"/>
        </w:rPr>
        <w:t>(E10, E85, BD20, RDI, RDII), it becomes evident that there is</w:t>
      </w:r>
      <w:r w:rsidR="00AC3E48">
        <w:rPr>
          <w:lang w:val="en-GB"/>
        </w:rPr>
        <w:t>,</w:t>
      </w:r>
      <w:r w:rsidRPr="00612F4F">
        <w:rPr>
          <w:lang w:val="en-GB"/>
        </w:rPr>
        <w:t xml:space="preserve"> at least</w:t>
      </w:r>
      <w:r w:rsidR="00AC3E48">
        <w:rPr>
          <w:lang w:val="en-GB"/>
        </w:rPr>
        <w:t>,</w:t>
      </w:r>
      <w:r w:rsidRPr="00612F4F">
        <w:rPr>
          <w:lang w:val="en-GB"/>
        </w:rPr>
        <w:t xml:space="preserve"> one efficient biofuel for each. However, this does</w:t>
      </w:r>
      <w:r w:rsidR="00AC3E48">
        <w:rPr>
          <w:lang w:val="en-GB"/>
        </w:rPr>
        <w:t xml:space="preserve"> </w:t>
      </w:r>
      <w:r w:rsidR="00AC3E48" w:rsidRPr="00612F4F">
        <w:rPr>
          <w:lang w:val="en-GB"/>
        </w:rPr>
        <w:t>n</w:t>
      </w:r>
      <w:r w:rsidR="00AC3E48">
        <w:rPr>
          <w:lang w:val="en-GB"/>
        </w:rPr>
        <w:t>o</w:t>
      </w:r>
      <w:r w:rsidR="00AC3E48" w:rsidRPr="00612F4F">
        <w:rPr>
          <w:lang w:val="en-GB"/>
        </w:rPr>
        <w:t xml:space="preserve">t </w:t>
      </w:r>
      <w:r w:rsidRPr="00612F4F">
        <w:rPr>
          <w:lang w:val="en-GB"/>
        </w:rPr>
        <w:t>imply equal performance across all fuel types</w:t>
      </w:r>
      <w:r w:rsidR="00AC3E48">
        <w:rPr>
          <w:lang w:val="en-GB"/>
        </w:rPr>
        <w:t>:</w:t>
      </w:r>
      <w:r w:rsidR="00AC3E48" w:rsidRPr="00612F4F">
        <w:rPr>
          <w:lang w:val="en-GB"/>
        </w:rPr>
        <w:t xml:space="preserve"> </w:t>
      </w:r>
      <w:r w:rsidR="00AC3E48">
        <w:rPr>
          <w:lang w:val="en-GB"/>
        </w:rPr>
        <w:t>w</w:t>
      </w:r>
      <w:r w:rsidRPr="00612F4F">
        <w:rPr>
          <w:lang w:val="en-GB"/>
        </w:rPr>
        <w:t>hile almost all BD20, RDI, and RDII fuels demonstrate efficiency, only 30% of ethanol-based fuels (15 out of 50) achieve this status. This underscores the importance of considering</w:t>
      </w:r>
      <w:r w:rsidR="00034273">
        <w:rPr>
          <w:lang w:val="en-GB"/>
        </w:rPr>
        <w:t>,</w:t>
      </w:r>
      <w:r w:rsidRPr="00612F4F">
        <w:rPr>
          <w:lang w:val="en-GB"/>
        </w:rPr>
        <w:t xml:space="preserve"> not only the fuel type</w:t>
      </w:r>
      <w:r w:rsidR="00034273">
        <w:rPr>
          <w:lang w:val="en-GB"/>
        </w:rPr>
        <w:t>,</w:t>
      </w:r>
      <w:r w:rsidRPr="00612F4F">
        <w:rPr>
          <w:lang w:val="en-GB"/>
        </w:rPr>
        <w:t xml:space="preserve"> but also the carbon source for comprehensive sustainability assessments</w:t>
      </w:r>
      <w:r>
        <w:rPr>
          <w:lang w:val="en-GB"/>
        </w:rPr>
        <w:t>.</w:t>
      </w:r>
      <w:r w:rsidR="00C61A04">
        <w:rPr>
          <w:lang w:val="en-GB"/>
        </w:rPr>
        <w:t xml:space="preserve"> </w:t>
      </w:r>
    </w:p>
    <w:p w14:paraId="0BDED4E4" w14:textId="335F1432" w:rsidR="0066438A" w:rsidRDefault="0066438A" w:rsidP="00C61A04">
      <w:pPr>
        <w:pStyle w:val="Els-body-text"/>
        <w:spacing w:after="120"/>
        <w:rPr>
          <w:lang w:val="en-GB"/>
        </w:rPr>
      </w:pPr>
      <w:r w:rsidRPr="00DC019B">
        <w:rPr>
          <w:lang w:val="en-GB"/>
        </w:rPr>
        <w:t>On average,</w:t>
      </w:r>
      <w:r w:rsidR="006F2CD8">
        <w:rPr>
          <w:lang w:val="en-GB"/>
        </w:rPr>
        <w:t xml:space="preserve"> both </w:t>
      </w:r>
      <w:r w:rsidRPr="00DC019B">
        <w:rPr>
          <w:lang w:val="en-GB"/>
        </w:rPr>
        <w:t>renewable diesel exhibits the highest efficiency scores at 1.03, outperforming biofuels based on lignocellulosic biomass (</w:t>
      </w:r>
      <w:r w:rsidR="005F43A6" w:rsidRPr="009E618E">
        <w:rPr>
          <w:lang w:val="en-GB"/>
        </w:rPr>
        <w:t xml:space="preserve">e.g., </w:t>
      </w:r>
      <w:r w:rsidR="00DC019B" w:rsidRPr="009E618E">
        <w:rPr>
          <w:lang w:val="en-GB"/>
        </w:rPr>
        <w:t>sorghum</w:t>
      </w:r>
      <w:r w:rsidR="005F43A6" w:rsidRPr="009E618E">
        <w:rPr>
          <w:lang w:val="en-GB"/>
        </w:rPr>
        <w:t xml:space="preserve">, standing at </w:t>
      </w:r>
      <w:r w:rsidRPr="00DC019B">
        <w:rPr>
          <w:lang w:val="en-GB"/>
        </w:rPr>
        <w:t>0.91</w:t>
      </w:r>
      <w:r w:rsidR="005F43A6" w:rsidRPr="009E618E">
        <w:rPr>
          <w:lang w:val="en-GB"/>
        </w:rPr>
        <w:t xml:space="preserve"> average efficiency score</w:t>
      </w:r>
      <w:r w:rsidRPr="00DC019B">
        <w:rPr>
          <w:lang w:val="en-GB"/>
        </w:rPr>
        <w:t>) and first-generation biomass (</w:t>
      </w:r>
      <w:r w:rsidR="00DC019B" w:rsidRPr="009E618E">
        <w:rPr>
          <w:lang w:val="en-GB"/>
        </w:rPr>
        <w:t xml:space="preserve">e.g., corn, </w:t>
      </w:r>
      <w:r w:rsidRPr="00DC019B">
        <w:rPr>
          <w:lang w:val="en-GB"/>
        </w:rPr>
        <w:t xml:space="preserve">0.56). </w:t>
      </w:r>
      <w:r w:rsidR="00DC019B" w:rsidRPr="00DC019B">
        <w:rPr>
          <w:lang w:val="en-GB"/>
        </w:rPr>
        <w:t>These results are attributed to the lower fuel consumption of engines using E10 and E85 blends, compared to those fuel</w:t>
      </w:r>
      <w:r w:rsidR="00034273">
        <w:rPr>
          <w:lang w:val="en-GB"/>
        </w:rPr>
        <w:t>l</w:t>
      </w:r>
      <w:r w:rsidR="00DC019B" w:rsidRPr="00DC019B">
        <w:rPr>
          <w:lang w:val="en-GB"/>
        </w:rPr>
        <w:t>ed by BD20, RDI or RDII</w:t>
      </w:r>
      <w:r w:rsidRPr="00DC019B">
        <w:rPr>
          <w:lang w:val="en-GB"/>
        </w:rPr>
        <w:t>.</w:t>
      </w:r>
    </w:p>
    <w:p w14:paraId="55107B4E" w14:textId="10FAEE5B" w:rsidR="00C61A04" w:rsidRPr="00FF10F6" w:rsidRDefault="00C61A04" w:rsidP="00C61A04">
      <w:pPr>
        <w:pStyle w:val="Els-body-text"/>
        <w:rPr>
          <w:lang w:val="en-GB"/>
        </w:rPr>
      </w:pPr>
      <w:r w:rsidRPr="00FD55C3">
        <w:rPr>
          <w:lang w:val="en-GB"/>
        </w:rPr>
        <w:t xml:space="preserve">In conclusion, these findings advocate for promoting the use of renewable diesel </w:t>
      </w:r>
      <w:r w:rsidR="00DC019B">
        <w:rPr>
          <w:lang w:val="en-GB"/>
        </w:rPr>
        <w:t xml:space="preserve">(RDI and RDII) </w:t>
      </w:r>
      <w:r w:rsidRPr="00FD55C3">
        <w:rPr>
          <w:lang w:val="en-GB"/>
        </w:rPr>
        <w:t xml:space="preserve">over bioethanol </w:t>
      </w:r>
      <w:r w:rsidR="00DC019B">
        <w:rPr>
          <w:lang w:val="en-GB"/>
        </w:rPr>
        <w:t xml:space="preserve">(E10 and E85) </w:t>
      </w:r>
      <w:r w:rsidRPr="00FD55C3">
        <w:rPr>
          <w:lang w:val="en-GB"/>
        </w:rPr>
        <w:t xml:space="preserve">due to its lower GWP </w:t>
      </w:r>
      <w:r>
        <w:rPr>
          <w:lang w:val="en-GB"/>
        </w:rPr>
        <w:t xml:space="preserve">under a </w:t>
      </w:r>
      <w:r w:rsidR="00665C74">
        <w:rPr>
          <w:lang w:val="en-GB"/>
        </w:rPr>
        <w:t>cradle-to-</w:t>
      </w:r>
      <w:r>
        <w:rPr>
          <w:lang w:val="en-GB"/>
        </w:rPr>
        <w:t>wheel LCA</w:t>
      </w:r>
      <w:r w:rsidRPr="00FD55C3">
        <w:rPr>
          <w:lang w:val="en-GB"/>
        </w:rPr>
        <w:t xml:space="preserve">, </w:t>
      </w:r>
      <w:r>
        <w:rPr>
          <w:lang w:val="en-GB"/>
        </w:rPr>
        <w:t xml:space="preserve">owing mainly to </w:t>
      </w:r>
      <w:r w:rsidRPr="00FD55C3">
        <w:rPr>
          <w:lang w:val="en-GB"/>
        </w:rPr>
        <w:t xml:space="preserve">reduced fuel consumption per </w:t>
      </w:r>
      <w:r>
        <w:rPr>
          <w:lang w:val="en-GB"/>
        </w:rPr>
        <w:t>km</w:t>
      </w:r>
      <w:r w:rsidRPr="00FD55C3">
        <w:rPr>
          <w:lang w:val="en-GB"/>
        </w:rPr>
        <w:t xml:space="preserve">. The </w:t>
      </w:r>
      <w:r>
        <w:rPr>
          <w:lang w:val="en-GB"/>
        </w:rPr>
        <w:t>continuous</w:t>
      </w:r>
      <w:r w:rsidRPr="00FD55C3">
        <w:rPr>
          <w:lang w:val="en-GB"/>
        </w:rPr>
        <w:t xml:space="preserve"> evolution </w:t>
      </w:r>
      <w:r w:rsidR="00C71417">
        <w:rPr>
          <w:lang w:val="en-GB"/>
        </w:rPr>
        <w:t xml:space="preserve">of </w:t>
      </w:r>
      <w:r w:rsidR="00C71417" w:rsidRPr="00FF10F6">
        <w:rPr>
          <w:lang w:val="en-GB"/>
        </w:rPr>
        <w:lastRenderedPageBreak/>
        <w:t>enzymes for the degradation of lignocellulosic materials into simple fermentable sugars</w:t>
      </w:r>
      <w:r w:rsidR="00C71417">
        <w:rPr>
          <w:lang w:val="en-GB"/>
        </w:rPr>
        <w:t xml:space="preserve"> </w:t>
      </w:r>
      <w:r>
        <w:rPr>
          <w:lang w:val="en-GB"/>
        </w:rPr>
        <w:t xml:space="preserve">is </w:t>
      </w:r>
      <w:r w:rsidR="00665C74">
        <w:rPr>
          <w:lang w:val="en-GB"/>
        </w:rPr>
        <w:t xml:space="preserve">making </w:t>
      </w:r>
      <w:r w:rsidR="00034273">
        <w:rPr>
          <w:lang w:val="en-GB"/>
        </w:rPr>
        <w:t xml:space="preserve">them </w:t>
      </w:r>
      <w:r w:rsidRPr="00FF10F6">
        <w:rPr>
          <w:lang w:val="en-GB"/>
        </w:rPr>
        <w:t xml:space="preserve">more competitive, </w:t>
      </w:r>
      <w:r w:rsidR="00C71417">
        <w:rPr>
          <w:lang w:val="en-GB"/>
        </w:rPr>
        <w:t xml:space="preserve">to the point </w:t>
      </w:r>
      <w:r w:rsidR="00034273">
        <w:rPr>
          <w:lang w:val="en-GB"/>
        </w:rPr>
        <w:t xml:space="preserve">that they </w:t>
      </w:r>
      <w:r w:rsidR="00034273" w:rsidRPr="00FF10F6">
        <w:rPr>
          <w:lang w:val="en-GB"/>
        </w:rPr>
        <w:t>achiev</w:t>
      </w:r>
      <w:r w:rsidR="00034273">
        <w:rPr>
          <w:lang w:val="en-GB"/>
        </w:rPr>
        <w:t>e</w:t>
      </w:r>
      <w:r w:rsidR="00034273" w:rsidRPr="00FF10F6">
        <w:rPr>
          <w:lang w:val="en-GB"/>
        </w:rPr>
        <w:t xml:space="preserve"> </w:t>
      </w:r>
      <w:r w:rsidRPr="00FF10F6">
        <w:rPr>
          <w:lang w:val="en-GB"/>
        </w:rPr>
        <w:t>better performance and lower cost</w:t>
      </w:r>
      <w:r w:rsidR="001867BF">
        <w:rPr>
          <w:lang w:val="en-GB"/>
        </w:rPr>
        <w:t>s</w:t>
      </w:r>
      <w:r w:rsidR="00034273">
        <w:rPr>
          <w:lang w:val="en-GB"/>
        </w:rPr>
        <w:t xml:space="preserve"> than </w:t>
      </w:r>
      <w:r w:rsidR="00245E49">
        <w:rPr>
          <w:lang w:val="en-GB"/>
        </w:rPr>
        <w:t>first regeneration ethanol feedstocks (e.g., corn)</w:t>
      </w:r>
      <w:r w:rsidR="008461E2">
        <w:rPr>
          <w:lang w:val="en-GB"/>
        </w:rPr>
        <w:t>.</w:t>
      </w:r>
    </w:p>
    <w:p w14:paraId="6B0FB7F1" w14:textId="77777777" w:rsidR="00C61A04" w:rsidRDefault="00C61A04" w:rsidP="00C61A04">
      <w:pPr>
        <w:pStyle w:val="Els-body-text"/>
        <w:spacing w:after="120"/>
        <w:rPr>
          <w:lang w:val="en-GB"/>
        </w:rPr>
      </w:pPr>
    </w:p>
    <w:p w14:paraId="1F29BE10" w14:textId="77777777" w:rsidR="00191520" w:rsidRDefault="00FF10F6" w:rsidP="00C61A04">
      <w:pPr>
        <w:pStyle w:val="Els-body-text"/>
        <w:keepNext/>
        <w:jc w:val="center"/>
      </w:pPr>
      <w:r>
        <w:rPr>
          <w:noProof/>
          <w14:ligatures w14:val="standardContextual"/>
        </w:rPr>
        <w:drawing>
          <wp:inline distT="0" distB="0" distL="0" distR="0" wp14:anchorId="4813ACBE" wp14:editId="2DBB9EC7">
            <wp:extent cx="4379105" cy="4330700"/>
            <wp:effectExtent l="0" t="0" r="2540" b="0"/>
            <wp:docPr id="188109461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94618"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380310" cy="4331892"/>
                    </a:xfrm>
                    <a:prstGeom prst="rect">
                      <a:avLst/>
                    </a:prstGeom>
                  </pic:spPr>
                </pic:pic>
              </a:graphicData>
            </a:graphic>
          </wp:inline>
        </w:drawing>
      </w:r>
    </w:p>
    <w:p w14:paraId="729B7EDF" w14:textId="71203E1E" w:rsidR="00FF10F6" w:rsidRPr="00FF10F6" w:rsidRDefault="00191520" w:rsidP="00C61A04">
      <w:pPr>
        <w:pStyle w:val="Descripcin"/>
        <w:spacing w:before="0"/>
        <w:jc w:val="both"/>
        <w:rPr>
          <w:lang w:val="en-GB"/>
        </w:rPr>
      </w:pPr>
      <w:r>
        <w:t xml:space="preserve">Figure </w:t>
      </w:r>
      <w:r>
        <w:fldChar w:fldCharType="begin"/>
      </w:r>
      <w:r>
        <w:instrText xml:space="preserve"> SEQ Figure \* ARABIC </w:instrText>
      </w:r>
      <w:r>
        <w:fldChar w:fldCharType="separate"/>
      </w:r>
      <w:r>
        <w:rPr>
          <w:noProof/>
        </w:rPr>
        <w:t>2</w:t>
      </w:r>
      <w:r>
        <w:fldChar w:fldCharType="end"/>
      </w:r>
      <w:r>
        <w:t xml:space="preserve">. Efficiency scores for biofuels. (Super)efficiency scores for the 72 biofuels routes are provided as </w:t>
      </w:r>
      <w:r w:rsidR="00C61A04">
        <w:t>vertical</w:t>
      </w:r>
      <w:r>
        <w:t xml:space="preserve"> bars in subplot, with biofuels sorted in decreasing order of efficiency and efficient biofuels depicted with a green label. </w:t>
      </w:r>
      <w:r w:rsidR="00956A2A">
        <w:t>C</w:t>
      </w:r>
      <w:r>
        <w:t xml:space="preserve">orn A: Dry mill corn without oil extraction; </w:t>
      </w:r>
      <w:r w:rsidR="00956A2A">
        <w:t>C</w:t>
      </w:r>
      <w:r>
        <w:t xml:space="preserve">orn B: Dry mill corn with oil extraction; </w:t>
      </w:r>
      <w:r w:rsidR="00956A2A">
        <w:t>C</w:t>
      </w:r>
      <w:r>
        <w:t xml:space="preserve">orn C: Wet milling corn; </w:t>
      </w:r>
      <w:r w:rsidR="00956A2A">
        <w:t>C</w:t>
      </w:r>
      <w:r>
        <w:t xml:space="preserve">orn D: combined dry and wet milling corn; </w:t>
      </w:r>
      <w:r w:rsidR="00956A2A">
        <w:t>C</w:t>
      </w:r>
      <w:r>
        <w:t xml:space="preserve">orn/stover A: integrated corn/stover ethanol (associated with corn); </w:t>
      </w:r>
      <w:r w:rsidR="00956A2A">
        <w:t>C</w:t>
      </w:r>
      <w:r>
        <w:t xml:space="preserve">orn/stover B: integrated corn/ stover ethanol (associated with stover); </w:t>
      </w:r>
      <w:r w:rsidR="00956A2A">
        <w:t>C</w:t>
      </w:r>
      <w:r>
        <w:t xml:space="preserve">orn E: Gen dry milling corn with oil extraction; </w:t>
      </w:r>
      <w:r w:rsidR="00956A2A">
        <w:t>S</w:t>
      </w:r>
      <w:r>
        <w:t xml:space="preserve">weet sorghum A: Conventional; </w:t>
      </w:r>
      <w:r w:rsidR="00956A2A">
        <w:t>S</w:t>
      </w:r>
      <w:r>
        <w:t>weet sorghum B: Integrated</w:t>
      </w:r>
      <w:r w:rsidR="009D060F">
        <w:t>; *</w:t>
      </w:r>
      <w:r>
        <w:t xml:space="preserve">G: </w:t>
      </w:r>
      <w:r w:rsidR="009D060F">
        <w:t xml:space="preserve">ethanol </w:t>
      </w:r>
      <w:r>
        <w:t xml:space="preserve">produced by gasification. BD20: Diesel fuel with up to 20 %v/v FAME content; E10: Gasoline fuel with up to 10 %v/v bioethanol content; E85: Gasoline fuel with up to 85 %v/v bioethanol content; RDI: Renewable Diesel Production Based on </w:t>
      </w:r>
      <w:proofErr w:type="spellStart"/>
      <w:r>
        <w:t>SuperCetane</w:t>
      </w:r>
      <w:proofErr w:type="spellEnd"/>
      <w:r>
        <w:t>; RDII: Renewable Diesel Production Based on fluid catalytic cracker technology.</w:t>
      </w:r>
    </w:p>
    <w:p w14:paraId="5156B71A" w14:textId="4E467656" w:rsidR="00191520" w:rsidRPr="00191520" w:rsidRDefault="008D2649" w:rsidP="0066438A">
      <w:pPr>
        <w:pStyle w:val="Els-1storder-head"/>
        <w:spacing w:before="0" w:after="120"/>
        <w:rPr>
          <w:lang w:val="en-GB"/>
        </w:rPr>
      </w:pPr>
      <w:r w:rsidRPr="00A94774">
        <w:rPr>
          <w:lang w:val="en-GB"/>
        </w:rPr>
        <w:t>Conclusions</w:t>
      </w:r>
    </w:p>
    <w:p w14:paraId="3E004989" w14:textId="44030834" w:rsidR="00191520" w:rsidRPr="00FF10F6" w:rsidRDefault="005A50C8" w:rsidP="00191520">
      <w:pPr>
        <w:pStyle w:val="Els-body-text"/>
        <w:spacing w:after="120"/>
        <w:rPr>
          <w:lang w:val="en-GB"/>
        </w:rPr>
      </w:pPr>
      <w:r>
        <w:rPr>
          <w:lang w:val="en-GB"/>
        </w:rPr>
        <w:t>M</w:t>
      </w:r>
      <w:r w:rsidR="00191520" w:rsidRPr="00191520">
        <w:rPr>
          <w:lang w:val="en-GB"/>
        </w:rPr>
        <w:t>ulti-criteria approaches, exemplified in this contribution</w:t>
      </w:r>
      <w:r w:rsidR="00253081">
        <w:rPr>
          <w:lang w:val="en-GB"/>
        </w:rPr>
        <w:t xml:space="preserve"> by combining LCA with DEA</w:t>
      </w:r>
      <w:r w:rsidR="00191520" w:rsidRPr="00191520">
        <w:rPr>
          <w:lang w:val="en-GB"/>
        </w:rPr>
        <w:t xml:space="preserve">, provide a robust framework for conducting </w:t>
      </w:r>
      <w:r>
        <w:rPr>
          <w:lang w:val="en-GB"/>
        </w:rPr>
        <w:t xml:space="preserve">sustainability </w:t>
      </w:r>
      <w:r w:rsidR="00253081">
        <w:rPr>
          <w:lang w:val="en-GB"/>
        </w:rPr>
        <w:t>studies</w:t>
      </w:r>
      <w:r w:rsidR="00191520" w:rsidRPr="00191520">
        <w:rPr>
          <w:lang w:val="en-GB"/>
        </w:rPr>
        <w:t>. Such methodologies have the capacity to minimize burden-shifting episodes and offer valuable insights to policymakers for the development of well-informed and effective policies.</w:t>
      </w:r>
      <w:r w:rsidR="0080329C">
        <w:rPr>
          <w:lang w:val="en-GB"/>
        </w:rPr>
        <w:t xml:space="preserve"> In this </w:t>
      </w:r>
      <w:r w:rsidR="0080329C">
        <w:rPr>
          <w:lang w:val="en-GB"/>
        </w:rPr>
        <w:lastRenderedPageBreak/>
        <w:t xml:space="preserve">contribution, we used such </w:t>
      </w:r>
      <w:r w:rsidR="00253081">
        <w:rPr>
          <w:lang w:val="en-GB"/>
        </w:rPr>
        <w:t xml:space="preserve">an </w:t>
      </w:r>
      <w:r w:rsidR="0080329C">
        <w:rPr>
          <w:lang w:val="en-GB"/>
        </w:rPr>
        <w:t>approach to assess the performance of 72 biofuels based on 12 sustainability indicators, to identify trends that can be used to inform policymakers.</w:t>
      </w:r>
    </w:p>
    <w:p w14:paraId="3A9A170A" w14:textId="3765CE32" w:rsidR="00FF10F6" w:rsidRPr="00FF10F6" w:rsidRDefault="00FF10F6" w:rsidP="00FF10F6">
      <w:pPr>
        <w:pStyle w:val="Els-body-text"/>
        <w:spacing w:after="120"/>
        <w:rPr>
          <w:lang w:val="en-GB"/>
        </w:rPr>
      </w:pPr>
      <w:r w:rsidRPr="00FF10F6">
        <w:rPr>
          <w:lang w:val="en-GB"/>
        </w:rPr>
        <w:t xml:space="preserve">The biofuel alternative with the highest efficiency score was based on MSW, which suggests that </w:t>
      </w:r>
      <w:r w:rsidR="00253081">
        <w:rPr>
          <w:lang w:val="en-GB"/>
        </w:rPr>
        <w:t xml:space="preserve">residues </w:t>
      </w:r>
      <w:r w:rsidRPr="00FF10F6">
        <w:rPr>
          <w:lang w:val="en-GB"/>
        </w:rPr>
        <w:t xml:space="preserve">should be prioritized </w:t>
      </w:r>
      <w:r w:rsidR="00253081">
        <w:rPr>
          <w:lang w:val="en-GB"/>
        </w:rPr>
        <w:t xml:space="preserve">among </w:t>
      </w:r>
      <w:r w:rsidRPr="00FF10F6">
        <w:rPr>
          <w:lang w:val="en-GB"/>
        </w:rPr>
        <w:t xml:space="preserve">carbon sources. Fuels from natural oils also show a promising performance, with 20 of the 22 units </w:t>
      </w:r>
      <w:r w:rsidR="005A50C8" w:rsidRPr="00FF10F6">
        <w:rPr>
          <w:lang w:val="en-GB"/>
        </w:rPr>
        <w:t>analysed</w:t>
      </w:r>
      <w:r w:rsidRPr="00FF10F6">
        <w:rPr>
          <w:lang w:val="en-GB"/>
        </w:rPr>
        <w:t xml:space="preserve"> deemed efficient. Among the remaining carbon sources, results </w:t>
      </w:r>
      <w:r w:rsidR="000A0ED5">
        <w:rPr>
          <w:lang w:val="en-GB"/>
        </w:rPr>
        <w:t>support</w:t>
      </w:r>
      <w:r w:rsidRPr="00FF10F6">
        <w:rPr>
          <w:lang w:val="en-GB"/>
        </w:rPr>
        <w:t xml:space="preserve"> the recent trend of promoting cellulosic material for ethanol production. In terms of fuel type, our results suggest that policies should </w:t>
      </w:r>
      <w:r w:rsidR="005A50C8" w:rsidRPr="00FF10F6">
        <w:rPr>
          <w:lang w:val="en-GB"/>
        </w:rPr>
        <w:t>favour</w:t>
      </w:r>
      <w:r w:rsidRPr="00FF10F6">
        <w:rPr>
          <w:lang w:val="en-GB"/>
        </w:rPr>
        <w:t xml:space="preserve"> the widespread adoption of renewable diesel over traditional ethanol or biodiesel, since the former achieved the best performance thanks to a higher fuel economy and a higher biogenic carbon content in the fuel. The fuel type, however, was not found as impactful as the carbon source in achieving high efficiency scores.</w:t>
      </w:r>
    </w:p>
    <w:p w14:paraId="144DE6BF" w14:textId="608D0AD6" w:rsidR="008D2649" w:rsidRDefault="008D2649" w:rsidP="008D2649">
      <w:pPr>
        <w:pStyle w:val="Els-reference-head"/>
      </w:pPr>
      <w:r>
        <w:t>References</w:t>
      </w:r>
    </w:p>
    <w:p w14:paraId="3467A18F" w14:textId="77777777" w:rsidR="00486AF9" w:rsidRDefault="00486AF9" w:rsidP="00C61A04">
      <w:pPr>
        <w:pStyle w:val="Els-referenceno-number"/>
        <w:rPr>
          <w:lang w:val="en-US"/>
        </w:rPr>
      </w:pPr>
    </w:p>
    <w:sdt>
      <w:sdtPr>
        <w:rPr>
          <w:noProof/>
          <w:sz w:val="18"/>
          <w:lang w:val="en-US"/>
        </w:rPr>
        <w:tag w:val="MENDELEY_BIBLIOGRAPHY"/>
        <w:id w:val="1163511985"/>
        <w:placeholder>
          <w:docPart w:val="DefaultPlaceholder_-1854013440"/>
        </w:placeholder>
      </w:sdtPr>
      <w:sdtContent>
        <w:p w14:paraId="7972A2A1" w14:textId="77777777" w:rsidR="00486AF9" w:rsidRDefault="00486AF9">
          <w:pPr>
            <w:autoSpaceDE w:val="0"/>
            <w:autoSpaceDN w:val="0"/>
            <w:ind w:hanging="480"/>
            <w:divId w:val="1566602665"/>
            <w:rPr>
              <w:sz w:val="24"/>
              <w:szCs w:val="24"/>
            </w:rPr>
          </w:pPr>
          <w:r>
            <w:t xml:space="preserve">Charnes, A., Cooper, W. W., &amp; Rhodes, E. (1978). Measuring the efficiency of </w:t>
          </w:r>
          <w:proofErr w:type="gramStart"/>
          <w:r>
            <w:t>decision making</w:t>
          </w:r>
          <w:proofErr w:type="gramEnd"/>
          <w:r>
            <w:t xml:space="preserve"> units. </w:t>
          </w:r>
          <w:r>
            <w:rPr>
              <w:i/>
              <w:iCs/>
            </w:rPr>
            <w:t>European Journal of Operational Research</w:t>
          </w:r>
          <w:r>
            <w:t xml:space="preserve">, </w:t>
          </w:r>
          <w:r>
            <w:rPr>
              <w:i/>
              <w:iCs/>
            </w:rPr>
            <w:t>2</w:t>
          </w:r>
          <w:r>
            <w:t>(6), 429–444. https://doi.org/10.1016/0377-2217(78)90138-8</w:t>
          </w:r>
        </w:p>
        <w:p w14:paraId="3DD5EBA1" w14:textId="77777777" w:rsidR="00486AF9" w:rsidRDefault="00486AF9">
          <w:pPr>
            <w:autoSpaceDE w:val="0"/>
            <w:autoSpaceDN w:val="0"/>
            <w:ind w:hanging="480"/>
            <w:divId w:val="142354568"/>
          </w:pPr>
          <w:r>
            <w:t xml:space="preserve">European Commission. (n.d.). </w:t>
          </w:r>
          <w:r>
            <w:rPr>
              <w:i/>
              <w:iCs/>
            </w:rPr>
            <w:t>Sustainable transport | Mobility and Transport</w:t>
          </w:r>
          <w:r>
            <w:t xml:space="preserve">. Retrieved February 11, 2021, from </w:t>
          </w:r>
          <w:proofErr w:type="gramStart"/>
          <w:r>
            <w:t>https://ec.europa.eu/transport/themes/sustainable_en</w:t>
          </w:r>
          <w:proofErr w:type="gramEnd"/>
        </w:p>
        <w:p w14:paraId="52BD641E" w14:textId="77777777" w:rsidR="00486AF9" w:rsidRPr="00486AF9" w:rsidRDefault="00486AF9">
          <w:pPr>
            <w:autoSpaceDE w:val="0"/>
            <w:autoSpaceDN w:val="0"/>
            <w:ind w:hanging="480"/>
            <w:divId w:val="1976716857"/>
            <w:rPr>
              <w:lang w:val="es-ES"/>
            </w:rPr>
          </w:pPr>
          <w:r w:rsidRPr="00486AF9">
            <w:rPr>
              <w:lang w:val="es-ES"/>
            </w:rPr>
            <w:t xml:space="preserve">González-García, S., Iribarren, D., </w:t>
          </w:r>
          <w:proofErr w:type="spellStart"/>
          <w:r w:rsidRPr="00486AF9">
            <w:rPr>
              <w:lang w:val="es-ES"/>
            </w:rPr>
            <w:t>Susmozas</w:t>
          </w:r>
          <w:proofErr w:type="spellEnd"/>
          <w:r w:rsidRPr="00486AF9">
            <w:rPr>
              <w:lang w:val="es-ES"/>
            </w:rPr>
            <w:t xml:space="preserve">, A., Dufour, J., &amp; Murphy, R. J. (2012). </w:t>
          </w:r>
          <w:r>
            <w:t xml:space="preserve">Life cycle assessment of two alternative bioenergy systems involving Salix spp. biomass: Bioethanol production and power generation. </w:t>
          </w:r>
          <w:proofErr w:type="spellStart"/>
          <w:r w:rsidRPr="00486AF9">
            <w:rPr>
              <w:i/>
              <w:iCs/>
              <w:lang w:val="es-ES"/>
            </w:rPr>
            <w:t>Applied</w:t>
          </w:r>
          <w:proofErr w:type="spellEnd"/>
          <w:r w:rsidRPr="00486AF9">
            <w:rPr>
              <w:i/>
              <w:iCs/>
              <w:lang w:val="es-ES"/>
            </w:rPr>
            <w:t xml:space="preserve"> Energy</w:t>
          </w:r>
          <w:r w:rsidRPr="00486AF9">
            <w:rPr>
              <w:lang w:val="es-ES"/>
            </w:rPr>
            <w:t xml:space="preserve">, </w:t>
          </w:r>
          <w:r w:rsidRPr="00486AF9">
            <w:rPr>
              <w:i/>
              <w:iCs/>
              <w:lang w:val="es-ES"/>
            </w:rPr>
            <w:t>95</w:t>
          </w:r>
          <w:r w:rsidRPr="00486AF9">
            <w:rPr>
              <w:lang w:val="es-ES"/>
            </w:rPr>
            <w:t>, 111–122. https://doi.org/10.1016/J.APENERGY.2012.02.022</w:t>
          </w:r>
        </w:p>
        <w:p w14:paraId="46B6AA91" w14:textId="77777777" w:rsidR="00486AF9" w:rsidRDefault="00486AF9">
          <w:pPr>
            <w:autoSpaceDE w:val="0"/>
            <w:autoSpaceDN w:val="0"/>
            <w:ind w:hanging="480"/>
            <w:divId w:val="210769715"/>
          </w:pPr>
          <w:r w:rsidRPr="00486AF9">
            <w:rPr>
              <w:lang w:val="es-ES"/>
            </w:rPr>
            <w:t xml:space="preserve">Pozo, C., Galán-Martín, A., Cortés-Borda, D., Sales-Pardo, M., </w:t>
          </w:r>
          <w:proofErr w:type="spellStart"/>
          <w:r w:rsidRPr="00486AF9">
            <w:rPr>
              <w:lang w:val="es-ES"/>
            </w:rPr>
            <w:t>Azapagic</w:t>
          </w:r>
          <w:proofErr w:type="spellEnd"/>
          <w:r w:rsidRPr="00486AF9">
            <w:rPr>
              <w:lang w:val="es-ES"/>
            </w:rPr>
            <w:t>, A., Guimerà, R., &amp; Guillén-</w:t>
          </w:r>
          <w:proofErr w:type="spellStart"/>
          <w:r w:rsidRPr="00486AF9">
            <w:rPr>
              <w:lang w:val="es-ES"/>
            </w:rPr>
            <w:t>Gosálbez</w:t>
          </w:r>
          <w:proofErr w:type="spellEnd"/>
          <w:r w:rsidRPr="00486AF9">
            <w:rPr>
              <w:lang w:val="es-ES"/>
            </w:rPr>
            <w:t xml:space="preserve">, G. (2020). </w:t>
          </w:r>
          <w:r>
            <w:t xml:space="preserve">Reducing global environmental inequality: Determining regional quotas for environmental burdens through systems optimisation. </w:t>
          </w:r>
          <w:r>
            <w:rPr>
              <w:i/>
              <w:iCs/>
            </w:rPr>
            <w:t>Journal of Cleaner Production</w:t>
          </w:r>
          <w:r>
            <w:t xml:space="preserve">, </w:t>
          </w:r>
          <w:r>
            <w:rPr>
              <w:i/>
              <w:iCs/>
            </w:rPr>
            <w:t>270</w:t>
          </w:r>
          <w:r>
            <w:t>, 121828. https://doi.org/10.1016/J.JCLEPRO.2020.121828</w:t>
          </w:r>
        </w:p>
        <w:p w14:paraId="68BA4415" w14:textId="77777777" w:rsidR="00486AF9" w:rsidRDefault="00486AF9">
          <w:pPr>
            <w:autoSpaceDE w:val="0"/>
            <w:autoSpaceDN w:val="0"/>
            <w:ind w:hanging="480"/>
            <w:divId w:val="187530111"/>
          </w:pPr>
          <w:r>
            <w:t>Rodríguez-Vallejo, D. F., Galán-Martín, Á., Guillén-</w:t>
          </w:r>
          <w:proofErr w:type="spellStart"/>
          <w:r>
            <w:t>Gosálbez</w:t>
          </w:r>
          <w:proofErr w:type="spellEnd"/>
          <w:r>
            <w:t xml:space="preserve">, G., &amp; </w:t>
          </w:r>
          <w:proofErr w:type="spellStart"/>
          <w:r>
            <w:t>Chachuat</w:t>
          </w:r>
          <w:proofErr w:type="spellEnd"/>
          <w:r>
            <w:t xml:space="preserve">, B. (2019). Data envelopment analysis approach to targeting in sustainable chemical process design: Application to liquid fuels. </w:t>
          </w:r>
          <w:r>
            <w:rPr>
              <w:i/>
              <w:iCs/>
            </w:rPr>
            <w:t>AIChE Journal</w:t>
          </w:r>
          <w:r>
            <w:t xml:space="preserve">, </w:t>
          </w:r>
          <w:r>
            <w:rPr>
              <w:i/>
              <w:iCs/>
            </w:rPr>
            <w:t>65</w:t>
          </w:r>
          <w:r>
            <w:t>(7), e16480. https://doi.org/10.1002/AIC.16480</w:t>
          </w:r>
        </w:p>
        <w:p w14:paraId="4CD2B770" w14:textId="77777777" w:rsidR="00486AF9" w:rsidRDefault="00486AF9">
          <w:pPr>
            <w:autoSpaceDE w:val="0"/>
            <w:autoSpaceDN w:val="0"/>
            <w:ind w:hanging="480"/>
            <w:divId w:val="1464619238"/>
          </w:pPr>
          <w:r>
            <w:t xml:space="preserve">Rostami, F., Kis, Z., </w:t>
          </w:r>
          <w:proofErr w:type="spellStart"/>
          <w:r>
            <w:t>Koppelaar</w:t>
          </w:r>
          <w:proofErr w:type="spellEnd"/>
          <w:r>
            <w:t xml:space="preserve">, R., Jiménez, L., &amp; Pozo, C. (2022). Comparative sustainability study of energy storage technologies using data envelopment analysis. </w:t>
          </w:r>
          <w:r>
            <w:rPr>
              <w:i/>
              <w:iCs/>
            </w:rPr>
            <w:t>Energy Storage Materials</w:t>
          </w:r>
          <w:r>
            <w:t xml:space="preserve">, </w:t>
          </w:r>
          <w:r>
            <w:rPr>
              <w:i/>
              <w:iCs/>
            </w:rPr>
            <w:t>48</w:t>
          </w:r>
          <w:r>
            <w:t>, 412–438. https://doi.org/10.1016/J.ENSM.2022.03.026</w:t>
          </w:r>
        </w:p>
        <w:p w14:paraId="4AD42D69" w14:textId="77777777" w:rsidR="00486AF9" w:rsidRDefault="00486AF9">
          <w:pPr>
            <w:autoSpaceDE w:val="0"/>
            <w:autoSpaceDN w:val="0"/>
            <w:ind w:hanging="480"/>
            <w:divId w:val="436484032"/>
          </w:pPr>
          <w:r>
            <w:t xml:space="preserve">Tone, K. (2001). Slacks-based measure of efficiency in data envelopment analysis. </w:t>
          </w:r>
          <w:r>
            <w:rPr>
              <w:i/>
              <w:iCs/>
            </w:rPr>
            <w:t>European Journal of Operational Research</w:t>
          </w:r>
          <w:r>
            <w:t xml:space="preserve">, </w:t>
          </w:r>
          <w:r>
            <w:rPr>
              <w:i/>
              <w:iCs/>
            </w:rPr>
            <w:t>130</w:t>
          </w:r>
          <w:r>
            <w:t>(3), 498–509. https://doi.org/10.1016/S0377-2217(99)00407-5</w:t>
          </w:r>
        </w:p>
        <w:p w14:paraId="48DEFA4C" w14:textId="77777777" w:rsidR="00486AF9" w:rsidRDefault="00486AF9">
          <w:pPr>
            <w:autoSpaceDE w:val="0"/>
            <w:autoSpaceDN w:val="0"/>
            <w:ind w:hanging="480"/>
            <w:divId w:val="1331373810"/>
          </w:pPr>
          <w:r>
            <w:t xml:space="preserve">Tone, K. (2002). A slacks-based measure of super-efficiency in data envelopment analysis. </w:t>
          </w:r>
          <w:r>
            <w:rPr>
              <w:i/>
              <w:iCs/>
            </w:rPr>
            <w:t>European Journal of Operational Research</w:t>
          </w:r>
          <w:r>
            <w:t xml:space="preserve">, </w:t>
          </w:r>
          <w:r>
            <w:rPr>
              <w:i/>
              <w:iCs/>
            </w:rPr>
            <w:t>143</w:t>
          </w:r>
          <w:r>
            <w:t>(1), 32–41. https://doi.org/10.1016/S0377-2217(01)00324-1</w:t>
          </w:r>
        </w:p>
        <w:p w14:paraId="6BFD6517" w14:textId="2D3517B1" w:rsidR="00486AF9" w:rsidRDefault="00486AF9" w:rsidP="00C61A04">
          <w:pPr>
            <w:pStyle w:val="Els-referenceno-number"/>
            <w:rPr>
              <w:lang w:val="en-US"/>
            </w:rPr>
          </w:pPr>
          <w:r>
            <w:t> </w:t>
          </w:r>
        </w:p>
      </w:sdtContent>
    </w:sdt>
    <w:sectPr w:rsidR="00486AF9"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0A8E" w14:textId="77777777" w:rsidR="00D53D96" w:rsidRDefault="00D53D96">
      <w:r>
        <w:separator/>
      </w:r>
    </w:p>
  </w:endnote>
  <w:endnote w:type="continuationSeparator" w:id="0">
    <w:p w14:paraId="153F7FE1" w14:textId="77777777" w:rsidR="00D53D96" w:rsidRDefault="00D5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F885" w14:textId="77777777" w:rsidR="00D53D96" w:rsidRDefault="00D53D96">
      <w:r>
        <w:separator/>
      </w:r>
    </w:p>
  </w:footnote>
  <w:footnote w:type="continuationSeparator" w:id="0">
    <w:p w14:paraId="7039515D" w14:textId="77777777" w:rsidR="00D53D96" w:rsidRDefault="00D5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E8607F6" w:rsidR="00DD3D9E" w:rsidRPr="00F74ED5" w:rsidRDefault="00DD3D9E">
    <w:pPr>
      <w:pStyle w:val="Encabezado"/>
      <w:tabs>
        <w:tab w:val="clear" w:pos="7200"/>
        <w:tab w:val="right" w:pos="7088"/>
      </w:tabs>
      <w:rPr>
        <w:lang w:val="es-ES"/>
      </w:rPr>
    </w:pPr>
    <w:r>
      <w:rPr>
        <w:rStyle w:val="Nmerodepgina"/>
      </w:rPr>
      <w:tab/>
    </w:r>
    <w:r>
      <w:rPr>
        <w:rStyle w:val="Nmerodepgina"/>
        <w:i/>
      </w:rPr>
      <w:tab/>
    </w:r>
    <w:r w:rsidR="00F74ED5" w:rsidRPr="00F74ED5">
      <w:rPr>
        <w:i/>
        <w:lang w:val="es-ES"/>
      </w:rPr>
      <w:t>R. Cabrera-Jimenéz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91DBEE9" w:rsidR="00DD3D9E" w:rsidRDefault="00F557EA" w:rsidP="00F557EA">
    <w:pPr>
      <w:pStyle w:val="Encabezado"/>
      <w:tabs>
        <w:tab w:val="clear" w:pos="7200"/>
        <w:tab w:val="right" w:pos="7088"/>
      </w:tabs>
      <w:rPr>
        <w:sz w:val="24"/>
      </w:rPr>
    </w:pPr>
    <w:r w:rsidRPr="00F557EA">
      <w:rPr>
        <w:i/>
      </w:rPr>
      <w:t>Comparing the sustainability level of biofuels with Data Envelopment Analysis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10506066">
    <w:abstractNumId w:val="11"/>
  </w:num>
  <w:num w:numId="2" w16cid:durableId="214119384">
    <w:abstractNumId w:val="11"/>
  </w:num>
  <w:num w:numId="3" w16cid:durableId="1883664547">
    <w:abstractNumId w:val="11"/>
  </w:num>
  <w:num w:numId="4" w16cid:durableId="1461068901">
    <w:abstractNumId w:val="11"/>
  </w:num>
  <w:num w:numId="5" w16cid:durableId="1857771230">
    <w:abstractNumId w:val="0"/>
  </w:num>
  <w:num w:numId="6" w16cid:durableId="1012024274">
    <w:abstractNumId w:val="6"/>
  </w:num>
  <w:num w:numId="7" w16cid:durableId="1950507777">
    <w:abstractNumId w:val="12"/>
  </w:num>
  <w:num w:numId="8" w16cid:durableId="462846205">
    <w:abstractNumId w:val="1"/>
  </w:num>
  <w:num w:numId="9" w16cid:durableId="1280458224">
    <w:abstractNumId w:val="10"/>
  </w:num>
  <w:num w:numId="10" w16cid:durableId="558783980">
    <w:abstractNumId w:val="14"/>
  </w:num>
  <w:num w:numId="11" w16cid:durableId="2110654964">
    <w:abstractNumId w:val="13"/>
  </w:num>
  <w:num w:numId="12" w16cid:durableId="473721151">
    <w:abstractNumId w:val="5"/>
  </w:num>
  <w:num w:numId="13" w16cid:durableId="57098283">
    <w:abstractNumId w:val="8"/>
  </w:num>
  <w:num w:numId="14" w16cid:durableId="717821263">
    <w:abstractNumId w:val="2"/>
  </w:num>
  <w:num w:numId="15" w16cid:durableId="686445315">
    <w:abstractNumId w:val="7"/>
  </w:num>
  <w:num w:numId="16" w16cid:durableId="1320229350">
    <w:abstractNumId w:val="3"/>
  </w:num>
  <w:num w:numId="17" w16cid:durableId="1609464523">
    <w:abstractNumId w:val="4"/>
  </w:num>
  <w:num w:numId="18" w16cid:durableId="240795691">
    <w:abstractNumId w:val="9"/>
  </w:num>
  <w:num w:numId="19" w16cid:durableId="796752197">
    <w:abstractNumId w:val="4"/>
  </w:num>
  <w:num w:numId="20" w16cid:durableId="254437376">
    <w:abstractNumId w:val="4"/>
  </w:num>
  <w:num w:numId="21" w16cid:durableId="511266704">
    <w:abstractNumId w:val="4"/>
  </w:num>
  <w:num w:numId="22" w16cid:durableId="1388451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4273"/>
    <w:rsid w:val="000A0ED5"/>
    <w:rsid w:val="000D3D9B"/>
    <w:rsid w:val="000F44DE"/>
    <w:rsid w:val="001203DA"/>
    <w:rsid w:val="0016032F"/>
    <w:rsid w:val="001867BF"/>
    <w:rsid w:val="001879F6"/>
    <w:rsid w:val="00191520"/>
    <w:rsid w:val="001C0148"/>
    <w:rsid w:val="001C757E"/>
    <w:rsid w:val="001F36EA"/>
    <w:rsid w:val="0020390F"/>
    <w:rsid w:val="002045A1"/>
    <w:rsid w:val="00212DF5"/>
    <w:rsid w:val="00217CEA"/>
    <w:rsid w:val="00222952"/>
    <w:rsid w:val="00245E49"/>
    <w:rsid w:val="00253081"/>
    <w:rsid w:val="00264926"/>
    <w:rsid w:val="0029557E"/>
    <w:rsid w:val="002B72FF"/>
    <w:rsid w:val="002D3E8B"/>
    <w:rsid w:val="003045BC"/>
    <w:rsid w:val="00327A3A"/>
    <w:rsid w:val="00350557"/>
    <w:rsid w:val="00360EB5"/>
    <w:rsid w:val="003614E5"/>
    <w:rsid w:val="003B5F98"/>
    <w:rsid w:val="003D00A4"/>
    <w:rsid w:val="003D1582"/>
    <w:rsid w:val="003D7E4C"/>
    <w:rsid w:val="003E41C2"/>
    <w:rsid w:val="00461912"/>
    <w:rsid w:val="00483BC8"/>
    <w:rsid w:val="00486693"/>
    <w:rsid w:val="00486AF9"/>
    <w:rsid w:val="0049772C"/>
    <w:rsid w:val="004C3F9A"/>
    <w:rsid w:val="00502DAF"/>
    <w:rsid w:val="005246FB"/>
    <w:rsid w:val="00552EEB"/>
    <w:rsid w:val="005A50C8"/>
    <w:rsid w:val="005D032E"/>
    <w:rsid w:val="005D448A"/>
    <w:rsid w:val="005D4727"/>
    <w:rsid w:val="005F43A6"/>
    <w:rsid w:val="005F73E5"/>
    <w:rsid w:val="00612F4F"/>
    <w:rsid w:val="0066438A"/>
    <w:rsid w:val="00665C74"/>
    <w:rsid w:val="006A298F"/>
    <w:rsid w:val="006A69BF"/>
    <w:rsid w:val="006F2CD8"/>
    <w:rsid w:val="00704081"/>
    <w:rsid w:val="00711DF4"/>
    <w:rsid w:val="00722ACB"/>
    <w:rsid w:val="00725A0F"/>
    <w:rsid w:val="0074750E"/>
    <w:rsid w:val="00775FF4"/>
    <w:rsid w:val="007D70A1"/>
    <w:rsid w:val="0080329C"/>
    <w:rsid w:val="008132E8"/>
    <w:rsid w:val="00823407"/>
    <w:rsid w:val="0083137B"/>
    <w:rsid w:val="0083516E"/>
    <w:rsid w:val="00842208"/>
    <w:rsid w:val="008461E2"/>
    <w:rsid w:val="00871210"/>
    <w:rsid w:val="008B0184"/>
    <w:rsid w:val="008C5D02"/>
    <w:rsid w:val="008D2649"/>
    <w:rsid w:val="0090568D"/>
    <w:rsid w:val="009125C9"/>
    <w:rsid w:val="00913879"/>
    <w:rsid w:val="00917661"/>
    <w:rsid w:val="00956A2A"/>
    <w:rsid w:val="00970E5D"/>
    <w:rsid w:val="0097701C"/>
    <w:rsid w:val="00980A65"/>
    <w:rsid w:val="009A545F"/>
    <w:rsid w:val="009B0AFD"/>
    <w:rsid w:val="009D060F"/>
    <w:rsid w:val="009D449D"/>
    <w:rsid w:val="009E618E"/>
    <w:rsid w:val="009F4F0B"/>
    <w:rsid w:val="00A12499"/>
    <w:rsid w:val="00A25E70"/>
    <w:rsid w:val="00A33765"/>
    <w:rsid w:val="00A63269"/>
    <w:rsid w:val="00A92377"/>
    <w:rsid w:val="00AA41BA"/>
    <w:rsid w:val="00AB29ED"/>
    <w:rsid w:val="00AC3E48"/>
    <w:rsid w:val="00AE4BD8"/>
    <w:rsid w:val="00AF2588"/>
    <w:rsid w:val="00B268C5"/>
    <w:rsid w:val="00B4388F"/>
    <w:rsid w:val="00B63237"/>
    <w:rsid w:val="00B633DA"/>
    <w:rsid w:val="00B703BC"/>
    <w:rsid w:val="00BA0458"/>
    <w:rsid w:val="00BA0831"/>
    <w:rsid w:val="00C264E8"/>
    <w:rsid w:val="00C3631E"/>
    <w:rsid w:val="00C51578"/>
    <w:rsid w:val="00C61A04"/>
    <w:rsid w:val="00C71417"/>
    <w:rsid w:val="00C76012"/>
    <w:rsid w:val="00C82125"/>
    <w:rsid w:val="00C960DC"/>
    <w:rsid w:val="00CC1809"/>
    <w:rsid w:val="00CE4EB5"/>
    <w:rsid w:val="00D02C75"/>
    <w:rsid w:val="00D10E22"/>
    <w:rsid w:val="00D13D2C"/>
    <w:rsid w:val="00D53D96"/>
    <w:rsid w:val="00DC019B"/>
    <w:rsid w:val="00DC2F94"/>
    <w:rsid w:val="00DD3D9E"/>
    <w:rsid w:val="00DD7908"/>
    <w:rsid w:val="00E11999"/>
    <w:rsid w:val="00E209B9"/>
    <w:rsid w:val="00E82297"/>
    <w:rsid w:val="00EA083E"/>
    <w:rsid w:val="00ED4E24"/>
    <w:rsid w:val="00EF39FD"/>
    <w:rsid w:val="00F06842"/>
    <w:rsid w:val="00F107FD"/>
    <w:rsid w:val="00F328B7"/>
    <w:rsid w:val="00F557EA"/>
    <w:rsid w:val="00F60B36"/>
    <w:rsid w:val="00F74ED5"/>
    <w:rsid w:val="00F84F94"/>
    <w:rsid w:val="00FA1F9E"/>
    <w:rsid w:val="00FB64A8"/>
    <w:rsid w:val="00FD55C3"/>
    <w:rsid w:val="00FD63B1"/>
    <w:rsid w:val="00FE70E6"/>
    <w:rsid w:val="00FF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uiPriority w:val="39"/>
    <w:rsid w:val="00BA0831"/>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0ED5"/>
    <w:rPr>
      <w:lang w:eastAsia="en-US"/>
    </w:rPr>
  </w:style>
  <w:style w:type="character" w:styleId="Textodelmarcadordeposicin">
    <w:name w:val="Placeholder Text"/>
    <w:basedOn w:val="Fuentedeprrafopredeter"/>
    <w:uiPriority w:val="99"/>
    <w:semiHidden/>
    <w:rsid w:val="00C36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7717">
      <w:bodyDiv w:val="1"/>
      <w:marLeft w:val="0"/>
      <w:marRight w:val="0"/>
      <w:marTop w:val="0"/>
      <w:marBottom w:val="0"/>
      <w:divBdr>
        <w:top w:val="none" w:sz="0" w:space="0" w:color="auto"/>
        <w:left w:val="none" w:sz="0" w:space="0" w:color="auto"/>
        <w:bottom w:val="none" w:sz="0" w:space="0" w:color="auto"/>
        <w:right w:val="none" w:sz="0" w:space="0" w:color="auto"/>
      </w:divBdr>
    </w:div>
    <w:div w:id="327633442">
      <w:bodyDiv w:val="1"/>
      <w:marLeft w:val="0"/>
      <w:marRight w:val="0"/>
      <w:marTop w:val="0"/>
      <w:marBottom w:val="0"/>
      <w:divBdr>
        <w:top w:val="none" w:sz="0" w:space="0" w:color="auto"/>
        <w:left w:val="none" w:sz="0" w:space="0" w:color="auto"/>
        <w:bottom w:val="none" w:sz="0" w:space="0" w:color="auto"/>
        <w:right w:val="none" w:sz="0" w:space="0" w:color="auto"/>
      </w:divBdr>
      <w:divsChild>
        <w:div w:id="1566602665">
          <w:marLeft w:val="480"/>
          <w:marRight w:val="0"/>
          <w:marTop w:val="0"/>
          <w:marBottom w:val="0"/>
          <w:divBdr>
            <w:top w:val="none" w:sz="0" w:space="0" w:color="auto"/>
            <w:left w:val="none" w:sz="0" w:space="0" w:color="auto"/>
            <w:bottom w:val="none" w:sz="0" w:space="0" w:color="auto"/>
            <w:right w:val="none" w:sz="0" w:space="0" w:color="auto"/>
          </w:divBdr>
        </w:div>
        <w:div w:id="142354568">
          <w:marLeft w:val="480"/>
          <w:marRight w:val="0"/>
          <w:marTop w:val="0"/>
          <w:marBottom w:val="0"/>
          <w:divBdr>
            <w:top w:val="none" w:sz="0" w:space="0" w:color="auto"/>
            <w:left w:val="none" w:sz="0" w:space="0" w:color="auto"/>
            <w:bottom w:val="none" w:sz="0" w:space="0" w:color="auto"/>
            <w:right w:val="none" w:sz="0" w:space="0" w:color="auto"/>
          </w:divBdr>
        </w:div>
        <w:div w:id="1976716857">
          <w:marLeft w:val="480"/>
          <w:marRight w:val="0"/>
          <w:marTop w:val="0"/>
          <w:marBottom w:val="0"/>
          <w:divBdr>
            <w:top w:val="none" w:sz="0" w:space="0" w:color="auto"/>
            <w:left w:val="none" w:sz="0" w:space="0" w:color="auto"/>
            <w:bottom w:val="none" w:sz="0" w:space="0" w:color="auto"/>
            <w:right w:val="none" w:sz="0" w:space="0" w:color="auto"/>
          </w:divBdr>
        </w:div>
        <w:div w:id="210769715">
          <w:marLeft w:val="480"/>
          <w:marRight w:val="0"/>
          <w:marTop w:val="0"/>
          <w:marBottom w:val="0"/>
          <w:divBdr>
            <w:top w:val="none" w:sz="0" w:space="0" w:color="auto"/>
            <w:left w:val="none" w:sz="0" w:space="0" w:color="auto"/>
            <w:bottom w:val="none" w:sz="0" w:space="0" w:color="auto"/>
            <w:right w:val="none" w:sz="0" w:space="0" w:color="auto"/>
          </w:divBdr>
        </w:div>
        <w:div w:id="187530111">
          <w:marLeft w:val="480"/>
          <w:marRight w:val="0"/>
          <w:marTop w:val="0"/>
          <w:marBottom w:val="0"/>
          <w:divBdr>
            <w:top w:val="none" w:sz="0" w:space="0" w:color="auto"/>
            <w:left w:val="none" w:sz="0" w:space="0" w:color="auto"/>
            <w:bottom w:val="none" w:sz="0" w:space="0" w:color="auto"/>
            <w:right w:val="none" w:sz="0" w:space="0" w:color="auto"/>
          </w:divBdr>
        </w:div>
        <w:div w:id="1464619238">
          <w:marLeft w:val="480"/>
          <w:marRight w:val="0"/>
          <w:marTop w:val="0"/>
          <w:marBottom w:val="0"/>
          <w:divBdr>
            <w:top w:val="none" w:sz="0" w:space="0" w:color="auto"/>
            <w:left w:val="none" w:sz="0" w:space="0" w:color="auto"/>
            <w:bottom w:val="none" w:sz="0" w:space="0" w:color="auto"/>
            <w:right w:val="none" w:sz="0" w:space="0" w:color="auto"/>
          </w:divBdr>
        </w:div>
        <w:div w:id="436484032">
          <w:marLeft w:val="480"/>
          <w:marRight w:val="0"/>
          <w:marTop w:val="0"/>
          <w:marBottom w:val="0"/>
          <w:divBdr>
            <w:top w:val="none" w:sz="0" w:space="0" w:color="auto"/>
            <w:left w:val="none" w:sz="0" w:space="0" w:color="auto"/>
            <w:bottom w:val="none" w:sz="0" w:space="0" w:color="auto"/>
            <w:right w:val="none" w:sz="0" w:space="0" w:color="auto"/>
          </w:divBdr>
        </w:div>
        <w:div w:id="1331373810">
          <w:marLeft w:val="480"/>
          <w:marRight w:val="0"/>
          <w:marTop w:val="0"/>
          <w:marBottom w:val="0"/>
          <w:divBdr>
            <w:top w:val="none" w:sz="0" w:space="0" w:color="auto"/>
            <w:left w:val="none" w:sz="0" w:space="0" w:color="auto"/>
            <w:bottom w:val="none" w:sz="0" w:space="0" w:color="auto"/>
            <w:right w:val="none" w:sz="0" w:space="0" w:color="auto"/>
          </w:divBdr>
        </w:div>
      </w:divsChild>
    </w:div>
    <w:div w:id="446966462">
      <w:bodyDiv w:val="1"/>
      <w:marLeft w:val="0"/>
      <w:marRight w:val="0"/>
      <w:marTop w:val="0"/>
      <w:marBottom w:val="0"/>
      <w:divBdr>
        <w:top w:val="none" w:sz="0" w:space="0" w:color="auto"/>
        <w:left w:val="none" w:sz="0" w:space="0" w:color="auto"/>
        <w:bottom w:val="none" w:sz="0" w:space="0" w:color="auto"/>
        <w:right w:val="none" w:sz="0" w:space="0" w:color="auto"/>
      </w:divBdr>
      <w:divsChild>
        <w:div w:id="1526090042">
          <w:marLeft w:val="640"/>
          <w:marRight w:val="0"/>
          <w:marTop w:val="0"/>
          <w:marBottom w:val="0"/>
          <w:divBdr>
            <w:top w:val="none" w:sz="0" w:space="0" w:color="auto"/>
            <w:left w:val="none" w:sz="0" w:space="0" w:color="auto"/>
            <w:bottom w:val="none" w:sz="0" w:space="0" w:color="auto"/>
            <w:right w:val="none" w:sz="0" w:space="0" w:color="auto"/>
          </w:divBdr>
        </w:div>
        <w:div w:id="1095633635">
          <w:marLeft w:val="640"/>
          <w:marRight w:val="0"/>
          <w:marTop w:val="0"/>
          <w:marBottom w:val="0"/>
          <w:divBdr>
            <w:top w:val="none" w:sz="0" w:space="0" w:color="auto"/>
            <w:left w:val="none" w:sz="0" w:space="0" w:color="auto"/>
            <w:bottom w:val="none" w:sz="0" w:space="0" w:color="auto"/>
            <w:right w:val="none" w:sz="0" w:space="0" w:color="auto"/>
          </w:divBdr>
        </w:div>
        <w:div w:id="932250459">
          <w:marLeft w:val="640"/>
          <w:marRight w:val="0"/>
          <w:marTop w:val="0"/>
          <w:marBottom w:val="0"/>
          <w:divBdr>
            <w:top w:val="none" w:sz="0" w:space="0" w:color="auto"/>
            <w:left w:val="none" w:sz="0" w:space="0" w:color="auto"/>
            <w:bottom w:val="none" w:sz="0" w:space="0" w:color="auto"/>
            <w:right w:val="none" w:sz="0" w:space="0" w:color="auto"/>
          </w:divBdr>
        </w:div>
        <w:div w:id="990331681">
          <w:marLeft w:val="640"/>
          <w:marRight w:val="0"/>
          <w:marTop w:val="0"/>
          <w:marBottom w:val="0"/>
          <w:divBdr>
            <w:top w:val="none" w:sz="0" w:space="0" w:color="auto"/>
            <w:left w:val="none" w:sz="0" w:space="0" w:color="auto"/>
            <w:bottom w:val="none" w:sz="0" w:space="0" w:color="auto"/>
            <w:right w:val="none" w:sz="0" w:space="0" w:color="auto"/>
          </w:divBdr>
        </w:div>
        <w:div w:id="1488471185">
          <w:marLeft w:val="640"/>
          <w:marRight w:val="0"/>
          <w:marTop w:val="0"/>
          <w:marBottom w:val="0"/>
          <w:divBdr>
            <w:top w:val="none" w:sz="0" w:space="0" w:color="auto"/>
            <w:left w:val="none" w:sz="0" w:space="0" w:color="auto"/>
            <w:bottom w:val="none" w:sz="0" w:space="0" w:color="auto"/>
            <w:right w:val="none" w:sz="0" w:space="0" w:color="auto"/>
          </w:divBdr>
        </w:div>
        <w:div w:id="2016106981">
          <w:marLeft w:val="640"/>
          <w:marRight w:val="0"/>
          <w:marTop w:val="0"/>
          <w:marBottom w:val="0"/>
          <w:divBdr>
            <w:top w:val="none" w:sz="0" w:space="0" w:color="auto"/>
            <w:left w:val="none" w:sz="0" w:space="0" w:color="auto"/>
            <w:bottom w:val="none" w:sz="0" w:space="0" w:color="auto"/>
            <w:right w:val="none" w:sz="0" w:space="0" w:color="auto"/>
          </w:divBdr>
        </w:div>
        <w:div w:id="1540045691">
          <w:marLeft w:val="640"/>
          <w:marRight w:val="0"/>
          <w:marTop w:val="0"/>
          <w:marBottom w:val="0"/>
          <w:divBdr>
            <w:top w:val="none" w:sz="0" w:space="0" w:color="auto"/>
            <w:left w:val="none" w:sz="0" w:space="0" w:color="auto"/>
            <w:bottom w:val="none" w:sz="0" w:space="0" w:color="auto"/>
            <w:right w:val="none" w:sz="0" w:space="0" w:color="auto"/>
          </w:divBdr>
        </w:div>
        <w:div w:id="2075272165">
          <w:marLeft w:val="640"/>
          <w:marRight w:val="0"/>
          <w:marTop w:val="0"/>
          <w:marBottom w:val="0"/>
          <w:divBdr>
            <w:top w:val="none" w:sz="0" w:space="0" w:color="auto"/>
            <w:left w:val="none" w:sz="0" w:space="0" w:color="auto"/>
            <w:bottom w:val="none" w:sz="0" w:space="0" w:color="auto"/>
            <w:right w:val="none" w:sz="0" w:space="0" w:color="auto"/>
          </w:divBdr>
        </w:div>
      </w:divsChild>
    </w:div>
    <w:div w:id="8647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pozo@urv.c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FEB291-04CF-4305-81C3-14E9658C5BDE}"/>
      </w:docPartPr>
      <w:docPartBody>
        <w:p w:rsidR="00FD5215" w:rsidRDefault="00534B58">
          <w:r w:rsidRPr="0065375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58"/>
    <w:rsid w:val="00002490"/>
    <w:rsid w:val="001933B8"/>
    <w:rsid w:val="00534B58"/>
    <w:rsid w:val="00FD5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4B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F8D28-48AB-4F06-88D6-1D194D22F1A9}">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7caa5453-4ad4-4912-9c62-4cac629f1db3&quot;,&quot;properties&quot;:{&quot;noteIndex&quot;:0},&quot;isEdited&quot;:false,&quot;manualOverride&quot;:{&quot;isManuallyOverridden&quot;:false,&quot;citeprocText&quot;:&quot;(European Commission, n.d.)&quot;,&quot;manualOverrideText&quot;:&quot;&quot;},&quot;citationTag&quot;:&quot;MENDELEY_CITATION_v3_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&quot;,&quot;citationItems&quot;:[{&quot;id&quot;:&quot;692aa897-96f3-38d1-ad43-2a2f221c0cf2&quot;,&quot;itemData&quot;:{&quot;type&quot;:&quot;webpage&quot;,&quot;id&quot;:&quot;692aa897-96f3-38d1-ad43-2a2f221c0cf2&quot;,&quot;title&quot;:&quot;Sustainable transport | Mobility and Transport&quot;,&quot;author&quot;:[{&quot;family&quot;:&quot;European Commission&quot;,&quot;given&quot;:&quot;&quot;,&quot;parse-names&quot;:false,&quot;dropping-particle&quot;:&quot;&quot;,&quot;non-dropping-particle&quot;:&quot;&quot;}],&quot;accessed&quot;:{&quot;date-parts&quot;:[[2021,2,11]]},&quot;URL&quot;:&quot;https://ec.europa.eu/transport/themes/sustainable_en&quot;,&quot;container-title-short&quot;:&quot;&quot;},&quot;isTemporary&quot;:false}]},{&quot;citationID&quot;:&quot;MENDELEY_CITATION_7190fc21-0178-44f1-a898-e1939b16d769&quot;,&quot;properties&quot;:{&quot;noteIndex&quot;:0},&quot;isEdited&quot;:false,&quot;manualOverride&quot;:{&quot;isManuallyOverridden&quot;:false,&quot;citeprocText&quot;:&quot;(Rodríguez-Vallejo et al., 2019)&quot;,&quot;manualOverrideText&quot;:&quot;&quot;},&quot;citationTag&quot;:&quot;MENDELEY_CITATION_v3_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&quot;,&quot;citationItems&quot;:[{&quot;id&quot;:&quot;d2f0fc56-5ecf-36e1-99c8-74fa2e0138b4&quot;,&quot;itemData&quot;:{&quot;type&quot;:&quot;article-journal&quot;,&quot;id&quot;:&quot;d2f0fc56-5ecf-36e1-99c8-74fa2e0138b4&quot;,&quot;title&quot;:&quot;Data envelopment analysis approach to targeting in sustainable chemical process design: Application to liquid fuels&quot;,&quot;author&quot;:[{&quot;family&quot;:&quot;Rodríguez-Vallejo&quot;,&quot;given&quot;:&quot;Daniel F.&quot;,&quot;parse-names&quot;:false,&quot;dropping-particle&quot;:&quot;&quot;,&quot;non-dropping-particle&quot;:&quot;&quot;},{&quot;family&quot;:&quot;Galán-Martín&quot;,&quot;given&quot;:&quot;Ángel&quot;,&quot;parse-names&quot;:false,&quot;dropping-particle&quot;:&quot;&quot;,&quot;non-dropping-particle&quot;:&quot;&quot;},{&quot;family&quot;:&quot;Guillén-Gosálbez&quot;,&quot;given&quot;:&quot;Gonzalo&quot;,&quot;parse-names&quot;:false,&quot;dropping-particle&quot;:&quot;&quot;,&quot;non-dropping-particle&quot;:&quot;&quot;},{&quot;family&quot;:&quot;Chachuat&quot;,&quot;given&quot;:&quot;Benoît&quot;,&quot;parse-names&quot;:false,&quot;dropping-particle&quot;:&quot;&quot;,&quot;non-dropping-particle&quot;:&quot;&quot;}],&quot;container-title&quot;:&quot;AIChE Journal&quot;,&quot;accessed&quot;:{&quot;date-parts&quot;:[[2023,11,30]]},&quot;DOI&quot;:&quot;10.1002/AIC.16480&quot;,&quot;ISSN&quot;:&quot;1547-5905&quot;,&quot;URL&quot;:&quot;https://onlinelibrary.wiley.com/doi/full/10.1002/aic.16480&quot;,&quot;issued&quot;:{&quot;date-parts&quot;:[[2019,7,1]]},&quot;page&quot;:&quot;e16480&quot;,&quot;abstract&quot;:&quot;This article presents a framework for combining data envelopment analysis with process systems engineering tools, aiming to improve the sustainability of chemical processes. Given a set of chemical processes, each characterized by performance indicators, the framework discriminates between efficient and inefficient processes in regard to these indicators. We develop an approach to quantifying the closest targets for an inefficient process to become efficient, while preventing unrealistic targets by accounting for thermodynamic limitations represented as mass and energy flow constraints. We demonstrate the capabilities of the framework by assessing a methanol production process with captured CO2 and fossil-based H2, in comparison to 10 alternatives. The methanol fuel is found to be suboptimal in comparison with other fuels. Making it competitive would require a significant (unrealistic in the short term) reduction in H2 price. Alternatively, the methanol fuel could become competitive upon combining fossil-based H2 with sustainably produced H2 via wind-powered electrolysis. © 2018 American Institute of Chemical Engineers AIChE J, 65: e16480 2019.&quot;,&quot;publisher&quot;:&quot;John Wiley &amp; Sons, Ltd&quot;,&quot;issue&quot;:&quot;7&quot;,&quot;volume&quot;:&quot;65&quot;,&quot;container-title-short&quot;:&quot;&quot;},&quot;isTemporary&quot;:false}]},{&quot;citationID&quot;:&quot;MENDELEY_CITATION_93b7831f-fd09-4539-9717-ff22fd6280a4&quot;,&quot;properties&quot;:{&quot;noteIndex&quot;:0},&quot;isEdited&quot;:false,&quot;manualOverride&quot;:{&quot;isManuallyOverridden&quot;:false,&quot;citeprocText&quot;:&quot;(Rostami et al., 2022)&quot;,&quot;manualOverrideText&quot;:&quot;&quot;},&quot;citationTag&quot;:&quot;MENDELEY_CITATION_v3_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&quot;,&quot;citationItems&quot;:[{&quot;id&quot;:&quot;ecbd205e-a2c2-31c3-a133-fa3a06ed778c&quot;,&quot;itemData&quot;:{&quot;type&quot;:&quot;article-journal&quot;,&quot;id&quot;:&quot;ecbd205e-a2c2-31c3-a133-fa3a06ed778c&quot;,&quot;title&quot;:&quot;Comparative sustainability study of energy storage technologies using data envelopment analysis&quot;,&quot;author&quot;:[{&quot;family&quot;:&quot;Rostami&quot;,&quot;given&quot;:&quot;Fatemeh&quot;,&quot;parse-names&quot;:false,&quot;dropping-particle&quot;:&quot;&quot;,&quot;non-dropping-particle&quot;:&quot;&quot;},{&quot;family&quot;:&quot;Kis&quot;,&quot;given&quot;:&quot;Zoltán&quot;,&quot;parse-names&quot;:false,&quot;dropping-particle&quot;:&quot;&quot;,&quot;non-dropping-particle&quot;:&quot;&quot;},{&quot;family&quot;:&quot;Koppelaar&quot;,&quot;given&quot;:&quot;Rembrandt&quot;,&quot;parse-names&quot;:false,&quot;dropping-particle&quot;:&quot;&quot;,&quot;non-dropping-particle&quot;:&quot;&quot;},{&quot;family&quot;:&quot;Jiménez&quot;,&quot;given&quot;:&quot;Laureano&quot;,&quot;parse-names&quot;:false,&quot;dropping-particle&quot;:&quot;&quot;,&quot;non-dropping-particle&quot;:&quot;&quot;},{&quot;family&quot;:&quot;Pozo&quot;,&quot;given&quot;:&quot;Carlos&quot;,&quot;parse-names&quot;:false,&quot;dropping-particle&quot;:&quot;&quot;,&quot;non-dropping-particle&quot;:&quot;&quot;}],&quot;container-title&quot;:&quot;Energy Storage Materials&quot;,&quot;container-title-short&quot;:&quot;Energy Storage Mater&quot;,&quot;accessed&quot;:{&quot;date-parts&quot;:[[2023,11,30]]},&quot;DOI&quot;:&quot;10.1016/J.ENSM.2022.03.026&quot;,&quot;ISSN&quot;:&quot;2405-8297&quot;,&quot;issued&quot;:{&quot;date-parts&quot;:[[2022,6,1]]},&quot;page&quot;:&quot;412-438&quot;,&quot;abstract&quot;:&quot;The transition to energy systems with a high share of renewable energy depends on the availability of technologies that can connect the physical distances or bridge the time differences between the energy supply and demand points. This study focuses on energy storage technologies due to their expected role in liberating the energy sector from fossil fuels and facilitating the penetration of intermittent renewable sources. The performance of 27 energy storage alternatives is compared considering sustainability aspects by means of data envelopment analysis. To this end, storage alternatives are first classified into two clusters: fast-response and long-term. The levelized cost of energy, energy and water consumption, global warming potential, and employment are common indicators considered for both clusters, while energy density is used only for fast-response technologies, where it plays a key role in technology selection. Flywheel reveals the highest efficiency between all the fast-response technologies, while green ammonia powered with solar energy ranks first for long-term energy storage. An uncertainty analysis is incorporated to discuss the reliability of the results. Overall, results obtained, and guidelines provided can be helpful for both decision-making and research and development purposes. For the former, we identify the most appealing energy storage options to be promoted, while for the latter, we report quantitative improvement targets that would make inefficient technologies competitive if attained. This contribution paves the way for more comprehensive studies in the context of energy storage by presenting a powerful framework for comparing options according to multiple sustainability indicators.&quot;,&quot;publisher&quot;:&quot;Elsevier&quot;,&quot;volume&quot;:&quot;48&quot;},&quot;isTemporary&quot;:false}]},{&quot;citationID&quot;:&quot;MENDELEY_CITATION_cf3eaf3e-0b42-475f-b274-c2cb3394eaed&quot;,&quot;properties&quot;:{&quot;noteIndex&quot;:0},&quot;isEdited&quot;:false,&quot;manualOverride&quot;:{&quot;isManuallyOverridden&quot;:false,&quot;citeprocText&quot;:&quot;(González-García et al., 2012)&quot;,&quot;manualOverrideText&quot;:&quot;&quot;},&quot;citationTag&quot;:&quot;MENDELEY_CITATION_v3_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&quot;,&quot;citationItems&quot;:[{&quot;id&quot;:&quot;b708b029-1704-30b0-869d-1506f2c9fec3&quot;,&quot;itemData&quot;:{&quot;type&quot;:&quot;article-journal&quot;,&quot;id&quot;:&quot;b708b029-1704-30b0-869d-1506f2c9fec3&quot;,&quot;title&quot;:&quot;Life cycle assessment of two alternative bioenergy systems involving Salix spp. biomass: Bioethanol production and power generation&quot;,&quot;author&quot;:[{&quot;family&quot;:&quot;González-García&quot;,&quot;given&quot;:&quot;Sara&quot;,&quot;parse-names&quot;:false,&quot;dropping-particle&quot;:&quot;&quot;,&quot;non-dropping-particle&quot;:&quot;&quot;},{&quot;family&quot;:&quot;Iribarren&quot;,&quot;given&quot;:&quot;Diego&quot;,&quot;parse-names&quot;:false,&quot;dropping-particle&quot;:&quot;&quot;,&quot;non-dropping-particle&quot;:&quot;&quot;},{&quot;family&quot;:&quot;Susmozas&quot;,&quot;given&quot;:&quot;Ana&quot;,&quot;parse-names&quot;:false,&quot;dropping-particle&quot;:&quot;&quot;,&quot;non-dropping-particle&quot;:&quot;&quot;},{&quot;family&quot;:&quot;Dufour&quot;,&quot;given&quot;:&quot;Javier&quot;,&quot;parse-names&quot;:false,&quot;dropping-particle&quot;:&quot;&quot;,&quot;non-dropping-particle&quot;:&quot;&quot;},{&quot;family&quot;:&quot;Murphy&quot;,&quot;given&quot;:&quot;Richard J.&quot;,&quot;parse-names&quot;:false,&quot;dropping-particle&quot;:&quot;&quot;,&quot;non-dropping-particle&quot;:&quot;&quot;}],&quot;container-title&quot;:&quot;Applied Energy&quot;,&quot;container-title-short&quot;:&quot;Appl Energy&quot;,&quot;accessed&quot;:{&quot;date-parts&quot;:[[2023,11,30]]},&quot;DOI&quot;:&quot;10.1016/J.APENERGY.2012.02.022&quot;,&quot;ISSN&quot;:&quot;0306-2619&quot;,&quot;issued&quot;:{&quot;date-parts&quot;:[[2012,7,1]]},&quot;page&quot;:&quot;111-122&quot;,&quot;abstract&quot;:&quot;Two energy production systems using short rotation coppice (SRC) willow chips were evaluated: bioethanol production via enzyme-catalyzed hydrolysis and electricity production following a biomass integrated gasification combined cycle scheme.The most relevant input and output flows of each renewable energy system were identified and quantified throughout the life cycle from the SRC willow plantation to the bioenergy plant gate. Both bioenergy systems were found to be feasible from an energy perspective. Moreover, they entailed environmental benefits when compared to conventional energy practices. However, improvements relating to not only willow biomass production but also bioenergy conversion-related activities should be considered. In this respect, the process steps that provided the highest environmental impacts have been highlighted.Furthermore, well-to-wheels environmental characterization results were estimated and compared for the bioethanol and bioelectricity scenarios. In this sense, the identification of the most appropriate processing route for willow chips was found to be highly dependent on the impact category under assessment. In particular, global warming and energy parameters led to opposite conclusions. While the bioethanol scenario arose as the potentially best choice from an energy perspective, the bioelectricity scenario seems to be a more suitable alternative when global warming is the decisive factor. © 2012 Elsevier Ltd.&quot;,&quot;publisher&quot;:&quot;Elsevier&quot;,&quot;volume&quot;:&quot;95&quot;},&quot;isTemporary&quot;:false}]},{&quot;citationID&quot;:&quot;MENDELEY_CITATION_1d3cf529-b1df-4ba3-a242-743cf79da787&quot;,&quot;properties&quot;:{&quot;noteIndex&quot;:0},&quot;isEdited&quot;:false,&quot;manualOverride&quot;:{&quot;isManuallyOverridden&quot;:false,&quot;citeprocText&quot;:&quot;(Pozo et al., 2020)&quot;,&quot;manualOverrideText&quot;:&quot;&quot;},&quot;citationTag&quot;:&quot;MENDELEY_CITATION_v3_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&quot;,&quot;citationItems&quot;:[{&quot;id&quot;:&quot;440f2e38-c1cf-3759-b1ab-740de27e8340&quot;,&quot;itemData&quot;:{&quot;type&quot;:&quot;article-journal&quot;,&quot;id&quot;:&quot;440f2e38-c1cf-3759-b1ab-740de27e8340&quot;,&quot;title&quot;:&quot;Reducing global environmental inequality: Determining regional quotas for environmental burdens through systems optimisation&quot;,&quot;author&quot;:[{&quot;family&quot;:&quot;Pozo&quot;,&quot;given&quot;:&quot;C.&quot;,&quot;parse-names&quot;:false,&quot;dropping-particle&quot;:&quot;&quot;,&quot;non-dropping-particle&quot;:&quot;&quot;},{&quot;family&quot;:&quot;Galán-Martín&quot;,&quot;given&quot;:&quot;A.&quot;,&quot;parse-names&quot;:false,&quot;dropping-particle&quot;:&quot;&quot;,&quot;non-dropping-particle&quot;:&quot;&quot;},{&quot;family&quot;:&quot;Cortés-Borda&quot;,&quot;given&quot;:&quot;D.&quot;,&quot;parse-names&quot;:false,&quot;dropping-particle&quot;:&quot;&quot;,&quot;non-dropping-particle&quot;:&quot;&quot;},{&quot;family&quot;:&quot;Sales-Pardo&quot;,&quot;given&quot;:&quot;M.&quot;,&quot;parse-names&quot;:false,&quot;dropping-particle&quot;:&quot;&quot;,&quot;non-dropping-particle&quot;:&quot;&quot;},{&quot;family&quot;:&quot;Azapagic&quot;,&quot;given&quot;:&quot;A.&quot;,&quot;parse-names&quot;:false,&quot;dropping-particle&quot;:&quot;&quot;,&quot;non-dropping-particle&quot;:&quot;&quot;},{&quot;family&quot;:&quot;Guimerà&quot;,&quot;given&quot;:&quot;R.&quot;,&quot;parse-names&quot;:false,&quot;dropping-particle&quot;:&quot;&quot;,&quot;non-dropping-particle&quot;:&quot;&quot;},{&quot;family&quot;:&quot;Guillén-Gosálbez&quot;,&quot;given&quot;:&quot;G.&quot;,&quot;parse-names&quot;:false,&quot;dropping-particle&quot;:&quot;&quot;,&quot;non-dropping-particle&quot;:&quot;&quot;}],&quot;container-title&quot;:&quot;Journal of Cleaner Production&quot;,&quot;container-title-short&quot;:&quot;J Clean Prod&quot;,&quot;accessed&quot;:{&quot;date-parts&quot;:[[2023,11,30]]},&quot;DOI&quot;:&quot;10.1016/J.JCLEPRO.2020.121828&quot;,&quot;ISSN&quot;:&quot;0959-6526&quot;,&quot;issued&quot;:{&quot;date-parts&quot;:[[2020,10,10]]},&quot;page&quot;:&quot;121828&quot;,&quot;abstract&quot;:&quot;Reducing inequality is essential for sustainable development, yet our understanding of its many dimensions and driving forces is still limited. Here we study the global distribution of 25 environmental burdens encompassing natural resources (water, materials and land use) and air emissions, all related to activities underpinning human welfare. We find large disparities in inequality levels across burdens and a general, yet slow, decline in inequality in the period 1995–2009, explained mostly by the faster economic growth of emerging economies. Acknowledging that allocation issues may hamper greater equality, we propose a framework for an optimal allocation of quotas for environmental burdens respecting a maximum allowable inequality limit while ensuring a safe operation within the Earth's ecological capacity. Our results shed light on the global distribution of environmental burdens and provide a roadmap for achieving a greater environmental equality using systems optimisation. It is hoped that this work will trigger further discussion on the need to address environmental inequality, currently missing in the Sustainable Development Goals, and open up new research avenues on the use of whole-systems approaches in solving global sustainability problems.&quot;,&quot;publisher&quot;:&quot;Elsevier&quot;,&quot;volume&quot;:&quot;270&quot;},&quot;isTemporary&quot;:false}]},{&quot;citationID&quot;:&quot;MENDELEY_CITATION_37e2ecea-d6b7-4256-ba90-bac874ea85ef&quot;,&quot;properties&quot;:{&quot;noteIndex&quot;:0},&quot;isEdited&quot;:false,&quot;manualOverride&quot;:{&quot;isManuallyOverridden&quot;:false,&quot;citeprocText&quot;:&quot;(Charnes et al., 1978)&quot;,&quot;manualOverrideText&quot;:&quot;&quot;},&quot;citationTag&quot;:&quot;MENDELEY_CITATION_v3_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&quot;,&quot;citationItems&quot;:[{&quot;id&quot;:&quot;86729f98-6671-377b-b12b-d07bd0c65b5c&quot;,&quot;itemData&quot;:{&quot;type&quot;:&quot;article-journal&quot;,&quot;id&quot;:&quot;86729f98-6671-377b-b12b-d07bd0c65b5c&quot;,&quot;title&quot;:&quot;Measuring the efficiency of decision making units&quot;,&quot;author&quot;:[{&quot;family&quot;:&quot;Charnes&quot;,&quot;given&quot;:&quot;A.&quot;,&quot;parse-names&quot;:false,&quot;dropping-particle&quot;:&quot;&quot;,&quot;non-dropping-particle&quot;:&quot;&quot;},{&quot;family&quot;:&quot;Cooper&quot;,&quot;given&quot;:&quot;W. W.&quot;,&quot;parse-names&quot;:false,&quot;dropping-particle&quot;:&quot;&quot;,&quot;non-dropping-particle&quot;:&quot;&quot;},{&quot;family&quot;:&quot;Rhodes&quot;,&quot;given&quot;:&quot;E.&quot;,&quot;parse-names&quot;:false,&quot;dropping-particle&quot;:&quot;&quot;,&quot;non-dropping-particle&quot;:&quot;&quot;}],&quot;container-title&quot;:&quot;European Journal of Operational Research&quot;,&quot;container-title-short&quot;:&quot;Eur J Oper Res&quot;,&quot;DOI&quot;:&quot;10.1016/0377-2217(78)90138-8&quot;,&quot;ISSN&quot;:&quot;03772217&quot;,&quot;issued&quot;:{&quot;date-parts&quot;:[[1978]]},&quot;page&quot;:&quot;429-444&quot;,&quot;abstract&quot;:&quot;A nonlinear (nonconvex) programming model provides a new definition of efficiency for use in evaluating activities of not-for-profit entities participating in public programs. A scalar measure of the efficiency of each participating unit is thereby provided, along with methods for objectively determining weights by reference to the observational data for the multiple outputs and multiple inputs that characterize such programs. Equivalences are established to ordinary linear programming models for effecting computations. The duals to these linear programming models provide a new way for estimating extremal relations from observational data. Connections between engineering and economic approaches to efficiency are delineated along with new interpretations and ways of using them in evaluating and controlling managerial behavior in public programs. © 1978.&quot;,&quot;issue&quot;:&quot;6&quot;,&quot;volume&quot;:&quot;2&quot;},&quot;isTemporary&quot;:false}]},{&quot;citationID&quot;:&quot;MENDELEY_CITATION_b7151d95-9a50-4681-ac06-1960828fb60b&quot;,&quot;properties&quot;:{&quot;noteIndex&quot;:0},&quot;isEdited&quot;:false,&quot;manualOverride&quot;:{&quot;isManuallyOverridden&quot;:false,&quot;citeprocText&quot;:&quot;(Tone, 2001)&quot;,&quot;manualOverrideText&quot;:&quot;&quot;},&quot;citationTag&quot;:&quot;MENDELEY_CITATION_v3_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&quot;,&quot;citationItems&quot;:[{&quot;id&quot;:&quot;955b3f8e-9655-371b-abfa-4cb7ad1d509f&quot;,&quot;itemData&quot;:{&quot;type&quot;:&quot;article-journal&quot;,&quot;id&quot;:&quot;955b3f8e-9655-371b-abfa-4cb7ad1d509f&quot;,&quot;title&quot;:&quot;Slacks-based measure of efficiency in data envelopment analysis&quot;,&quot;author&quot;:[{&quot;family&quot;:&quot;Tone&quot;,&quot;given&quot;:&quot;Kaoru&quot;,&quot;parse-names&quot;:false,&quot;dropping-particle&quot;:&quot;&quot;,&quot;non-dropping-particle&quot;:&quot;&quot;}],&quot;container-title&quot;:&quot;European Journal of Operational Research&quot;,&quot;container-title-short&quot;:&quot;Eur J Oper Res&quot;,&quot;accessed&quot;:{&quot;date-parts&quot;:[[2021,1,21]]},&quot;DOI&quot;:&quot;10.1016/S0377-2217(99)00407-5&quot;,&quot;ISSN&quot;:&quot;03772217&quot;,&quot;issued&quot;:{&quot;date-parts&quot;:[[2001,5,1]]},&quot;page&quot;:&quot;498-509&quot;,&quot;abstract&quot;:&quot;In this paper, we will propose a slacks-based measure (SBM) of efficiency in Data Envelopment Analysis (DEA). This scalar measure deals directly with the input excesses and the output shortfalls of the decision making unit (DMU) concerned. It is units invariant and monotone decreasing with respect to input excess and output shortfall. Furthermore, this measure is determined only by consulting the reference-set of the DMU and is not affected by statistics over the whole data set. The new measure has a close connection with other measures proposed so far, e.g., Charnes-Cooper-Rhodes (CCR), Banker-Charnes-Cooper (BCC) and the Russell measure of efficiency. The dual side of this model can be interpreted as profit maximization, in contrast to the ratio maximization of the CCR model. Numerical experiments show its validity as an efficiency measurement tool and its compatibility with other measures of efficiency.&quot;,&quot;publisher&quot;:&quot;North-Holland&quot;,&quot;issue&quot;:&quot;3&quot;,&quot;volume&quot;:&quot;130&quot;},&quot;isTemporary&quot;:false}]},{&quot;citationID&quot;:&quot;MENDELEY_CITATION_571d4a64-f91a-4239-9c26-3daf9a719b13&quot;,&quot;properties&quot;:{&quot;noteIndex&quot;:0},&quot;isEdited&quot;:false,&quot;manualOverride&quot;:{&quot;isManuallyOverridden&quot;:false,&quot;citeprocText&quot;:&quot;(Tone, 2002)&quot;,&quot;manualOverrideText&quot;:&quot;&quot;},&quot;citationTag&quot;:&quot;MENDELEY_CITATION_v3_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&quot;,&quot;citationItems&quot;:[{&quot;id&quot;:&quot;2ac2e479-8f5b-3ca3-add2-3baed436df47&quot;,&quot;itemData&quot;:{&quot;type&quot;:&quot;article-journal&quot;,&quot;id&quot;:&quot;2ac2e479-8f5b-3ca3-add2-3baed436df47&quot;,&quot;title&quot;:&quot;A slacks-based measure of super-efficiency in data envelopment analysis&quot;,&quot;author&quot;:[{&quot;family&quot;:&quot;Tone&quot;,&quot;given&quot;:&quot;Kaoru&quot;,&quot;parse-names&quot;:false,&quot;dropping-particle&quot;:&quot;&quot;,&quot;non-dropping-particle&quot;:&quot;&quot;}],&quot;container-title&quot;:&quot;European Journal of Operational Research&quot;,&quot;container-title-short&quot;:&quot;Eur J Oper Res&quot;,&quot;DOI&quot;:&quot;10.1016/S0377-2217(01)00324-1&quot;,&quot;ISBN&quot;:&quot;8133341043&quot;,&quot;ISSN&quot;:&quot;03772217&quot;,&quot;issued&quot;:{&quot;date-parts&quot;:[[2002]]},&quot;page&quot;:&quot;32-41&quot;,&quot;abstract&quot;:&quot;In most models of Data Envelopment Analysis (DEA), the best performers have the full efficient status denoted by unity (or 100%), and, from experience, we know that usually plural Decision Making Units (DMUs) have this \&quot;efficient status\&quot;. To discriminate between these efficient DMUs is an interesting subject. This paper addresses this \&quot;super-efficiency\&quot; issue by using the slacks-based measure (SBM) of efficiency, which the author proposed in his previous paper [European Journal of Operational Research 130 (2001) 498]. The method differs from the traditional one based on the radial measure, e.g. Andersen and Petersen model, in that the former deals directly with slacks in inputs/outputs, while the latter does not take account of the existence of slacks. We will demonstrate the rationality of our approach by comparing it with the radial measure of super-efficiency. The proposed method will be particularly useful when the number of DMUs are small compared with the number of criteria employed for evaluation. © 2002 Elsevier Science B.V. All rights reserved.&quot;,&quot;issue&quot;:&quot;1&quot;,&quot;volume&quot;:&quot;143&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71</TotalTime>
  <Pages>6</Pages>
  <Words>2225</Words>
  <Characters>13490</Characters>
  <Application>Microsoft Office Word</Application>
  <DocSecurity>0</DocSecurity>
  <Lines>232</Lines>
  <Paragraphs>71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Richard Emmanuel Cabrera Jimenez</cp:lastModifiedBy>
  <cp:revision>6</cp:revision>
  <cp:lastPrinted>2004-12-17T09:20:00Z</cp:lastPrinted>
  <dcterms:created xsi:type="dcterms:W3CDTF">2023-11-30T14:37:00Z</dcterms:created>
  <dcterms:modified xsi:type="dcterms:W3CDTF">2023-11-30T17:44:00Z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