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77278F9" w:rsidR="00DD3D9E" w:rsidRPr="00B4388F" w:rsidRDefault="00AB4562">
      <w:pPr>
        <w:pStyle w:val="Els-Title"/>
        <w:rPr>
          <w:color w:val="000000" w:themeColor="text1"/>
        </w:rPr>
      </w:pPr>
      <w:r>
        <w:rPr>
          <w:color w:val="000000" w:themeColor="text1"/>
        </w:rPr>
        <w:t>A comprehensive gray-box framework for high-fidelity process simulation calibration</w:t>
      </w:r>
    </w:p>
    <w:p w14:paraId="144DE680" w14:textId="66E9E0E8" w:rsidR="00DD3D9E" w:rsidRPr="003744F9" w:rsidRDefault="00AB4562">
      <w:pPr>
        <w:pStyle w:val="Els-Author"/>
        <w:rPr>
          <w:lang w:val="pt-BR"/>
        </w:rPr>
      </w:pPr>
      <w:r w:rsidRPr="003744F9">
        <w:rPr>
          <w:lang w:val="pt-BR"/>
        </w:rPr>
        <w:t>Jaime David Ponce-Rocha</w:t>
      </w:r>
      <w:r w:rsidRPr="003744F9">
        <w:rPr>
          <w:vertAlign w:val="superscript"/>
          <w:lang w:val="pt-BR"/>
        </w:rPr>
        <w:t>a*</w:t>
      </w:r>
      <w:r w:rsidRPr="003744F9">
        <w:rPr>
          <w:lang w:val="pt-BR"/>
        </w:rPr>
        <w:t xml:space="preserve"> , David Camilo Corrales</w:t>
      </w:r>
      <w:r w:rsidRPr="003744F9">
        <w:rPr>
          <w:vertAlign w:val="superscript"/>
          <w:lang w:val="pt-BR"/>
        </w:rPr>
        <w:t>b</w:t>
      </w:r>
      <w:r w:rsidRPr="003744F9">
        <w:rPr>
          <w:lang w:val="pt-BR"/>
        </w:rPr>
        <w:t xml:space="preserve"> </w:t>
      </w:r>
    </w:p>
    <w:p w14:paraId="42012121" w14:textId="77777777" w:rsidR="00AB4562" w:rsidRPr="003744F9" w:rsidRDefault="00AB4562" w:rsidP="00AB4562">
      <w:pPr>
        <w:pStyle w:val="Els-Affiliation"/>
        <w:rPr>
          <w:lang w:val="es-MX"/>
        </w:rPr>
      </w:pPr>
      <w:r w:rsidRPr="001F6B92">
        <w:rPr>
          <w:vertAlign w:val="superscript"/>
          <w:lang w:val="es-MX"/>
        </w:rPr>
        <w:t>a</w:t>
      </w:r>
      <w:r w:rsidRPr="003744F9">
        <w:rPr>
          <w:lang w:val="es-MX"/>
        </w:rPr>
        <w:t>Dirección de Ingeniería y Construcción de Plantas, CIATEQ A.C. Centro de Tecnología Avanzada, Av. del Retablo 150, Constituyentes Fovissste, Queretaro, Querétaro, 76150, México.</w:t>
      </w:r>
    </w:p>
    <w:p w14:paraId="4060B678" w14:textId="6CDDFCAC" w:rsidR="00AB4562" w:rsidRPr="00AB4562" w:rsidRDefault="00AB4562" w:rsidP="00AB4562">
      <w:pPr>
        <w:pStyle w:val="Els-Affiliation"/>
      </w:pPr>
      <w:r w:rsidRPr="001F6B92">
        <w:rPr>
          <w:vertAlign w:val="superscript"/>
        </w:rPr>
        <w:t>b</w:t>
      </w:r>
      <w:r w:rsidRPr="00AB4562">
        <w:t>Toulouse White Biotechnology (TWB), INRAE, UMS (1337), 135 Avenue de Rangueil,</w:t>
      </w:r>
      <w:r w:rsidR="008E3D9A" w:rsidRPr="008E3D9A">
        <w:t xml:space="preserve"> </w:t>
      </w:r>
      <w:r w:rsidR="008E3D9A" w:rsidRPr="00AB4562">
        <w:t>Toulouse</w:t>
      </w:r>
      <w:r w:rsidR="008E3D9A">
        <w:t>,</w:t>
      </w:r>
      <w:r w:rsidRPr="00AB4562">
        <w:t xml:space="preserve"> 31077, France. </w:t>
      </w:r>
    </w:p>
    <w:p w14:paraId="5944FE5F" w14:textId="45066332" w:rsidR="00AB4562" w:rsidRPr="00AB4562" w:rsidRDefault="00000000" w:rsidP="00AB4562">
      <w:pPr>
        <w:pStyle w:val="Els-Affiliation"/>
      </w:pPr>
      <w:hyperlink r:id="rId8">
        <w:r w:rsidR="00AB4562">
          <w:t>jaime.ponce@ciateq.mx</w:t>
        </w:r>
      </w:hyperlink>
      <w:r w:rsidR="00635A34">
        <w:t xml:space="preserve"> </w:t>
      </w:r>
      <w:r w:rsidR="00AB4562">
        <w:t xml:space="preserve"> </w:t>
      </w:r>
    </w:p>
    <w:p w14:paraId="144DE684" w14:textId="77777777" w:rsidR="008D2649" w:rsidRDefault="008D2649" w:rsidP="008D2649">
      <w:pPr>
        <w:pStyle w:val="Els-Abstract"/>
      </w:pPr>
      <w:r>
        <w:t>Abstract</w:t>
      </w:r>
    </w:p>
    <w:p w14:paraId="72F3AC47" w14:textId="52B1E62C" w:rsidR="0038451C" w:rsidRDefault="00BB6B82" w:rsidP="00BB6B82">
      <w:pPr>
        <w:pStyle w:val="Els-body-text"/>
        <w:spacing w:after="120"/>
        <w:rPr>
          <w:rFonts w:cs="Calibri"/>
          <w:lang w:eastAsia="fr-FR"/>
        </w:rPr>
      </w:pPr>
      <w:r w:rsidRPr="00BB6B82">
        <w:rPr>
          <w:lang w:val="en-GB"/>
        </w:rPr>
        <w:t xml:space="preserve">The hybrid models (gray-box models) architecture allows for obtaining a simple and robust tool for chemical process description, where a process simulator represents the white-box model, and an artificial neural network (ANN) involves the black-box model. This study </w:t>
      </w:r>
      <w:r w:rsidR="00C2126F" w:rsidRPr="00BB6B82">
        <w:rPr>
          <w:lang w:val="en-GB"/>
        </w:rPr>
        <w:t>in</w:t>
      </w:r>
      <w:r w:rsidR="00C2126F">
        <w:rPr>
          <w:lang w:val="en-GB"/>
        </w:rPr>
        <w:t>corporates</w:t>
      </w:r>
      <w:r w:rsidRPr="00BB6B82">
        <w:rPr>
          <w:lang w:val="en-GB"/>
        </w:rPr>
        <w:t xml:space="preserve"> a case study of calibrating a simulation model based on conventional distillation using a hybrid model that </w:t>
      </w:r>
      <w:r w:rsidR="00C2126F">
        <w:rPr>
          <w:lang w:val="en-GB"/>
        </w:rPr>
        <w:t>associates</w:t>
      </w:r>
      <w:r w:rsidRPr="00BB6B82">
        <w:rPr>
          <w:lang w:val="en-GB"/>
        </w:rPr>
        <w:t xml:space="preserve"> operational data from a chemical plant </w:t>
      </w:r>
      <w:r w:rsidR="00C2444F">
        <w:rPr>
          <w:lang w:val="en-GB"/>
        </w:rPr>
        <w:t>with</w:t>
      </w:r>
      <w:r w:rsidRPr="00BB6B82">
        <w:rPr>
          <w:lang w:val="en-GB"/>
        </w:rPr>
        <w:t xml:space="preserve"> the results of a process simulator, </w:t>
      </w:r>
      <w:r w:rsidR="00C2444F">
        <w:rPr>
          <w:lang w:val="en-GB"/>
        </w:rPr>
        <w:t xml:space="preserve">and </w:t>
      </w:r>
      <w:r w:rsidRPr="00BB6B82">
        <w:rPr>
          <w:lang w:val="en-GB"/>
        </w:rPr>
        <w:t>six operative scenarios were evaluated for the framework validation. The arrangement of the gray-box model involves a white</w:t>
      </w:r>
      <w:r w:rsidR="00C2444F">
        <w:rPr>
          <w:lang w:val="en-GB"/>
        </w:rPr>
        <w:t>-</w:t>
      </w:r>
      <w:r w:rsidRPr="00BB6B82">
        <w:rPr>
          <w:lang w:val="en-GB"/>
        </w:rPr>
        <w:t>box with a black-box model parallel sequence, and later, the results validation was performed in the white</w:t>
      </w:r>
      <w:r w:rsidR="00357BB9">
        <w:rPr>
          <w:lang w:val="en-GB"/>
        </w:rPr>
        <w:t>-</w:t>
      </w:r>
      <w:r w:rsidRPr="00BB6B82">
        <w:rPr>
          <w:lang w:val="en-GB"/>
        </w:rPr>
        <w:t>box</w:t>
      </w:r>
      <w:r w:rsidR="00C2444F">
        <w:rPr>
          <w:lang w:val="en-GB"/>
        </w:rPr>
        <w:t xml:space="preserve"> model</w:t>
      </w:r>
      <w:r w:rsidRPr="00BB6B82">
        <w:rPr>
          <w:lang w:val="en-GB"/>
        </w:rPr>
        <w:t xml:space="preserve">. The results showed that a hybrid model allowed obtaining a simulation with a better approximation to the </w:t>
      </w:r>
      <w:r w:rsidR="009E2C89" w:rsidRPr="00BB6B82">
        <w:rPr>
          <w:lang w:val="en-GB"/>
        </w:rPr>
        <w:t>behaviours</w:t>
      </w:r>
      <w:r w:rsidRPr="00BB6B82">
        <w:rPr>
          <w:lang w:val="en-GB"/>
        </w:rPr>
        <w:t xml:space="preserve"> of the system compared to conventional thermodynamic models, as well as identifying the optimal range of feed flow (425,994.98-475,938.10 kg/h) and the approximated </w:t>
      </w:r>
      <w:r w:rsidR="00007A17">
        <w:rPr>
          <w:lang w:val="en-GB"/>
        </w:rPr>
        <w:t xml:space="preserve">optimal </w:t>
      </w:r>
      <w:r w:rsidRPr="00BB6B82">
        <w:rPr>
          <w:lang w:val="en-GB"/>
        </w:rPr>
        <w:t>flow design (469,738.80 kg/h).</w:t>
      </w:r>
      <w:r w:rsidR="0038451C">
        <w:rPr>
          <w:rFonts w:cs="Calibri"/>
          <w:lang w:eastAsia="fr-FR"/>
        </w:rPr>
        <w:t xml:space="preserve"> </w:t>
      </w:r>
    </w:p>
    <w:p w14:paraId="144DE687" w14:textId="1F7710F4" w:rsidR="008D2649" w:rsidRDefault="008D2649" w:rsidP="008D2649">
      <w:pPr>
        <w:pStyle w:val="Els-body-text"/>
        <w:spacing w:after="120"/>
        <w:rPr>
          <w:lang w:val="en-GB"/>
        </w:rPr>
      </w:pPr>
      <w:r>
        <w:rPr>
          <w:b/>
          <w:bCs/>
          <w:lang w:val="en-GB"/>
        </w:rPr>
        <w:t>Keywords</w:t>
      </w:r>
      <w:r>
        <w:rPr>
          <w:lang w:val="en-GB"/>
        </w:rPr>
        <w:t xml:space="preserve">: </w:t>
      </w:r>
      <w:r w:rsidR="00DD35F4">
        <w:rPr>
          <w:lang w:val="en-GB"/>
        </w:rPr>
        <w:t>Hybrid</w:t>
      </w:r>
      <w:r w:rsidR="00AB4562">
        <w:rPr>
          <w:lang w:val="en-GB"/>
        </w:rPr>
        <w:t xml:space="preserve"> </w:t>
      </w:r>
      <w:r w:rsidR="00633E63">
        <w:rPr>
          <w:lang w:val="en-GB"/>
        </w:rPr>
        <w:t>models, data</w:t>
      </w:r>
      <w:r w:rsidR="00AB4562">
        <w:rPr>
          <w:lang w:val="en-GB"/>
        </w:rPr>
        <w:t>-driven models, distillation column</w:t>
      </w:r>
      <w:r w:rsidR="005D34AD">
        <w:rPr>
          <w:lang w:val="en-GB"/>
        </w:rPr>
        <w:t>,</w:t>
      </w:r>
      <w:r w:rsidR="00262881">
        <w:rPr>
          <w:lang w:val="en-GB"/>
        </w:rPr>
        <w:t xml:space="preserve"> artificial neural networks.</w:t>
      </w:r>
    </w:p>
    <w:p w14:paraId="144DE689" w14:textId="2AC8A243" w:rsidR="008D2649" w:rsidRDefault="00AB4562" w:rsidP="008D2649">
      <w:pPr>
        <w:pStyle w:val="Els-1storder-head"/>
      </w:pPr>
      <w:r>
        <w:t xml:space="preserve">Introduction </w:t>
      </w:r>
    </w:p>
    <w:p w14:paraId="1E4D7E85" w14:textId="70C04968" w:rsidR="00AB4562" w:rsidRPr="00AB4562" w:rsidRDefault="00AB4562" w:rsidP="00AB4562">
      <w:pPr>
        <w:spacing w:before="240" w:after="240"/>
        <w:jc w:val="both"/>
        <w:rPr>
          <w:lang w:val="en-US"/>
        </w:rPr>
      </w:pPr>
      <w:r w:rsidRPr="00AB4562">
        <w:rPr>
          <w:lang w:val="en-US"/>
        </w:rPr>
        <w:t xml:space="preserve">A chemical process description can be achieved through three </w:t>
      </w:r>
      <w:r w:rsidR="009933C2">
        <w:rPr>
          <w:lang w:val="en-US"/>
        </w:rPr>
        <w:t>ways</w:t>
      </w:r>
      <w:r w:rsidRPr="00AB4562">
        <w:rPr>
          <w:lang w:val="en-US"/>
        </w:rPr>
        <w:t>: a) First-Principia models (White-box models), b) Data-driven models (Black-box models), and c) Hybrid approach model (Gray-box models), which combine the advantages of the a) and b) models into a joint architecture, obtaining a simple and robust model capable of harnessing the advantages of both models</w:t>
      </w:r>
      <w:r w:rsidR="009B5349">
        <w:rPr>
          <w:lang w:val="en-US"/>
        </w:rPr>
        <w:t xml:space="preserve"> (Kurz et al., 2022)</w:t>
      </w:r>
      <w:r w:rsidRPr="00AB4562">
        <w:rPr>
          <w:lang w:val="en-US"/>
        </w:rPr>
        <w:t>.</w:t>
      </w:r>
    </w:p>
    <w:p w14:paraId="1DFB7D86" w14:textId="7F827611" w:rsidR="00AB4562" w:rsidRPr="00AB4562" w:rsidRDefault="00AB4562" w:rsidP="00AB4562">
      <w:pPr>
        <w:spacing w:before="240" w:after="240"/>
        <w:jc w:val="both"/>
        <w:rPr>
          <w:lang w:val="en-US"/>
        </w:rPr>
      </w:pPr>
      <w:r w:rsidRPr="00AB4562">
        <w:rPr>
          <w:lang w:val="en-US"/>
        </w:rPr>
        <w:t>Process simulators as computer-aided tools allow the conceptualization, evaluation, and optimization of any chemical process through a priori knowledge (First-Principia models: Material/Energy balances, thermodynamics, transport laws, kinetic laws, etcetera). Nevertheless, the integration of operational data with a process simulator represents added value for any company because it enables continuous improvement of the simulation model, process understanding, identification of relevant factors, relationships between operational variables, and ensuring an economically competitive operation</w:t>
      </w:r>
      <w:r w:rsidR="008F493D">
        <w:rPr>
          <w:lang w:val="en-US"/>
        </w:rPr>
        <w:t xml:space="preserve"> </w:t>
      </w:r>
      <w:r w:rsidR="009B5349">
        <w:rPr>
          <w:lang w:val="en-US"/>
        </w:rPr>
        <w:t>(Asprion et al., 2019; Foo &amp; Elyas, 2023).</w:t>
      </w:r>
      <w:r w:rsidRPr="00AB4562">
        <w:rPr>
          <w:lang w:val="en-US"/>
        </w:rPr>
        <w:t xml:space="preserve"> </w:t>
      </w:r>
    </w:p>
    <w:p w14:paraId="540B42EA" w14:textId="3266FD1F" w:rsidR="00AB4562" w:rsidRPr="00AB4562" w:rsidRDefault="00AB4562" w:rsidP="00AB4562">
      <w:pPr>
        <w:spacing w:before="240" w:after="240"/>
        <w:jc w:val="both"/>
        <w:rPr>
          <w:lang w:val="en-US"/>
        </w:rPr>
      </w:pPr>
      <w:r w:rsidRPr="00AB4562">
        <w:rPr>
          <w:lang w:val="en-US"/>
        </w:rPr>
        <w:lastRenderedPageBreak/>
        <w:t>On the other hand, the use of machine learning has become a powerful tool with applications in industrial scenarios, where  the data-driven models based on technologies such as artificial neural networks (ANN) have been consolidated as appropriate tools, th</w:t>
      </w:r>
      <w:r w:rsidR="00B569C5">
        <w:rPr>
          <w:lang w:val="en-US"/>
        </w:rPr>
        <w:t>u</w:t>
      </w:r>
      <w:r w:rsidRPr="00AB4562">
        <w:rPr>
          <w:lang w:val="en-US"/>
        </w:rPr>
        <w:t xml:space="preserve">s allowing </w:t>
      </w:r>
      <w:r w:rsidR="00E0207E">
        <w:rPr>
          <w:lang w:val="en-US"/>
        </w:rPr>
        <w:t>for</w:t>
      </w:r>
      <w:r w:rsidRPr="00AB4562">
        <w:rPr>
          <w:lang w:val="en-US"/>
        </w:rPr>
        <w:t xml:space="preserve"> carry out the calibration and optimization of process </w:t>
      </w:r>
      <w:r w:rsidR="00076913" w:rsidRPr="00AB4562">
        <w:rPr>
          <w:lang w:val="en-US"/>
        </w:rPr>
        <w:t>system</w:t>
      </w:r>
      <w:r w:rsidR="00076913">
        <w:rPr>
          <w:lang w:val="en-US"/>
        </w:rPr>
        <w:t>s</w:t>
      </w:r>
      <w:r w:rsidRPr="00AB4562">
        <w:rPr>
          <w:lang w:val="en-US"/>
        </w:rPr>
        <w:t xml:space="preserve"> mentioned above, handling the nonlinearity of process with multivariable inputs and outputs, and often having better results than more sophisticated </w:t>
      </w:r>
      <w:r w:rsidR="00B569C5" w:rsidRPr="00AB4562">
        <w:rPr>
          <w:lang w:val="en-US"/>
        </w:rPr>
        <w:t>stati</w:t>
      </w:r>
      <w:r w:rsidR="00B569C5">
        <w:rPr>
          <w:lang w:val="en-US"/>
        </w:rPr>
        <w:t>stical</w:t>
      </w:r>
      <w:r w:rsidRPr="00AB4562">
        <w:rPr>
          <w:lang w:val="en-US"/>
        </w:rPr>
        <w:t xml:space="preserve"> techniques</w:t>
      </w:r>
      <w:r w:rsidR="009B5349">
        <w:rPr>
          <w:lang w:val="en-US"/>
        </w:rPr>
        <w:t xml:space="preserve"> (Su et al., 1992)</w:t>
      </w:r>
      <w:r w:rsidR="009B5349">
        <w:rPr>
          <w:color w:val="000000"/>
          <w:lang w:val="en-US"/>
        </w:rPr>
        <w:t>.</w:t>
      </w:r>
      <w:r w:rsidRPr="00AB4562">
        <w:rPr>
          <w:lang w:val="en-US"/>
        </w:rPr>
        <w:t xml:space="preserve"> </w:t>
      </w:r>
    </w:p>
    <w:p w14:paraId="4F12DE8D" w14:textId="376D059B" w:rsidR="00AB4562" w:rsidRPr="00AB4562" w:rsidRDefault="00AB4562" w:rsidP="00AB4562">
      <w:pPr>
        <w:spacing w:before="240" w:after="240"/>
        <w:jc w:val="both"/>
        <w:rPr>
          <w:lang w:val="en-US"/>
        </w:rPr>
      </w:pPr>
      <w:r w:rsidRPr="00AB4562">
        <w:rPr>
          <w:lang w:val="en-US"/>
        </w:rPr>
        <w:t>A grey-box model can be represented by different configurations between the black-box and white-box models (serial or parallel arrangements). However, when input and output operational data and the simulation model are available, an integrated model based on a semi-serial arrangement (</w:t>
      </w:r>
      <w:r w:rsidR="007262ED">
        <w:rPr>
          <w:lang w:val="en-US"/>
        </w:rPr>
        <w:t>illustrated in section 3</w:t>
      </w:r>
      <w:r w:rsidRPr="00AB4562">
        <w:rPr>
          <w:lang w:val="en-US"/>
        </w:rPr>
        <w:t>) represents a suitable integrated model, where a first preprocessing of the data inputs is done in</w:t>
      </w:r>
      <w:r w:rsidR="00E0207E">
        <w:rPr>
          <w:lang w:val="en-US"/>
        </w:rPr>
        <w:t xml:space="preserve"> a </w:t>
      </w:r>
      <w:r w:rsidRPr="00AB4562">
        <w:rPr>
          <w:lang w:val="en-US"/>
        </w:rPr>
        <w:t xml:space="preserve">white-box and black box parallel sequence, and later the outputs are taken like a new fed </w:t>
      </w:r>
      <w:r w:rsidR="00C2444F">
        <w:rPr>
          <w:lang w:val="en-US"/>
        </w:rPr>
        <w:t>in</w:t>
      </w:r>
      <w:r w:rsidRPr="00AB4562">
        <w:rPr>
          <w:lang w:val="en-US"/>
        </w:rPr>
        <w:t xml:space="preserve"> the white box model for the final validation</w:t>
      </w:r>
      <w:r w:rsidR="00251A31">
        <w:rPr>
          <w:lang w:val="en-US"/>
        </w:rPr>
        <w:t xml:space="preserve"> </w:t>
      </w:r>
      <w:r w:rsidR="009B5349">
        <w:rPr>
          <w:lang w:val="en-US"/>
        </w:rPr>
        <w:t>(Zapf &amp; Wallek, 2021)</w:t>
      </w:r>
      <w:r w:rsidRPr="00AB4562">
        <w:rPr>
          <w:lang w:val="en-US"/>
        </w:rPr>
        <w:t xml:space="preserve">. </w:t>
      </w:r>
      <w:r w:rsidR="00B569C5">
        <w:rPr>
          <w:lang w:val="en-US"/>
        </w:rPr>
        <w:t xml:space="preserve">These model arrangements offer </w:t>
      </w:r>
      <w:r w:rsidR="00E0207E">
        <w:rPr>
          <w:lang w:val="en-US"/>
        </w:rPr>
        <w:t>advantages</w:t>
      </w:r>
      <w:r w:rsidR="00B569C5">
        <w:rPr>
          <w:lang w:val="en-US"/>
        </w:rPr>
        <w:t xml:space="preserve"> associated with lower computational expenses </w:t>
      </w:r>
      <w:r w:rsidRPr="00AB4562">
        <w:rPr>
          <w:lang w:val="en-US"/>
        </w:rPr>
        <w:t>because th</w:t>
      </w:r>
      <w:r w:rsidR="00AD066B">
        <w:rPr>
          <w:lang w:val="en-US"/>
        </w:rPr>
        <w:t>ey</w:t>
      </w:r>
      <w:r w:rsidRPr="00AB4562">
        <w:rPr>
          <w:lang w:val="en-US"/>
        </w:rPr>
        <w:t xml:space="preserve"> can substitute unknown components of a pure white-box model </w:t>
      </w:r>
      <w:r w:rsidR="00AD066B">
        <w:rPr>
          <w:lang w:val="en-US"/>
        </w:rPr>
        <w:t>like</w:t>
      </w:r>
      <w:r w:rsidRPr="00AB4562">
        <w:rPr>
          <w:lang w:val="en-US"/>
        </w:rPr>
        <w:t xml:space="preserve"> finding non-available parameters, fitting numerical deviations of models, or finding a fast model for process optimization.  Thus, this work aims to develop a comprehensive framework for gr</w:t>
      </w:r>
      <w:r w:rsidR="00C2444F">
        <w:rPr>
          <w:lang w:val="en-US"/>
        </w:rPr>
        <w:t>a</w:t>
      </w:r>
      <w:r w:rsidRPr="00AB4562">
        <w:rPr>
          <w:lang w:val="en-US"/>
        </w:rPr>
        <w:t>y-box models with high-fidelity results, using computer-aided tools like a process simulator</w:t>
      </w:r>
      <w:r w:rsidR="00E0207E">
        <w:rPr>
          <w:lang w:val="en-US"/>
        </w:rPr>
        <w:t>,</w:t>
      </w:r>
      <w:r w:rsidRPr="00AB4562">
        <w:rPr>
          <w:lang w:val="en-US"/>
        </w:rPr>
        <w:t xml:space="preserve"> and data-driven models</w:t>
      </w:r>
      <w:r w:rsidR="00891702">
        <w:rPr>
          <w:lang w:val="en-US"/>
        </w:rPr>
        <w:t>, as well as</w:t>
      </w:r>
      <w:r w:rsidRPr="00AB4562">
        <w:rPr>
          <w:lang w:val="en-US"/>
        </w:rPr>
        <w:t xml:space="preserve"> to identify the best operational </w:t>
      </w:r>
      <w:r w:rsidR="00324BE1">
        <w:rPr>
          <w:lang w:val="en-US"/>
        </w:rPr>
        <w:t>point</w:t>
      </w:r>
      <w:r w:rsidRPr="00AB4562">
        <w:rPr>
          <w:lang w:val="en-US"/>
        </w:rPr>
        <w:t xml:space="preserve"> based on the </w:t>
      </w:r>
      <w:r w:rsidR="00891702">
        <w:rPr>
          <w:lang w:val="en-US"/>
        </w:rPr>
        <w:t xml:space="preserve">relevant variables </w:t>
      </w:r>
      <w:r w:rsidRPr="00AB4562">
        <w:rPr>
          <w:lang w:val="en-US"/>
        </w:rPr>
        <w:t>of</w:t>
      </w:r>
      <w:r w:rsidR="00891702">
        <w:rPr>
          <w:lang w:val="en-US"/>
        </w:rPr>
        <w:t xml:space="preserve"> the process</w:t>
      </w:r>
      <w:r w:rsidRPr="00AB4562">
        <w:rPr>
          <w:lang w:val="en-US"/>
        </w:rPr>
        <w:t xml:space="preserve">. </w:t>
      </w:r>
    </w:p>
    <w:p w14:paraId="144DE699" w14:textId="4671431B" w:rsidR="008D2649" w:rsidRDefault="00AB4562" w:rsidP="008D2649">
      <w:pPr>
        <w:pStyle w:val="Els-1storder-head"/>
      </w:pPr>
      <w:r>
        <w:t xml:space="preserve">Case study </w:t>
      </w:r>
    </w:p>
    <w:p w14:paraId="1CC0A068" w14:textId="4739F199" w:rsidR="00923AB2" w:rsidRDefault="00923AB2" w:rsidP="00923AB2">
      <w:pPr>
        <w:spacing w:before="100" w:beforeAutospacing="1" w:after="100" w:afterAutospacing="1"/>
        <w:jc w:val="both"/>
        <w:rPr>
          <w:lang w:val="en-US"/>
        </w:rPr>
      </w:pPr>
      <w:r w:rsidRPr="00923AB2">
        <w:rPr>
          <w:lang w:val="en-US"/>
        </w:rPr>
        <w:t>This work involves a case study of calibrating a simulation model based on conventional distillation using a grey-box model that incorporates operational data from a chemical plant and the results of a process simulator</w:t>
      </w:r>
      <w:r w:rsidR="00E90592">
        <w:rPr>
          <w:lang w:val="en-US"/>
        </w:rPr>
        <w:t xml:space="preserve">. The study </w:t>
      </w:r>
      <w:r w:rsidRPr="00923AB2">
        <w:rPr>
          <w:lang w:val="en-US"/>
        </w:rPr>
        <w:t xml:space="preserve">evaluates six different operating conditions for framework validation. The calibration framework </w:t>
      </w:r>
      <w:r w:rsidR="00E90592">
        <w:rPr>
          <w:lang w:val="en-US"/>
        </w:rPr>
        <w:t>focuses on improving the prediction o</w:t>
      </w:r>
      <w:r w:rsidRPr="00923AB2">
        <w:rPr>
          <w:lang w:val="en-US"/>
        </w:rPr>
        <w:t xml:space="preserve">f liquid-vapor equilibrium </w:t>
      </w:r>
      <w:r w:rsidR="009F6E28">
        <w:rPr>
          <w:lang w:val="en-US"/>
        </w:rPr>
        <w:t>using the Soave Redlich Kwong (</w:t>
      </w:r>
      <w:r w:rsidR="00AE3ECB">
        <w:rPr>
          <w:lang w:val="en-US"/>
        </w:rPr>
        <w:t>SRK) equation</w:t>
      </w:r>
      <w:r w:rsidR="009F6E28">
        <w:rPr>
          <w:lang w:val="en-US"/>
        </w:rPr>
        <w:t xml:space="preserve"> of state</w:t>
      </w:r>
      <w:r w:rsidRPr="00923AB2">
        <w:rPr>
          <w:lang w:val="en-US"/>
        </w:rPr>
        <w:t>. Figure 1 show</w:t>
      </w:r>
      <w:r w:rsidR="00843908">
        <w:rPr>
          <w:lang w:val="en-US"/>
        </w:rPr>
        <w:t>s</w:t>
      </w:r>
      <w:r w:rsidRPr="00923AB2">
        <w:rPr>
          <w:lang w:val="en-US"/>
        </w:rPr>
        <w:t xml:space="preserve"> the distillation column diagram</w:t>
      </w:r>
      <w:r w:rsidR="005D1F39">
        <w:rPr>
          <w:lang w:val="en-US"/>
        </w:rPr>
        <w:t>,</w:t>
      </w:r>
      <w:r w:rsidRPr="00923AB2">
        <w:rPr>
          <w:lang w:val="en-US"/>
        </w:rPr>
        <w:t xml:space="preserve"> where the separation and purification of </w:t>
      </w:r>
      <w:r w:rsidR="00D95AD5" w:rsidRPr="00923AB2">
        <w:rPr>
          <w:lang w:val="en-US"/>
        </w:rPr>
        <w:t>methanol</w:t>
      </w:r>
      <w:r w:rsidR="007262ED">
        <w:rPr>
          <w:lang w:val="en-US"/>
        </w:rPr>
        <w:t xml:space="preserve"> </w:t>
      </w:r>
      <w:r w:rsidR="00D95AD5">
        <w:rPr>
          <w:lang w:val="en-US"/>
        </w:rPr>
        <w:t>in</w:t>
      </w:r>
      <w:r w:rsidR="007262ED">
        <w:rPr>
          <w:lang w:val="en-US"/>
        </w:rPr>
        <w:t xml:space="preserve"> a </w:t>
      </w:r>
      <w:r w:rsidRPr="00923AB2">
        <w:rPr>
          <w:lang w:val="en-US"/>
        </w:rPr>
        <w:t xml:space="preserve">quaternary mixture is </w:t>
      </w:r>
      <w:r w:rsidR="00CE0FF8">
        <w:rPr>
          <w:lang w:val="en-US"/>
        </w:rPr>
        <w:t>carried out</w:t>
      </w:r>
      <w:r w:rsidR="007262ED">
        <w:rPr>
          <w:lang w:val="en-US"/>
        </w:rPr>
        <w:t xml:space="preserve"> (methanol-MeOH, water-H</w:t>
      </w:r>
      <w:r w:rsidR="007262ED" w:rsidRPr="007262ED">
        <w:rPr>
          <w:vertAlign w:val="subscript"/>
          <w:lang w:val="en-US"/>
        </w:rPr>
        <w:t>2</w:t>
      </w:r>
      <w:r w:rsidR="007262ED">
        <w:rPr>
          <w:lang w:val="en-US"/>
        </w:rPr>
        <w:t>O, dimethyl ether-DME, and ethanol-EtOH)</w:t>
      </w:r>
      <w:r w:rsidR="009B5349">
        <w:rPr>
          <w:lang w:val="en-US"/>
        </w:rPr>
        <w:t xml:space="preserve"> (Adams II et al., 2018).</w:t>
      </w:r>
      <w:r w:rsidRPr="00923AB2">
        <w:rPr>
          <w:lang w:val="en-US"/>
        </w:rPr>
        <w:t xml:space="preserve"> </w:t>
      </w:r>
    </w:p>
    <w:p w14:paraId="4391CE16" w14:textId="77777777" w:rsidR="00923AB2" w:rsidRDefault="00923AB2" w:rsidP="00923AB2">
      <w:pPr>
        <w:pStyle w:val="Caption"/>
        <w:jc w:val="center"/>
      </w:pPr>
      <w:r>
        <w:rPr>
          <w:noProof/>
          <w:lang w:val="fr-FR" w:eastAsia="fr-FR"/>
        </w:rPr>
        <w:drawing>
          <wp:inline distT="0" distB="0" distL="0" distR="0" wp14:anchorId="104EC5E9" wp14:editId="3B1BB522">
            <wp:extent cx="2880000" cy="1296000"/>
            <wp:effectExtent l="0" t="0" r="0" b="0"/>
            <wp:docPr id="1"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Diagram&#10;&#10;Description automatically generated"/>
                    <pic:cNvPicPr/>
                  </pic:nvPicPr>
                  <pic:blipFill>
                    <a:blip r:embed="rId9"/>
                    <a:srcRect l="3620" t="7057" r="4163" b="7465"/>
                    <a:stretch>
                      <a:fillRect/>
                    </a:stretch>
                  </pic:blipFill>
                  <pic:spPr>
                    <a:xfrm>
                      <a:off x="0" y="0"/>
                      <a:ext cx="2880000" cy="1296000"/>
                    </a:xfrm>
                    <a:prstGeom prst="rect">
                      <a:avLst/>
                    </a:prstGeom>
                    <a:ln/>
                  </pic:spPr>
                </pic:pic>
              </a:graphicData>
            </a:graphic>
          </wp:inline>
        </w:drawing>
      </w:r>
      <w:r w:rsidRPr="00923AB2">
        <w:t xml:space="preserve"> </w:t>
      </w:r>
    </w:p>
    <w:p w14:paraId="29753890" w14:textId="7B9839FB" w:rsidR="00923AB2" w:rsidRPr="00923AB2" w:rsidRDefault="00923AB2" w:rsidP="00923AB2">
      <w:pPr>
        <w:pStyle w:val="Caption"/>
        <w:jc w:val="center"/>
        <w:rPr>
          <w:sz w:val="20"/>
        </w:rPr>
      </w:pPr>
      <w:r w:rsidRPr="00923AB2">
        <w:rPr>
          <w:sz w:val="20"/>
        </w:rPr>
        <w:t xml:space="preserve">Figure </w:t>
      </w:r>
      <w:r w:rsidRPr="00923AB2">
        <w:rPr>
          <w:sz w:val="20"/>
        </w:rPr>
        <w:fldChar w:fldCharType="begin"/>
      </w:r>
      <w:r w:rsidRPr="00923AB2">
        <w:rPr>
          <w:sz w:val="20"/>
        </w:rPr>
        <w:instrText xml:space="preserve"> SEQ Figure \* ARABIC </w:instrText>
      </w:r>
      <w:r w:rsidRPr="00923AB2">
        <w:rPr>
          <w:sz w:val="20"/>
        </w:rPr>
        <w:fldChar w:fldCharType="separate"/>
      </w:r>
      <w:r w:rsidRPr="00923AB2">
        <w:rPr>
          <w:sz w:val="20"/>
        </w:rPr>
        <w:t>1</w:t>
      </w:r>
      <w:r w:rsidRPr="00923AB2">
        <w:rPr>
          <w:sz w:val="20"/>
        </w:rPr>
        <w:fldChar w:fldCharType="end"/>
      </w:r>
      <w:r w:rsidRPr="00923AB2">
        <w:rPr>
          <w:sz w:val="20"/>
        </w:rPr>
        <w:t xml:space="preserve">. </w:t>
      </w:r>
      <w:r>
        <w:rPr>
          <w:sz w:val="20"/>
        </w:rPr>
        <w:t>Case study: distillation column</w:t>
      </w:r>
      <w:r w:rsidR="005D1F39">
        <w:rPr>
          <w:sz w:val="20"/>
        </w:rPr>
        <w:t xml:space="preserve"> with fifty number of stages</w:t>
      </w:r>
      <w:r w:rsidRPr="00923AB2">
        <w:rPr>
          <w:sz w:val="20"/>
        </w:rPr>
        <w:t>.</w:t>
      </w:r>
    </w:p>
    <w:p w14:paraId="39B15742" w14:textId="59DE7637" w:rsidR="00E65AC5" w:rsidRPr="00E65AC5" w:rsidRDefault="00923AB2" w:rsidP="00E65AC5">
      <w:pPr>
        <w:spacing w:before="100" w:beforeAutospacing="1"/>
        <w:jc w:val="both"/>
        <w:rPr>
          <w:lang w:val="en-US"/>
        </w:rPr>
      </w:pPr>
      <w:r>
        <w:rPr>
          <w:lang w:val="en-US"/>
        </w:rPr>
        <w:t xml:space="preserve">A set of one hundred twenty-two operational data </w:t>
      </w:r>
      <w:r w:rsidR="0037490F">
        <w:rPr>
          <w:lang w:val="en-US"/>
        </w:rPr>
        <w:t xml:space="preserve">was </w:t>
      </w:r>
      <w:r>
        <w:rPr>
          <w:lang w:val="en-US"/>
        </w:rPr>
        <w:t>obtained, where the main variables with upper and lower bounds were: inlet mass flow (313</w:t>
      </w:r>
      <w:r w:rsidR="0037490F">
        <w:rPr>
          <w:lang w:val="en-US"/>
        </w:rPr>
        <w:t xml:space="preserve">,850.00, 658,095.00 kg/h), top mass flow (267,526.65, 607,342.00 kg/h), top mass composition (0.90, 0.99), condenser duty (-439.96, -180.54 MW), and reboiler duty (178.97, 435.87 MW). Figure 2 shows the operational behavior and correlation of all variables mentioned above. The reflux ratio </w:t>
      </w:r>
      <w:r w:rsidR="0037490F">
        <w:rPr>
          <w:lang w:val="en-US"/>
        </w:rPr>
        <w:lastRenderedPageBreak/>
        <w:t>(RR=1.00), top pressure (1.</w:t>
      </w:r>
      <w:r w:rsidR="007F3076">
        <w:rPr>
          <w:lang w:val="en-US"/>
        </w:rPr>
        <w:t>36</w:t>
      </w:r>
      <w:r w:rsidR="0037490F">
        <w:rPr>
          <w:lang w:val="en-US"/>
        </w:rPr>
        <w:t xml:space="preserve"> bar), top temperature (117.00 °C), and input mass fractions (</w:t>
      </w:r>
      <w:r w:rsidR="007262ED">
        <w:rPr>
          <w:lang w:val="en-US"/>
        </w:rPr>
        <w:t>MeOH-</w:t>
      </w:r>
      <w:r w:rsidR="0037490F">
        <w:rPr>
          <w:lang w:val="en-US"/>
        </w:rPr>
        <w:t xml:space="preserve">0.8312, </w:t>
      </w:r>
      <w:r w:rsidR="007262ED">
        <w:rPr>
          <w:lang w:val="en-US"/>
        </w:rPr>
        <w:t>H</w:t>
      </w:r>
      <w:r w:rsidR="007262ED" w:rsidRPr="007262ED">
        <w:rPr>
          <w:vertAlign w:val="subscript"/>
          <w:lang w:val="en-US"/>
        </w:rPr>
        <w:t>2</w:t>
      </w:r>
      <w:r w:rsidR="007262ED">
        <w:rPr>
          <w:lang w:val="en-US"/>
        </w:rPr>
        <w:t>O-</w:t>
      </w:r>
      <w:r w:rsidR="0037490F">
        <w:rPr>
          <w:lang w:val="en-US"/>
        </w:rPr>
        <w:t xml:space="preserve">0.1661, </w:t>
      </w:r>
      <w:r w:rsidR="007262ED">
        <w:rPr>
          <w:lang w:val="en-US"/>
        </w:rPr>
        <w:t>DME-</w:t>
      </w:r>
      <w:r w:rsidR="0037490F">
        <w:rPr>
          <w:lang w:val="en-US"/>
        </w:rPr>
        <w:t>0.0019</w:t>
      </w:r>
      <w:r w:rsidR="007262ED">
        <w:rPr>
          <w:lang w:val="en-US"/>
        </w:rPr>
        <w:t>, EtOH-0.0007</w:t>
      </w:r>
      <w:r w:rsidR="0037490F">
        <w:rPr>
          <w:lang w:val="en-US"/>
        </w:rPr>
        <w:t xml:space="preserve">) were </w:t>
      </w:r>
      <w:r w:rsidR="00A73149">
        <w:rPr>
          <w:lang w:val="en-US"/>
        </w:rPr>
        <w:t xml:space="preserve">held constant </w:t>
      </w:r>
      <w:r w:rsidR="0037490F">
        <w:rPr>
          <w:lang w:val="en-US"/>
        </w:rPr>
        <w:t xml:space="preserve">without variations. </w:t>
      </w:r>
      <w:r w:rsidR="005E53E5" w:rsidRPr="005E53E5">
        <w:t xml:space="preserve"> </w:t>
      </w:r>
    </w:p>
    <w:p w14:paraId="230146E7" w14:textId="6BE52E27" w:rsidR="005E53E5" w:rsidRPr="005E53E5" w:rsidRDefault="00E65AC5" w:rsidP="005E53E5">
      <w:pPr>
        <w:pStyle w:val="Caption"/>
        <w:spacing w:before="0"/>
        <w:jc w:val="center"/>
        <w:rPr>
          <w:sz w:val="20"/>
        </w:rPr>
      </w:pPr>
      <w:r w:rsidRPr="00E65AC5">
        <w:rPr>
          <w:noProof/>
          <w:sz w:val="20"/>
        </w:rPr>
        <w:drawing>
          <wp:inline distT="0" distB="0" distL="0" distR="0" wp14:anchorId="52288381" wp14:editId="2D9D26E6">
            <wp:extent cx="4499610" cy="2455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99610" cy="2455545"/>
                    </a:xfrm>
                    <a:prstGeom prst="rect">
                      <a:avLst/>
                    </a:prstGeom>
                  </pic:spPr>
                </pic:pic>
              </a:graphicData>
            </a:graphic>
          </wp:inline>
        </w:drawing>
      </w:r>
      <w:r w:rsidR="005E53E5" w:rsidRPr="005E53E5">
        <w:rPr>
          <w:sz w:val="20"/>
        </w:rPr>
        <w:t xml:space="preserve">Figure </w:t>
      </w:r>
      <w:r w:rsidR="005E53E5" w:rsidRPr="005E53E5">
        <w:rPr>
          <w:sz w:val="20"/>
        </w:rPr>
        <w:fldChar w:fldCharType="begin"/>
      </w:r>
      <w:r w:rsidR="005E53E5" w:rsidRPr="005E53E5">
        <w:rPr>
          <w:sz w:val="20"/>
        </w:rPr>
        <w:instrText xml:space="preserve"> SEQ Figure \* ARABIC </w:instrText>
      </w:r>
      <w:r w:rsidR="005E53E5" w:rsidRPr="005E53E5">
        <w:rPr>
          <w:sz w:val="20"/>
        </w:rPr>
        <w:fldChar w:fldCharType="separate"/>
      </w:r>
      <w:r w:rsidR="005E53E5" w:rsidRPr="005E53E5">
        <w:rPr>
          <w:sz w:val="20"/>
        </w:rPr>
        <w:t>2</w:t>
      </w:r>
      <w:r w:rsidR="005E53E5" w:rsidRPr="005E53E5">
        <w:rPr>
          <w:sz w:val="20"/>
        </w:rPr>
        <w:fldChar w:fldCharType="end"/>
      </w:r>
      <w:r w:rsidR="005E53E5" w:rsidRPr="005E53E5">
        <w:rPr>
          <w:sz w:val="20"/>
        </w:rPr>
        <w:t xml:space="preserve">. Operational data: observation, inlet mass flow (kg/h), top mass flow (kg/h), product mass fraction, condenser duty (MW), reboiler duty (MW). </w:t>
      </w:r>
    </w:p>
    <w:p w14:paraId="0309CFCF" w14:textId="0F961CD1" w:rsidR="005E53E5" w:rsidRPr="00A94774" w:rsidRDefault="005E53E5" w:rsidP="005E53E5">
      <w:pPr>
        <w:pStyle w:val="Els-1storder-head"/>
        <w:spacing w:after="120"/>
        <w:rPr>
          <w:lang w:val="en-GB"/>
        </w:rPr>
      </w:pPr>
      <w:r>
        <w:rPr>
          <w:lang w:val="en-GB"/>
        </w:rPr>
        <w:t xml:space="preserve">Methodology </w:t>
      </w:r>
    </w:p>
    <w:p w14:paraId="470C149F" w14:textId="135E0C41" w:rsidR="005E53E5" w:rsidRDefault="005E53E5" w:rsidP="005E53E5">
      <w:pPr>
        <w:pStyle w:val="Els-2ndorder-head"/>
      </w:pPr>
      <w:r>
        <w:t>A comprehensive gray-box framework for high-fidelity process simulation calibration</w:t>
      </w:r>
    </w:p>
    <w:p w14:paraId="13146A73" w14:textId="3322A667" w:rsidR="005E53E5" w:rsidRDefault="005E53E5" w:rsidP="00923AB2">
      <w:pPr>
        <w:spacing w:before="100" w:beforeAutospacing="1" w:after="100" w:afterAutospacing="1"/>
        <w:jc w:val="both"/>
        <w:rPr>
          <w:lang w:val="en-US"/>
        </w:rPr>
      </w:pPr>
      <w:r w:rsidRPr="005E53E5">
        <w:rPr>
          <w:lang w:val="en-US"/>
        </w:rPr>
        <w:t>The framework involves the integration of four systematic steps, where a process simulation and operational data are available: 1) Selection of scenarios, 2) Calibration and validation model in black-box model, 3) Validation of results, and 4) Identification of optimal operative zone</w:t>
      </w:r>
      <w:r w:rsidR="00C2126F">
        <w:rPr>
          <w:lang w:val="en-US"/>
        </w:rPr>
        <w:t>.</w:t>
      </w:r>
      <w:r w:rsidRPr="005E53E5">
        <w:rPr>
          <w:lang w:val="en-US"/>
        </w:rPr>
        <w:t xml:space="preserve"> The white-box model was represented th</w:t>
      </w:r>
      <w:r>
        <w:rPr>
          <w:lang w:val="en-US"/>
        </w:rPr>
        <w:t>r</w:t>
      </w:r>
      <w:r w:rsidRPr="005E53E5">
        <w:rPr>
          <w:lang w:val="en-US"/>
        </w:rPr>
        <w:t xml:space="preserve">ough a model simulation developed in Aspen Plus, while the black-box model and the framework were implemented in Python.  </w:t>
      </w:r>
    </w:p>
    <w:p w14:paraId="3FFB72F4" w14:textId="2738D3D9" w:rsidR="005E53E5" w:rsidRPr="005E53E5" w:rsidRDefault="001221B6" w:rsidP="005E53E5">
      <w:pPr>
        <w:keepNext/>
        <w:jc w:val="center"/>
        <w:rPr>
          <w:sz w:val="24"/>
          <w:szCs w:val="24"/>
          <w:lang w:val="es-ES" w:eastAsia="es-ES"/>
        </w:rPr>
      </w:pPr>
      <w:r w:rsidRPr="001221B6">
        <w:rPr>
          <w:noProof/>
          <w:sz w:val="24"/>
          <w:szCs w:val="24"/>
          <w:lang w:val="es-ES" w:eastAsia="es-ES"/>
        </w:rPr>
        <w:drawing>
          <wp:inline distT="0" distB="0" distL="0" distR="0" wp14:anchorId="4A23FF3A" wp14:editId="72AF8BE3">
            <wp:extent cx="2806653"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6653" cy="1800000"/>
                    </a:xfrm>
                    <a:prstGeom prst="rect">
                      <a:avLst/>
                    </a:prstGeom>
                  </pic:spPr>
                </pic:pic>
              </a:graphicData>
            </a:graphic>
          </wp:inline>
        </w:drawing>
      </w:r>
    </w:p>
    <w:p w14:paraId="2C75C379" w14:textId="77777777" w:rsidR="005E53E5" w:rsidRPr="005E53E5" w:rsidRDefault="005E53E5" w:rsidP="005E53E5">
      <w:pPr>
        <w:keepLines/>
        <w:spacing w:after="120"/>
        <w:jc w:val="center"/>
        <w:rPr>
          <w:lang w:val="en-US"/>
        </w:rPr>
      </w:pPr>
      <w:r w:rsidRPr="005E53E5">
        <w:rPr>
          <w:lang w:val="en-US"/>
        </w:rPr>
        <w:t xml:space="preserve">Figure </w:t>
      </w:r>
      <w:r w:rsidRPr="005E53E5">
        <w:rPr>
          <w:lang w:val="en-US"/>
        </w:rPr>
        <w:fldChar w:fldCharType="begin"/>
      </w:r>
      <w:r w:rsidRPr="005E53E5">
        <w:rPr>
          <w:lang w:val="en-US"/>
        </w:rPr>
        <w:instrText xml:space="preserve"> SEQ Figure \* ARABIC </w:instrText>
      </w:r>
      <w:r w:rsidRPr="005E53E5">
        <w:rPr>
          <w:lang w:val="en-US"/>
        </w:rPr>
        <w:fldChar w:fldCharType="separate"/>
      </w:r>
      <w:r w:rsidRPr="005E53E5">
        <w:rPr>
          <w:lang w:val="en-US"/>
        </w:rPr>
        <w:t>3</w:t>
      </w:r>
      <w:r w:rsidRPr="005E53E5">
        <w:rPr>
          <w:lang w:val="en-US"/>
        </w:rPr>
        <w:fldChar w:fldCharType="end"/>
      </w:r>
      <w:r w:rsidRPr="005E53E5">
        <w:rPr>
          <w:lang w:val="en-US"/>
        </w:rPr>
        <w:t xml:space="preserve">. Gray-box model arrangement. </w:t>
      </w:r>
    </w:p>
    <w:p w14:paraId="144DE69A" w14:textId="068B580D" w:rsidR="008D2649" w:rsidRDefault="005E53E5" w:rsidP="008D2649">
      <w:pPr>
        <w:pStyle w:val="Els-2ndorder-head"/>
      </w:pPr>
      <w:r>
        <w:lastRenderedPageBreak/>
        <w:t xml:space="preserve">Selection of scenarios </w:t>
      </w:r>
    </w:p>
    <w:p w14:paraId="12064B4F" w14:textId="77777777" w:rsidR="005E53E5" w:rsidRDefault="005E53E5" w:rsidP="005E53E5">
      <w:pPr>
        <w:pStyle w:val="Els-body-text"/>
      </w:pPr>
    </w:p>
    <w:p w14:paraId="06280977" w14:textId="1220C942" w:rsidR="005E53E5" w:rsidRDefault="005E53E5" w:rsidP="005E53E5">
      <w:pPr>
        <w:pStyle w:val="Els-body-text"/>
      </w:pPr>
      <w:r w:rsidRPr="005E53E5">
        <w:t xml:space="preserve">Based on </w:t>
      </w:r>
      <w:r>
        <w:t xml:space="preserve">the </w:t>
      </w:r>
      <w:r w:rsidRPr="005E53E5">
        <w:t>graphic</w:t>
      </w:r>
      <w:r w:rsidR="005D0C63">
        <w:t>al</w:t>
      </w:r>
      <w:r w:rsidRPr="005E53E5">
        <w:t xml:space="preserve"> results shown in Figure 2, it is possible to observe six representative operating zones consider</w:t>
      </w:r>
      <w:r>
        <w:t>ing</w:t>
      </w:r>
      <w:r w:rsidRPr="005E53E5">
        <w:t xml:space="preserve"> the inlet mass flow</w:t>
      </w:r>
      <w:r w:rsidR="005D0C63">
        <w:t>s</w:t>
      </w:r>
      <w:r w:rsidRPr="005E53E5">
        <w:t>. Therefore, Table 1</w:t>
      </w:r>
      <w:r>
        <w:t xml:space="preserve"> </w:t>
      </w:r>
      <w:r w:rsidRPr="005E53E5">
        <w:t>show</w:t>
      </w:r>
      <w:r>
        <w:t>s</w:t>
      </w:r>
      <w:r w:rsidRPr="005E53E5">
        <w:t xml:space="preserve"> the selected operational points used as input data for</w:t>
      </w:r>
      <w:r>
        <w:t xml:space="preserve"> the</w:t>
      </w:r>
      <w:r w:rsidRPr="005E53E5">
        <w:t xml:space="preserve"> </w:t>
      </w:r>
      <w:r w:rsidR="00C2126F">
        <w:t>gray</w:t>
      </w:r>
      <w:r w:rsidRPr="005E53E5">
        <w:t xml:space="preserve">-box model. </w:t>
      </w:r>
    </w:p>
    <w:p w14:paraId="18FFF647" w14:textId="3524BCE3" w:rsidR="00DE2722" w:rsidRPr="00DE2722" w:rsidRDefault="00DE2722" w:rsidP="00DE2722">
      <w:pPr>
        <w:pStyle w:val="Caption"/>
        <w:keepNext/>
        <w:jc w:val="center"/>
        <w:rPr>
          <w:sz w:val="20"/>
        </w:rPr>
      </w:pPr>
      <w:bookmarkStart w:id="0" w:name="_Hlk152252271"/>
      <w:r w:rsidRPr="00DE2722">
        <w:rPr>
          <w:sz w:val="20"/>
        </w:rPr>
        <w:t xml:space="preserve">Table </w:t>
      </w:r>
      <w:r w:rsidRPr="00DE2722">
        <w:rPr>
          <w:sz w:val="20"/>
        </w:rPr>
        <w:fldChar w:fldCharType="begin"/>
      </w:r>
      <w:r w:rsidRPr="00DE2722">
        <w:rPr>
          <w:sz w:val="20"/>
        </w:rPr>
        <w:instrText xml:space="preserve"> SEQ Table \* ARABIC </w:instrText>
      </w:r>
      <w:r w:rsidRPr="00DE2722">
        <w:rPr>
          <w:sz w:val="20"/>
        </w:rPr>
        <w:fldChar w:fldCharType="separate"/>
      </w:r>
      <w:r w:rsidRPr="00DE2722">
        <w:rPr>
          <w:sz w:val="20"/>
        </w:rPr>
        <w:t>1</w:t>
      </w:r>
      <w:r w:rsidRPr="00DE2722">
        <w:rPr>
          <w:sz w:val="20"/>
        </w:rPr>
        <w:fldChar w:fldCharType="end"/>
      </w:r>
      <w:r w:rsidRPr="00DE2722">
        <w:rPr>
          <w:sz w:val="20"/>
        </w:rPr>
        <w:t>. Operational scenarios.</w:t>
      </w:r>
    </w:p>
    <w:tbl>
      <w:tblPr>
        <w:tblStyle w:val="TableGrid"/>
        <w:tblW w:w="6747" w:type="dxa"/>
        <w:jc w:val="center"/>
        <w:tblLayout w:type="fixed"/>
        <w:tblLook w:val="04A0" w:firstRow="1" w:lastRow="0" w:firstColumn="1" w:lastColumn="0" w:noHBand="0" w:noVBand="1"/>
      </w:tblPr>
      <w:tblGrid>
        <w:gridCol w:w="1052"/>
        <w:gridCol w:w="1291"/>
        <w:gridCol w:w="1196"/>
        <w:gridCol w:w="851"/>
        <w:gridCol w:w="1134"/>
        <w:gridCol w:w="1223"/>
      </w:tblGrid>
      <w:tr w:rsidR="005E53E5" w:rsidRPr="005E53E5" w14:paraId="3BB4FE3B" w14:textId="77777777" w:rsidTr="005E53E5">
        <w:trPr>
          <w:trHeight w:val="663"/>
          <w:jc w:val="center"/>
        </w:trPr>
        <w:tc>
          <w:tcPr>
            <w:tcW w:w="1052" w:type="dxa"/>
            <w:vAlign w:val="center"/>
          </w:tcPr>
          <w:bookmarkEnd w:id="0"/>
          <w:p w14:paraId="48FFC46A" w14:textId="77777777" w:rsidR="005E53E5" w:rsidRPr="005E53E5" w:rsidRDefault="005E53E5" w:rsidP="005E53E5">
            <w:pPr>
              <w:pStyle w:val="Els-body-text"/>
              <w:jc w:val="center"/>
            </w:pPr>
            <w:r w:rsidRPr="005E53E5">
              <w:t>Scenario</w:t>
            </w:r>
          </w:p>
        </w:tc>
        <w:tc>
          <w:tcPr>
            <w:tcW w:w="1291" w:type="dxa"/>
            <w:vAlign w:val="center"/>
          </w:tcPr>
          <w:p w14:paraId="171EFA77" w14:textId="77777777" w:rsidR="005E53E5" w:rsidRPr="005E53E5" w:rsidRDefault="005E53E5" w:rsidP="005E53E5">
            <w:pPr>
              <w:pStyle w:val="Els-body-text"/>
              <w:jc w:val="center"/>
            </w:pPr>
            <w:r w:rsidRPr="005E53E5">
              <w:t>Inlet flow</w:t>
            </w:r>
          </w:p>
          <w:p w14:paraId="1A7B668C" w14:textId="77777777" w:rsidR="005E53E5" w:rsidRPr="005E53E5" w:rsidRDefault="005E53E5" w:rsidP="005E53E5">
            <w:pPr>
              <w:pStyle w:val="Els-body-text"/>
              <w:jc w:val="center"/>
            </w:pPr>
            <w:r w:rsidRPr="005E53E5">
              <w:t>(kg/h)</w:t>
            </w:r>
          </w:p>
        </w:tc>
        <w:tc>
          <w:tcPr>
            <w:tcW w:w="1196" w:type="dxa"/>
            <w:vAlign w:val="center"/>
          </w:tcPr>
          <w:p w14:paraId="0B19CEFF" w14:textId="77777777" w:rsidR="005E53E5" w:rsidRPr="005E53E5" w:rsidRDefault="005E53E5" w:rsidP="005E53E5">
            <w:pPr>
              <w:pStyle w:val="Els-body-text"/>
              <w:jc w:val="center"/>
            </w:pPr>
            <w:r w:rsidRPr="005E53E5">
              <w:t>Top flow (kg/h)</w:t>
            </w:r>
          </w:p>
        </w:tc>
        <w:tc>
          <w:tcPr>
            <w:tcW w:w="851" w:type="dxa"/>
            <w:vAlign w:val="center"/>
          </w:tcPr>
          <w:p w14:paraId="7826C0B5" w14:textId="1704CC27" w:rsidR="005E53E5" w:rsidRPr="005E53E5" w:rsidRDefault="005E53E5" w:rsidP="005E53E5">
            <w:pPr>
              <w:pStyle w:val="Els-body-text"/>
              <w:jc w:val="center"/>
            </w:pPr>
            <w:r w:rsidRPr="005E53E5">
              <w:t>Product</w:t>
            </w:r>
          </w:p>
          <w:p w14:paraId="01BBE92D" w14:textId="2E18C0D2" w:rsidR="005E53E5" w:rsidRPr="005E53E5" w:rsidRDefault="005E53E5" w:rsidP="005E53E5">
            <w:pPr>
              <w:pStyle w:val="Els-body-text"/>
              <w:jc w:val="center"/>
            </w:pPr>
            <w:r w:rsidRPr="005E53E5">
              <w:t>mass frac</w:t>
            </w:r>
          </w:p>
          <w:p w14:paraId="20ED1BEC" w14:textId="77777777" w:rsidR="005E53E5" w:rsidRPr="005E53E5" w:rsidRDefault="005E53E5" w:rsidP="005E53E5">
            <w:pPr>
              <w:pStyle w:val="Els-body-text"/>
              <w:jc w:val="center"/>
            </w:pPr>
          </w:p>
        </w:tc>
        <w:tc>
          <w:tcPr>
            <w:tcW w:w="1134" w:type="dxa"/>
            <w:vAlign w:val="center"/>
          </w:tcPr>
          <w:p w14:paraId="2AF6771D" w14:textId="76190508" w:rsidR="005E53E5" w:rsidRPr="005E53E5" w:rsidRDefault="005E53E5" w:rsidP="007262ED">
            <w:pPr>
              <w:pStyle w:val="Els-body-text"/>
              <w:jc w:val="center"/>
            </w:pPr>
            <w:r w:rsidRPr="005E53E5">
              <w:t>Condenser duty</w:t>
            </w:r>
            <w:r w:rsidR="007262ED">
              <w:t xml:space="preserve"> </w:t>
            </w:r>
            <w:r w:rsidRPr="005E53E5">
              <w:t>(MW)</w:t>
            </w:r>
          </w:p>
        </w:tc>
        <w:tc>
          <w:tcPr>
            <w:tcW w:w="1223" w:type="dxa"/>
            <w:vAlign w:val="center"/>
          </w:tcPr>
          <w:p w14:paraId="731D077B" w14:textId="10692C23" w:rsidR="005E53E5" w:rsidRPr="005E53E5" w:rsidRDefault="005E53E5" w:rsidP="007262ED">
            <w:pPr>
              <w:pStyle w:val="Els-body-text"/>
              <w:jc w:val="center"/>
            </w:pPr>
            <w:r w:rsidRPr="005E53E5">
              <w:t>Reboiler duty</w:t>
            </w:r>
            <w:r w:rsidR="007262ED">
              <w:t xml:space="preserve"> </w:t>
            </w:r>
            <w:r w:rsidRPr="005E53E5">
              <w:t>(MW)</w:t>
            </w:r>
          </w:p>
        </w:tc>
      </w:tr>
      <w:tr w:rsidR="005E53E5" w:rsidRPr="005E53E5" w14:paraId="6207A7B8" w14:textId="77777777" w:rsidTr="005E53E5">
        <w:trPr>
          <w:trHeight w:val="283"/>
          <w:jc w:val="center"/>
        </w:trPr>
        <w:tc>
          <w:tcPr>
            <w:tcW w:w="1052" w:type="dxa"/>
            <w:vAlign w:val="center"/>
          </w:tcPr>
          <w:p w14:paraId="298A03B6" w14:textId="77777777" w:rsidR="005E53E5" w:rsidRPr="005E53E5" w:rsidRDefault="005E53E5" w:rsidP="005E53E5">
            <w:pPr>
              <w:pStyle w:val="Els-body-text"/>
              <w:jc w:val="center"/>
            </w:pPr>
            <w:r w:rsidRPr="005E53E5">
              <w:t>I</w:t>
            </w:r>
          </w:p>
        </w:tc>
        <w:tc>
          <w:tcPr>
            <w:tcW w:w="1291" w:type="dxa"/>
            <w:vAlign w:val="center"/>
          </w:tcPr>
          <w:p w14:paraId="2EBD34A3" w14:textId="77777777" w:rsidR="005E53E5" w:rsidRPr="005E53E5" w:rsidRDefault="005E53E5" w:rsidP="005E53E5">
            <w:pPr>
              <w:pStyle w:val="Els-body-text"/>
              <w:jc w:val="center"/>
            </w:pPr>
            <w:r w:rsidRPr="005E53E5">
              <w:t>328,292.00</w:t>
            </w:r>
          </w:p>
        </w:tc>
        <w:tc>
          <w:tcPr>
            <w:tcW w:w="1196" w:type="dxa"/>
            <w:vAlign w:val="center"/>
          </w:tcPr>
          <w:p w14:paraId="2B990AB0" w14:textId="20510F49" w:rsidR="005E53E5" w:rsidRPr="005E53E5" w:rsidRDefault="005E53E5" w:rsidP="005E53E5">
            <w:pPr>
              <w:pStyle w:val="Els-body-text"/>
              <w:jc w:val="center"/>
            </w:pPr>
            <w:r w:rsidRPr="005E53E5">
              <w:t>278,75</w:t>
            </w:r>
            <w:r w:rsidR="00390A59">
              <w:t>7</w:t>
            </w:r>
            <w:r w:rsidRPr="005E53E5">
              <w:t>.</w:t>
            </w:r>
            <w:r w:rsidR="00390A59">
              <w:t>00</w:t>
            </w:r>
          </w:p>
        </w:tc>
        <w:tc>
          <w:tcPr>
            <w:tcW w:w="851" w:type="dxa"/>
            <w:vAlign w:val="center"/>
          </w:tcPr>
          <w:p w14:paraId="293BC1A1" w14:textId="77777777" w:rsidR="005E53E5" w:rsidRPr="005E53E5" w:rsidRDefault="005E53E5" w:rsidP="005E53E5">
            <w:pPr>
              <w:pStyle w:val="Els-body-text"/>
              <w:jc w:val="center"/>
            </w:pPr>
            <w:r w:rsidRPr="005E53E5">
              <w:t>0.9771</w:t>
            </w:r>
          </w:p>
        </w:tc>
        <w:tc>
          <w:tcPr>
            <w:tcW w:w="1134" w:type="dxa"/>
            <w:vAlign w:val="center"/>
          </w:tcPr>
          <w:p w14:paraId="74800019" w14:textId="77777777" w:rsidR="005E53E5" w:rsidRPr="005E53E5" w:rsidRDefault="005E53E5" w:rsidP="005E53E5">
            <w:pPr>
              <w:pStyle w:val="Els-body-text"/>
              <w:jc w:val="center"/>
            </w:pPr>
            <w:r w:rsidRPr="005E53E5">
              <w:t>185.80</w:t>
            </w:r>
          </w:p>
        </w:tc>
        <w:tc>
          <w:tcPr>
            <w:tcW w:w="1223" w:type="dxa"/>
            <w:vAlign w:val="center"/>
          </w:tcPr>
          <w:p w14:paraId="6D90AB47" w14:textId="77777777" w:rsidR="005E53E5" w:rsidRPr="005E53E5" w:rsidRDefault="005E53E5" w:rsidP="005E53E5">
            <w:pPr>
              <w:pStyle w:val="Els-body-text"/>
              <w:jc w:val="center"/>
            </w:pPr>
            <w:r w:rsidRPr="005E53E5">
              <w:t>-187.40</w:t>
            </w:r>
          </w:p>
        </w:tc>
      </w:tr>
      <w:tr w:rsidR="005E53E5" w:rsidRPr="005E53E5" w14:paraId="610ABD78" w14:textId="77777777" w:rsidTr="005E53E5">
        <w:trPr>
          <w:trHeight w:val="270"/>
          <w:jc w:val="center"/>
        </w:trPr>
        <w:tc>
          <w:tcPr>
            <w:tcW w:w="1052" w:type="dxa"/>
            <w:vAlign w:val="center"/>
          </w:tcPr>
          <w:p w14:paraId="5ABA3175" w14:textId="77777777" w:rsidR="005E53E5" w:rsidRPr="005E53E5" w:rsidRDefault="005E53E5" w:rsidP="005E53E5">
            <w:pPr>
              <w:pStyle w:val="Els-body-text"/>
              <w:jc w:val="center"/>
            </w:pPr>
            <w:r w:rsidRPr="005E53E5">
              <w:t>II</w:t>
            </w:r>
          </w:p>
        </w:tc>
        <w:tc>
          <w:tcPr>
            <w:tcW w:w="1291" w:type="dxa"/>
            <w:vAlign w:val="center"/>
          </w:tcPr>
          <w:p w14:paraId="340839C2" w14:textId="77405D7D" w:rsidR="005E53E5" w:rsidRPr="005E53E5" w:rsidRDefault="005E53E5" w:rsidP="005E53E5">
            <w:pPr>
              <w:pStyle w:val="Els-body-text"/>
              <w:jc w:val="center"/>
            </w:pPr>
            <w:r w:rsidRPr="005E53E5">
              <w:t>425,99</w:t>
            </w:r>
            <w:r w:rsidR="00390A59">
              <w:t>5</w:t>
            </w:r>
            <w:r w:rsidRPr="005E53E5">
              <w:t>.</w:t>
            </w:r>
            <w:r w:rsidR="00390A59">
              <w:t>00</w:t>
            </w:r>
          </w:p>
        </w:tc>
        <w:tc>
          <w:tcPr>
            <w:tcW w:w="1196" w:type="dxa"/>
            <w:vAlign w:val="center"/>
          </w:tcPr>
          <w:p w14:paraId="3A9CA2AA" w14:textId="387185B2" w:rsidR="005E53E5" w:rsidRPr="005E53E5" w:rsidRDefault="005E53E5" w:rsidP="005E53E5">
            <w:pPr>
              <w:pStyle w:val="Els-body-text"/>
              <w:jc w:val="center"/>
            </w:pPr>
            <w:r w:rsidRPr="005E53E5">
              <w:t>358,7</w:t>
            </w:r>
            <w:r w:rsidR="00390A59">
              <w:t>20</w:t>
            </w:r>
            <w:r w:rsidRPr="005E53E5">
              <w:t>.</w:t>
            </w:r>
            <w:r w:rsidR="00390A59">
              <w:t>0</w:t>
            </w:r>
            <w:r w:rsidRPr="005E53E5">
              <w:t>0</w:t>
            </w:r>
          </w:p>
        </w:tc>
        <w:tc>
          <w:tcPr>
            <w:tcW w:w="851" w:type="dxa"/>
            <w:vAlign w:val="center"/>
          </w:tcPr>
          <w:p w14:paraId="26192FC6" w14:textId="77777777" w:rsidR="005E53E5" w:rsidRPr="005E53E5" w:rsidRDefault="005E53E5" w:rsidP="005E53E5">
            <w:pPr>
              <w:pStyle w:val="Els-body-text"/>
              <w:jc w:val="center"/>
            </w:pPr>
            <w:r w:rsidRPr="005E53E5">
              <w:t>0.9859</w:t>
            </w:r>
          </w:p>
        </w:tc>
        <w:tc>
          <w:tcPr>
            <w:tcW w:w="1134" w:type="dxa"/>
            <w:vAlign w:val="center"/>
          </w:tcPr>
          <w:p w14:paraId="2F4A7481" w14:textId="77777777" w:rsidR="005E53E5" w:rsidRPr="005E53E5" w:rsidRDefault="005E53E5" w:rsidP="005E53E5">
            <w:pPr>
              <w:pStyle w:val="Els-body-text"/>
              <w:jc w:val="center"/>
            </w:pPr>
            <w:r w:rsidRPr="005E53E5">
              <w:t>237.20</w:t>
            </w:r>
          </w:p>
        </w:tc>
        <w:tc>
          <w:tcPr>
            <w:tcW w:w="1223" w:type="dxa"/>
            <w:vAlign w:val="center"/>
          </w:tcPr>
          <w:p w14:paraId="56644DD5" w14:textId="77777777" w:rsidR="005E53E5" w:rsidRPr="005E53E5" w:rsidRDefault="005E53E5" w:rsidP="005E53E5">
            <w:pPr>
              <w:pStyle w:val="Els-body-text"/>
              <w:jc w:val="center"/>
            </w:pPr>
            <w:r w:rsidRPr="005E53E5">
              <w:t>-238.90</w:t>
            </w:r>
          </w:p>
        </w:tc>
      </w:tr>
      <w:tr w:rsidR="005E53E5" w:rsidRPr="005E53E5" w14:paraId="4C892623" w14:textId="77777777" w:rsidTr="005E53E5">
        <w:trPr>
          <w:trHeight w:val="283"/>
          <w:jc w:val="center"/>
        </w:trPr>
        <w:tc>
          <w:tcPr>
            <w:tcW w:w="1052" w:type="dxa"/>
            <w:vAlign w:val="center"/>
          </w:tcPr>
          <w:p w14:paraId="74137D4E" w14:textId="77777777" w:rsidR="005E53E5" w:rsidRPr="005E53E5" w:rsidRDefault="005E53E5" w:rsidP="005E53E5">
            <w:pPr>
              <w:pStyle w:val="Els-body-text"/>
              <w:jc w:val="center"/>
            </w:pPr>
            <w:r w:rsidRPr="005E53E5">
              <w:t>III</w:t>
            </w:r>
          </w:p>
        </w:tc>
        <w:tc>
          <w:tcPr>
            <w:tcW w:w="1291" w:type="dxa"/>
            <w:vAlign w:val="center"/>
          </w:tcPr>
          <w:p w14:paraId="2ABB1BF0" w14:textId="351DC718" w:rsidR="005E53E5" w:rsidRPr="005E53E5" w:rsidRDefault="005E53E5" w:rsidP="005E53E5">
            <w:pPr>
              <w:pStyle w:val="Els-body-text"/>
              <w:jc w:val="center"/>
            </w:pPr>
            <w:r w:rsidRPr="005E53E5">
              <w:t>475,938.</w:t>
            </w:r>
            <w:r w:rsidR="00390A59">
              <w:t>0</w:t>
            </w:r>
            <w:r w:rsidRPr="005E53E5">
              <w:t>0</w:t>
            </w:r>
          </w:p>
        </w:tc>
        <w:tc>
          <w:tcPr>
            <w:tcW w:w="1196" w:type="dxa"/>
            <w:vAlign w:val="center"/>
          </w:tcPr>
          <w:p w14:paraId="672B90BD" w14:textId="6B0A7FD4" w:rsidR="005E53E5" w:rsidRPr="005E53E5" w:rsidRDefault="005E53E5" w:rsidP="005E53E5">
            <w:pPr>
              <w:pStyle w:val="Els-body-text"/>
              <w:jc w:val="center"/>
            </w:pPr>
            <w:r w:rsidRPr="005E53E5">
              <w:t>400,769.</w:t>
            </w:r>
            <w:r w:rsidR="00390A59">
              <w:t>00</w:t>
            </w:r>
          </w:p>
        </w:tc>
        <w:tc>
          <w:tcPr>
            <w:tcW w:w="851" w:type="dxa"/>
            <w:vAlign w:val="center"/>
          </w:tcPr>
          <w:p w14:paraId="0D5C989A" w14:textId="77777777" w:rsidR="005E53E5" w:rsidRPr="005E53E5" w:rsidRDefault="005E53E5" w:rsidP="005E53E5">
            <w:pPr>
              <w:pStyle w:val="Els-body-text"/>
              <w:jc w:val="center"/>
            </w:pPr>
            <w:r w:rsidRPr="005E53E5">
              <w:t>0.9862</w:t>
            </w:r>
          </w:p>
        </w:tc>
        <w:tc>
          <w:tcPr>
            <w:tcW w:w="1134" w:type="dxa"/>
            <w:vAlign w:val="center"/>
          </w:tcPr>
          <w:p w14:paraId="3456FBAD" w14:textId="77777777" w:rsidR="005E53E5" w:rsidRPr="005E53E5" w:rsidRDefault="005E53E5" w:rsidP="005E53E5">
            <w:pPr>
              <w:pStyle w:val="Els-body-text"/>
              <w:jc w:val="center"/>
            </w:pPr>
            <w:r w:rsidRPr="005E53E5">
              <w:t>265.00</w:t>
            </w:r>
          </w:p>
        </w:tc>
        <w:tc>
          <w:tcPr>
            <w:tcW w:w="1223" w:type="dxa"/>
            <w:vAlign w:val="center"/>
          </w:tcPr>
          <w:p w14:paraId="0801EA60" w14:textId="77777777" w:rsidR="005E53E5" w:rsidRPr="005E53E5" w:rsidRDefault="005E53E5" w:rsidP="005E53E5">
            <w:pPr>
              <w:pStyle w:val="Els-body-text"/>
              <w:jc w:val="center"/>
            </w:pPr>
            <w:r w:rsidRPr="005E53E5">
              <w:t>-266.90</w:t>
            </w:r>
          </w:p>
        </w:tc>
      </w:tr>
      <w:tr w:rsidR="005E53E5" w:rsidRPr="005E53E5" w14:paraId="79F73CA3" w14:textId="77777777" w:rsidTr="005E53E5">
        <w:trPr>
          <w:trHeight w:val="270"/>
          <w:jc w:val="center"/>
        </w:trPr>
        <w:tc>
          <w:tcPr>
            <w:tcW w:w="1052" w:type="dxa"/>
            <w:vAlign w:val="center"/>
          </w:tcPr>
          <w:p w14:paraId="4488EE92" w14:textId="77777777" w:rsidR="005E53E5" w:rsidRPr="005E53E5" w:rsidRDefault="005E53E5" w:rsidP="005E53E5">
            <w:pPr>
              <w:pStyle w:val="Els-body-text"/>
              <w:jc w:val="center"/>
            </w:pPr>
            <w:r w:rsidRPr="005E53E5">
              <w:t>IV</w:t>
            </w:r>
          </w:p>
        </w:tc>
        <w:tc>
          <w:tcPr>
            <w:tcW w:w="1291" w:type="dxa"/>
            <w:vAlign w:val="center"/>
          </w:tcPr>
          <w:p w14:paraId="5435396B" w14:textId="6693ADCE" w:rsidR="005E53E5" w:rsidRPr="005E53E5" w:rsidRDefault="005E53E5" w:rsidP="005E53E5">
            <w:pPr>
              <w:pStyle w:val="Els-body-text"/>
              <w:jc w:val="center"/>
            </w:pPr>
            <w:r w:rsidRPr="005E53E5">
              <w:t>558,616.</w:t>
            </w:r>
            <w:r w:rsidR="00390A59">
              <w:t>00</w:t>
            </w:r>
          </w:p>
        </w:tc>
        <w:tc>
          <w:tcPr>
            <w:tcW w:w="1196" w:type="dxa"/>
            <w:vAlign w:val="center"/>
          </w:tcPr>
          <w:p w14:paraId="18E8AAAB" w14:textId="5758FBF3" w:rsidR="005E53E5" w:rsidRPr="005E53E5" w:rsidRDefault="005E53E5" w:rsidP="005E53E5">
            <w:pPr>
              <w:pStyle w:val="Els-body-text"/>
              <w:jc w:val="center"/>
            </w:pPr>
            <w:r w:rsidRPr="005E53E5">
              <w:t>472,85</w:t>
            </w:r>
            <w:r w:rsidR="00390A59">
              <w:t>2</w:t>
            </w:r>
            <w:r w:rsidRPr="005E53E5">
              <w:t>.</w:t>
            </w:r>
            <w:r w:rsidR="00390A59">
              <w:t>00</w:t>
            </w:r>
          </w:p>
        </w:tc>
        <w:tc>
          <w:tcPr>
            <w:tcW w:w="851" w:type="dxa"/>
            <w:vAlign w:val="center"/>
          </w:tcPr>
          <w:p w14:paraId="30E83212" w14:textId="77777777" w:rsidR="005E53E5" w:rsidRPr="005E53E5" w:rsidRDefault="005E53E5" w:rsidP="005E53E5">
            <w:pPr>
              <w:pStyle w:val="Els-body-text"/>
              <w:jc w:val="center"/>
            </w:pPr>
            <w:r w:rsidRPr="005E53E5">
              <w:t>0.9816</w:t>
            </w:r>
          </w:p>
        </w:tc>
        <w:tc>
          <w:tcPr>
            <w:tcW w:w="1134" w:type="dxa"/>
            <w:vAlign w:val="center"/>
          </w:tcPr>
          <w:p w14:paraId="56D5AF1C" w14:textId="77777777" w:rsidR="005E53E5" w:rsidRPr="005E53E5" w:rsidRDefault="005E53E5" w:rsidP="005E53E5">
            <w:pPr>
              <w:pStyle w:val="Els-body-text"/>
              <w:jc w:val="center"/>
            </w:pPr>
            <w:r w:rsidRPr="005E53E5">
              <w:t>314.20</w:t>
            </w:r>
          </w:p>
        </w:tc>
        <w:tc>
          <w:tcPr>
            <w:tcW w:w="1223" w:type="dxa"/>
            <w:vAlign w:val="center"/>
          </w:tcPr>
          <w:p w14:paraId="5EABA574" w14:textId="77777777" w:rsidR="005E53E5" w:rsidRPr="005E53E5" w:rsidRDefault="005E53E5" w:rsidP="005E53E5">
            <w:pPr>
              <w:pStyle w:val="Els-body-text"/>
              <w:jc w:val="center"/>
            </w:pPr>
            <w:r w:rsidRPr="005E53E5">
              <w:t>-316.40</w:t>
            </w:r>
          </w:p>
        </w:tc>
      </w:tr>
      <w:tr w:rsidR="005E53E5" w:rsidRPr="005E53E5" w14:paraId="62CAC2D4" w14:textId="77777777" w:rsidTr="005E53E5">
        <w:trPr>
          <w:trHeight w:val="270"/>
          <w:jc w:val="center"/>
        </w:trPr>
        <w:tc>
          <w:tcPr>
            <w:tcW w:w="1052" w:type="dxa"/>
            <w:vAlign w:val="center"/>
          </w:tcPr>
          <w:p w14:paraId="1CDE2FD4" w14:textId="77777777" w:rsidR="005E53E5" w:rsidRPr="005E53E5" w:rsidRDefault="005E53E5" w:rsidP="005E53E5">
            <w:pPr>
              <w:pStyle w:val="Els-body-text"/>
              <w:jc w:val="center"/>
            </w:pPr>
            <w:r w:rsidRPr="005E53E5">
              <w:t>V</w:t>
            </w:r>
          </w:p>
        </w:tc>
        <w:tc>
          <w:tcPr>
            <w:tcW w:w="1291" w:type="dxa"/>
            <w:vAlign w:val="center"/>
          </w:tcPr>
          <w:p w14:paraId="12DDA02D" w14:textId="44D4F47C" w:rsidR="005E53E5" w:rsidRPr="005E53E5" w:rsidRDefault="005E53E5" w:rsidP="005E53E5">
            <w:pPr>
              <w:pStyle w:val="Els-body-text"/>
              <w:jc w:val="center"/>
            </w:pPr>
            <w:r w:rsidRPr="005E53E5">
              <w:t>590,50</w:t>
            </w:r>
            <w:r w:rsidR="00390A59">
              <w:t>2</w:t>
            </w:r>
            <w:r w:rsidRPr="005E53E5">
              <w:t>.</w:t>
            </w:r>
            <w:r w:rsidR="00390A59">
              <w:t>00</w:t>
            </w:r>
          </w:p>
        </w:tc>
        <w:tc>
          <w:tcPr>
            <w:tcW w:w="1196" w:type="dxa"/>
            <w:vAlign w:val="center"/>
          </w:tcPr>
          <w:p w14:paraId="5B568EC0" w14:textId="5411FDA4" w:rsidR="005E53E5" w:rsidRPr="005E53E5" w:rsidRDefault="005E53E5" w:rsidP="005E53E5">
            <w:pPr>
              <w:pStyle w:val="Els-body-text"/>
              <w:jc w:val="center"/>
            </w:pPr>
            <w:r w:rsidRPr="005E53E5">
              <w:t>503,2</w:t>
            </w:r>
            <w:r w:rsidR="00390A59">
              <w:t>50</w:t>
            </w:r>
            <w:r w:rsidRPr="005E53E5">
              <w:t>.</w:t>
            </w:r>
            <w:r w:rsidR="00390A59">
              <w:t>0</w:t>
            </w:r>
            <w:r w:rsidRPr="005E53E5">
              <w:t>0</w:t>
            </w:r>
          </w:p>
        </w:tc>
        <w:tc>
          <w:tcPr>
            <w:tcW w:w="851" w:type="dxa"/>
            <w:vAlign w:val="center"/>
          </w:tcPr>
          <w:p w14:paraId="22AF42A1" w14:textId="77777777" w:rsidR="005E53E5" w:rsidRPr="005E53E5" w:rsidRDefault="005E53E5" w:rsidP="005E53E5">
            <w:pPr>
              <w:pStyle w:val="Els-body-text"/>
              <w:jc w:val="center"/>
            </w:pPr>
            <w:r w:rsidRPr="005E53E5">
              <w:t>0.9751</w:t>
            </w:r>
          </w:p>
        </w:tc>
        <w:tc>
          <w:tcPr>
            <w:tcW w:w="1134" w:type="dxa"/>
            <w:vAlign w:val="center"/>
          </w:tcPr>
          <w:p w14:paraId="389BDD06" w14:textId="77777777" w:rsidR="005E53E5" w:rsidRPr="005E53E5" w:rsidRDefault="005E53E5" w:rsidP="005E53E5">
            <w:pPr>
              <w:pStyle w:val="Els-body-text"/>
              <w:jc w:val="center"/>
            </w:pPr>
            <w:r w:rsidRPr="005E53E5">
              <w:t>336.60</w:t>
            </w:r>
          </w:p>
        </w:tc>
        <w:tc>
          <w:tcPr>
            <w:tcW w:w="1223" w:type="dxa"/>
            <w:vAlign w:val="center"/>
          </w:tcPr>
          <w:p w14:paraId="4E7B1468" w14:textId="77777777" w:rsidR="005E53E5" w:rsidRPr="005E53E5" w:rsidRDefault="005E53E5" w:rsidP="005E53E5">
            <w:pPr>
              <w:pStyle w:val="Els-body-text"/>
              <w:jc w:val="center"/>
            </w:pPr>
            <w:r w:rsidRPr="005E53E5">
              <w:t>-339.00</w:t>
            </w:r>
          </w:p>
        </w:tc>
      </w:tr>
      <w:tr w:rsidR="005E53E5" w:rsidRPr="005E53E5" w14:paraId="4DED19D7" w14:textId="77777777" w:rsidTr="005E53E5">
        <w:trPr>
          <w:trHeight w:val="283"/>
          <w:jc w:val="center"/>
        </w:trPr>
        <w:tc>
          <w:tcPr>
            <w:tcW w:w="1052" w:type="dxa"/>
            <w:vAlign w:val="center"/>
          </w:tcPr>
          <w:p w14:paraId="17A1322F" w14:textId="77777777" w:rsidR="005E53E5" w:rsidRPr="005E53E5" w:rsidRDefault="005E53E5" w:rsidP="005E53E5">
            <w:pPr>
              <w:pStyle w:val="Els-body-text"/>
              <w:jc w:val="center"/>
            </w:pPr>
            <w:r w:rsidRPr="005E53E5">
              <w:t>VI</w:t>
            </w:r>
          </w:p>
        </w:tc>
        <w:tc>
          <w:tcPr>
            <w:tcW w:w="1291" w:type="dxa"/>
            <w:vAlign w:val="center"/>
          </w:tcPr>
          <w:p w14:paraId="1E0EEF85" w14:textId="00C4AC77" w:rsidR="005E53E5" w:rsidRPr="005E53E5" w:rsidRDefault="005E53E5" w:rsidP="005E53E5">
            <w:pPr>
              <w:pStyle w:val="Els-body-text"/>
              <w:jc w:val="center"/>
            </w:pPr>
            <w:r w:rsidRPr="005E53E5">
              <w:t>649,33</w:t>
            </w:r>
            <w:r w:rsidR="00390A59">
              <w:t>6</w:t>
            </w:r>
            <w:r w:rsidRPr="005E53E5">
              <w:t>.</w:t>
            </w:r>
            <w:r w:rsidR="00390A59">
              <w:t>00</w:t>
            </w:r>
          </w:p>
        </w:tc>
        <w:tc>
          <w:tcPr>
            <w:tcW w:w="1196" w:type="dxa"/>
            <w:vAlign w:val="center"/>
          </w:tcPr>
          <w:p w14:paraId="3E078EDE" w14:textId="1CAB448B" w:rsidR="005E53E5" w:rsidRPr="005E53E5" w:rsidRDefault="005E53E5" w:rsidP="005E53E5">
            <w:pPr>
              <w:pStyle w:val="Els-body-text"/>
              <w:jc w:val="center"/>
            </w:pPr>
            <w:r w:rsidRPr="005E53E5">
              <w:t>584,49</w:t>
            </w:r>
            <w:r w:rsidR="00390A59">
              <w:t>9</w:t>
            </w:r>
            <w:r w:rsidRPr="005E53E5">
              <w:t>.</w:t>
            </w:r>
            <w:r w:rsidR="00390A59">
              <w:t>00</w:t>
            </w:r>
          </w:p>
        </w:tc>
        <w:tc>
          <w:tcPr>
            <w:tcW w:w="851" w:type="dxa"/>
            <w:vAlign w:val="center"/>
          </w:tcPr>
          <w:p w14:paraId="4300B46A" w14:textId="77777777" w:rsidR="005E53E5" w:rsidRPr="005E53E5" w:rsidRDefault="005E53E5" w:rsidP="005E53E5">
            <w:pPr>
              <w:pStyle w:val="Els-body-text"/>
              <w:jc w:val="center"/>
            </w:pPr>
            <w:r w:rsidRPr="005E53E5">
              <w:t>0.9236</w:t>
            </w:r>
          </w:p>
        </w:tc>
        <w:tc>
          <w:tcPr>
            <w:tcW w:w="1134" w:type="dxa"/>
            <w:vAlign w:val="center"/>
          </w:tcPr>
          <w:p w14:paraId="0D161137" w14:textId="77777777" w:rsidR="005E53E5" w:rsidRPr="005E53E5" w:rsidRDefault="005E53E5" w:rsidP="005E53E5">
            <w:pPr>
              <w:pStyle w:val="Els-body-text"/>
              <w:jc w:val="center"/>
            </w:pPr>
            <w:r w:rsidRPr="005E53E5">
              <w:t>410.80</w:t>
            </w:r>
          </w:p>
        </w:tc>
        <w:tc>
          <w:tcPr>
            <w:tcW w:w="1223" w:type="dxa"/>
            <w:vAlign w:val="center"/>
          </w:tcPr>
          <w:p w14:paraId="229F2221" w14:textId="77777777" w:rsidR="005E53E5" w:rsidRPr="005E53E5" w:rsidRDefault="005E53E5" w:rsidP="005E53E5">
            <w:pPr>
              <w:pStyle w:val="Els-body-text"/>
              <w:jc w:val="center"/>
            </w:pPr>
            <w:r w:rsidRPr="005E53E5">
              <w:t>-414.40</w:t>
            </w:r>
          </w:p>
        </w:tc>
      </w:tr>
    </w:tbl>
    <w:p w14:paraId="1C051C62" w14:textId="77777777" w:rsidR="005E53E5" w:rsidRPr="005E53E5" w:rsidRDefault="005E53E5" w:rsidP="005E53E5">
      <w:pPr>
        <w:contextualSpacing/>
        <w:jc w:val="both"/>
      </w:pPr>
    </w:p>
    <w:p w14:paraId="144DE69D" w14:textId="46FE4050" w:rsidR="008D2649" w:rsidRDefault="005E53E5" w:rsidP="008D2649">
      <w:pPr>
        <w:pStyle w:val="Els-2ndorder-head"/>
      </w:pPr>
      <w:r>
        <w:t xml:space="preserve">Calibration and validation model </w:t>
      </w:r>
    </w:p>
    <w:p w14:paraId="34AEBD3C" w14:textId="73941680" w:rsidR="00183A6E" w:rsidRDefault="00183A6E" w:rsidP="00183A6E"/>
    <w:p w14:paraId="2BD7C774" w14:textId="03F20B9F" w:rsidR="00650035" w:rsidRDefault="00183A6E" w:rsidP="00183A6E">
      <w:pPr>
        <w:jc w:val="both"/>
      </w:pPr>
      <w:r>
        <w:t>Although rigorous models based on non-equilibrium (mass transfer) for process simulation may be available or developed, these represent a significant computational and mathematical expense mainly</w:t>
      </w:r>
      <w:r w:rsidR="005D0C63">
        <w:t>,</w:t>
      </w:r>
      <w:r>
        <w:t xml:space="preserve"> when these are components of a p</w:t>
      </w:r>
      <w:r w:rsidR="00650035">
        <w:t>lant</w:t>
      </w:r>
      <w:r>
        <w:t xml:space="preserve"> simulation or when </w:t>
      </w:r>
      <w:r w:rsidR="00650035">
        <w:t>an</w:t>
      </w:r>
      <w:r>
        <w:t xml:space="preserve"> optimiz</w:t>
      </w:r>
      <w:r w:rsidR="00650035">
        <w:t>ation task is required</w:t>
      </w:r>
      <w:r>
        <w:t xml:space="preserve">. An alternative to </w:t>
      </w:r>
      <w:r w:rsidR="00650035">
        <w:t xml:space="preserve">detailed </w:t>
      </w:r>
      <w:r>
        <w:t>mass transfer models involves the use of thermodynamic models based on phase equilibrium calculations, as well as the implementation of correction factors based on theor</w:t>
      </w:r>
      <w:r w:rsidR="0041429E">
        <w:t>et</w:t>
      </w:r>
      <w:r>
        <w:t xml:space="preserve">ical fundaments. For distillation columns, the Murphree efficiencies (Equation 1) </w:t>
      </w:r>
      <w:r w:rsidR="0041429E">
        <w:t>is</w:t>
      </w:r>
      <w:r w:rsidR="00650035">
        <w:t xml:space="preserve"> the most widely used</w:t>
      </w:r>
      <w:r w:rsidR="00CC5E0A">
        <w:t xml:space="preserve"> equation</w:t>
      </w:r>
      <w:r w:rsidR="00650035">
        <w:t>:</w:t>
      </w:r>
    </w:p>
    <w:p w14:paraId="361EABA5" w14:textId="77777777" w:rsidR="00B775BE" w:rsidRPr="00916B3D" w:rsidRDefault="00B775BE" w:rsidP="00183A6E">
      <w:pPr>
        <w:jc w:val="both"/>
        <w:rPr>
          <w:sz w:val="12"/>
          <w:szCs w:val="12"/>
        </w:rPr>
      </w:pPr>
    </w:p>
    <w:tbl>
      <w:tblPr>
        <w:tblW w:w="0" w:type="auto"/>
        <w:tblLook w:val="04A0" w:firstRow="1" w:lastRow="0" w:firstColumn="1" w:lastColumn="0" w:noHBand="0" w:noVBand="1"/>
      </w:tblPr>
      <w:tblGrid>
        <w:gridCol w:w="6122"/>
        <w:gridCol w:w="964"/>
      </w:tblGrid>
      <w:tr w:rsidR="00650035" w:rsidRPr="00A94774" w14:paraId="2AB46CFB" w14:textId="77777777" w:rsidTr="00650035">
        <w:tc>
          <w:tcPr>
            <w:tcW w:w="6317" w:type="dxa"/>
            <w:shd w:val="clear" w:color="auto" w:fill="auto"/>
            <w:vAlign w:val="center"/>
          </w:tcPr>
          <w:p w14:paraId="6F0C4B1A" w14:textId="445B2BAD" w:rsidR="00650035" w:rsidRPr="00650035" w:rsidRDefault="00000000" w:rsidP="00650035">
            <w:pPr>
              <w:pStyle w:val="Els-body-text"/>
              <w:spacing w:before="120" w:after="120" w:line="264" w:lineRule="auto"/>
              <w:jc w:val="center"/>
              <w:rPr>
                <w:lang w:val="en-GB"/>
              </w:rPr>
            </w:pPr>
            <m:oMathPara>
              <m:oMathParaPr>
                <m:jc m:val="center"/>
              </m:oMathParaPr>
              <m:oMath>
                <m:sSub>
                  <m:sSubPr>
                    <m:ctrlPr>
                      <w:rPr>
                        <w:rFonts w:ascii="Cambria Math" w:hAnsi="Cambria Math"/>
                        <w:lang w:val="en-GB"/>
                      </w:rPr>
                    </m:ctrlPr>
                  </m:sSubPr>
                  <m:e>
                    <m:r>
                      <w:rPr>
                        <w:rFonts w:ascii="Cambria Math"/>
                        <w:lang w:val="en-GB"/>
                      </w:rPr>
                      <m:t>η</m:t>
                    </m:r>
                  </m:e>
                  <m:sub>
                    <m:sSub>
                      <m:sSubPr>
                        <m:ctrlPr>
                          <w:rPr>
                            <w:rFonts w:ascii="Cambria Math" w:hAnsi="Cambria Math"/>
                            <w:lang w:val="en-GB"/>
                          </w:rPr>
                        </m:ctrlPr>
                      </m:sSubPr>
                      <m:e>
                        <m:r>
                          <w:rPr>
                            <w:rFonts w:ascii="Cambria Math"/>
                            <w:lang w:val="en-GB"/>
                          </w:rPr>
                          <m:t>M</m:t>
                        </m:r>
                      </m:e>
                      <m:sub>
                        <m:r>
                          <w:rPr>
                            <w:rFonts w:ascii="Cambria Math"/>
                            <w:lang w:val="en-GB"/>
                          </w:rPr>
                          <m:t>i,j</m:t>
                        </m:r>
                      </m:sub>
                    </m:sSub>
                  </m:sub>
                </m:sSub>
                <m:r>
                  <w:rPr>
                    <w:rFonts w:ascii="Cambria Math"/>
                    <w:lang w:val="en-GB"/>
                  </w:rPr>
                  <m:t>=</m:t>
                </m:r>
                <m:f>
                  <m:fPr>
                    <m:ctrlPr>
                      <w:rPr>
                        <w:rFonts w:ascii="Cambria Math" w:hAnsi="Cambria Math"/>
                        <w:lang w:val="en-GB"/>
                      </w:rPr>
                    </m:ctrlPr>
                  </m:fPr>
                  <m:num>
                    <m:sSub>
                      <m:sSubPr>
                        <m:ctrlPr>
                          <w:rPr>
                            <w:rFonts w:ascii="Cambria Math" w:hAnsi="Cambria Math"/>
                            <w:lang w:val="en-GB"/>
                          </w:rPr>
                        </m:ctrlPr>
                      </m:sSubPr>
                      <m:e>
                        <m:r>
                          <w:rPr>
                            <w:rFonts w:ascii="Cambria Math"/>
                            <w:lang w:val="en-GB"/>
                          </w:rPr>
                          <m:t>y</m:t>
                        </m:r>
                      </m:e>
                      <m:sub>
                        <m:r>
                          <w:rPr>
                            <w:rFonts w:ascii="Cambria Math"/>
                            <w:lang w:val="en-GB"/>
                          </w:rPr>
                          <m:t>i,j</m:t>
                        </m:r>
                      </m:sub>
                    </m:sSub>
                    <m:r>
                      <w:rPr>
                        <w:rFonts w:ascii="Cambria Math"/>
                        <w:lang w:val="en-GB"/>
                      </w:rPr>
                      <m:t>-</m:t>
                    </m:r>
                    <m:sSub>
                      <m:sSubPr>
                        <m:ctrlPr>
                          <w:rPr>
                            <w:rFonts w:ascii="Cambria Math" w:hAnsi="Cambria Math"/>
                            <w:lang w:val="en-GB"/>
                          </w:rPr>
                        </m:ctrlPr>
                      </m:sSubPr>
                      <m:e>
                        <m:r>
                          <w:rPr>
                            <w:rFonts w:ascii="Cambria Math"/>
                            <w:lang w:val="en-GB"/>
                          </w:rPr>
                          <m:t>y</m:t>
                        </m:r>
                      </m:e>
                      <m:sub>
                        <m:r>
                          <w:rPr>
                            <w:rFonts w:ascii="Cambria Math"/>
                            <w:lang w:val="en-GB"/>
                          </w:rPr>
                          <m:t>i,j+1</m:t>
                        </m:r>
                      </m:sub>
                    </m:sSub>
                  </m:num>
                  <m:den>
                    <m:sSubSup>
                      <m:sSubSupPr>
                        <m:ctrlPr>
                          <w:rPr>
                            <w:rFonts w:ascii="Cambria Math" w:hAnsi="Cambria Math"/>
                            <w:lang w:val="en-GB"/>
                          </w:rPr>
                        </m:ctrlPr>
                      </m:sSubSupPr>
                      <m:e>
                        <m:r>
                          <w:rPr>
                            <w:rFonts w:ascii="Cambria Math"/>
                            <w:lang w:val="en-GB"/>
                          </w:rPr>
                          <m:t>y</m:t>
                        </m:r>
                      </m:e>
                      <m:sub>
                        <m:r>
                          <w:rPr>
                            <w:rFonts w:ascii="Cambria Math"/>
                            <w:lang w:val="en-GB"/>
                          </w:rPr>
                          <m:t>i,j</m:t>
                        </m:r>
                      </m:sub>
                      <m:sup>
                        <m:r>
                          <m:rPr>
                            <m:sty m:val="p"/>
                          </m:rPr>
                          <w:rPr>
                            <w:rFonts w:ascii="Cambria Math" w:hAnsi="Cambria Math" w:cs="Cambria Math"/>
                            <w:lang w:val="en-GB"/>
                          </w:rPr>
                          <m:t>*</m:t>
                        </m:r>
                      </m:sup>
                    </m:sSubSup>
                    <m:r>
                      <w:rPr>
                        <w:rFonts w:ascii="Cambria Math"/>
                        <w:lang w:val="en-GB"/>
                      </w:rPr>
                      <m:t>-</m:t>
                    </m:r>
                    <m:sSub>
                      <m:sSubPr>
                        <m:ctrlPr>
                          <w:rPr>
                            <w:rFonts w:ascii="Cambria Math" w:hAnsi="Cambria Math"/>
                            <w:lang w:val="en-GB"/>
                          </w:rPr>
                        </m:ctrlPr>
                      </m:sSubPr>
                      <m:e>
                        <m:r>
                          <w:rPr>
                            <w:rFonts w:ascii="Cambria Math"/>
                            <w:lang w:val="en-GB"/>
                          </w:rPr>
                          <m:t>y</m:t>
                        </m:r>
                      </m:e>
                      <m:sub>
                        <m:r>
                          <w:rPr>
                            <w:rFonts w:ascii="Cambria Math"/>
                            <w:lang w:val="en-GB"/>
                          </w:rPr>
                          <m:t>i,j+1</m:t>
                        </m:r>
                      </m:sub>
                    </m:sSub>
                  </m:den>
                </m:f>
              </m:oMath>
            </m:oMathPara>
          </w:p>
        </w:tc>
        <w:tc>
          <w:tcPr>
            <w:tcW w:w="985" w:type="dxa"/>
            <w:shd w:val="clear" w:color="auto" w:fill="auto"/>
            <w:vAlign w:val="center"/>
          </w:tcPr>
          <w:p w14:paraId="45AA20AD" w14:textId="77777777" w:rsidR="00650035" w:rsidRPr="00A94774" w:rsidRDefault="00650035" w:rsidP="00DA4B95">
            <w:pPr>
              <w:pStyle w:val="Els-body-text"/>
              <w:spacing w:before="120" w:after="120" w:line="264" w:lineRule="auto"/>
              <w:jc w:val="center"/>
              <w:rPr>
                <w:lang w:val="en-GB"/>
              </w:rPr>
            </w:pPr>
            <w:r w:rsidRPr="00A94774">
              <w:rPr>
                <w:lang w:val="en-GB"/>
              </w:rPr>
              <w:t>(1)</w:t>
            </w:r>
          </w:p>
        </w:tc>
      </w:tr>
    </w:tbl>
    <w:p w14:paraId="322FCE5B" w14:textId="77777777" w:rsidR="00650035" w:rsidRPr="00B775BE" w:rsidRDefault="00650035" w:rsidP="00183A6E">
      <w:pPr>
        <w:jc w:val="both"/>
        <w:rPr>
          <w:sz w:val="12"/>
          <w:szCs w:val="12"/>
        </w:rPr>
      </w:pPr>
    </w:p>
    <w:p w14:paraId="26C6915F" w14:textId="6AD6D7E8" w:rsidR="00650035" w:rsidRDefault="00650035" w:rsidP="00650035">
      <w:pPr>
        <w:jc w:val="both"/>
      </w:pPr>
      <w:r>
        <w:t xml:space="preserve">Where </w:t>
      </w:r>
      <m:oMath>
        <m:sSub>
          <m:sSubPr>
            <m:ctrlPr>
              <w:rPr>
                <w:rFonts w:ascii="Cambria Math" w:hAnsi="Cambria Math"/>
              </w:rPr>
            </m:ctrlPr>
          </m:sSubPr>
          <m:e>
            <m:r>
              <w:rPr>
                <w:rFonts w:ascii="Cambria Math"/>
              </w:rPr>
              <m:t>η</m:t>
            </m:r>
          </m:e>
          <m:sub>
            <m:sSub>
              <m:sSubPr>
                <m:ctrlPr>
                  <w:rPr>
                    <w:rFonts w:ascii="Cambria Math" w:hAnsi="Cambria Math"/>
                  </w:rPr>
                </m:ctrlPr>
              </m:sSubPr>
              <m:e>
                <m:r>
                  <w:rPr>
                    <w:rFonts w:ascii="Cambria Math"/>
                  </w:rPr>
                  <m:t>M</m:t>
                </m:r>
              </m:e>
              <m:sub>
                <m:r>
                  <w:rPr>
                    <w:rFonts w:ascii="Cambria Math"/>
                  </w:rPr>
                  <m:t>i,j</m:t>
                </m:r>
              </m:sub>
            </m:sSub>
          </m:sub>
        </m:sSub>
      </m:oMath>
      <w:r>
        <w:t>is the Murphree vapor efficiency for component (</w:t>
      </w:r>
      <w:r w:rsidRPr="00650035">
        <w:rPr>
          <w:i/>
          <w:iCs/>
        </w:rPr>
        <w:t>i</w:t>
      </w:r>
      <w:r w:rsidRPr="00650035">
        <w:t>)</w:t>
      </w:r>
      <w:r>
        <w:t xml:space="preserve"> on stage (</w:t>
      </w:r>
      <w:r w:rsidRPr="00650035">
        <w:rPr>
          <w:i/>
          <w:iCs/>
        </w:rPr>
        <w:t>j</w:t>
      </w:r>
      <w:r>
        <w:t>)</w:t>
      </w:r>
      <w:r w:rsidR="005D0C63">
        <w:t>,</w:t>
      </w:r>
      <w:r>
        <w:t xml:space="preserve"> and can be seen as</w:t>
      </w:r>
      <w:r w:rsidR="0041429E">
        <w:t xml:space="preserve"> a </w:t>
      </w:r>
      <w:r>
        <w:t xml:space="preserve">simplified mass transfer parameter </w:t>
      </w:r>
      <w:r w:rsidR="0041429E">
        <w:t xml:space="preserve">that </w:t>
      </w:r>
      <w:r>
        <w:t>describes, how much the vapor composition changes</w:t>
      </w:r>
      <w:r w:rsidR="00CC5E0A">
        <w:t xml:space="preserve"> from the inlet composition (</w:t>
      </w:r>
      <m:oMath>
        <m:sSub>
          <m:sSubPr>
            <m:ctrlPr>
              <w:rPr>
                <w:rFonts w:ascii="Cambria Math" w:hAnsi="Cambria Math"/>
              </w:rPr>
            </m:ctrlPr>
          </m:sSubPr>
          <m:e>
            <m:r>
              <w:rPr>
                <w:rFonts w:ascii="Cambria Math"/>
              </w:rPr>
              <m:t>y</m:t>
            </m:r>
          </m:e>
          <m:sub>
            <m:r>
              <w:rPr>
                <w:rFonts w:ascii="Cambria Math"/>
              </w:rPr>
              <m:t>i,j</m:t>
            </m:r>
          </m:sub>
        </m:sSub>
        <m:r>
          <w:rPr>
            <w:rFonts w:ascii="Cambria Math" w:hAnsi="Cambria Math"/>
          </w:rPr>
          <m:t xml:space="preserve">) </m:t>
        </m:r>
      </m:oMath>
      <w:r>
        <w:t xml:space="preserve"> </w:t>
      </w:r>
      <w:r w:rsidR="00CC5E0A">
        <w:t>to the outlet composition (</w:t>
      </w:r>
      <m:oMath>
        <m:sSub>
          <m:sSubPr>
            <m:ctrlPr>
              <w:rPr>
                <w:rFonts w:ascii="Cambria Math" w:hAnsi="Cambria Math"/>
              </w:rPr>
            </m:ctrlPr>
          </m:sSubPr>
          <m:e>
            <m:r>
              <w:rPr>
                <w:rFonts w:ascii="Cambria Math"/>
              </w:rPr>
              <m:t>y</m:t>
            </m:r>
          </m:e>
          <m:sub>
            <m:r>
              <w:rPr>
                <w:rFonts w:ascii="Cambria Math"/>
              </w:rPr>
              <m:t>i,j+1</m:t>
            </m:r>
          </m:sub>
        </m:sSub>
      </m:oMath>
      <w:r w:rsidR="00CC5E0A">
        <w:t>) while approaching the equilibrium composition (</w:t>
      </w:r>
      <m:oMath>
        <m:sSubSup>
          <m:sSubSupPr>
            <m:ctrlPr>
              <w:rPr>
                <w:rFonts w:ascii="Cambria Math" w:hAnsi="Cambria Math"/>
              </w:rPr>
            </m:ctrlPr>
          </m:sSubSupPr>
          <m:e>
            <m:r>
              <w:rPr>
                <w:rFonts w:ascii="Cambria Math"/>
              </w:rPr>
              <m:t>y</m:t>
            </m:r>
          </m:e>
          <m:sub>
            <m:r>
              <w:rPr>
                <w:rFonts w:ascii="Cambria Math"/>
              </w:rPr>
              <m:t>i,j</m:t>
            </m:r>
          </m:sub>
          <m:sup>
            <m:r>
              <m:rPr>
                <m:sty m:val="p"/>
              </m:rPr>
              <w:rPr>
                <w:rFonts w:ascii="Cambria Math" w:hAnsi="Cambria Math" w:cs="Cambria Math"/>
              </w:rPr>
              <m:t>*</m:t>
            </m:r>
          </m:sup>
        </m:sSubSup>
      </m:oMath>
      <w:r w:rsidR="00CC5E0A">
        <w:t>) for</w:t>
      </w:r>
      <w:r>
        <w:t xml:space="preserve"> each column stage</w:t>
      </w:r>
      <w:r w:rsidR="00F42280">
        <w:t xml:space="preserve"> </w:t>
      </w:r>
      <w:sdt>
        <w:sdtPr>
          <w:rPr>
            <w:color w:val="000000"/>
          </w:rPr>
          <w:tag w:val="MENDELEY_CITATION_v3_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"/>
          <w:id w:val="-1509753925"/>
          <w:placeholder>
            <w:docPart w:val="DefaultPlaceholder_-1854013440"/>
          </w:placeholder>
        </w:sdtPr>
        <w:sdtContent>
          <w:r w:rsidR="008F493D" w:rsidRPr="008F493D">
            <w:rPr>
              <w:color w:val="000000"/>
            </w:rPr>
            <w:t>(Brunazzi et al., 2018)</w:t>
          </w:r>
        </w:sdtContent>
      </w:sdt>
      <w:r>
        <w:t>.</w:t>
      </w:r>
    </w:p>
    <w:p w14:paraId="37E7DB12" w14:textId="024E188D" w:rsidR="00183A6E" w:rsidRDefault="00183A6E" w:rsidP="00183A6E">
      <w:pPr>
        <w:jc w:val="both"/>
      </w:pPr>
    </w:p>
    <w:p w14:paraId="451ADE21" w14:textId="723D3ADE" w:rsidR="006A6A5A" w:rsidRDefault="00CC5E0A" w:rsidP="00183A6E">
      <w:pPr>
        <w:jc w:val="both"/>
      </w:pPr>
      <w:r>
        <w:t xml:space="preserve">For calibration and validation </w:t>
      </w:r>
      <w:r w:rsidR="005D0C63">
        <w:t>tasks, a</w:t>
      </w:r>
      <w:r>
        <w:t xml:space="preserve"> COM interface between Python and Aspen Plus was develop</w:t>
      </w:r>
      <w:r w:rsidR="0041429E">
        <w:t>ed</w:t>
      </w:r>
      <w:r>
        <w:t xml:space="preserve"> to automat</w:t>
      </w:r>
      <w:r w:rsidR="0041429E">
        <w:t>e</w:t>
      </w:r>
      <w:r>
        <w:t xml:space="preserve"> the framework steps</w:t>
      </w:r>
      <w:r w:rsidR="005D0C63">
        <w:t xml:space="preserve">. Initially, a </w:t>
      </w:r>
      <w:r>
        <w:t>sensitivity analysis was performed on</w:t>
      </w:r>
      <w:r w:rsidR="0041429E">
        <w:t xml:space="preserve"> the</w:t>
      </w:r>
      <w:r>
        <w:t xml:space="preserve"> process simulator, </w:t>
      </w:r>
      <w:r w:rsidR="005D0C63">
        <w:t>generating a dataset</w:t>
      </w:r>
      <w:r>
        <w:t xml:space="preserve"> with different values of the Murphree efficiency</w:t>
      </w:r>
      <w:r w:rsidR="00BB4EAA">
        <w:t xml:space="preserve"> (0.10-0.99)</w:t>
      </w:r>
      <w:r w:rsidR="005D0C63">
        <w:t>. T</w:t>
      </w:r>
      <w:r>
        <w:t xml:space="preserve">his dataset </w:t>
      </w:r>
      <w:r w:rsidR="005D0C63">
        <w:t>was</w:t>
      </w:r>
      <w:r>
        <w:t xml:space="preserve"> used </w:t>
      </w:r>
      <w:r w:rsidR="008730D4">
        <w:t xml:space="preserve">in order to </w:t>
      </w:r>
      <w:r w:rsidR="006122DB">
        <w:t>train</w:t>
      </w:r>
      <w:r w:rsidR="008730D4">
        <w:t xml:space="preserve"> </w:t>
      </w:r>
      <w:r w:rsidR="006122DB">
        <w:t>the</w:t>
      </w:r>
      <w:r w:rsidR="00C70564">
        <w:t xml:space="preserve"> Artificial Neural Network</w:t>
      </w:r>
      <w:r w:rsidR="008730D4">
        <w:t xml:space="preserve"> </w:t>
      </w:r>
      <w:r w:rsidR="00C70564">
        <w:t>(</w:t>
      </w:r>
      <w:r>
        <w:t>ANN</w:t>
      </w:r>
      <w:r w:rsidR="00C70564">
        <w:t>)</w:t>
      </w:r>
      <w:r>
        <w:t xml:space="preserve"> </w:t>
      </w:r>
      <w:r w:rsidR="00BB4EAA">
        <w:t>(test size: 30 %)</w:t>
      </w:r>
      <w:r>
        <w:t xml:space="preserve"> and</w:t>
      </w:r>
      <w:r w:rsidR="00BB4EAA">
        <w:t xml:space="preserve"> the </w:t>
      </w:r>
      <w:r>
        <w:t>obtention of the estimate</w:t>
      </w:r>
      <w:r w:rsidR="00F42280">
        <w:t>d</w:t>
      </w:r>
      <w:r>
        <w:t xml:space="preserve"> efficiency value</w:t>
      </w:r>
      <w:r w:rsidR="00F42280">
        <w:t>.</w:t>
      </w:r>
      <w:r>
        <w:t xml:space="preserve"> </w:t>
      </w:r>
      <w:r w:rsidR="00F42280">
        <w:t>Subsequently</w:t>
      </w:r>
      <w:r>
        <w:t xml:space="preserve">, this </w:t>
      </w:r>
      <w:r w:rsidR="00F42280">
        <w:t xml:space="preserve">estimated </w:t>
      </w:r>
      <w:r>
        <w:t>value</w:t>
      </w:r>
      <w:r w:rsidR="00F42280">
        <w:t xml:space="preserve"> underwent validation in the process </w:t>
      </w:r>
      <w:r>
        <w:t>simulation</w:t>
      </w:r>
      <w:r w:rsidR="00F42280">
        <w:t>,</w:t>
      </w:r>
      <w:r>
        <w:t xml:space="preserve"> </w:t>
      </w:r>
      <w:r w:rsidR="00BB4EAA">
        <w:t xml:space="preserve">and the Root Mean Square Error (RMSE) </w:t>
      </w:r>
      <w:r w:rsidR="00F42280">
        <w:t xml:space="preserve">was </w:t>
      </w:r>
      <w:r w:rsidR="00AA0395">
        <w:t xml:space="preserve">used </w:t>
      </w:r>
      <w:r w:rsidR="00BB4EAA">
        <w:t>as</w:t>
      </w:r>
      <w:r w:rsidR="00F42280">
        <w:t xml:space="preserve"> </w:t>
      </w:r>
      <w:r w:rsidR="00357BB9">
        <w:t xml:space="preserve">a </w:t>
      </w:r>
      <w:r w:rsidR="00AA0395">
        <w:t xml:space="preserve">performance metric to </w:t>
      </w:r>
      <w:r w:rsidR="00AA0395" w:rsidRPr="00AA0395">
        <w:t>measure the differences between predicted and</w:t>
      </w:r>
      <w:r w:rsidR="000625DC">
        <w:t xml:space="preserve"> </w:t>
      </w:r>
      <w:r w:rsidR="00633E63">
        <w:t xml:space="preserve">real </w:t>
      </w:r>
      <w:r w:rsidR="00633E63" w:rsidRPr="00AA0395">
        <w:t>values</w:t>
      </w:r>
      <w:r w:rsidR="001221B6">
        <w:t>.</w:t>
      </w:r>
    </w:p>
    <w:p w14:paraId="67EB2AAF" w14:textId="77777777" w:rsidR="00CC5E0A" w:rsidRDefault="00CC5E0A" w:rsidP="00183A6E">
      <w:pPr>
        <w:jc w:val="both"/>
      </w:pPr>
    </w:p>
    <w:p w14:paraId="3D3EA053" w14:textId="6D712DDD" w:rsidR="005576B2" w:rsidRDefault="0075298E" w:rsidP="005576B2">
      <w:pPr>
        <w:jc w:val="both"/>
      </w:pPr>
      <w:r>
        <w:lastRenderedPageBreak/>
        <w:t xml:space="preserve">The neural networks employed </w:t>
      </w:r>
      <w:r w:rsidR="00424D33">
        <w:t>were</w:t>
      </w:r>
      <w:r>
        <w:t xml:space="preserve"> multi-layer perceptron</w:t>
      </w:r>
      <w:r w:rsidR="00BB4EAA">
        <w:t xml:space="preserve"> (3)</w:t>
      </w:r>
      <w:r>
        <w:t xml:space="preserve"> </w:t>
      </w:r>
      <w:r w:rsidR="00BB4EAA">
        <w:t xml:space="preserve">using a rectified linear unit activation function (ReLU) with a sequential model and 750 epochs for each evaluated </w:t>
      </w:r>
      <w:r w:rsidR="005576B2">
        <w:t>scenario.</w:t>
      </w:r>
    </w:p>
    <w:p w14:paraId="62F7878F" w14:textId="34590C80" w:rsidR="006A6A5A" w:rsidRDefault="006A6A5A" w:rsidP="006A6A5A">
      <w:pPr>
        <w:pStyle w:val="Els-2ndorder-head"/>
      </w:pPr>
      <w:r>
        <w:t>Identification of optimal operative zones</w:t>
      </w:r>
    </w:p>
    <w:p w14:paraId="10310AD5" w14:textId="1D7DC9C2" w:rsidR="006A6A5A" w:rsidRPr="00183A6E" w:rsidRDefault="00324BE1" w:rsidP="00324BE1">
      <w:pPr>
        <w:spacing w:before="240"/>
        <w:jc w:val="both"/>
      </w:pPr>
      <w:r>
        <w:t>For the identification of optimal operative zones, the reboiler duty, condenser duty</w:t>
      </w:r>
      <w:r w:rsidR="0041429E">
        <w:t>,</w:t>
      </w:r>
      <w:r>
        <w:t xml:space="preserve"> and product mass fraction w</w:t>
      </w:r>
      <w:r w:rsidR="0041429E">
        <w:t>ere</w:t>
      </w:r>
      <w:r>
        <w:t xml:space="preserve"> considered relevant variables. Therefore, the use of</w:t>
      </w:r>
      <w:r w:rsidR="0041429E">
        <w:t xml:space="preserve"> the</w:t>
      </w:r>
      <w:r>
        <w:t xml:space="preserve"> utopia-tracking approach was implemented to identify </w:t>
      </w:r>
      <w:r w:rsidR="0041429E">
        <w:t xml:space="preserve">the </w:t>
      </w:r>
      <w:r>
        <w:t xml:space="preserve">condition with minimum reboiler and condenser duty and </w:t>
      </w:r>
      <w:r w:rsidR="0041429E">
        <w:t xml:space="preserve">a </w:t>
      </w:r>
      <w:r>
        <w:t xml:space="preserve">maximum purity of </w:t>
      </w:r>
      <w:r w:rsidR="0041429E">
        <w:t xml:space="preserve">the </w:t>
      </w:r>
      <w:r>
        <w:t xml:space="preserve">product. </w:t>
      </w:r>
    </w:p>
    <w:p w14:paraId="7597F4D5" w14:textId="57B50412" w:rsidR="006A6A5A" w:rsidRPr="00A94774" w:rsidRDefault="006A6A5A" w:rsidP="006A6A5A">
      <w:pPr>
        <w:pStyle w:val="Els-1storder-head"/>
        <w:spacing w:after="120"/>
        <w:rPr>
          <w:lang w:val="en-GB"/>
        </w:rPr>
      </w:pPr>
      <w:r>
        <w:rPr>
          <w:lang w:val="en-GB"/>
        </w:rPr>
        <w:t>Results</w:t>
      </w:r>
    </w:p>
    <w:p w14:paraId="4D25D22C" w14:textId="763ACDC7" w:rsidR="005E53E5" w:rsidRDefault="00E34128" w:rsidP="006A6A5A">
      <w:pPr>
        <w:pStyle w:val="Els-body-text"/>
        <w:rPr>
          <w:lang w:val="en-GB"/>
        </w:rPr>
      </w:pPr>
      <w:r>
        <w:rPr>
          <w:lang w:val="en-GB"/>
        </w:rPr>
        <w:t xml:space="preserve">Table 2 shows a comparative </w:t>
      </w:r>
      <w:r w:rsidR="005A2CF7">
        <w:rPr>
          <w:lang w:val="en-GB"/>
        </w:rPr>
        <w:t>summary between</w:t>
      </w:r>
      <w:r>
        <w:rPr>
          <w:lang w:val="en-GB"/>
        </w:rPr>
        <w:t xml:space="preserve"> the operative data, results of the hybrid model (calibrated), and the </w:t>
      </w:r>
      <w:r w:rsidR="00843908">
        <w:rPr>
          <w:lang w:val="en-GB"/>
        </w:rPr>
        <w:t>F</w:t>
      </w:r>
      <w:r>
        <w:rPr>
          <w:lang w:val="en-GB"/>
        </w:rPr>
        <w:t>irst</w:t>
      </w:r>
      <w:r w:rsidR="00843908">
        <w:rPr>
          <w:lang w:val="en-GB"/>
        </w:rPr>
        <w:t>-P</w:t>
      </w:r>
      <w:r>
        <w:rPr>
          <w:lang w:val="en-GB"/>
        </w:rPr>
        <w:t xml:space="preserve">rincipia model (process simulator results), the six scenarios report the value of the Murphree efficiencies, reboiler </w:t>
      </w:r>
      <w:r w:rsidR="005A2CF7">
        <w:rPr>
          <w:lang w:val="en-GB"/>
        </w:rPr>
        <w:t>duty, condenser</w:t>
      </w:r>
      <w:r>
        <w:rPr>
          <w:lang w:val="en-GB"/>
        </w:rPr>
        <w:t xml:space="preserve"> duty, top mass fraction, and the RMSE</w:t>
      </w:r>
      <w:r w:rsidR="005A2CF7">
        <w:rPr>
          <w:lang w:val="en-GB"/>
        </w:rPr>
        <w:t>.</w:t>
      </w:r>
    </w:p>
    <w:p w14:paraId="11BC1893" w14:textId="6F460C19" w:rsidR="00357BB9" w:rsidRPr="00DE2722" w:rsidRDefault="00357BB9" w:rsidP="00357BB9">
      <w:pPr>
        <w:pStyle w:val="Caption"/>
        <w:keepNext/>
        <w:jc w:val="center"/>
        <w:rPr>
          <w:sz w:val="20"/>
        </w:rPr>
      </w:pPr>
      <w:r w:rsidRPr="00DE2722">
        <w:rPr>
          <w:sz w:val="20"/>
        </w:rPr>
        <w:t xml:space="preserve">Table </w:t>
      </w:r>
      <w:r w:rsidRPr="00DE2722">
        <w:rPr>
          <w:sz w:val="20"/>
        </w:rPr>
        <w:fldChar w:fldCharType="begin"/>
      </w:r>
      <w:r w:rsidRPr="00DE2722">
        <w:rPr>
          <w:sz w:val="20"/>
        </w:rPr>
        <w:instrText xml:space="preserve"> SEQ Table \* ARABIC </w:instrText>
      </w:r>
      <w:r w:rsidRPr="00DE2722">
        <w:rPr>
          <w:sz w:val="20"/>
        </w:rPr>
        <w:fldChar w:fldCharType="separate"/>
      </w:r>
      <w:r>
        <w:rPr>
          <w:noProof/>
          <w:sz w:val="20"/>
        </w:rPr>
        <w:t>2</w:t>
      </w:r>
      <w:r w:rsidRPr="00DE2722">
        <w:rPr>
          <w:sz w:val="20"/>
        </w:rPr>
        <w:fldChar w:fldCharType="end"/>
      </w:r>
      <w:r w:rsidRPr="00DE2722">
        <w:rPr>
          <w:sz w:val="20"/>
        </w:rPr>
        <w:t>.</w:t>
      </w:r>
      <w:r w:rsidR="00076191">
        <w:rPr>
          <w:sz w:val="20"/>
        </w:rPr>
        <w:t xml:space="preserve"> Summary of the main</w:t>
      </w:r>
      <w:r>
        <w:rPr>
          <w:sz w:val="20"/>
        </w:rPr>
        <w:t xml:space="preserve"> results</w:t>
      </w:r>
      <w:r w:rsidRPr="00DE2722">
        <w:rPr>
          <w:sz w:val="20"/>
        </w:rPr>
        <w:t>.</w:t>
      </w: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992"/>
        <w:gridCol w:w="1134"/>
        <w:gridCol w:w="850"/>
        <w:gridCol w:w="993"/>
        <w:gridCol w:w="567"/>
      </w:tblGrid>
      <w:tr w:rsidR="00DA0FC4" w:rsidRPr="003744F9" w14:paraId="3DD4AB08" w14:textId="77777777" w:rsidTr="0076409A">
        <w:trPr>
          <w:trHeight w:val="277"/>
          <w:jc w:val="center"/>
        </w:trPr>
        <w:tc>
          <w:tcPr>
            <w:tcW w:w="993" w:type="dxa"/>
            <w:vAlign w:val="center"/>
          </w:tcPr>
          <w:p w14:paraId="6F42397B" w14:textId="1C6C7AF6" w:rsidR="00DA0FC4" w:rsidRPr="003744F9" w:rsidRDefault="00DA0FC4" w:rsidP="0076409A">
            <w:pPr>
              <w:jc w:val="center"/>
            </w:pPr>
            <w:r w:rsidRPr="003744F9">
              <w:t>Scenario</w:t>
            </w:r>
          </w:p>
        </w:tc>
        <w:tc>
          <w:tcPr>
            <w:tcW w:w="1134" w:type="dxa"/>
            <w:vAlign w:val="center"/>
          </w:tcPr>
          <w:p w14:paraId="5AA40F5B" w14:textId="3CF6463B" w:rsidR="00DA0FC4" w:rsidRPr="003744F9" w:rsidRDefault="00DA0FC4" w:rsidP="0076409A">
            <w:pPr>
              <w:jc w:val="center"/>
            </w:pPr>
            <w:r w:rsidRPr="003744F9">
              <w:t xml:space="preserve">Murphree </w:t>
            </w:r>
            <w:r w:rsidR="008F493D" w:rsidRPr="003744F9">
              <w:t>efficiency</w:t>
            </w:r>
            <w:r w:rsidRPr="003744F9">
              <w:t xml:space="preserve"> (ηM) (%)</w:t>
            </w:r>
          </w:p>
        </w:tc>
        <w:tc>
          <w:tcPr>
            <w:tcW w:w="992" w:type="dxa"/>
            <w:vAlign w:val="center"/>
          </w:tcPr>
          <w:p w14:paraId="4F26C800" w14:textId="082385E0" w:rsidR="00DA0FC4" w:rsidRDefault="00DA0FC4" w:rsidP="0076409A">
            <w:pPr>
              <w:jc w:val="center"/>
            </w:pPr>
            <w:r>
              <w:t>Reboiler</w:t>
            </w:r>
          </w:p>
          <w:p w14:paraId="2249640C" w14:textId="55D38D9C" w:rsidR="00DA0FC4" w:rsidRDefault="00DA0FC4" w:rsidP="0076409A">
            <w:pPr>
              <w:jc w:val="center"/>
            </w:pPr>
            <w:r>
              <w:t>duty</w:t>
            </w:r>
          </w:p>
          <w:p w14:paraId="62EDF0A5" w14:textId="6BB88EC1" w:rsidR="00DA0FC4" w:rsidRPr="003744F9" w:rsidRDefault="00DA0FC4" w:rsidP="0076409A">
            <w:pPr>
              <w:jc w:val="center"/>
            </w:pPr>
            <w:r>
              <w:t>(MW)</w:t>
            </w:r>
          </w:p>
        </w:tc>
        <w:tc>
          <w:tcPr>
            <w:tcW w:w="1134" w:type="dxa"/>
            <w:vAlign w:val="center"/>
          </w:tcPr>
          <w:p w14:paraId="684BCAF5" w14:textId="7CB0493F" w:rsidR="00DA0FC4" w:rsidRDefault="00DA0FC4" w:rsidP="0076409A">
            <w:pPr>
              <w:jc w:val="center"/>
            </w:pPr>
            <w:r>
              <w:t>Condenser duty</w:t>
            </w:r>
          </w:p>
          <w:p w14:paraId="761CD95D" w14:textId="2FEC6C18" w:rsidR="00DA0FC4" w:rsidRPr="003744F9" w:rsidRDefault="00DA0FC4" w:rsidP="0076409A">
            <w:pPr>
              <w:jc w:val="center"/>
            </w:pPr>
            <w:r>
              <w:t>(MW)</w:t>
            </w:r>
          </w:p>
        </w:tc>
        <w:tc>
          <w:tcPr>
            <w:tcW w:w="850" w:type="dxa"/>
            <w:vAlign w:val="center"/>
          </w:tcPr>
          <w:p w14:paraId="62231D4F" w14:textId="3CFAF4BA" w:rsidR="00DA0FC4" w:rsidRPr="003744F9" w:rsidRDefault="001221B6" w:rsidP="0076409A">
            <w:pPr>
              <w:jc w:val="center"/>
            </w:pPr>
            <w:r>
              <w:t>Top m</w:t>
            </w:r>
            <w:r w:rsidR="00DA0FC4">
              <w:t>ass fraction</w:t>
            </w:r>
          </w:p>
        </w:tc>
        <w:tc>
          <w:tcPr>
            <w:tcW w:w="993" w:type="dxa"/>
            <w:vAlign w:val="center"/>
          </w:tcPr>
          <w:p w14:paraId="4079A43E" w14:textId="77777777" w:rsidR="00DA0FC4" w:rsidRPr="00DA0FC4" w:rsidRDefault="00DA0FC4" w:rsidP="0076409A">
            <w:pPr>
              <w:jc w:val="center"/>
            </w:pPr>
          </w:p>
          <w:p w14:paraId="5BC13C72" w14:textId="6E976138" w:rsidR="00DA0FC4" w:rsidRPr="00DA0FC4" w:rsidRDefault="00DA0FC4" w:rsidP="0076409A">
            <w:pPr>
              <w:jc w:val="center"/>
            </w:pPr>
            <w:r w:rsidRPr="00DA0FC4">
              <w:t>RMSE</w:t>
            </w:r>
          </w:p>
        </w:tc>
        <w:tc>
          <w:tcPr>
            <w:tcW w:w="567" w:type="dxa"/>
            <w:vAlign w:val="center"/>
          </w:tcPr>
          <w:p w14:paraId="782851BD" w14:textId="17ACD056" w:rsidR="00DA0FC4" w:rsidRPr="003744F9" w:rsidRDefault="00DA0FC4" w:rsidP="0076409A">
            <w:pPr>
              <w:jc w:val="center"/>
              <w:rPr>
                <w:vertAlign w:val="superscript"/>
              </w:rPr>
            </w:pPr>
          </w:p>
        </w:tc>
      </w:tr>
      <w:tr w:rsidR="00E34128" w:rsidRPr="003744F9" w14:paraId="2165AA8D" w14:textId="77777777" w:rsidTr="0076409A">
        <w:trPr>
          <w:trHeight w:val="277"/>
          <w:jc w:val="center"/>
        </w:trPr>
        <w:tc>
          <w:tcPr>
            <w:tcW w:w="993" w:type="dxa"/>
            <w:vMerge w:val="restart"/>
            <w:vAlign w:val="center"/>
            <w:hideMark/>
          </w:tcPr>
          <w:p w14:paraId="1D81D637" w14:textId="77777777" w:rsidR="00E34128" w:rsidRPr="003744F9" w:rsidRDefault="00E34128" w:rsidP="0076409A">
            <w:pPr>
              <w:jc w:val="center"/>
            </w:pPr>
            <w:r w:rsidRPr="003744F9">
              <w:t>I</w:t>
            </w:r>
          </w:p>
        </w:tc>
        <w:tc>
          <w:tcPr>
            <w:tcW w:w="1134" w:type="dxa"/>
            <w:vAlign w:val="center"/>
          </w:tcPr>
          <w:p w14:paraId="1903BD8C" w14:textId="1E145CFD" w:rsidR="00E34128" w:rsidRPr="003744F9" w:rsidRDefault="00893A28" w:rsidP="0076409A">
            <w:pPr>
              <w:jc w:val="center"/>
            </w:pPr>
            <w:r>
              <w:t>-</w:t>
            </w:r>
          </w:p>
        </w:tc>
        <w:tc>
          <w:tcPr>
            <w:tcW w:w="992" w:type="dxa"/>
            <w:vAlign w:val="center"/>
          </w:tcPr>
          <w:p w14:paraId="3F8B54DD" w14:textId="77777777" w:rsidR="00E34128" w:rsidRPr="003744F9" w:rsidRDefault="00E34128" w:rsidP="0076409A">
            <w:pPr>
              <w:jc w:val="center"/>
            </w:pPr>
            <w:r w:rsidRPr="003744F9">
              <w:t>185.80</w:t>
            </w:r>
          </w:p>
        </w:tc>
        <w:tc>
          <w:tcPr>
            <w:tcW w:w="1134" w:type="dxa"/>
            <w:vAlign w:val="center"/>
          </w:tcPr>
          <w:p w14:paraId="39CCF702" w14:textId="71715765" w:rsidR="00E34128" w:rsidRPr="003744F9" w:rsidRDefault="00E34128" w:rsidP="0076409A">
            <w:pPr>
              <w:jc w:val="center"/>
            </w:pPr>
            <w:r w:rsidRPr="003744F9">
              <w:t>-187.4</w:t>
            </w:r>
            <w:r w:rsidR="00390A59">
              <w:t>0</w:t>
            </w:r>
          </w:p>
        </w:tc>
        <w:tc>
          <w:tcPr>
            <w:tcW w:w="850" w:type="dxa"/>
            <w:vAlign w:val="center"/>
          </w:tcPr>
          <w:p w14:paraId="5C3E72BB" w14:textId="77777777" w:rsidR="00E34128" w:rsidRPr="003744F9" w:rsidRDefault="00E34128" w:rsidP="0076409A">
            <w:pPr>
              <w:jc w:val="center"/>
            </w:pPr>
            <w:r w:rsidRPr="003744F9">
              <w:t>0.9771</w:t>
            </w:r>
          </w:p>
        </w:tc>
        <w:tc>
          <w:tcPr>
            <w:tcW w:w="993" w:type="dxa"/>
            <w:vAlign w:val="center"/>
          </w:tcPr>
          <w:p w14:paraId="611DBFA2" w14:textId="04916AA6" w:rsidR="00E34128" w:rsidRPr="00DA0FC4" w:rsidRDefault="00893A28" w:rsidP="0076409A">
            <w:pPr>
              <w:jc w:val="center"/>
            </w:pPr>
            <w:r>
              <w:t>-</w:t>
            </w:r>
          </w:p>
        </w:tc>
        <w:tc>
          <w:tcPr>
            <w:tcW w:w="567" w:type="dxa"/>
            <w:vAlign w:val="center"/>
          </w:tcPr>
          <w:p w14:paraId="62C457B5" w14:textId="1742095C" w:rsidR="00E34128" w:rsidRPr="003744F9" w:rsidRDefault="00E34128" w:rsidP="0076409A">
            <w:pPr>
              <w:jc w:val="center"/>
              <w:rPr>
                <w:vertAlign w:val="superscript"/>
              </w:rPr>
            </w:pPr>
            <w:r>
              <w:rPr>
                <w:vertAlign w:val="superscript"/>
              </w:rPr>
              <w:t>OD</w:t>
            </w:r>
          </w:p>
        </w:tc>
      </w:tr>
      <w:tr w:rsidR="00E34128" w:rsidRPr="003744F9" w14:paraId="42021B38" w14:textId="77777777" w:rsidTr="0076409A">
        <w:trPr>
          <w:trHeight w:val="277"/>
          <w:jc w:val="center"/>
        </w:trPr>
        <w:tc>
          <w:tcPr>
            <w:tcW w:w="993" w:type="dxa"/>
            <w:vMerge/>
            <w:vAlign w:val="center"/>
          </w:tcPr>
          <w:p w14:paraId="544C96FF" w14:textId="77777777" w:rsidR="00E34128" w:rsidRPr="003744F9" w:rsidRDefault="00E34128" w:rsidP="0076409A">
            <w:pPr>
              <w:jc w:val="center"/>
            </w:pPr>
          </w:p>
        </w:tc>
        <w:tc>
          <w:tcPr>
            <w:tcW w:w="1134" w:type="dxa"/>
            <w:vAlign w:val="center"/>
          </w:tcPr>
          <w:p w14:paraId="1949A22F" w14:textId="4AE320D0" w:rsidR="00E34128" w:rsidRPr="003744F9" w:rsidRDefault="00E34128" w:rsidP="0076409A">
            <w:pPr>
              <w:jc w:val="center"/>
            </w:pPr>
            <w:r w:rsidRPr="003744F9">
              <w:t>0.6</w:t>
            </w:r>
            <w:r w:rsidR="009876B0">
              <w:t>7</w:t>
            </w:r>
          </w:p>
        </w:tc>
        <w:tc>
          <w:tcPr>
            <w:tcW w:w="992" w:type="dxa"/>
            <w:vAlign w:val="center"/>
          </w:tcPr>
          <w:p w14:paraId="782245E7" w14:textId="60756150" w:rsidR="00E34128" w:rsidRPr="003744F9" w:rsidRDefault="00E34128" w:rsidP="0076409A">
            <w:pPr>
              <w:jc w:val="center"/>
            </w:pPr>
            <w:r w:rsidRPr="003744F9">
              <w:t>184.58</w:t>
            </w:r>
          </w:p>
        </w:tc>
        <w:tc>
          <w:tcPr>
            <w:tcW w:w="1134" w:type="dxa"/>
            <w:vAlign w:val="center"/>
          </w:tcPr>
          <w:p w14:paraId="2931F86C" w14:textId="1458B2B1" w:rsidR="00E34128" w:rsidRPr="003744F9" w:rsidRDefault="00E34128" w:rsidP="0076409A">
            <w:pPr>
              <w:jc w:val="center"/>
            </w:pPr>
            <w:r w:rsidRPr="003744F9">
              <w:t>-186.03</w:t>
            </w:r>
          </w:p>
        </w:tc>
        <w:tc>
          <w:tcPr>
            <w:tcW w:w="850" w:type="dxa"/>
            <w:vAlign w:val="center"/>
          </w:tcPr>
          <w:p w14:paraId="05BEE4AD" w14:textId="77777777" w:rsidR="00E34128" w:rsidRPr="003744F9" w:rsidRDefault="00E34128" w:rsidP="0076409A">
            <w:pPr>
              <w:jc w:val="center"/>
            </w:pPr>
            <w:r w:rsidRPr="003744F9">
              <w:t>0.9702</w:t>
            </w:r>
          </w:p>
        </w:tc>
        <w:tc>
          <w:tcPr>
            <w:tcW w:w="993" w:type="dxa"/>
            <w:vAlign w:val="center"/>
          </w:tcPr>
          <w:p w14:paraId="34CCEBED" w14:textId="74708132" w:rsidR="00E34128" w:rsidRPr="00DA0FC4" w:rsidRDefault="00E34128" w:rsidP="0076409A">
            <w:pPr>
              <w:jc w:val="center"/>
            </w:pPr>
            <w:r>
              <w:t>1.0</w:t>
            </w:r>
            <w:r w:rsidR="009876B0">
              <w:t>6</w:t>
            </w:r>
          </w:p>
        </w:tc>
        <w:tc>
          <w:tcPr>
            <w:tcW w:w="567" w:type="dxa"/>
            <w:vAlign w:val="center"/>
          </w:tcPr>
          <w:p w14:paraId="07577A79" w14:textId="4D4D97FF" w:rsidR="00E34128" w:rsidRPr="003744F9" w:rsidRDefault="00E34128" w:rsidP="0076409A">
            <w:pPr>
              <w:jc w:val="center"/>
              <w:rPr>
                <w:vertAlign w:val="superscript"/>
              </w:rPr>
            </w:pPr>
            <w:r w:rsidRPr="003744F9">
              <w:rPr>
                <w:vertAlign w:val="superscript"/>
              </w:rPr>
              <w:t>C</w:t>
            </w:r>
          </w:p>
        </w:tc>
      </w:tr>
      <w:tr w:rsidR="00E34128" w:rsidRPr="003744F9" w14:paraId="3D0932A9" w14:textId="77777777" w:rsidTr="0076409A">
        <w:trPr>
          <w:trHeight w:val="277"/>
          <w:jc w:val="center"/>
        </w:trPr>
        <w:tc>
          <w:tcPr>
            <w:tcW w:w="993" w:type="dxa"/>
            <w:vMerge/>
            <w:vAlign w:val="center"/>
          </w:tcPr>
          <w:p w14:paraId="65DB1413" w14:textId="77777777" w:rsidR="00E34128" w:rsidRPr="003744F9" w:rsidRDefault="00E34128" w:rsidP="0076409A">
            <w:pPr>
              <w:jc w:val="center"/>
            </w:pPr>
          </w:p>
        </w:tc>
        <w:tc>
          <w:tcPr>
            <w:tcW w:w="1134" w:type="dxa"/>
            <w:vAlign w:val="center"/>
          </w:tcPr>
          <w:p w14:paraId="209E09DA" w14:textId="5C7061BD" w:rsidR="00E34128" w:rsidRPr="003744F9" w:rsidRDefault="00E34128" w:rsidP="0076409A">
            <w:pPr>
              <w:jc w:val="center"/>
            </w:pPr>
            <w:r>
              <w:t>1.00</w:t>
            </w:r>
          </w:p>
        </w:tc>
        <w:tc>
          <w:tcPr>
            <w:tcW w:w="992" w:type="dxa"/>
            <w:vAlign w:val="center"/>
          </w:tcPr>
          <w:p w14:paraId="36EB082C" w14:textId="6AD1F95F" w:rsidR="00E34128" w:rsidRPr="003744F9" w:rsidRDefault="00E34128" w:rsidP="0076409A">
            <w:pPr>
              <w:jc w:val="center"/>
            </w:pPr>
            <w:r w:rsidRPr="003744F9">
              <w:t>181.79</w:t>
            </w:r>
          </w:p>
        </w:tc>
        <w:tc>
          <w:tcPr>
            <w:tcW w:w="1134" w:type="dxa"/>
            <w:vAlign w:val="center"/>
          </w:tcPr>
          <w:p w14:paraId="7087B8E8" w14:textId="6EA3DBBD" w:rsidR="00E34128" w:rsidRPr="003744F9" w:rsidRDefault="00E34128" w:rsidP="0076409A">
            <w:pPr>
              <w:jc w:val="center"/>
            </w:pPr>
            <w:r w:rsidRPr="003744F9">
              <w:t>-182.97</w:t>
            </w:r>
          </w:p>
        </w:tc>
        <w:tc>
          <w:tcPr>
            <w:tcW w:w="850" w:type="dxa"/>
            <w:vAlign w:val="center"/>
          </w:tcPr>
          <w:p w14:paraId="6621A800" w14:textId="77777777" w:rsidR="00E34128" w:rsidRPr="003744F9" w:rsidRDefault="00E34128" w:rsidP="0076409A">
            <w:pPr>
              <w:jc w:val="center"/>
            </w:pPr>
            <w:r w:rsidRPr="003744F9">
              <w:t>0.9841</w:t>
            </w:r>
          </w:p>
        </w:tc>
        <w:tc>
          <w:tcPr>
            <w:tcW w:w="993" w:type="dxa"/>
            <w:vAlign w:val="center"/>
          </w:tcPr>
          <w:p w14:paraId="3C3EFD02" w14:textId="718CFB42" w:rsidR="00E34128" w:rsidRPr="00DA0FC4" w:rsidRDefault="00E34128" w:rsidP="0076409A">
            <w:pPr>
              <w:jc w:val="center"/>
            </w:pPr>
            <w:r>
              <w:t>3.4</w:t>
            </w:r>
            <w:r w:rsidR="009876B0">
              <w:t>5</w:t>
            </w:r>
          </w:p>
        </w:tc>
        <w:tc>
          <w:tcPr>
            <w:tcW w:w="567" w:type="dxa"/>
            <w:vAlign w:val="center"/>
          </w:tcPr>
          <w:p w14:paraId="34370009" w14:textId="3483B838" w:rsidR="00E34128" w:rsidRPr="003744F9" w:rsidRDefault="00E34128" w:rsidP="0076409A">
            <w:pPr>
              <w:jc w:val="center"/>
              <w:rPr>
                <w:vertAlign w:val="superscript"/>
              </w:rPr>
            </w:pPr>
            <w:r w:rsidRPr="003744F9">
              <w:rPr>
                <w:vertAlign w:val="superscript"/>
              </w:rPr>
              <w:t>NC</w:t>
            </w:r>
          </w:p>
        </w:tc>
      </w:tr>
      <w:tr w:rsidR="00E34128" w:rsidRPr="003744F9" w14:paraId="5E021E92" w14:textId="77777777" w:rsidTr="0076409A">
        <w:trPr>
          <w:trHeight w:val="264"/>
          <w:jc w:val="center"/>
        </w:trPr>
        <w:tc>
          <w:tcPr>
            <w:tcW w:w="993" w:type="dxa"/>
            <w:vMerge w:val="restart"/>
            <w:vAlign w:val="center"/>
          </w:tcPr>
          <w:p w14:paraId="24E94B9F" w14:textId="77777777" w:rsidR="00E34128" w:rsidRPr="003744F9" w:rsidRDefault="00E34128" w:rsidP="0076409A">
            <w:pPr>
              <w:jc w:val="center"/>
            </w:pPr>
            <w:r w:rsidRPr="003744F9">
              <w:t>II</w:t>
            </w:r>
          </w:p>
        </w:tc>
        <w:tc>
          <w:tcPr>
            <w:tcW w:w="1134" w:type="dxa"/>
            <w:vAlign w:val="center"/>
          </w:tcPr>
          <w:p w14:paraId="2506DE84" w14:textId="0E4012E8" w:rsidR="00E34128" w:rsidRPr="003744F9" w:rsidRDefault="00893A28" w:rsidP="0076409A">
            <w:pPr>
              <w:jc w:val="center"/>
            </w:pPr>
            <w:r>
              <w:t>-</w:t>
            </w:r>
          </w:p>
        </w:tc>
        <w:tc>
          <w:tcPr>
            <w:tcW w:w="992" w:type="dxa"/>
            <w:vAlign w:val="center"/>
          </w:tcPr>
          <w:p w14:paraId="139339EF" w14:textId="77777777" w:rsidR="00E34128" w:rsidRPr="003744F9" w:rsidRDefault="00E34128" w:rsidP="0076409A">
            <w:pPr>
              <w:jc w:val="center"/>
            </w:pPr>
            <w:r w:rsidRPr="003744F9">
              <w:t>237.20</w:t>
            </w:r>
          </w:p>
        </w:tc>
        <w:tc>
          <w:tcPr>
            <w:tcW w:w="1134" w:type="dxa"/>
            <w:vAlign w:val="center"/>
          </w:tcPr>
          <w:p w14:paraId="470B447D" w14:textId="77777777" w:rsidR="00E34128" w:rsidRPr="003744F9" w:rsidRDefault="00E34128" w:rsidP="0076409A">
            <w:pPr>
              <w:jc w:val="center"/>
            </w:pPr>
            <w:r w:rsidRPr="003744F9">
              <w:t>-238.90</w:t>
            </w:r>
          </w:p>
        </w:tc>
        <w:tc>
          <w:tcPr>
            <w:tcW w:w="850" w:type="dxa"/>
            <w:vAlign w:val="center"/>
          </w:tcPr>
          <w:p w14:paraId="7A18F529" w14:textId="77777777" w:rsidR="00E34128" w:rsidRPr="003744F9" w:rsidRDefault="00E34128" w:rsidP="0076409A">
            <w:pPr>
              <w:jc w:val="center"/>
            </w:pPr>
            <w:r w:rsidRPr="003744F9">
              <w:t>0.9859</w:t>
            </w:r>
          </w:p>
        </w:tc>
        <w:tc>
          <w:tcPr>
            <w:tcW w:w="993" w:type="dxa"/>
            <w:vAlign w:val="center"/>
          </w:tcPr>
          <w:p w14:paraId="7263AF83" w14:textId="59B52092" w:rsidR="00E34128" w:rsidRPr="00DA0FC4" w:rsidRDefault="00893A28" w:rsidP="0076409A">
            <w:pPr>
              <w:jc w:val="center"/>
            </w:pPr>
            <w:r>
              <w:t>-</w:t>
            </w:r>
          </w:p>
        </w:tc>
        <w:tc>
          <w:tcPr>
            <w:tcW w:w="567" w:type="dxa"/>
            <w:vAlign w:val="center"/>
          </w:tcPr>
          <w:p w14:paraId="2A822640" w14:textId="20747B09" w:rsidR="00E34128" w:rsidRPr="003744F9" w:rsidRDefault="00E34128" w:rsidP="0076409A">
            <w:pPr>
              <w:jc w:val="center"/>
              <w:rPr>
                <w:vertAlign w:val="superscript"/>
              </w:rPr>
            </w:pPr>
            <w:r>
              <w:rPr>
                <w:vertAlign w:val="superscript"/>
              </w:rPr>
              <w:t>OD</w:t>
            </w:r>
          </w:p>
        </w:tc>
      </w:tr>
      <w:tr w:rsidR="00E34128" w:rsidRPr="003744F9" w14:paraId="46492494" w14:textId="77777777" w:rsidTr="0076409A">
        <w:trPr>
          <w:trHeight w:val="264"/>
          <w:jc w:val="center"/>
        </w:trPr>
        <w:tc>
          <w:tcPr>
            <w:tcW w:w="993" w:type="dxa"/>
            <w:vMerge/>
            <w:vAlign w:val="center"/>
          </w:tcPr>
          <w:p w14:paraId="125B9F28" w14:textId="77777777" w:rsidR="00E34128" w:rsidRPr="003744F9" w:rsidRDefault="00E34128" w:rsidP="0076409A">
            <w:pPr>
              <w:jc w:val="center"/>
            </w:pPr>
          </w:p>
        </w:tc>
        <w:tc>
          <w:tcPr>
            <w:tcW w:w="1134" w:type="dxa"/>
            <w:vAlign w:val="center"/>
          </w:tcPr>
          <w:p w14:paraId="5FF58C62" w14:textId="6DEF19AE" w:rsidR="00E34128" w:rsidRPr="003744F9" w:rsidRDefault="00E34128" w:rsidP="0076409A">
            <w:pPr>
              <w:jc w:val="center"/>
            </w:pPr>
            <w:r w:rsidRPr="003744F9">
              <w:t>0.7</w:t>
            </w:r>
            <w:r w:rsidR="009876B0">
              <w:t>9</w:t>
            </w:r>
          </w:p>
        </w:tc>
        <w:tc>
          <w:tcPr>
            <w:tcW w:w="992" w:type="dxa"/>
            <w:vAlign w:val="center"/>
          </w:tcPr>
          <w:p w14:paraId="6A17770C" w14:textId="77777777" w:rsidR="00E34128" w:rsidRPr="003744F9" w:rsidRDefault="00E34128" w:rsidP="0076409A">
            <w:pPr>
              <w:jc w:val="center"/>
            </w:pPr>
            <w:r w:rsidRPr="003744F9">
              <w:t>237.58</w:t>
            </w:r>
          </w:p>
        </w:tc>
        <w:tc>
          <w:tcPr>
            <w:tcW w:w="1134" w:type="dxa"/>
            <w:vAlign w:val="center"/>
          </w:tcPr>
          <w:p w14:paraId="0709D3E8" w14:textId="77777777" w:rsidR="00E34128" w:rsidRPr="003744F9" w:rsidRDefault="00E34128" w:rsidP="0076409A">
            <w:pPr>
              <w:jc w:val="center"/>
            </w:pPr>
            <w:r w:rsidRPr="003744F9">
              <w:t>-239.24</w:t>
            </w:r>
          </w:p>
        </w:tc>
        <w:tc>
          <w:tcPr>
            <w:tcW w:w="850" w:type="dxa"/>
            <w:vAlign w:val="center"/>
          </w:tcPr>
          <w:p w14:paraId="3B844AAB" w14:textId="77777777" w:rsidR="00E34128" w:rsidRPr="003744F9" w:rsidRDefault="00E34128" w:rsidP="0076409A">
            <w:pPr>
              <w:jc w:val="center"/>
            </w:pPr>
            <w:r w:rsidRPr="003744F9">
              <w:t>0.9778</w:t>
            </w:r>
          </w:p>
        </w:tc>
        <w:tc>
          <w:tcPr>
            <w:tcW w:w="993" w:type="dxa"/>
            <w:vAlign w:val="center"/>
          </w:tcPr>
          <w:p w14:paraId="4407A816" w14:textId="56122D5D" w:rsidR="00E34128" w:rsidRPr="00DA0FC4" w:rsidRDefault="00E34128" w:rsidP="0076409A">
            <w:pPr>
              <w:jc w:val="center"/>
            </w:pPr>
            <w:r w:rsidRPr="003744F9">
              <w:t>0.29</w:t>
            </w:r>
          </w:p>
        </w:tc>
        <w:tc>
          <w:tcPr>
            <w:tcW w:w="567" w:type="dxa"/>
            <w:vAlign w:val="center"/>
          </w:tcPr>
          <w:p w14:paraId="5D3145A1" w14:textId="75511E63" w:rsidR="00E34128" w:rsidRPr="003744F9" w:rsidRDefault="00E34128" w:rsidP="0076409A">
            <w:pPr>
              <w:jc w:val="center"/>
              <w:rPr>
                <w:vertAlign w:val="superscript"/>
              </w:rPr>
            </w:pPr>
            <w:r w:rsidRPr="003744F9">
              <w:rPr>
                <w:vertAlign w:val="superscript"/>
              </w:rPr>
              <w:t>C</w:t>
            </w:r>
          </w:p>
        </w:tc>
      </w:tr>
      <w:tr w:rsidR="00E34128" w:rsidRPr="003744F9" w14:paraId="38A06937" w14:textId="77777777" w:rsidTr="0076409A">
        <w:trPr>
          <w:trHeight w:val="264"/>
          <w:jc w:val="center"/>
        </w:trPr>
        <w:tc>
          <w:tcPr>
            <w:tcW w:w="993" w:type="dxa"/>
            <w:vMerge/>
            <w:vAlign w:val="center"/>
          </w:tcPr>
          <w:p w14:paraId="7F0D1B9A" w14:textId="77777777" w:rsidR="00E34128" w:rsidRPr="003744F9" w:rsidRDefault="00E34128" w:rsidP="0076409A">
            <w:pPr>
              <w:jc w:val="center"/>
            </w:pPr>
          </w:p>
        </w:tc>
        <w:tc>
          <w:tcPr>
            <w:tcW w:w="1134" w:type="dxa"/>
            <w:vAlign w:val="center"/>
          </w:tcPr>
          <w:p w14:paraId="34E8DAFB" w14:textId="2D024EC2" w:rsidR="00E34128" w:rsidRPr="003744F9" w:rsidRDefault="00E34128" w:rsidP="0076409A">
            <w:pPr>
              <w:jc w:val="center"/>
            </w:pPr>
            <w:r>
              <w:t>1.00</w:t>
            </w:r>
          </w:p>
        </w:tc>
        <w:tc>
          <w:tcPr>
            <w:tcW w:w="992" w:type="dxa"/>
            <w:vAlign w:val="center"/>
          </w:tcPr>
          <w:p w14:paraId="6425A8B9" w14:textId="77777777" w:rsidR="00E34128" w:rsidRPr="003744F9" w:rsidRDefault="00E34128" w:rsidP="0076409A">
            <w:pPr>
              <w:jc w:val="center"/>
            </w:pPr>
            <w:r w:rsidRPr="003744F9">
              <w:t>235.69</w:t>
            </w:r>
          </w:p>
        </w:tc>
        <w:tc>
          <w:tcPr>
            <w:tcW w:w="1134" w:type="dxa"/>
            <w:vAlign w:val="center"/>
          </w:tcPr>
          <w:p w14:paraId="45900906" w14:textId="77777777" w:rsidR="00E34128" w:rsidRPr="003744F9" w:rsidRDefault="00E34128" w:rsidP="0076409A">
            <w:pPr>
              <w:jc w:val="center"/>
            </w:pPr>
            <w:r w:rsidRPr="003744F9">
              <w:t>-237.31</w:t>
            </w:r>
          </w:p>
        </w:tc>
        <w:tc>
          <w:tcPr>
            <w:tcW w:w="850" w:type="dxa"/>
            <w:vAlign w:val="center"/>
          </w:tcPr>
          <w:p w14:paraId="2351591F" w14:textId="77777777" w:rsidR="00E34128" w:rsidRPr="003744F9" w:rsidRDefault="00E34128" w:rsidP="0076409A">
            <w:pPr>
              <w:jc w:val="center"/>
            </w:pPr>
            <w:r w:rsidRPr="003744F9">
              <w:t>0.9846</w:t>
            </w:r>
          </w:p>
        </w:tc>
        <w:tc>
          <w:tcPr>
            <w:tcW w:w="993" w:type="dxa"/>
            <w:vAlign w:val="center"/>
          </w:tcPr>
          <w:p w14:paraId="3F340ECF" w14:textId="23E4884E" w:rsidR="00E34128" w:rsidRPr="00DA0FC4" w:rsidRDefault="00E34128" w:rsidP="0076409A">
            <w:pPr>
              <w:jc w:val="center"/>
            </w:pPr>
            <w:r>
              <w:t>1.2</w:t>
            </w:r>
            <w:r w:rsidR="009876B0">
              <w:t>7</w:t>
            </w:r>
          </w:p>
        </w:tc>
        <w:tc>
          <w:tcPr>
            <w:tcW w:w="567" w:type="dxa"/>
            <w:vAlign w:val="center"/>
          </w:tcPr>
          <w:p w14:paraId="02D4CBF0" w14:textId="74C83206" w:rsidR="00E34128" w:rsidRPr="003744F9" w:rsidRDefault="00E34128" w:rsidP="0076409A">
            <w:pPr>
              <w:jc w:val="center"/>
              <w:rPr>
                <w:vertAlign w:val="superscript"/>
              </w:rPr>
            </w:pPr>
            <w:r w:rsidRPr="003744F9">
              <w:rPr>
                <w:vertAlign w:val="superscript"/>
              </w:rPr>
              <w:t>NC</w:t>
            </w:r>
          </w:p>
        </w:tc>
      </w:tr>
      <w:tr w:rsidR="00E34128" w:rsidRPr="003744F9" w14:paraId="5D1841BC" w14:textId="77777777" w:rsidTr="0076409A">
        <w:trPr>
          <w:trHeight w:val="264"/>
          <w:jc w:val="center"/>
        </w:trPr>
        <w:tc>
          <w:tcPr>
            <w:tcW w:w="993" w:type="dxa"/>
            <w:vMerge w:val="restart"/>
            <w:vAlign w:val="center"/>
          </w:tcPr>
          <w:p w14:paraId="7CF13134" w14:textId="77777777" w:rsidR="00E34128" w:rsidRPr="003744F9" w:rsidRDefault="00E34128" w:rsidP="0076409A">
            <w:pPr>
              <w:jc w:val="center"/>
            </w:pPr>
            <w:r w:rsidRPr="003744F9">
              <w:t>III</w:t>
            </w:r>
          </w:p>
        </w:tc>
        <w:tc>
          <w:tcPr>
            <w:tcW w:w="1134" w:type="dxa"/>
            <w:vAlign w:val="center"/>
          </w:tcPr>
          <w:p w14:paraId="4BF9A102" w14:textId="4B21FC36" w:rsidR="00E34128" w:rsidRPr="003744F9" w:rsidRDefault="00893A28" w:rsidP="0076409A">
            <w:pPr>
              <w:jc w:val="center"/>
            </w:pPr>
            <w:r>
              <w:t>-</w:t>
            </w:r>
          </w:p>
        </w:tc>
        <w:tc>
          <w:tcPr>
            <w:tcW w:w="992" w:type="dxa"/>
            <w:vAlign w:val="center"/>
          </w:tcPr>
          <w:p w14:paraId="42A2B327" w14:textId="77777777" w:rsidR="00E34128" w:rsidRPr="003744F9" w:rsidRDefault="00E34128" w:rsidP="0076409A">
            <w:pPr>
              <w:jc w:val="center"/>
            </w:pPr>
            <w:r w:rsidRPr="003744F9">
              <w:t>265.00</w:t>
            </w:r>
          </w:p>
        </w:tc>
        <w:tc>
          <w:tcPr>
            <w:tcW w:w="1134" w:type="dxa"/>
            <w:vAlign w:val="center"/>
          </w:tcPr>
          <w:p w14:paraId="31AE0FFB" w14:textId="77777777" w:rsidR="00E34128" w:rsidRPr="003744F9" w:rsidRDefault="00E34128" w:rsidP="0076409A">
            <w:pPr>
              <w:jc w:val="center"/>
            </w:pPr>
            <w:r w:rsidRPr="003744F9">
              <w:t>-266.90</w:t>
            </w:r>
          </w:p>
        </w:tc>
        <w:tc>
          <w:tcPr>
            <w:tcW w:w="850" w:type="dxa"/>
            <w:vAlign w:val="center"/>
          </w:tcPr>
          <w:p w14:paraId="2C3D0BB3" w14:textId="77777777" w:rsidR="00E34128" w:rsidRPr="003744F9" w:rsidRDefault="00E34128" w:rsidP="0076409A">
            <w:pPr>
              <w:jc w:val="center"/>
            </w:pPr>
            <w:r w:rsidRPr="003744F9">
              <w:t>0.9862</w:t>
            </w:r>
          </w:p>
        </w:tc>
        <w:tc>
          <w:tcPr>
            <w:tcW w:w="993" w:type="dxa"/>
            <w:vAlign w:val="center"/>
          </w:tcPr>
          <w:p w14:paraId="7D2AD3DA" w14:textId="14AF58B5" w:rsidR="00E34128" w:rsidRPr="00DA0FC4" w:rsidRDefault="00893A28" w:rsidP="0076409A">
            <w:pPr>
              <w:jc w:val="center"/>
            </w:pPr>
            <w:r>
              <w:t>-</w:t>
            </w:r>
          </w:p>
        </w:tc>
        <w:tc>
          <w:tcPr>
            <w:tcW w:w="567" w:type="dxa"/>
            <w:vAlign w:val="center"/>
          </w:tcPr>
          <w:p w14:paraId="3CF6A4AC" w14:textId="2FA0BFF1" w:rsidR="00E34128" w:rsidRPr="003744F9" w:rsidRDefault="00E34128" w:rsidP="0076409A">
            <w:pPr>
              <w:jc w:val="center"/>
              <w:rPr>
                <w:vertAlign w:val="superscript"/>
              </w:rPr>
            </w:pPr>
            <w:r>
              <w:rPr>
                <w:vertAlign w:val="superscript"/>
              </w:rPr>
              <w:t>OD</w:t>
            </w:r>
          </w:p>
        </w:tc>
      </w:tr>
      <w:tr w:rsidR="00E34128" w:rsidRPr="003744F9" w14:paraId="10CE7282" w14:textId="77777777" w:rsidTr="0076409A">
        <w:trPr>
          <w:trHeight w:val="264"/>
          <w:jc w:val="center"/>
        </w:trPr>
        <w:tc>
          <w:tcPr>
            <w:tcW w:w="993" w:type="dxa"/>
            <w:vMerge/>
            <w:vAlign w:val="center"/>
          </w:tcPr>
          <w:p w14:paraId="069EAEAE" w14:textId="77777777" w:rsidR="00E34128" w:rsidRPr="003744F9" w:rsidRDefault="00E34128" w:rsidP="0076409A">
            <w:pPr>
              <w:jc w:val="center"/>
            </w:pPr>
          </w:p>
        </w:tc>
        <w:tc>
          <w:tcPr>
            <w:tcW w:w="1134" w:type="dxa"/>
            <w:vAlign w:val="center"/>
          </w:tcPr>
          <w:p w14:paraId="109FF379" w14:textId="404DB354" w:rsidR="00E34128" w:rsidRPr="003744F9" w:rsidRDefault="00E34128" w:rsidP="0076409A">
            <w:pPr>
              <w:jc w:val="center"/>
            </w:pPr>
            <w:r w:rsidRPr="003744F9">
              <w:t>0.79</w:t>
            </w:r>
          </w:p>
        </w:tc>
        <w:tc>
          <w:tcPr>
            <w:tcW w:w="992" w:type="dxa"/>
            <w:vAlign w:val="center"/>
          </w:tcPr>
          <w:p w14:paraId="634C2D84" w14:textId="77777777" w:rsidR="00E34128" w:rsidRPr="003744F9" w:rsidRDefault="00E34128" w:rsidP="0076409A">
            <w:pPr>
              <w:jc w:val="center"/>
            </w:pPr>
            <w:r w:rsidRPr="003744F9">
              <w:t>265.44</w:t>
            </w:r>
          </w:p>
        </w:tc>
        <w:tc>
          <w:tcPr>
            <w:tcW w:w="1134" w:type="dxa"/>
            <w:vAlign w:val="center"/>
          </w:tcPr>
          <w:p w14:paraId="161C221A" w14:textId="77777777" w:rsidR="00E34128" w:rsidRPr="003744F9" w:rsidRDefault="00E34128" w:rsidP="0076409A">
            <w:pPr>
              <w:jc w:val="center"/>
            </w:pPr>
            <w:r w:rsidRPr="003744F9">
              <w:t>-267.22</w:t>
            </w:r>
          </w:p>
        </w:tc>
        <w:tc>
          <w:tcPr>
            <w:tcW w:w="850" w:type="dxa"/>
            <w:vAlign w:val="center"/>
          </w:tcPr>
          <w:p w14:paraId="658ADE52" w14:textId="77777777" w:rsidR="00E34128" w:rsidRPr="003744F9" w:rsidRDefault="00E34128" w:rsidP="0076409A">
            <w:pPr>
              <w:jc w:val="center"/>
            </w:pPr>
            <w:r w:rsidRPr="003744F9">
              <w:t>0.9780</w:t>
            </w:r>
          </w:p>
        </w:tc>
        <w:tc>
          <w:tcPr>
            <w:tcW w:w="993" w:type="dxa"/>
            <w:vAlign w:val="center"/>
          </w:tcPr>
          <w:p w14:paraId="15141271" w14:textId="70F557B5" w:rsidR="00E34128" w:rsidRPr="00DA0FC4" w:rsidRDefault="00E34128" w:rsidP="0076409A">
            <w:pPr>
              <w:jc w:val="center"/>
            </w:pPr>
            <w:r w:rsidRPr="003744F9">
              <w:t>0.31</w:t>
            </w:r>
          </w:p>
        </w:tc>
        <w:tc>
          <w:tcPr>
            <w:tcW w:w="567" w:type="dxa"/>
            <w:vAlign w:val="center"/>
          </w:tcPr>
          <w:p w14:paraId="1B7FCC54" w14:textId="6F0E5D09" w:rsidR="00E34128" w:rsidRPr="003744F9" w:rsidRDefault="00E34128" w:rsidP="0076409A">
            <w:pPr>
              <w:jc w:val="center"/>
              <w:rPr>
                <w:vertAlign w:val="superscript"/>
              </w:rPr>
            </w:pPr>
            <w:r w:rsidRPr="003744F9">
              <w:rPr>
                <w:vertAlign w:val="superscript"/>
              </w:rPr>
              <w:t>C</w:t>
            </w:r>
          </w:p>
        </w:tc>
      </w:tr>
      <w:tr w:rsidR="00E34128" w:rsidRPr="003744F9" w14:paraId="42415518" w14:textId="77777777" w:rsidTr="0076409A">
        <w:trPr>
          <w:trHeight w:val="264"/>
          <w:jc w:val="center"/>
        </w:trPr>
        <w:tc>
          <w:tcPr>
            <w:tcW w:w="993" w:type="dxa"/>
            <w:vMerge/>
            <w:vAlign w:val="center"/>
          </w:tcPr>
          <w:p w14:paraId="5B0B9D59" w14:textId="77777777" w:rsidR="00E34128" w:rsidRPr="003744F9" w:rsidRDefault="00E34128" w:rsidP="0076409A">
            <w:pPr>
              <w:jc w:val="center"/>
            </w:pPr>
          </w:p>
        </w:tc>
        <w:tc>
          <w:tcPr>
            <w:tcW w:w="1134" w:type="dxa"/>
            <w:vAlign w:val="center"/>
          </w:tcPr>
          <w:p w14:paraId="67A03B0B" w14:textId="6AEF9B11" w:rsidR="00E34128" w:rsidRPr="003744F9" w:rsidRDefault="00E34128" w:rsidP="0076409A">
            <w:pPr>
              <w:jc w:val="center"/>
            </w:pPr>
            <w:r>
              <w:t>1.00</w:t>
            </w:r>
          </w:p>
        </w:tc>
        <w:tc>
          <w:tcPr>
            <w:tcW w:w="992" w:type="dxa"/>
            <w:vAlign w:val="center"/>
          </w:tcPr>
          <w:p w14:paraId="0905FB6D" w14:textId="77777777" w:rsidR="00E34128" w:rsidRPr="003744F9" w:rsidRDefault="00E34128" w:rsidP="0076409A">
            <w:pPr>
              <w:jc w:val="center"/>
            </w:pPr>
            <w:r w:rsidRPr="003744F9">
              <w:t>263.35</w:t>
            </w:r>
          </w:p>
        </w:tc>
        <w:tc>
          <w:tcPr>
            <w:tcW w:w="1134" w:type="dxa"/>
            <w:vAlign w:val="center"/>
          </w:tcPr>
          <w:p w14:paraId="0AB08E88" w14:textId="77777777" w:rsidR="00E34128" w:rsidRPr="003744F9" w:rsidRDefault="00E34128" w:rsidP="0076409A">
            <w:pPr>
              <w:jc w:val="center"/>
            </w:pPr>
            <w:r w:rsidRPr="003744F9">
              <w:t>-265.08</w:t>
            </w:r>
          </w:p>
        </w:tc>
        <w:tc>
          <w:tcPr>
            <w:tcW w:w="850" w:type="dxa"/>
            <w:vAlign w:val="center"/>
          </w:tcPr>
          <w:p w14:paraId="1091BB67" w14:textId="77777777" w:rsidR="00E34128" w:rsidRPr="003744F9" w:rsidRDefault="00E34128" w:rsidP="0076409A">
            <w:pPr>
              <w:jc w:val="center"/>
            </w:pPr>
            <w:r w:rsidRPr="003744F9">
              <w:t>0.9847</w:t>
            </w:r>
          </w:p>
        </w:tc>
        <w:tc>
          <w:tcPr>
            <w:tcW w:w="993" w:type="dxa"/>
            <w:vAlign w:val="center"/>
          </w:tcPr>
          <w:p w14:paraId="26844E26" w14:textId="41698A4B" w:rsidR="00E34128" w:rsidRPr="00DA0FC4" w:rsidRDefault="00E34128" w:rsidP="0076409A">
            <w:pPr>
              <w:jc w:val="center"/>
            </w:pPr>
            <w:r>
              <w:t>1.4</w:t>
            </w:r>
            <w:r w:rsidR="009876B0">
              <w:t>2</w:t>
            </w:r>
          </w:p>
        </w:tc>
        <w:tc>
          <w:tcPr>
            <w:tcW w:w="567" w:type="dxa"/>
            <w:vAlign w:val="center"/>
          </w:tcPr>
          <w:p w14:paraId="41CF2167" w14:textId="3E142961" w:rsidR="00E34128" w:rsidRPr="003744F9" w:rsidRDefault="00E34128" w:rsidP="0076409A">
            <w:pPr>
              <w:jc w:val="center"/>
              <w:rPr>
                <w:vertAlign w:val="superscript"/>
              </w:rPr>
            </w:pPr>
            <w:r w:rsidRPr="003744F9">
              <w:rPr>
                <w:vertAlign w:val="superscript"/>
              </w:rPr>
              <w:t>NC</w:t>
            </w:r>
          </w:p>
        </w:tc>
      </w:tr>
      <w:tr w:rsidR="00E34128" w:rsidRPr="003744F9" w14:paraId="6E10B8C6" w14:textId="77777777" w:rsidTr="0076409A">
        <w:trPr>
          <w:trHeight w:val="264"/>
          <w:jc w:val="center"/>
        </w:trPr>
        <w:tc>
          <w:tcPr>
            <w:tcW w:w="993" w:type="dxa"/>
            <w:vMerge w:val="restart"/>
            <w:vAlign w:val="center"/>
          </w:tcPr>
          <w:p w14:paraId="5F6A4A0A" w14:textId="77777777" w:rsidR="00E34128" w:rsidRPr="003744F9" w:rsidRDefault="00E34128" w:rsidP="0076409A">
            <w:pPr>
              <w:jc w:val="center"/>
            </w:pPr>
            <w:r w:rsidRPr="003744F9">
              <w:t>IV</w:t>
            </w:r>
          </w:p>
        </w:tc>
        <w:tc>
          <w:tcPr>
            <w:tcW w:w="1134" w:type="dxa"/>
            <w:vAlign w:val="center"/>
          </w:tcPr>
          <w:p w14:paraId="0BA7570D" w14:textId="71D58AB7" w:rsidR="00E34128" w:rsidRPr="003744F9" w:rsidRDefault="00893A28" w:rsidP="0076409A">
            <w:pPr>
              <w:jc w:val="center"/>
            </w:pPr>
            <w:r>
              <w:t>-</w:t>
            </w:r>
          </w:p>
        </w:tc>
        <w:tc>
          <w:tcPr>
            <w:tcW w:w="992" w:type="dxa"/>
            <w:vAlign w:val="center"/>
          </w:tcPr>
          <w:p w14:paraId="2DC3330A" w14:textId="77777777" w:rsidR="00E34128" w:rsidRPr="003744F9" w:rsidRDefault="00E34128" w:rsidP="0076409A">
            <w:pPr>
              <w:jc w:val="center"/>
            </w:pPr>
            <w:r w:rsidRPr="003744F9">
              <w:t>314.20</w:t>
            </w:r>
          </w:p>
        </w:tc>
        <w:tc>
          <w:tcPr>
            <w:tcW w:w="1134" w:type="dxa"/>
            <w:vAlign w:val="center"/>
          </w:tcPr>
          <w:p w14:paraId="25563795" w14:textId="77777777" w:rsidR="00E34128" w:rsidRPr="003744F9" w:rsidRDefault="00E34128" w:rsidP="0076409A">
            <w:pPr>
              <w:jc w:val="center"/>
            </w:pPr>
            <w:r w:rsidRPr="003744F9">
              <w:t>-316.40</w:t>
            </w:r>
          </w:p>
        </w:tc>
        <w:tc>
          <w:tcPr>
            <w:tcW w:w="850" w:type="dxa"/>
            <w:vAlign w:val="center"/>
          </w:tcPr>
          <w:p w14:paraId="2F190D99" w14:textId="77777777" w:rsidR="00E34128" w:rsidRPr="003744F9" w:rsidRDefault="00E34128" w:rsidP="0076409A">
            <w:pPr>
              <w:jc w:val="center"/>
            </w:pPr>
            <w:r w:rsidRPr="003744F9">
              <w:t>0.9816</w:t>
            </w:r>
          </w:p>
        </w:tc>
        <w:tc>
          <w:tcPr>
            <w:tcW w:w="993" w:type="dxa"/>
            <w:vAlign w:val="center"/>
          </w:tcPr>
          <w:p w14:paraId="4C1B69B8" w14:textId="25EADF2A" w:rsidR="00E34128" w:rsidRPr="00DA0FC4" w:rsidRDefault="00893A28" w:rsidP="0076409A">
            <w:pPr>
              <w:jc w:val="center"/>
            </w:pPr>
            <w:r>
              <w:t>-</w:t>
            </w:r>
          </w:p>
        </w:tc>
        <w:tc>
          <w:tcPr>
            <w:tcW w:w="567" w:type="dxa"/>
            <w:vAlign w:val="center"/>
          </w:tcPr>
          <w:p w14:paraId="6F2B600D" w14:textId="44F058D1" w:rsidR="00E34128" w:rsidRPr="003744F9" w:rsidRDefault="00E34128" w:rsidP="0076409A">
            <w:pPr>
              <w:jc w:val="center"/>
              <w:rPr>
                <w:vertAlign w:val="superscript"/>
              </w:rPr>
            </w:pPr>
            <w:r>
              <w:rPr>
                <w:vertAlign w:val="superscript"/>
              </w:rPr>
              <w:t>OD</w:t>
            </w:r>
          </w:p>
        </w:tc>
      </w:tr>
      <w:tr w:rsidR="00E34128" w:rsidRPr="003744F9" w14:paraId="1045985F" w14:textId="77777777" w:rsidTr="0076409A">
        <w:trPr>
          <w:trHeight w:val="264"/>
          <w:jc w:val="center"/>
        </w:trPr>
        <w:tc>
          <w:tcPr>
            <w:tcW w:w="993" w:type="dxa"/>
            <w:vMerge/>
            <w:vAlign w:val="center"/>
          </w:tcPr>
          <w:p w14:paraId="128D6D0F" w14:textId="77777777" w:rsidR="00E34128" w:rsidRPr="003744F9" w:rsidRDefault="00E34128" w:rsidP="0076409A">
            <w:pPr>
              <w:jc w:val="center"/>
            </w:pPr>
          </w:p>
        </w:tc>
        <w:tc>
          <w:tcPr>
            <w:tcW w:w="1134" w:type="dxa"/>
            <w:vAlign w:val="center"/>
          </w:tcPr>
          <w:p w14:paraId="569D85EE" w14:textId="225FC161" w:rsidR="00E34128" w:rsidRPr="003744F9" w:rsidRDefault="00E34128" w:rsidP="0076409A">
            <w:pPr>
              <w:jc w:val="center"/>
            </w:pPr>
            <w:r w:rsidRPr="003744F9">
              <w:t>0.71</w:t>
            </w:r>
          </w:p>
        </w:tc>
        <w:tc>
          <w:tcPr>
            <w:tcW w:w="992" w:type="dxa"/>
            <w:vAlign w:val="center"/>
          </w:tcPr>
          <w:p w14:paraId="7427DF1D" w14:textId="77777777" w:rsidR="00E34128" w:rsidRPr="003744F9" w:rsidRDefault="00E34128" w:rsidP="0076409A">
            <w:pPr>
              <w:jc w:val="center"/>
            </w:pPr>
            <w:r w:rsidRPr="003744F9">
              <w:t>313.11</w:t>
            </w:r>
          </w:p>
        </w:tc>
        <w:tc>
          <w:tcPr>
            <w:tcW w:w="1134" w:type="dxa"/>
            <w:vAlign w:val="center"/>
          </w:tcPr>
          <w:p w14:paraId="05100F16" w14:textId="77777777" w:rsidR="00E34128" w:rsidRPr="003744F9" w:rsidRDefault="00E34128" w:rsidP="0076409A">
            <w:pPr>
              <w:jc w:val="center"/>
            </w:pPr>
            <w:r w:rsidRPr="003744F9">
              <w:t>-315.15</w:t>
            </w:r>
          </w:p>
        </w:tc>
        <w:tc>
          <w:tcPr>
            <w:tcW w:w="850" w:type="dxa"/>
            <w:vAlign w:val="center"/>
          </w:tcPr>
          <w:p w14:paraId="56600CCA" w14:textId="77777777" w:rsidR="00E34128" w:rsidRPr="003744F9" w:rsidRDefault="00E34128" w:rsidP="0076409A">
            <w:pPr>
              <w:jc w:val="center"/>
            </w:pPr>
            <w:r w:rsidRPr="003744F9">
              <w:t>0.9740</w:t>
            </w:r>
          </w:p>
        </w:tc>
        <w:tc>
          <w:tcPr>
            <w:tcW w:w="993" w:type="dxa"/>
            <w:vAlign w:val="center"/>
          </w:tcPr>
          <w:p w14:paraId="50B757EA" w14:textId="44C92C82" w:rsidR="00E34128" w:rsidRPr="00DA0FC4" w:rsidRDefault="00E34128" w:rsidP="0076409A">
            <w:pPr>
              <w:jc w:val="center"/>
            </w:pPr>
            <w:r w:rsidRPr="003744F9">
              <w:t>0.6</w:t>
            </w:r>
            <w:r w:rsidR="009876B0">
              <w:t>3</w:t>
            </w:r>
          </w:p>
        </w:tc>
        <w:tc>
          <w:tcPr>
            <w:tcW w:w="567" w:type="dxa"/>
            <w:vAlign w:val="center"/>
          </w:tcPr>
          <w:p w14:paraId="3DD7863D" w14:textId="52B3A46A" w:rsidR="00E34128" w:rsidRPr="003744F9" w:rsidRDefault="00E34128" w:rsidP="0076409A">
            <w:pPr>
              <w:jc w:val="center"/>
              <w:rPr>
                <w:vertAlign w:val="superscript"/>
              </w:rPr>
            </w:pPr>
            <w:r w:rsidRPr="003744F9">
              <w:rPr>
                <w:vertAlign w:val="superscript"/>
              </w:rPr>
              <w:t>C</w:t>
            </w:r>
          </w:p>
        </w:tc>
      </w:tr>
      <w:tr w:rsidR="00E34128" w:rsidRPr="003744F9" w14:paraId="35F0E37D" w14:textId="77777777" w:rsidTr="0076409A">
        <w:trPr>
          <w:trHeight w:val="264"/>
          <w:jc w:val="center"/>
        </w:trPr>
        <w:tc>
          <w:tcPr>
            <w:tcW w:w="993" w:type="dxa"/>
            <w:vMerge/>
            <w:vAlign w:val="center"/>
          </w:tcPr>
          <w:p w14:paraId="58F32F8E" w14:textId="77777777" w:rsidR="00E34128" w:rsidRPr="003744F9" w:rsidRDefault="00E34128" w:rsidP="0076409A">
            <w:pPr>
              <w:jc w:val="center"/>
            </w:pPr>
          </w:p>
        </w:tc>
        <w:tc>
          <w:tcPr>
            <w:tcW w:w="1134" w:type="dxa"/>
            <w:vAlign w:val="center"/>
          </w:tcPr>
          <w:p w14:paraId="04743986" w14:textId="3C4A4A51" w:rsidR="00E34128" w:rsidRPr="003744F9" w:rsidRDefault="00E34128" w:rsidP="0076409A">
            <w:pPr>
              <w:jc w:val="center"/>
            </w:pPr>
            <w:r>
              <w:t>1.00</w:t>
            </w:r>
          </w:p>
        </w:tc>
        <w:tc>
          <w:tcPr>
            <w:tcW w:w="992" w:type="dxa"/>
            <w:vAlign w:val="center"/>
          </w:tcPr>
          <w:p w14:paraId="79CF8279" w14:textId="77777777" w:rsidR="00E34128" w:rsidRPr="003744F9" w:rsidRDefault="00E34128" w:rsidP="0076409A">
            <w:pPr>
              <w:jc w:val="center"/>
            </w:pPr>
            <w:r w:rsidRPr="003744F9">
              <w:t>309.13</w:t>
            </w:r>
          </w:p>
        </w:tc>
        <w:tc>
          <w:tcPr>
            <w:tcW w:w="1134" w:type="dxa"/>
            <w:vAlign w:val="center"/>
          </w:tcPr>
          <w:p w14:paraId="6783B797" w14:textId="77777777" w:rsidR="00E34128" w:rsidRPr="003744F9" w:rsidRDefault="00E34128" w:rsidP="0076409A">
            <w:pPr>
              <w:jc w:val="center"/>
            </w:pPr>
            <w:r w:rsidRPr="003744F9">
              <w:t>-311.07</w:t>
            </w:r>
          </w:p>
        </w:tc>
        <w:tc>
          <w:tcPr>
            <w:tcW w:w="850" w:type="dxa"/>
            <w:vAlign w:val="center"/>
          </w:tcPr>
          <w:p w14:paraId="4BF6B971" w14:textId="77777777" w:rsidR="00E34128" w:rsidRPr="003744F9" w:rsidRDefault="00E34128" w:rsidP="0076409A">
            <w:pPr>
              <w:jc w:val="center"/>
            </w:pPr>
            <w:r w:rsidRPr="003744F9">
              <w:t>0.9845</w:t>
            </w:r>
          </w:p>
        </w:tc>
        <w:tc>
          <w:tcPr>
            <w:tcW w:w="993" w:type="dxa"/>
            <w:vAlign w:val="center"/>
          </w:tcPr>
          <w:p w14:paraId="3D431EB6" w14:textId="0BC7DF2A" w:rsidR="00E34128" w:rsidRPr="00DA0FC4" w:rsidRDefault="00E34128" w:rsidP="0076409A">
            <w:pPr>
              <w:jc w:val="center"/>
            </w:pPr>
            <w:r>
              <w:t>4.2</w:t>
            </w:r>
            <w:r w:rsidR="009876B0">
              <w:t>5</w:t>
            </w:r>
          </w:p>
        </w:tc>
        <w:tc>
          <w:tcPr>
            <w:tcW w:w="567" w:type="dxa"/>
            <w:vAlign w:val="center"/>
          </w:tcPr>
          <w:p w14:paraId="53351198" w14:textId="24B48AF2" w:rsidR="00E34128" w:rsidRPr="003744F9" w:rsidRDefault="00E34128" w:rsidP="0076409A">
            <w:pPr>
              <w:jc w:val="center"/>
              <w:rPr>
                <w:vertAlign w:val="superscript"/>
              </w:rPr>
            </w:pPr>
            <w:r w:rsidRPr="003744F9">
              <w:rPr>
                <w:vertAlign w:val="superscript"/>
              </w:rPr>
              <w:t>NC</w:t>
            </w:r>
          </w:p>
        </w:tc>
      </w:tr>
      <w:tr w:rsidR="00E34128" w:rsidRPr="003744F9" w14:paraId="46940A1F" w14:textId="77777777" w:rsidTr="0076409A">
        <w:trPr>
          <w:trHeight w:val="264"/>
          <w:jc w:val="center"/>
        </w:trPr>
        <w:tc>
          <w:tcPr>
            <w:tcW w:w="993" w:type="dxa"/>
            <w:vMerge w:val="restart"/>
            <w:vAlign w:val="center"/>
          </w:tcPr>
          <w:p w14:paraId="75540222" w14:textId="77777777" w:rsidR="00E34128" w:rsidRPr="003744F9" w:rsidRDefault="00E34128" w:rsidP="0076409A">
            <w:pPr>
              <w:jc w:val="center"/>
            </w:pPr>
            <w:r w:rsidRPr="003744F9">
              <w:t>V</w:t>
            </w:r>
          </w:p>
        </w:tc>
        <w:tc>
          <w:tcPr>
            <w:tcW w:w="1134" w:type="dxa"/>
            <w:vAlign w:val="center"/>
          </w:tcPr>
          <w:p w14:paraId="32E2B662" w14:textId="28378C49" w:rsidR="00E34128" w:rsidRPr="003744F9" w:rsidRDefault="00893A28" w:rsidP="0076409A">
            <w:pPr>
              <w:jc w:val="center"/>
            </w:pPr>
            <w:r>
              <w:t>-</w:t>
            </w:r>
          </w:p>
        </w:tc>
        <w:tc>
          <w:tcPr>
            <w:tcW w:w="992" w:type="dxa"/>
            <w:vAlign w:val="center"/>
          </w:tcPr>
          <w:p w14:paraId="3E7B93F6" w14:textId="77777777" w:rsidR="00E34128" w:rsidRPr="003744F9" w:rsidRDefault="00E34128" w:rsidP="0076409A">
            <w:pPr>
              <w:jc w:val="center"/>
            </w:pPr>
            <w:r w:rsidRPr="003744F9">
              <w:t>336.60</w:t>
            </w:r>
          </w:p>
        </w:tc>
        <w:tc>
          <w:tcPr>
            <w:tcW w:w="1134" w:type="dxa"/>
            <w:vAlign w:val="center"/>
          </w:tcPr>
          <w:p w14:paraId="5254E606" w14:textId="77777777" w:rsidR="00E34128" w:rsidRPr="003744F9" w:rsidRDefault="00E34128" w:rsidP="0076409A">
            <w:pPr>
              <w:jc w:val="center"/>
            </w:pPr>
            <w:r w:rsidRPr="003744F9">
              <w:t>-339.00</w:t>
            </w:r>
          </w:p>
        </w:tc>
        <w:tc>
          <w:tcPr>
            <w:tcW w:w="850" w:type="dxa"/>
            <w:vAlign w:val="center"/>
          </w:tcPr>
          <w:p w14:paraId="66EBBD03" w14:textId="77777777" w:rsidR="00E34128" w:rsidRPr="003744F9" w:rsidRDefault="00E34128" w:rsidP="0076409A">
            <w:pPr>
              <w:jc w:val="center"/>
            </w:pPr>
            <w:r w:rsidRPr="003744F9">
              <w:t>0.9751</w:t>
            </w:r>
          </w:p>
        </w:tc>
        <w:tc>
          <w:tcPr>
            <w:tcW w:w="993" w:type="dxa"/>
            <w:vAlign w:val="center"/>
          </w:tcPr>
          <w:p w14:paraId="7465AEA0" w14:textId="3E8005B5" w:rsidR="00E34128" w:rsidRPr="00DA0FC4" w:rsidRDefault="00893A28" w:rsidP="0076409A">
            <w:pPr>
              <w:jc w:val="center"/>
            </w:pPr>
            <w:r>
              <w:t>-</w:t>
            </w:r>
          </w:p>
        </w:tc>
        <w:tc>
          <w:tcPr>
            <w:tcW w:w="567" w:type="dxa"/>
            <w:vAlign w:val="center"/>
          </w:tcPr>
          <w:p w14:paraId="7CBF00F1" w14:textId="538C22B7" w:rsidR="00E34128" w:rsidRPr="003744F9" w:rsidRDefault="00E34128" w:rsidP="0076409A">
            <w:pPr>
              <w:jc w:val="center"/>
              <w:rPr>
                <w:vertAlign w:val="superscript"/>
              </w:rPr>
            </w:pPr>
            <w:r>
              <w:rPr>
                <w:vertAlign w:val="superscript"/>
              </w:rPr>
              <w:t>OD</w:t>
            </w:r>
          </w:p>
        </w:tc>
      </w:tr>
      <w:tr w:rsidR="00E34128" w:rsidRPr="003744F9" w14:paraId="0C92F507" w14:textId="77777777" w:rsidTr="0076409A">
        <w:trPr>
          <w:trHeight w:val="264"/>
          <w:jc w:val="center"/>
        </w:trPr>
        <w:tc>
          <w:tcPr>
            <w:tcW w:w="993" w:type="dxa"/>
            <w:vMerge/>
            <w:vAlign w:val="center"/>
          </w:tcPr>
          <w:p w14:paraId="385528BF" w14:textId="77777777" w:rsidR="00E34128" w:rsidRPr="003744F9" w:rsidRDefault="00E34128" w:rsidP="0076409A">
            <w:pPr>
              <w:jc w:val="center"/>
            </w:pPr>
          </w:p>
        </w:tc>
        <w:tc>
          <w:tcPr>
            <w:tcW w:w="1134" w:type="dxa"/>
            <w:vAlign w:val="center"/>
          </w:tcPr>
          <w:p w14:paraId="3608E6ED" w14:textId="0DD463B2" w:rsidR="00E34128" w:rsidRPr="003744F9" w:rsidRDefault="00E34128" w:rsidP="0076409A">
            <w:pPr>
              <w:jc w:val="center"/>
            </w:pPr>
            <w:r w:rsidRPr="003744F9">
              <w:t>0.66</w:t>
            </w:r>
          </w:p>
        </w:tc>
        <w:tc>
          <w:tcPr>
            <w:tcW w:w="992" w:type="dxa"/>
            <w:vAlign w:val="center"/>
          </w:tcPr>
          <w:p w14:paraId="0E8FED24" w14:textId="77777777" w:rsidR="00E34128" w:rsidRPr="003744F9" w:rsidRDefault="00E34128" w:rsidP="0076409A">
            <w:pPr>
              <w:jc w:val="center"/>
            </w:pPr>
            <w:r w:rsidRPr="003744F9">
              <w:t>332.31</w:t>
            </w:r>
          </w:p>
        </w:tc>
        <w:tc>
          <w:tcPr>
            <w:tcW w:w="1134" w:type="dxa"/>
            <w:vAlign w:val="center"/>
          </w:tcPr>
          <w:p w14:paraId="227B9A90" w14:textId="77777777" w:rsidR="00E34128" w:rsidRPr="003744F9" w:rsidRDefault="00E34128" w:rsidP="0076409A">
            <w:pPr>
              <w:jc w:val="center"/>
            </w:pPr>
            <w:r w:rsidRPr="003744F9">
              <w:t>-334.46</w:t>
            </w:r>
          </w:p>
        </w:tc>
        <w:tc>
          <w:tcPr>
            <w:tcW w:w="850" w:type="dxa"/>
            <w:vAlign w:val="center"/>
          </w:tcPr>
          <w:p w14:paraId="4BCEF38A" w14:textId="77777777" w:rsidR="00E34128" w:rsidRPr="003744F9" w:rsidRDefault="00E34128" w:rsidP="0076409A">
            <w:pPr>
              <w:jc w:val="center"/>
            </w:pPr>
            <w:r w:rsidRPr="003744F9">
              <w:t>0.9706</w:t>
            </w:r>
          </w:p>
        </w:tc>
        <w:tc>
          <w:tcPr>
            <w:tcW w:w="993" w:type="dxa"/>
            <w:vAlign w:val="center"/>
          </w:tcPr>
          <w:p w14:paraId="386F009D" w14:textId="0DBE363B" w:rsidR="00E34128" w:rsidRPr="00DA0FC4" w:rsidRDefault="00E34128" w:rsidP="0076409A">
            <w:pPr>
              <w:jc w:val="center"/>
            </w:pPr>
            <w:r w:rsidRPr="003744F9">
              <w:t>3.6</w:t>
            </w:r>
            <w:r w:rsidR="009876B0">
              <w:t>1</w:t>
            </w:r>
          </w:p>
        </w:tc>
        <w:tc>
          <w:tcPr>
            <w:tcW w:w="567" w:type="dxa"/>
            <w:vAlign w:val="center"/>
          </w:tcPr>
          <w:p w14:paraId="5D61D0C5" w14:textId="7BE918F2" w:rsidR="00E34128" w:rsidRPr="003744F9" w:rsidRDefault="00E34128" w:rsidP="0076409A">
            <w:pPr>
              <w:jc w:val="center"/>
              <w:rPr>
                <w:vertAlign w:val="superscript"/>
              </w:rPr>
            </w:pPr>
            <w:r w:rsidRPr="003744F9">
              <w:rPr>
                <w:vertAlign w:val="superscript"/>
              </w:rPr>
              <w:t>C</w:t>
            </w:r>
          </w:p>
        </w:tc>
      </w:tr>
      <w:tr w:rsidR="00E34128" w:rsidRPr="003744F9" w14:paraId="10DFE21E" w14:textId="77777777" w:rsidTr="0076409A">
        <w:trPr>
          <w:trHeight w:val="264"/>
          <w:jc w:val="center"/>
        </w:trPr>
        <w:tc>
          <w:tcPr>
            <w:tcW w:w="993" w:type="dxa"/>
            <w:vMerge/>
            <w:vAlign w:val="center"/>
          </w:tcPr>
          <w:p w14:paraId="7CCED0C0" w14:textId="77777777" w:rsidR="00E34128" w:rsidRPr="003744F9" w:rsidRDefault="00E34128" w:rsidP="0076409A">
            <w:pPr>
              <w:jc w:val="center"/>
            </w:pPr>
          </w:p>
        </w:tc>
        <w:tc>
          <w:tcPr>
            <w:tcW w:w="1134" w:type="dxa"/>
            <w:vAlign w:val="center"/>
          </w:tcPr>
          <w:p w14:paraId="252B5355" w14:textId="59DFCA90" w:rsidR="00E34128" w:rsidRPr="003744F9" w:rsidRDefault="00E34128" w:rsidP="0076409A">
            <w:pPr>
              <w:jc w:val="center"/>
            </w:pPr>
            <w:r>
              <w:t>1.00</w:t>
            </w:r>
          </w:p>
        </w:tc>
        <w:tc>
          <w:tcPr>
            <w:tcW w:w="992" w:type="dxa"/>
            <w:vAlign w:val="center"/>
          </w:tcPr>
          <w:p w14:paraId="0A28A7D8" w14:textId="77777777" w:rsidR="00E34128" w:rsidRPr="003744F9" w:rsidRDefault="00E34128" w:rsidP="0076409A">
            <w:pPr>
              <w:jc w:val="center"/>
            </w:pPr>
            <w:r w:rsidRPr="003744F9">
              <w:t>326.78</w:t>
            </w:r>
          </w:p>
        </w:tc>
        <w:tc>
          <w:tcPr>
            <w:tcW w:w="1134" w:type="dxa"/>
            <w:vAlign w:val="center"/>
          </w:tcPr>
          <w:p w14:paraId="3FD99245" w14:textId="77777777" w:rsidR="00E34128" w:rsidRPr="003744F9" w:rsidRDefault="00E34128" w:rsidP="0076409A">
            <w:pPr>
              <w:jc w:val="center"/>
            </w:pPr>
            <w:r w:rsidRPr="003744F9">
              <w:t>-328.80</w:t>
            </w:r>
          </w:p>
        </w:tc>
        <w:tc>
          <w:tcPr>
            <w:tcW w:w="850" w:type="dxa"/>
            <w:vAlign w:val="center"/>
          </w:tcPr>
          <w:p w14:paraId="1376922C" w14:textId="77777777" w:rsidR="00E34128" w:rsidRPr="003744F9" w:rsidRDefault="00E34128" w:rsidP="0076409A">
            <w:pPr>
              <w:jc w:val="center"/>
            </w:pPr>
            <w:r w:rsidRPr="003744F9">
              <w:t>0.9850</w:t>
            </w:r>
          </w:p>
        </w:tc>
        <w:tc>
          <w:tcPr>
            <w:tcW w:w="993" w:type="dxa"/>
            <w:vAlign w:val="center"/>
          </w:tcPr>
          <w:p w14:paraId="1E0057BE" w14:textId="27F3A87C" w:rsidR="00E34128" w:rsidRPr="00DA0FC4" w:rsidRDefault="00E34128" w:rsidP="0076409A">
            <w:pPr>
              <w:jc w:val="center"/>
            </w:pPr>
            <w:r>
              <w:t>8.1</w:t>
            </w:r>
            <w:r w:rsidR="009876B0">
              <w:t>7</w:t>
            </w:r>
          </w:p>
        </w:tc>
        <w:tc>
          <w:tcPr>
            <w:tcW w:w="567" w:type="dxa"/>
            <w:vAlign w:val="center"/>
          </w:tcPr>
          <w:p w14:paraId="46D267AB" w14:textId="157754E3" w:rsidR="00E34128" w:rsidRPr="003744F9" w:rsidRDefault="00E34128" w:rsidP="0076409A">
            <w:pPr>
              <w:jc w:val="center"/>
              <w:rPr>
                <w:vertAlign w:val="superscript"/>
              </w:rPr>
            </w:pPr>
            <w:r w:rsidRPr="003744F9">
              <w:rPr>
                <w:vertAlign w:val="superscript"/>
              </w:rPr>
              <w:t>NC</w:t>
            </w:r>
          </w:p>
        </w:tc>
      </w:tr>
      <w:tr w:rsidR="00E34128" w:rsidRPr="003744F9" w14:paraId="58EC76C0" w14:textId="77777777" w:rsidTr="0076409A">
        <w:trPr>
          <w:trHeight w:val="264"/>
          <w:jc w:val="center"/>
        </w:trPr>
        <w:tc>
          <w:tcPr>
            <w:tcW w:w="993" w:type="dxa"/>
            <w:vMerge w:val="restart"/>
            <w:vAlign w:val="center"/>
          </w:tcPr>
          <w:p w14:paraId="77F247F3" w14:textId="77777777" w:rsidR="00E34128" w:rsidRPr="003744F9" w:rsidRDefault="00E34128" w:rsidP="0076409A">
            <w:pPr>
              <w:jc w:val="center"/>
            </w:pPr>
            <w:r w:rsidRPr="003744F9">
              <w:t>VI</w:t>
            </w:r>
          </w:p>
        </w:tc>
        <w:tc>
          <w:tcPr>
            <w:tcW w:w="1134" w:type="dxa"/>
            <w:vAlign w:val="center"/>
          </w:tcPr>
          <w:p w14:paraId="24BF382E" w14:textId="760DA575" w:rsidR="00E34128" w:rsidRPr="003744F9" w:rsidRDefault="00893A28" w:rsidP="0076409A">
            <w:pPr>
              <w:jc w:val="center"/>
            </w:pPr>
            <w:r>
              <w:t>-</w:t>
            </w:r>
          </w:p>
        </w:tc>
        <w:tc>
          <w:tcPr>
            <w:tcW w:w="992" w:type="dxa"/>
            <w:vAlign w:val="center"/>
          </w:tcPr>
          <w:p w14:paraId="56DAFCC6" w14:textId="77777777" w:rsidR="00E34128" w:rsidRPr="003744F9" w:rsidRDefault="00E34128" w:rsidP="0076409A">
            <w:pPr>
              <w:jc w:val="center"/>
            </w:pPr>
            <w:r w:rsidRPr="003744F9">
              <w:t>410.80</w:t>
            </w:r>
          </w:p>
        </w:tc>
        <w:tc>
          <w:tcPr>
            <w:tcW w:w="1134" w:type="dxa"/>
            <w:vAlign w:val="center"/>
          </w:tcPr>
          <w:p w14:paraId="2D141032" w14:textId="77777777" w:rsidR="00E34128" w:rsidRPr="003744F9" w:rsidRDefault="00E34128" w:rsidP="0076409A">
            <w:pPr>
              <w:jc w:val="center"/>
            </w:pPr>
            <w:r w:rsidRPr="003744F9">
              <w:t>-414.40</w:t>
            </w:r>
          </w:p>
        </w:tc>
        <w:tc>
          <w:tcPr>
            <w:tcW w:w="850" w:type="dxa"/>
            <w:vAlign w:val="center"/>
          </w:tcPr>
          <w:p w14:paraId="17430BE1" w14:textId="77777777" w:rsidR="00E34128" w:rsidRPr="003744F9" w:rsidRDefault="00E34128" w:rsidP="0076409A">
            <w:pPr>
              <w:jc w:val="center"/>
            </w:pPr>
            <w:r w:rsidRPr="003744F9">
              <w:t>0.9236</w:t>
            </w:r>
          </w:p>
        </w:tc>
        <w:tc>
          <w:tcPr>
            <w:tcW w:w="993" w:type="dxa"/>
            <w:vAlign w:val="center"/>
          </w:tcPr>
          <w:p w14:paraId="4E1EFF88" w14:textId="5067B41D" w:rsidR="00E34128" w:rsidRPr="00DA0FC4" w:rsidRDefault="00893A28" w:rsidP="0076409A">
            <w:pPr>
              <w:jc w:val="center"/>
            </w:pPr>
            <w:r>
              <w:t>-</w:t>
            </w:r>
          </w:p>
        </w:tc>
        <w:tc>
          <w:tcPr>
            <w:tcW w:w="567" w:type="dxa"/>
            <w:vAlign w:val="center"/>
          </w:tcPr>
          <w:p w14:paraId="022B79CE" w14:textId="421CA9B0" w:rsidR="00E34128" w:rsidRPr="003744F9" w:rsidRDefault="00E34128" w:rsidP="0076409A">
            <w:pPr>
              <w:jc w:val="center"/>
              <w:rPr>
                <w:vertAlign w:val="superscript"/>
              </w:rPr>
            </w:pPr>
            <w:r>
              <w:rPr>
                <w:vertAlign w:val="superscript"/>
              </w:rPr>
              <w:t>OD</w:t>
            </w:r>
          </w:p>
        </w:tc>
      </w:tr>
      <w:tr w:rsidR="00E34128" w:rsidRPr="003744F9" w14:paraId="0B5F4D8D" w14:textId="77777777" w:rsidTr="0076409A">
        <w:trPr>
          <w:trHeight w:val="264"/>
          <w:jc w:val="center"/>
        </w:trPr>
        <w:tc>
          <w:tcPr>
            <w:tcW w:w="993" w:type="dxa"/>
            <w:vMerge/>
            <w:vAlign w:val="center"/>
          </w:tcPr>
          <w:p w14:paraId="02949652" w14:textId="77777777" w:rsidR="00E34128" w:rsidRPr="003744F9" w:rsidRDefault="00E34128" w:rsidP="0076409A">
            <w:pPr>
              <w:jc w:val="center"/>
            </w:pPr>
          </w:p>
        </w:tc>
        <w:tc>
          <w:tcPr>
            <w:tcW w:w="1134" w:type="dxa"/>
            <w:vAlign w:val="center"/>
          </w:tcPr>
          <w:p w14:paraId="195787DB" w14:textId="1446FCBF" w:rsidR="00E34128" w:rsidRPr="003744F9" w:rsidRDefault="00E34128" w:rsidP="0076409A">
            <w:pPr>
              <w:jc w:val="center"/>
            </w:pPr>
            <w:r w:rsidRPr="003744F9">
              <w:t>0.60</w:t>
            </w:r>
          </w:p>
        </w:tc>
        <w:tc>
          <w:tcPr>
            <w:tcW w:w="992" w:type="dxa"/>
            <w:vAlign w:val="center"/>
          </w:tcPr>
          <w:p w14:paraId="4E039BA6" w14:textId="77777777" w:rsidR="00E34128" w:rsidRPr="003744F9" w:rsidRDefault="00E34128" w:rsidP="0076409A">
            <w:pPr>
              <w:jc w:val="center"/>
            </w:pPr>
            <w:r w:rsidRPr="003744F9">
              <w:t>367.85</w:t>
            </w:r>
          </w:p>
        </w:tc>
        <w:tc>
          <w:tcPr>
            <w:tcW w:w="1134" w:type="dxa"/>
            <w:vAlign w:val="center"/>
          </w:tcPr>
          <w:p w14:paraId="23C2DE4B" w14:textId="77777777" w:rsidR="00E34128" w:rsidRPr="003744F9" w:rsidRDefault="00E34128" w:rsidP="0076409A">
            <w:pPr>
              <w:jc w:val="center"/>
            </w:pPr>
            <w:r w:rsidRPr="003744F9">
              <w:t>-370.20</w:t>
            </w:r>
          </w:p>
        </w:tc>
        <w:tc>
          <w:tcPr>
            <w:tcW w:w="850" w:type="dxa"/>
            <w:vAlign w:val="center"/>
          </w:tcPr>
          <w:p w14:paraId="15B9F95D" w14:textId="77777777" w:rsidR="00E34128" w:rsidRPr="003744F9" w:rsidRDefault="00E34128" w:rsidP="0076409A">
            <w:pPr>
              <w:jc w:val="center"/>
            </w:pPr>
            <w:r w:rsidRPr="003744F9">
              <w:t>0.9651</w:t>
            </w:r>
          </w:p>
        </w:tc>
        <w:tc>
          <w:tcPr>
            <w:tcW w:w="993" w:type="dxa"/>
            <w:vAlign w:val="center"/>
          </w:tcPr>
          <w:p w14:paraId="605B5359" w14:textId="49936833" w:rsidR="00E34128" w:rsidRPr="00DA0FC4" w:rsidRDefault="00E34128" w:rsidP="0076409A">
            <w:pPr>
              <w:jc w:val="center"/>
            </w:pPr>
            <w:r w:rsidRPr="003744F9">
              <w:t>35.58</w:t>
            </w:r>
          </w:p>
        </w:tc>
        <w:tc>
          <w:tcPr>
            <w:tcW w:w="567" w:type="dxa"/>
            <w:vAlign w:val="center"/>
          </w:tcPr>
          <w:p w14:paraId="1AA01C03" w14:textId="163DEA89" w:rsidR="00E34128" w:rsidRPr="003744F9" w:rsidRDefault="00E34128" w:rsidP="0076409A">
            <w:pPr>
              <w:jc w:val="center"/>
              <w:rPr>
                <w:vertAlign w:val="superscript"/>
              </w:rPr>
            </w:pPr>
            <w:r w:rsidRPr="003744F9">
              <w:rPr>
                <w:vertAlign w:val="superscript"/>
              </w:rPr>
              <w:t>C</w:t>
            </w:r>
          </w:p>
        </w:tc>
      </w:tr>
      <w:tr w:rsidR="00E34128" w:rsidRPr="003744F9" w14:paraId="3427197F" w14:textId="77777777" w:rsidTr="0076409A">
        <w:trPr>
          <w:trHeight w:val="264"/>
          <w:jc w:val="center"/>
        </w:trPr>
        <w:tc>
          <w:tcPr>
            <w:tcW w:w="993" w:type="dxa"/>
            <w:vMerge/>
            <w:vAlign w:val="center"/>
          </w:tcPr>
          <w:p w14:paraId="622EBF03" w14:textId="77777777" w:rsidR="00E34128" w:rsidRPr="003744F9" w:rsidRDefault="00E34128" w:rsidP="0076409A">
            <w:pPr>
              <w:jc w:val="center"/>
            </w:pPr>
          </w:p>
        </w:tc>
        <w:tc>
          <w:tcPr>
            <w:tcW w:w="1134" w:type="dxa"/>
            <w:vAlign w:val="center"/>
          </w:tcPr>
          <w:p w14:paraId="3662B70C" w14:textId="721C21DA" w:rsidR="00E34128" w:rsidRPr="003744F9" w:rsidRDefault="00E34128" w:rsidP="0076409A">
            <w:pPr>
              <w:jc w:val="center"/>
            </w:pPr>
            <w:r>
              <w:t>1.00</w:t>
            </w:r>
          </w:p>
        </w:tc>
        <w:tc>
          <w:tcPr>
            <w:tcW w:w="992" w:type="dxa"/>
            <w:vAlign w:val="center"/>
          </w:tcPr>
          <w:p w14:paraId="041522DA" w14:textId="77777777" w:rsidR="00E34128" w:rsidRPr="003744F9" w:rsidRDefault="00E34128" w:rsidP="0076409A">
            <w:pPr>
              <w:jc w:val="center"/>
            </w:pPr>
            <w:r w:rsidRPr="003744F9">
              <w:t>359.36</w:t>
            </w:r>
          </w:p>
        </w:tc>
        <w:tc>
          <w:tcPr>
            <w:tcW w:w="1134" w:type="dxa"/>
            <w:vAlign w:val="center"/>
          </w:tcPr>
          <w:p w14:paraId="62085E82" w14:textId="77777777" w:rsidR="00E34128" w:rsidRPr="003744F9" w:rsidRDefault="00E34128" w:rsidP="0076409A">
            <w:pPr>
              <w:jc w:val="center"/>
            </w:pPr>
            <w:r w:rsidRPr="003744F9">
              <w:t>-361.53</w:t>
            </w:r>
          </w:p>
        </w:tc>
        <w:tc>
          <w:tcPr>
            <w:tcW w:w="850" w:type="dxa"/>
            <w:vAlign w:val="center"/>
          </w:tcPr>
          <w:p w14:paraId="0FA27075" w14:textId="77777777" w:rsidR="00E34128" w:rsidRPr="003744F9" w:rsidRDefault="00E34128" w:rsidP="0076409A">
            <w:pPr>
              <w:jc w:val="center"/>
            </w:pPr>
            <w:r w:rsidRPr="003744F9">
              <w:t>0.9851</w:t>
            </w:r>
          </w:p>
        </w:tc>
        <w:tc>
          <w:tcPr>
            <w:tcW w:w="993" w:type="dxa"/>
            <w:vAlign w:val="center"/>
          </w:tcPr>
          <w:p w14:paraId="59D42C15" w14:textId="0948CEB4" w:rsidR="00E34128" w:rsidRPr="00DA0FC4" w:rsidRDefault="00E34128" w:rsidP="0076409A">
            <w:pPr>
              <w:jc w:val="center"/>
            </w:pPr>
            <w:r>
              <w:t>42.5</w:t>
            </w:r>
            <w:r w:rsidR="009876B0">
              <w:t>9</w:t>
            </w:r>
          </w:p>
        </w:tc>
        <w:tc>
          <w:tcPr>
            <w:tcW w:w="567" w:type="dxa"/>
            <w:vAlign w:val="center"/>
          </w:tcPr>
          <w:p w14:paraId="65C0E53C" w14:textId="2A996569" w:rsidR="00E34128" w:rsidRPr="003744F9" w:rsidRDefault="00E34128" w:rsidP="0076409A">
            <w:pPr>
              <w:jc w:val="center"/>
              <w:rPr>
                <w:vertAlign w:val="superscript"/>
              </w:rPr>
            </w:pPr>
            <w:r w:rsidRPr="003744F9">
              <w:rPr>
                <w:vertAlign w:val="superscript"/>
              </w:rPr>
              <w:t>NC</w:t>
            </w:r>
          </w:p>
        </w:tc>
      </w:tr>
      <w:tr w:rsidR="00E34128" w:rsidRPr="003744F9" w14:paraId="0C2BEBA3" w14:textId="77777777" w:rsidTr="0076409A">
        <w:trPr>
          <w:trHeight w:val="264"/>
          <w:jc w:val="center"/>
        </w:trPr>
        <w:tc>
          <w:tcPr>
            <w:tcW w:w="6663" w:type="dxa"/>
            <w:gridSpan w:val="7"/>
            <w:vAlign w:val="center"/>
          </w:tcPr>
          <w:p w14:paraId="6A52F91E" w14:textId="6EF06588" w:rsidR="00E34128" w:rsidRPr="003744F9" w:rsidRDefault="00E34128" w:rsidP="0076409A">
            <w:pPr>
              <w:jc w:val="center"/>
              <w:rPr>
                <w:vertAlign w:val="superscript"/>
              </w:rPr>
            </w:pPr>
            <w:r>
              <w:rPr>
                <w:vertAlign w:val="superscript"/>
              </w:rPr>
              <w:t>OD-Operative data, C-Calibrated simulation, NC-Non</w:t>
            </w:r>
            <w:r w:rsidR="00357BB9">
              <w:rPr>
                <w:vertAlign w:val="superscript"/>
              </w:rPr>
              <w:t>-</w:t>
            </w:r>
            <w:r>
              <w:rPr>
                <w:vertAlign w:val="superscript"/>
              </w:rPr>
              <w:t>calibrated simulation</w:t>
            </w:r>
          </w:p>
        </w:tc>
      </w:tr>
    </w:tbl>
    <w:p w14:paraId="3FFB0F2C" w14:textId="77777777" w:rsidR="00DA0FC4" w:rsidRDefault="00DA0FC4" w:rsidP="006A6A5A">
      <w:pPr>
        <w:pStyle w:val="Els-body-text"/>
      </w:pPr>
    </w:p>
    <w:p w14:paraId="3ADEC357" w14:textId="7F3822C0" w:rsidR="008D2B7F" w:rsidRPr="008D2B7F" w:rsidRDefault="008D2B7F" w:rsidP="008D2B7F">
      <w:pPr>
        <w:pStyle w:val="Els-body-text"/>
      </w:pPr>
      <w:r w:rsidRPr="008D2B7F">
        <w:t>The RMSE implementation allowed quantifying the deviation between operational data and the hybrid model or process simulation results. The predictions for scenarios I to IV exhibit the lowest deviation values, accompanied by the highest product mass fraction. For inlet mass flows greater than 590,50</w:t>
      </w:r>
      <w:r w:rsidR="00893A28">
        <w:t>2</w:t>
      </w:r>
      <w:r w:rsidRPr="008D2B7F">
        <w:t>.</w:t>
      </w:r>
      <w:r w:rsidR="00893A28">
        <w:t>00</w:t>
      </w:r>
      <w:r w:rsidRPr="008D2B7F">
        <w:t xml:space="preserve"> kg/h, the RMSE values for the gray-box model and process simulation show a significant increase. These increases are associated </w:t>
      </w:r>
      <w:r w:rsidRPr="008D2B7F">
        <w:lastRenderedPageBreak/>
        <w:t>with an overflow in the distillation column; consequently, the prediction of the liquid-vapor equilibrium begins to be affected even with the gray-box model implementation.</w:t>
      </w:r>
    </w:p>
    <w:p w14:paraId="29B8026C" w14:textId="0EF8A1CC" w:rsidR="008D2B7F" w:rsidRDefault="008D2B7F" w:rsidP="008D2B7F">
      <w:pPr>
        <w:pStyle w:val="Els-body-text"/>
      </w:pPr>
    </w:p>
    <w:p w14:paraId="6363C62E" w14:textId="78542C08" w:rsidR="000F1F69" w:rsidRDefault="00324BE1" w:rsidP="006A6A5A">
      <w:pPr>
        <w:pStyle w:val="Els-body-text"/>
      </w:pPr>
      <w:r>
        <w:t xml:space="preserve">The implementation of </w:t>
      </w:r>
      <w:r w:rsidR="0041429E">
        <w:t xml:space="preserve">the </w:t>
      </w:r>
      <w:r>
        <w:t xml:space="preserve">utopia-tracking approach </w:t>
      </w:r>
      <w:r w:rsidR="008D2B7F">
        <w:t>enables</w:t>
      </w:r>
      <w:r>
        <w:t xml:space="preserve"> t</w:t>
      </w:r>
      <w:r w:rsidR="008D2B7F">
        <w:t>he</w:t>
      </w:r>
      <w:r>
        <w:t xml:space="preserve"> identif</w:t>
      </w:r>
      <w:r w:rsidR="008D2B7F">
        <w:t>ication of the</w:t>
      </w:r>
      <w:r>
        <w:t xml:space="preserve"> best operative point, </w:t>
      </w:r>
      <w:r w:rsidR="008D2B7F">
        <w:t xml:space="preserve">characterized by a product mass purity of </w:t>
      </w:r>
      <w:r>
        <w:t>0.9863, reboiler duty of 261</w:t>
      </w:r>
      <w:r w:rsidR="008D2B7F">
        <w:t>.</w:t>
      </w:r>
      <w:r>
        <w:t xml:space="preserve">46 MW, condenser duty of -263.35 MW, and </w:t>
      </w:r>
      <w:r w:rsidR="008D2B7F">
        <w:t xml:space="preserve">an inlet mass flow of </w:t>
      </w:r>
      <w:r>
        <w:t>469,73</w:t>
      </w:r>
      <w:r w:rsidR="00893A28">
        <w:t>9</w:t>
      </w:r>
      <w:r>
        <w:t>.0 kg/h</w:t>
      </w:r>
      <w:r w:rsidR="008D2B7F">
        <w:t xml:space="preserve">. These conditions correspond to an optimal operative zone between </w:t>
      </w:r>
      <w:r>
        <w:t>scenario II and III</w:t>
      </w:r>
      <w:r w:rsidR="008D2B7F">
        <w:t xml:space="preserve"> </w:t>
      </w:r>
      <w:r w:rsidR="009876B0">
        <w:t>values</w:t>
      </w:r>
      <w:r>
        <w:t>.</w:t>
      </w:r>
    </w:p>
    <w:p w14:paraId="5E45A7C0" w14:textId="3EC80D44" w:rsidR="006A6A5A" w:rsidRPr="00A94774" w:rsidRDefault="006A6A5A" w:rsidP="006A6A5A">
      <w:pPr>
        <w:pStyle w:val="Els-1storder-head"/>
        <w:spacing w:after="120"/>
        <w:rPr>
          <w:lang w:val="en-GB"/>
        </w:rPr>
      </w:pPr>
      <w:r>
        <w:rPr>
          <w:lang w:val="en-GB"/>
        </w:rPr>
        <w:t>Conclusions</w:t>
      </w:r>
    </w:p>
    <w:p w14:paraId="63C0610B" w14:textId="36AFF9AA" w:rsidR="00B10A7F" w:rsidRDefault="00C24BC2" w:rsidP="00D95AD5">
      <w:pPr>
        <w:spacing w:before="100" w:beforeAutospacing="1" w:after="100" w:afterAutospacing="1"/>
        <w:jc w:val="both"/>
        <w:rPr>
          <w:rFonts w:cs="Calibri"/>
          <w:lang w:val="en-US" w:eastAsia="fr-FR"/>
        </w:rPr>
      </w:pPr>
      <w:r w:rsidRPr="00D35E6D">
        <w:rPr>
          <w:rFonts w:cs="Calibri"/>
          <w:lang w:val="en-US" w:eastAsia="fr-FR"/>
        </w:rPr>
        <w:t>The results showed that a hybrid model allowed obtaining a simulation with a better approximation to the system behavior concerning conventional thermodynamic models (SRK)</w:t>
      </w:r>
      <w:r>
        <w:rPr>
          <w:rFonts w:cs="Calibri"/>
          <w:lang w:val="en-US" w:eastAsia="fr-FR"/>
        </w:rPr>
        <w:t>, as well as estimat</w:t>
      </w:r>
      <w:r w:rsidR="00927D31">
        <w:rPr>
          <w:rFonts w:cs="Calibri"/>
          <w:lang w:val="en-US" w:eastAsia="fr-FR"/>
        </w:rPr>
        <w:t>ing</w:t>
      </w:r>
      <w:r>
        <w:rPr>
          <w:rFonts w:cs="Calibri"/>
          <w:lang w:val="en-US" w:eastAsia="fr-FR"/>
        </w:rPr>
        <w:t xml:space="preserve"> Murphree efficiencies values quickly</w:t>
      </w:r>
      <w:r w:rsidR="00927D31">
        <w:rPr>
          <w:rFonts w:cs="Calibri"/>
          <w:lang w:val="en-US" w:eastAsia="fr-FR"/>
        </w:rPr>
        <w:t>, accurately,</w:t>
      </w:r>
      <w:r>
        <w:rPr>
          <w:rFonts w:cs="Calibri"/>
          <w:lang w:val="en-US" w:eastAsia="fr-FR"/>
        </w:rPr>
        <w:t xml:space="preserve"> and continuously for</w:t>
      </w:r>
      <w:r w:rsidR="00927D31">
        <w:rPr>
          <w:rFonts w:cs="Calibri"/>
          <w:lang w:val="en-US" w:eastAsia="fr-FR"/>
        </w:rPr>
        <w:t xml:space="preserve"> the</w:t>
      </w:r>
      <w:r>
        <w:rPr>
          <w:rFonts w:cs="Calibri"/>
          <w:lang w:val="en-US" w:eastAsia="fr-FR"/>
        </w:rPr>
        <w:t xml:space="preserve"> </w:t>
      </w:r>
      <w:r w:rsidR="00927D31">
        <w:rPr>
          <w:rFonts w:cs="Calibri"/>
          <w:lang w:val="en-US" w:eastAsia="fr-FR"/>
        </w:rPr>
        <w:t>model</w:t>
      </w:r>
      <w:r w:rsidR="00B10A7F">
        <w:rPr>
          <w:rFonts w:cs="Calibri"/>
          <w:lang w:val="en-US" w:eastAsia="fr-FR"/>
        </w:rPr>
        <w:t>,</w:t>
      </w:r>
      <w:r w:rsidR="00927D31">
        <w:rPr>
          <w:rFonts w:cs="Calibri"/>
          <w:lang w:val="en-US" w:eastAsia="fr-FR"/>
        </w:rPr>
        <w:t xml:space="preserve"> reducing </w:t>
      </w:r>
      <w:r>
        <w:rPr>
          <w:rFonts w:cs="Calibri"/>
          <w:lang w:val="en-US" w:eastAsia="fr-FR"/>
        </w:rPr>
        <w:t>the</w:t>
      </w:r>
      <w:r w:rsidR="00390A59">
        <w:rPr>
          <w:rFonts w:cs="Calibri"/>
          <w:lang w:val="en-US" w:eastAsia="fr-FR"/>
        </w:rPr>
        <w:t xml:space="preserve"> future</w:t>
      </w:r>
      <w:r>
        <w:rPr>
          <w:rFonts w:cs="Calibri"/>
          <w:lang w:val="en-US" w:eastAsia="fr-FR"/>
        </w:rPr>
        <w:t xml:space="preserve"> instrumentation </w:t>
      </w:r>
      <w:r w:rsidR="00927D31">
        <w:rPr>
          <w:rFonts w:cs="Calibri"/>
          <w:lang w:val="en-US" w:eastAsia="fr-FR"/>
        </w:rPr>
        <w:t xml:space="preserve">investment </w:t>
      </w:r>
      <w:r>
        <w:rPr>
          <w:rFonts w:cs="Calibri"/>
          <w:lang w:val="en-US" w:eastAsia="fr-FR"/>
        </w:rPr>
        <w:t xml:space="preserve">and experimental determination </w:t>
      </w:r>
      <w:r w:rsidR="00927D31">
        <w:rPr>
          <w:rFonts w:cs="Calibri"/>
          <w:lang w:val="en-US" w:eastAsia="fr-FR"/>
        </w:rPr>
        <w:t>of</w:t>
      </w:r>
      <w:r>
        <w:rPr>
          <w:rFonts w:cs="Calibri"/>
          <w:lang w:val="en-US" w:eastAsia="fr-FR"/>
        </w:rPr>
        <w:t xml:space="preserve"> unknown parameters</w:t>
      </w:r>
      <w:r w:rsidRPr="00D35E6D">
        <w:rPr>
          <w:rFonts w:cs="Calibri"/>
          <w:lang w:val="en-US" w:eastAsia="fr-FR"/>
        </w:rPr>
        <w:t xml:space="preserve">. </w:t>
      </w:r>
    </w:p>
    <w:p w14:paraId="38CC5E31" w14:textId="5BF5711D" w:rsidR="00D35E6D" w:rsidRDefault="00C24BC2" w:rsidP="00D95AD5">
      <w:pPr>
        <w:spacing w:before="100" w:beforeAutospacing="1" w:after="100" w:afterAutospacing="1"/>
        <w:jc w:val="both"/>
        <w:rPr>
          <w:rFonts w:cs="Calibri"/>
          <w:lang w:val="en-US" w:eastAsia="fr-FR"/>
        </w:rPr>
      </w:pPr>
      <w:r w:rsidRPr="00D35E6D">
        <w:rPr>
          <w:rFonts w:cs="Calibri"/>
          <w:lang w:val="en-US" w:eastAsia="fr-FR"/>
        </w:rPr>
        <w:t xml:space="preserve">On the other hand, it is possible to infer that the increase in the feed flow within the column presents a direct relationship with higher operating costs; however, there is a point at which the purity and, therefore, the efficiency of the stages reaches a maximum, which is associated with an operation </w:t>
      </w:r>
      <w:r>
        <w:rPr>
          <w:rFonts w:cs="Calibri"/>
          <w:lang w:val="en-US" w:eastAsia="fr-FR"/>
        </w:rPr>
        <w:t>close to</w:t>
      </w:r>
      <w:r w:rsidRPr="00D35E6D">
        <w:rPr>
          <w:rFonts w:cs="Calibri"/>
          <w:lang w:val="en-US" w:eastAsia="fr-FR"/>
        </w:rPr>
        <w:t xml:space="preserve"> the </w:t>
      </w:r>
      <w:r>
        <w:rPr>
          <w:rFonts w:cs="Calibri"/>
          <w:lang w:val="en-US" w:eastAsia="fr-FR"/>
        </w:rPr>
        <w:t xml:space="preserve">column </w:t>
      </w:r>
      <w:r w:rsidRPr="00D35E6D">
        <w:rPr>
          <w:rFonts w:cs="Calibri"/>
          <w:lang w:val="en-US" w:eastAsia="fr-FR"/>
        </w:rPr>
        <w:t>design flow (approximately 469,73</w:t>
      </w:r>
      <w:r w:rsidR="00893A28">
        <w:rPr>
          <w:rFonts w:cs="Calibri"/>
          <w:lang w:val="en-US" w:eastAsia="fr-FR"/>
        </w:rPr>
        <w:t>9</w:t>
      </w:r>
      <w:r w:rsidRPr="00D35E6D">
        <w:rPr>
          <w:rFonts w:cs="Calibri"/>
          <w:lang w:val="en-US" w:eastAsia="fr-FR"/>
        </w:rPr>
        <w:t>.</w:t>
      </w:r>
      <w:r w:rsidR="00893A28">
        <w:rPr>
          <w:rFonts w:cs="Calibri"/>
          <w:lang w:val="en-US" w:eastAsia="fr-FR"/>
        </w:rPr>
        <w:t>0</w:t>
      </w:r>
      <w:r w:rsidRPr="00D35E6D">
        <w:rPr>
          <w:rFonts w:cs="Calibri"/>
          <w:lang w:val="en-US" w:eastAsia="fr-FR"/>
        </w:rPr>
        <w:t>0 kg/h). Finally, the proposed tools and methodology allow obtaining an area of opportunity for the generation of more complex analyses extrapolated towards the dynamic operation of the system and integration of more variables to generate greater robustness in the predictions of the hybrid model.</w:t>
      </w:r>
    </w:p>
    <w:p w14:paraId="077AF016" w14:textId="5B9C5540" w:rsidR="006A6A5A" w:rsidRPr="00A94774" w:rsidRDefault="006A6A5A" w:rsidP="006A6A5A">
      <w:pPr>
        <w:pStyle w:val="Els-1storder-head"/>
        <w:numPr>
          <w:ilvl w:val="0"/>
          <w:numId w:val="0"/>
        </w:numPr>
        <w:spacing w:after="120"/>
        <w:rPr>
          <w:lang w:val="en-GB"/>
        </w:rPr>
      </w:pPr>
      <w:r>
        <w:rPr>
          <w:lang w:val="en-GB"/>
        </w:rPr>
        <w:t>Acknowledgments</w:t>
      </w:r>
    </w:p>
    <w:p w14:paraId="6C51B3BE" w14:textId="66FA513F" w:rsidR="006A6A5A" w:rsidRDefault="006A6A5A" w:rsidP="008D2649">
      <w:pPr>
        <w:pStyle w:val="Els-body-text"/>
      </w:pPr>
      <w:r>
        <w:rPr>
          <w:lang w:val="en-GB"/>
        </w:rPr>
        <w:t>Jaime David Ponce-Rocha acknowledges the financial support from CIATEQ-Advanced Technology Center for the development of this project.</w:t>
      </w:r>
    </w:p>
    <w:p w14:paraId="44F88212" w14:textId="12958435" w:rsidR="006A6A5A" w:rsidRPr="00A94774" w:rsidRDefault="006A6A5A" w:rsidP="006A6A5A">
      <w:pPr>
        <w:pStyle w:val="Els-1storder-head"/>
        <w:numPr>
          <w:ilvl w:val="0"/>
          <w:numId w:val="0"/>
        </w:numPr>
        <w:spacing w:after="120"/>
        <w:rPr>
          <w:lang w:val="en-GB"/>
        </w:rPr>
      </w:pPr>
      <w:r>
        <w:rPr>
          <w:lang w:val="en-GB"/>
        </w:rPr>
        <w:t>References</w:t>
      </w:r>
    </w:p>
    <w:p w14:paraId="64BBE2C4" w14:textId="5ADD05A3" w:rsidR="00ED5DFE" w:rsidRPr="009B5349" w:rsidRDefault="00ED5DFE" w:rsidP="009B5349">
      <w:pPr>
        <w:autoSpaceDE w:val="0"/>
        <w:autoSpaceDN w:val="0"/>
        <w:ind w:left="480" w:hanging="480"/>
        <w:jc w:val="both"/>
        <w:rPr>
          <w:noProof/>
          <w:sz w:val="18"/>
          <w:lang w:val="en-US"/>
        </w:rPr>
      </w:pPr>
      <w:r w:rsidRPr="009B5349">
        <w:rPr>
          <w:noProof/>
          <w:sz w:val="18"/>
          <w:lang w:val="en-US"/>
        </w:rPr>
        <w:t>T. A. Adams II, T. Thatho, M. C. Le Feuvre, &amp; C. L. E. Swartz</w:t>
      </w:r>
      <w:r w:rsidR="00635A34">
        <w:rPr>
          <w:noProof/>
          <w:sz w:val="18"/>
          <w:lang w:val="en-US"/>
        </w:rPr>
        <w:t xml:space="preserve">, </w:t>
      </w:r>
      <w:r w:rsidRPr="009B5349">
        <w:rPr>
          <w:noProof/>
          <w:sz w:val="18"/>
          <w:lang w:val="en-US"/>
        </w:rPr>
        <w:t>2018</w:t>
      </w:r>
      <w:r w:rsidR="00635A34">
        <w:rPr>
          <w:noProof/>
          <w:sz w:val="18"/>
          <w:lang w:val="en-US"/>
        </w:rPr>
        <w:t>,</w:t>
      </w:r>
      <w:r w:rsidRPr="009B5349">
        <w:rPr>
          <w:noProof/>
          <w:sz w:val="18"/>
          <w:lang w:val="en-US"/>
        </w:rPr>
        <w:t xml:space="preserve"> The Optimal Design of a Distillation System for the Flexible Polygeneration of Dimethyl Ether and Methanol Under Uncertainty</w:t>
      </w:r>
      <w:r w:rsidR="00635A34">
        <w:rPr>
          <w:noProof/>
          <w:sz w:val="18"/>
          <w:lang w:val="en-US"/>
        </w:rPr>
        <w:t>,</w:t>
      </w:r>
      <w:r w:rsidRPr="009B5349">
        <w:rPr>
          <w:noProof/>
          <w:sz w:val="18"/>
          <w:lang w:val="en-US"/>
        </w:rPr>
        <w:t xml:space="preserve"> Frontiers in Energy Research, 6(J</w:t>
      </w:r>
      <w:r w:rsidR="00635A34">
        <w:rPr>
          <w:noProof/>
          <w:sz w:val="18"/>
          <w:lang w:val="en-US"/>
        </w:rPr>
        <w:t>un</w:t>
      </w:r>
      <w:r w:rsidRPr="009B5349">
        <w:rPr>
          <w:noProof/>
          <w:sz w:val="18"/>
          <w:lang w:val="en-US"/>
        </w:rPr>
        <w:t xml:space="preserve">), 41. </w:t>
      </w:r>
    </w:p>
    <w:p w14:paraId="16F75D4F" w14:textId="41322DAE" w:rsidR="00ED5DFE" w:rsidRPr="009B5349" w:rsidRDefault="00ED5DFE" w:rsidP="009B5349">
      <w:pPr>
        <w:autoSpaceDE w:val="0"/>
        <w:autoSpaceDN w:val="0"/>
        <w:ind w:left="480" w:hanging="480"/>
        <w:jc w:val="both"/>
        <w:rPr>
          <w:noProof/>
          <w:sz w:val="18"/>
          <w:lang w:val="en-US"/>
        </w:rPr>
      </w:pPr>
      <w:r w:rsidRPr="009B5349">
        <w:rPr>
          <w:noProof/>
          <w:sz w:val="18"/>
          <w:lang w:val="en-US"/>
        </w:rPr>
        <w:t>N. Asprion, R. Böttcher, R. Pack, M. E. Stavrou, J. Höller, J. Schwientek, &amp; M. Bortz</w:t>
      </w:r>
      <w:r w:rsidR="00635A34">
        <w:rPr>
          <w:noProof/>
          <w:sz w:val="18"/>
          <w:lang w:val="en-US"/>
        </w:rPr>
        <w:t xml:space="preserve">, </w:t>
      </w:r>
      <w:r w:rsidRPr="009B5349">
        <w:rPr>
          <w:noProof/>
          <w:sz w:val="18"/>
          <w:lang w:val="en-US"/>
        </w:rPr>
        <w:t>2019</w:t>
      </w:r>
      <w:r w:rsidR="00635A34">
        <w:rPr>
          <w:noProof/>
          <w:sz w:val="18"/>
          <w:lang w:val="en-US"/>
        </w:rPr>
        <w:t>,</w:t>
      </w:r>
      <w:r w:rsidRPr="009B5349">
        <w:rPr>
          <w:noProof/>
          <w:sz w:val="18"/>
          <w:lang w:val="en-US"/>
        </w:rPr>
        <w:t xml:space="preserve"> Gray-Box Modeling for the Optimization of Chemical Processes</w:t>
      </w:r>
      <w:r w:rsidR="00635A34">
        <w:rPr>
          <w:noProof/>
          <w:sz w:val="18"/>
          <w:lang w:val="en-US"/>
        </w:rPr>
        <w:t>,</w:t>
      </w:r>
      <w:r w:rsidRPr="009B5349">
        <w:rPr>
          <w:noProof/>
          <w:sz w:val="18"/>
          <w:lang w:val="en-US"/>
        </w:rPr>
        <w:t xml:space="preserve"> Chemie Ingenieur Technik, 91(3), 305–313. </w:t>
      </w:r>
    </w:p>
    <w:p w14:paraId="2AC36CF4" w14:textId="0B0294CC" w:rsidR="00ED5DFE" w:rsidRPr="009B5349" w:rsidRDefault="00ED5DFE" w:rsidP="009B5349">
      <w:pPr>
        <w:autoSpaceDE w:val="0"/>
        <w:autoSpaceDN w:val="0"/>
        <w:ind w:left="480" w:hanging="480"/>
        <w:jc w:val="both"/>
        <w:rPr>
          <w:noProof/>
          <w:sz w:val="18"/>
          <w:lang w:val="en-US"/>
        </w:rPr>
      </w:pPr>
      <w:r w:rsidRPr="00635A34">
        <w:rPr>
          <w:noProof/>
          <w:sz w:val="18"/>
          <w:lang w:val="en-US"/>
        </w:rPr>
        <w:t>E. Brunazzi, E. Sorensen, J. Bausa, &amp; J. Steimel</w:t>
      </w:r>
      <w:r w:rsidR="00635A34" w:rsidRPr="00635A34">
        <w:rPr>
          <w:noProof/>
          <w:sz w:val="18"/>
          <w:lang w:val="en-US"/>
        </w:rPr>
        <w:t xml:space="preserve">, </w:t>
      </w:r>
      <w:r w:rsidRPr="00635A34">
        <w:rPr>
          <w:noProof/>
          <w:sz w:val="18"/>
          <w:lang w:val="en-US"/>
        </w:rPr>
        <w:t>2018</w:t>
      </w:r>
      <w:r w:rsidR="00635A34">
        <w:rPr>
          <w:noProof/>
          <w:sz w:val="18"/>
          <w:lang w:val="en-US"/>
        </w:rPr>
        <w:t>,</w:t>
      </w:r>
      <w:r w:rsidRPr="00635A34">
        <w:rPr>
          <w:noProof/>
          <w:sz w:val="18"/>
          <w:lang w:val="en-US"/>
        </w:rPr>
        <w:t xml:space="preserve"> </w:t>
      </w:r>
      <w:r w:rsidRPr="009B5349">
        <w:rPr>
          <w:noProof/>
          <w:sz w:val="18"/>
          <w:lang w:val="en-US"/>
        </w:rPr>
        <w:t>Extending Murphree Tray Efficiency from Mass to Heat Transfer in Distillation</w:t>
      </w:r>
      <w:r w:rsidR="00635A34">
        <w:rPr>
          <w:noProof/>
          <w:sz w:val="18"/>
          <w:lang w:val="en-US"/>
        </w:rPr>
        <w:t>,</w:t>
      </w:r>
      <w:r w:rsidRPr="009B5349">
        <w:rPr>
          <w:noProof/>
          <w:sz w:val="18"/>
          <w:lang w:val="en-US"/>
        </w:rPr>
        <w:t xml:space="preserve"> Chemical engineering transactions, 69. </w:t>
      </w:r>
    </w:p>
    <w:p w14:paraId="26378A89" w14:textId="619F6BEB" w:rsidR="00ED5DFE" w:rsidRPr="009B5349" w:rsidRDefault="00ED5DFE" w:rsidP="009B5349">
      <w:pPr>
        <w:autoSpaceDE w:val="0"/>
        <w:autoSpaceDN w:val="0"/>
        <w:ind w:left="480" w:hanging="480"/>
        <w:jc w:val="both"/>
        <w:rPr>
          <w:noProof/>
          <w:sz w:val="18"/>
          <w:lang w:val="en-US"/>
        </w:rPr>
      </w:pPr>
      <w:r w:rsidRPr="009B5349">
        <w:rPr>
          <w:noProof/>
          <w:sz w:val="18"/>
          <w:lang w:val="en-US"/>
        </w:rPr>
        <w:t>D. C. Y. Foo, &amp; R. Elyas</w:t>
      </w:r>
      <w:r w:rsidR="00635A34">
        <w:rPr>
          <w:noProof/>
          <w:sz w:val="18"/>
          <w:lang w:val="en-US"/>
        </w:rPr>
        <w:t xml:space="preserve">, </w:t>
      </w:r>
      <w:r w:rsidRPr="009B5349">
        <w:rPr>
          <w:noProof/>
          <w:sz w:val="18"/>
          <w:lang w:val="en-US"/>
        </w:rPr>
        <w:t>2023</w:t>
      </w:r>
      <w:r w:rsidR="00635A34">
        <w:rPr>
          <w:noProof/>
          <w:sz w:val="18"/>
          <w:lang w:val="en-US"/>
        </w:rPr>
        <w:t>,</w:t>
      </w:r>
      <w:r w:rsidRPr="009B5349">
        <w:rPr>
          <w:noProof/>
          <w:sz w:val="18"/>
          <w:lang w:val="en-US"/>
        </w:rPr>
        <w:t xml:space="preserve"> Introduction to process simulation</w:t>
      </w:r>
      <w:r w:rsidR="00635A34">
        <w:rPr>
          <w:noProof/>
          <w:sz w:val="18"/>
          <w:lang w:val="en-US"/>
        </w:rPr>
        <w:t>,</w:t>
      </w:r>
      <w:r w:rsidRPr="009B5349">
        <w:rPr>
          <w:noProof/>
          <w:sz w:val="18"/>
          <w:lang w:val="en-US"/>
        </w:rPr>
        <w:t xml:space="preserve"> Chemical Engineering Process Simulation, 3–28.</w:t>
      </w:r>
    </w:p>
    <w:p w14:paraId="3BCA5E98" w14:textId="4B8B95AB" w:rsidR="00ED5DFE" w:rsidRPr="009B5349" w:rsidRDefault="00ED5DFE" w:rsidP="009B5349">
      <w:pPr>
        <w:autoSpaceDE w:val="0"/>
        <w:autoSpaceDN w:val="0"/>
        <w:ind w:left="480" w:hanging="480"/>
        <w:jc w:val="both"/>
        <w:rPr>
          <w:noProof/>
          <w:sz w:val="18"/>
          <w:lang w:val="en-US"/>
        </w:rPr>
      </w:pPr>
      <w:r w:rsidRPr="009B5349">
        <w:rPr>
          <w:noProof/>
          <w:sz w:val="18"/>
          <w:lang w:val="en-US"/>
        </w:rPr>
        <w:t xml:space="preserve">S. Kurz, H. De Gersem, A. Galetzka, A. Klaedtke, M. Liebsch, </w:t>
      </w:r>
      <w:r w:rsidR="00082391" w:rsidRPr="009B5349">
        <w:rPr>
          <w:noProof/>
          <w:sz w:val="18"/>
          <w:lang w:val="en-US"/>
        </w:rPr>
        <w:t xml:space="preserve">D. </w:t>
      </w:r>
      <w:r w:rsidRPr="009B5349">
        <w:rPr>
          <w:noProof/>
          <w:sz w:val="18"/>
          <w:lang w:val="en-US"/>
        </w:rPr>
        <w:t xml:space="preserve">Loukrezis, </w:t>
      </w:r>
      <w:r w:rsidR="00082391" w:rsidRPr="009B5349">
        <w:rPr>
          <w:noProof/>
          <w:sz w:val="18"/>
          <w:lang w:val="en-US"/>
        </w:rPr>
        <w:t xml:space="preserve">S. </w:t>
      </w:r>
      <w:r w:rsidRPr="009B5349">
        <w:rPr>
          <w:noProof/>
          <w:sz w:val="18"/>
          <w:lang w:val="en-US"/>
        </w:rPr>
        <w:t xml:space="preserve">Russenschuck, &amp; </w:t>
      </w:r>
      <w:r w:rsidR="00082391" w:rsidRPr="009B5349">
        <w:rPr>
          <w:noProof/>
          <w:sz w:val="18"/>
          <w:lang w:val="en-US"/>
        </w:rPr>
        <w:t xml:space="preserve">M. </w:t>
      </w:r>
      <w:r w:rsidRPr="009B5349">
        <w:rPr>
          <w:noProof/>
          <w:sz w:val="18"/>
          <w:lang w:val="en-US"/>
        </w:rPr>
        <w:t>Schmidt</w:t>
      </w:r>
      <w:r w:rsidR="00635A34">
        <w:rPr>
          <w:noProof/>
          <w:sz w:val="18"/>
          <w:lang w:val="en-US"/>
        </w:rPr>
        <w:t xml:space="preserve">, </w:t>
      </w:r>
      <w:r w:rsidRPr="009B5349">
        <w:rPr>
          <w:noProof/>
          <w:sz w:val="18"/>
          <w:lang w:val="en-US"/>
        </w:rPr>
        <w:t>2022</w:t>
      </w:r>
      <w:r w:rsidR="00635A34">
        <w:rPr>
          <w:noProof/>
          <w:sz w:val="18"/>
          <w:lang w:val="en-US"/>
        </w:rPr>
        <w:t>,</w:t>
      </w:r>
      <w:r w:rsidRPr="009B5349">
        <w:rPr>
          <w:noProof/>
          <w:sz w:val="18"/>
          <w:lang w:val="en-US"/>
        </w:rPr>
        <w:t xml:space="preserve"> Hybrid modeling: towards the next level of scientific computing in engineering</w:t>
      </w:r>
      <w:r w:rsidR="00635A34">
        <w:rPr>
          <w:noProof/>
          <w:sz w:val="18"/>
          <w:lang w:val="en-US"/>
        </w:rPr>
        <w:t>,</w:t>
      </w:r>
      <w:r w:rsidRPr="009B5349">
        <w:rPr>
          <w:noProof/>
          <w:sz w:val="18"/>
          <w:lang w:val="en-US"/>
        </w:rPr>
        <w:t xml:space="preserve"> Journal of Mathematics in Industry, 12(1), 1–12. </w:t>
      </w:r>
    </w:p>
    <w:p w14:paraId="5D9BC93B" w14:textId="369DE255" w:rsidR="00ED5DFE" w:rsidRPr="009B5349" w:rsidRDefault="00082391" w:rsidP="009B5349">
      <w:pPr>
        <w:autoSpaceDE w:val="0"/>
        <w:autoSpaceDN w:val="0"/>
        <w:ind w:left="480" w:hanging="480"/>
        <w:jc w:val="both"/>
        <w:rPr>
          <w:noProof/>
          <w:sz w:val="18"/>
          <w:lang w:val="en-US"/>
        </w:rPr>
      </w:pPr>
      <w:r w:rsidRPr="009B5349">
        <w:rPr>
          <w:noProof/>
          <w:sz w:val="18"/>
          <w:lang w:val="en-US"/>
        </w:rPr>
        <w:t xml:space="preserve">H.-T. </w:t>
      </w:r>
      <w:r w:rsidR="00ED5DFE" w:rsidRPr="009B5349">
        <w:rPr>
          <w:noProof/>
          <w:sz w:val="18"/>
          <w:lang w:val="en-US"/>
        </w:rPr>
        <w:t xml:space="preserve">Su, </w:t>
      </w:r>
      <w:r w:rsidRPr="009B5349">
        <w:rPr>
          <w:noProof/>
          <w:sz w:val="18"/>
          <w:lang w:val="en-US"/>
        </w:rPr>
        <w:t xml:space="preserve">N. </w:t>
      </w:r>
      <w:r w:rsidR="00ED5DFE" w:rsidRPr="009B5349">
        <w:rPr>
          <w:noProof/>
          <w:sz w:val="18"/>
          <w:lang w:val="en-US"/>
        </w:rPr>
        <w:t>Bhat,</w:t>
      </w:r>
      <w:r w:rsidRPr="009B5349">
        <w:rPr>
          <w:noProof/>
          <w:sz w:val="18"/>
          <w:lang w:val="en-US"/>
        </w:rPr>
        <w:t xml:space="preserve"> P.A.</w:t>
      </w:r>
      <w:r w:rsidR="00ED5DFE" w:rsidRPr="009B5349">
        <w:rPr>
          <w:noProof/>
          <w:sz w:val="18"/>
          <w:lang w:val="en-US"/>
        </w:rPr>
        <w:t xml:space="preserve"> Minderman &amp; </w:t>
      </w:r>
      <w:r w:rsidRPr="009B5349">
        <w:rPr>
          <w:noProof/>
          <w:sz w:val="18"/>
          <w:lang w:val="en-US"/>
        </w:rPr>
        <w:t xml:space="preserve">T. J. </w:t>
      </w:r>
      <w:r w:rsidR="00ED5DFE" w:rsidRPr="009B5349">
        <w:rPr>
          <w:noProof/>
          <w:sz w:val="18"/>
          <w:lang w:val="en-US"/>
        </w:rPr>
        <w:t>McAvoy</w:t>
      </w:r>
      <w:r w:rsidR="00635A34">
        <w:rPr>
          <w:noProof/>
          <w:sz w:val="18"/>
          <w:lang w:val="en-US"/>
        </w:rPr>
        <w:t xml:space="preserve">, </w:t>
      </w:r>
      <w:r w:rsidR="00ED5DFE" w:rsidRPr="009B5349">
        <w:rPr>
          <w:noProof/>
          <w:sz w:val="18"/>
          <w:lang w:val="en-US"/>
        </w:rPr>
        <w:t>1992</w:t>
      </w:r>
      <w:r w:rsidR="00635A34">
        <w:rPr>
          <w:noProof/>
          <w:sz w:val="18"/>
          <w:lang w:val="en-US"/>
        </w:rPr>
        <w:t>,</w:t>
      </w:r>
      <w:r w:rsidR="00ED5DFE" w:rsidRPr="009B5349">
        <w:rPr>
          <w:noProof/>
          <w:sz w:val="18"/>
          <w:lang w:val="en-US"/>
        </w:rPr>
        <w:t xml:space="preserve"> Integrating Neural Networks with First Principles Models for Dynamic Modeling</w:t>
      </w:r>
      <w:r w:rsidR="00635A34">
        <w:rPr>
          <w:noProof/>
          <w:sz w:val="18"/>
          <w:lang w:val="en-US"/>
        </w:rPr>
        <w:t>,</w:t>
      </w:r>
      <w:r w:rsidR="00ED5DFE" w:rsidRPr="009B5349">
        <w:rPr>
          <w:noProof/>
          <w:sz w:val="18"/>
          <w:lang w:val="en-US"/>
        </w:rPr>
        <w:t xml:space="preserve"> IFAC Proceedings Volumes, 25(5), 327–332. </w:t>
      </w:r>
    </w:p>
    <w:p w14:paraId="68DA9342" w14:textId="2231F57D" w:rsidR="00B10A7F" w:rsidRPr="00B10A7F" w:rsidRDefault="00082391" w:rsidP="00B10A7F">
      <w:pPr>
        <w:autoSpaceDE w:val="0"/>
        <w:autoSpaceDN w:val="0"/>
        <w:ind w:left="480" w:hanging="480"/>
        <w:jc w:val="both"/>
        <w:rPr>
          <w:noProof/>
          <w:sz w:val="18"/>
          <w:lang w:val="en-US"/>
        </w:rPr>
      </w:pPr>
      <w:r w:rsidRPr="009B5349">
        <w:rPr>
          <w:noProof/>
          <w:sz w:val="18"/>
          <w:lang w:val="en-US"/>
        </w:rPr>
        <w:t xml:space="preserve">F. </w:t>
      </w:r>
      <w:r w:rsidR="00ED5DFE" w:rsidRPr="009B5349">
        <w:rPr>
          <w:noProof/>
          <w:sz w:val="18"/>
          <w:lang w:val="en-US"/>
        </w:rPr>
        <w:t xml:space="preserve">Zapf &amp; </w:t>
      </w:r>
      <w:r w:rsidRPr="009B5349">
        <w:rPr>
          <w:noProof/>
          <w:sz w:val="18"/>
          <w:lang w:val="en-US"/>
        </w:rPr>
        <w:t xml:space="preserve">T. </w:t>
      </w:r>
      <w:r w:rsidR="00ED5DFE" w:rsidRPr="009B5349">
        <w:rPr>
          <w:noProof/>
          <w:sz w:val="18"/>
          <w:lang w:val="en-US"/>
        </w:rPr>
        <w:t>Wallek</w:t>
      </w:r>
      <w:r w:rsidR="00635A34">
        <w:rPr>
          <w:noProof/>
          <w:sz w:val="18"/>
          <w:lang w:val="en-US"/>
        </w:rPr>
        <w:t xml:space="preserve">, </w:t>
      </w:r>
      <w:r w:rsidR="00ED5DFE" w:rsidRPr="009B5349">
        <w:rPr>
          <w:noProof/>
          <w:sz w:val="18"/>
          <w:lang w:val="en-US"/>
        </w:rPr>
        <w:t>2021</w:t>
      </w:r>
      <w:r w:rsidR="00635A34">
        <w:rPr>
          <w:noProof/>
          <w:sz w:val="18"/>
          <w:lang w:val="en-US"/>
        </w:rPr>
        <w:t>,</w:t>
      </w:r>
      <w:r w:rsidR="00ED5DFE" w:rsidRPr="009B5349">
        <w:rPr>
          <w:noProof/>
          <w:sz w:val="18"/>
          <w:lang w:val="en-US"/>
        </w:rPr>
        <w:t xml:space="preserve"> Gray-box surrogate models for flash, distillation and compression units of chemical processes</w:t>
      </w:r>
      <w:r w:rsidR="00635A34">
        <w:rPr>
          <w:noProof/>
          <w:sz w:val="18"/>
          <w:lang w:val="en-US"/>
        </w:rPr>
        <w:t>,</w:t>
      </w:r>
      <w:r w:rsidR="00ED5DFE" w:rsidRPr="009B5349">
        <w:rPr>
          <w:noProof/>
          <w:sz w:val="18"/>
          <w:lang w:val="en-US"/>
        </w:rPr>
        <w:t xml:space="preserve"> Computers &amp; Chemical Engineering, 155, 107510. </w:t>
      </w:r>
    </w:p>
    <w:sectPr w:rsidR="00B10A7F" w:rsidRPr="00B10A7F"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7482" w14:textId="77777777" w:rsidR="00303CCD" w:rsidRDefault="00303CCD">
      <w:r>
        <w:separator/>
      </w:r>
    </w:p>
  </w:endnote>
  <w:endnote w:type="continuationSeparator" w:id="0">
    <w:p w14:paraId="1D422B6C" w14:textId="77777777" w:rsidR="00303CCD" w:rsidRDefault="0030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347C" w14:textId="77777777" w:rsidR="00303CCD" w:rsidRDefault="00303CCD">
      <w:r>
        <w:separator/>
      </w:r>
    </w:p>
  </w:footnote>
  <w:footnote w:type="continuationSeparator" w:id="0">
    <w:p w14:paraId="02044A28" w14:textId="77777777" w:rsidR="00303CCD" w:rsidRDefault="0030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6D7EB3B" w:rsidR="00DD3D9E" w:rsidRDefault="00DD3D9E">
    <w:pPr>
      <w:pStyle w:val="Header"/>
      <w:tabs>
        <w:tab w:val="clear" w:pos="7200"/>
        <w:tab w:val="right" w:pos="7088"/>
      </w:tabs>
    </w:pPr>
    <w:r>
      <w:rPr>
        <w:rStyle w:val="PageNumber"/>
      </w:rPr>
      <w:tab/>
    </w:r>
    <w:r>
      <w:rPr>
        <w:rStyle w:val="PageNumber"/>
        <w:i/>
      </w:rPr>
      <w:tab/>
    </w:r>
    <w:r w:rsidR="005E53E5">
      <w:rPr>
        <w:rStyle w:val="PageNumber"/>
        <w:i/>
      </w:rPr>
      <w:t>J. D. Ponce-Rocha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A214F55" w:rsidR="00DD3D9E" w:rsidRDefault="005E53E5">
    <w:pPr>
      <w:pStyle w:val="Header"/>
      <w:tabs>
        <w:tab w:val="clear" w:pos="7200"/>
        <w:tab w:val="right" w:pos="7088"/>
      </w:tabs>
      <w:jc w:val="right"/>
      <w:rPr>
        <w:sz w:val="24"/>
      </w:rPr>
    </w:pPr>
    <w:r>
      <w:rPr>
        <w:i/>
      </w:rPr>
      <w:t xml:space="preserve">A comprehensive gray-box framework for high-fidelity process simulation calibration.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5020761E"/>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lang w:val="en-GB"/>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89A2FB7"/>
    <w:multiLevelType w:val="multilevel"/>
    <w:tmpl w:val="834A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30345556">
    <w:abstractNumId w:val="11"/>
  </w:num>
  <w:num w:numId="2" w16cid:durableId="2077706054">
    <w:abstractNumId w:val="11"/>
  </w:num>
  <w:num w:numId="3" w16cid:durableId="129523941">
    <w:abstractNumId w:val="11"/>
  </w:num>
  <w:num w:numId="4" w16cid:durableId="1214275188">
    <w:abstractNumId w:val="11"/>
  </w:num>
  <w:num w:numId="5" w16cid:durableId="1311132168">
    <w:abstractNumId w:val="0"/>
  </w:num>
  <w:num w:numId="6" w16cid:durableId="921649111">
    <w:abstractNumId w:val="6"/>
  </w:num>
  <w:num w:numId="7" w16cid:durableId="110712266">
    <w:abstractNumId w:val="12"/>
  </w:num>
  <w:num w:numId="8" w16cid:durableId="1167207757">
    <w:abstractNumId w:val="1"/>
  </w:num>
  <w:num w:numId="9" w16cid:durableId="1003631558">
    <w:abstractNumId w:val="10"/>
  </w:num>
  <w:num w:numId="10" w16cid:durableId="2084835104">
    <w:abstractNumId w:val="15"/>
  </w:num>
  <w:num w:numId="11" w16cid:durableId="419566950">
    <w:abstractNumId w:val="14"/>
  </w:num>
  <w:num w:numId="12" w16cid:durableId="1293288834">
    <w:abstractNumId w:val="5"/>
  </w:num>
  <w:num w:numId="13" w16cid:durableId="1489663135">
    <w:abstractNumId w:val="8"/>
  </w:num>
  <w:num w:numId="14" w16cid:durableId="870611664">
    <w:abstractNumId w:val="2"/>
  </w:num>
  <w:num w:numId="15" w16cid:durableId="2135444441">
    <w:abstractNumId w:val="7"/>
  </w:num>
  <w:num w:numId="16" w16cid:durableId="2041933397">
    <w:abstractNumId w:val="3"/>
  </w:num>
  <w:num w:numId="17" w16cid:durableId="1492061146">
    <w:abstractNumId w:val="4"/>
  </w:num>
  <w:num w:numId="18" w16cid:durableId="741559491">
    <w:abstractNumId w:val="9"/>
  </w:num>
  <w:num w:numId="19" w16cid:durableId="4991278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7A17"/>
    <w:rsid w:val="00031C1C"/>
    <w:rsid w:val="000625DC"/>
    <w:rsid w:val="00076191"/>
    <w:rsid w:val="00076913"/>
    <w:rsid w:val="00082391"/>
    <w:rsid w:val="000A42F3"/>
    <w:rsid w:val="000C256E"/>
    <w:rsid w:val="000D3D9B"/>
    <w:rsid w:val="000F1F69"/>
    <w:rsid w:val="000F39F6"/>
    <w:rsid w:val="000F7194"/>
    <w:rsid w:val="001221B6"/>
    <w:rsid w:val="00155804"/>
    <w:rsid w:val="0016032F"/>
    <w:rsid w:val="00183A6E"/>
    <w:rsid w:val="001879F6"/>
    <w:rsid w:val="001A7330"/>
    <w:rsid w:val="001B109E"/>
    <w:rsid w:val="001C0148"/>
    <w:rsid w:val="001C757E"/>
    <w:rsid w:val="001D734A"/>
    <w:rsid w:val="001F6B92"/>
    <w:rsid w:val="0020390F"/>
    <w:rsid w:val="00204FC8"/>
    <w:rsid w:val="00251A31"/>
    <w:rsid w:val="00262881"/>
    <w:rsid w:val="00264926"/>
    <w:rsid w:val="00274FD1"/>
    <w:rsid w:val="00293867"/>
    <w:rsid w:val="00303CCD"/>
    <w:rsid w:val="00324BE1"/>
    <w:rsid w:val="00357BB9"/>
    <w:rsid w:val="003744F9"/>
    <w:rsid w:val="0037490F"/>
    <w:rsid w:val="003805F4"/>
    <w:rsid w:val="0038451C"/>
    <w:rsid w:val="00390A59"/>
    <w:rsid w:val="003A79D0"/>
    <w:rsid w:val="003D1582"/>
    <w:rsid w:val="003D7E4C"/>
    <w:rsid w:val="003E41C2"/>
    <w:rsid w:val="00413ADF"/>
    <w:rsid w:val="0041429E"/>
    <w:rsid w:val="00424D33"/>
    <w:rsid w:val="00495F71"/>
    <w:rsid w:val="0049772C"/>
    <w:rsid w:val="004F3BC6"/>
    <w:rsid w:val="0053163E"/>
    <w:rsid w:val="0054572A"/>
    <w:rsid w:val="00552EEB"/>
    <w:rsid w:val="005576B2"/>
    <w:rsid w:val="00564615"/>
    <w:rsid w:val="005A2CF7"/>
    <w:rsid w:val="005D0C63"/>
    <w:rsid w:val="005D1F39"/>
    <w:rsid w:val="005D34AD"/>
    <w:rsid w:val="005E53E5"/>
    <w:rsid w:val="005F2BFF"/>
    <w:rsid w:val="006122DB"/>
    <w:rsid w:val="00630C5C"/>
    <w:rsid w:val="00633E63"/>
    <w:rsid w:val="00635A34"/>
    <w:rsid w:val="00650035"/>
    <w:rsid w:val="00694940"/>
    <w:rsid w:val="006A69BF"/>
    <w:rsid w:val="006A6A5A"/>
    <w:rsid w:val="006B79F0"/>
    <w:rsid w:val="00711DF4"/>
    <w:rsid w:val="00712489"/>
    <w:rsid w:val="007262ED"/>
    <w:rsid w:val="0075298E"/>
    <w:rsid w:val="0076409A"/>
    <w:rsid w:val="007737B2"/>
    <w:rsid w:val="00776D79"/>
    <w:rsid w:val="00785F58"/>
    <w:rsid w:val="007C52AC"/>
    <w:rsid w:val="007D70A1"/>
    <w:rsid w:val="007F3076"/>
    <w:rsid w:val="008132E8"/>
    <w:rsid w:val="00823407"/>
    <w:rsid w:val="00843908"/>
    <w:rsid w:val="008730D4"/>
    <w:rsid w:val="00891702"/>
    <w:rsid w:val="00893A28"/>
    <w:rsid w:val="008B0184"/>
    <w:rsid w:val="008C5D02"/>
    <w:rsid w:val="008D2649"/>
    <w:rsid w:val="008D2B7F"/>
    <w:rsid w:val="008E3D9A"/>
    <w:rsid w:val="008F493D"/>
    <w:rsid w:val="0090568D"/>
    <w:rsid w:val="009125C9"/>
    <w:rsid w:val="00913879"/>
    <w:rsid w:val="00916B3D"/>
    <w:rsid w:val="00917661"/>
    <w:rsid w:val="00923AB2"/>
    <w:rsid w:val="00927D31"/>
    <w:rsid w:val="00935878"/>
    <w:rsid w:val="00951C66"/>
    <w:rsid w:val="00970E5D"/>
    <w:rsid w:val="0097701C"/>
    <w:rsid w:val="00980A65"/>
    <w:rsid w:val="009834D3"/>
    <w:rsid w:val="009876B0"/>
    <w:rsid w:val="009933C2"/>
    <w:rsid w:val="009A3B85"/>
    <w:rsid w:val="009B5349"/>
    <w:rsid w:val="009D1DCC"/>
    <w:rsid w:val="009E2C89"/>
    <w:rsid w:val="009F272E"/>
    <w:rsid w:val="009F6E28"/>
    <w:rsid w:val="00A225F7"/>
    <w:rsid w:val="00A25E70"/>
    <w:rsid w:val="00A33765"/>
    <w:rsid w:val="00A63269"/>
    <w:rsid w:val="00A73149"/>
    <w:rsid w:val="00A92377"/>
    <w:rsid w:val="00AA0395"/>
    <w:rsid w:val="00AB29ED"/>
    <w:rsid w:val="00AB4562"/>
    <w:rsid w:val="00AD066B"/>
    <w:rsid w:val="00AD7EC2"/>
    <w:rsid w:val="00AE3ECB"/>
    <w:rsid w:val="00AE4BD8"/>
    <w:rsid w:val="00B10A7F"/>
    <w:rsid w:val="00B361C3"/>
    <w:rsid w:val="00B4388F"/>
    <w:rsid w:val="00B569C5"/>
    <w:rsid w:val="00B63237"/>
    <w:rsid w:val="00B775BE"/>
    <w:rsid w:val="00BB4EAA"/>
    <w:rsid w:val="00BB6B82"/>
    <w:rsid w:val="00BF19DA"/>
    <w:rsid w:val="00C2126F"/>
    <w:rsid w:val="00C22951"/>
    <w:rsid w:val="00C2444F"/>
    <w:rsid w:val="00C24BC2"/>
    <w:rsid w:val="00C35CF0"/>
    <w:rsid w:val="00C70564"/>
    <w:rsid w:val="00C960DC"/>
    <w:rsid w:val="00CC5E0A"/>
    <w:rsid w:val="00CD46F7"/>
    <w:rsid w:val="00CE0FF8"/>
    <w:rsid w:val="00D02C75"/>
    <w:rsid w:val="00D10E22"/>
    <w:rsid w:val="00D13D2C"/>
    <w:rsid w:val="00D35E6D"/>
    <w:rsid w:val="00D95AD5"/>
    <w:rsid w:val="00DA0FC4"/>
    <w:rsid w:val="00DC2F94"/>
    <w:rsid w:val="00DD35F4"/>
    <w:rsid w:val="00DD3D9E"/>
    <w:rsid w:val="00DD7908"/>
    <w:rsid w:val="00DE2722"/>
    <w:rsid w:val="00E00A19"/>
    <w:rsid w:val="00E0207E"/>
    <w:rsid w:val="00E04808"/>
    <w:rsid w:val="00E34128"/>
    <w:rsid w:val="00E65AC5"/>
    <w:rsid w:val="00E82297"/>
    <w:rsid w:val="00E90592"/>
    <w:rsid w:val="00ED5DFE"/>
    <w:rsid w:val="00EF39FD"/>
    <w:rsid w:val="00F06842"/>
    <w:rsid w:val="00F107FD"/>
    <w:rsid w:val="00F131B9"/>
    <w:rsid w:val="00F20D16"/>
    <w:rsid w:val="00F42280"/>
    <w:rsid w:val="00F76BBB"/>
    <w:rsid w:val="00FB64A8"/>
    <w:rsid w:val="00FF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59"/>
    <w:rsid w:val="005E53E5"/>
    <w:rPr>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3E5"/>
    <w:pPr>
      <w:ind w:left="720"/>
      <w:contextualSpacing/>
    </w:pPr>
  </w:style>
  <w:style w:type="character" w:styleId="PlaceholderText">
    <w:name w:val="Placeholder Text"/>
    <w:basedOn w:val="DefaultParagraphFont"/>
    <w:uiPriority w:val="99"/>
    <w:semiHidden/>
    <w:rsid w:val="008F493D"/>
    <w:rPr>
      <w:color w:val="666666"/>
    </w:rPr>
  </w:style>
  <w:style w:type="paragraph" w:styleId="Revision">
    <w:name w:val="Revision"/>
    <w:hidden/>
    <w:uiPriority w:val="99"/>
    <w:semiHidden/>
    <w:rsid w:val="00DD35F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6104">
      <w:bodyDiv w:val="1"/>
      <w:marLeft w:val="0"/>
      <w:marRight w:val="0"/>
      <w:marTop w:val="0"/>
      <w:marBottom w:val="0"/>
      <w:divBdr>
        <w:top w:val="none" w:sz="0" w:space="0" w:color="auto"/>
        <w:left w:val="none" w:sz="0" w:space="0" w:color="auto"/>
        <w:bottom w:val="none" w:sz="0" w:space="0" w:color="auto"/>
        <w:right w:val="none" w:sz="0" w:space="0" w:color="auto"/>
      </w:divBdr>
    </w:div>
    <w:div w:id="336035162">
      <w:bodyDiv w:val="1"/>
      <w:marLeft w:val="0"/>
      <w:marRight w:val="0"/>
      <w:marTop w:val="0"/>
      <w:marBottom w:val="0"/>
      <w:divBdr>
        <w:top w:val="none" w:sz="0" w:space="0" w:color="auto"/>
        <w:left w:val="none" w:sz="0" w:space="0" w:color="auto"/>
        <w:bottom w:val="none" w:sz="0" w:space="0" w:color="auto"/>
        <w:right w:val="none" w:sz="0" w:space="0" w:color="auto"/>
      </w:divBdr>
    </w:div>
    <w:div w:id="509218398">
      <w:bodyDiv w:val="1"/>
      <w:marLeft w:val="0"/>
      <w:marRight w:val="0"/>
      <w:marTop w:val="0"/>
      <w:marBottom w:val="0"/>
      <w:divBdr>
        <w:top w:val="none" w:sz="0" w:space="0" w:color="auto"/>
        <w:left w:val="none" w:sz="0" w:space="0" w:color="auto"/>
        <w:bottom w:val="none" w:sz="0" w:space="0" w:color="auto"/>
        <w:right w:val="none" w:sz="0" w:space="0" w:color="auto"/>
      </w:divBdr>
    </w:div>
    <w:div w:id="701394300">
      <w:bodyDiv w:val="1"/>
      <w:marLeft w:val="0"/>
      <w:marRight w:val="0"/>
      <w:marTop w:val="0"/>
      <w:marBottom w:val="0"/>
      <w:divBdr>
        <w:top w:val="none" w:sz="0" w:space="0" w:color="auto"/>
        <w:left w:val="none" w:sz="0" w:space="0" w:color="auto"/>
        <w:bottom w:val="none" w:sz="0" w:space="0" w:color="auto"/>
        <w:right w:val="none" w:sz="0" w:space="0" w:color="auto"/>
      </w:divBdr>
    </w:div>
    <w:div w:id="906064992">
      <w:bodyDiv w:val="1"/>
      <w:marLeft w:val="0"/>
      <w:marRight w:val="0"/>
      <w:marTop w:val="0"/>
      <w:marBottom w:val="0"/>
      <w:divBdr>
        <w:top w:val="none" w:sz="0" w:space="0" w:color="auto"/>
        <w:left w:val="none" w:sz="0" w:space="0" w:color="auto"/>
        <w:bottom w:val="none" w:sz="0" w:space="0" w:color="auto"/>
        <w:right w:val="none" w:sz="0" w:space="0" w:color="auto"/>
      </w:divBdr>
      <w:divsChild>
        <w:div w:id="571432069">
          <w:marLeft w:val="480"/>
          <w:marRight w:val="0"/>
          <w:marTop w:val="0"/>
          <w:marBottom w:val="0"/>
          <w:divBdr>
            <w:top w:val="none" w:sz="0" w:space="0" w:color="auto"/>
            <w:left w:val="none" w:sz="0" w:space="0" w:color="auto"/>
            <w:bottom w:val="none" w:sz="0" w:space="0" w:color="auto"/>
            <w:right w:val="none" w:sz="0" w:space="0" w:color="auto"/>
          </w:divBdr>
        </w:div>
        <w:div w:id="127552523">
          <w:marLeft w:val="480"/>
          <w:marRight w:val="0"/>
          <w:marTop w:val="0"/>
          <w:marBottom w:val="0"/>
          <w:divBdr>
            <w:top w:val="none" w:sz="0" w:space="0" w:color="auto"/>
            <w:left w:val="none" w:sz="0" w:space="0" w:color="auto"/>
            <w:bottom w:val="none" w:sz="0" w:space="0" w:color="auto"/>
            <w:right w:val="none" w:sz="0" w:space="0" w:color="auto"/>
          </w:divBdr>
        </w:div>
        <w:div w:id="1548057800">
          <w:marLeft w:val="480"/>
          <w:marRight w:val="0"/>
          <w:marTop w:val="0"/>
          <w:marBottom w:val="0"/>
          <w:divBdr>
            <w:top w:val="none" w:sz="0" w:space="0" w:color="auto"/>
            <w:left w:val="none" w:sz="0" w:space="0" w:color="auto"/>
            <w:bottom w:val="none" w:sz="0" w:space="0" w:color="auto"/>
            <w:right w:val="none" w:sz="0" w:space="0" w:color="auto"/>
          </w:divBdr>
        </w:div>
      </w:divsChild>
    </w:div>
    <w:div w:id="927539569">
      <w:bodyDiv w:val="1"/>
      <w:marLeft w:val="0"/>
      <w:marRight w:val="0"/>
      <w:marTop w:val="0"/>
      <w:marBottom w:val="0"/>
      <w:divBdr>
        <w:top w:val="none" w:sz="0" w:space="0" w:color="auto"/>
        <w:left w:val="none" w:sz="0" w:space="0" w:color="auto"/>
        <w:bottom w:val="none" w:sz="0" w:space="0" w:color="auto"/>
        <w:right w:val="none" w:sz="0" w:space="0" w:color="auto"/>
      </w:divBdr>
      <w:divsChild>
        <w:div w:id="1765761082">
          <w:marLeft w:val="480"/>
          <w:marRight w:val="0"/>
          <w:marTop w:val="0"/>
          <w:marBottom w:val="0"/>
          <w:divBdr>
            <w:top w:val="none" w:sz="0" w:space="0" w:color="auto"/>
            <w:left w:val="none" w:sz="0" w:space="0" w:color="auto"/>
            <w:bottom w:val="none" w:sz="0" w:space="0" w:color="auto"/>
            <w:right w:val="none" w:sz="0" w:space="0" w:color="auto"/>
          </w:divBdr>
        </w:div>
        <w:div w:id="900481178">
          <w:marLeft w:val="480"/>
          <w:marRight w:val="0"/>
          <w:marTop w:val="0"/>
          <w:marBottom w:val="0"/>
          <w:divBdr>
            <w:top w:val="none" w:sz="0" w:space="0" w:color="auto"/>
            <w:left w:val="none" w:sz="0" w:space="0" w:color="auto"/>
            <w:bottom w:val="none" w:sz="0" w:space="0" w:color="auto"/>
            <w:right w:val="none" w:sz="0" w:space="0" w:color="auto"/>
          </w:divBdr>
        </w:div>
        <w:div w:id="2072341183">
          <w:marLeft w:val="480"/>
          <w:marRight w:val="0"/>
          <w:marTop w:val="0"/>
          <w:marBottom w:val="0"/>
          <w:divBdr>
            <w:top w:val="none" w:sz="0" w:space="0" w:color="auto"/>
            <w:left w:val="none" w:sz="0" w:space="0" w:color="auto"/>
            <w:bottom w:val="none" w:sz="0" w:space="0" w:color="auto"/>
            <w:right w:val="none" w:sz="0" w:space="0" w:color="auto"/>
          </w:divBdr>
        </w:div>
        <w:div w:id="1451705627">
          <w:marLeft w:val="480"/>
          <w:marRight w:val="0"/>
          <w:marTop w:val="0"/>
          <w:marBottom w:val="0"/>
          <w:divBdr>
            <w:top w:val="none" w:sz="0" w:space="0" w:color="auto"/>
            <w:left w:val="none" w:sz="0" w:space="0" w:color="auto"/>
            <w:bottom w:val="none" w:sz="0" w:space="0" w:color="auto"/>
            <w:right w:val="none" w:sz="0" w:space="0" w:color="auto"/>
          </w:divBdr>
        </w:div>
      </w:divsChild>
    </w:div>
    <w:div w:id="1347832286">
      <w:bodyDiv w:val="1"/>
      <w:marLeft w:val="0"/>
      <w:marRight w:val="0"/>
      <w:marTop w:val="0"/>
      <w:marBottom w:val="0"/>
      <w:divBdr>
        <w:top w:val="none" w:sz="0" w:space="0" w:color="auto"/>
        <w:left w:val="none" w:sz="0" w:space="0" w:color="auto"/>
        <w:bottom w:val="none" w:sz="0" w:space="0" w:color="auto"/>
        <w:right w:val="none" w:sz="0" w:space="0" w:color="auto"/>
      </w:divBdr>
    </w:div>
    <w:div w:id="1411734304">
      <w:bodyDiv w:val="1"/>
      <w:marLeft w:val="0"/>
      <w:marRight w:val="0"/>
      <w:marTop w:val="0"/>
      <w:marBottom w:val="0"/>
      <w:divBdr>
        <w:top w:val="none" w:sz="0" w:space="0" w:color="auto"/>
        <w:left w:val="none" w:sz="0" w:space="0" w:color="auto"/>
        <w:bottom w:val="none" w:sz="0" w:space="0" w:color="auto"/>
        <w:right w:val="none" w:sz="0" w:space="0" w:color="auto"/>
      </w:divBdr>
    </w:div>
    <w:div w:id="1424299708">
      <w:bodyDiv w:val="1"/>
      <w:marLeft w:val="0"/>
      <w:marRight w:val="0"/>
      <w:marTop w:val="0"/>
      <w:marBottom w:val="0"/>
      <w:divBdr>
        <w:top w:val="none" w:sz="0" w:space="0" w:color="auto"/>
        <w:left w:val="none" w:sz="0" w:space="0" w:color="auto"/>
        <w:bottom w:val="none" w:sz="0" w:space="0" w:color="auto"/>
        <w:right w:val="none" w:sz="0" w:space="0" w:color="auto"/>
      </w:divBdr>
      <w:divsChild>
        <w:div w:id="63650487">
          <w:marLeft w:val="480"/>
          <w:marRight w:val="0"/>
          <w:marTop w:val="0"/>
          <w:marBottom w:val="0"/>
          <w:divBdr>
            <w:top w:val="none" w:sz="0" w:space="0" w:color="auto"/>
            <w:left w:val="none" w:sz="0" w:space="0" w:color="auto"/>
            <w:bottom w:val="none" w:sz="0" w:space="0" w:color="auto"/>
            <w:right w:val="none" w:sz="0" w:space="0" w:color="auto"/>
          </w:divBdr>
        </w:div>
        <w:div w:id="390470556">
          <w:marLeft w:val="480"/>
          <w:marRight w:val="0"/>
          <w:marTop w:val="0"/>
          <w:marBottom w:val="0"/>
          <w:divBdr>
            <w:top w:val="none" w:sz="0" w:space="0" w:color="auto"/>
            <w:left w:val="none" w:sz="0" w:space="0" w:color="auto"/>
            <w:bottom w:val="none" w:sz="0" w:space="0" w:color="auto"/>
            <w:right w:val="none" w:sz="0" w:space="0" w:color="auto"/>
          </w:divBdr>
        </w:div>
        <w:div w:id="888538457">
          <w:marLeft w:val="480"/>
          <w:marRight w:val="0"/>
          <w:marTop w:val="0"/>
          <w:marBottom w:val="0"/>
          <w:divBdr>
            <w:top w:val="none" w:sz="0" w:space="0" w:color="auto"/>
            <w:left w:val="none" w:sz="0" w:space="0" w:color="auto"/>
            <w:bottom w:val="none" w:sz="0" w:space="0" w:color="auto"/>
            <w:right w:val="none" w:sz="0" w:space="0" w:color="auto"/>
          </w:divBdr>
        </w:div>
        <w:div w:id="1140267457">
          <w:marLeft w:val="480"/>
          <w:marRight w:val="0"/>
          <w:marTop w:val="0"/>
          <w:marBottom w:val="0"/>
          <w:divBdr>
            <w:top w:val="none" w:sz="0" w:space="0" w:color="auto"/>
            <w:left w:val="none" w:sz="0" w:space="0" w:color="auto"/>
            <w:bottom w:val="none" w:sz="0" w:space="0" w:color="auto"/>
            <w:right w:val="none" w:sz="0" w:space="0" w:color="auto"/>
          </w:divBdr>
        </w:div>
        <w:div w:id="129061244">
          <w:marLeft w:val="480"/>
          <w:marRight w:val="0"/>
          <w:marTop w:val="0"/>
          <w:marBottom w:val="0"/>
          <w:divBdr>
            <w:top w:val="none" w:sz="0" w:space="0" w:color="auto"/>
            <w:left w:val="none" w:sz="0" w:space="0" w:color="auto"/>
            <w:bottom w:val="none" w:sz="0" w:space="0" w:color="auto"/>
            <w:right w:val="none" w:sz="0" w:space="0" w:color="auto"/>
          </w:divBdr>
        </w:div>
        <w:div w:id="574170122">
          <w:marLeft w:val="480"/>
          <w:marRight w:val="0"/>
          <w:marTop w:val="0"/>
          <w:marBottom w:val="0"/>
          <w:divBdr>
            <w:top w:val="none" w:sz="0" w:space="0" w:color="auto"/>
            <w:left w:val="none" w:sz="0" w:space="0" w:color="auto"/>
            <w:bottom w:val="none" w:sz="0" w:space="0" w:color="auto"/>
            <w:right w:val="none" w:sz="0" w:space="0" w:color="auto"/>
          </w:divBdr>
        </w:div>
        <w:div w:id="445126823">
          <w:marLeft w:val="480"/>
          <w:marRight w:val="0"/>
          <w:marTop w:val="0"/>
          <w:marBottom w:val="0"/>
          <w:divBdr>
            <w:top w:val="none" w:sz="0" w:space="0" w:color="auto"/>
            <w:left w:val="none" w:sz="0" w:space="0" w:color="auto"/>
            <w:bottom w:val="none" w:sz="0" w:space="0" w:color="auto"/>
            <w:right w:val="none" w:sz="0" w:space="0" w:color="auto"/>
          </w:divBdr>
        </w:div>
      </w:divsChild>
    </w:div>
    <w:div w:id="1792363430">
      <w:bodyDiv w:val="1"/>
      <w:marLeft w:val="0"/>
      <w:marRight w:val="0"/>
      <w:marTop w:val="0"/>
      <w:marBottom w:val="0"/>
      <w:divBdr>
        <w:top w:val="none" w:sz="0" w:space="0" w:color="auto"/>
        <w:left w:val="none" w:sz="0" w:space="0" w:color="auto"/>
        <w:bottom w:val="none" w:sz="0" w:space="0" w:color="auto"/>
        <w:right w:val="none" w:sz="0" w:space="0" w:color="auto"/>
      </w:divBdr>
    </w:div>
    <w:div w:id="1821002746">
      <w:bodyDiv w:val="1"/>
      <w:marLeft w:val="0"/>
      <w:marRight w:val="0"/>
      <w:marTop w:val="0"/>
      <w:marBottom w:val="0"/>
      <w:divBdr>
        <w:top w:val="none" w:sz="0" w:space="0" w:color="auto"/>
        <w:left w:val="none" w:sz="0" w:space="0" w:color="auto"/>
        <w:bottom w:val="none" w:sz="0" w:space="0" w:color="auto"/>
        <w:right w:val="none" w:sz="0" w:space="0" w:color="auto"/>
      </w:divBdr>
    </w:div>
    <w:div w:id="1928685998">
      <w:bodyDiv w:val="1"/>
      <w:marLeft w:val="0"/>
      <w:marRight w:val="0"/>
      <w:marTop w:val="0"/>
      <w:marBottom w:val="0"/>
      <w:divBdr>
        <w:top w:val="none" w:sz="0" w:space="0" w:color="auto"/>
        <w:left w:val="none" w:sz="0" w:space="0" w:color="auto"/>
        <w:bottom w:val="none" w:sz="0" w:space="0" w:color="auto"/>
        <w:right w:val="none" w:sz="0" w:space="0" w:color="auto"/>
      </w:divBdr>
      <w:divsChild>
        <w:div w:id="1282804632">
          <w:marLeft w:val="480"/>
          <w:marRight w:val="0"/>
          <w:marTop w:val="0"/>
          <w:marBottom w:val="0"/>
          <w:divBdr>
            <w:top w:val="none" w:sz="0" w:space="0" w:color="auto"/>
            <w:left w:val="none" w:sz="0" w:space="0" w:color="auto"/>
            <w:bottom w:val="none" w:sz="0" w:space="0" w:color="auto"/>
            <w:right w:val="none" w:sz="0" w:space="0" w:color="auto"/>
          </w:divBdr>
        </w:div>
        <w:div w:id="1096905735">
          <w:marLeft w:val="480"/>
          <w:marRight w:val="0"/>
          <w:marTop w:val="0"/>
          <w:marBottom w:val="0"/>
          <w:divBdr>
            <w:top w:val="none" w:sz="0" w:space="0" w:color="auto"/>
            <w:left w:val="none" w:sz="0" w:space="0" w:color="auto"/>
            <w:bottom w:val="none" w:sz="0" w:space="0" w:color="auto"/>
            <w:right w:val="none" w:sz="0" w:space="0" w:color="auto"/>
          </w:divBdr>
        </w:div>
        <w:div w:id="1577665471">
          <w:marLeft w:val="480"/>
          <w:marRight w:val="0"/>
          <w:marTop w:val="0"/>
          <w:marBottom w:val="0"/>
          <w:divBdr>
            <w:top w:val="none" w:sz="0" w:space="0" w:color="auto"/>
            <w:left w:val="none" w:sz="0" w:space="0" w:color="auto"/>
            <w:bottom w:val="none" w:sz="0" w:space="0" w:color="auto"/>
            <w:right w:val="none" w:sz="0" w:space="0" w:color="auto"/>
          </w:divBdr>
        </w:div>
        <w:div w:id="421343818">
          <w:marLeft w:val="480"/>
          <w:marRight w:val="0"/>
          <w:marTop w:val="0"/>
          <w:marBottom w:val="0"/>
          <w:divBdr>
            <w:top w:val="none" w:sz="0" w:space="0" w:color="auto"/>
            <w:left w:val="none" w:sz="0" w:space="0" w:color="auto"/>
            <w:bottom w:val="none" w:sz="0" w:space="0" w:color="auto"/>
            <w:right w:val="none" w:sz="0" w:space="0" w:color="auto"/>
          </w:divBdr>
        </w:div>
        <w:div w:id="1401322924">
          <w:marLeft w:val="480"/>
          <w:marRight w:val="0"/>
          <w:marTop w:val="0"/>
          <w:marBottom w:val="0"/>
          <w:divBdr>
            <w:top w:val="none" w:sz="0" w:space="0" w:color="auto"/>
            <w:left w:val="none" w:sz="0" w:space="0" w:color="auto"/>
            <w:bottom w:val="none" w:sz="0" w:space="0" w:color="auto"/>
            <w:right w:val="none" w:sz="0" w:space="0" w:color="auto"/>
          </w:divBdr>
        </w:div>
        <w:div w:id="1445924841">
          <w:marLeft w:val="480"/>
          <w:marRight w:val="0"/>
          <w:marTop w:val="0"/>
          <w:marBottom w:val="0"/>
          <w:divBdr>
            <w:top w:val="none" w:sz="0" w:space="0" w:color="auto"/>
            <w:left w:val="none" w:sz="0" w:space="0" w:color="auto"/>
            <w:bottom w:val="none" w:sz="0" w:space="0" w:color="auto"/>
            <w:right w:val="none" w:sz="0" w:space="0" w:color="auto"/>
          </w:divBdr>
        </w:div>
      </w:divsChild>
    </w:div>
    <w:div w:id="2098942400">
      <w:bodyDiv w:val="1"/>
      <w:marLeft w:val="0"/>
      <w:marRight w:val="0"/>
      <w:marTop w:val="0"/>
      <w:marBottom w:val="0"/>
      <w:divBdr>
        <w:top w:val="none" w:sz="0" w:space="0" w:color="auto"/>
        <w:left w:val="none" w:sz="0" w:space="0" w:color="auto"/>
        <w:bottom w:val="none" w:sz="0" w:space="0" w:color="auto"/>
        <w:right w:val="none" w:sz="0" w:space="0" w:color="auto"/>
      </w:divBdr>
    </w:div>
    <w:div w:id="2117940362">
      <w:bodyDiv w:val="1"/>
      <w:marLeft w:val="0"/>
      <w:marRight w:val="0"/>
      <w:marTop w:val="0"/>
      <w:marBottom w:val="0"/>
      <w:divBdr>
        <w:top w:val="none" w:sz="0" w:space="0" w:color="auto"/>
        <w:left w:val="none" w:sz="0" w:space="0" w:color="auto"/>
        <w:bottom w:val="none" w:sz="0" w:space="0" w:color="auto"/>
        <w:right w:val="none" w:sz="0" w:space="0" w:color="auto"/>
      </w:divBdr>
      <w:divsChild>
        <w:div w:id="1865707885">
          <w:marLeft w:val="480"/>
          <w:marRight w:val="0"/>
          <w:marTop w:val="0"/>
          <w:marBottom w:val="0"/>
          <w:divBdr>
            <w:top w:val="none" w:sz="0" w:space="0" w:color="auto"/>
            <w:left w:val="none" w:sz="0" w:space="0" w:color="auto"/>
            <w:bottom w:val="none" w:sz="0" w:space="0" w:color="auto"/>
            <w:right w:val="none" w:sz="0" w:space="0" w:color="auto"/>
          </w:divBdr>
        </w:div>
        <w:div w:id="92476332">
          <w:marLeft w:val="480"/>
          <w:marRight w:val="0"/>
          <w:marTop w:val="0"/>
          <w:marBottom w:val="0"/>
          <w:divBdr>
            <w:top w:val="none" w:sz="0" w:space="0" w:color="auto"/>
            <w:left w:val="none" w:sz="0" w:space="0" w:color="auto"/>
            <w:bottom w:val="none" w:sz="0" w:space="0" w:color="auto"/>
            <w:right w:val="none" w:sz="0" w:space="0" w:color="auto"/>
          </w:divBdr>
        </w:div>
        <w:div w:id="1075709749">
          <w:marLeft w:val="480"/>
          <w:marRight w:val="0"/>
          <w:marTop w:val="0"/>
          <w:marBottom w:val="0"/>
          <w:divBdr>
            <w:top w:val="none" w:sz="0" w:space="0" w:color="auto"/>
            <w:left w:val="none" w:sz="0" w:space="0" w:color="auto"/>
            <w:bottom w:val="none" w:sz="0" w:space="0" w:color="auto"/>
            <w:right w:val="none" w:sz="0" w:space="0" w:color="auto"/>
          </w:divBdr>
        </w:div>
        <w:div w:id="357315691">
          <w:marLeft w:val="480"/>
          <w:marRight w:val="0"/>
          <w:marTop w:val="0"/>
          <w:marBottom w:val="0"/>
          <w:divBdr>
            <w:top w:val="none" w:sz="0" w:space="0" w:color="auto"/>
            <w:left w:val="none" w:sz="0" w:space="0" w:color="auto"/>
            <w:bottom w:val="none" w:sz="0" w:space="0" w:color="auto"/>
            <w:right w:val="none" w:sz="0" w:space="0" w:color="auto"/>
          </w:divBdr>
        </w:div>
        <w:div w:id="1032075745">
          <w:marLeft w:val="480"/>
          <w:marRight w:val="0"/>
          <w:marTop w:val="0"/>
          <w:marBottom w:val="0"/>
          <w:divBdr>
            <w:top w:val="none" w:sz="0" w:space="0" w:color="auto"/>
            <w:left w:val="none" w:sz="0" w:space="0" w:color="auto"/>
            <w:bottom w:val="none" w:sz="0" w:space="0" w:color="auto"/>
            <w:right w:val="none" w:sz="0" w:space="0" w:color="auto"/>
          </w:divBdr>
        </w:div>
        <w:div w:id="2137677225">
          <w:marLeft w:val="480"/>
          <w:marRight w:val="0"/>
          <w:marTop w:val="0"/>
          <w:marBottom w:val="0"/>
          <w:divBdr>
            <w:top w:val="none" w:sz="0" w:space="0" w:color="auto"/>
            <w:left w:val="none" w:sz="0" w:space="0" w:color="auto"/>
            <w:bottom w:val="none" w:sz="0" w:space="0" w:color="auto"/>
            <w:right w:val="none" w:sz="0" w:space="0" w:color="auto"/>
          </w:divBdr>
        </w:div>
        <w:div w:id="1886674397">
          <w:marLeft w:val="480"/>
          <w:marRight w:val="0"/>
          <w:marTop w:val="0"/>
          <w:marBottom w:val="0"/>
          <w:divBdr>
            <w:top w:val="none" w:sz="0" w:space="0" w:color="auto"/>
            <w:left w:val="none" w:sz="0" w:space="0" w:color="auto"/>
            <w:bottom w:val="none" w:sz="0" w:space="0" w:color="auto"/>
            <w:right w:val="none" w:sz="0" w:space="0" w:color="auto"/>
          </w:divBdr>
        </w:div>
        <w:div w:id="545193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ime.ponce@ciateq.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357FB6-BB56-43B8-A60C-17ACA0EE0C1A}"/>
      </w:docPartPr>
      <w:docPartBody>
        <w:p w:rsidR="004C6E5E" w:rsidRDefault="002F48F7">
          <w:r w:rsidRPr="001215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F7"/>
    <w:rsid w:val="002F3BAB"/>
    <w:rsid w:val="002F48F7"/>
    <w:rsid w:val="004C6E5E"/>
    <w:rsid w:val="00592086"/>
    <w:rsid w:val="00711245"/>
    <w:rsid w:val="008B2637"/>
    <w:rsid w:val="009338FD"/>
    <w:rsid w:val="00FE05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6E5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1FF72E-4065-42B0-9375-58436B131728}">
  <we:reference id="wa104382081" version="1.55.1.0" store="es-HN" storeType="OMEX"/>
  <we:alternateReferences>
    <we:reference id="wa104382081" version="1.55.1.0" store="es-HN" storeType="OMEX"/>
  </we:alternateReferences>
  <we:properties>
    <we:property name="MENDELEY_CITATIONS" value="[{&quot;citationID&quot;:&quot;MENDELEY_CITATION_2790210b-ec60-4069-83ad-affa0d9e90cb&quot;,&quot;properties&quot;:{&quot;noteIndex&quot;:0},&quot;isEdited&quot;:false,&quot;manualOverride&quot;:{&quot;isManuallyOverridden&quot;:false,&quot;citeprocText&quot;:&quot;(Kurz et al., 2022)&quot;,&quot;manualOverrideText&quot;:&quot;&quot;},&quot;citationTag&quot;:&quot;MENDELEY_CITATION_v3_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&quot;,&quot;citationItems&quot;:[{&quot;id&quot;:&quot;8953132d-10a7-3777-948f-3437fda1a513&quot;,&quot;itemData&quot;:{&quot;type&quot;:&quot;article-journal&quot;,&quot;id&quot;:&quot;8953132d-10a7-3777-948f-3437fda1a513&quot;,&quot;title&quot;:&quot;Hybrid modeling: towards the next level of scientific computing in engineering&quot;,&quot;author&quot;:[{&quot;family&quot;:&quot;Kurz&quot;,&quot;given&quot;:&quot;Stefan&quot;,&quot;parse-names&quot;:false,&quot;dropping-particle&quot;:&quot;&quot;,&quot;non-dropping-particle&quot;:&quot;&quot;},{&quot;family&quot;:&quot;Gersem&quot;,&quot;given&quot;:&quot;Herbert&quot;,&quot;parse-names&quot;:false,&quot;dropping-particle&quot;:&quot;&quot;,&quot;non-dropping-particle&quot;:&quot;De&quot;},{&quot;family&quot;:&quot;Galetzka&quot;,&quot;given&quot;:&quot;Armin&quot;,&quot;parse-names&quot;:false,&quot;dropping-particle&quot;:&quot;&quot;,&quot;non-dropping-particle&quot;:&quot;&quot;},{&quot;family&quot;:&quot;Klaedtke&quot;,&quot;given&quot;:&quot;Andreas&quot;,&quot;parse-names&quot;:false,&quot;dropping-particle&quot;:&quot;&quot;,&quot;non-dropping-particle&quot;:&quot;&quot;},{&quot;family&quot;:&quot;Liebsch&quot;,&quot;given&quot;:&quot;Melvin&quot;,&quot;parse-names&quot;:false,&quot;dropping-particle&quot;:&quot;&quot;,&quot;non-dropping-particle&quot;:&quot;&quot;},{&quot;family&quot;:&quot;Loukrezis&quot;,&quot;given&quot;:&quot;Dimitrios&quot;,&quot;parse-names&quot;:false,&quot;dropping-particle&quot;:&quot;&quot;,&quot;non-dropping-particle&quot;:&quot;&quot;},{&quot;family&quot;:&quot;Russenschuck&quot;,&quot;given&quot;:&quot;Stephan&quot;,&quot;parse-names&quot;:false,&quot;dropping-particle&quot;:&quot;&quot;,&quot;non-dropping-particle&quot;:&quot;&quot;},{&quot;family&quot;:&quot;Schmidt&quot;,&quot;given&quot;:&quot;Manuel&quot;,&quot;parse-names&quot;:false,&quot;dropping-particle&quot;:&quot;&quot;,&quot;non-dropping-particle&quot;:&quot;&quot;}],&quot;container-title&quot;:&quot;Journal of Mathematics in Industry&quot;,&quot;container-title-short&quot;:&quot;J Math Ind&quot;,&quot;accessed&quot;:{&quot;date-parts&quot;:[[2023,11,23]]},&quot;DOI&quot;:&quot;10.1186/S13362-022-00123-0/TABLES/1&quot;,&quot;ISSN&quot;:&quot;21905983&quot;,&quot;URL&quot;:&quot;https://mathematicsinindustry.springeropen.com/articles/10.1186/s13362-022-00123-0&quot;,&quot;issued&quot;:{&quot;date-parts&quot;:[[2022,12,1]]},&quot;page&quot;:&quot;1-12&quot;,&quot;abstract&quot;:&quot;The integration of machine learning (Keplerian paradigm) and more general artificial intelligence technologies with physical modeling based on first principles (Newtonian paradigm) will impact scientific computing in engineering in fundamental ways. Such hybrid models combine first principle-based models with data-based models into a joint architecture. This paper will give some background, explain trends and showcase recent achievements from an applied mathematics and industrial perspective. Examples include characterization of superconducting accelerator magnets by blending data with physics, data-driven magnetostatic field simulation without an explicit model of the constitutive law, and Bayesian free-shape optimization of a trace pair with bend on a printed circuit board.&quot;,&quot;publisher&quot;:&quot;Springer Science and Business Media Deutschland GmbH&quot;,&quot;issue&quot;:&quot;1&quot;,&quot;volume&quot;:&quot;12&quot;},&quot;isTemporary&quot;:false}]},{&quot;citationID&quot;:&quot;MENDELEY_CITATION_088029ed-d9a9-4f1e-aecb-86d12783a1c0&quot;,&quot;properties&quot;:{&quot;noteIndex&quot;:0},&quot;isEdited&quot;:false,&quot;manualOverride&quot;:{&quot;isManuallyOverridden&quot;:false,&quot;citeprocText&quot;:&quot;(Asprion et al., 2019; Foo &amp;#38; Elyas, 2023)&quot;,&quot;manualOverrideText&quot;:&quot;&quot;},&quot;citationTag&quot;:&quot;MENDELEY_CITATION_v3_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&quot;,&quot;citationItems&quot;:[{&quot;id&quot;:&quot;fa58c831-a381-3e84-89bb-9ad84dbb39ae&quot;,&quot;itemData&quot;:{&quot;type&quot;:&quot;article-journal&quot;,&quot;id&quot;:&quot;fa58c831-a381-3e84-89bb-9ad84dbb39ae&quot;,&quot;title&quot;:&quot;Gray-Box Modeling for the Optimization of Chemical Processes&quot;,&quot;author&quot;:[{&quot;family&quot;:&quot;Asprion&quot;,&quot;given&quot;:&quot;Norbert&quot;,&quot;parse-names&quot;:false,&quot;dropping-particle&quot;:&quot;&quot;,&quot;non-dropping-particle&quot;:&quot;&quot;},{&quot;family&quot;:&quot;Böttcher&quot;,&quot;given&quot;:&quot;Roger&quot;,&quot;parse-names&quot;:false,&quot;dropping-particle&quot;:&quot;&quot;,&quot;non-dropping-particle&quot;:&quot;&quot;},{&quot;family&quot;:&quot;Pack&quot;,&quot;given&quot;:&quot;Robert&quot;,&quot;parse-names&quot;:false,&quot;dropping-particle&quot;:&quot;&quot;,&quot;non-dropping-particle&quot;:&quot;&quot;},{&quot;family&quot;:&quot;Stavrou&quot;,&quot;given&quot;:&quot;Marina Eleni&quot;,&quot;parse-names&quot;:false,&quot;dropping-particle&quot;:&quot;&quot;,&quot;non-dropping-particle&quot;:&quot;&quot;},{&quot;family&quot;:&quot;Höller&quot;,&quot;given&quot;:&quot;Johannes&quot;,&quot;parse-names&quot;:false,&quot;dropping-particle&quot;:&quot;&quot;,&quot;non-dropping-particle&quot;:&quot;&quot;},{&quot;family&quot;:&quot;Schwientek&quot;,&quot;given&quot;:&quot;Jan&quot;,&quot;parse-names&quot;:false,&quot;dropping-particle&quot;:&quot;&quot;,&quot;non-dropping-particle&quot;:&quot;&quot;},{&quot;family&quot;:&quot;Bortz&quot;,&quot;given&quot;:&quot;Michael&quot;,&quot;parse-names&quot;:false,&quot;dropping-particle&quot;:&quot;&quot;,&quot;non-dropping-particle&quot;:&quot;&quot;}],&quot;container-title&quot;:&quot;Chemie Ingenieur Technik&quot;,&quot;accessed&quot;:{&quot;date-parts&quot;:[[2023,11,23]]},&quot;DOI&quot;:&quot;10.1002/CITE.201800086&quot;,&quot;ISSN&quot;:&quot;1522-2640&quot;,&quot;URL&quot;:&quot;https://onlinelibrary.wiley.com/doi/full/10.1002/cite.201800086&quot;,&quot;issued&quot;:{&quot;date-parts&quot;:[[2019,3,1]]},&quot;page&quot;:&quot;305-313&quot;,&quot;abstract&quot;:&quot;The availability of predictive models for chemical processes is the basic prerequisite for offline process optimization. In cases where a predictive model is missing for a process unit within a larger process flowsheet, measured operating data of the process can be used to set up such models combining physical knowledge and process data. In this contribution, the creation and integration of such gray-box models within the framework of a flowsheet simulator is presented. Results of optimization using different gray-box models are shown for a virtual cumene process.&quot;,&quot;publisher&quot;:&quot;John Wiley &amp; Sons, Ltd&quot;,&quot;issue&quot;:&quot;3&quot;,&quot;volume&quot;:&quot;91&quot;,&quot;container-title-short&quot;:&quot;&quot;},&quot;isTemporary&quot;:false},{&quot;id&quot;:&quot;a79ffee5-9ec8-3935-8b81-8290cb860f97&quot;,&quot;itemData&quot;:{&quot;type&quot;:&quot;article-journal&quot;,&quot;id&quot;:&quot;a79ffee5-9ec8-3935-8b81-8290cb860f97&quot;,&quot;title&quot;:&quot;Introduction to process simulation&quot;,&quot;author&quot;:[{&quot;family&quot;:&quot;Foo&quot;,&quot;given&quot;:&quot;Dominic C.Y.&quot;,&quot;parse-names&quot;:false,&quot;dropping-particle&quot;:&quot;&quot;,&quot;non-dropping-particle&quot;:&quot;&quot;},{&quot;family&quot;:&quot;Elyas&quot;,&quot;given&quot;:&quot;Rafil&quot;,&quot;parse-names&quot;:false,&quot;dropping-particle&quot;:&quot;&quot;,&quot;non-dropping-particle&quot;:&quot;&quot;}],&quot;container-title&quot;:&quot;Chemical Engineering Process Simulation&quot;,&quot;accessed&quot;:{&quot;date-parts&quot;:[[2023,11,23]]},&quot;DOI&quot;:&quot;10.1016/B978-0-323-90168-0.00008-1&quot;,&quot;issued&quot;:{&quot;date-parts&quot;:[[2023,1,1]]},&quot;page&quot;:&quot;3-28&quot;,&quot;publisher&quot;:&quot;Elsevier&quot;,&quot;container-title-short&quot;:&quot;&quot;},&quot;isTemporary&quot;:false}]},{&quot;citationID&quot;:&quot;MENDELEY_CITATION_d1bd5eaf-d96f-42b2-ac7b-bbeaeef77869&quot;,&quot;properties&quot;:{&quot;noteIndex&quot;:0},&quot;isEdited&quot;:false,&quot;manualOverride&quot;:{&quot;isManuallyOverridden&quot;:false,&quot;citeprocText&quot;:&quot;(Su et al., 1992)&quot;,&quot;manualOverrideText&quot;:&quot;&quot;},&quot;citationTag&quot;:&quot;MENDELEY_CITATION_v3_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&quot;,&quot;citationItems&quot;:[{&quot;id&quot;:&quot;f3d9871a-11f6-3615-a1f2-4d7db003d8a6&quot;,&quot;itemData&quot;:{&quot;type&quot;:&quot;article-journal&quot;,&quot;id&quot;:&quot;f3d9871a-11f6-3615-a1f2-4d7db003d8a6&quot;,&quot;title&quot;:&quot;Integrating Neural Networks with First Principles Models for Dynamic Modeling&quot;,&quot;author&quot;:[{&quot;family&quot;:&quot;Su&quot;,&quot;given&quot;:&quot;Hong-Te&quot;,&quot;parse-names&quot;:false,&quot;dropping-particle&quot;:&quot;&quot;,&quot;non-dropping-particle&quot;:&quot;&quot;},{&quot;family&quot;:&quot;Bhat&quot;,&quot;given&quot;:&quot;N.&quot;,&quot;parse-names&quot;:false,&quot;dropping-particle&quot;:&quot;&quot;,&quot;non-dropping-particle&quot;:&quot;&quot;},{&quot;family&quot;:&quot;Minderman&quot;,&quot;given&quot;:&quot;P.A.&quot;,&quot;parse-names&quot;:false,&quot;dropping-particle&quot;:&quot;&quot;,&quot;non-dropping-particle&quot;:&quot;&quot;},{&quot;family&quot;:&quot;McAvoy&quot;,&quot;given&quot;:&quot;T.J.&quot;,&quot;parse-names&quot;:false,&quot;dropping-particle&quot;:&quot;&quot;,&quot;non-dropping-particle&quot;:&quot;&quot;}],&quot;container-title&quot;:&quot;IFAC Proceedings Volumes&quot;,&quot;accessed&quot;:{&quot;date-parts&quot;:[[2023,11,28]]},&quot;DOI&quot;:&quot;10.1016/S1474-6670(17)51013-7&quot;,&quot;ISSN&quot;:&quot;1474-6670&quot;,&quot;issued&quot;:{&quot;date-parts&quot;:[[1992,4,1]]},&quot;page&quot;:&quot;327-332&quot;,&quot;abstract&quot;:&quot;NN + FP model, polymer reaction&quot;,&quot;publisher&quot;:&quot;Elsevier&quot;,&quot;issue&quot;:&quot;5&quot;,&quot;volume&quot;:&quot;25&quot;,&quot;container-title-short&quot;:&quot;&quot;},&quot;isTemporary&quot;:false}]},{&quot;citationID&quot;:&quot;MENDELEY_CITATION_33a46c22-4ca4-43f5-8bd4-283e392c326a&quot;,&quot;properties&quot;:{&quot;noteIndex&quot;:0},&quot;isEdited&quot;:false,&quot;manualOverride&quot;:{&quot;isManuallyOverridden&quot;:false,&quot;citeprocText&quot;:&quot;(Zapf &amp;#38; Wallek, 2021)&quot;,&quot;manualOverrideText&quot;:&quot;&quot;},&quot;citationTag&quot;:&quot;MENDELEY_CITATION_v3_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&quot;,&quot;citationItems&quot;:[{&quot;id&quot;:&quot;150dc597-7312-3f6e-a6fa-61dca73565ee&quot;,&quot;itemData&quot;:{&quot;type&quot;:&quot;article-journal&quot;,&quot;id&quot;:&quot;150dc597-7312-3f6e-a6fa-61dca73565ee&quot;,&quot;title&quot;:&quot;Gray-box surrogate models for flash, distillation and compression units of chemical processes&quot;,&quot;author&quot;:[{&quot;family&quot;:&quot;Zapf&quot;,&quot;given&quot;:&quot;Fabian&quot;,&quot;parse-names&quot;:false,&quot;dropping-particle&quot;:&quot;&quot;,&quot;non-dropping-particle&quot;:&quot;&quot;},{&quot;family&quot;:&quot;Wallek&quot;,&quot;given&quot;:&quot;Thomas&quot;,&quot;parse-names&quot;:false,&quot;dropping-particle&quot;:&quot;&quot;,&quot;non-dropping-particle&quot;:&quot;&quot;}],&quot;container-title&quot;:&quot;Computers &amp; Chemical Engineering&quot;,&quot;container-title-short&quot;:&quot;Comput Chem Eng&quot;,&quot;accessed&quot;:{&quot;date-parts&quot;:[[2023,11,23]]},&quot;DOI&quot;:&quot;10.1016/J.COMPCHEMENG.2021.107510&quot;,&quot;ISSN&quot;:&quot;0098-1354&quot;,&quot;issued&quot;:{&quot;date-parts&quot;:[[2021,12,1]]},&quot;page&quot;:&quot;107510&quot;,&quot;abstract&quot;:&quot;Surrogate models of chemical processes can substitute rigorous models that are computationally expensive or of limited stability by simplified and typically solely data-driven models. In this work, gray-box surrogate models of classical process engineering unit operations comprising flash, distillation and compression units are developed to provide accurate models that allow for fast and stable predictions in view of later optimization of coupled models. The gray-box surrogates are first tested as individual models and then applied to model the cracked-gas compression of an ethylene plant, including a recycle stream. The process streams are hydrocarbon mixtures containing 50 components, which typically leads to significant convergence issues with rigorous approaches. A concluding comparison of the proposed surrogate models’ accuracies proves their robustness and computational efficiency and highlights the advantages of the proposed modeling methodology that complements and extends simple but physically meaningful white-box models with black-box models from the field of machine learning.&quot;,&quot;publisher&quot;:&quot;Pergamon&quot;,&quot;volume&quot;:&quot;155&quot;},&quot;isTemporary&quot;:false}]},{&quot;citationID&quot;:&quot;MENDELEY_CITATION_99972a9e-58f6-4194-b715-ed2e1f2500f6&quot;,&quot;properties&quot;:{&quot;noteIndex&quot;:0},&quot;isEdited&quot;:false,&quot;manualOverride&quot;:{&quot;isManuallyOverridden&quot;:false,&quot;citeprocText&quot;:&quot;(Adams II et al., 2018)&quot;,&quot;manualOverrideText&quot;:&quot;&quot;},&quot;citationTag&quot;:&quot;MENDELEY_CITATION_v3_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&quot;,&quot;citationItems&quot;:[{&quot;id&quot;:&quot;34df6ddd-cbef-39bf-b89b-14a748b1a168&quot;,&quot;itemData&quot;:{&quot;type&quot;:&quot;article-journal&quot;,&quot;id&quot;:&quot;34df6ddd-cbef-39bf-b89b-14a748b1a168&quot;,&quot;title&quot;:&quot;The Optimal Design of a Distillation System for the Flexible Polygeneration of Dimethyl Ether and Methanol Under Uncertainty&quot;,&quot;author&quot;:[{&quot;family&quot;:&quot;Adams II&quot;,&quot;given&quot;:&quot;Thomas A.&quot;,&quot;parse-names&quot;:false,&quot;dropping-particle&quot;:&quot;&quot;,&quot;non-dropping-particle&quot;:&quot;&quot;},{&quot;family&quot;:&quot;Thatho&quot;,&quot;given&quot;:&quot;Tokiso&quot;,&quot;parse-names&quot;:false,&quot;dropping-particle&quot;:&quot;&quot;,&quot;non-dropping-particle&quot;:&quot;&quot;},{&quot;family&quot;:&quot;Feuvre&quot;,&quot;given&quot;:&quot;Matthew C.&quot;,&quot;parse-names&quot;:false,&quot;dropping-particle&quot;:&quot;&quot;,&quot;non-dropping-particle&quot;:&quot;Le&quot;},{&quot;family&quot;:&quot;Swartz&quot;,&quot;given&quot;:&quot;Christopher L. E.&quot;,&quot;parse-names&quot;:false,&quot;dropping-particle&quot;:&quot;&quot;,&quot;non-dropping-particle&quot;:&quot;&quot;}],&quot;container-title&quot;:&quot;Frontiers in Energy Research&quot;,&quot;container-title-short&quot;:&quot;Front Energy Res&quot;,&quot;accessed&quot;:{&quot;date-parts&quot;:[[2020,9,16]]},&quot;DOI&quot;:&quot;10.3389/fenrg.2018.00041&quot;,&quot;ISSN&quot;:&quot;2296-598X&quot;,&quot;URL&quot;:&quot;https://www.frontiersin.org/article/10.3389/fenrg.2018.00041/full&quot;,&quot;issued&quot;:{&quot;date-parts&quot;:[[2018,5,17]]},&quot;page&quot;:&quot;41&quot;,&quot;abstract&quot;:&quot;Two process designs for the separation section of a flexible dimethyl ether and methanol polygeneration plant are presented, as well as an optimization method which can determine the optimal design under market uncertainty quickly and to global optimality without loss of model fidelity. The polygeneration plant produces a product mixture that is either mostly dimethyl ether or mostly methanol depending on market conditions by using a classic two-stage dimethyl ether production catalytic reaction route in which the second stage is bypassed when the market demand is such that methanol production is more favorable than dimethyl ether. The downstream distillation sequence is designed to purify the products to desired specifications despite the wide variability in feed condition that corresponds to the upstream reaction system operating either in DME-rich or methanol-rich mode. Because the optimal design depends on uncertain market conditions (realized as the percentage of the time in which the plant operates in either DME-rich or methanol-rich mode), this uncertainty is considered in the formulation of the optimal design problem. The results show that using one set of flexible distillation columns for two different objectives is superior to the \&quot;traditional\&quot; approach of using two different sets of distillation columns which are each optimized for one specific operating condition. Different approaches to design under uncertainty were considered, with a scenario-based two-stage stochastic formulation with a uniform distribution of the uncertain parameter recommended as the preferred formulation.&quot;,&quot;publisher&quot;:&quot;Frontiers Media S.A.&quot;,&quot;issue&quot;:&quot;JUN&quot;,&quot;volume&quot;:&quot;6&quot;},&quot;isTemporary&quot;:false}]},{&quot;citationID&quot;:&quot;MENDELEY_CITATION_2fb952ac-2647-490e-aead-e7bc611e39a6&quot;,&quot;properties&quot;:{&quot;noteIndex&quot;:0},&quot;isEdited&quot;:false,&quot;manualOverride&quot;:{&quot;isManuallyOverridden&quot;:true,&quot;citeprocText&quot;:&quot;(Brunazzi et al., 2018; Taylor &amp;#38; Kooijman, n.d.)&quot;,&quot;manualOverrideText&quot;:&quot;(Brunazzi et al., 2018)&quot;},&quot;citationTag&quot;:&quot;MENDELEY_CITATION_v3_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&quot;,&quot;citationItems&quot;:[{&quot;id&quot;:&quot;64e117f0-38b6-3bc1-af09-5bb06bcc0534&quot;,&quot;itemData&quot;:{&quot;type&quot;:&quot;article-journal&quot;,&quot;id&quot;:&quot;64e117f0-38b6-3bc1-af09-5bb06bcc0534&quot;,&quot;title&quot;:&quot;Extending Murphree Tray Efficiency from Mass to Heat Transfer in Distillation&quot;,&quot;author&quot;:[{&quot;family&quot;:&quot;Brunazzi&quot;,&quot;given&quot;:&quot;Elisabetta&quot;,&quot;parse-names&quot;:false,&quot;dropping-particle&quot;:&quot;&quot;,&quot;non-dropping-particle&quot;:&quot;&quot;},{&quot;family&quot;:&quot;Sorensen&quot;,&quot;given&quot;:&quot;Eva&quot;,&quot;parse-names&quot;:false,&quot;dropping-particle&quot;:&quot;&quot;,&quot;non-dropping-particle&quot;:&quot;&quot;},{&quot;family&quot;:&quot;Bausa&quot;,&quot;given&quot;:&quot;Jürgen&quot;,&quot;parse-names&quot;:false,&quot;dropping-particle&quot;:&quot;&quot;,&quot;non-dropping-particle&quot;:&quot;&quot;},{&quot;family&quot;:&quot;Steimel&quot;,&quot;given&quot;:&quot;Jochen&quot;,&quot;parse-names&quot;:false,&quot;dropping-particle&quot;:&quot;&quot;,&quot;non-dropping-particle&quot;:&quot;&quot;}],&quot;container-title&quot;:&quot;CHEMICAL ENGINEERING TRANSACTIONS&quot;,&quot;container-title-short&quot;:&quot;Chem Eng Trans&quot;,&quot;accessed&quot;:{&quot;date-parts&quot;:[[2023,11,28]]},&quot;DOI&quot;:&quot;10.3303/CET1869076&quot;,&quot;ISBN&quot;:&quot;978-88-95608-66-2&quot;,&quot;ISSN&quot;:&quot;2283-9216&quot;,&quot;URL&quot;:&quot;www.aidic.it/cet&quot;,&quot;issued&quot;:{&quot;date-parts&quot;:[[2018]]},&quot;abstract&quot;:&quot;In this work an extension of the well-known Murphree tray efficiency is proposed. In difference to the original model, vapor and liquid streams leaving the stage have different temperatures. In order to model the vapor temperature, the Murphree efficiency equation is used to calculate the change of vapor temperature between vapor inlet temperature and liquid outlet temperature, which will only be reached at full efficiency. As a result, vapor temperature will be much nearer to its dew point, which better matches reality.&quot;,&quot;volume&quot;:&quot;69&quot;},&quot;isTemporary&quot;:false},{&quot;id&quot;:&quot;1667d1d9-ef6d-3715-9b89-edad0451e36b&quot;,&quot;itemData&quot;:{&quot;type&quot;:&quot;article-journal&quot;,&quot;id&quot;:&quot;1667d1d9-ef6d-3715-9b89-edad0451e36b&quot;,&quot;title&quot;:&quot;ChemSep Tutorial: Efficiencies&quot;,&quot;author&quot;:[{&quot;family&quot;:&quot;Taylor&quot;,&quot;given&quot;:&quot;Ross&quot;,&quot;parse-names&quot;:false,&quot;dropping-particle&quot;:&quot;&quot;,&quot;non-dropping-particle&quot;:&quot;&quot;},{&quot;family&quot;:&quot;Kooijman&quot;,&quot;given&quot;:&quot;Harry&quot;,&quot;parse-names&quot;:false,&quot;dropping-particle&quot;:&quot;&quot;,&quot;non-dropping-particle&quot;:&quot;&quot;}],&quot;accessed&quot;:{&quot;date-parts&quot;:[[2023,11,28]]},&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700E-5CA9-45D7-BEC1-7571E824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25</TotalTime>
  <Pages>6</Pages>
  <Words>2189</Words>
  <Characters>12041</Characters>
  <Application>Microsoft Office Word</Application>
  <DocSecurity>0</DocSecurity>
  <Lines>100</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Jaime David Ponce Rocha</cp:lastModifiedBy>
  <cp:revision>7</cp:revision>
  <cp:lastPrinted>2004-12-17T09:20:00Z</cp:lastPrinted>
  <dcterms:created xsi:type="dcterms:W3CDTF">2024-01-01T01:36:00Z</dcterms:created>
  <dcterms:modified xsi:type="dcterms:W3CDTF">2024-01-01T02:02:00Z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