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DF910" w14:textId="6E638917" w:rsidR="00BF37A3" w:rsidRDefault="00BF37A3">
      <w:pPr>
        <w:pStyle w:val="Els-Author"/>
      </w:pPr>
      <w:bookmarkStart w:id="0" w:name="_Hlk151828620"/>
      <w:r w:rsidRPr="00BF37A3">
        <w:rPr>
          <w:b/>
          <w:noProof w:val="0"/>
          <w:color w:val="000000" w:themeColor="text1"/>
          <w:sz w:val="32"/>
          <w:lang w:val="en-US"/>
        </w:rPr>
        <w:t>W</w:t>
      </w:r>
      <w:r w:rsidR="003A7D2D">
        <w:rPr>
          <w:b/>
          <w:noProof w:val="0"/>
          <w:color w:val="000000" w:themeColor="text1"/>
          <w:sz w:val="32"/>
          <w:lang w:val="en-US"/>
        </w:rPr>
        <w:t>ine effluents valorization through a biorefinery scheme</w:t>
      </w:r>
      <w:r w:rsidRPr="00BF37A3">
        <w:t xml:space="preserve"> </w:t>
      </w:r>
    </w:p>
    <w:bookmarkEnd w:id="0"/>
    <w:p w14:paraId="144DE680" w14:textId="3690E298" w:rsidR="00DD3D9E" w:rsidRPr="003A7D2D" w:rsidRDefault="00BF37A3">
      <w:pPr>
        <w:pStyle w:val="Els-Author"/>
        <w:rPr>
          <w:lang w:val="es-MX"/>
        </w:rPr>
      </w:pPr>
      <w:r w:rsidRPr="003A7D2D">
        <w:rPr>
          <w:lang w:val="es-MX"/>
        </w:rPr>
        <w:t>Carlos Eduardo Guzmán Martínez</w:t>
      </w:r>
      <w:r w:rsidR="002526F4">
        <w:rPr>
          <w:lang w:val="es-MX"/>
        </w:rPr>
        <w:t xml:space="preserve"> </w:t>
      </w:r>
      <w:r w:rsidR="002526F4" w:rsidRPr="002526F4">
        <w:rPr>
          <w:vertAlign w:val="superscript"/>
          <w:lang w:val="es-MX"/>
        </w:rPr>
        <w:t>1</w:t>
      </w:r>
      <w:r w:rsidR="00DC56B1">
        <w:rPr>
          <w:lang w:val="es-MX"/>
        </w:rPr>
        <w:t>,</w:t>
      </w:r>
      <w:r w:rsidRPr="003A7D2D">
        <w:rPr>
          <w:lang w:val="es-MX"/>
        </w:rPr>
        <w:t xml:space="preserve"> Araceli Guadalupe Romero Izquierdo</w:t>
      </w:r>
      <w:r w:rsidR="002526F4">
        <w:rPr>
          <w:lang w:val="es-MX"/>
        </w:rPr>
        <w:t xml:space="preserve"> </w:t>
      </w:r>
      <w:r w:rsidR="002526F4" w:rsidRPr="002526F4">
        <w:rPr>
          <w:vertAlign w:val="superscript"/>
          <w:lang w:val="es-MX"/>
        </w:rPr>
        <w:t>1</w:t>
      </w:r>
      <w:r w:rsidR="00DC56B1">
        <w:rPr>
          <w:lang w:val="es-MX"/>
        </w:rPr>
        <w:t>,</w:t>
      </w:r>
      <w:r w:rsidRPr="003A7D2D">
        <w:rPr>
          <w:lang w:val="es-MX"/>
        </w:rPr>
        <w:t xml:space="preserve"> Sergio Iván Martínez Guido</w:t>
      </w:r>
      <w:r w:rsidR="002526F4">
        <w:rPr>
          <w:lang w:val="es-MX"/>
        </w:rPr>
        <w:t xml:space="preserve"> </w:t>
      </w:r>
      <w:r w:rsidR="002526F4" w:rsidRPr="002526F4">
        <w:rPr>
          <w:vertAlign w:val="superscript"/>
          <w:lang w:val="es-MX"/>
        </w:rPr>
        <w:t>1</w:t>
      </w:r>
      <w:r w:rsidR="007F6D2D">
        <w:rPr>
          <w:lang w:val="es-MX"/>
        </w:rPr>
        <w:t>,</w:t>
      </w:r>
      <w:r w:rsidRPr="003A7D2D">
        <w:rPr>
          <w:lang w:val="es-MX"/>
        </w:rPr>
        <w:t xml:space="preserve">  </w:t>
      </w:r>
      <w:r w:rsidR="003718AB">
        <w:rPr>
          <w:lang w:val="es-MX"/>
        </w:rPr>
        <w:t>Salvador Hernández</w:t>
      </w:r>
      <w:r w:rsidR="002526F4">
        <w:rPr>
          <w:lang w:val="es-MX"/>
        </w:rPr>
        <w:t xml:space="preserve"> </w:t>
      </w:r>
      <w:r w:rsidR="002526F4">
        <w:rPr>
          <w:vertAlign w:val="superscript"/>
          <w:lang w:val="es-MX"/>
        </w:rPr>
        <w:t>2</w:t>
      </w:r>
      <w:r w:rsidR="007F6D2D">
        <w:rPr>
          <w:lang w:val="es-MX"/>
        </w:rPr>
        <w:t>,</w:t>
      </w:r>
      <w:r w:rsidRPr="003A7D2D">
        <w:rPr>
          <w:lang w:val="es-MX"/>
        </w:rPr>
        <w:t xml:space="preserve"> Claudia Gutiérrez Antonio</w:t>
      </w:r>
      <w:r w:rsidR="002526F4">
        <w:rPr>
          <w:lang w:val="es-MX"/>
        </w:rPr>
        <w:t xml:space="preserve"> </w:t>
      </w:r>
      <w:r w:rsidR="002526F4" w:rsidRPr="002526F4">
        <w:rPr>
          <w:vertAlign w:val="superscript"/>
          <w:lang w:val="es-MX"/>
        </w:rPr>
        <w:t>1</w:t>
      </w:r>
      <w:r w:rsidRPr="003A7D2D">
        <w:rPr>
          <w:lang w:val="es-MX"/>
        </w:rPr>
        <w:t>*</w:t>
      </w:r>
    </w:p>
    <w:p w14:paraId="794B6B2D" w14:textId="04CA3B12" w:rsidR="00BF37A3" w:rsidRPr="003A7D2D" w:rsidRDefault="002526F4" w:rsidP="00BF37A3">
      <w:pPr>
        <w:pStyle w:val="Els-Affiliation"/>
        <w:rPr>
          <w:lang w:val="es-MX"/>
        </w:rPr>
      </w:pPr>
      <w:r w:rsidRPr="002526F4">
        <w:rPr>
          <w:vertAlign w:val="superscript"/>
          <w:lang w:val="es-MX"/>
        </w:rPr>
        <w:t>1</w:t>
      </w:r>
      <w:r>
        <w:rPr>
          <w:vertAlign w:val="superscript"/>
          <w:lang w:val="es-MX"/>
        </w:rPr>
        <w:t xml:space="preserve"> </w:t>
      </w:r>
      <w:r w:rsidR="00BF37A3" w:rsidRPr="003A7D2D">
        <w:rPr>
          <w:lang w:val="es-MX"/>
        </w:rPr>
        <w:t>Universidad Autónoma de Querétaro, Querétaro</w:t>
      </w:r>
      <w:r w:rsidR="00672035" w:rsidRPr="003A7D2D">
        <w:rPr>
          <w:lang w:val="es-MX"/>
        </w:rPr>
        <w:t>, Q</w:t>
      </w:r>
      <w:r w:rsidR="009B764B">
        <w:rPr>
          <w:lang w:val="es-MX"/>
        </w:rPr>
        <w:t>uerétaro</w:t>
      </w:r>
      <w:r w:rsidR="00BF37A3" w:rsidRPr="003A7D2D">
        <w:rPr>
          <w:lang w:val="es-MX"/>
        </w:rPr>
        <w:t>, 76010, México</w:t>
      </w:r>
    </w:p>
    <w:p w14:paraId="2402FC4C" w14:textId="4803B7AF" w:rsidR="00BF37A3" w:rsidRPr="002526F4" w:rsidRDefault="002526F4" w:rsidP="00BF37A3">
      <w:pPr>
        <w:pStyle w:val="Els-Affiliation"/>
        <w:rPr>
          <w:lang w:val="es-MX"/>
        </w:rPr>
      </w:pPr>
      <w:hyperlink r:id="rId8" w:history="1">
        <w:r w:rsidRPr="002526F4">
          <w:rPr>
            <w:rStyle w:val="Hyperlink"/>
            <w:lang w:val="es-MX"/>
          </w:rPr>
          <w:t>claudia.gutierrez@uaq.mx</w:t>
        </w:r>
      </w:hyperlink>
      <w:r w:rsidR="00BF37A3" w:rsidRPr="002526F4">
        <w:rPr>
          <w:lang w:val="es-MX"/>
        </w:rPr>
        <w:t xml:space="preserve"> </w:t>
      </w:r>
    </w:p>
    <w:p w14:paraId="64995D8E" w14:textId="4BAB81E4" w:rsidR="002526F4" w:rsidRPr="002526F4" w:rsidRDefault="008C23B2" w:rsidP="00BF37A3">
      <w:pPr>
        <w:pStyle w:val="Els-Affiliation"/>
        <w:rPr>
          <w:lang w:val="es-MX"/>
        </w:rPr>
      </w:pPr>
      <w:r>
        <w:rPr>
          <w:vertAlign w:val="superscript"/>
          <w:lang w:val="es-MX"/>
        </w:rPr>
        <w:t>2</w:t>
      </w:r>
      <w:r w:rsidR="002526F4">
        <w:rPr>
          <w:vertAlign w:val="superscript"/>
          <w:lang w:val="es-MX"/>
        </w:rPr>
        <w:t xml:space="preserve"> </w:t>
      </w:r>
      <w:r w:rsidR="002526F4" w:rsidRPr="003A7D2D">
        <w:rPr>
          <w:lang w:val="es-MX"/>
        </w:rPr>
        <w:t xml:space="preserve">Universidad de </w:t>
      </w:r>
      <w:r w:rsidR="002526F4">
        <w:rPr>
          <w:lang w:val="es-MX"/>
        </w:rPr>
        <w:t>Guanajuato</w:t>
      </w:r>
      <w:r w:rsidR="002526F4" w:rsidRPr="003A7D2D">
        <w:rPr>
          <w:lang w:val="es-MX"/>
        </w:rPr>
        <w:t xml:space="preserve">, </w:t>
      </w:r>
      <w:r w:rsidR="002526F4">
        <w:rPr>
          <w:lang w:val="es-MX"/>
        </w:rPr>
        <w:t>Guanajuato</w:t>
      </w:r>
      <w:r>
        <w:rPr>
          <w:lang w:val="es-MX"/>
        </w:rPr>
        <w:t>, G</w:t>
      </w:r>
      <w:r w:rsidR="009B764B">
        <w:rPr>
          <w:lang w:val="es-MX"/>
        </w:rPr>
        <w:t>uanajuato</w:t>
      </w:r>
      <w:r w:rsidR="002526F4" w:rsidRPr="003A7D2D">
        <w:rPr>
          <w:lang w:val="es-MX"/>
        </w:rPr>
        <w:t xml:space="preserve">, </w:t>
      </w:r>
      <w:r>
        <w:rPr>
          <w:lang w:val="es-MX"/>
        </w:rPr>
        <w:t>3600</w:t>
      </w:r>
      <w:r w:rsidR="002526F4" w:rsidRPr="003A7D2D">
        <w:rPr>
          <w:lang w:val="es-MX"/>
        </w:rPr>
        <w:t>0, México</w:t>
      </w:r>
    </w:p>
    <w:p w14:paraId="144DE684" w14:textId="7FBA2AA5" w:rsidR="008D2649" w:rsidRDefault="008D2649" w:rsidP="008D2649">
      <w:pPr>
        <w:pStyle w:val="Els-Abstract"/>
      </w:pPr>
      <w:r>
        <w:t>Abstract</w:t>
      </w:r>
    </w:p>
    <w:p w14:paraId="33FBEF46" w14:textId="6D58A820" w:rsidR="000B1122" w:rsidRDefault="000B1122" w:rsidP="00DB596A">
      <w:pPr>
        <w:pStyle w:val="Els-body-text"/>
        <w:spacing w:after="120"/>
      </w:pPr>
      <w:r w:rsidRPr="002E4425">
        <w:rPr>
          <w:lang w:val="en-GB"/>
        </w:rPr>
        <w:t xml:space="preserve">The wine industry produces a large amount of highly polluting </w:t>
      </w:r>
      <w:r w:rsidR="00447EDD" w:rsidRPr="002E4425">
        <w:rPr>
          <w:lang w:val="en-GB"/>
        </w:rPr>
        <w:t>wastewater</w:t>
      </w:r>
      <w:r w:rsidR="00447EDD">
        <w:rPr>
          <w:lang w:val="en-GB"/>
        </w:rPr>
        <w:t xml:space="preserve">; </w:t>
      </w:r>
      <w:r w:rsidR="00447EDD" w:rsidRPr="002E4425">
        <w:rPr>
          <w:lang w:val="en-GB"/>
        </w:rPr>
        <w:t>its</w:t>
      </w:r>
      <w:r w:rsidRPr="002E4425">
        <w:rPr>
          <w:lang w:val="en-GB"/>
        </w:rPr>
        <w:t xml:space="preserve"> inadequate disposal has become a social and environmental problem. At the same time, these effluents are characterized by having a high content of carbohydrates and alcohols; these compounds can be used in the generation of bioenergy, a priority to ensure energy sovereignty in Mexico. Current technology does not take advantage of the energy potential of this type of wastewater. Thus, the </w:t>
      </w:r>
      <w:proofErr w:type="spellStart"/>
      <w:r w:rsidRPr="002E4425">
        <w:rPr>
          <w:lang w:val="en-GB"/>
        </w:rPr>
        <w:t>valorization</w:t>
      </w:r>
      <w:proofErr w:type="spellEnd"/>
      <w:r w:rsidRPr="002E4425">
        <w:rPr>
          <w:lang w:val="en-GB"/>
        </w:rPr>
        <w:t xml:space="preserve"> of wine effluents is proposed through a biorefinery scheme that generates biofuels and value-added products. For this, the composition and pretreatment of the wastewater are determined, and the products of interest in the biorefinery are selected. A case study is defined, which process is designed</w:t>
      </w:r>
      <w:r w:rsidR="00F16845">
        <w:rPr>
          <w:lang w:val="en-GB"/>
        </w:rPr>
        <w:t xml:space="preserve"> and</w:t>
      </w:r>
      <w:r w:rsidRPr="002E4425">
        <w:rPr>
          <w:lang w:val="en-GB"/>
        </w:rPr>
        <w:t xml:space="preserve"> simulated</w:t>
      </w:r>
      <w:r w:rsidR="00F16845">
        <w:rPr>
          <w:lang w:val="en-GB"/>
        </w:rPr>
        <w:t xml:space="preserve"> </w:t>
      </w:r>
      <w:r w:rsidR="00A922FA">
        <w:rPr>
          <w:lang w:val="en-GB"/>
        </w:rPr>
        <w:t>into</w:t>
      </w:r>
      <w:r w:rsidRPr="002E4425">
        <w:rPr>
          <w:lang w:val="en-GB"/>
        </w:rPr>
        <w:t xml:space="preserve"> </w:t>
      </w:r>
      <w:r w:rsidR="00A922FA">
        <w:rPr>
          <w:lang w:val="en-GB"/>
        </w:rPr>
        <w:t xml:space="preserve">the </w:t>
      </w:r>
      <w:r w:rsidRPr="002E4425">
        <w:rPr>
          <w:lang w:val="en-GB"/>
        </w:rPr>
        <w:t xml:space="preserve">Aspen Plus simulator. For comparative purposes, a conventional treatment scheme consisting of an anaerobic digester to produce methane gas is developed. As a result, the production of </w:t>
      </w:r>
      <w:proofErr w:type="spellStart"/>
      <w:r w:rsidRPr="002E4425">
        <w:rPr>
          <w:lang w:val="en-GB"/>
        </w:rPr>
        <w:t>levulinic</w:t>
      </w:r>
      <w:proofErr w:type="spellEnd"/>
      <w:r w:rsidRPr="002E4425">
        <w:rPr>
          <w:lang w:val="en-GB"/>
        </w:rPr>
        <w:t xml:space="preserve"> acid, </w:t>
      </w:r>
      <w:r w:rsidR="00F16845">
        <w:rPr>
          <w:lang w:val="en-GB"/>
        </w:rPr>
        <w:t>sustainable aviation</w:t>
      </w:r>
      <w:r w:rsidRPr="002E4425">
        <w:rPr>
          <w:lang w:val="en-GB"/>
        </w:rPr>
        <w:t xml:space="preserve"> fuel, electrical energy, green diesel, naphtha, light gases, glycols, and bioethanol </w:t>
      </w:r>
      <w:r w:rsidR="00A922FA">
        <w:rPr>
          <w:lang w:val="en-GB"/>
        </w:rPr>
        <w:t>is</w:t>
      </w:r>
      <w:r w:rsidRPr="002E4425">
        <w:rPr>
          <w:lang w:val="en-GB"/>
        </w:rPr>
        <w:t xml:space="preserve"> obtained. In addition, the biorefinery reduces the </w:t>
      </w:r>
      <w:r w:rsidR="00F16845">
        <w:t>Chemical Oxygen Demand</w:t>
      </w:r>
      <w:r w:rsidR="00F16845" w:rsidRPr="002E4425">
        <w:rPr>
          <w:lang w:val="en-GB"/>
        </w:rPr>
        <w:t xml:space="preserve"> </w:t>
      </w:r>
      <w:r w:rsidR="00F16845">
        <w:rPr>
          <w:lang w:val="en-GB"/>
        </w:rPr>
        <w:t>(</w:t>
      </w:r>
      <w:r w:rsidRPr="002E4425">
        <w:rPr>
          <w:lang w:val="en-GB"/>
        </w:rPr>
        <w:t>COD</w:t>
      </w:r>
      <w:r w:rsidR="004B1C43">
        <w:t xml:space="preserve">) </w:t>
      </w:r>
      <w:r w:rsidRPr="002E4425">
        <w:rPr>
          <w:lang w:val="en-GB"/>
        </w:rPr>
        <w:t xml:space="preserve">of the effluent by 99.99% allowing </w:t>
      </w:r>
      <w:r w:rsidR="00D62CF5">
        <w:rPr>
          <w:lang w:val="en-GB"/>
        </w:rPr>
        <w:t xml:space="preserve">it </w:t>
      </w:r>
      <w:r w:rsidRPr="002E4425">
        <w:rPr>
          <w:lang w:val="en-GB"/>
        </w:rPr>
        <w:t>to generate water that meets the quality necessary for human use according</w:t>
      </w:r>
      <w:r w:rsidR="00A922FA">
        <w:rPr>
          <w:lang w:val="en-GB"/>
        </w:rPr>
        <w:t xml:space="preserve"> to</w:t>
      </w:r>
      <w:r w:rsidRPr="002E4425">
        <w:rPr>
          <w:lang w:val="en-GB"/>
        </w:rPr>
        <w:t xml:space="preserve"> Official Mexican Standards (NOM-001-SEMARNAT-2021, NOM-127-SSA1-2021). On the other hand, the conventional </w:t>
      </w:r>
      <w:r w:rsidR="00F16845">
        <w:rPr>
          <w:lang w:val="en-GB"/>
        </w:rPr>
        <w:t xml:space="preserve">treatment </w:t>
      </w:r>
      <w:r w:rsidRPr="002E4425">
        <w:rPr>
          <w:lang w:val="en-GB"/>
        </w:rPr>
        <w:t xml:space="preserve">process, which is constituted by biodigester, has a COD reduction of </w:t>
      </w:r>
      <w:r w:rsidR="0006365B" w:rsidRPr="002E4425">
        <w:rPr>
          <w:lang w:val="en-GB"/>
        </w:rPr>
        <w:t>18.79</w:t>
      </w:r>
      <w:r w:rsidRPr="002E4425">
        <w:rPr>
          <w:lang w:val="en-GB"/>
        </w:rPr>
        <w:t>%; this decrement is not enough to achieve national standards</w:t>
      </w:r>
      <w:r w:rsidR="00F16845">
        <w:rPr>
          <w:lang w:val="en-GB"/>
        </w:rPr>
        <w:t xml:space="preserve"> of water for human use</w:t>
      </w:r>
      <w:r w:rsidRPr="002E4425">
        <w:rPr>
          <w:lang w:val="en-GB"/>
        </w:rPr>
        <w:t>. In conclusion, both the biorefinery and conventional</w:t>
      </w:r>
      <w:r w:rsidR="00F16845">
        <w:rPr>
          <w:lang w:val="en-GB"/>
        </w:rPr>
        <w:t xml:space="preserve"> treatment</w:t>
      </w:r>
      <w:r w:rsidRPr="002E4425">
        <w:rPr>
          <w:lang w:val="en-GB"/>
        </w:rPr>
        <w:t xml:space="preserve"> schemes are feasible technically</w:t>
      </w:r>
      <w:r w:rsidR="00F16845">
        <w:rPr>
          <w:lang w:val="en-GB"/>
        </w:rPr>
        <w:t>. H</w:t>
      </w:r>
      <w:r w:rsidRPr="002E4425">
        <w:rPr>
          <w:lang w:val="en-GB"/>
        </w:rPr>
        <w:t>owever, biorefinery can offer a wide variety of biofuels and value-added products, such as those aforementioned; in contrast to</w:t>
      </w:r>
      <w:r w:rsidR="00A922FA">
        <w:rPr>
          <w:lang w:val="en-GB"/>
        </w:rPr>
        <w:t xml:space="preserve"> the </w:t>
      </w:r>
      <w:r w:rsidRPr="002E4425">
        <w:rPr>
          <w:lang w:val="en-GB"/>
        </w:rPr>
        <w:t xml:space="preserve">conventional </w:t>
      </w:r>
      <w:r w:rsidR="00F16845">
        <w:rPr>
          <w:lang w:val="en-GB"/>
        </w:rPr>
        <w:t xml:space="preserve">treatment </w:t>
      </w:r>
      <w:r w:rsidRPr="002E4425">
        <w:rPr>
          <w:lang w:val="en-GB"/>
        </w:rPr>
        <w:t xml:space="preserve">process which only can produce methane. Besides, according to </w:t>
      </w:r>
      <w:r w:rsidR="00B60327">
        <w:rPr>
          <w:lang w:val="en-GB"/>
        </w:rPr>
        <w:t xml:space="preserve">the </w:t>
      </w:r>
      <w:r w:rsidRPr="002E4425">
        <w:rPr>
          <w:lang w:val="en-GB"/>
        </w:rPr>
        <w:t>COD reduction obtained for each process, the conventional procedure must be complemented with other operation units to reach the required level for Mexico authorities.</w:t>
      </w:r>
      <w:r w:rsidRPr="000B1122">
        <w:rPr>
          <w:lang w:val="en-GB"/>
        </w:rPr>
        <w:t xml:space="preserve"> </w:t>
      </w:r>
    </w:p>
    <w:p w14:paraId="144DE687" w14:textId="1027265B" w:rsidR="008D2649" w:rsidRDefault="008D2649" w:rsidP="008D2649">
      <w:pPr>
        <w:pStyle w:val="Els-body-text"/>
        <w:spacing w:after="120"/>
        <w:rPr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="000B1122" w:rsidRPr="000B1122">
        <w:rPr>
          <w:lang w:val="en-GB"/>
        </w:rPr>
        <w:t xml:space="preserve">Biorefinery, wine effluent, </w:t>
      </w:r>
      <w:r w:rsidR="00F16845">
        <w:rPr>
          <w:lang w:val="en-GB"/>
        </w:rPr>
        <w:t>sustainable aviation fuel</w:t>
      </w:r>
      <w:r w:rsidR="000B1122" w:rsidRPr="000B1122">
        <w:rPr>
          <w:lang w:val="en-GB"/>
        </w:rPr>
        <w:t xml:space="preserve">, simulation, </w:t>
      </w:r>
      <w:proofErr w:type="spellStart"/>
      <w:r w:rsidR="000B1122" w:rsidRPr="000B1122">
        <w:rPr>
          <w:lang w:val="en-GB"/>
        </w:rPr>
        <w:t>valorization</w:t>
      </w:r>
      <w:proofErr w:type="spellEnd"/>
      <w:r w:rsidR="000B1122" w:rsidRPr="000B1122">
        <w:rPr>
          <w:lang w:val="en-GB"/>
        </w:rPr>
        <w:t>.</w:t>
      </w:r>
    </w:p>
    <w:p w14:paraId="144DE689" w14:textId="63B52888" w:rsidR="008D2649" w:rsidRDefault="000D46BC" w:rsidP="008D2649">
      <w:pPr>
        <w:pStyle w:val="Els-1storder-head"/>
      </w:pPr>
      <w:r>
        <w:t>Introduction</w:t>
      </w:r>
    </w:p>
    <w:p w14:paraId="687E72BE" w14:textId="3CBD8AA4" w:rsidR="00B47CDD" w:rsidRDefault="00B60327" w:rsidP="008D2649">
      <w:pPr>
        <w:pStyle w:val="Els-body-text"/>
      </w:pPr>
      <w:r>
        <w:t>The wine</w:t>
      </w:r>
      <w:r w:rsidR="00B47CDD">
        <w:t xml:space="preserve"> industry generates from 0.2 to 4 </w:t>
      </w:r>
      <w:r w:rsidR="002E31FD">
        <w:t>wastewater</w:t>
      </w:r>
      <w:r w:rsidR="00B47CDD">
        <w:t xml:space="preserve"> liters per liter produced. </w:t>
      </w:r>
      <w:r w:rsidR="0045387A">
        <w:t xml:space="preserve">In México, 400,000 hectoliters </w:t>
      </w:r>
      <w:r w:rsidR="002E31FD">
        <w:t xml:space="preserve">of wine </w:t>
      </w:r>
      <w:r w:rsidR="0045387A">
        <w:t xml:space="preserve">are manufactured annually. </w:t>
      </w:r>
      <w:r w:rsidR="002E31FD">
        <w:t xml:space="preserve">The main composition of this effluent </w:t>
      </w:r>
      <w:r w:rsidR="008871FE">
        <w:t>includes</w:t>
      </w:r>
      <w:r w:rsidR="002E31FD">
        <w:t xml:space="preserve"> glucose, ethanol, and lignocellulosic </w:t>
      </w:r>
      <w:r w:rsidR="00447EDD">
        <w:t>material,</w:t>
      </w:r>
      <w:r w:rsidR="00F72C61">
        <w:t xml:space="preserve"> in smaller </w:t>
      </w:r>
      <w:r>
        <w:t>quantities</w:t>
      </w:r>
      <w:r w:rsidR="00F72C61">
        <w:t xml:space="preserve">, </w:t>
      </w:r>
      <w:r w:rsidR="008871FE">
        <w:t xml:space="preserve">as well as </w:t>
      </w:r>
      <w:r w:rsidR="00F72C61">
        <w:t xml:space="preserve">some </w:t>
      </w:r>
      <w:r w:rsidR="001739CD">
        <w:t>polyphenols,</w:t>
      </w:r>
      <w:r w:rsidR="00F72C61">
        <w:t xml:space="preserve"> and carboxylic acids</w:t>
      </w:r>
      <w:r w:rsidR="002E31FD">
        <w:t xml:space="preserve">. </w:t>
      </w:r>
      <w:r w:rsidR="007E169C">
        <w:t>The i</w:t>
      </w:r>
      <w:r>
        <w:t>nadequate</w:t>
      </w:r>
      <w:r w:rsidR="002E31FD">
        <w:t xml:space="preserve"> disposal </w:t>
      </w:r>
      <w:r w:rsidR="007E169C">
        <w:t xml:space="preserve">of this type of wastewater </w:t>
      </w:r>
      <w:r w:rsidR="00F72C61">
        <w:t xml:space="preserve">may cause </w:t>
      </w:r>
      <w:r>
        <w:t>damage</w:t>
      </w:r>
      <w:r w:rsidR="00F72C61">
        <w:t xml:space="preserve"> to ecosystems</w:t>
      </w:r>
      <w:r w:rsidR="00E04C58">
        <w:t xml:space="preserve"> (Buitron et al. 2019)</w:t>
      </w:r>
      <w:r w:rsidR="00F72C61">
        <w:t>.</w:t>
      </w:r>
    </w:p>
    <w:p w14:paraId="7C150FF6" w14:textId="4A384BE5" w:rsidR="00F72C61" w:rsidRDefault="00F72C61" w:rsidP="008D2649">
      <w:pPr>
        <w:pStyle w:val="Els-body-text"/>
      </w:pPr>
    </w:p>
    <w:p w14:paraId="15FAEBAE" w14:textId="1F045848" w:rsidR="000B2E0B" w:rsidRDefault="000B2E0B" w:rsidP="008D2649">
      <w:pPr>
        <w:pStyle w:val="Els-body-text"/>
      </w:pPr>
      <w:r>
        <w:t xml:space="preserve">There are several treatments </w:t>
      </w:r>
      <w:r w:rsidR="002A7EA2">
        <w:t xml:space="preserve">to achieve discharge standards and recovery </w:t>
      </w:r>
      <w:r w:rsidR="00AD6ACC">
        <w:t xml:space="preserve">of </w:t>
      </w:r>
      <w:r w:rsidR="00B60327">
        <w:t>value-added</w:t>
      </w:r>
      <w:r w:rsidR="002A7EA2">
        <w:t xml:space="preserve"> products </w:t>
      </w:r>
      <w:r w:rsidR="00B11E90">
        <w:t>from</w:t>
      </w:r>
      <w:r w:rsidR="002A7EA2">
        <w:t xml:space="preserve"> distillery wastewater</w:t>
      </w:r>
      <w:r w:rsidR="00615F39">
        <w:t xml:space="preserve">; this kind of wastewater is similar to </w:t>
      </w:r>
      <w:r w:rsidR="002A7EA2">
        <w:t xml:space="preserve">wine effluent </w:t>
      </w:r>
      <w:r w:rsidR="002A7EA2">
        <w:lastRenderedPageBreak/>
        <w:t xml:space="preserve">due to </w:t>
      </w:r>
      <w:r w:rsidR="00B60327">
        <w:t xml:space="preserve">its </w:t>
      </w:r>
      <w:r w:rsidR="002A7EA2">
        <w:t>organic content (alcohol, glucose, carboxylic acids)</w:t>
      </w:r>
      <w:r w:rsidR="00967269">
        <w:t>. Some treatments include</w:t>
      </w:r>
      <w:r w:rsidR="002A7EA2">
        <w:t xml:space="preserve"> </w:t>
      </w:r>
      <w:r w:rsidR="00615F39">
        <w:t>physical</w:t>
      </w:r>
      <w:r w:rsidR="002A7EA2">
        <w:t>-chemical methods</w:t>
      </w:r>
      <w:r w:rsidR="00307E1A">
        <w:t xml:space="preserve"> (adsorption, coagulation, oxidation, ozonation, electrolysis, reverse osmosis, ultrafiltration</w:t>
      </w:r>
      <w:r w:rsidR="00B60327">
        <w:t>,</w:t>
      </w:r>
      <w:r w:rsidR="00307E1A">
        <w:t xml:space="preserve"> and nanofiltration)</w:t>
      </w:r>
      <w:r w:rsidR="002A7EA2">
        <w:t>, biological processes</w:t>
      </w:r>
      <w:r w:rsidR="00307E1A">
        <w:t xml:space="preserve"> (aerobic and anaerobic)</w:t>
      </w:r>
      <w:r w:rsidR="002A7EA2">
        <w:t>, a</w:t>
      </w:r>
      <w:r w:rsidR="00615F39">
        <w:t xml:space="preserve">s well as </w:t>
      </w:r>
      <w:r w:rsidR="002A7EA2">
        <w:t>a combination of them</w:t>
      </w:r>
      <w:r w:rsidR="00A153B2">
        <w:t xml:space="preserve"> (Ratna S et al., 2021)</w:t>
      </w:r>
      <w:r w:rsidR="002A7EA2">
        <w:t xml:space="preserve">. </w:t>
      </w:r>
      <w:r w:rsidR="00967269">
        <w:t xml:space="preserve">For instance, </w:t>
      </w:r>
      <w:r w:rsidR="00B11E90">
        <w:t>Wagh et al. (2020) perform</w:t>
      </w:r>
      <w:r w:rsidR="00967269">
        <w:t>ed</w:t>
      </w:r>
      <w:r w:rsidR="00B11E90">
        <w:t xml:space="preserve"> </w:t>
      </w:r>
      <w:r w:rsidR="00B60327">
        <w:t>a</w:t>
      </w:r>
      <w:r w:rsidR="00B11E90">
        <w:t xml:space="preserve"> reduction of 94.88 % Chemical Oxygen Demand</w:t>
      </w:r>
      <w:r w:rsidR="003F64DF">
        <w:t xml:space="preserve"> (</w:t>
      </w:r>
      <w:r w:rsidR="003F64DF">
        <w:t>COD</w:t>
      </w:r>
      <w:r w:rsidR="00B11E90">
        <w:t>) by using electrocoagulation; Wilk et al. (2019) eliminate</w:t>
      </w:r>
      <w:r w:rsidR="00967269">
        <w:t>d</w:t>
      </w:r>
      <w:r w:rsidR="00B11E90">
        <w:t xml:space="preserve"> 62 % color in vinasse by employing </w:t>
      </w:r>
      <w:r w:rsidR="00B60327">
        <w:rPr>
          <w:i/>
          <w:iCs/>
        </w:rPr>
        <w:t>Lactobacillus</w:t>
      </w:r>
      <w:r w:rsidR="00B11E90">
        <w:t xml:space="preserve"> and </w:t>
      </w:r>
      <w:proofErr w:type="spellStart"/>
      <w:r w:rsidR="00B11E90" w:rsidRPr="006E60F6">
        <w:rPr>
          <w:i/>
          <w:iCs/>
        </w:rPr>
        <w:t>Pediococus</w:t>
      </w:r>
      <w:proofErr w:type="spellEnd"/>
      <w:r w:rsidR="00B5068B">
        <w:t>;</w:t>
      </w:r>
      <w:r w:rsidR="00B11E90">
        <w:t xml:space="preserve"> </w:t>
      </w:r>
      <w:r w:rsidR="00B5068B">
        <w:t>in the field of bioenergy, Buitron et al. (2019) generate</w:t>
      </w:r>
      <w:r w:rsidR="00967269">
        <w:t>d</w:t>
      </w:r>
      <w:r w:rsidR="00B5068B">
        <w:t xml:space="preserve"> biogas from wine effluent by working with methanogenic microorganisms.</w:t>
      </w:r>
    </w:p>
    <w:p w14:paraId="37E3EA43" w14:textId="77777777" w:rsidR="00B5068B" w:rsidRDefault="00B5068B" w:rsidP="008D2649">
      <w:pPr>
        <w:pStyle w:val="Els-body-text"/>
      </w:pPr>
    </w:p>
    <w:p w14:paraId="44897912" w14:textId="108EDBBA" w:rsidR="00F72C61" w:rsidRPr="002D193D" w:rsidRDefault="00967269" w:rsidP="008D2649">
      <w:pPr>
        <w:pStyle w:val="Els-body-text"/>
      </w:pPr>
      <w:r>
        <w:t xml:space="preserve">All the reported works related </w:t>
      </w:r>
      <w:r w:rsidR="00B60327">
        <w:t>to</w:t>
      </w:r>
      <w:r>
        <w:t xml:space="preserve"> the treatment of this wastewater </w:t>
      </w:r>
      <w:r w:rsidR="00861D04">
        <w:t xml:space="preserve">involve the </w:t>
      </w:r>
      <w:r w:rsidR="00A153B2">
        <w:t>methods aforementioned</w:t>
      </w:r>
      <w:r w:rsidR="006E60F6">
        <w:t xml:space="preserve">. Indeed, </w:t>
      </w:r>
      <w:proofErr w:type="spellStart"/>
      <w:r w:rsidR="006E60F6">
        <w:t>Kopsahelis</w:t>
      </w:r>
      <w:proofErr w:type="spellEnd"/>
      <w:r w:rsidR="006E60F6">
        <w:t xml:space="preserve"> et al. (2018) proposed a biorefinery scheme to obtain polyphenols, tartaric salts</w:t>
      </w:r>
      <w:r w:rsidR="00B60327">
        <w:t>,</w:t>
      </w:r>
      <w:r w:rsidR="006E60F6">
        <w:t xml:space="preserve"> and ethanol from grape lees, which are represented by dead yeast, and whey. H</w:t>
      </w:r>
      <w:r w:rsidR="00696F93">
        <w:t>owever,</w:t>
      </w:r>
      <w:r w:rsidR="00861D04">
        <w:t xml:space="preserve"> no one has employed the concept of biorefinery to valorize wine effluent</w:t>
      </w:r>
      <w:r w:rsidR="006E60F6">
        <w:t>s</w:t>
      </w:r>
      <w:r w:rsidR="00861D04">
        <w:t>, to obtain add-value products</w:t>
      </w:r>
      <w:r w:rsidR="00B60327">
        <w:t>,</w:t>
      </w:r>
      <w:r w:rsidR="00861D04">
        <w:t xml:space="preserve"> and to produce a wide variety of biofuels, simultaneously. </w:t>
      </w:r>
      <w:r w:rsidR="006E60F6">
        <w:t>Therefore, t</w:t>
      </w:r>
      <w:r w:rsidR="00307E1A">
        <w:t>he</w:t>
      </w:r>
      <w:r w:rsidR="00F72C61">
        <w:t xml:space="preserve"> research aim is to</w:t>
      </w:r>
      <w:r w:rsidR="00F72C61" w:rsidRPr="00F72C61">
        <w:t xml:space="preserve"> valorize</w:t>
      </w:r>
      <w:r w:rsidR="00F72C61">
        <w:t xml:space="preserve"> </w:t>
      </w:r>
      <w:r w:rsidR="00F72C61" w:rsidRPr="00F72C61">
        <w:t xml:space="preserve">wine effluents through a biorefinery scheme </w:t>
      </w:r>
      <w:r w:rsidR="00F72C61">
        <w:t>to</w:t>
      </w:r>
      <w:r w:rsidR="00F72C61" w:rsidRPr="00F72C61">
        <w:t xml:space="preserve"> generate biofuels and value-added products.</w:t>
      </w:r>
    </w:p>
    <w:p w14:paraId="144DE699" w14:textId="130E75C1" w:rsidR="008D2649" w:rsidRDefault="000D46BC" w:rsidP="008D2649">
      <w:pPr>
        <w:pStyle w:val="Els-1storder-head"/>
      </w:pPr>
      <w:r>
        <w:t>Methodology</w:t>
      </w:r>
    </w:p>
    <w:p w14:paraId="77E4E5F5" w14:textId="4F19A9EA" w:rsidR="004725D2" w:rsidRDefault="00C524F6" w:rsidP="004725D2">
      <w:pPr>
        <w:pStyle w:val="Els-body-text"/>
        <w:rPr>
          <w:lang w:val="en-GB"/>
        </w:rPr>
      </w:pPr>
      <w:r>
        <w:t xml:space="preserve">The second column of </w:t>
      </w:r>
      <w:r w:rsidR="004725D2">
        <w:rPr>
          <w:lang w:val="en-GB"/>
        </w:rPr>
        <w:t xml:space="preserve">Table 1 shows the </w:t>
      </w:r>
      <w:r w:rsidR="00D65EA3">
        <w:rPr>
          <w:lang w:val="en-GB"/>
        </w:rPr>
        <w:t xml:space="preserve">composition of the wine effluent considered as </w:t>
      </w:r>
      <w:r w:rsidR="004725D2">
        <w:rPr>
          <w:lang w:val="en-GB"/>
        </w:rPr>
        <w:t>case study</w:t>
      </w:r>
      <w:r w:rsidR="00D65EA3">
        <w:rPr>
          <w:lang w:val="en-GB"/>
        </w:rPr>
        <w:t xml:space="preserve">, </w:t>
      </w:r>
      <w:r w:rsidR="004725D2">
        <w:rPr>
          <w:lang w:val="en-GB"/>
        </w:rPr>
        <w:t>which represents a possible scenario in Baja California State (</w:t>
      </w:r>
      <w:r>
        <w:rPr>
          <w:lang w:val="en-GB"/>
        </w:rPr>
        <w:t>t</w:t>
      </w:r>
      <w:r w:rsidR="004725D2">
        <w:rPr>
          <w:lang w:val="en-GB"/>
        </w:rPr>
        <w:t>he main wine producer in México). It is important to mention that solids are represented by cellulose (C</w:t>
      </w:r>
      <w:r w:rsidR="004725D2">
        <w:rPr>
          <w:vertAlign w:val="subscript"/>
          <w:lang w:val="en-GB"/>
        </w:rPr>
        <w:t>6</w:t>
      </w:r>
      <w:r w:rsidR="004725D2">
        <w:rPr>
          <w:lang w:val="en-GB"/>
        </w:rPr>
        <w:t>H</w:t>
      </w:r>
      <w:r w:rsidR="004725D2">
        <w:rPr>
          <w:vertAlign w:val="subscript"/>
          <w:lang w:val="en-GB"/>
        </w:rPr>
        <w:t>10</w:t>
      </w:r>
      <w:r w:rsidR="004725D2">
        <w:rPr>
          <w:lang w:val="en-GB"/>
        </w:rPr>
        <w:t>O</w:t>
      </w:r>
      <w:r w:rsidR="004725D2">
        <w:rPr>
          <w:vertAlign w:val="subscript"/>
          <w:lang w:val="en-GB"/>
        </w:rPr>
        <w:t>5</w:t>
      </w:r>
      <w:r w:rsidR="004725D2">
        <w:rPr>
          <w:lang w:val="en-GB"/>
        </w:rPr>
        <w:t>), hemicellulose (C</w:t>
      </w:r>
      <w:r w:rsidR="004725D2">
        <w:rPr>
          <w:vertAlign w:val="subscript"/>
          <w:lang w:val="en-GB"/>
        </w:rPr>
        <w:t>5</w:t>
      </w:r>
      <w:r w:rsidR="004725D2">
        <w:rPr>
          <w:lang w:val="en-GB"/>
        </w:rPr>
        <w:t>H</w:t>
      </w:r>
      <w:r w:rsidR="004725D2">
        <w:rPr>
          <w:vertAlign w:val="subscript"/>
          <w:lang w:val="en-GB"/>
        </w:rPr>
        <w:t>8</w:t>
      </w:r>
      <w:r w:rsidR="004725D2">
        <w:rPr>
          <w:lang w:val="en-GB"/>
        </w:rPr>
        <w:t>O</w:t>
      </w:r>
      <w:r w:rsidR="004725D2">
        <w:rPr>
          <w:vertAlign w:val="subscript"/>
          <w:lang w:val="en-GB"/>
        </w:rPr>
        <w:t>4</w:t>
      </w:r>
      <w:r w:rsidR="004725D2">
        <w:rPr>
          <w:lang w:val="en-GB"/>
        </w:rPr>
        <w:t>), lignin, and lees (dead yeast, CH</w:t>
      </w:r>
      <w:r w:rsidR="004725D2" w:rsidRPr="008F46AC">
        <w:rPr>
          <w:vertAlign w:val="subscript"/>
          <w:lang w:val="en-GB"/>
        </w:rPr>
        <w:t>1.83</w:t>
      </w:r>
      <w:r w:rsidR="004725D2">
        <w:rPr>
          <w:lang w:val="en-GB"/>
        </w:rPr>
        <w:t>O</w:t>
      </w:r>
      <w:r w:rsidR="004725D2" w:rsidRPr="008F46AC">
        <w:rPr>
          <w:vertAlign w:val="subscript"/>
          <w:lang w:val="en-GB"/>
        </w:rPr>
        <w:t>0.56</w:t>
      </w:r>
      <w:r w:rsidR="004725D2">
        <w:rPr>
          <w:lang w:val="en-GB"/>
        </w:rPr>
        <w:t>N</w:t>
      </w:r>
      <w:r w:rsidR="004725D2" w:rsidRPr="008F46AC">
        <w:rPr>
          <w:vertAlign w:val="subscript"/>
          <w:lang w:val="en-GB"/>
        </w:rPr>
        <w:t>0.17</w:t>
      </w:r>
      <w:r w:rsidR="004725D2">
        <w:rPr>
          <w:lang w:val="en-GB"/>
        </w:rPr>
        <w:t>) (Wooley, et al. 1996).</w:t>
      </w:r>
    </w:p>
    <w:p w14:paraId="2356DCAB" w14:textId="77777777" w:rsidR="004725D2" w:rsidRDefault="004725D2" w:rsidP="004725D2">
      <w:pPr>
        <w:pStyle w:val="Els-body-text"/>
        <w:rPr>
          <w:lang w:val="en-GB"/>
        </w:rPr>
      </w:pPr>
    </w:p>
    <w:tbl>
      <w:tblPr>
        <w:tblStyle w:val="TableGrid"/>
        <w:tblW w:w="6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48"/>
        <w:gridCol w:w="1748"/>
        <w:gridCol w:w="1749"/>
      </w:tblGrid>
      <w:tr w:rsidR="004725D2" w:rsidRPr="00B25FD7" w14:paraId="30B22C32" w14:textId="77777777" w:rsidTr="00473760">
        <w:tc>
          <w:tcPr>
            <w:tcW w:w="6946" w:type="dxa"/>
            <w:gridSpan w:val="4"/>
          </w:tcPr>
          <w:p w14:paraId="565C5EEA" w14:textId="77777777" w:rsidR="004725D2" w:rsidRPr="008D4793" w:rsidRDefault="004725D2" w:rsidP="00473760">
            <w:pPr>
              <w:pStyle w:val="Els-body-text"/>
              <w:rPr>
                <w:b/>
                <w:bCs/>
                <w:highlight w:val="yellow"/>
              </w:rPr>
            </w:pPr>
            <w:r w:rsidRPr="008D4793">
              <w:rPr>
                <w:b/>
                <w:bCs/>
              </w:rPr>
              <w:t>Table 1.- Comparison between feed stream for both schemes, treated water from biorefinery and digestor.</w:t>
            </w:r>
          </w:p>
        </w:tc>
      </w:tr>
      <w:tr w:rsidR="004725D2" w:rsidRPr="008D4793" w14:paraId="7CE04EBF" w14:textId="77777777" w:rsidTr="00473760">
        <w:trPr>
          <w:trHeight w:val="5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56574D" w14:textId="77777777" w:rsidR="004725D2" w:rsidRPr="008D4793" w:rsidRDefault="004725D2" w:rsidP="00473760">
            <w:pPr>
              <w:pStyle w:val="Els-body-text"/>
              <w:jc w:val="center"/>
              <w:rPr>
                <w:b/>
                <w:bCs/>
                <w:sz w:val="18"/>
                <w:szCs w:val="18"/>
              </w:rPr>
            </w:pPr>
            <w:r w:rsidRPr="008D4793">
              <w:rPr>
                <w:b/>
                <w:bCs/>
                <w:sz w:val="18"/>
                <w:szCs w:val="18"/>
              </w:rPr>
              <w:t>Parameter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14:paraId="115FF659" w14:textId="77777777" w:rsidR="004725D2" w:rsidRPr="008D4793" w:rsidRDefault="004725D2" w:rsidP="00473760">
            <w:pPr>
              <w:pStyle w:val="Els-body-text"/>
              <w:jc w:val="center"/>
              <w:rPr>
                <w:b/>
                <w:bCs/>
                <w:sz w:val="18"/>
                <w:szCs w:val="18"/>
              </w:rPr>
            </w:pPr>
            <w:r w:rsidRPr="008D4793">
              <w:rPr>
                <w:b/>
                <w:bCs/>
                <w:sz w:val="18"/>
                <w:szCs w:val="18"/>
              </w:rPr>
              <w:t>Wine effluent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14:paraId="297A71DA" w14:textId="77777777" w:rsidR="004725D2" w:rsidRPr="008D4793" w:rsidRDefault="004725D2" w:rsidP="00473760">
            <w:pPr>
              <w:pStyle w:val="Els-body-text"/>
              <w:jc w:val="center"/>
              <w:rPr>
                <w:b/>
                <w:bCs/>
                <w:sz w:val="18"/>
                <w:szCs w:val="18"/>
              </w:rPr>
            </w:pPr>
            <w:r w:rsidRPr="008D4793">
              <w:rPr>
                <w:b/>
                <w:bCs/>
                <w:sz w:val="18"/>
                <w:szCs w:val="18"/>
              </w:rPr>
              <w:t>Treated water III (Biorefinery)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14:paraId="596E708A" w14:textId="77777777" w:rsidR="004725D2" w:rsidRPr="008D4793" w:rsidRDefault="004725D2" w:rsidP="00473760">
            <w:pPr>
              <w:pStyle w:val="Els-body-text"/>
              <w:jc w:val="center"/>
              <w:rPr>
                <w:b/>
                <w:bCs/>
                <w:sz w:val="18"/>
                <w:szCs w:val="18"/>
              </w:rPr>
            </w:pPr>
            <w:r w:rsidRPr="008D4793">
              <w:rPr>
                <w:b/>
                <w:bCs/>
                <w:sz w:val="18"/>
                <w:szCs w:val="18"/>
              </w:rPr>
              <w:t>Treated water (Digestor)</w:t>
            </w:r>
          </w:p>
        </w:tc>
      </w:tr>
      <w:tr w:rsidR="004725D2" w:rsidRPr="008D4793" w14:paraId="6656763A" w14:textId="77777777" w:rsidTr="00473760">
        <w:trPr>
          <w:trHeight w:val="5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9F5D0" w14:textId="77777777" w:rsidR="004725D2" w:rsidRPr="008D4793" w:rsidRDefault="004725D2" w:rsidP="00473760">
            <w:pPr>
              <w:pStyle w:val="Els-body-text"/>
              <w:jc w:val="left"/>
              <w:rPr>
                <w:sz w:val="18"/>
                <w:szCs w:val="18"/>
              </w:rPr>
            </w:pPr>
            <w:r w:rsidRPr="008D4793">
              <w:rPr>
                <w:sz w:val="18"/>
                <w:szCs w:val="18"/>
              </w:rPr>
              <w:t>Mass flow (kg/h)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81349" w14:textId="77777777" w:rsidR="004725D2" w:rsidRPr="008D4793" w:rsidRDefault="004725D2" w:rsidP="00473760">
            <w:pPr>
              <w:pStyle w:val="Els-body-text"/>
              <w:jc w:val="center"/>
              <w:rPr>
                <w:sz w:val="18"/>
                <w:szCs w:val="18"/>
              </w:rPr>
            </w:pPr>
            <w:r w:rsidRPr="008D4793">
              <w:rPr>
                <w:sz w:val="18"/>
                <w:szCs w:val="18"/>
              </w:rPr>
              <w:t>10,000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8D8D9" w14:textId="77777777" w:rsidR="004725D2" w:rsidRPr="008D4793" w:rsidRDefault="004725D2" w:rsidP="00473760">
            <w:pPr>
              <w:pStyle w:val="Els-body-text"/>
              <w:jc w:val="center"/>
              <w:rPr>
                <w:sz w:val="18"/>
                <w:szCs w:val="18"/>
              </w:rPr>
            </w:pPr>
            <w:r w:rsidRPr="008D4793">
              <w:rPr>
                <w:sz w:val="18"/>
                <w:szCs w:val="18"/>
              </w:rPr>
              <w:t>4,922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3C416" w14:textId="76A5976A" w:rsidR="004725D2" w:rsidRPr="008D4793" w:rsidRDefault="004725D2" w:rsidP="00473760">
            <w:pPr>
              <w:pStyle w:val="Els-body-text"/>
              <w:jc w:val="center"/>
              <w:rPr>
                <w:sz w:val="18"/>
                <w:szCs w:val="18"/>
              </w:rPr>
            </w:pPr>
            <w:r w:rsidRPr="008D4793">
              <w:rPr>
                <w:sz w:val="18"/>
                <w:szCs w:val="18"/>
              </w:rPr>
              <w:t>8</w:t>
            </w:r>
            <w:r w:rsidR="009872D3" w:rsidRPr="008D4793">
              <w:rPr>
                <w:sz w:val="18"/>
                <w:szCs w:val="18"/>
              </w:rPr>
              <w:t>,</w:t>
            </w:r>
            <w:r w:rsidRPr="008D4793">
              <w:rPr>
                <w:sz w:val="18"/>
                <w:szCs w:val="18"/>
              </w:rPr>
              <w:t>959.76</w:t>
            </w:r>
          </w:p>
        </w:tc>
      </w:tr>
      <w:tr w:rsidR="004725D2" w:rsidRPr="008D4793" w14:paraId="587098BC" w14:textId="77777777" w:rsidTr="00473760">
        <w:trPr>
          <w:trHeight w:val="5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2810A" w14:textId="77777777" w:rsidR="004725D2" w:rsidRPr="008D4793" w:rsidRDefault="004725D2" w:rsidP="00473760">
            <w:pPr>
              <w:pStyle w:val="Els-body-text"/>
              <w:jc w:val="left"/>
              <w:rPr>
                <w:sz w:val="18"/>
                <w:szCs w:val="18"/>
              </w:rPr>
            </w:pPr>
            <w:r w:rsidRPr="008D4793">
              <w:rPr>
                <w:sz w:val="18"/>
                <w:szCs w:val="18"/>
              </w:rPr>
              <w:t>Water (% mass)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D1AAC" w14:textId="77777777" w:rsidR="004725D2" w:rsidRPr="008D4793" w:rsidRDefault="004725D2" w:rsidP="00473760">
            <w:pPr>
              <w:pStyle w:val="Els-body-text"/>
              <w:jc w:val="center"/>
              <w:rPr>
                <w:sz w:val="18"/>
                <w:szCs w:val="18"/>
              </w:rPr>
            </w:pPr>
            <w:r w:rsidRPr="008D4793">
              <w:rPr>
                <w:sz w:val="18"/>
                <w:szCs w:val="18"/>
              </w:rPr>
              <w:t>71.76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5219C" w14:textId="77777777" w:rsidR="004725D2" w:rsidRPr="008D4793" w:rsidRDefault="004725D2" w:rsidP="00473760">
            <w:pPr>
              <w:pStyle w:val="Els-body-text"/>
              <w:jc w:val="center"/>
              <w:rPr>
                <w:sz w:val="18"/>
                <w:szCs w:val="18"/>
              </w:rPr>
            </w:pPr>
            <w:r w:rsidRPr="008D4793">
              <w:rPr>
                <w:sz w:val="18"/>
                <w:szCs w:val="18"/>
              </w:rPr>
              <w:t>100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73171" w14:textId="77777777" w:rsidR="004725D2" w:rsidRPr="008D4793" w:rsidRDefault="004725D2" w:rsidP="00473760">
            <w:pPr>
              <w:pStyle w:val="Els-body-text"/>
              <w:jc w:val="center"/>
              <w:rPr>
                <w:sz w:val="18"/>
                <w:szCs w:val="18"/>
              </w:rPr>
            </w:pPr>
            <w:r w:rsidRPr="008D4793">
              <w:rPr>
                <w:sz w:val="18"/>
                <w:szCs w:val="18"/>
              </w:rPr>
              <w:t>77.94</w:t>
            </w:r>
          </w:p>
        </w:tc>
      </w:tr>
      <w:tr w:rsidR="004725D2" w:rsidRPr="008D4793" w14:paraId="5E16816B" w14:textId="77777777" w:rsidTr="00473760">
        <w:trPr>
          <w:trHeight w:val="5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05895" w14:textId="77777777" w:rsidR="004725D2" w:rsidRPr="008D4793" w:rsidRDefault="004725D2" w:rsidP="00473760">
            <w:pPr>
              <w:pStyle w:val="Els-body-text"/>
              <w:jc w:val="left"/>
              <w:rPr>
                <w:sz w:val="18"/>
                <w:szCs w:val="18"/>
              </w:rPr>
            </w:pPr>
            <w:r w:rsidRPr="008D4793">
              <w:rPr>
                <w:sz w:val="18"/>
                <w:szCs w:val="18"/>
              </w:rPr>
              <w:t>Ethanol (% mass)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348BD" w14:textId="77777777" w:rsidR="004725D2" w:rsidRPr="008D4793" w:rsidRDefault="004725D2" w:rsidP="00473760">
            <w:pPr>
              <w:pStyle w:val="Els-body-text"/>
              <w:jc w:val="center"/>
              <w:rPr>
                <w:sz w:val="18"/>
                <w:szCs w:val="18"/>
              </w:rPr>
            </w:pPr>
            <w:r w:rsidRPr="008D4793">
              <w:rPr>
                <w:sz w:val="18"/>
                <w:szCs w:val="18"/>
              </w:rPr>
              <w:t>7.39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A30D5" w14:textId="77777777" w:rsidR="004725D2" w:rsidRPr="008D4793" w:rsidRDefault="004725D2" w:rsidP="00473760">
            <w:pPr>
              <w:pStyle w:val="Els-body-text"/>
              <w:jc w:val="center"/>
              <w:rPr>
                <w:sz w:val="18"/>
                <w:szCs w:val="18"/>
              </w:rPr>
            </w:pPr>
            <w:r w:rsidRPr="008D4793">
              <w:rPr>
                <w:sz w:val="18"/>
                <w:szCs w:val="18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041BC" w14:textId="77777777" w:rsidR="004725D2" w:rsidRPr="008D4793" w:rsidRDefault="004725D2" w:rsidP="00473760">
            <w:pPr>
              <w:pStyle w:val="Els-body-text"/>
              <w:jc w:val="center"/>
              <w:rPr>
                <w:sz w:val="18"/>
                <w:szCs w:val="18"/>
              </w:rPr>
            </w:pPr>
            <w:r w:rsidRPr="008D4793">
              <w:rPr>
                <w:sz w:val="18"/>
                <w:szCs w:val="18"/>
              </w:rPr>
              <w:t>4.47</w:t>
            </w:r>
          </w:p>
        </w:tc>
      </w:tr>
      <w:tr w:rsidR="004725D2" w:rsidRPr="008D4793" w14:paraId="192CD441" w14:textId="77777777" w:rsidTr="00473760">
        <w:trPr>
          <w:trHeight w:val="5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FC196" w14:textId="77777777" w:rsidR="004725D2" w:rsidRPr="008D4793" w:rsidRDefault="004725D2" w:rsidP="00473760">
            <w:pPr>
              <w:pStyle w:val="Els-body-text"/>
              <w:jc w:val="left"/>
              <w:rPr>
                <w:sz w:val="18"/>
                <w:szCs w:val="18"/>
              </w:rPr>
            </w:pPr>
            <w:r w:rsidRPr="008D4793">
              <w:rPr>
                <w:sz w:val="18"/>
                <w:szCs w:val="18"/>
              </w:rPr>
              <w:t>Glucose (% mass)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2578D" w14:textId="77777777" w:rsidR="004725D2" w:rsidRPr="008D4793" w:rsidRDefault="004725D2" w:rsidP="00473760">
            <w:pPr>
              <w:pStyle w:val="Els-body-text"/>
              <w:jc w:val="center"/>
              <w:rPr>
                <w:sz w:val="18"/>
                <w:szCs w:val="18"/>
              </w:rPr>
            </w:pPr>
            <w:r w:rsidRPr="008D4793">
              <w:rPr>
                <w:sz w:val="18"/>
                <w:szCs w:val="18"/>
              </w:rPr>
              <w:t>5.26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5C80A" w14:textId="77777777" w:rsidR="004725D2" w:rsidRPr="008D4793" w:rsidRDefault="004725D2" w:rsidP="00473760">
            <w:pPr>
              <w:pStyle w:val="Els-body-text"/>
              <w:jc w:val="center"/>
              <w:rPr>
                <w:sz w:val="18"/>
                <w:szCs w:val="18"/>
              </w:rPr>
            </w:pPr>
            <w:r w:rsidRPr="008D4793">
              <w:rPr>
                <w:sz w:val="18"/>
                <w:szCs w:val="18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7FF60" w14:textId="77777777" w:rsidR="004725D2" w:rsidRPr="008D4793" w:rsidRDefault="004725D2" w:rsidP="00473760">
            <w:pPr>
              <w:pStyle w:val="Els-body-text"/>
              <w:jc w:val="center"/>
              <w:rPr>
                <w:sz w:val="18"/>
                <w:szCs w:val="18"/>
              </w:rPr>
            </w:pPr>
            <w:r w:rsidRPr="008D4793">
              <w:rPr>
                <w:sz w:val="18"/>
                <w:szCs w:val="18"/>
              </w:rPr>
              <w:t>0.33</w:t>
            </w:r>
          </w:p>
        </w:tc>
      </w:tr>
      <w:tr w:rsidR="004725D2" w:rsidRPr="008D4793" w14:paraId="607578BC" w14:textId="77777777" w:rsidTr="00473760">
        <w:trPr>
          <w:trHeight w:val="5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774F0" w14:textId="77777777" w:rsidR="004725D2" w:rsidRPr="008D4793" w:rsidRDefault="004725D2" w:rsidP="00473760">
            <w:pPr>
              <w:pStyle w:val="Els-body-text"/>
              <w:jc w:val="left"/>
              <w:rPr>
                <w:sz w:val="18"/>
                <w:szCs w:val="18"/>
              </w:rPr>
            </w:pPr>
            <w:r w:rsidRPr="008D4793">
              <w:rPr>
                <w:sz w:val="18"/>
                <w:szCs w:val="18"/>
              </w:rPr>
              <w:t>Solid (% mass)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E0549" w14:textId="77777777" w:rsidR="004725D2" w:rsidRPr="008D4793" w:rsidRDefault="004725D2" w:rsidP="00473760">
            <w:pPr>
              <w:pStyle w:val="Els-body-text"/>
              <w:jc w:val="center"/>
              <w:rPr>
                <w:sz w:val="18"/>
                <w:szCs w:val="18"/>
              </w:rPr>
            </w:pPr>
            <w:r w:rsidRPr="008D4793">
              <w:rPr>
                <w:sz w:val="18"/>
                <w:szCs w:val="18"/>
              </w:rPr>
              <w:t>15.59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DA326" w14:textId="77777777" w:rsidR="004725D2" w:rsidRPr="008D4793" w:rsidRDefault="004725D2" w:rsidP="00473760">
            <w:pPr>
              <w:pStyle w:val="Els-body-text"/>
              <w:jc w:val="center"/>
              <w:rPr>
                <w:sz w:val="18"/>
                <w:szCs w:val="18"/>
              </w:rPr>
            </w:pPr>
            <w:r w:rsidRPr="008D4793">
              <w:rPr>
                <w:sz w:val="18"/>
                <w:szCs w:val="18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8DCA5" w14:textId="77777777" w:rsidR="004725D2" w:rsidRPr="008D4793" w:rsidRDefault="004725D2" w:rsidP="00473760">
            <w:pPr>
              <w:pStyle w:val="Els-body-text"/>
              <w:jc w:val="center"/>
              <w:rPr>
                <w:sz w:val="18"/>
                <w:szCs w:val="18"/>
              </w:rPr>
            </w:pPr>
            <w:r w:rsidRPr="008D4793">
              <w:rPr>
                <w:sz w:val="18"/>
                <w:szCs w:val="18"/>
              </w:rPr>
              <w:t>6.96</w:t>
            </w:r>
          </w:p>
        </w:tc>
      </w:tr>
      <w:tr w:rsidR="004725D2" w:rsidRPr="008D4793" w14:paraId="005D8FF6" w14:textId="77777777" w:rsidTr="00473760">
        <w:trPr>
          <w:trHeight w:val="57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5A5B97D" w14:textId="77777777" w:rsidR="004725D2" w:rsidRPr="008D4793" w:rsidRDefault="004725D2" w:rsidP="00473760">
            <w:pPr>
              <w:pStyle w:val="Els-body-text"/>
              <w:rPr>
                <w:sz w:val="18"/>
                <w:szCs w:val="18"/>
              </w:rPr>
            </w:pPr>
            <w:r w:rsidRPr="008D4793">
              <w:rPr>
                <w:sz w:val="18"/>
                <w:szCs w:val="18"/>
              </w:rPr>
              <w:t>COD (PPM)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vAlign w:val="center"/>
          </w:tcPr>
          <w:p w14:paraId="11C9A730" w14:textId="77777777" w:rsidR="004725D2" w:rsidRPr="008D4793" w:rsidRDefault="004725D2" w:rsidP="00473760">
            <w:pPr>
              <w:pStyle w:val="Els-body-text"/>
              <w:jc w:val="center"/>
              <w:rPr>
                <w:sz w:val="18"/>
                <w:szCs w:val="18"/>
              </w:rPr>
            </w:pPr>
            <w:r w:rsidRPr="008D4793">
              <w:rPr>
                <w:sz w:val="18"/>
                <w:szCs w:val="18"/>
              </w:rPr>
              <w:t>210,052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vAlign w:val="center"/>
          </w:tcPr>
          <w:p w14:paraId="001F8773" w14:textId="77777777" w:rsidR="004725D2" w:rsidRPr="008D4793" w:rsidRDefault="004725D2" w:rsidP="00473760">
            <w:pPr>
              <w:pStyle w:val="Els-body-text"/>
              <w:jc w:val="center"/>
              <w:rPr>
                <w:sz w:val="18"/>
                <w:szCs w:val="18"/>
              </w:rPr>
            </w:pPr>
            <w:r w:rsidRPr="008D4793">
              <w:rPr>
                <w:sz w:val="18"/>
                <w:szCs w:val="18"/>
              </w:rPr>
              <w:t>29.42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vAlign w:val="center"/>
          </w:tcPr>
          <w:p w14:paraId="549C044B" w14:textId="77777777" w:rsidR="004725D2" w:rsidRPr="008D4793" w:rsidRDefault="004725D2" w:rsidP="00473760">
            <w:pPr>
              <w:pStyle w:val="Els-body-text"/>
              <w:jc w:val="center"/>
              <w:rPr>
                <w:sz w:val="18"/>
                <w:szCs w:val="18"/>
              </w:rPr>
            </w:pPr>
            <w:r w:rsidRPr="008D4793">
              <w:rPr>
                <w:sz w:val="18"/>
                <w:szCs w:val="18"/>
              </w:rPr>
              <w:t>206,105</w:t>
            </w:r>
          </w:p>
        </w:tc>
      </w:tr>
    </w:tbl>
    <w:p w14:paraId="00DE5ECF" w14:textId="77777777" w:rsidR="00DC4548" w:rsidRDefault="00DC4548" w:rsidP="004725D2">
      <w:pPr>
        <w:pStyle w:val="Els-body-text"/>
        <w:rPr>
          <w:lang w:val="en-GB"/>
        </w:rPr>
      </w:pPr>
    </w:p>
    <w:p w14:paraId="37A372BF" w14:textId="628B236C" w:rsidR="004725D2" w:rsidRDefault="004725D2" w:rsidP="004725D2">
      <w:pPr>
        <w:pStyle w:val="Els-body-text"/>
        <w:rPr>
          <w:lang w:val="en-GB"/>
        </w:rPr>
      </w:pPr>
      <w:r>
        <w:rPr>
          <w:lang w:val="en-GB"/>
        </w:rPr>
        <w:t xml:space="preserve">Figure </w:t>
      </w:r>
      <w:r w:rsidR="00C524F6">
        <w:rPr>
          <w:lang w:val="en-GB"/>
        </w:rPr>
        <w:t>1</w:t>
      </w:r>
      <w:r>
        <w:rPr>
          <w:lang w:val="en-GB"/>
        </w:rPr>
        <w:t xml:space="preserve"> represents the conceptual biorefinery. To simulate the process in Aspen Plus, it was used BK-10 (for DC-05 to DC-07), Peng-Robinson (for R-01 and R-02)</w:t>
      </w:r>
      <w:r w:rsidR="00B60327">
        <w:rPr>
          <w:lang w:val="en-GB"/>
        </w:rPr>
        <w:t>,</w:t>
      </w:r>
      <w:r>
        <w:rPr>
          <w:lang w:val="en-GB"/>
        </w:rPr>
        <w:t xml:space="preserve"> and NRTL for the other equipment as thermodynamic models (Carlson, 1996). Besides, for all distillation columns, including </w:t>
      </w:r>
      <w:r w:rsidR="00DC4548">
        <w:rPr>
          <w:lang w:val="en-GB"/>
        </w:rPr>
        <w:t xml:space="preserve">the </w:t>
      </w:r>
      <w:r>
        <w:rPr>
          <w:lang w:val="en-GB"/>
        </w:rPr>
        <w:t>reactive ones, module Rad Frac is used.</w:t>
      </w:r>
      <w:r w:rsidR="00C524F6">
        <w:rPr>
          <w:lang w:val="en-GB"/>
        </w:rPr>
        <w:t xml:space="preserve"> </w:t>
      </w:r>
      <w:r>
        <w:rPr>
          <w:lang w:val="en-GB"/>
        </w:rPr>
        <w:t>In the biorefinery scheme, solids are separated from wine effluent in CN-01. Inside RD-01, glucose reacts to form 5-Hydroxymethyl Furfural (5-HMF),</w:t>
      </w:r>
      <w:r w:rsidRPr="00B72A90">
        <w:rPr>
          <w:lang w:val="en-GB"/>
        </w:rPr>
        <w:t xml:space="preserve"> </w:t>
      </w:r>
      <w:r>
        <w:rPr>
          <w:lang w:val="en-GB"/>
        </w:rPr>
        <w:t>Eq. (</w:t>
      </w:r>
      <w:r w:rsidR="00DF2956">
        <w:rPr>
          <w:lang w:val="en-GB"/>
        </w:rPr>
        <w:t>1</w:t>
      </w:r>
      <w:r>
        <w:rPr>
          <w:lang w:val="en-GB"/>
        </w:rPr>
        <w:t xml:space="preserve">), and then, 5-HMF is converted to </w:t>
      </w:r>
      <w:proofErr w:type="spellStart"/>
      <w:r>
        <w:rPr>
          <w:lang w:val="en-GB"/>
        </w:rPr>
        <w:t>levulinic</w:t>
      </w:r>
      <w:proofErr w:type="spellEnd"/>
      <w:r>
        <w:rPr>
          <w:lang w:val="en-GB"/>
        </w:rPr>
        <w:t xml:space="preserve"> acid and formic acid, Eq. (</w:t>
      </w:r>
      <w:r w:rsidR="00DF2956">
        <w:rPr>
          <w:lang w:val="en-GB"/>
        </w:rPr>
        <w:t>2</w:t>
      </w:r>
      <w:r>
        <w:rPr>
          <w:lang w:val="en-GB"/>
        </w:rPr>
        <w:t>) (Solis, et al. 2022). These products, coming from RD-01 bottom, are separated by DC-01 and DC-02.</w:t>
      </w:r>
    </w:p>
    <w:p w14:paraId="1475CF26" w14:textId="77777777" w:rsidR="004725D2" w:rsidRDefault="004725D2" w:rsidP="004725D2">
      <w:pPr>
        <w:pStyle w:val="Els-body-text"/>
        <w:keepNext/>
      </w:pPr>
      <w:r>
        <w:rPr>
          <w:noProof/>
          <w:lang w:val="es-MX" w:eastAsia="es-MX"/>
        </w:rPr>
        <w:lastRenderedPageBreak/>
        <w:drawing>
          <wp:inline distT="0" distB="0" distL="0" distR="0" wp14:anchorId="2607F770" wp14:editId="726C5C5C">
            <wp:extent cx="4499610" cy="2335530"/>
            <wp:effectExtent l="0" t="0" r="0" b="7620"/>
            <wp:docPr id="1" name="Imagen 4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854811" name="Imagen 4" descr="Diagrama, Esquemático&#10;&#10;Descripción generada automáticamente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89C68" w14:textId="04D0C056" w:rsidR="004725D2" w:rsidRPr="008D4793" w:rsidRDefault="004725D2" w:rsidP="004725D2">
      <w:pPr>
        <w:pStyle w:val="Caption"/>
        <w:jc w:val="center"/>
        <w:rPr>
          <w:sz w:val="20"/>
        </w:rPr>
      </w:pPr>
      <w:r w:rsidRPr="008D4793">
        <w:rPr>
          <w:sz w:val="20"/>
        </w:rPr>
        <w:t xml:space="preserve">Figure </w:t>
      </w:r>
      <w:r w:rsidR="00C524F6" w:rsidRPr="008D4793">
        <w:rPr>
          <w:sz w:val="20"/>
        </w:rPr>
        <w:t>1</w:t>
      </w:r>
      <w:r w:rsidRPr="008D4793">
        <w:rPr>
          <w:sz w:val="20"/>
        </w:rPr>
        <w:t>.- Biorefinery scheme</w:t>
      </w:r>
    </w:p>
    <w:p w14:paraId="27B4ECB8" w14:textId="203C30F1" w:rsidR="004725D2" w:rsidRPr="00447EDD" w:rsidRDefault="004725D2" w:rsidP="004725D2">
      <w:pPr>
        <w:pStyle w:val="Els-caption"/>
        <w:jc w:val="both"/>
        <w:rPr>
          <w:szCs w:val="18"/>
        </w:rPr>
      </w:pPr>
      <w:r w:rsidRPr="00447EDD">
        <w:rPr>
          <w:szCs w:val="18"/>
        </w:rPr>
        <w:t>Where CN= Centrifuge, RD= Reactive distillation column, DC= Distillation column, R= reactor, FT= Flash tank, MX= Mixer, Tb=Turbine, CD= condenser, P= Pump, CP= Compres</w:t>
      </w:r>
      <w:r w:rsidR="00C524F6" w:rsidRPr="00447EDD">
        <w:rPr>
          <w:szCs w:val="18"/>
        </w:rPr>
        <w:t>s</w:t>
      </w:r>
      <w:r w:rsidRPr="00447EDD">
        <w:rPr>
          <w:szCs w:val="18"/>
        </w:rPr>
        <w:t>or, HX= Heat exchanger.</w:t>
      </w:r>
    </w:p>
    <w:p w14:paraId="7B0433AE" w14:textId="77777777" w:rsidR="00DC4548" w:rsidRDefault="00DC4548" w:rsidP="004725D2">
      <w:pPr>
        <w:pStyle w:val="Els-caption"/>
        <w:jc w:val="both"/>
        <w:rPr>
          <w:sz w:val="20"/>
          <w:szCs w:val="22"/>
        </w:rPr>
      </w:pPr>
    </w:p>
    <w:p w14:paraId="62EA0564" w14:textId="7F8776F1" w:rsidR="004725D2" w:rsidRDefault="004725D2" w:rsidP="004725D2">
      <w:pPr>
        <w:pStyle w:val="Els-caption"/>
        <w:jc w:val="both"/>
        <w:rPr>
          <w:sz w:val="20"/>
          <w:szCs w:val="22"/>
        </w:rPr>
      </w:pPr>
      <w:r>
        <w:rPr>
          <w:sz w:val="20"/>
          <w:szCs w:val="22"/>
        </w:rPr>
        <w:t>DC-03 separates all formic acid traces and ethanol/water mixture, 1:1, for sending them to R-01; from the bottom, it obtains the first treated water stream (TW1). In R-01, ethanol dehydration occurs to get ethylene, Eq. (</w:t>
      </w:r>
      <w:r w:rsidR="00DF2956">
        <w:rPr>
          <w:sz w:val="20"/>
          <w:szCs w:val="22"/>
        </w:rPr>
        <w:t>3</w:t>
      </w:r>
      <w:r>
        <w:rPr>
          <w:sz w:val="20"/>
          <w:szCs w:val="22"/>
        </w:rPr>
        <w:t>). The ethylene coming from the DC-04 top reacts in R-02 to form alkenes (C</w:t>
      </w:r>
      <w:r w:rsidRPr="00D10ED6">
        <w:rPr>
          <w:sz w:val="20"/>
          <w:szCs w:val="22"/>
          <w:vertAlign w:val="subscript"/>
        </w:rPr>
        <w:t>2</w:t>
      </w:r>
      <w:r>
        <w:rPr>
          <w:sz w:val="20"/>
          <w:szCs w:val="22"/>
        </w:rPr>
        <w:t xml:space="preserve"> to C</w:t>
      </w:r>
      <w:r w:rsidRPr="00D10ED6">
        <w:rPr>
          <w:sz w:val="20"/>
          <w:szCs w:val="22"/>
          <w:vertAlign w:val="subscript"/>
        </w:rPr>
        <w:t>20</w:t>
      </w:r>
      <w:r w:rsidR="0054057D">
        <w:rPr>
          <w:sz w:val="20"/>
          <w:szCs w:val="22"/>
        </w:rPr>
        <w:t xml:space="preserve">) by </w:t>
      </w:r>
      <w:proofErr w:type="spellStart"/>
      <w:r w:rsidR="0054057D">
        <w:rPr>
          <w:sz w:val="20"/>
          <w:szCs w:val="22"/>
        </w:rPr>
        <w:t>oligomerization</w:t>
      </w:r>
      <w:proofErr w:type="spellEnd"/>
      <w:r w:rsidR="0054057D">
        <w:rPr>
          <w:sz w:val="20"/>
          <w:szCs w:val="22"/>
        </w:rPr>
        <w:t>;</w:t>
      </w:r>
      <w:r>
        <w:rPr>
          <w:sz w:val="20"/>
          <w:szCs w:val="22"/>
        </w:rPr>
        <w:t xml:space="preserve"> this is summarized by Eq. (</w:t>
      </w:r>
      <w:r w:rsidR="00DF2956">
        <w:rPr>
          <w:sz w:val="20"/>
          <w:szCs w:val="22"/>
        </w:rPr>
        <w:t>4</w:t>
      </w:r>
      <w:r>
        <w:rPr>
          <w:sz w:val="20"/>
          <w:szCs w:val="22"/>
        </w:rPr>
        <w:t>). After that, alkanes are developed by hydrogenation process in R-03, Eq. (</w:t>
      </w:r>
      <w:r w:rsidR="00DF2956">
        <w:rPr>
          <w:sz w:val="20"/>
          <w:szCs w:val="22"/>
        </w:rPr>
        <w:t>5</w:t>
      </w:r>
      <w:r>
        <w:rPr>
          <w:sz w:val="20"/>
          <w:szCs w:val="22"/>
        </w:rPr>
        <w:t xml:space="preserve">) (Romero et al., 2022). It is important to mention that the module employed </w:t>
      </w:r>
      <w:r w:rsidR="00B60327">
        <w:rPr>
          <w:sz w:val="20"/>
          <w:szCs w:val="22"/>
        </w:rPr>
        <w:t>in</w:t>
      </w:r>
      <w:r>
        <w:rPr>
          <w:sz w:val="20"/>
          <w:szCs w:val="22"/>
        </w:rPr>
        <w:t xml:space="preserve"> these reactors is R-Stoic. The H</w:t>
      </w:r>
      <w:r>
        <w:rPr>
          <w:sz w:val="20"/>
          <w:szCs w:val="22"/>
          <w:vertAlign w:val="subscript"/>
        </w:rPr>
        <w:t>2</w:t>
      </w:r>
      <w:r>
        <w:rPr>
          <w:sz w:val="20"/>
          <w:szCs w:val="22"/>
        </w:rPr>
        <w:t xml:space="preserve"> excess is recirculated by using FT-01 and the biofuels are separated by distillation arrangement DC-05, DC-06, </w:t>
      </w:r>
      <w:r w:rsidR="00B60327">
        <w:rPr>
          <w:sz w:val="20"/>
          <w:szCs w:val="22"/>
        </w:rPr>
        <w:t xml:space="preserve">and </w:t>
      </w:r>
      <w:r>
        <w:rPr>
          <w:sz w:val="20"/>
          <w:szCs w:val="22"/>
        </w:rPr>
        <w:t xml:space="preserve">DC-07. The biofuels are defined as </w:t>
      </w:r>
      <w:r w:rsidR="00C524F6">
        <w:rPr>
          <w:sz w:val="20"/>
          <w:szCs w:val="22"/>
        </w:rPr>
        <w:t>l</w:t>
      </w:r>
      <w:r>
        <w:rPr>
          <w:sz w:val="20"/>
          <w:szCs w:val="22"/>
        </w:rPr>
        <w:t>ight gas (C</w:t>
      </w:r>
      <w:r w:rsidRPr="00D10ED6">
        <w:rPr>
          <w:sz w:val="20"/>
          <w:szCs w:val="22"/>
          <w:vertAlign w:val="subscript"/>
        </w:rPr>
        <w:t>2</w:t>
      </w:r>
      <w:r>
        <w:rPr>
          <w:sz w:val="20"/>
          <w:szCs w:val="22"/>
        </w:rPr>
        <w:t xml:space="preserve"> to C</w:t>
      </w:r>
      <w:r w:rsidRPr="00D10ED6">
        <w:rPr>
          <w:sz w:val="20"/>
          <w:szCs w:val="22"/>
          <w:vertAlign w:val="subscript"/>
        </w:rPr>
        <w:t>4</w:t>
      </w:r>
      <w:r>
        <w:rPr>
          <w:sz w:val="20"/>
          <w:szCs w:val="22"/>
        </w:rPr>
        <w:t xml:space="preserve">), </w:t>
      </w:r>
      <w:r w:rsidR="00C524F6">
        <w:rPr>
          <w:sz w:val="20"/>
          <w:szCs w:val="22"/>
        </w:rPr>
        <w:t>n</w:t>
      </w:r>
      <w:r>
        <w:rPr>
          <w:sz w:val="20"/>
          <w:szCs w:val="22"/>
        </w:rPr>
        <w:t>aphtha (C</w:t>
      </w:r>
      <w:r w:rsidRPr="00D10ED6">
        <w:rPr>
          <w:sz w:val="20"/>
          <w:szCs w:val="22"/>
          <w:vertAlign w:val="subscript"/>
        </w:rPr>
        <w:t>5</w:t>
      </w:r>
      <w:r>
        <w:rPr>
          <w:sz w:val="20"/>
          <w:szCs w:val="22"/>
        </w:rPr>
        <w:t>-C</w:t>
      </w:r>
      <w:r w:rsidRPr="00D10ED6">
        <w:rPr>
          <w:sz w:val="20"/>
          <w:szCs w:val="22"/>
          <w:vertAlign w:val="subscript"/>
        </w:rPr>
        <w:t>8</w:t>
      </w:r>
      <w:r>
        <w:rPr>
          <w:sz w:val="20"/>
          <w:szCs w:val="22"/>
        </w:rPr>
        <w:t xml:space="preserve">), </w:t>
      </w:r>
      <w:r w:rsidR="00C524F6">
        <w:rPr>
          <w:sz w:val="20"/>
          <w:szCs w:val="22"/>
        </w:rPr>
        <w:t>b</w:t>
      </w:r>
      <w:r>
        <w:rPr>
          <w:sz w:val="20"/>
          <w:szCs w:val="22"/>
        </w:rPr>
        <w:t>iojet</w:t>
      </w:r>
      <w:r w:rsidR="00AD6ACC">
        <w:rPr>
          <w:sz w:val="20"/>
          <w:szCs w:val="22"/>
        </w:rPr>
        <w:t xml:space="preserve"> fuel</w:t>
      </w:r>
      <w:r>
        <w:rPr>
          <w:sz w:val="20"/>
          <w:szCs w:val="22"/>
        </w:rPr>
        <w:t xml:space="preserve"> (C</w:t>
      </w:r>
      <w:r w:rsidRPr="00D10ED6">
        <w:rPr>
          <w:sz w:val="20"/>
          <w:szCs w:val="22"/>
          <w:vertAlign w:val="subscript"/>
        </w:rPr>
        <w:t>9</w:t>
      </w:r>
      <w:r>
        <w:rPr>
          <w:sz w:val="20"/>
          <w:szCs w:val="22"/>
        </w:rPr>
        <w:t>-C</w:t>
      </w:r>
      <w:r w:rsidRPr="00D10ED6">
        <w:rPr>
          <w:sz w:val="20"/>
          <w:szCs w:val="22"/>
          <w:vertAlign w:val="subscript"/>
        </w:rPr>
        <w:t>16</w:t>
      </w:r>
      <w:r>
        <w:rPr>
          <w:sz w:val="20"/>
          <w:szCs w:val="22"/>
        </w:rPr>
        <w:t>)</w:t>
      </w:r>
      <w:r w:rsidR="00AD6ACC">
        <w:rPr>
          <w:sz w:val="20"/>
          <w:szCs w:val="22"/>
        </w:rPr>
        <w:t>,</w:t>
      </w:r>
      <w:r>
        <w:rPr>
          <w:sz w:val="20"/>
          <w:szCs w:val="22"/>
        </w:rPr>
        <w:t xml:space="preserve"> and green diesel (C</w:t>
      </w:r>
      <w:r w:rsidRPr="00D10ED6">
        <w:rPr>
          <w:sz w:val="20"/>
          <w:szCs w:val="22"/>
          <w:vertAlign w:val="subscript"/>
        </w:rPr>
        <w:t>17</w:t>
      </w:r>
      <w:r>
        <w:rPr>
          <w:sz w:val="20"/>
          <w:szCs w:val="22"/>
        </w:rPr>
        <w:t>-C</w:t>
      </w:r>
      <w:r w:rsidRPr="00D10ED6">
        <w:rPr>
          <w:sz w:val="20"/>
          <w:szCs w:val="22"/>
          <w:vertAlign w:val="subscript"/>
        </w:rPr>
        <w:t>20</w:t>
      </w:r>
      <w:r>
        <w:rPr>
          <w:sz w:val="20"/>
          <w:szCs w:val="22"/>
        </w:rPr>
        <w:t>).</w:t>
      </w:r>
    </w:p>
    <w:p w14:paraId="3BA2EF1C" w14:textId="77777777" w:rsidR="0054057D" w:rsidRDefault="0054057D" w:rsidP="004725D2">
      <w:pPr>
        <w:pStyle w:val="Els-caption"/>
        <w:jc w:val="both"/>
        <w:rPr>
          <w:sz w:val="20"/>
          <w:szCs w:val="22"/>
        </w:rPr>
      </w:pPr>
    </w:p>
    <w:p w14:paraId="46DDB029" w14:textId="39B388EC" w:rsidR="004725D2" w:rsidRPr="00B72A90" w:rsidRDefault="004725D2" w:rsidP="004725D2">
      <w:pPr>
        <w:pStyle w:val="Els-caption"/>
        <w:jc w:val="both"/>
        <w:rPr>
          <w:sz w:val="20"/>
          <w:szCs w:val="22"/>
        </w:rPr>
      </w:pPr>
      <w:r>
        <w:rPr>
          <w:sz w:val="20"/>
          <w:szCs w:val="22"/>
        </w:rPr>
        <w:t>Water coming from the mixture of DC-04 bottom stream is separated by DC-08 to form treated water II (TW2). T</w:t>
      </w:r>
      <w:r w:rsidR="00C524F6">
        <w:rPr>
          <w:sz w:val="20"/>
          <w:szCs w:val="22"/>
        </w:rPr>
        <w:t>r</w:t>
      </w:r>
      <w:r>
        <w:rPr>
          <w:sz w:val="20"/>
          <w:szCs w:val="22"/>
        </w:rPr>
        <w:t xml:space="preserve">eated water III </w:t>
      </w:r>
      <w:r w:rsidR="007D2FF0">
        <w:rPr>
          <w:sz w:val="20"/>
          <w:szCs w:val="22"/>
        </w:rPr>
        <w:t xml:space="preserve">(TW3) </w:t>
      </w:r>
      <w:r>
        <w:rPr>
          <w:sz w:val="20"/>
          <w:szCs w:val="22"/>
        </w:rPr>
        <w:t xml:space="preserve">is constituted by the sum of TW1 and TW2. The remaining components are </w:t>
      </w:r>
      <w:r w:rsidR="00AD6ACC">
        <w:rPr>
          <w:sz w:val="20"/>
          <w:szCs w:val="22"/>
        </w:rPr>
        <w:t>sent</w:t>
      </w:r>
      <w:r>
        <w:rPr>
          <w:sz w:val="20"/>
          <w:szCs w:val="22"/>
        </w:rPr>
        <w:t xml:space="preserve"> to DC-09. A mixture of ethanol/water, obtained from the DC-09 bottom, feeds RD-02; where bioethanol, propylene glycol</w:t>
      </w:r>
      <w:r w:rsidR="00AD6ACC">
        <w:rPr>
          <w:sz w:val="20"/>
          <w:szCs w:val="22"/>
        </w:rPr>
        <w:t>,</w:t>
      </w:r>
      <w:r>
        <w:rPr>
          <w:sz w:val="20"/>
          <w:szCs w:val="22"/>
        </w:rPr>
        <w:t xml:space="preserve"> and </w:t>
      </w:r>
      <w:proofErr w:type="spellStart"/>
      <w:r>
        <w:rPr>
          <w:sz w:val="20"/>
          <w:szCs w:val="22"/>
        </w:rPr>
        <w:t>dipropylene</w:t>
      </w:r>
      <w:proofErr w:type="spellEnd"/>
      <w:r>
        <w:rPr>
          <w:sz w:val="20"/>
          <w:szCs w:val="22"/>
        </w:rPr>
        <w:t xml:space="preserve"> glycol are produced by using propylene oxide, Eq. (</w:t>
      </w:r>
      <w:r w:rsidR="00DF2956">
        <w:rPr>
          <w:sz w:val="20"/>
          <w:szCs w:val="22"/>
        </w:rPr>
        <w:t>6</w:t>
      </w:r>
      <w:r>
        <w:rPr>
          <w:sz w:val="20"/>
          <w:szCs w:val="22"/>
        </w:rPr>
        <w:t>) and Eq. (</w:t>
      </w:r>
      <w:r w:rsidR="00DF2956">
        <w:rPr>
          <w:sz w:val="20"/>
          <w:szCs w:val="22"/>
        </w:rPr>
        <w:t>7</w:t>
      </w:r>
      <w:r>
        <w:rPr>
          <w:sz w:val="20"/>
          <w:szCs w:val="22"/>
        </w:rPr>
        <w:t xml:space="preserve">). This process is known as bioethanol reactive dewatering (Guzmán et al., 2019). Finally, the thermal potential of glycols is </w:t>
      </w:r>
      <w:r w:rsidR="00AD6ACC">
        <w:rPr>
          <w:sz w:val="20"/>
          <w:szCs w:val="22"/>
        </w:rPr>
        <w:t>taken</w:t>
      </w:r>
      <w:r>
        <w:rPr>
          <w:sz w:val="20"/>
          <w:szCs w:val="22"/>
        </w:rPr>
        <w:t xml:space="preserve"> advantage </w:t>
      </w:r>
      <w:r w:rsidR="00AD6ACC">
        <w:rPr>
          <w:sz w:val="20"/>
          <w:szCs w:val="22"/>
        </w:rPr>
        <w:t xml:space="preserve">of </w:t>
      </w:r>
      <w:r>
        <w:rPr>
          <w:sz w:val="20"/>
          <w:szCs w:val="22"/>
        </w:rPr>
        <w:t xml:space="preserve">by using </w:t>
      </w:r>
      <w:r w:rsidR="00AD6ACC">
        <w:rPr>
          <w:sz w:val="20"/>
          <w:szCs w:val="22"/>
        </w:rPr>
        <w:t xml:space="preserve">the </w:t>
      </w:r>
      <w:r>
        <w:rPr>
          <w:sz w:val="20"/>
          <w:szCs w:val="22"/>
        </w:rPr>
        <w:t>organic Rankine cycle.</w:t>
      </w:r>
    </w:p>
    <w:tbl>
      <w:tblPr>
        <w:tblStyle w:val="TableGrid"/>
        <w:tblW w:w="7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561"/>
      </w:tblGrid>
      <w:tr w:rsidR="004725D2" w14:paraId="3B51AFC6" w14:textId="77777777" w:rsidTr="00473760">
        <w:trPr>
          <w:trHeight w:val="388"/>
        </w:trPr>
        <w:tc>
          <w:tcPr>
            <w:tcW w:w="6516" w:type="dxa"/>
          </w:tcPr>
          <w:p w14:paraId="41BBDEC6" w14:textId="77777777" w:rsidR="004725D2" w:rsidRDefault="004725D2" w:rsidP="00473760">
            <w:pPr>
              <w:pStyle w:val="Els-caption"/>
            </w:pPr>
            <w:r w:rsidRPr="003364FB">
              <w:rPr>
                <w:position w:val="-12"/>
              </w:rPr>
              <w:object w:dxaOrig="3379" w:dyaOrig="380" w14:anchorId="0DF4EC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75pt;height:12.75pt" o:ole="">
                  <v:imagedata r:id="rId10" o:title=""/>
                </v:shape>
                <o:OLEObject Type="Embed" ProgID="Equation.DSMT4" ShapeID="_x0000_i1025" DrawAspect="Content" ObjectID="_1764760857" r:id="rId11"/>
              </w:object>
            </w:r>
          </w:p>
        </w:tc>
        <w:tc>
          <w:tcPr>
            <w:tcW w:w="561" w:type="dxa"/>
          </w:tcPr>
          <w:p w14:paraId="5F5E2F83" w14:textId="7F732F4D" w:rsidR="004725D2" w:rsidRDefault="004725D2">
            <w:pPr>
              <w:pStyle w:val="Els-caption"/>
              <w:jc w:val="right"/>
            </w:pPr>
            <w:r>
              <w:t>(</w:t>
            </w:r>
            <w:r w:rsidR="00DF2956">
              <w:t>1</w:t>
            </w:r>
            <w:r>
              <w:t>)</w:t>
            </w:r>
          </w:p>
        </w:tc>
      </w:tr>
      <w:tr w:rsidR="004725D2" w14:paraId="7E5C5DFA" w14:textId="77777777" w:rsidTr="00473760">
        <w:trPr>
          <w:trHeight w:val="20"/>
        </w:trPr>
        <w:tc>
          <w:tcPr>
            <w:tcW w:w="6516" w:type="dxa"/>
          </w:tcPr>
          <w:p w14:paraId="47D10A15" w14:textId="77777777" w:rsidR="004725D2" w:rsidRDefault="004725D2" w:rsidP="00473760">
            <w:pPr>
              <w:pStyle w:val="Els-caption"/>
            </w:pPr>
            <w:r w:rsidRPr="00FD5CE1">
              <w:rPr>
                <w:position w:val="-12"/>
              </w:rPr>
              <w:object w:dxaOrig="3580" w:dyaOrig="360" w14:anchorId="082D37B0">
                <v:shape id="_x0000_i1026" type="#_x0000_t75" style="width:119.25pt;height:12pt" o:ole="">
                  <v:imagedata r:id="rId12" o:title=""/>
                </v:shape>
                <o:OLEObject Type="Embed" ProgID="Equation.DSMT4" ShapeID="_x0000_i1026" DrawAspect="Content" ObjectID="_1764760858" r:id="rId13"/>
              </w:object>
            </w:r>
          </w:p>
        </w:tc>
        <w:tc>
          <w:tcPr>
            <w:tcW w:w="561" w:type="dxa"/>
          </w:tcPr>
          <w:p w14:paraId="397CA896" w14:textId="00EAA26D" w:rsidR="004725D2" w:rsidRDefault="004725D2" w:rsidP="00473760">
            <w:pPr>
              <w:pStyle w:val="Els-caption"/>
              <w:jc w:val="right"/>
            </w:pPr>
            <w:r>
              <w:t>(</w:t>
            </w:r>
            <w:r w:rsidR="00DF2956">
              <w:t>2</w:t>
            </w:r>
            <w:r>
              <w:t>)</w:t>
            </w:r>
          </w:p>
        </w:tc>
      </w:tr>
      <w:tr w:rsidR="004725D2" w14:paraId="54BB55B8" w14:textId="77777777" w:rsidTr="00473760">
        <w:trPr>
          <w:trHeight w:val="20"/>
        </w:trPr>
        <w:tc>
          <w:tcPr>
            <w:tcW w:w="6516" w:type="dxa"/>
          </w:tcPr>
          <w:p w14:paraId="388E37B5" w14:textId="77777777" w:rsidR="004725D2" w:rsidRDefault="004725D2" w:rsidP="00473760">
            <w:pPr>
              <w:pStyle w:val="Els-caption"/>
            </w:pPr>
            <w:r w:rsidRPr="00FD5CE1">
              <w:rPr>
                <w:position w:val="-12"/>
              </w:rPr>
              <w:object w:dxaOrig="2299" w:dyaOrig="360" w14:anchorId="49BE0BCA">
                <v:shape id="_x0000_i1027" type="#_x0000_t75" style="width:77.25pt;height:12pt" o:ole="">
                  <v:imagedata r:id="rId14" o:title=""/>
                </v:shape>
                <o:OLEObject Type="Embed" ProgID="Equation.DSMT4" ShapeID="_x0000_i1027" DrawAspect="Content" ObjectID="_1764760859" r:id="rId15"/>
              </w:object>
            </w:r>
          </w:p>
        </w:tc>
        <w:tc>
          <w:tcPr>
            <w:tcW w:w="561" w:type="dxa"/>
          </w:tcPr>
          <w:p w14:paraId="42FBE635" w14:textId="4465D00B" w:rsidR="004725D2" w:rsidRDefault="004725D2" w:rsidP="00473760">
            <w:pPr>
              <w:pStyle w:val="Els-caption"/>
              <w:jc w:val="right"/>
            </w:pPr>
            <w:r>
              <w:t>(</w:t>
            </w:r>
            <w:r w:rsidR="00DF2956">
              <w:t>3</w:t>
            </w:r>
            <w:r>
              <w:t>)</w:t>
            </w:r>
          </w:p>
        </w:tc>
      </w:tr>
      <w:tr w:rsidR="004725D2" w14:paraId="55CE9FF2" w14:textId="77777777" w:rsidTr="00473760">
        <w:trPr>
          <w:trHeight w:val="20"/>
        </w:trPr>
        <w:tc>
          <w:tcPr>
            <w:tcW w:w="6516" w:type="dxa"/>
          </w:tcPr>
          <w:p w14:paraId="31D46536" w14:textId="77777777" w:rsidR="004725D2" w:rsidRDefault="004725D2" w:rsidP="00473760">
            <w:pPr>
              <w:pStyle w:val="Els-caption"/>
            </w:pPr>
            <w:r w:rsidRPr="00FD5CE1">
              <w:rPr>
                <w:position w:val="-12"/>
              </w:rPr>
              <w:object w:dxaOrig="1880" w:dyaOrig="360" w14:anchorId="1AD72EB5">
                <v:shape id="_x0000_i1028" type="#_x0000_t75" style="width:63pt;height:12pt" o:ole="">
                  <v:imagedata r:id="rId16" o:title=""/>
                </v:shape>
                <o:OLEObject Type="Embed" ProgID="Equation.DSMT4" ShapeID="_x0000_i1028" DrawAspect="Content" ObjectID="_1764760860" r:id="rId17"/>
              </w:object>
            </w:r>
          </w:p>
        </w:tc>
        <w:tc>
          <w:tcPr>
            <w:tcW w:w="561" w:type="dxa"/>
          </w:tcPr>
          <w:p w14:paraId="3C3B9BA3" w14:textId="10EB026D" w:rsidR="004725D2" w:rsidRDefault="004725D2" w:rsidP="00473760">
            <w:pPr>
              <w:pStyle w:val="Els-caption"/>
              <w:jc w:val="right"/>
            </w:pPr>
            <w:r>
              <w:t>(</w:t>
            </w:r>
            <w:r w:rsidR="00DF2956">
              <w:t>4</w:t>
            </w:r>
            <w:r>
              <w:t>)</w:t>
            </w:r>
          </w:p>
        </w:tc>
      </w:tr>
      <w:tr w:rsidR="004725D2" w14:paraId="715474B6" w14:textId="77777777" w:rsidTr="00473760">
        <w:trPr>
          <w:trHeight w:val="20"/>
        </w:trPr>
        <w:tc>
          <w:tcPr>
            <w:tcW w:w="6516" w:type="dxa"/>
          </w:tcPr>
          <w:p w14:paraId="72DAD7AF" w14:textId="77777777" w:rsidR="004725D2" w:rsidRDefault="004725D2" w:rsidP="00473760">
            <w:pPr>
              <w:pStyle w:val="Els-caption"/>
            </w:pPr>
            <w:r w:rsidRPr="00FD5CE1">
              <w:rPr>
                <w:position w:val="-12"/>
              </w:rPr>
              <w:object w:dxaOrig="2280" w:dyaOrig="360" w14:anchorId="4C27A5ED">
                <v:shape id="_x0000_i1029" type="#_x0000_t75" style="width:75pt;height:12pt" o:ole="">
                  <v:imagedata r:id="rId18" o:title=""/>
                </v:shape>
                <o:OLEObject Type="Embed" ProgID="Equation.DSMT4" ShapeID="_x0000_i1029" DrawAspect="Content" ObjectID="_1764760861" r:id="rId19"/>
              </w:object>
            </w:r>
          </w:p>
        </w:tc>
        <w:tc>
          <w:tcPr>
            <w:tcW w:w="561" w:type="dxa"/>
          </w:tcPr>
          <w:p w14:paraId="50914D6F" w14:textId="22C8D908" w:rsidR="004725D2" w:rsidRDefault="004725D2" w:rsidP="00473760">
            <w:pPr>
              <w:pStyle w:val="Els-caption"/>
              <w:jc w:val="right"/>
            </w:pPr>
            <w:r>
              <w:t>(</w:t>
            </w:r>
            <w:r w:rsidR="00DF2956">
              <w:t>5</w:t>
            </w:r>
            <w:r>
              <w:t>)</w:t>
            </w:r>
          </w:p>
        </w:tc>
      </w:tr>
      <w:tr w:rsidR="004725D2" w14:paraId="7E307433" w14:textId="77777777" w:rsidTr="00473760">
        <w:trPr>
          <w:trHeight w:val="20"/>
        </w:trPr>
        <w:tc>
          <w:tcPr>
            <w:tcW w:w="6516" w:type="dxa"/>
          </w:tcPr>
          <w:p w14:paraId="500E5EB4" w14:textId="77777777" w:rsidR="004725D2" w:rsidRDefault="004725D2" w:rsidP="00473760">
            <w:pPr>
              <w:pStyle w:val="Els-caption"/>
            </w:pPr>
            <w:r w:rsidRPr="00FD5CE1">
              <w:rPr>
                <w:position w:val="-12"/>
              </w:rPr>
              <w:object w:dxaOrig="2480" w:dyaOrig="360" w14:anchorId="28155C93">
                <v:shape id="_x0000_i1030" type="#_x0000_t75" style="width:77.25pt;height:11.25pt" o:ole="">
                  <v:imagedata r:id="rId20" o:title=""/>
                </v:shape>
                <o:OLEObject Type="Embed" ProgID="Equation.DSMT4" ShapeID="_x0000_i1030" DrawAspect="Content" ObjectID="_1764760862" r:id="rId21"/>
              </w:object>
            </w:r>
          </w:p>
        </w:tc>
        <w:tc>
          <w:tcPr>
            <w:tcW w:w="561" w:type="dxa"/>
          </w:tcPr>
          <w:p w14:paraId="52541181" w14:textId="0E3ABBAF" w:rsidR="004725D2" w:rsidRDefault="004725D2" w:rsidP="00473760">
            <w:pPr>
              <w:pStyle w:val="Els-caption"/>
              <w:jc w:val="right"/>
            </w:pPr>
            <w:r>
              <w:t>(</w:t>
            </w:r>
            <w:r w:rsidR="00DF2956">
              <w:t>6</w:t>
            </w:r>
            <w:r>
              <w:t>)</w:t>
            </w:r>
          </w:p>
        </w:tc>
      </w:tr>
      <w:tr w:rsidR="004725D2" w14:paraId="509CF84A" w14:textId="77777777" w:rsidTr="00473760">
        <w:trPr>
          <w:trHeight w:val="20"/>
        </w:trPr>
        <w:tc>
          <w:tcPr>
            <w:tcW w:w="6516" w:type="dxa"/>
          </w:tcPr>
          <w:p w14:paraId="23E6CFC6" w14:textId="77777777" w:rsidR="004725D2" w:rsidRDefault="004725D2" w:rsidP="00473760">
            <w:pPr>
              <w:pStyle w:val="Els-caption"/>
            </w:pPr>
            <w:r w:rsidRPr="00FD5CE1">
              <w:rPr>
                <w:position w:val="-12"/>
              </w:rPr>
              <w:object w:dxaOrig="2840" w:dyaOrig="360" w14:anchorId="568D4752">
                <v:shape id="_x0000_i1031" type="#_x0000_t75" style="width:96pt;height:12pt" o:ole="">
                  <v:imagedata r:id="rId22" o:title=""/>
                </v:shape>
                <o:OLEObject Type="Embed" ProgID="Equation.DSMT4" ShapeID="_x0000_i1031" DrawAspect="Content" ObjectID="_1764760863" r:id="rId23"/>
              </w:object>
            </w:r>
          </w:p>
        </w:tc>
        <w:tc>
          <w:tcPr>
            <w:tcW w:w="561" w:type="dxa"/>
          </w:tcPr>
          <w:p w14:paraId="68BDB386" w14:textId="7E3EEFC1" w:rsidR="004725D2" w:rsidRDefault="004725D2">
            <w:pPr>
              <w:pStyle w:val="Els-caption"/>
              <w:jc w:val="right"/>
            </w:pPr>
            <w:r>
              <w:t>(</w:t>
            </w:r>
            <w:r w:rsidR="00DF2956">
              <w:t>7</w:t>
            </w:r>
            <w:r>
              <w:t>)</w:t>
            </w:r>
          </w:p>
        </w:tc>
      </w:tr>
    </w:tbl>
    <w:p w14:paraId="579BEBFE" w14:textId="3BBA2FEC" w:rsidR="00595388" w:rsidRPr="003718C2" w:rsidRDefault="004725D2" w:rsidP="004725D2">
      <w:pPr>
        <w:pStyle w:val="Els-caption"/>
        <w:jc w:val="both"/>
        <w:rPr>
          <w:sz w:val="20"/>
          <w:szCs w:val="22"/>
        </w:rPr>
      </w:pPr>
      <w:r w:rsidRPr="003718C2">
        <w:rPr>
          <w:sz w:val="20"/>
          <w:szCs w:val="22"/>
        </w:rPr>
        <w:t xml:space="preserve">Figure </w:t>
      </w:r>
      <w:r w:rsidR="00C524F6">
        <w:rPr>
          <w:sz w:val="20"/>
          <w:szCs w:val="22"/>
        </w:rPr>
        <w:t>2</w:t>
      </w:r>
      <w:r w:rsidRPr="003718C2">
        <w:rPr>
          <w:sz w:val="20"/>
          <w:szCs w:val="22"/>
        </w:rPr>
        <w:t xml:space="preserve"> represents biogas production</w:t>
      </w:r>
      <w:r w:rsidR="00595388">
        <w:rPr>
          <w:sz w:val="20"/>
          <w:szCs w:val="22"/>
        </w:rPr>
        <w:t>, which corresponds to the conventional treatment process</w:t>
      </w:r>
      <w:r w:rsidRPr="003718C2">
        <w:rPr>
          <w:sz w:val="20"/>
          <w:szCs w:val="22"/>
        </w:rPr>
        <w:t xml:space="preserve">. The wine effluent </w:t>
      </w:r>
      <w:r w:rsidR="00C524F6" w:rsidRPr="003718C2">
        <w:rPr>
          <w:sz w:val="20"/>
          <w:szCs w:val="22"/>
        </w:rPr>
        <w:t>gets</w:t>
      </w:r>
      <w:r w:rsidRPr="003718C2">
        <w:rPr>
          <w:sz w:val="20"/>
          <w:szCs w:val="22"/>
        </w:rPr>
        <w:t xml:space="preserve"> into BR-01 where polymers are hydrolyzed by enzymes. The reactions involved correspond to cellulose, hemicellulose, and dead yeast decomposition, Eq</w:t>
      </w:r>
      <w:r>
        <w:rPr>
          <w:sz w:val="20"/>
          <w:szCs w:val="22"/>
        </w:rPr>
        <w:t>.</w:t>
      </w:r>
      <w:r w:rsidRPr="003718C2">
        <w:rPr>
          <w:sz w:val="20"/>
          <w:szCs w:val="22"/>
        </w:rPr>
        <w:t xml:space="preserve"> (</w:t>
      </w:r>
      <w:r w:rsidR="00DF2956">
        <w:rPr>
          <w:sz w:val="20"/>
          <w:szCs w:val="22"/>
        </w:rPr>
        <w:t>8-10</w:t>
      </w:r>
      <w:r w:rsidRPr="003718C2">
        <w:rPr>
          <w:sz w:val="20"/>
          <w:szCs w:val="22"/>
        </w:rPr>
        <w:t xml:space="preserve">) respectively; it is important to mention that lignin is inert in this stage. This operation unit is modeled by </w:t>
      </w:r>
      <w:r w:rsidR="00AD6ACC">
        <w:rPr>
          <w:sz w:val="20"/>
          <w:szCs w:val="22"/>
        </w:rPr>
        <w:t xml:space="preserve">the </w:t>
      </w:r>
      <w:r w:rsidRPr="003718C2">
        <w:rPr>
          <w:sz w:val="20"/>
          <w:szCs w:val="22"/>
        </w:rPr>
        <w:t xml:space="preserve">R-Stoic module. In BR-02, it is carried out the steps involved in anaerobic digestion: </w:t>
      </w:r>
      <w:r w:rsidR="00AD6ACC">
        <w:rPr>
          <w:sz w:val="20"/>
          <w:szCs w:val="22"/>
        </w:rPr>
        <w:t>amino acid</w:t>
      </w:r>
      <w:r w:rsidRPr="003718C2">
        <w:rPr>
          <w:sz w:val="20"/>
          <w:szCs w:val="22"/>
        </w:rPr>
        <w:t xml:space="preserve"> degradation, Eq</w:t>
      </w:r>
      <w:r>
        <w:rPr>
          <w:sz w:val="20"/>
          <w:szCs w:val="22"/>
        </w:rPr>
        <w:t xml:space="preserve">. </w:t>
      </w:r>
      <w:r w:rsidRPr="003718C2">
        <w:rPr>
          <w:sz w:val="20"/>
          <w:szCs w:val="22"/>
        </w:rPr>
        <w:t>(1</w:t>
      </w:r>
      <w:r w:rsidR="00DF2956">
        <w:rPr>
          <w:sz w:val="20"/>
          <w:szCs w:val="22"/>
        </w:rPr>
        <w:t>1</w:t>
      </w:r>
      <w:r w:rsidRPr="003718C2">
        <w:rPr>
          <w:sz w:val="20"/>
          <w:szCs w:val="22"/>
        </w:rPr>
        <w:t>)</w:t>
      </w:r>
      <w:r w:rsidR="00C524F6">
        <w:rPr>
          <w:sz w:val="20"/>
          <w:szCs w:val="22"/>
        </w:rPr>
        <w:t>,</w:t>
      </w:r>
      <w:r w:rsidRPr="003718C2">
        <w:rPr>
          <w:sz w:val="20"/>
          <w:szCs w:val="22"/>
        </w:rPr>
        <w:t xml:space="preserve"> acidogenic, Eq</w:t>
      </w:r>
      <w:r>
        <w:rPr>
          <w:sz w:val="20"/>
          <w:szCs w:val="22"/>
        </w:rPr>
        <w:t xml:space="preserve">. </w:t>
      </w:r>
      <w:r w:rsidRPr="003718C2">
        <w:rPr>
          <w:sz w:val="20"/>
          <w:szCs w:val="22"/>
        </w:rPr>
        <w:t>(1</w:t>
      </w:r>
      <w:r w:rsidR="00DF2956">
        <w:rPr>
          <w:sz w:val="20"/>
          <w:szCs w:val="22"/>
        </w:rPr>
        <w:t>2</w:t>
      </w:r>
      <w:r w:rsidRPr="003718C2">
        <w:rPr>
          <w:sz w:val="20"/>
          <w:szCs w:val="22"/>
        </w:rPr>
        <w:t>)</w:t>
      </w:r>
      <w:r w:rsidR="00C524F6">
        <w:rPr>
          <w:sz w:val="20"/>
          <w:szCs w:val="22"/>
        </w:rPr>
        <w:t>,</w:t>
      </w:r>
      <w:r w:rsidRPr="003718C2">
        <w:rPr>
          <w:sz w:val="20"/>
          <w:szCs w:val="22"/>
        </w:rPr>
        <w:t xml:space="preserve"> acetogenic, Eq</w:t>
      </w:r>
      <w:r>
        <w:rPr>
          <w:sz w:val="20"/>
          <w:szCs w:val="22"/>
        </w:rPr>
        <w:t xml:space="preserve">. </w:t>
      </w:r>
      <w:r w:rsidRPr="003718C2">
        <w:rPr>
          <w:sz w:val="20"/>
          <w:szCs w:val="22"/>
        </w:rPr>
        <w:t>(1</w:t>
      </w:r>
      <w:r w:rsidR="00DF2956">
        <w:rPr>
          <w:sz w:val="20"/>
          <w:szCs w:val="22"/>
        </w:rPr>
        <w:t>3</w:t>
      </w:r>
      <w:r w:rsidRPr="003718C2">
        <w:rPr>
          <w:sz w:val="20"/>
          <w:szCs w:val="22"/>
        </w:rPr>
        <w:t>)</w:t>
      </w:r>
      <w:r w:rsidR="00C524F6">
        <w:rPr>
          <w:sz w:val="20"/>
          <w:szCs w:val="22"/>
        </w:rPr>
        <w:t>,</w:t>
      </w:r>
      <w:r w:rsidRPr="003718C2">
        <w:rPr>
          <w:sz w:val="20"/>
          <w:szCs w:val="22"/>
        </w:rPr>
        <w:t xml:space="preserve"> methanogenic, Eq</w:t>
      </w:r>
      <w:r>
        <w:rPr>
          <w:sz w:val="20"/>
          <w:szCs w:val="22"/>
        </w:rPr>
        <w:t xml:space="preserve">. </w:t>
      </w:r>
      <w:r w:rsidRPr="003718C2">
        <w:rPr>
          <w:sz w:val="20"/>
          <w:szCs w:val="22"/>
        </w:rPr>
        <w:t>(1</w:t>
      </w:r>
      <w:r w:rsidR="00DF2956">
        <w:rPr>
          <w:sz w:val="20"/>
          <w:szCs w:val="22"/>
        </w:rPr>
        <w:t>4</w:t>
      </w:r>
      <w:r w:rsidRPr="003718C2">
        <w:rPr>
          <w:sz w:val="20"/>
          <w:szCs w:val="22"/>
        </w:rPr>
        <w:t>)</w:t>
      </w:r>
      <w:r>
        <w:rPr>
          <w:sz w:val="20"/>
          <w:szCs w:val="22"/>
        </w:rPr>
        <w:t xml:space="preserve"> (Rajendran et al., 2014)</w:t>
      </w:r>
      <w:r w:rsidRPr="003718C2">
        <w:rPr>
          <w:sz w:val="20"/>
          <w:szCs w:val="22"/>
        </w:rPr>
        <w:t>; the lignin keeps inert.</w:t>
      </w:r>
      <w:r w:rsidR="00595388">
        <w:rPr>
          <w:sz w:val="20"/>
          <w:szCs w:val="22"/>
        </w:rPr>
        <w:t xml:space="preserve"> </w:t>
      </w:r>
      <w:r w:rsidRPr="003718C2">
        <w:rPr>
          <w:sz w:val="20"/>
          <w:szCs w:val="22"/>
        </w:rPr>
        <w:t xml:space="preserve">Once digestion has concluded, the mixture is </w:t>
      </w:r>
      <w:r w:rsidR="00AD6ACC">
        <w:rPr>
          <w:sz w:val="20"/>
          <w:szCs w:val="22"/>
        </w:rPr>
        <w:t>sent</w:t>
      </w:r>
      <w:r w:rsidRPr="003718C2">
        <w:rPr>
          <w:sz w:val="20"/>
          <w:szCs w:val="22"/>
        </w:rPr>
        <w:t xml:space="preserve"> to FT-01 for phase separation, where treated water is obtained from the flash tank bottom. The wet biogas is dried by FT-02.</w:t>
      </w:r>
    </w:p>
    <w:p w14:paraId="1BB486B4" w14:textId="77777777" w:rsidR="004725D2" w:rsidRDefault="004725D2" w:rsidP="004725D2">
      <w:pPr>
        <w:pStyle w:val="Els-body-text"/>
        <w:keepNext/>
        <w:jc w:val="center"/>
      </w:pPr>
      <w:r>
        <w:rPr>
          <w:noProof/>
          <w:lang w:val="es-MX" w:eastAsia="es-MX"/>
        </w:rPr>
        <w:drawing>
          <wp:inline distT="0" distB="0" distL="0" distR="0" wp14:anchorId="5C629134" wp14:editId="4C69612A">
            <wp:extent cx="2899132" cy="927100"/>
            <wp:effectExtent l="0" t="0" r="0" b="6350"/>
            <wp:docPr id="2" name="Imagen 5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819813" name="Imagen 5" descr="Diagrama&#10;&#10;Descripción generada automáticamente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022" cy="94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063EE" w14:textId="6D68FCAB" w:rsidR="004725D2" w:rsidRPr="008D4793" w:rsidRDefault="004725D2" w:rsidP="004725D2">
      <w:pPr>
        <w:pStyle w:val="Caption"/>
        <w:jc w:val="center"/>
        <w:rPr>
          <w:sz w:val="20"/>
          <w:szCs w:val="22"/>
        </w:rPr>
      </w:pPr>
      <w:r w:rsidRPr="008D4793">
        <w:rPr>
          <w:sz w:val="20"/>
          <w:szCs w:val="22"/>
        </w:rPr>
        <w:t xml:space="preserve">Figure </w:t>
      </w:r>
      <w:r w:rsidR="00C524F6" w:rsidRPr="008D4793">
        <w:rPr>
          <w:sz w:val="20"/>
          <w:szCs w:val="22"/>
        </w:rPr>
        <w:t>2</w:t>
      </w:r>
      <w:r w:rsidRPr="008D4793">
        <w:rPr>
          <w:sz w:val="20"/>
          <w:szCs w:val="22"/>
        </w:rPr>
        <w:t>.- Conventional process. Anaerobic digestion</w:t>
      </w:r>
    </w:p>
    <w:p w14:paraId="5BA2532B" w14:textId="08FF1C60" w:rsidR="00E8771B" w:rsidRDefault="004725D2" w:rsidP="004725D2">
      <w:pPr>
        <w:pStyle w:val="Els-caption"/>
      </w:pPr>
      <w:r w:rsidRPr="00447EDD">
        <w:t>Where BR=Bioreactor, FT= Flash tank.</w:t>
      </w:r>
    </w:p>
    <w:tbl>
      <w:tblPr>
        <w:tblStyle w:val="TableGrid"/>
        <w:tblW w:w="7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561"/>
      </w:tblGrid>
      <w:tr w:rsidR="004725D2" w14:paraId="79DA057A" w14:textId="77777777" w:rsidTr="004B1C43">
        <w:trPr>
          <w:trHeight w:val="113"/>
        </w:trPr>
        <w:tc>
          <w:tcPr>
            <w:tcW w:w="6516" w:type="dxa"/>
          </w:tcPr>
          <w:p w14:paraId="66BBD806" w14:textId="77777777" w:rsidR="004725D2" w:rsidRDefault="004725D2" w:rsidP="00473760">
            <w:pPr>
              <w:pStyle w:val="Els-caption"/>
            </w:pPr>
            <w:r w:rsidRPr="00FD5CE1">
              <w:rPr>
                <w:position w:val="-12"/>
              </w:rPr>
              <w:object w:dxaOrig="2700" w:dyaOrig="360" w14:anchorId="04F5FF6A">
                <v:shape id="_x0000_i1032" type="#_x0000_t75" style="width:99pt;height:13.5pt" o:ole="">
                  <v:imagedata r:id="rId25" o:title=""/>
                </v:shape>
                <o:OLEObject Type="Embed" ProgID="Equation.DSMT4" ShapeID="_x0000_i1032" DrawAspect="Content" ObjectID="_1764760864" r:id="rId26"/>
              </w:object>
            </w:r>
          </w:p>
        </w:tc>
        <w:tc>
          <w:tcPr>
            <w:tcW w:w="561" w:type="dxa"/>
          </w:tcPr>
          <w:p w14:paraId="4F5B3A57" w14:textId="6FB21B03" w:rsidR="004725D2" w:rsidRDefault="004725D2">
            <w:pPr>
              <w:pStyle w:val="Els-caption"/>
              <w:jc w:val="right"/>
            </w:pPr>
            <w:r>
              <w:t>(</w:t>
            </w:r>
            <w:r w:rsidR="00DF2956">
              <w:t>8</w:t>
            </w:r>
            <w:r>
              <w:t>)</w:t>
            </w:r>
          </w:p>
        </w:tc>
      </w:tr>
      <w:tr w:rsidR="004725D2" w14:paraId="65F12237" w14:textId="77777777" w:rsidTr="004B1C43">
        <w:trPr>
          <w:trHeight w:val="113"/>
        </w:trPr>
        <w:tc>
          <w:tcPr>
            <w:tcW w:w="6516" w:type="dxa"/>
          </w:tcPr>
          <w:p w14:paraId="3C110C69" w14:textId="77777777" w:rsidR="004725D2" w:rsidRDefault="004725D2" w:rsidP="00473760">
            <w:pPr>
              <w:pStyle w:val="Els-caption"/>
            </w:pPr>
            <w:r w:rsidRPr="00FD5CE1">
              <w:rPr>
                <w:position w:val="-12"/>
              </w:rPr>
              <w:object w:dxaOrig="3260" w:dyaOrig="360" w14:anchorId="6C544B30">
                <v:shape id="_x0000_i1033" type="#_x0000_t75" style="width:112.5pt;height:12.75pt" o:ole="">
                  <v:imagedata r:id="rId27" o:title=""/>
                </v:shape>
                <o:OLEObject Type="Embed" ProgID="Equation.DSMT4" ShapeID="_x0000_i1033" DrawAspect="Content" ObjectID="_1764760865" r:id="rId28"/>
              </w:object>
            </w:r>
          </w:p>
        </w:tc>
        <w:tc>
          <w:tcPr>
            <w:tcW w:w="561" w:type="dxa"/>
          </w:tcPr>
          <w:p w14:paraId="7515F1FB" w14:textId="1EC33BB3" w:rsidR="004725D2" w:rsidRDefault="004725D2" w:rsidP="00473760">
            <w:pPr>
              <w:pStyle w:val="Els-caption"/>
              <w:jc w:val="right"/>
            </w:pPr>
            <w:r>
              <w:t>(</w:t>
            </w:r>
            <w:r w:rsidR="00DF2956">
              <w:t>9</w:t>
            </w:r>
            <w:r>
              <w:t>)</w:t>
            </w:r>
          </w:p>
        </w:tc>
      </w:tr>
      <w:tr w:rsidR="0037029F" w14:paraId="3CBCE81C" w14:textId="77777777" w:rsidTr="004B1C43">
        <w:trPr>
          <w:trHeight w:val="113"/>
        </w:trPr>
        <w:tc>
          <w:tcPr>
            <w:tcW w:w="6516" w:type="dxa"/>
          </w:tcPr>
          <w:p w14:paraId="78B2ED4B" w14:textId="027279FC" w:rsidR="0037029F" w:rsidRPr="00FD5CE1" w:rsidRDefault="004B1C43" w:rsidP="00473760">
            <w:pPr>
              <w:pStyle w:val="Els-caption"/>
            </w:pPr>
            <w:r w:rsidRPr="00732AD5">
              <w:rPr>
                <w:position w:val="-30"/>
              </w:rPr>
              <w:object w:dxaOrig="8160" w:dyaOrig="720" w14:anchorId="27505FB2">
                <v:shape id="_x0000_i1034" type="#_x0000_t75" style="width:300pt;height:27pt" o:ole="">
                  <v:imagedata r:id="rId29" o:title=""/>
                </v:shape>
                <o:OLEObject Type="Embed" ProgID="Equation.DSMT4" ShapeID="_x0000_i1034" DrawAspect="Content" ObjectID="_1764760866" r:id="rId30"/>
              </w:object>
            </w:r>
          </w:p>
        </w:tc>
        <w:tc>
          <w:tcPr>
            <w:tcW w:w="561" w:type="dxa"/>
            <w:vAlign w:val="center"/>
          </w:tcPr>
          <w:p w14:paraId="0346587A" w14:textId="2837FD6E" w:rsidR="0037029F" w:rsidRDefault="004B1C43" w:rsidP="004B1C43">
            <w:pPr>
              <w:pStyle w:val="Els-caption"/>
              <w:jc w:val="center"/>
            </w:pPr>
            <w:r>
              <w:t>(10)</w:t>
            </w:r>
          </w:p>
        </w:tc>
      </w:tr>
      <w:tr w:rsidR="004725D2" w14:paraId="2BCEF14C" w14:textId="77777777" w:rsidTr="004B1C43">
        <w:trPr>
          <w:trHeight w:val="113"/>
        </w:trPr>
        <w:tc>
          <w:tcPr>
            <w:tcW w:w="6516" w:type="dxa"/>
          </w:tcPr>
          <w:p w14:paraId="5C486B72" w14:textId="108550A1" w:rsidR="004725D2" w:rsidRDefault="004B1C43" w:rsidP="00473760">
            <w:pPr>
              <w:pStyle w:val="Els-caption"/>
            </w:pPr>
            <w:r w:rsidRPr="00FD5CE1">
              <w:rPr>
                <w:position w:val="-12"/>
              </w:rPr>
              <w:object w:dxaOrig="5280" w:dyaOrig="360" w14:anchorId="2EE1DA3E">
                <v:shape id="_x0000_i1035" type="#_x0000_t75" style="width:199.5pt;height:13.5pt" o:ole="">
                  <v:imagedata r:id="rId31" o:title=""/>
                </v:shape>
                <o:OLEObject Type="Embed" ProgID="Equation.DSMT4" ShapeID="_x0000_i1035" DrawAspect="Content" ObjectID="_1764760867" r:id="rId32"/>
              </w:object>
            </w:r>
          </w:p>
        </w:tc>
        <w:tc>
          <w:tcPr>
            <w:tcW w:w="561" w:type="dxa"/>
          </w:tcPr>
          <w:p w14:paraId="614EEC5F" w14:textId="29D87241" w:rsidR="004725D2" w:rsidRDefault="004725D2">
            <w:pPr>
              <w:pStyle w:val="Els-caption"/>
              <w:jc w:val="right"/>
            </w:pPr>
            <w:r>
              <w:t>(1</w:t>
            </w:r>
            <w:r w:rsidR="00DF2956">
              <w:t>1</w:t>
            </w:r>
            <w:r>
              <w:t>)</w:t>
            </w:r>
          </w:p>
        </w:tc>
      </w:tr>
      <w:tr w:rsidR="004725D2" w14:paraId="2FD90B1A" w14:textId="77777777" w:rsidTr="004B1C43">
        <w:trPr>
          <w:trHeight w:val="20"/>
        </w:trPr>
        <w:tc>
          <w:tcPr>
            <w:tcW w:w="6516" w:type="dxa"/>
          </w:tcPr>
          <w:p w14:paraId="3D0BC2F5" w14:textId="77777777" w:rsidR="004725D2" w:rsidRDefault="004725D2" w:rsidP="00473760">
            <w:pPr>
              <w:pStyle w:val="Els-caption"/>
            </w:pPr>
            <w:r w:rsidRPr="00FD5CE1">
              <w:rPr>
                <w:position w:val="-12"/>
              </w:rPr>
              <w:object w:dxaOrig="5940" w:dyaOrig="360" w14:anchorId="297E39BE">
                <v:shape id="_x0000_i1036" type="#_x0000_t75" style="width:211.5pt;height:12.75pt" o:ole="">
                  <v:imagedata r:id="rId33" o:title=""/>
                </v:shape>
                <o:OLEObject Type="Embed" ProgID="Equation.DSMT4" ShapeID="_x0000_i1036" DrawAspect="Content" ObjectID="_1764760868" r:id="rId34"/>
              </w:object>
            </w:r>
          </w:p>
        </w:tc>
        <w:tc>
          <w:tcPr>
            <w:tcW w:w="561" w:type="dxa"/>
          </w:tcPr>
          <w:p w14:paraId="0742FC63" w14:textId="6FA3F71C" w:rsidR="004725D2" w:rsidRDefault="004725D2">
            <w:pPr>
              <w:pStyle w:val="Els-caption"/>
              <w:jc w:val="right"/>
            </w:pPr>
            <w:r>
              <w:t>(1</w:t>
            </w:r>
            <w:r w:rsidR="00DF2956">
              <w:t>2</w:t>
            </w:r>
            <w:r>
              <w:t>)</w:t>
            </w:r>
          </w:p>
        </w:tc>
      </w:tr>
      <w:tr w:rsidR="004725D2" w14:paraId="0F2AB2D4" w14:textId="77777777" w:rsidTr="004B1C43">
        <w:trPr>
          <w:trHeight w:val="113"/>
        </w:trPr>
        <w:tc>
          <w:tcPr>
            <w:tcW w:w="6516" w:type="dxa"/>
          </w:tcPr>
          <w:p w14:paraId="348BB392" w14:textId="77777777" w:rsidR="004725D2" w:rsidRDefault="004725D2" w:rsidP="00473760">
            <w:pPr>
              <w:pStyle w:val="Els-caption"/>
            </w:pPr>
            <w:r w:rsidRPr="00FD5CE1">
              <w:rPr>
                <w:position w:val="-12"/>
              </w:rPr>
              <w:object w:dxaOrig="7040" w:dyaOrig="360" w14:anchorId="6A79F0DB">
                <v:shape id="_x0000_i1037" type="#_x0000_t75" style="width:236.25pt;height:12.75pt" o:ole="">
                  <v:imagedata r:id="rId35" o:title=""/>
                </v:shape>
                <o:OLEObject Type="Embed" ProgID="Equation.DSMT4" ShapeID="_x0000_i1037" DrawAspect="Content" ObjectID="_1764760869" r:id="rId36"/>
              </w:object>
            </w:r>
          </w:p>
        </w:tc>
        <w:tc>
          <w:tcPr>
            <w:tcW w:w="561" w:type="dxa"/>
          </w:tcPr>
          <w:p w14:paraId="6E74BAAF" w14:textId="004BE2AA" w:rsidR="004725D2" w:rsidRDefault="004725D2">
            <w:pPr>
              <w:pStyle w:val="Els-caption"/>
              <w:jc w:val="right"/>
            </w:pPr>
            <w:r>
              <w:t>(1</w:t>
            </w:r>
            <w:r w:rsidR="00DF2956">
              <w:t>3</w:t>
            </w:r>
            <w:r>
              <w:t>)</w:t>
            </w:r>
          </w:p>
        </w:tc>
      </w:tr>
      <w:tr w:rsidR="004725D2" w14:paraId="6C842EE5" w14:textId="77777777" w:rsidTr="004B1C43">
        <w:trPr>
          <w:trHeight w:val="113"/>
        </w:trPr>
        <w:tc>
          <w:tcPr>
            <w:tcW w:w="6516" w:type="dxa"/>
          </w:tcPr>
          <w:p w14:paraId="741B2E2D" w14:textId="77777777" w:rsidR="004725D2" w:rsidRDefault="004725D2" w:rsidP="00473760">
            <w:pPr>
              <w:pStyle w:val="Els-caption"/>
            </w:pPr>
            <w:r w:rsidRPr="00FD5CE1">
              <w:rPr>
                <w:position w:val="-12"/>
              </w:rPr>
              <w:object w:dxaOrig="4620" w:dyaOrig="360" w14:anchorId="631A02A9">
                <v:shape id="_x0000_i1038" type="#_x0000_t75" style="width:177.75pt;height:14.25pt" o:ole="">
                  <v:imagedata r:id="rId37" o:title=""/>
                </v:shape>
                <o:OLEObject Type="Embed" ProgID="Equation.DSMT4" ShapeID="_x0000_i1038" DrawAspect="Content" ObjectID="_1764760870" r:id="rId38"/>
              </w:object>
            </w:r>
          </w:p>
        </w:tc>
        <w:tc>
          <w:tcPr>
            <w:tcW w:w="561" w:type="dxa"/>
          </w:tcPr>
          <w:p w14:paraId="51C77945" w14:textId="7A43400A" w:rsidR="004725D2" w:rsidRDefault="004725D2">
            <w:pPr>
              <w:pStyle w:val="Els-caption"/>
              <w:jc w:val="right"/>
            </w:pPr>
            <w:r>
              <w:t>(1</w:t>
            </w:r>
            <w:r w:rsidR="00DF2956">
              <w:t>4</w:t>
            </w:r>
            <w:r>
              <w:t>)</w:t>
            </w:r>
          </w:p>
        </w:tc>
      </w:tr>
    </w:tbl>
    <w:p w14:paraId="45BD4431" w14:textId="77777777" w:rsidR="00595388" w:rsidRDefault="00595388" w:rsidP="0068011D">
      <w:pPr>
        <w:pStyle w:val="Els-body-text"/>
      </w:pPr>
    </w:p>
    <w:p w14:paraId="7D6BFBD2" w14:textId="6956BD0C" w:rsidR="0068011D" w:rsidRDefault="00C524F6" w:rsidP="0068011D">
      <w:pPr>
        <w:pStyle w:val="Els-body-text"/>
      </w:pPr>
      <w:r>
        <w:t>For the biorefinery scheme</w:t>
      </w:r>
      <w:r w:rsidR="00DF2956">
        <w:t xml:space="preserve"> and bio</w:t>
      </w:r>
      <w:r w:rsidR="00DF2956" w:rsidRPr="002E4425">
        <w:rPr>
          <w:lang w:val="en-GB"/>
        </w:rPr>
        <w:t>gas</w:t>
      </w:r>
      <w:r w:rsidR="00DF2956">
        <w:rPr>
          <w:lang w:val="en-GB"/>
        </w:rPr>
        <w:t xml:space="preserve"> process</w:t>
      </w:r>
      <w:r>
        <w:t xml:space="preserve">, </w:t>
      </w:r>
      <w:r w:rsidR="00CA0E2D">
        <w:t xml:space="preserve">a literature search is made for </w:t>
      </w:r>
      <w:r w:rsidR="00555A0F">
        <w:t xml:space="preserve">collecting the thermodynamic and chemical kinetic data, followed by </w:t>
      </w:r>
      <w:r w:rsidR="00AD6ACC">
        <w:t xml:space="preserve">the </w:t>
      </w:r>
      <w:r w:rsidR="00555A0F">
        <w:t>Aspen Plus V11 simulation. Once the process</w:t>
      </w:r>
      <w:r w:rsidR="00D00A7E">
        <w:t>es</w:t>
      </w:r>
      <w:r w:rsidR="00555A0F">
        <w:t xml:space="preserve"> ha</w:t>
      </w:r>
      <w:r w:rsidR="00C12C37">
        <w:t>ve</w:t>
      </w:r>
      <w:r w:rsidR="00555A0F">
        <w:t xml:space="preserve"> been modeled, parametric analysis is performed to adjust the manipulable variables</w:t>
      </w:r>
      <w:r w:rsidR="00D00A7E">
        <w:t xml:space="preserve"> by sensitivity analysis</w:t>
      </w:r>
      <w:r w:rsidR="00555A0F">
        <w:t>.</w:t>
      </w:r>
      <w:r w:rsidR="00D00A7E">
        <w:t xml:space="preserve"> Finally, both processes are evaluated and compared between themselves. </w:t>
      </w:r>
      <w:r w:rsidR="00555A0F">
        <w:t xml:space="preserve"> </w:t>
      </w:r>
      <w:r w:rsidR="0068011D">
        <w:t xml:space="preserve">The manipulable variables employed in parametric analysis are stage number, feed stage, reflux ratio, distillation rate, hold-up, </w:t>
      </w:r>
      <w:r w:rsidR="0068011D">
        <w:lastRenderedPageBreak/>
        <w:t>reactive stages, reactant inlet flow</w:t>
      </w:r>
      <w:r w:rsidR="00AD6ACC">
        <w:t>,</w:t>
      </w:r>
      <w:r w:rsidR="0068011D">
        <w:t xml:space="preserve"> and pressure for reactive/conventional distillation columns (according to the case); temperature and pressure for flash tanks; finally, temperature and reactor volume for bioreactors. </w:t>
      </w:r>
    </w:p>
    <w:p w14:paraId="722C3EBB" w14:textId="77777777" w:rsidR="007D2FF0" w:rsidRDefault="007D2FF0" w:rsidP="0068011D">
      <w:pPr>
        <w:pStyle w:val="Els-body-text"/>
      </w:pPr>
    </w:p>
    <w:p w14:paraId="0CE06B12" w14:textId="37988B7E" w:rsidR="0068011D" w:rsidRDefault="0068011D" w:rsidP="0068011D">
      <w:pPr>
        <w:pStyle w:val="Els-body-text"/>
      </w:pPr>
      <w:r>
        <w:t>To perform the evaluation and comparison, the next parameters are considered: COD, which is calculated by Aspen Plus, total heat duty, reactant conversion, and product yield. Eq</w:t>
      </w:r>
      <w:r w:rsidR="00E41355">
        <w:t>.</w:t>
      </w:r>
      <w:r>
        <w:t xml:space="preserve"> (1</w:t>
      </w:r>
      <w:r w:rsidR="00DF2956">
        <w:t>5</w:t>
      </w:r>
      <w:r>
        <w:t xml:space="preserve">) and </w:t>
      </w:r>
      <w:r w:rsidR="00E41355">
        <w:t xml:space="preserve">Eq. </w:t>
      </w:r>
      <w:r>
        <w:t>(</w:t>
      </w:r>
      <w:r w:rsidR="00DF2956">
        <w:t>16</w:t>
      </w:r>
      <w:r>
        <w:t>) show how conversion and product yield are defined.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560"/>
      </w:tblGrid>
      <w:tr w:rsidR="0068011D" w14:paraId="48283006" w14:textId="77777777" w:rsidTr="0068011D">
        <w:tc>
          <w:tcPr>
            <w:tcW w:w="6516" w:type="dxa"/>
          </w:tcPr>
          <w:p w14:paraId="17915737" w14:textId="1889918B" w:rsidR="0068011D" w:rsidRDefault="0068011D" w:rsidP="0068011D">
            <w:pPr>
              <w:pStyle w:val="Els-body-text"/>
            </w:pPr>
            <w:r w:rsidRPr="000D67DA">
              <w:rPr>
                <w:position w:val="-40"/>
              </w:rPr>
              <w:object w:dxaOrig="1219" w:dyaOrig="920" w14:anchorId="0D19F245">
                <v:shape id="_x0000_i1039" type="#_x0000_t75" style="width:44.25pt;height:32.25pt" o:ole="">
                  <v:imagedata r:id="rId39" o:title=""/>
                </v:shape>
                <o:OLEObject Type="Embed" ProgID="Equation.DSMT4" ShapeID="_x0000_i1039" DrawAspect="Content" ObjectID="_1764760871" r:id="rId40"/>
              </w:object>
            </w:r>
          </w:p>
        </w:tc>
        <w:tc>
          <w:tcPr>
            <w:tcW w:w="560" w:type="dxa"/>
          </w:tcPr>
          <w:p w14:paraId="3DCBA28F" w14:textId="1FB61DF4" w:rsidR="0068011D" w:rsidRDefault="0068011D" w:rsidP="0068011D">
            <w:pPr>
              <w:pStyle w:val="Els-body-text"/>
              <w:jc w:val="right"/>
            </w:pPr>
            <w:r>
              <w:t>(1</w:t>
            </w:r>
            <w:r w:rsidR="00DF2956">
              <w:t>5</w:t>
            </w:r>
            <w:r>
              <w:t>)</w:t>
            </w:r>
          </w:p>
        </w:tc>
      </w:tr>
      <w:tr w:rsidR="0068011D" w14:paraId="5D7D3B12" w14:textId="77777777" w:rsidTr="0068011D">
        <w:tc>
          <w:tcPr>
            <w:tcW w:w="6516" w:type="dxa"/>
          </w:tcPr>
          <w:p w14:paraId="48C73B7C" w14:textId="1473D670" w:rsidR="0068011D" w:rsidRDefault="007C0108" w:rsidP="0068011D">
            <w:pPr>
              <w:pStyle w:val="Els-body-text"/>
            </w:pPr>
            <w:r w:rsidRPr="003364FB">
              <w:rPr>
                <w:position w:val="-24"/>
              </w:rPr>
              <w:object w:dxaOrig="1040" w:dyaOrig="620" w14:anchorId="597F42CB">
                <v:shape id="_x0000_i1040" type="#_x0000_t75" style="width:40.5pt;height:24.75pt" o:ole="">
                  <v:imagedata r:id="rId41" o:title=""/>
                </v:shape>
                <o:OLEObject Type="Embed" ProgID="Equation.DSMT4" ShapeID="_x0000_i1040" DrawAspect="Content" ObjectID="_1764760872" r:id="rId42"/>
              </w:object>
            </w:r>
          </w:p>
        </w:tc>
        <w:tc>
          <w:tcPr>
            <w:tcW w:w="560" w:type="dxa"/>
          </w:tcPr>
          <w:p w14:paraId="1E41CDB4" w14:textId="2AAF42D4" w:rsidR="0068011D" w:rsidRDefault="0068011D" w:rsidP="0068011D">
            <w:pPr>
              <w:pStyle w:val="Els-body-text"/>
              <w:jc w:val="right"/>
            </w:pPr>
            <w:r>
              <w:t>(</w:t>
            </w:r>
            <w:r w:rsidR="00DF2956">
              <w:t>16</w:t>
            </w:r>
            <w:r>
              <w:t>)</w:t>
            </w:r>
          </w:p>
        </w:tc>
      </w:tr>
    </w:tbl>
    <w:p w14:paraId="0C92CB40" w14:textId="79E337FF" w:rsidR="0068011D" w:rsidRPr="00447EDD" w:rsidRDefault="0068011D" w:rsidP="0068011D">
      <w:pPr>
        <w:pStyle w:val="Els-body-text"/>
        <w:rPr>
          <w:sz w:val="18"/>
          <w:szCs w:val="18"/>
        </w:rPr>
      </w:pPr>
      <w:r w:rsidRPr="00447EDD">
        <w:rPr>
          <w:sz w:val="18"/>
          <w:szCs w:val="18"/>
        </w:rPr>
        <w:t xml:space="preserve">Where: cv =conversion, </w:t>
      </w:r>
      <w:proofErr w:type="spellStart"/>
      <w:r w:rsidRPr="00447EDD">
        <w:rPr>
          <w:sz w:val="18"/>
          <w:szCs w:val="18"/>
        </w:rPr>
        <w:t>r</w:t>
      </w:r>
      <w:r w:rsidRPr="00F66ED6">
        <w:rPr>
          <w:sz w:val="18"/>
          <w:szCs w:val="18"/>
          <w:vertAlign w:val="subscript"/>
        </w:rPr>
        <w:t>in</w:t>
      </w:r>
      <w:proofErr w:type="spellEnd"/>
      <w:r w:rsidRPr="00447EDD">
        <w:rPr>
          <w:sz w:val="18"/>
          <w:szCs w:val="18"/>
        </w:rPr>
        <w:t xml:space="preserve"> = reactant input to process (mol/h), r</w:t>
      </w:r>
      <w:r w:rsidRPr="00F66ED6">
        <w:rPr>
          <w:sz w:val="18"/>
          <w:szCs w:val="18"/>
          <w:vertAlign w:val="subscript"/>
        </w:rPr>
        <w:t>out</w:t>
      </w:r>
      <w:r w:rsidRPr="00447EDD">
        <w:rPr>
          <w:sz w:val="18"/>
          <w:szCs w:val="18"/>
        </w:rPr>
        <w:t xml:space="preserve"> = reactant output to process (mol/h), </w:t>
      </w:r>
      <w:proofErr w:type="spellStart"/>
      <w:r w:rsidRPr="00447EDD">
        <w:rPr>
          <w:sz w:val="18"/>
          <w:szCs w:val="18"/>
        </w:rPr>
        <w:t>Yd</w:t>
      </w:r>
      <w:proofErr w:type="spellEnd"/>
      <w:r w:rsidRPr="00447EDD">
        <w:rPr>
          <w:sz w:val="18"/>
          <w:szCs w:val="18"/>
        </w:rPr>
        <w:t xml:space="preserve"> = Yield, </w:t>
      </w:r>
      <w:proofErr w:type="spellStart"/>
      <w:r w:rsidRPr="00447EDD">
        <w:rPr>
          <w:sz w:val="18"/>
          <w:szCs w:val="18"/>
        </w:rPr>
        <w:t>pm</w:t>
      </w:r>
      <w:r w:rsidR="004852CC" w:rsidRPr="00447EDD">
        <w:rPr>
          <w:sz w:val="18"/>
          <w:szCs w:val="18"/>
        </w:rPr>
        <w:t>s</w:t>
      </w:r>
      <w:proofErr w:type="spellEnd"/>
      <w:r w:rsidRPr="00447EDD">
        <w:rPr>
          <w:sz w:val="18"/>
          <w:szCs w:val="18"/>
        </w:rPr>
        <w:t xml:space="preserve"> = desired product</w:t>
      </w:r>
      <w:r w:rsidR="004852CC" w:rsidRPr="00447EDD">
        <w:rPr>
          <w:sz w:val="18"/>
          <w:szCs w:val="18"/>
        </w:rPr>
        <w:t xml:space="preserve"> mass</w:t>
      </w:r>
      <w:r w:rsidRPr="00447EDD">
        <w:rPr>
          <w:sz w:val="18"/>
          <w:szCs w:val="18"/>
        </w:rPr>
        <w:t xml:space="preserve"> (</w:t>
      </w:r>
      <w:r w:rsidR="004852CC" w:rsidRPr="00447EDD">
        <w:rPr>
          <w:sz w:val="18"/>
          <w:szCs w:val="18"/>
        </w:rPr>
        <w:t>kg</w:t>
      </w:r>
      <w:r w:rsidRPr="00447EDD">
        <w:rPr>
          <w:sz w:val="18"/>
          <w:szCs w:val="18"/>
        </w:rPr>
        <w:t xml:space="preserve">), </w:t>
      </w:r>
      <w:r w:rsidR="004852CC" w:rsidRPr="00447EDD">
        <w:rPr>
          <w:sz w:val="18"/>
          <w:szCs w:val="18"/>
        </w:rPr>
        <w:t>r</w:t>
      </w:r>
      <w:r w:rsidRPr="00447EDD">
        <w:rPr>
          <w:sz w:val="18"/>
          <w:szCs w:val="18"/>
        </w:rPr>
        <w:t>m</w:t>
      </w:r>
      <w:r w:rsidR="004852CC" w:rsidRPr="00447EDD">
        <w:rPr>
          <w:sz w:val="18"/>
          <w:szCs w:val="18"/>
        </w:rPr>
        <w:t>s</w:t>
      </w:r>
      <w:r w:rsidRPr="00447EDD">
        <w:rPr>
          <w:sz w:val="18"/>
          <w:szCs w:val="18"/>
        </w:rPr>
        <w:t xml:space="preserve"> = </w:t>
      </w:r>
      <w:r w:rsidR="004852CC" w:rsidRPr="00447EDD">
        <w:rPr>
          <w:sz w:val="18"/>
          <w:szCs w:val="18"/>
        </w:rPr>
        <w:t>reactant mass (kg)</w:t>
      </w:r>
      <w:r w:rsidRPr="00447EDD">
        <w:rPr>
          <w:sz w:val="18"/>
          <w:szCs w:val="18"/>
        </w:rPr>
        <w:t>.</w:t>
      </w:r>
      <w:bookmarkStart w:id="1" w:name="_GoBack"/>
      <w:bookmarkEnd w:id="1"/>
    </w:p>
    <w:p w14:paraId="144DE6A1" w14:textId="1F503F3B" w:rsidR="008D2649" w:rsidRPr="00A94774" w:rsidRDefault="000D46BC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t>Results</w:t>
      </w:r>
    </w:p>
    <w:p w14:paraId="60605C84" w14:textId="05F284BA" w:rsidR="00493D3B" w:rsidRDefault="00DB596A" w:rsidP="0043542E">
      <w:pPr>
        <w:jc w:val="both"/>
      </w:pPr>
      <w:r>
        <w:t>The product obtained</w:t>
      </w:r>
      <w:r w:rsidR="0075508E">
        <w:t>,</w:t>
      </w:r>
      <w:r>
        <w:t xml:space="preserve"> </w:t>
      </w:r>
      <w:r w:rsidR="0075508E">
        <w:t>from</w:t>
      </w:r>
      <w:r>
        <w:t xml:space="preserve"> </w:t>
      </w:r>
      <w:r w:rsidR="0075508E">
        <w:t xml:space="preserve">anaerobic digestion, is </w:t>
      </w:r>
      <w:r w:rsidR="00CD4520">
        <w:t>864.76 kg biogas/h, where 44.28 % mol is methane, 35.37 % mol is CO</w:t>
      </w:r>
      <w:r w:rsidR="00CD4520" w:rsidRPr="00CD4520">
        <w:rPr>
          <w:vertAlign w:val="subscript"/>
        </w:rPr>
        <w:t>2</w:t>
      </w:r>
      <w:r w:rsidR="00CD4520">
        <w:t xml:space="preserve"> and 18.13 % mol is H</w:t>
      </w:r>
      <w:r w:rsidR="00CD4520" w:rsidRPr="00CD4520">
        <w:rPr>
          <w:vertAlign w:val="subscript"/>
        </w:rPr>
        <w:t>2</w:t>
      </w:r>
      <w:r w:rsidR="00CD4520">
        <w:t>.</w:t>
      </w:r>
      <w:r w:rsidR="00493D3B">
        <w:t xml:space="preserve"> About biorefinery, </w:t>
      </w:r>
      <w:r w:rsidR="00FC0E05">
        <w:t>T</w:t>
      </w:r>
      <w:r w:rsidR="00493D3B">
        <w:t>able 2</w:t>
      </w:r>
      <w:r w:rsidR="009D757F">
        <w:t>,</w:t>
      </w:r>
      <w:r w:rsidR="00493D3B">
        <w:t xml:space="preserve"> summarizes all products. </w:t>
      </w:r>
      <w:r w:rsidR="003B42C6">
        <w:t xml:space="preserve">Although it might </w:t>
      </w:r>
      <w:r w:rsidR="00072261">
        <w:t>seem</w:t>
      </w:r>
      <w:r w:rsidR="003B42C6">
        <w:t xml:space="preserve"> that digester get more biofuels, it is important to remember </w:t>
      </w:r>
      <w:r w:rsidR="00AB2488">
        <w:t xml:space="preserve">that </w:t>
      </w:r>
      <w:r w:rsidR="003B42C6">
        <w:t xml:space="preserve">the concentration of methane in </w:t>
      </w:r>
      <w:r w:rsidR="00AB2488">
        <w:t>gas is only 44.28 %mol</w:t>
      </w:r>
      <w:r w:rsidR="003B42C6">
        <w:t>; besides</w:t>
      </w:r>
      <w:r w:rsidR="0043542E">
        <w:t>,</w:t>
      </w:r>
      <w:r w:rsidR="00AB2488">
        <w:t xml:space="preserve"> </w:t>
      </w:r>
      <w:r w:rsidR="0043542E">
        <w:t xml:space="preserve">this methane biogas has lower energy than those products obtained from </w:t>
      </w:r>
      <w:r w:rsidR="00AB2488">
        <w:t>biorefinery</w:t>
      </w:r>
      <w:r w:rsidR="0043542E">
        <w:t xml:space="preserve">, because </w:t>
      </w:r>
      <w:r w:rsidR="00AD6ACC">
        <w:t>it</w:t>
      </w:r>
      <w:r w:rsidR="0043542E">
        <w:t xml:space="preserve"> </w:t>
      </w:r>
      <w:r w:rsidR="00AD6ACC">
        <w:t>has</w:t>
      </w:r>
      <w:r w:rsidR="0043542E">
        <w:t xml:space="preserve"> a longer carbon chain.</w:t>
      </w:r>
    </w:p>
    <w:p w14:paraId="2FF07E02" w14:textId="77777777" w:rsidR="00493D3B" w:rsidRDefault="00493D3B" w:rsidP="003718C2"/>
    <w:p w14:paraId="20A0B128" w14:textId="60480400" w:rsidR="003D1772" w:rsidRDefault="00493D3B" w:rsidP="00872775">
      <w:pPr>
        <w:pStyle w:val="Els-body-text"/>
      </w:pPr>
      <w:r>
        <w:t xml:space="preserve">Table 1 compares the quality of </w:t>
      </w:r>
      <w:r w:rsidR="002E62EE">
        <w:t xml:space="preserve">water. </w:t>
      </w:r>
      <w:r w:rsidR="0016547F">
        <w:t>Th</w:t>
      </w:r>
      <w:r w:rsidR="009D757F">
        <w:t>e water produced</w:t>
      </w:r>
      <w:r w:rsidR="0016547F">
        <w:t xml:space="preserve"> </w:t>
      </w:r>
      <w:r w:rsidR="002E62EE">
        <w:t xml:space="preserve">from </w:t>
      </w:r>
      <w:r w:rsidR="00DF635B">
        <w:t xml:space="preserve">the </w:t>
      </w:r>
      <w:proofErr w:type="spellStart"/>
      <w:r w:rsidR="0016547F">
        <w:t>digestor</w:t>
      </w:r>
      <w:proofErr w:type="spellEnd"/>
      <w:r w:rsidR="0016547F">
        <w:t xml:space="preserve"> still having a</w:t>
      </w:r>
      <w:r w:rsidR="002E62EE">
        <w:t xml:space="preserve"> COD</w:t>
      </w:r>
      <w:r w:rsidR="0016547F">
        <w:t xml:space="preserve"> value elevated, unlike biorefinery. Table 3 shows the values for those parameters selected to perform the comparison. In this sense,</w:t>
      </w:r>
      <w:r w:rsidR="003D1772">
        <w:t xml:space="preserve"> the</w:t>
      </w:r>
      <w:r w:rsidR="0016547F">
        <w:t xml:space="preserve"> </w:t>
      </w:r>
      <w:proofErr w:type="spellStart"/>
      <w:r w:rsidR="003D1772">
        <w:t>digestor</w:t>
      </w:r>
      <w:proofErr w:type="spellEnd"/>
      <w:r w:rsidR="003D1772">
        <w:t xml:space="preserve"> </w:t>
      </w:r>
      <w:proofErr w:type="spellStart"/>
      <w:r w:rsidR="0016547F">
        <w:t>Yd</w:t>
      </w:r>
      <w:r w:rsidR="0016547F" w:rsidRPr="0016547F">
        <w:rPr>
          <w:vertAlign w:val="subscript"/>
        </w:rPr>
        <w:t>treated</w:t>
      </w:r>
      <w:proofErr w:type="spellEnd"/>
      <w:r w:rsidR="0016547F" w:rsidRPr="0016547F">
        <w:rPr>
          <w:vertAlign w:val="subscript"/>
        </w:rPr>
        <w:t>-water</w:t>
      </w:r>
      <w:r w:rsidR="003D1772">
        <w:t xml:space="preserve"> is better than </w:t>
      </w:r>
      <w:r w:rsidR="00AD6ACC">
        <w:t xml:space="preserve">the </w:t>
      </w:r>
      <w:r w:rsidR="009D757F">
        <w:t>biorefinery one;</w:t>
      </w:r>
      <w:r w:rsidR="003D1772">
        <w:t xml:space="preserve"> however, it does not </w:t>
      </w:r>
      <w:r w:rsidR="00AB2488">
        <w:t xml:space="preserve">achieve </w:t>
      </w:r>
      <w:r w:rsidR="003D1772">
        <w:t>with limits in Mexican Law</w:t>
      </w:r>
      <w:r w:rsidR="00AB2488">
        <w:t xml:space="preserve"> about COD</w:t>
      </w:r>
      <w:r w:rsidR="003D1772">
        <w:t xml:space="preserve">.  </w:t>
      </w:r>
      <w:r w:rsidR="00A2408C">
        <w:t xml:space="preserve">On </w:t>
      </w:r>
      <w:r w:rsidR="00AD6ACC">
        <w:t xml:space="preserve">the </w:t>
      </w:r>
      <w:r w:rsidR="00A2408C">
        <w:t>other side, although the anaerobic digestor has employed solids to generate</w:t>
      </w:r>
      <w:r w:rsidR="0043542E">
        <w:t xml:space="preserve"> more quantity of</w:t>
      </w:r>
      <w:r w:rsidR="00A2408C">
        <w:t xml:space="preserve"> biofuels, biorefinery can get better </w:t>
      </w:r>
      <w:proofErr w:type="spellStart"/>
      <w:r w:rsidR="00A2408C">
        <w:t>Yd</w:t>
      </w:r>
      <w:r w:rsidR="00A2408C" w:rsidRPr="003B42C6">
        <w:rPr>
          <w:vertAlign w:val="subscript"/>
        </w:rPr>
        <w:t>biofuels</w:t>
      </w:r>
      <w:proofErr w:type="spellEnd"/>
      <w:r w:rsidR="00A2408C">
        <w:t xml:space="preserve"> </w:t>
      </w:r>
      <w:r w:rsidR="003B42C6">
        <w:t xml:space="preserve">without </w:t>
      </w:r>
      <w:r w:rsidR="00AD6ACC">
        <w:t>using</w:t>
      </w:r>
      <w:r w:rsidR="003B42C6">
        <w:t xml:space="preserve"> those solids.</w:t>
      </w:r>
      <w:r w:rsidR="00DF2956">
        <w:t xml:space="preserve"> </w:t>
      </w:r>
      <w:r w:rsidR="00872775">
        <w:rPr>
          <w:lang w:val="en-GB"/>
        </w:rPr>
        <w:t>Finally, 93 % of energy employed for biorefinery comes from</w:t>
      </w:r>
      <w:r w:rsidR="009D757F">
        <w:rPr>
          <w:lang w:val="en-GB"/>
        </w:rPr>
        <w:t xml:space="preserve"> the energy contained in</w:t>
      </w:r>
      <w:r w:rsidR="00872775">
        <w:rPr>
          <w:lang w:val="en-GB"/>
        </w:rPr>
        <w:t xml:space="preserve"> RD-</w:t>
      </w:r>
      <w:r w:rsidR="009075CA">
        <w:rPr>
          <w:lang w:val="en-GB"/>
        </w:rPr>
        <w:t>01</w:t>
      </w:r>
      <w:r w:rsidR="00FC0E05">
        <w:rPr>
          <w:lang w:val="en-GB"/>
        </w:rPr>
        <w:t>;</w:t>
      </w:r>
      <w:r w:rsidR="009075CA">
        <w:rPr>
          <w:lang w:val="en-GB"/>
        </w:rPr>
        <w:t xml:space="preserve"> </w:t>
      </w:r>
      <w:r w:rsidR="009D757F" w:rsidRPr="009D757F">
        <w:rPr>
          <w:lang w:val="en-GB"/>
        </w:rPr>
        <w:t>it is important to highlight that heat integration is not considered. Indeed, the application of heat integration tools could reduce the heat duty for the refinery</w:t>
      </w:r>
      <w:r w:rsidR="009075CA">
        <w:rPr>
          <w:lang w:val="en-GB"/>
        </w:rPr>
        <w:t>.</w:t>
      </w:r>
      <w:r w:rsidR="00872775">
        <w:rPr>
          <w:lang w:val="en-GB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  <w:gridCol w:w="3538"/>
      </w:tblGrid>
      <w:tr w:rsidR="00AA7AA8" w:rsidRPr="008D4793" w14:paraId="2D6CDCF3" w14:textId="77777777" w:rsidTr="00477993">
        <w:trPr>
          <w:trHeight w:val="3409"/>
        </w:trPr>
        <w:tc>
          <w:tcPr>
            <w:tcW w:w="3538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2"/>
              <w:gridCol w:w="1325"/>
            </w:tblGrid>
            <w:tr w:rsidR="00AA7AA8" w:rsidRPr="008D4793" w14:paraId="111FF0B0" w14:textId="77777777" w:rsidTr="00E22367">
              <w:trPr>
                <w:trHeight w:val="422"/>
                <w:jc w:val="center"/>
              </w:trPr>
              <w:tc>
                <w:tcPr>
                  <w:tcW w:w="33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6616300" w14:textId="7CD710BE" w:rsidR="00AA7AA8" w:rsidRPr="008D4793" w:rsidRDefault="00AA7AA8" w:rsidP="00B44790">
                  <w:pPr>
                    <w:pStyle w:val="TableParagraph"/>
                    <w:ind w:left="101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D479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Table 2.- Biorefinery products</w:t>
                  </w:r>
                </w:p>
              </w:tc>
            </w:tr>
            <w:tr w:rsidR="00AA7AA8" w:rsidRPr="008D4793" w14:paraId="35DA6DFA" w14:textId="77777777" w:rsidTr="00E22367">
              <w:trPr>
                <w:trHeight w:val="20"/>
                <w:jc w:val="center"/>
              </w:trPr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6142D1" w14:textId="77777777" w:rsidR="00AA7AA8" w:rsidRPr="008D4793" w:rsidRDefault="00AA7AA8" w:rsidP="00563C5C">
                  <w:pPr>
                    <w:pStyle w:val="TableParagraph"/>
                    <w:ind w:left="128" w:right="12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8D4793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en-US"/>
                    </w:rPr>
                    <w:t>Product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B4D0C37" w14:textId="77777777" w:rsidR="00AA7AA8" w:rsidRPr="008D4793" w:rsidRDefault="00AA7AA8" w:rsidP="00563C5C">
                  <w:pPr>
                    <w:pStyle w:val="TableParagraph"/>
                    <w:ind w:left="10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8D479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Mass flow</w:t>
                  </w:r>
                  <w:r w:rsidRPr="008D4793"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18"/>
                      <w:szCs w:val="18"/>
                      <w:lang w:val="en-US"/>
                    </w:rPr>
                    <w:t xml:space="preserve"> </w:t>
                  </w:r>
                  <w:r w:rsidRPr="008D4793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en-US"/>
                    </w:rPr>
                    <w:t>(kg/h)</w:t>
                  </w:r>
                </w:p>
              </w:tc>
            </w:tr>
            <w:tr w:rsidR="00AA7AA8" w:rsidRPr="008D4793" w14:paraId="5AC31EE2" w14:textId="77777777" w:rsidTr="00E22367">
              <w:trPr>
                <w:trHeight w:val="20"/>
                <w:jc w:val="center"/>
              </w:trPr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7B9DB0D" w14:textId="77777777" w:rsidR="00AA7AA8" w:rsidRPr="008D4793" w:rsidRDefault="00AA7AA8" w:rsidP="00563C5C">
                  <w:pPr>
                    <w:pStyle w:val="TableParagraph"/>
                    <w:spacing w:before="119"/>
                    <w:ind w:left="0" w:right="12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8D479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Propylene glycol</w:t>
                  </w:r>
                  <w:r w:rsidRPr="008D4793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  <w:lang w:val="en-US"/>
                    </w:rPr>
                    <w:t xml:space="preserve"> </w:t>
                  </w:r>
                  <w:r w:rsidRPr="008D479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/</w:t>
                  </w:r>
                  <w:r w:rsidRPr="008D4793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D4793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en-US"/>
                    </w:rPr>
                    <w:t>dipropylene</w:t>
                  </w:r>
                  <w:proofErr w:type="spellEnd"/>
                  <w:r w:rsidRPr="008D4793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en-US"/>
                    </w:rPr>
                    <w:t xml:space="preserve"> glycol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0154349" w14:textId="77777777" w:rsidR="00AA7AA8" w:rsidRPr="008D4793" w:rsidRDefault="00AA7AA8" w:rsidP="00563C5C">
                  <w:pPr>
                    <w:pStyle w:val="TableParagraph"/>
                    <w:spacing w:before="119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8D4793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en-US"/>
                    </w:rPr>
                    <w:t>47.66</w:t>
                  </w:r>
                </w:p>
              </w:tc>
            </w:tr>
            <w:tr w:rsidR="00AA7AA8" w:rsidRPr="008D4793" w14:paraId="700A6BB4" w14:textId="77777777" w:rsidTr="00E22367">
              <w:trPr>
                <w:trHeight w:val="20"/>
                <w:jc w:val="center"/>
              </w:trPr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A84BC5D" w14:textId="77777777" w:rsidR="00AA7AA8" w:rsidRPr="008D4793" w:rsidRDefault="00AA7AA8" w:rsidP="00563C5C">
                  <w:pPr>
                    <w:pStyle w:val="TableParagraph"/>
                    <w:ind w:left="126" w:right="12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D4793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en-US"/>
                    </w:rPr>
                    <w:t>Levulinic</w:t>
                  </w:r>
                  <w:proofErr w:type="spellEnd"/>
                  <w:r w:rsidRPr="008D4793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en-US"/>
                    </w:rPr>
                    <w:t xml:space="preserve"> Acid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13B03B8" w14:textId="77777777" w:rsidR="00AA7AA8" w:rsidRPr="008D4793" w:rsidRDefault="00AA7AA8" w:rsidP="00563C5C">
                  <w:pPr>
                    <w:pStyle w:val="TableParagraph"/>
                    <w:ind w:left="101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8D4793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en-US"/>
                    </w:rPr>
                    <w:t>221.57</w:t>
                  </w:r>
                </w:p>
              </w:tc>
            </w:tr>
            <w:tr w:rsidR="00AA7AA8" w:rsidRPr="008D4793" w14:paraId="5B2104DF" w14:textId="77777777" w:rsidTr="00E22367">
              <w:trPr>
                <w:trHeight w:val="20"/>
                <w:jc w:val="center"/>
              </w:trPr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AD2CBA1" w14:textId="77777777" w:rsidR="00AA7AA8" w:rsidRPr="008D4793" w:rsidRDefault="00AA7AA8" w:rsidP="00563C5C">
                  <w:pPr>
                    <w:pStyle w:val="TableParagraph"/>
                    <w:ind w:left="127" w:right="12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8D4793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en-US"/>
                    </w:rPr>
                    <w:t>Bioethanol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3DAC769" w14:textId="77777777" w:rsidR="00AA7AA8" w:rsidRPr="008D4793" w:rsidRDefault="00AA7AA8" w:rsidP="00563C5C">
                  <w:pPr>
                    <w:pStyle w:val="TableParagraph"/>
                    <w:ind w:left="101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8D4793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  <w:lang w:val="en-US"/>
                    </w:rPr>
                    <w:t>4.56</w:t>
                  </w:r>
                </w:p>
              </w:tc>
            </w:tr>
            <w:tr w:rsidR="00AA7AA8" w:rsidRPr="008D4793" w14:paraId="391491A6" w14:textId="77777777" w:rsidTr="00E22367">
              <w:trPr>
                <w:trHeight w:val="20"/>
                <w:jc w:val="center"/>
              </w:trPr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CC4D746" w14:textId="77777777" w:rsidR="00AA7AA8" w:rsidRPr="008D4793" w:rsidRDefault="00AA7AA8" w:rsidP="00563C5C">
                  <w:pPr>
                    <w:pStyle w:val="TableParagraph"/>
                    <w:ind w:left="128" w:right="12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8D479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Formic Acid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683605C" w14:textId="77777777" w:rsidR="00AA7AA8" w:rsidRPr="008D4793" w:rsidRDefault="00AA7AA8" w:rsidP="00563C5C">
                  <w:pPr>
                    <w:pStyle w:val="TableParagraph"/>
                    <w:ind w:left="101" w:right="101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8D4793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  <w:lang w:val="en-US"/>
                    </w:rPr>
                    <w:t>96.4</w:t>
                  </w:r>
                </w:p>
              </w:tc>
            </w:tr>
            <w:tr w:rsidR="00AA7AA8" w:rsidRPr="008D4793" w14:paraId="47954AD7" w14:textId="77777777" w:rsidTr="00E22367">
              <w:trPr>
                <w:trHeight w:val="20"/>
                <w:jc w:val="center"/>
              </w:trPr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245A2E" w14:textId="77777777" w:rsidR="00AA7AA8" w:rsidRPr="008D4793" w:rsidRDefault="00AA7AA8" w:rsidP="00563C5C">
                  <w:pPr>
                    <w:pStyle w:val="TableParagraph"/>
                    <w:ind w:left="128" w:right="121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8D479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Light Gas</w:t>
                  </w:r>
                  <w:r w:rsidRPr="008D4793">
                    <w:rPr>
                      <w:rFonts w:ascii="Times New Roman" w:hAnsi="Times New Roman" w:cs="Times New Roman"/>
                      <w:spacing w:val="1"/>
                      <w:sz w:val="18"/>
                      <w:szCs w:val="18"/>
                      <w:lang w:val="en-US"/>
                    </w:rPr>
                    <w:t xml:space="preserve"> </w:t>
                  </w:r>
                  <w:r w:rsidRPr="008D479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(C</w:t>
                  </w:r>
                  <w:r w:rsidRPr="00EA55F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1</w:t>
                  </w:r>
                  <w:r w:rsidRPr="008D479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-</w:t>
                  </w:r>
                  <w:r w:rsidRPr="008D4793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  <w:lang w:val="en-US"/>
                    </w:rPr>
                    <w:t>C</w:t>
                  </w:r>
                  <w:r w:rsidRPr="00EA55F2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  <w:vertAlign w:val="subscript"/>
                      <w:lang w:val="en-US"/>
                    </w:rPr>
                    <w:t>4</w:t>
                  </w:r>
                  <w:r w:rsidRPr="008D4793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EA47E7D" w14:textId="77777777" w:rsidR="00AA7AA8" w:rsidRPr="008D4793" w:rsidRDefault="00AA7AA8" w:rsidP="00563C5C">
                  <w:pPr>
                    <w:pStyle w:val="TableParagraph"/>
                    <w:ind w:left="101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8D4793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en-US"/>
                    </w:rPr>
                    <w:t>86.32</w:t>
                  </w:r>
                </w:p>
              </w:tc>
            </w:tr>
            <w:tr w:rsidR="00AA7AA8" w:rsidRPr="008D4793" w14:paraId="4ED96772" w14:textId="77777777" w:rsidTr="00E22367">
              <w:trPr>
                <w:trHeight w:val="252"/>
                <w:jc w:val="center"/>
              </w:trPr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564F43F" w14:textId="5C4E7CF0" w:rsidR="00AA7AA8" w:rsidRPr="008D4793" w:rsidRDefault="00AA7AA8">
                  <w:pPr>
                    <w:pStyle w:val="TableParagraph"/>
                    <w:spacing w:before="118"/>
                    <w:ind w:left="128" w:right="12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8D479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Na</w:t>
                  </w:r>
                  <w:r w:rsidR="00DF2956" w:rsidRPr="008D479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ph</w:t>
                  </w:r>
                  <w:r w:rsidRPr="008D479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t</w:t>
                  </w:r>
                  <w:r w:rsidR="00DF2956" w:rsidRPr="008D479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8D479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 (C</w:t>
                  </w:r>
                  <w:r w:rsidRPr="00EA55F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5</w:t>
                  </w:r>
                  <w:r w:rsidRPr="008D479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-</w:t>
                  </w:r>
                  <w:r w:rsidRPr="008D4793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  <w:lang w:val="en-US"/>
                    </w:rPr>
                    <w:t>C</w:t>
                  </w:r>
                  <w:r w:rsidRPr="00EA55F2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  <w:vertAlign w:val="subscript"/>
                      <w:lang w:val="en-US"/>
                    </w:rPr>
                    <w:t>7</w:t>
                  </w:r>
                  <w:r w:rsidRPr="008D4793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CFADC11" w14:textId="77777777" w:rsidR="00AA7AA8" w:rsidRPr="008D4793" w:rsidRDefault="00AA7AA8" w:rsidP="00563C5C">
                  <w:pPr>
                    <w:pStyle w:val="TableParagraph"/>
                    <w:spacing w:before="118"/>
                    <w:ind w:left="101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8D4793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en-US"/>
                    </w:rPr>
                    <w:t>73.03</w:t>
                  </w:r>
                </w:p>
              </w:tc>
            </w:tr>
            <w:tr w:rsidR="00AA7AA8" w:rsidRPr="008D4793" w14:paraId="210C8FAC" w14:textId="77777777" w:rsidTr="00E22367">
              <w:trPr>
                <w:trHeight w:val="58"/>
                <w:jc w:val="center"/>
              </w:trPr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5625024" w14:textId="3901A7D7" w:rsidR="00AA7AA8" w:rsidRPr="008D4793" w:rsidRDefault="004850E7" w:rsidP="00563C5C">
                  <w:pPr>
                    <w:pStyle w:val="TableParagraph"/>
                    <w:ind w:left="128" w:right="121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Sustainable aviation fuel</w:t>
                  </w:r>
                  <w:r w:rsidR="00AA7AA8" w:rsidRPr="008D4793">
                    <w:rPr>
                      <w:rFonts w:ascii="Times New Roman" w:hAnsi="Times New Roman" w:cs="Times New Roman"/>
                      <w:spacing w:val="3"/>
                      <w:sz w:val="18"/>
                      <w:szCs w:val="18"/>
                      <w:lang w:val="en-US"/>
                    </w:rPr>
                    <w:t xml:space="preserve"> </w:t>
                  </w:r>
                  <w:r w:rsidR="00AA7AA8" w:rsidRPr="008D479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(C</w:t>
                  </w:r>
                  <w:r w:rsidR="00AA7AA8" w:rsidRPr="00EA55F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8</w:t>
                  </w:r>
                  <w:r w:rsidR="00AA7AA8" w:rsidRPr="008D479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-</w:t>
                  </w:r>
                  <w:r w:rsidR="00AA7AA8" w:rsidRPr="008D4793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  <w:lang w:val="en-US"/>
                    </w:rPr>
                    <w:t>C</w:t>
                  </w:r>
                  <w:r w:rsidR="00AA7AA8" w:rsidRPr="00EA55F2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  <w:vertAlign w:val="subscript"/>
                      <w:lang w:val="en-US"/>
                    </w:rPr>
                    <w:t>16</w:t>
                  </w:r>
                  <w:r w:rsidR="00AA7AA8" w:rsidRPr="008D4793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7A932BF" w14:textId="77777777" w:rsidR="00AA7AA8" w:rsidRPr="008D4793" w:rsidRDefault="00AA7AA8" w:rsidP="00563C5C">
                  <w:pPr>
                    <w:pStyle w:val="TableParagraph"/>
                    <w:ind w:left="101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8D4793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en-US"/>
                    </w:rPr>
                    <w:t>103.83</w:t>
                  </w:r>
                </w:p>
              </w:tc>
            </w:tr>
            <w:tr w:rsidR="00AA7AA8" w:rsidRPr="008D4793" w14:paraId="3EF1F6D0" w14:textId="77777777" w:rsidTr="00E22367">
              <w:trPr>
                <w:trHeight w:val="20"/>
                <w:jc w:val="center"/>
              </w:trPr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9F07B7E" w14:textId="77777777" w:rsidR="00AA7AA8" w:rsidRPr="008D4793" w:rsidRDefault="00AA7AA8" w:rsidP="00563C5C">
                  <w:pPr>
                    <w:pStyle w:val="TableParagraph"/>
                    <w:spacing w:before="0"/>
                    <w:ind w:left="128" w:right="121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8D479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Green diesel</w:t>
                  </w:r>
                  <w:r w:rsidRPr="008D4793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lang w:val="en-US"/>
                    </w:rPr>
                    <w:t xml:space="preserve"> </w:t>
                  </w:r>
                  <w:r w:rsidRPr="008D479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(C</w:t>
                  </w:r>
                  <w:r w:rsidRPr="00EA55F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17</w:t>
                  </w:r>
                  <w:r w:rsidRPr="008D479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-</w:t>
                  </w:r>
                  <w:r w:rsidRPr="008D4793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  <w:lang w:val="en-US"/>
                    </w:rPr>
                    <w:t>C</w:t>
                  </w:r>
                  <w:r w:rsidRPr="00EA55F2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  <w:vertAlign w:val="subscript"/>
                      <w:lang w:val="en-US"/>
                    </w:rPr>
                    <w:t>20</w:t>
                  </w:r>
                  <w:r w:rsidRPr="008D4793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9BE91F4" w14:textId="77777777" w:rsidR="00AA7AA8" w:rsidRPr="008D4793" w:rsidRDefault="00AA7AA8" w:rsidP="00563C5C">
                  <w:pPr>
                    <w:pStyle w:val="TableParagraph"/>
                    <w:spacing w:before="0"/>
                    <w:ind w:left="101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8D4793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en-US"/>
                    </w:rPr>
                    <w:t>26.03</w:t>
                  </w:r>
                </w:p>
              </w:tc>
            </w:tr>
          </w:tbl>
          <w:p w14:paraId="0BDA43DB" w14:textId="77777777" w:rsidR="00AA7AA8" w:rsidRPr="008D4793" w:rsidRDefault="00AA7AA8" w:rsidP="003B6E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8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37"/>
              <w:gridCol w:w="1096"/>
              <w:gridCol w:w="989"/>
            </w:tblGrid>
            <w:tr w:rsidR="008B4873" w:rsidRPr="008D4793" w14:paraId="13C8B11C" w14:textId="77777777" w:rsidTr="008D4793">
              <w:tc>
                <w:tcPr>
                  <w:tcW w:w="3322" w:type="dxa"/>
                  <w:gridSpan w:val="3"/>
                  <w:vAlign w:val="center"/>
                </w:tcPr>
                <w:p w14:paraId="19274D2F" w14:textId="6787B989" w:rsidR="008B4873" w:rsidRPr="008D4793" w:rsidRDefault="008B4873" w:rsidP="00B44790">
                  <w:pPr>
                    <w:rPr>
                      <w:b/>
                      <w:bCs/>
                    </w:rPr>
                  </w:pPr>
                  <w:r w:rsidRPr="008D4793">
                    <w:rPr>
                      <w:b/>
                      <w:bCs/>
                    </w:rPr>
                    <w:t xml:space="preserve">Table 3.- Process </w:t>
                  </w:r>
                  <w:r w:rsidR="00AD6ACC" w:rsidRPr="008D4793">
                    <w:rPr>
                      <w:b/>
                      <w:bCs/>
                    </w:rPr>
                    <w:t>comparison</w:t>
                  </w:r>
                </w:p>
              </w:tc>
            </w:tr>
            <w:tr w:rsidR="008B4873" w:rsidRPr="008D4793" w14:paraId="3F238A14" w14:textId="77777777" w:rsidTr="008D4793">
              <w:tc>
                <w:tcPr>
                  <w:tcW w:w="1322" w:type="dxa"/>
                  <w:vAlign w:val="center"/>
                </w:tcPr>
                <w:p w14:paraId="153F3905" w14:textId="7E25711B" w:rsidR="008B4873" w:rsidRPr="008D4793" w:rsidRDefault="008B4873" w:rsidP="003B6E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D4793">
                    <w:rPr>
                      <w:b/>
                      <w:bCs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988" w:type="dxa"/>
                  <w:vAlign w:val="center"/>
                </w:tcPr>
                <w:p w14:paraId="357B30FC" w14:textId="3BE0867D" w:rsidR="008B4873" w:rsidRPr="008D4793" w:rsidRDefault="008B4873" w:rsidP="003B6E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D4793">
                    <w:rPr>
                      <w:b/>
                      <w:bCs/>
                      <w:sz w:val="18"/>
                      <w:szCs w:val="18"/>
                    </w:rPr>
                    <w:t>Biorefinery</w:t>
                  </w:r>
                </w:p>
              </w:tc>
              <w:tc>
                <w:tcPr>
                  <w:tcW w:w="1012" w:type="dxa"/>
                  <w:vAlign w:val="center"/>
                </w:tcPr>
                <w:p w14:paraId="521307EA" w14:textId="44039144" w:rsidR="008B4873" w:rsidRPr="008D4793" w:rsidRDefault="008D4793" w:rsidP="003B6E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D4793">
                    <w:rPr>
                      <w:b/>
                      <w:bCs/>
                      <w:sz w:val="18"/>
                      <w:szCs w:val="18"/>
                    </w:rPr>
                    <w:t>D</w:t>
                  </w:r>
                  <w:r w:rsidR="008B4873" w:rsidRPr="008D4793">
                    <w:rPr>
                      <w:b/>
                      <w:bCs/>
                      <w:sz w:val="18"/>
                      <w:szCs w:val="18"/>
                    </w:rPr>
                    <w:t>igestion</w:t>
                  </w:r>
                </w:p>
              </w:tc>
            </w:tr>
            <w:tr w:rsidR="008B4873" w:rsidRPr="008D4793" w14:paraId="6DF4F97C" w14:textId="77777777" w:rsidTr="008D4793">
              <w:tc>
                <w:tcPr>
                  <w:tcW w:w="1322" w:type="dxa"/>
                  <w:vAlign w:val="center"/>
                </w:tcPr>
                <w:p w14:paraId="5174F496" w14:textId="2231E8EC" w:rsidR="008B4873" w:rsidRPr="008D4793" w:rsidRDefault="00355DED" w:rsidP="003B6EEE">
                  <w:pPr>
                    <w:jc w:val="center"/>
                    <w:rPr>
                      <w:sz w:val="18"/>
                      <w:szCs w:val="18"/>
                    </w:rPr>
                  </w:pPr>
                  <w:r w:rsidRPr="008D4793">
                    <w:rPr>
                      <w:sz w:val="18"/>
                      <w:szCs w:val="18"/>
                    </w:rPr>
                    <w:t>Heat duty (kW)</w:t>
                  </w:r>
                </w:p>
              </w:tc>
              <w:tc>
                <w:tcPr>
                  <w:tcW w:w="988" w:type="dxa"/>
                  <w:vAlign w:val="center"/>
                </w:tcPr>
                <w:p w14:paraId="0ED7F7BC" w14:textId="011502B7" w:rsidR="008B4873" w:rsidRPr="008D4793" w:rsidRDefault="00675657" w:rsidP="003B6EEE">
                  <w:pPr>
                    <w:jc w:val="center"/>
                    <w:rPr>
                      <w:sz w:val="18"/>
                      <w:szCs w:val="18"/>
                    </w:rPr>
                  </w:pPr>
                  <w:r w:rsidRPr="008D4793">
                    <w:rPr>
                      <w:sz w:val="18"/>
                      <w:szCs w:val="18"/>
                    </w:rPr>
                    <w:t>64,829.44</w:t>
                  </w:r>
                </w:p>
              </w:tc>
              <w:tc>
                <w:tcPr>
                  <w:tcW w:w="1012" w:type="dxa"/>
                  <w:vAlign w:val="center"/>
                </w:tcPr>
                <w:p w14:paraId="0E47A797" w14:textId="4C34B0EF" w:rsidR="008B4873" w:rsidRPr="008D4793" w:rsidRDefault="0005628A" w:rsidP="003B6EEE">
                  <w:pPr>
                    <w:jc w:val="center"/>
                    <w:rPr>
                      <w:sz w:val="18"/>
                      <w:szCs w:val="18"/>
                    </w:rPr>
                  </w:pPr>
                  <w:r w:rsidRPr="008D4793">
                    <w:rPr>
                      <w:sz w:val="18"/>
                      <w:szCs w:val="18"/>
                    </w:rPr>
                    <w:t>519.45</w:t>
                  </w:r>
                </w:p>
              </w:tc>
            </w:tr>
            <w:tr w:rsidR="008B4873" w:rsidRPr="008D4793" w14:paraId="00325751" w14:textId="77777777" w:rsidTr="008D4793">
              <w:tc>
                <w:tcPr>
                  <w:tcW w:w="1322" w:type="dxa"/>
                  <w:vAlign w:val="center"/>
                </w:tcPr>
                <w:p w14:paraId="6A13FBA3" w14:textId="3101035F" w:rsidR="008B4873" w:rsidRPr="008D4793" w:rsidRDefault="00FF7BCC" w:rsidP="003B6EEE">
                  <w:pPr>
                    <w:jc w:val="center"/>
                    <w:rPr>
                      <w:sz w:val="18"/>
                      <w:szCs w:val="18"/>
                      <w:vertAlign w:val="subscript"/>
                    </w:rPr>
                  </w:pPr>
                  <w:proofErr w:type="spellStart"/>
                  <w:r w:rsidRPr="008D4793">
                    <w:rPr>
                      <w:sz w:val="18"/>
                      <w:szCs w:val="18"/>
                    </w:rPr>
                    <w:t>cv</w:t>
                  </w:r>
                  <w:r w:rsidRPr="008D4793">
                    <w:rPr>
                      <w:sz w:val="18"/>
                      <w:szCs w:val="18"/>
                      <w:vertAlign w:val="subscript"/>
                    </w:rPr>
                    <w:t>glucose</w:t>
                  </w:r>
                  <w:proofErr w:type="spellEnd"/>
                </w:p>
              </w:tc>
              <w:tc>
                <w:tcPr>
                  <w:tcW w:w="988" w:type="dxa"/>
                  <w:vAlign w:val="center"/>
                </w:tcPr>
                <w:p w14:paraId="1BA98425" w14:textId="78710F51" w:rsidR="008B4873" w:rsidRPr="008D4793" w:rsidRDefault="00C3491A" w:rsidP="003B6EEE">
                  <w:pPr>
                    <w:jc w:val="center"/>
                    <w:rPr>
                      <w:sz w:val="18"/>
                      <w:szCs w:val="18"/>
                    </w:rPr>
                  </w:pPr>
                  <w:r w:rsidRPr="008D4793">
                    <w:rPr>
                      <w:sz w:val="18"/>
                      <w:szCs w:val="18"/>
                    </w:rPr>
                    <w:t>65.7</w:t>
                  </w:r>
                  <w:r w:rsidR="00905186" w:rsidRPr="008D4793">
                    <w:rPr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1012" w:type="dxa"/>
                  <w:vAlign w:val="center"/>
                </w:tcPr>
                <w:p w14:paraId="513F3072" w14:textId="37E0C933" w:rsidR="0005628A" w:rsidRPr="008D4793" w:rsidRDefault="0005628A" w:rsidP="003B6EEE">
                  <w:pPr>
                    <w:jc w:val="center"/>
                    <w:rPr>
                      <w:sz w:val="18"/>
                      <w:szCs w:val="18"/>
                    </w:rPr>
                  </w:pPr>
                  <w:r w:rsidRPr="008D4793">
                    <w:rPr>
                      <w:sz w:val="18"/>
                      <w:szCs w:val="18"/>
                    </w:rPr>
                    <w:t>94.32</w:t>
                  </w:r>
                  <w:r w:rsidR="00905186" w:rsidRPr="008D4793">
                    <w:rPr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8B4873" w:rsidRPr="008D4793" w14:paraId="71F5F3D1" w14:textId="77777777" w:rsidTr="008D4793">
              <w:tc>
                <w:tcPr>
                  <w:tcW w:w="1322" w:type="dxa"/>
                  <w:vAlign w:val="center"/>
                </w:tcPr>
                <w:p w14:paraId="264C5FFF" w14:textId="1C8C4BDC" w:rsidR="008B4873" w:rsidRPr="008D4793" w:rsidRDefault="00FF7BCC" w:rsidP="003B6EEE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8D4793">
                    <w:rPr>
                      <w:sz w:val="18"/>
                      <w:szCs w:val="18"/>
                    </w:rPr>
                    <w:t>cv</w:t>
                  </w:r>
                  <w:r w:rsidRPr="008D4793">
                    <w:rPr>
                      <w:sz w:val="18"/>
                      <w:szCs w:val="18"/>
                      <w:vertAlign w:val="subscript"/>
                    </w:rPr>
                    <w:t>ethanol</w:t>
                  </w:r>
                  <w:proofErr w:type="spellEnd"/>
                </w:p>
              </w:tc>
              <w:tc>
                <w:tcPr>
                  <w:tcW w:w="988" w:type="dxa"/>
                  <w:vAlign w:val="center"/>
                </w:tcPr>
                <w:p w14:paraId="5B0B7B80" w14:textId="67423C64" w:rsidR="008B4873" w:rsidRPr="008D4793" w:rsidRDefault="00964D8B" w:rsidP="003B6EEE">
                  <w:pPr>
                    <w:jc w:val="center"/>
                    <w:rPr>
                      <w:sz w:val="18"/>
                      <w:szCs w:val="18"/>
                    </w:rPr>
                  </w:pPr>
                  <w:r w:rsidRPr="008D4793">
                    <w:rPr>
                      <w:sz w:val="18"/>
                      <w:szCs w:val="18"/>
                    </w:rPr>
                    <w:t>65.08</w:t>
                  </w:r>
                  <w:r w:rsidR="00905186" w:rsidRPr="008D4793">
                    <w:rPr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1012" w:type="dxa"/>
                  <w:vAlign w:val="center"/>
                </w:tcPr>
                <w:p w14:paraId="628DB8C3" w14:textId="45937AF9" w:rsidR="008B4873" w:rsidRPr="008D4793" w:rsidRDefault="0005628A" w:rsidP="003B6EEE">
                  <w:pPr>
                    <w:jc w:val="center"/>
                    <w:rPr>
                      <w:sz w:val="18"/>
                      <w:szCs w:val="18"/>
                    </w:rPr>
                  </w:pPr>
                  <w:r w:rsidRPr="008D4793">
                    <w:rPr>
                      <w:sz w:val="18"/>
                      <w:szCs w:val="18"/>
                    </w:rPr>
                    <w:t>37.59</w:t>
                  </w:r>
                  <w:r w:rsidR="00905186" w:rsidRPr="008D4793">
                    <w:rPr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8B4873" w:rsidRPr="008D4793" w14:paraId="40EB8BC5" w14:textId="77777777" w:rsidTr="008D4793">
              <w:tc>
                <w:tcPr>
                  <w:tcW w:w="1322" w:type="dxa"/>
                  <w:vAlign w:val="center"/>
                </w:tcPr>
                <w:p w14:paraId="0397971C" w14:textId="43A435AB" w:rsidR="008B4873" w:rsidRPr="008D4793" w:rsidRDefault="00C3491A" w:rsidP="003B6EEE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8D4793">
                    <w:rPr>
                      <w:sz w:val="18"/>
                      <w:szCs w:val="18"/>
                    </w:rPr>
                    <w:t>cv</w:t>
                  </w:r>
                  <w:r w:rsidRPr="008D4793">
                    <w:rPr>
                      <w:sz w:val="18"/>
                      <w:szCs w:val="18"/>
                      <w:vertAlign w:val="subscript"/>
                    </w:rPr>
                    <w:t>solids</w:t>
                  </w:r>
                  <w:proofErr w:type="spellEnd"/>
                </w:p>
              </w:tc>
              <w:tc>
                <w:tcPr>
                  <w:tcW w:w="988" w:type="dxa"/>
                  <w:vAlign w:val="center"/>
                </w:tcPr>
                <w:p w14:paraId="698CBC26" w14:textId="54CAEB93" w:rsidR="008B4873" w:rsidRPr="008D4793" w:rsidRDefault="00C3491A" w:rsidP="003B6EEE">
                  <w:pPr>
                    <w:jc w:val="center"/>
                    <w:rPr>
                      <w:sz w:val="18"/>
                      <w:szCs w:val="18"/>
                    </w:rPr>
                  </w:pPr>
                  <w:r w:rsidRPr="008D4793">
                    <w:rPr>
                      <w:sz w:val="18"/>
                      <w:szCs w:val="18"/>
                    </w:rPr>
                    <w:t>0</w:t>
                  </w:r>
                  <w:r w:rsidR="00905186" w:rsidRPr="008D4793">
                    <w:rPr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1012" w:type="dxa"/>
                  <w:vAlign w:val="center"/>
                </w:tcPr>
                <w:p w14:paraId="571AF9BC" w14:textId="45E18D4E" w:rsidR="008B4873" w:rsidRPr="008D4793" w:rsidRDefault="0005628A" w:rsidP="003B6EEE">
                  <w:pPr>
                    <w:jc w:val="center"/>
                    <w:rPr>
                      <w:sz w:val="18"/>
                      <w:szCs w:val="18"/>
                    </w:rPr>
                  </w:pPr>
                  <w:r w:rsidRPr="008D4793">
                    <w:rPr>
                      <w:sz w:val="18"/>
                      <w:szCs w:val="18"/>
                    </w:rPr>
                    <w:t>58.96</w:t>
                  </w:r>
                  <w:r w:rsidR="00905186" w:rsidRPr="008D4793">
                    <w:rPr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8B4873" w:rsidRPr="008D4793" w14:paraId="5C79AF30" w14:textId="77777777" w:rsidTr="008D4793">
              <w:tc>
                <w:tcPr>
                  <w:tcW w:w="1322" w:type="dxa"/>
                  <w:vAlign w:val="center"/>
                </w:tcPr>
                <w:p w14:paraId="275DE2AE" w14:textId="61AA5450" w:rsidR="008B4873" w:rsidRPr="008D4793" w:rsidRDefault="00DA79F5" w:rsidP="003B6EEE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8D4793">
                    <w:rPr>
                      <w:sz w:val="18"/>
                      <w:szCs w:val="18"/>
                    </w:rPr>
                    <w:t>Yd</w:t>
                  </w:r>
                  <w:r w:rsidRPr="008D4793">
                    <w:rPr>
                      <w:sz w:val="18"/>
                      <w:szCs w:val="18"/>
                      <w:vertAlign w:val="subscript"/>
                    </w:rPr>
                    <w:t>biofuels</w:t>
                  </w:r>
                  <w:proofErr w:type="spellEnd"/>
                </w:p>
              </w:tc>
              <w:tc>
                <w:tcPr>
                  <w:tcW w:w="988" w:type="dxa"/>
                  <w:vAlign w:val="center"/>
                </w:tcPr>
                <w:p w14:paraId="57CDE615" w14:textId="715D442A" w:rsidR="008B4873" w:rsidRPr="008D4793" w:rsidRDefault="00326E24" w:rsidP="003B6EEE">
                  <w:pPr>
                    <w:jc w:val="center"/>
                    <w:rPr>
                      <w:sz w:val="18"/>
                      <w:szCs w:val="18"/>
                    </w:rPr>
                  </w:pPr>
                  <w:r w:rsidRPr="008D4793">
                    <w:rPr>
                      <w:sz w:val="18"/>
                      <w:szCs w:val="18"/>
                    </w:rPr>
                    <w:t>2.94</w:t>
                  </w:r>
                  <w:r w:rsidR="00002476" w:rsidRPr="008D4793">
                    <w:rPr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1012" w:type="dxa"/>
                  <w:vAlign w:val="center"/>
                </w:tcPr>
                <w:p w14:paraId="1100884D" w14:textId="1D8DE9DE" w:rsidR="008B4873" w:rsidRPr="008D4793" w:rsidRDefault="00795845" w:rsidP="003B6EEE">
                  <w:pPr>
                    <w:jc w:val="center"/>
                    <w:rPr>
                      <w:sz w:val="18"/>
                      <w:szCs w:val="18"/>
                    </w:rPr>
                  </w:pPr>
                  <w:r w:rsidRPr="008D4793">
                    <w:rPr>
                      <w:sz w:val="18"/>
                      <w:szCs w:val="18"/>
                    </w:rPr>
                    <w:t>2.71%</w:t>
                  </w:r>
                </w:p>
              </w:tc>
            </w:tr>
            <w:tr w:rsidR="008B4873" w:rsidRPr="008D4793" w14:paraId="1EC304B5" w14:textId="77777777" w:rsidTr="008D4793">
              <w:tc>
                <w:tcPr>
                  <w:tcW w:w="1322" w:type="dxa"/>
                  <w:vAlign w:val="center"/>
                </w:tcPr>
                <w:p w14:paraId="4342ADA3" w14:textId="75935814" w:rsidR="008B4873" w:rsidRPr="008D4793" w:rsidRDefault="00DA79F5" w:rsidP="003B6EEE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8D4793">
                    <w:rPr>
                      <w:sz w:val="18"/>
                      <w:szCs w:val="18"/>
                    </w:rPr>
                    <w:t>Yd</w:t>
                  </w:r>
                  <w:r w:rsidRPr="008D4793">
                    <w:rPr>
                      <w:sz w:val="18"/>
                      <w:szCs w:val="18"/>
                      <w:vertAlign w:val="subscript"/>
                    </w:rPr>
                    <w:t>add</w:t>
                  </w:r>
                  <w:proofErr w:type="spellEnd"/>
                  <w:r w:rsidRPr="008D4793">
                    <w:rPr>
                      <w:sz w:val="18"/>
                      <w:szCs w:val="18"/>
                      <w:vertAlign w:val="subscript"/>
                    </w:rPr>
                    <w:t xml:space="preserve">-value </w:t>
                  </w:r>
                  <w:proofErr w:type="spellStart"/>
                  <w:r w:rsidRPr="008D4793">
                    <w:rPr>
                      <w:sz w:val="18"/>
                      <w:szCs w:val="18"/>
                      <w:vertAlign w:val="subscript"/>
                    </w:rPr>
                    <w:t>mol</w:t>
                  </w:r>
                  <w:proofErr w:type="spellEnd"/>
                </w:p>
              </w:tc>
              <w:tc>
                <w:tcPr>
                  <w:tcW w:w="988" w:type="dxa"/>
                  <w:vAlign w:val="center"/>
                </w:tcPr>
                <w:p w14:paraId="700C20F3" w14:textId="4D4F1B6D" w:rsidR="008B4873" w:rsidRPr="008D4793" w:rsidRDefault="00905186" w:rsidP="003B6EEE">
                  <w:pPr>
                    <w:jc w:val="center"/>
                    <w:rPr>
                      <w:sz w:val="18"/>
                      <w:szCs w:val="18"/>
                    </w:rPr>
                  </w:pPr>
                  <w:r w:rsidRPr="008D4793">
                    <w:rPr>
                      <w:sz w:val="18"/>
                      <w:szCs w:val="18"/>
                    </w:rPr>
                    <w:t>2.</w:t>
                  </w:r>
                  <w:r w:rsidR="00326E24" w:rsidRPr="008D4793">
                    <w:rPr>
                      <w:sz w:val="18"/>
                      <w:szCs w:val="18"/>
                    </w:rPr>
                    <w:t>68</w:t>
                  </w:r>
                  <w:r w:rsidRPr="008D4793">
                    <w:rPr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1012" w:type="dxa"/>
                  <w:vAlign w:val="center"/>
                </w:tcPr>
                <w:p w14:paraId="1C590935" w14:textId="35523742" w:rsidR="008B4873" w:rsidRPr="008D4793" w:rsidRDefault="00795845" w:rsidP="003B6EEE">
                  <w:pPr>
                    <w:jc w:val="center"/>
                    <w:rPr>
                      <w:sz w:val="18"/>
                      <w:szCs w:val="18"/>
                    </w:rPr>
                  </w:pPr>
                  <w:r w:rsidRPr="008D4793">
                    <w:rPr>
                      <w:sz w:val="18"/>
                      <w:szCs w:val="18"/>
                    </w:rPr>
                    <w:t>0%</w:t>
                  </w:r>
                </w:p>
              </w:tc>
            </w:tr>
            <w:tr w:rsidR="00002476" w:rsidRPr="008D4793" w14:paraId="7295CAC5" w14:textId="77777777" w:rsidTr="008D4793">
              <w:trPr>
                <w:trHeight w:val="42"/>
              </w:trPr>
              <w:tc>
                <w:tcPr>
                  <w:tcW w:w="1322" w:type="dxa"/>
                  <w:vAlign w:val="center"/>
                </w:tcPr>
                <w:p w14:paraId="409DE99E" w14:textId="6A6FFE68" w:rsidR="00002476" w:rsidRPr="008D4793" w:rsidRDefault="00002476" w:rsidP="003B6EEE">
                  <w:pPr>
                    <w:jc w:val="center"/>
                    <w:rPr>
                      <w:sz w:val="18"/>
                      <w:szCs w:val="18"/>
                      <w:vertAlign w:val="subscript"/>
                    </w:rPr>
                  </w:pPr>
                  <w:proofErr w:type="spellStart"/>
                  <w:r w:rsidRPr="008D4793">
                    <w:rPr>
                      <w:sz w:val="18"/>
                      <w:szCs w:val="18"/>
                    </w:rPr>
                    <w:t>Yd</w:t>
                  </w:r>
                  <w:r w:rsidRPr="008D4793">
                    <w:rPr>
                      <w:sz w:val="18"/>
                      <w:szCs w:val="18"/>
                      <w:vertAlign w:val="subscript"/>
                    </w:rPr>
                    <w:t>Treated</w:t>
                  </w:r>
                  <w:proofErr w:type="spellEnd"/>
                  <w:r w:rsidRPr="008D4793">
                    <w:rPr>
                      <w:sz w:val="18"/>
                      <w:szCs w:val="18"/>
                      <w:vertAlign w:val="subscript"/>
                    </w:rPr>
                    <w:t>-water</w:t>
                  </w:r>
                </w:p>
              </w:tc>
              <w:tc>
                <w:tcPr>
                  <w:tcW w:w="988" w:type="dxa"/>
                  <w:vAlign w:val="center"/>
                </w:tcPr>
                <w:p w14:paraId="05183109" w14:textId="74BEBB6D" w:rsidR="00002476" w:rsidRPr="008D4793" w:rsidRDefault="00905186" w:rsidP="003B6EEE">
                  <w:pPr>
                    <w:jc w:val="center"/>
                    <w:rPr>
                      <w:sz w:val="18"/>
                      <w:szCs w:val="18"/>
                    </w:rPr>
                  </w:pPr>
                  <w:r w:rsidRPr="008D4793">
                    <w:rPr>
                      <w:sz w:val="18"/>
                      <w:szCs w:val="18"/>
                    </w:rPr>
                    <w:t>49.22 %</w:t>
                  </w:r>
                </w:p>
              </w:tc>
              <w:tc>
                <w:tcPr>
                  <w:tcW w:w="1012" w:type="dxa"/>
                  <w:vAlign w:val="center"/>
                </w:tcPr>
                <w:p w14:paraId="0C1DE98F" w14:textId="20FD6D2E" w:rsidR="00002476" w:rsidRPr="008D4793" w:rsidRDefault="00795845" w:rsidP="003B6EEE">
                  <w:pPr>
                    <w:jc w:val="center"/>
                    <w:rPr>
                      <w:sz w:val="18"/>
                      <w:szCs w:val="18"/>
                    </w:rPr>
                  </w:pPr>
                  <w:r w:rsidRPr="008D4793">
                    <w:rPr>
                      <w:sz w:val="18"/>
                      <w:szCs w:val="18"/>
                    </w:rPr>
                    <w:t>89.6%</w:t>
                  </w:r>
                </w:p>
              </w:tc>
            </w:tr>
          </w:tbl>
          <w:p w14:paraId="4F69EB18" w14:textId="77777777" w:rsidR="00AA7AA8" w:rsidRPr="008D4793" w:rsidRDefault="00AA7AA8" w:rsidP="003B6EE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44DE6BA" w14:textId="52186086" w:rsidR="008D2649" w:rsidRDefault="008D2649" w:rsidP="008D2649">
      <w:pPr>
        <w:pStyle w:val="Els-1storder-head"/>
        <w:spacing w:after="120"/>
        <w:rPr>
          <w:lang w:val="en-GB"/>
        </w:rPr>
      </w:pPr>
      <w:r w:rsidRPr="00A94774">
        <w:rPr>
          <w:lang w:val="en-GB"/>
        </w:rPr>
        <w:lastRenderedPageBreak/>
        <w:t>Conclusions</w:t>
      </w:r>
    </w:p>
    <w:p w14:paraId="46522ADF" w14:textId="15794BA6" w:rsidR="003718C2" w:rsidRDefault="00DB596A" w:rsidP="003718C2">
      <w:pPr>
        <w:pStyle w:val="Els-body-text"/>
        <w:rPr>
          <w:lang w:val="en-GB"/>
        </w:rPr>
      </w:pPr>
      <w:r w:rsidRPr="00DB596A">
        <w:rPr>
          <w:lang w:val="en-GB"/>
        </w:rPr>
        <w:t xml:space="preserve">In this research, the technical feasibility of obtaining biofuels is presented and confirmed, such as light gases, naphtha, </w:t>
      </w:r>
      <w:r w:rsidR="004850E7">
        <w:rPr>
          <w:lang w:val="en-GB"/>
        </w:rPr>
        <w:t>sustainable aviation</w:t>
      </w:r>
      <w:r w:rsidR="00DF635B">
        <w:rPr>
          <w:lang w:val="en-GB"/>
        </w:rPr>
        <w:t xml:space="preserve"> fuel</w:t>
      </w:r>
      <w:r w:rsidRPr="00DB596A">
        <w:rPr>
          <w:lang w:val="en-GB"/>
        </w:rPr>
        <w:t xml:space="preserve">, green diesel, and bioethanol through the simulation of a biorefinery </w:t>
      </w:r>
      <w:r w:rsidR="004850E7">
        <w:rPr>
          <w:lang w:val="en-GB"/>
        </w:rPr>
        <w:t>for the processing of</w:t>
      </w:r>
      <w:r w:rsidRPr="00DB596A">
        <w:rPr>
          <w:lang w:val="en-GB"/>
        </w:rPr>
        <w:t xml:space="preserve"> wine effluents. Additionally, the technical feasibility of the production of value-added molecules such as </w:t>
      </w:r>
      <w:proofErr w:type="spellStart"/>
      <w:r w:rsidRPr="00DB596A">
        <w:rPr>
          <w:lang w:val="en-GB"/>
        </w:rPr>
        <w:t>levulinic</w:t>
      </w:r>
      <w:proofErr w:type="spellEnd"/>
      <w:r w:rsidRPr="00DB596A">
        <w:rPr>
          <w:lang w:val="en-GB"/>
        </w:rPr>
        <w:t xml:space="preserve"> acid and glycols is verified. With the proposed scheme, it is feasible to obtain water with the quality required for human use </w:t>
      </w:r>
      <w:r w:rsidR="00DF635B">
        <w:rPr>
          <w:lang w:val="en-GB"/>
        </w:rPr>
        <w:t>according to</w:t>
      </w:r>
      <w:r w:rsidRPr="00DB596A">
        <w:rPr>
          <w:lang w:val="en-GB"/>
        </w:rPr>
        <w:t xml:space="preserve"> the COD reduction achieved (99.98%) and the Official Mexican Standards (NOM-001-SEMARNAT-2021 and NOM-127-SSA1- 2021). </w:t>
      </w:r>
      <w:r w:rsidR="003D5E4F">
        <w:rPr>
          <w:lang w:val="en-GB"/>
        </w:rPr>
        <w:t>Finally, even though this biorefinery presents a promising alternative to substitute the conventional process (anaerobic digestion), further investigations are needed such as mass/heat integration and economic</w:t>
      </w:r>
      <w:r w:rsidR="00A26323">
        <w:rPr>
          <w:lang w:val="en-GB"/>
        </w:rPr>
        <w:t xml:space="preserve"> aspects</w:t>
      </w:r>
      <w:r w:rsidR="003D5E4F">
        <w:rPr>
          <w:lang w:val="en-GB"/>
        </w:rPr>
        <w:t>.</w:t>
      </w:r>
    </w:p>
    <w:p w14:paraId="144DE6BF" w14:textId="5BE1CD3C" w:rsidR="008D2649" w:rsidRDefault="0086297C" w:rsidP="00B717DD">
      <w:pPr>
        <w:pStyle w:val="Els-1storder-head"/>
      </w:pPr>
      <w:r>
        <w:t>Acknowledgment</w:t>
      </w:r>
    </w:p>
    <w:p w14:paraId="38D46EC1" w14:textId="07EDAB20" w:rsidR="00723F33" w:rsidRPr="008D4793" w:rsidRDefault="0086297C" w:rsidP="0086297C">
      <w:pPr>
        <w:pStyle w:val="Els-referenceno-number"/>
        <w:ind w:left="0" w:firstLine="0"/>
        <w:jc w:val="both"/>
        <w:rPr>
          <w:sz w:val="20"/>
          <w:lang w:val="en-US"/>
        </w:rPr>
      </w:pPr>
      <w:r w:rsidRPr="008D4793">
        <w:rPr>
          <w:sz w:val="20"/>
          <w:lang w:val="en-US"/>
        </w:rPr>
        <w:t>The authors appreciate the financial support provided by CONAHCyT through the Carlos Eduardo Guzmán Martínez postdoctoral scholarship (Call: 2022 (1). Project: 2397403).</w:t>
      </w:r>
    </w:p>
    <w:p w14:paraId="74305D2C" w14:textId="77777777" w:rsidR="0086297C" w:rsidRDefault="0086297C" w:rsidP="0086297C">
      <w:pPr>
        <w:pStyle w:val="Els-1storder-head"/>
      </w:pPr>
      <w:r>
        <w:t>References</w:t>
      </w:r>
    </w:p>
    <w:p w14:paraId="43E28F9A" w14:textId="22F0CF10" w:rsidR="00EC2159" w:rsidRPr="00C46EF7" w:rsidRDefault="00C46EF7" w:rsidP="00C46EF7">
      <w:pPr>
        <w:pStyle w:val="Els-referenceno-number"/>
        <w:ind w:left="238" w:hanging="238"/>
        <w:rPr>
          <w:lang w:val="en-US"/>
        </w:rPr>
      </w:pPr>
      <w:r w:rsidRPr="003718AB">
        <w:rPr>
          <w:lang w:val="en-US"/>
        </w:rPr>
        <w:t xml:space="preserve">G. </w:t>
      </w:r>
      <w:r w:rsidR="00EC2159" w:rsidRPr="003718AB">
        <w:rPr>
          <w:lang w:val="en-US"/>
        </w:rPr>
        <w:t xml:space="preserve">Buitrón, </w:t>
      </w:r>
      <w:r w:rsidRPr="003718AB">
        <w:rPr>
          <w:lang w:val="en-US"/>
        </w:rPr>
        <w:t xml:space="preserve">F. </w:t>
      </w:r>
      <w:r w:rsidR="00EC2159" w:rsidRPr="003718AB">
        <w:rPr>
          <w:lang w:val="en-US"/>
        </w:rPr>
        <w:t xml:space="preserve">Martínez, &amp; </w:t>
      </w:r>
      <w:r w:rsidRPr="003718AB">
        <w:rPr>
          <w:lang w:val="en-US"/>
        </w:rPr>
        <w:t xml:space="preserve">F. </w:t>
      </w:r>
      <w:r w:rsidR="00EC2159" w:rsidRPr="003718AB">
        <w:rPr>
          <w:lang w:val="en-US"/>
        </w:rPr>
        <w:t>Ojeda</w:t>
      </w:r>
      <w:r w:rsidRPr="003718AB">
        <w:rPr>
          <w:lang w:val="en-US"/>
        </w:rPr>
        <w:t>,</w:t>
      </w:r>
      <w:r w:rsidR="00EC2159" w:rsidRPr="003718AB">
        <w:rPr>
          <w:lang w:val="en-US"/>
        </w:rPr>
        <w:t xml:space="preserve"> </w:t>
      </w:r>
      <w:r w:rsidR="00EC2159" w:rsidRPr="00C46EF7">
        <w:rPr>
          <w:lang w:val="en-US"/>
        </w:rPr>
        <w:t>2019</w:t>
      </w:r>
      <w:r>
        <w:rPr>
          <w:lang w:val="en-US"/>
        </w:rPr>
        <w:t>,</w:t>
      </w:r>
      <w:r w:rsidR="00EC2159" w:rsidRPr="00C46EF7">
        <w:rPr>
          <w:lang w:val="en-US"/>
        </w:rPr>
        <w:t xml:space="preserve"> Biogas production from a highly organic loaded winery effluent through a two-stage process</w:t>
      </w:r>
      <w:r>
        <w:rPr>
          <w:lang w:val="en-US"/>
        </w:rPr>
        <w:t>,</w:t>
      </w:r>
      <w:r w:rsidR="00EC2159" w:rsidRPr="00C46EF7">
        <w:rPr>
          <w:lang w:val="en-US"/>
        </w:rPr>
        <w:t xml:space="preserve"> BioEnergy Research, 12, 714-721.</w:t>
      </w:r>
    </w:p>
    <w:p w14:paraId="068D5CE1" w14:textId="3E683A38" w:rsidR="00EC2159" w:rsidRPr="00C46EF7" w:rsidRDefault="00C46EF7" w:rsidP="00C46EF7">
      <w:pPr>
        <w:pStyle w:val="Els-referenceno-number"/>
        <w:ind w:left="238" w:hanging="238"/>
        <w:rPr>
          <w:lang w:val="en-US"/>
        </w:rPr>
      </w:pPr>
      <w:r w:rsidRPr="00C46EF7">
        <w:rPr>
          <w:lang w:val="en-US"/>
        </w:rPr>
        <w:t xml:space="preserve">E. </w:t>
      </w:r>
      <w:r w:rsidR="00EC2159" w:rsidRPr="00C46EF7">
        <w:rPr>
          <w:lang w:val="en-US"/>
        </w:rPr>
        <w:t>Carlson</w:t>
      </w:r>
      <w:r>
        <w:rPr>
          <w:lang w:val="en-US"/>
        </w:rPr>
        <w:t xml:space="preserve">, </w:t>
      </w:r>
      <w:r w:rsidR="00EC2159" w:rsidRPr="00C46EF7">
        <w:rPr>
          <w:lang w:val="en-US"/>
        </w:rPr>
        <w:t>1996</w:t>
      </w:r>
      <w:r>
        <w:rPr>
          <w:lang w:val="en-US"/>
        </w:rPr>
        <w:t>,</w:t>
      </w:r>
      <w:r w:rsidR="00EC2159" w:rsidRPr="00C46EF7">
        <w:rPr>
          <w:lang w:val="en-US"/>
        </w:rPr>
        <w:t xml:space="preserve"> Don't gamble with physical properties for simulations</w:t>
      </w:r>
      <w:r>
        <w:rPr>
          <w:lang w:val="en-US"/>
        </w:rPr>
        <w:t>,</w:t>
      </w:r>
      <w:r w:rsidR="00EC2159" w:rsidRPr="00C46EF7">
        <w:rPr>
          <w:lang w:val="en-US"/>
        </w:rPr>
        <w:t xml:space="preserve"> Chemical engineering progress, 92(10), 35-46.</w:t>
      </w:r>
    </w:p>
    <w:p w14:paraId="62F11818" w14:textId="0ACF6CC6" w:rsidR="003B5F41" w:rsidRPr="00C46EF7" w:rsidRDefault="00C46EF7" w:rsidP="00C46EF7">
      <w:pPr>
        <w:pStyle w:val="Els-referenceno-number"/>
        <w:ind w:left="238" w:hanging="238"/>
      </w:pPr>
      <w:r w:rsidRPr="003718AB">
        <w:rPr>
          <w:lang w:val="en-US"/>
        </w:rPr>
        <w:t xml:space="preserve">C. </w:t>
      </w:r>
      <w:r w:rsidR="003B5F41" w:rsidRPr="003718AB">
        <w:rPr>
          <w:lang w:val="en-US"/>
        </w:rPr>
        <w:t xml:space="preserve">Guzmán, </w:t>
      </w:r>
      <w:r w:rsidRPr="003718AB">
        <w:rPr>
          <w:lang w:val="en-US"/>
        </w:rPr>
        <w:t xml:space="preserve">A. </w:t>
      </w:r>
      <w:r w:rsidR="003B5F41" w:rsidRPr="003718AB">
        <w:rPr>
          <w:lang w:val="en-US"/>
        </w:rPr>
        <w:t>Castro, &amp;</w:t>
      </w:r>
      <w:r w:rsidRPr="003718AB">
        <w:rPr>
          <w:lang w:val="en-US"/>
        </w:rPr>
        <w:t xml:space="preserve"> F.</w:t>
      </w:r>
      <w:r w:rsidR="003B5F41" w:rsidRPr="003718AB">
        <w:rPr>
          <w:lang w:val="en-US"/>
        </w:rPr>
        <w:t xml:space="preserve"> Nápoles</w:t>
      </w:r>
      <w:r w:rsidRPr="003718AB">
        <w:rPr>
          <w:lang w:val="en-US"/>
        </w:rPr>
        <w:t>,</w:t>
      </w:r>
      <w:r w:rsidR="003B5F41" w:rsidRPr="003718AB">
        <w:rPr>
          <w:lang w:val="en-US"/>
        </w:rPr>
        <w:t xml:space="preserve"> 2019</w:t>
      </w:r>
      <w:r w:rsidRPr="003718AB">
        <w:rPr>
          <w:lang w:val="en-US"/>
        </w:rPr>
        <w:t>,</w:t>
      </w:r>
      <w:r w:rsidR="003B5F41" w:rsidRPr="003718AB">
        <w:rPr>
          <w:lang w:val="en-US"/>
        </w:rPr>
        <w:t xml:space="preserve"> </w:t>
      </w:r>
      <w:r w:rsidR="003B5F41" w:rsidRPr="00C46EF7">
        <w:t>Economic and environmental comparison of bioethanol dehydration processes via simulation: reactive distillation, reactor–separator process and azeotropic distillation</w:t>
      </w:r>
      <w:r>
        <w:t>,</w:t>
      </w:r>
      <w:r w:rsidR="003B5F41" w:rsidRPr="00C46EF7">
        <w:t xml:space="preserve"> Clean Technologies and Environmental Policy, 21, 2061-2071.</w:t>
      </w:r>
    </w:p>
    <w:p w14:paraId="02313F18" w14:textId="740D097F" w:rsidR="00696F93" w:rsidRPr="00C46EF7" w:rsidRDefault="00C46EF7" w:rsidP="00C46EF7">
      <w:pPr>
        <w:ind w:left="238" w:hanging="238"/>
        <w:rPr>
          <w:noProof/>
          <w:sz w:val="18"/>
        </w:rPr>
      </w:pPr>
      <w:r w:rsidRPr="00C46EF7">
        <w:rPr>
          <w:noProof/>
          <w:sz w:val="18"/>
        </w:rPr>
        <w:t>N.</w:t>
      </w:r>
      <w:r>
        <w:rPr>
          <w:noProof/>
          <w:sz w:val="18"/>
        </w:rPr>
        <w:t xml:space="preserve"> </w:t>
      </w:r>
      <w:r w:rsidR="00696F93" w:rsidRPr="00C46EF7">
        <w:rPr>
          <w:noProof/>
          <w:sz w:val="18"/>
        </w:rPr>
        <w:t xml:space="preserve">Kopsahelis, </w:t>
      </w:r>
      <w:r w:rsidRPr="00C46EF7">
        <w:rPr>
          <w:noProof/>
          <w:sz w:val="18"/>
        </w:rPr>
        <w:t>C.</w:t>
      </w:r>
      <w:r>
        <w:rPr>
          <w:noProof/>
          <w:sz w:val="18"/>
        </w:rPr>
        <w:t xml:space="preserve"> </w:t>
      </w:r>
      <w:r w:rsidR="00696F93" w:rsidRPr="00C46EF7">
        <w:rPr>
          <w:noProof/>
          <w:sz w:val="18"/>
        </w:rPr>
        <w:t xml:space="preserve">Dimou, </w:t>
      </w:r>
      <w:r w:rsidRPr="00C46EF7">
        <w:rPr>
          <w:noProof/>
          <w:sz w:val="18"/>
        </w:rPr>
        <w:t>A.</w:t>
      </w:r>
      <w:r>
        <w:rPr>
          <w:noProof/>
          <w:sz w:val="18"/>
        </w:rPr>
        <w:t xml:space="preserve"> </w:t>
      </w:r>
      <w:r w:rsidR="00696F93" w:rsidRPr="00C46EF7">
        <w:rPr>
          <w:noProof/>
          <w:sz w:val="18"/>
        </w:rPr>
        <w:t xml:space="preserve">Papadaki, </w:t>
      </w:r>
      <w:r w:rsidRPr="00C46EF7">
        <w:rPr>
          <w:noProof/>
          <w:sz w:val="18"/>
        </w:rPr>
        <w:t>E.</w:t>
      </w:r>
      <w:r>
        <w:rPr>
          <w:noProof/>
          <w:sz w:val="18"/>
        </w:rPr>
        <w:t xml:space="preserve"> </w:t>
      </w:r>
      <w:r w:rsidR="00696F93" w:rsidRPr="00C46EF7">
        <w:rPr>
          <w:noProof/>
          <w:sz w:val="18"/>
        </w:rPr>
        <w:t xml:space="preserve">Xenopoulos, </w:t>
      </w:r>
      <w:r w:rsidRPr="00C46EF7">
        <w:rPr>
          <w:noProof/>
          <w:sz w:val="18"/>
        </w:rPr>
        <w:t>M.</w:t>
      </w:r>
      <w:r>
        <w:rPr>
          <w:noProof/>
          <w:sz w:val="18"/>
        </w:rPr>
        <w:t xml:space="preserve"> </w:t>
      </w:r>
      <w:r w:rsidR="00696F93" w:rsidRPr="00C46EF7">
        <w:rPr>
          <w:noProof/>
          <w:sz w:val="18"/>
        </w:rPr>
        <w:t xml:space="preserve">Kyraleou, &amp; </w:t>
      </w:r>
      <w:r w:rsidRPr="00C46EF7">
        <w:rPr>
          <w:noProof/>
          <w:sz w:val="18"/>
        </w:rPr>
        <w:t>S.</w:t>
      </w:r>
      <w:r>
        <w:rPr>
          <w:noProof/>
          <w:sz w:val="18"/>
        </w:rPr>
        <w:t xml:space="preserve"> </w:t>
      </w:r>
      <w:r w:rsidR="00696F93" w:rsidRPr="00C46EF7">
        <w:rPr>
          <w:noProof/>
          <w:sz w:val="18"/>
        </w:rPr>
        <w:t>Kallithraka, 2018</w:t>
      </w:r>
      <w:r>
        <w:rPr>
          <w:noProof/>
          <w:sz w:val="18"/>
        </w:rPr>
        <w:t>,</w:t>
      </w:r>
      <w:r w:rsidR="00696F93" w:rsidRPr="00C46EF7">
        <w:rPr>
          <w:noProof/>
          <w:sz w:val="18"/>
        </w:rPr>
        <w:t xml:space="preserve"> Refining of wine lees and cheese whey for the production of microbial oil, polyphenol-rich extracts and value-added co-products</w:t>
      </w:r>
      <w:r>
        <w:rPr>
          <w:noProof/>
          <w:sz w:val="18"/>
        </w:rPr>
        <w:t>,</w:t>
      </w:r>
      <w:r w:rsidR="00696F93" w:rsidRPr="00C46EF7">
        <w:rPr>
          <w:noProof/>
          <w:sz w:val="18"/>
        </w:rPr>
        <w:t xml:space="preserve"> J Chem Technol Biotechnol, 93. </w:t>
      </w:r>
    </w:p>
    <w:p w14:paraId="5BDB96D0" w14:textId="21D973B8" w:rsidR="003B5F41" w:rsidRPr="003718AB" w:rsidRDefault="00C46EF7" w:rsidP="00C46EF7">
      <w:pPr>
        <w:pStyle w:val="Els-referenceno-number"/>
        <w:ind w:left="238" w:hanging="238"/>
        <w:rPr>
          <w:lang w:val="en-US"/>
        </w:rPr>
      </w:pPr>
      <w:r w:rsidRPr="003718AB">
        <w:rPr>
          <w:lang w:val="en-US"/>
        </w:rPr>
        <w:t xml:space="preserve">G. </w:t>
      </w:r>
      <w:r w:rsidR="003B5F41" w:rsidRPr="003718AB">
        <w:rPr>
          <w:lang w:val="en-US"/>
        </w:rPr>
        <w:t>Romero,</w:t>
      </w:r>
      <w:r w:rsidRPr="003718AB">
        <w:rPr>
          <w:lang w:val="en-US"/>
        </w:rPr>
        <w:t xml:space="preserve"> C.</w:t>
      </w:r>
      <w:r w:rsidR="003B5F41" w:rsidRPr="003718AB">
        <w:rPr>
          <w:lang w:val="en-US"/>
        </w:rPr>
        <w:t xml:space="preserve"> Gutiérrez, </w:t>
      </w:r>
      <w:r w:rsidRPr="003718AB">
        <w:rPr>
          <w:lang w:val="en-US"/>
        </w:rPr>
        <w:t xml:space="preserve">F. </w:t>
      </w:r>
      <w:r w:rsidR="003B5F41" w:rsidRPr="003718AB">
        <w:rPr>
          <w:lang w:val="en-US"/>
        </w:rPr>
        <w:t xml:space="preserve">Gómez, &amp; </w:t>
      </w:r>
      <w:r w:rsidRPr="003718AB">
        <w:rPr>
          <w:lang w:val="en-US"/>
        </w:rPr>
        <w:t xml:space="preserve">S. </w:t>
      </w:r>
      <w:r w:rsidR="003B5F41" w:rsidRPr="003718AB">
        <w:rPr>
          <w:lang w:val="en-US"/>
        </w:rPr>
        <w:t>Hernández</w:t>
      </w:r>
      <w:r w:rsidRPr="003718AB">
        <w:rPr>
          <w:lang w:val="en-US"/>
        </w:rPr>
        <w:t xml:space="preserve">, </w:t>
      </w:r>
      <w:r w:rsidR="003B5F41" w:rsidRPr="003718AB">
        <w:rPr>
          <w:lang w:val="en-US"/>
        </w:rPr>
        <w:t>2022</w:t>
      </w:r>
      <w:r w:rsidRPr="003718AB">
        <w:rPr>
          <w:lang w:val="en-US"/>
        </w:rPr>
        <w:t>,</w:t>
      </w:r>
      <w:r w:rsidR="003B5F41" w:rsidRPr="003718AB">
        <w:rPr>
          <w:lang w:val="en-US"/>
        </w:rPr>
        <w:t xml:space="preserve"> </w:t>
      </w:r>
      <w:r w:rsidR="003B5F41" w:rsidRPr="00C46EF7">
        <w:rPr>
          <w:lang w:val="en-US"/>
        </w:rPr>
        <w:t>Synthesis and intensification of a biorefinery to produce renewable aviation fuel, biofuels, bioenergy</w:t>
      </w:r>
      <w:r w:rsidR="00B60327" w:rsidRPr="00C46EF7">
        <w:rPr>
          <w:lang w:val="en-US"/>
        </w:rPr>
        <w:t>,</w:t>
      </w:r>
      <w:r w:rsidR="003B5F41" w:rsidRPr="00C46EF7">
        <w:rPr>
          <w:lang w:val="en-US"/>
        </w:rPr>
        <w:t xml:space="preserve"> and chemical products from Jatropha Curcas fruit</w:t>
      </w:r>
      <w:r>
        <w:rPr>
          <w:lang w:val="en-US"/>
        </w:rPr>
        <w:t>,</w:t>
      </w:r>
      <w:r w:rsidR="003B5F41" w:rsidRPr="00C46EF7">
        <w:rPr>
          <w:lang w:val="en-US"/>
        </w:rPr>
        <w:t xml:space="preserve"> IET Renewable Power Generation, 16(14), 2988-3008.</w:t>
      </w:r>
    </w:p>
    <w:p w14:paraId="491472D8" w14:textId="443C0460" w:rsidR="003B5F41" w:rsidRPr="00C46EF7" w:rsidRDefault="003B5F41" w:rsidP="00C46EF7">
      <w:pPr>
        <w:pStyle w:val="Els-referenceno-number"/>
        <w:ind w:left="238" w:hanging="238"/>
        <w:rPr>
          <w:lang w:val="en-US"/>
        </w:rPr>
      </w:pPr>
      <w:r w:rsidRPr="003718AB">
        <w:rPr>
          <w:lang w:val="en-US"/>
        </w:rPr>
        <w:t>K.</w:t>
      </w:r>
      <w:r w:rsidR="00C46EF7" w:rsidRPr="003718AB">
        <w:rPr>
          <w:lang w:val="en-US"/>
        </w:rPr>
        <w:t xml:space="preserve"> Rajendran</w:t>
      </w:r>
      <w:r w:rsidRPr="003718AB">
        <w:rPr>
          <w:lang w:val="en-US"/>
        </w:rPr>
        <w:t>, H.</w:t>
      </w:r>
      <w:r w:rsidR="00C46EF7" w:rsidRPr="003718AB">
        <w:rPr>
          <w:lang w:val="en-US"/>
        </w:rPr>
        <w:t xml:space="preserve"> Kankanala</w:t>
      </w:r>
      <w:r w:rsidRPr="003718AB">
        <w:rPr>
          <w:lang w:val="en-US"/>
        </w:rPr>
        <w:t>, M.</w:t>
      </w:r>
      <w:r w:rsidR="00C46EF7" w:rsidRPr="003718AB">
        <w:rPr>
          <w:lang w:val="en-US"/>
        </w:rPr>
        <w:t xml:space="preserve"> Lundin</w:t>
      </w:r>
      <w:r w:rsidRPr="003718AB">
        <w:rPr>
          <w:lang w:val="en-US"/>
        </w:rPr>
        <w:t>, &amp; M</w:t>
      </w:r>
      <w:r w:rsidR="00C46EF7" w:rsidRPr="003718AB">
        <w:rPr>
          <w:lang w:val="en-US"/>
        </w:rPr>
        <w:t xml:space="preserve"> Taherzadeh,</w:t>
      </w:r>
      <w:r w:rsidRPr="003718AB">
        <w:rPr>
          <w:lang w:val="en-US"/>
        </w:rPr>
        <w:t xml:space="preserve"> </w:t>
      </w:r>
      <w:r w:rsidRPr="00C46EF7">
        <w:rPr>
          <w:lang w:val="en-US"/>
        </w:rPr>
        <w:t>2014</w:t>
      </w:r>
      <w:r w:rsidR="00C46EF7">
        <w:rPr>
          <w:lang w:val="en-US"/>
        </w:rPr>
        <w:t>,</w:t>
      </w:r>
      <w:r w:rsidRPr="00C46EF7">
        <w:rPr>
          <w:lang w:val="en-US"/>
        </w:rPr>
        <w:t xml:space="preserve"> A novel process simulation model (PSM) for anaerobic digestion using Aspen Plus. Bioresource </w:t>
      </w:r>
      <w:r w:rsidR="00B60327" w:rsidRPr="00C46EF7">
        <w:rPr>
          <w:lang w:val="en-US"/>
        </w:rPr>
        <w:t>Technology</w:t>
      </w:r>
      <w:r w:rsidRPr="00C46EF7">
        <w:rPr>
          <w:lang w:val="en-US"/>
        </w:rPr>
        <w:t>, 168, 7-13.</w:t>
      </w:r>
    </w:p>
    <w:p w14:paraId="0BFEE79B" w14:textId="65281439" w:rsidR="00307E1A" w:rsidRPr="00C46EF7" w:rsidRDefault="00307E1A" w:rsidP="00C46EF7">
      <w:pPr>
        <w:pStyle w:val="Els-referenceno-number"/>
        <w:ind w:left="238" w:hanging="238"/>
        <w:rPr>
          <w:lang w:val="en-US"/>
        </w:rPr>
      </w:pPr>
      <w:r w:rsidRPr="003718AB">
        <w:rPr>
          <w:lang w:val="en-US"/>
        </w:rPr>
        <w:t>S.</w:t>
      </w:r>
      <w:r w:rsidR="00C46EF7" w:rsidRPr="003718AB">
        <w:rPr>
          <w:lang w:val="en-US"/>
        </w:rPr>
        <w:t xml:space="preserve"> Ratna,</w:t>
      </w:r>
      <w:r w:rsidRPr="003718AB">
        <w:rPr>
          <w:lang w:val="en-US"/>
        </w:rPr>
        <w:t xml:space="preserve"> S.</w:t>
      </w:r>
      <w:r w:rsidR="00C46EF7" w:rsidRPr="003718AB">
        <w:rPr>
          <w:lang w:val="en-US"/>
        </w:rPr>
        <w:t xml:space="preserve"> Rastogi,</w:t>
      </w:r>
      <w:r w:rsidRPr="003718AB">
        <w:rPr>
          <w:lang w:val="en-US"/>
        </w:rPr>
        <w:t xml:space="preserve"> &amp; R.</w:t>
      </w:r>
      <w:r w:rsidR="00C46EF7" w:rsidRPr="003718AB">
        <w:rPr>
          <w:lang w:val="en-US"/>
        </w:rPr>
        <w:t xml:space="preserve"> Kumar, </w:t>
      </w:r>
      <w:r w:rsidRPr="003718AB">
        <w:rPr>
          <w:lang w:val="en-US"/>
        </w:rPr>
        <w:t>2021</w:t>
      </w:r>
      <w:r w:rsidR="00C46EF7" w:rsidRPr="003718AB">
        <w:rPr>
          <w:lang w:val="en-US"/>
        </w:rPr>
        <w:t>,</w:t>
      </w:r>
      <w:r w:rsidRPr="003718AB">
        <w:rPr>
          <w:lang w:val="en-US"/>
        </w:rPr>
        <w:t xml:space="preserve"> </w:t>
      </w:r>
      <w:r w:rsidRPr="00C46EF7">
        <w:rPr>
          <w:lang w:val="en-US"/>
        </w:rPr>
        <w:t>Current trends for distillery wastewater management and its emerging applications for sustainable environment</w:t>
      </w:r>
      <w:r w:rsidR="00C46EF7">
        <w:rPr>
          <w:lang w:val="en-US"/>
        </w:rPr>
        <w:t>,</w:t>
      </w:r>
      <w:r w:rsidRPr="00C46EF7">
        <w:rPr>
          <w:lang w:val="en-US"/>
        </w:rPr>
        <w:t xml:space="preserve"> Journal of Environmental Management, 290, 112544.</w:t>
      </w:r>
    </w:p>
    <w:p w14:paraId="3CC34FA3" w14:textId="7BE96FFB" w:rsidR="003B5F41" w:rsidRPr="00C46EF7" w:rsidRDefault="003B5F41" w:rsidP="00C46EF7">
      <w:pPr>
        <w:pStyle w:val="Els-referenceno-number"/>
        <w:ind w:left="238" w:hanging="238"/>
        <w:rPr>
          <w:lang w:val="en-US"/>
        </w:rPr>
      </w:pPr>
      <w:r w:rsidRPr="003718AB">
        <w:rPr>
          <w:lang w:val="en-US"/>
        </w:rPr>
        <w:t>J</w:t>
      </w:r>
      <w:r w:rsidR="00C46EF7" w:rsidRPr="003718AB">
        <w:rPr>
          <w:lang w:val="en-US"/>
        </w:rPr>
        <w:t>. Solis</w:t>
      </w:r>
      <w:r w:rsidRPr="003718AB">
        <w:rPr>
          <w:lang w:val="en-US"/>
        </w:rPr>
        <w:t>, H</w:t>
      </w:r>
      <w:r w:rsidR="00C46EF7" w:rsidRPr="003718AB">
        <w:rPr>
          <w:lang w:val="en-US"/>
        </w:rPr>
        <w:t>. Alcocer</w:t>
      </w:r>
      <w:r w:rsidRPr="003718AB">
        <w:rPr>
          <w:lang w:val="en-US"/>
        </w:rPr>
        <w:t>, E.</w:t>
      </w:r>
      <w:r w:rsidR="00C46EF7" w:rsidRPr="003718AB">
        <w:rPr>
          <w:lang w:val="en-US"/>
        </w:rPr>
        <w:t xml:space="preserve"> Sanchez</w:t>
      </w:r>
      <w:r w:rsidRPr="003718AB">
        <w:rPr>
          <w:lang w:val="en-US"/>
        </w:rPr>
        <w:t>, &amp; J.</w:t>
      </w:r>
      <w:r w:rsidR="00C46EF7" w:rsidRPr="003718AB">
        <w:rPr>
          <w:lang w:val="en-US"/>
        </w:rPr>
        <w:t xml:space="preserve"> Segovia,</w:t>
      </w:r>
      <w:r w:rsidRPr="003718AB">
        <w:rPr>
          <w:lang w:val="en-US"/>
        </w:rPr>
        <w:t xml:space="preserve"> </w:t>
      </w:r>
      <w:r w:rsidRPr="00C46EF7">
        <w:rPr>
          <w:lang w:val="en-US"/>
        </w:rPr>
        <w:t>2022</w:t>
      </w:r>
      <w:r w:rsidR="00C46EF7">
        <w:rPr>
          <w:lang w:val="en-US"/>
        </w:rPr>
        <w:t>,</w:t>
      </w:r>
      <w:r w:rsidRPr="00C46EF7">
        <w:rPr>
          <w:lang w:val="en-US"/>
        </w:rPr>
        <w:t xml:space="preserve"> Innovative reactive distillation process for levulinic acid production and purification</w:t>
      </w:r>
      <w:r w:rsidR="00C46EF7">
        <w:rPr>
          <w:lang w:val="en-US"/>
        </w:rPr>
        <w:t>,</w:t>
      </w:r>
      <w:r w:rsidRPr="00C46EF7">
        <w:rPr>
          <w:lang w:val="en-US"/>
        </w:rPr>
        <w:t xml:space="preserve"> Chemical Engineering Research and Design, 183, 28-40.</w:t>
      </w:r>
    </w:p>
    <w:p w14:paraId="7BA7A79C" w14:textId="0D9C0F67" w:rsidR="00307E1A" w:rsidRPr="00C46EF7" w:rsidRDefault="00307E1A" w:rsidP="00C46EF7">
      <w:pPr>
        <w:pStyle w:val="Els-referenceno-number"/>
        <w:ind w:left="238" w:hanging="238"/>
        <w:rPr>
          <w:lang w:val="en-US"/>
        </w:rPr>
      </w:pPr>
      <w:r w:rsidRPr="00C46EF7">
        <w:rPr>
          <w:lang w:val="en-US"/>
        </w:rPr>
        <w:t>M.</w:t>
      </w:r>
      <w:r w:rsidR="00C46EF7">
        <w:rPr>
          <w:lang w:val="en-US"/>
        </w:rPr>
        <w:t xml:space="preserve"> </w:t>
      </w:r>
      <w:r w:rsidR="00C46EF7" w:rsidRPr="00C46EF7">
        <w:rPr>
          <w:lang w:val="en-US"/>
        </w:rPr>
        <w:t>Wagh,</w:t>
      </w:r>
      <w:r w:rsidRPr="00C46EF7">
        <w:rPr>
          <w:lang w:val="en-US"/>
        </w:rPr>
        <w:t xml:space="preserve"> P.</w:t>
      </w:r>
      <w:r w:rsidR="00C46EF7" w:rsidRPr="00C46EF7">
        <w:rPr>
          <w:lang w:val="en-US"/>
        </w:rPr>
        <w:t xml:space="preserve"> Nemade,</w:t>
      </w:r>
      <w:r w:rsidRPr="00C46EF7">
        <w:rPr>
          <w:lang w:val="en-US"/>
        </w:rPr>
        <w:t xml:space="preserve"> P.</w:t>
      </w:r>
      <w:r w:rsidR="00C46EF7">
        <w:rPr>
          <w:lang w:val="en-US"/>
        </w:rPr>
        <w:t xml:space="preserve"> </w:t>
      </w:r>
      <w:r w:rsidR="00C46EF7" w:rsidRPr="00C46EF7">
        <w:rPr>
          <w:lang w:val="en-US"/>
        </w:rPr>
        <w:t>Jadhav,</w:t>
      </w:r>
      <w:r w:rsidRPr="00C46EF7">
        <w:rPr>
          <w:lang w:val="en-US"/>
        </w:rPr>
        <w:t xml:space="preserve"> 2020</w:t>
      </w:r>
      <w:r w:rsidR="00C46EF7">
        <w:rPr>
          <w:lang w:val="en-US"/>
        </w:rPr>
        <w:t>,</w:t>
      </w:r>
      <w:r w:rsidRPr="00C46EF7">
        <w:rPr>
          <w:lang w:val="en-US"/>
        </w:rPr>
        <w:t xml:space="preserve"> Continuous </w:t>
      </w:r>
      <w:r w:rsidR="00C46EF7">
        <w:rPr>
          <w:lang w:val="en-US"/>
        </w:rPr>
        <w:t>electrocoagulation</w:t>
      </w:r>
      <w:r w:rsidRPr="00C46EF7">
        <w:rPr>
          <w:lang w:val="en-US"/>
        </w:rPr>
        <w:t xml:space="preserve"> process for the distillery spent wash using Al electrodes</w:t>
      </w:r>
      <w:r w:rsidR="00C46EF7">
        <w:rPr>
          <w:lang w:val="en-US"/>
        </w:rPr>
        <w:t xml:space="preserve">, </w:t>
      </w:r>
      <w:r w:rsidRPr="00C46EF7">
        <w:rPr>
          <w:lang w:val="en-US"/>
        </w:rPr>
        <w:t>Techno-Societal</w:t>
      </w:r>
      <w:r w:rsidR="00C46EF7">
        <w:rPr>
          <w:lang w:val="en-US"/>
        </w:rPr>
        <w:t xml:space="preserve">, </w:t>
      </w:r>
      <w:r w:rsidRPr="00C46EF7">
        <w:rPr>
          <w:lang w:val="en-US"/>
        </w:rPr>
        <w:t>41–49.</w:t>
      </w:r>
    </w:p>
    <w:p w14:paraId="387F160B" w14:textId="043CCC4C" w:rsidR="00307E1A" w:rsidRPr="00C46EF7" w:rsidRDefault="00307E1A" w:rsidP="00C46EF7">
      <w:pPr>
        <w:pStyle w:val="Els-referenceno-number"/>
        <w:ind w:left="238" w:hanging="238"/>
        <w:rPr>
          <w:lang w:val="en-US"/>
        </w:rPr>
      </w:pPr>
      <w:r w:rsidRPr="00C46EF7">
        <w:rPr>
          <w:lang w:val="en-US"/>
        </w:rPr>
        <w:t>M.</w:t>
      </w:r>
      <w:r w:rsidR="00C46EF7">
        <w:rPr>
          <w:lang w:val="en-US"/>
        </w:rPr>
        <w:t xml:space="preserve"> </w:t>
      </w:r>
      <w:r w:rsidR="00C46EF7" w:rsidRPr="00C46EF7">
        <w:rPr>
          <w:lang w:val="en-US"/>
        </w:rPr>
        <w:t>Wilk,</w:t>
      </w:r>
      <w:r w:rsidRPr="00C46EF7">
        <w:rPr>
          <w:lang w:val="en-US"/>
        </w:rPr>
        <w:t xml:space="preserve"> M.</w:t>
      </w:r>
      <w:r w:rsidR="00C46EF7">
        <w:rPr>
          <w:lang w:val="en-US"/>
        </w:rPr>
        <w:t xml:space="preserve"> </w:t>
      </w:r>
      <w:r w:rsidR="00C46EF7" w:rsidRPr="00C46EF7">
        <w:rPr>
          <w:lang w:val="en-US"/>
        </w:rPr>
        <w:t xml:space="preserve">Krzywonos, </w:t>
      </w:r>
      <w:r w:rsidRPr="00C46EF7">
        <w:rPr>
          <w:lang w:val="en-US"/>
        </w:rPr>
        <w:t>D.</w:t>
      </w:r>
      <w:r w:rsidR="00C46EF7">
        <w:rPr>
          <w:lang w:val="en-US"/>
        </w:rPr>
        <w:t xml:space="preserve"> </w:t>
      </w:r>
      <w:r w:rsidR="00C46EF7" w:rsidRPr="00C46EF7">
        <w:rPr>
          <w:lang w:val="en-US"/>
        </w:rPr>
        <w:t>Borowiak,</w:t>
      </w:r>
      <w:r w:rsidRPr="00C46EF7">
        <w:rPr>
          <w:lang w:val="en-US"/>
        </w:rPr>
        <w:t xml:space="preserve"> P.</w:t>
      </w:r>
      <w:r w:rsidR="00C46EF7">
        <w:rPr>
          <w:lang w:val="en-US"/>
        </w:rPr>
        <w:t xml:space="preserve"> </w:t>
      </w:r>
      <w:r w:rsidR="00C46EF7" w:rsidRPr="00C46EF7">
        <w:rPr>
          <w:lang w:val="en-US"/>
        </w:rPr>
        <w:t>Seruga,</w:t>
      </w:r>
      <w:r w:rsidRPr="00C46EF7">
        <w:rPr>
          <w:lang w:val="en-US"/>
        </w:rPr>
        <w:t xml:space="preserve"> 2019</w:t>
      </w:r>
      <w:r w:rsidR="00C46EF7">
        <w:rPr>
          <w:lang w:val="en-US"/>
        </w:rPr>
        <w:t>,</w:t>
      </w:r>
      <w:r w:rsidRPr="00C46EF7">
        <w:rPr>
          <w:lang w:val="en-US"/>
        </w:rPr>
        <w:t xml:space="preserve"> Decolourization of sugar beet molasses vinasse by lactic acid bacteria-the effect of yeast extract dosage</w:t>
      </w:r>
      <w:r w:rsidR="00C46EF7">
        <w:rPr>
          <w:lang w:val="en-US"/>
        </w:rPr>
        <w:t>,</w:t>
      </w:r>
      <w:r w:rsidRPr="00C46EF7">
        <w:rPr>
          <w:lang w:val="en-US"/>
        </w:rPr>
        <w:t xml:space="preserve"> J. Environ</w:t>
      </w:r>
      <w:r w:rsidR="00C46EF7">
        <w:rPr>
          <w:lang w:val="en-US"/>
        </w:rPr>
        <w:t xml:space="preserve">, </w:t>
      </w:r>
      <w:r w:rsidRPr="00C46EF7">
        <w:rPr>
          <w:lang w:val="en-US"/>
        </w:rPr>
        <w:t>28, 385–392.</w:t>
      </w:r>
    </w:p>
    <w:p w14:paraId="6C343C89" w14:textId="40C10089" w:rsidR="00B25FD7" w:rsidRPr="00C46EF7" w:rsidRDefault="009A5F2F" w:rsidP="00C46EF7">
      <w:pPr>
        <w:pStyle w:val="Els-referenceno-number"/>
        <w:ind w:left="238" w:hanging="238"/>
        <w:rPr>
          <w:lang w:val="en-US"/>
        </w:rPr>
      </w:pPr>
      <w:r w:rsidRPr="00C46EF7">
        <w:rPr>
          <w:lang w:val="en-US"/>
        </w:rPr>
        <w:t>R.</w:t>
      </w:r>
      <w:r w:rsidR="00C46EF7">
        <w:rPr>
          <w:lang w:val="en-US"/>
        </w:rPr>
        <w:t xml:space="preserve"> </w:t>
      </w:r>
      <w:r w:rsidR="00C46EF7" w:rsidRPr="00C46EF7">
        <w:rPr>
          <w:lang w:val="en-US"/>
        </w:rPr>
        <w:t>Wooley</w:t>
      </w:r>
      <w:r w:rsidRPr="00C46EF7">
        <w:rPr>
          <w:lang w:val="en-US"/>
        </w:rPr>
        <w:t>, &amp; V.</w:t>
      </w:r>
      <w:r w:rsidR="00C46EF7">
        <w:rPr>
          <w:lang w:val="en-US"/>
        </w:rPr>
        <w:t xml:space="preserve"> </w:t>
      </w:r>
      <w:r w:rsidR="00C46EF7" w:rsidRPr="00C46EF7">
        <w:rPr>
          <w:lang w:val="en-US"/>
        </w:rPr>
        <w:t>Putsche</w:t>
      </w:r>
      <w:r w:rsidR="00C46EF7">
        <w:rPr>
          <w:lang w:val="en-US"/>
        </w:rPr>
        <w:t xml:space="preserve">, </w:t>
      </w:r>
      <w:r w:rsidRPr="00C46EF7">
        <w:rPr>
          <w:lang w:val="en-US"/>
        </w:rPr>
        <w:t>1996</w:t>
      </w:r>
      <w:r w:rsidR="00C46EF7">
        <w:rPr>
          <w:lang w:val="en-US"/>
        </w:rPr>
        <w:t>,</w:t>
      </w:r>
      <w:r w:rsidRPr="00C46EF7">
        <w:rPr>
          <w:lang w:val="en-US"/>
        </w:rPr>
        <w:t xml:space="preserve"> Development of an ASPEN PLUS physical property database for biofuels components (No. NREL/TP-425-20685)</w:t>
      </w:r>
      <w:r w:rsidR="00C46EF7">
        <w:rPr>
          <w:lang w:val="en-US"/>
        </w:rPr>
        <w:t>,</w:t>
      </w:r>
      <w:r w:rsidRPr="00C46EF7">
        <w:rPr>
          <w:lang w:val="en-US"/>
        </w:rPr>
        <w:t xml:space="preserve"> National Renewable Energy Lab.</w:t>
      </w:r>
      <w:r w:rsidR="00F94D50">
        <w:rPr>
          <w:lang w:val="en-US"/>
        </w:rPr>
        <w:t xml:space="preserve"> </w:t>
      </w:r>
      <w:r w:rsidRPr="00C46EF7">
        <w:rPr>
          <w:lang w:val="en-US"/>
        </w:rPr>
        <w:t>(NREL), Golden, CO (United States).</w:t>
      </w:r>
    </w:p>
    <w:sectPr w:rsidR="00B25FD7" w:rsidRPr="00C46EF7" w:rsidSect="008B0184">
      <w:headerReference w:type="even" r:id="rId43"/>
      <w:headerReference w:type="default" r:id="rId44"/>
      <w:headerReference w:type="first" r:id="rId45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2A931" w14:textId="77777777" w:rsidR="000D1F61" w:rsidRDefault="000D1F61">
      <w:r>
        <w:separator/>
      </w:r>
    </w:p>
  </w:endnote>
  <w:endnote w:type="continuationSeparator" w:id="0">
    <w:p w14:paraId="47E83739" w14:textId="77777777" w:rsidR="000D1F61" w:rsidRDefault="000D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E0C44" w14:textId="77777777" w:rsidR="000D1F61" w:rsidRDefault="000D1F61">
      <w:r>
        <w:separator/>
      </w:r>
    </w:p>
  </w:footnote>
  <w:footnote w:type="continuationSeparator" w:id="0">
    <w:p w14:paraId="1BD118D4" w14:textId="77777777" w:rsidR="000D1F61" w:rsidRDefault="000D1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DE6C9" w14:textId="23FBDB8F" w:rsidR="00DD3D9E" w:rsidRDefault="00DD3D9E">
    <w:pPr>
      <w:pStyle w:val="Header"/>
      <w:tabs>
        <w:tab w:val="clear" w:pos="7200"/>
        <w:tab w:val="right" w:pos="7088"/>
      </w:tabs>
    </w:pPr>
    <w:r>
      <w:rPr>
        <w:rStyle w:val="PageNumber"/>
      </w:rPr>
      <w:tab/>
    </w:r>
    <w:r>
      <w:rPr>
        <w:rStyle w:val="PageNumber"/>
        <w:i/>
      </w:rPr>
      <w:tab/>
    </w:r>
    <w:r w:rsidR="00203BFF">
      <w:rPr>
        <w:rStyle w:val="PageNumber"/>
        <w:i/>
      </w:rPr>
      <w:t>Guzmán C.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DE6CA" w14:textId="0F48B6B8" w:rsidR="00DD3D9E" w:rsidRDefault="00203BFF" w:rsidP="00203BFF">
    <w:pPr>
      <w:pStyle w:val="Header"/>
      <w:tabs>
        <w:tab w:val="clear" w:pos="7200"/>
        <w:tab w:val="right" w:pos="7088"/>
      </w:tabs>
      <w:rPr>
        <w:sz w:val="24"/>
      </w:rPr>
    </w:pPr>
    <w:r w:rsidRPr="00203BFF">
      <w:rPr>
        <w:i/>
      </w:rPr>
      <w:t>W</w:t>
    </w:r>
    <w:r>
      <w:rPr>
        <w:i/>
      </w:rPr>
      <w:t>ine effluents va</w:t>
    </w:r>
    <w:r w:rsidR="000C1942">
      <w:rPr>
        <w:i/>
      </w:rPr>
      <w:t>lorization through a biorefinery scheme</w:t>
    </w:r>
    <w:r w:rsidR="00DD3D9E">
      <w:rPr>
        <w:rStyle w:val="PageNumber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>Flavio Manenti, Gintaras V. Reklaitis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9C6712"/>
    <w:multiLevelType w:val="hybridMultilevel"/>
    <w:tmpl w:val="D0A261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77CDC"/>
    <w:multiLevelType w:val="hybridMultilevel"/>
    <w:tmpl w:val="A68CF0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17B65CE"/>
    <w:multiLevelType w:val="hybridMultilevel"/>
    <w:tmpl w:val="F6D4E4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7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0"/>
  </w:num>
  <w:num w:numId="6">
    <w:abstractNumId w:val="6"/>
  </w:num>
  <w:num w:numId="7">
    <w:abstractNumId w:val="14"/>
  </w:num>
  <w:num w:numId="8">
    <w:abstractNumId w:val="1"/>
  </w:num>
  <w:num w:numId="9">
    <w:abstractNumId w:val="12"/>
  </w:num>
  <w:num w:numId="10">
    <w:abstractNumId w:val="17"/>
  </w:num>
  <w:num w:numId="11">
    <w:abstractNumId w:val="16"/>
  </w:num>
  <w:num w:numId="12">
    <w:abstractNumId w:val="5"/>
  </w:num>
  <w:num w:numId="13">
    <w:abstractNumId w:val="10"/>
  </w:num>
  <w:num w:numId="14">
    <w:abstractNumId w:val="2"/>
  </w:num>
  <w:num w:numId="15">
    <w:abstractNumId w:val="7"/>
  </w:num>
  <w:num w:numId="16">
    <w:abstractNumId w:val="3"/>
  </w:num>
  <w:num w:numId="17">
    <w:abstractNumId w:val="4"/>
  </w:num>
  <w:num w:numId="18">
    <w:abstractNumId w:val="11"/>
  </w:num>
  <w:num w:numId="19">
    <w:abstractNumId w:val="8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37"/>
    <w:rsid w:val="00002476"/>
    <w:rsid w:val="00003595"/>
    <w:rsid w:val="00037F35"/>
    <w:rsid w:val="00041F0D"/>
    <w:rsid w:val="0005628A"/>
    <w:rsid w:val="0006365B"/>
    <w:rsid w:val="00072261"/>
    <w:rsid w:val="000841C5"/>
    <w:rsid w:val="00092484"/>
    <w:rsid w:val="000B1122"/>
    <w:rsid w:val="000B2E0B"/>
    <w:rsid w:val="000C1942"/>
    <w:rsid w:val="000D1F61"/>
    <w:rsid w:val="000D3D9B"/>
    <w:rsid w:val="000D46BC"/>
    <w:rsid w:val="000D74FF"/>
    <w:rsid w:val="000F4A01"/>
    <w:rsid w:val="00106234"/>
    <w:rsid w:val="00117AEC"/>
    <w:rsid w:val="001464DF"/>
    <w:rsid w:val="0016032F"/>
    <w:rsid w:val="00161E70"/>
    <w:rsid w:val="0016547F"/>
    <w:rsid w:val="001677B3"/>
    <w:rsid w:val="001739CD"/>
    <w:rsid w:val="0017437F"/>
    <w:rsid w:val="001879F6"/>
    <w:rsid w:val="00193A89"/>
    <w:rsid w:val="0019657D"/>
    <w:rsid w:val="001B2D18"/>
    <w:rsid w:val="001C0148"/>
    <w:rsid w:val="001C5EA7"/>
    <w:rsid w:val="001C757E"/>
    <w:rsid w:val="00202377"/>
    <w:rsid w:val="0020390F"/>
    <w:rsid w:val="00203BFF"/>
    <w:rsid w:val="0021522A"/>
    <w:rsid w:val="002526F4"/>
    <w:rsid w:val="00262657"/>
    <w:rsid w:val="00264601"/>
    <w:rsid w:val="00264926"/>
    <w:rsid w:val="002668E0"/>
    <w:rsid w:val="00285417"/>
    <w:rsid w:val="00296324"/>
    <w:rsid w:val="002A2F35"/>
    <w:rsid w:val="002A3966"/>
    <w:rsid w:val="002A7EA2"/>
    <w:rsid w:val="002E0854"/>
    <w:rsid w:val="002E09BE"/>
    <w:rsid w:val="002E20C8"/>
    <w:rsid w:val="002E2F66"/>
    <w:rsid w:val="002E31FD"/>
    <w:rsid w:val="002E4425"/>
    <w:rsid w:val="002E62EE"/>
    <w:rsid w:val="00307E1A"/>
    <w:rsid w:val="003158F2"/>
    <w:rsid w:val="00323E22"/>
    <w:rsid w:val="00326E24"/>
    <w:rsid w:val="00355DED"/>
    <w:rsid w:val="0037029F"/>
    <w:rsid w:val="003718AB"/>
    <w:rsid w:val="003718C2"/>
    <w:rsid w:val="003917EC"/>
    <w:rsid w:val="003A4837"/>
    <w:rsid w:val="003A7D2D"/>
    <w:rsid w:val="003B42C6"/>
    <w:rsid w:val="003B5F41"/>
    <w:rsid w:val="003B6EEE"/>
    <w:rsid w:val="003D1582"/>
    <w:rsid w:val="003D1772"/>
    <w:rsid w:val="003D5E4F"/>
    <w:rsid w:val="003D7C3E"/>
    <w:rsid w:val="003D7E4C"/>
    <w:rsid w:val="003E41C2"/>
    <w:rsid w:val="003F64DF"/>
    <w:rsid w:val="00404B43"/>
    <w:rsid w:val="00420CAF"/>
    <w:rsid w:val="00422D6B"/>
    <w:rsid w:val="004344BC"/>
    <w:rsid w:val="0043542E"/>
    <w:rsid w:val="00447EDD"/>
    <w:rsid w:val="0045387A"/>
    <w:rsid w:val="00460180"/>
    <w:rsid w:val="00471090"/>
    <w:rsid w:val="004725D2"/>
    <w:rsid w:val="00477993"/>
    <w:rsid w:val="00480408"/>
    <w:rsid w:val="00484525"/>
    <w:rsid w:val="004850E7"/>
    <w:rsid w:val="004852CC"/>
    <w:rsid w:val="00493D3B"/>
    <w:rsid w:val="0049772C"/>
    <w:rsid w:val="004A7ADE"/>
    <w:rsid w:val="004B1C43"/>
    <w:rsid w:val="0053728C"/>
    <w:rsid w:val="005401DC"/>
    <w:rsid w:val="0054057D"/>
    <w:rsid w:val="00545B37"/>
    <w:rsid w:val="00552EEB"/>
    <w:rsid w:val="00555A0F"/>
    <w:rsid w:val="005571E4"/>
    <w:rsid w:val="00563C5C"/>
    <w:rsid w:val="00567025"/>
    <w:rsid w:val="00580B16"/>
    <w:rsid w:val="005821C8"/>
    <w:rsid w:val="00593DA0"/>
    <w:rsid w:val="00595388"/>
    <w:rsid w:val="005D3112"/>
    <w:rsid w:val="005F4CE5"/>
    <w:rsid w:val="0060651D"/>
    <w:rsid w:val="00615F39"/>
    <w:rsid w:val="00621D7C"/>
    <w:rsid w:val="00646A08"/>
    <w:rsid w:val="00656D55"/>
    <w:rsid w:val="00672035"/>
    <w:rsid w:val="00675614"/>
    <w:rsid w:val="00675657"/>
    <w:rsid w:val="0068011D"/>
    <w:rsid w:val="0068107F"/>
    <w:rsid w:val="00696F93"/>
    <w:rsid w:val="006A62B1"/>
    <w:rsid w:val="006A69BF"/>
    <w:rsid w:val="006B3E8A"/>
    <w:rsid w:val="006C3834"/>
    <w:rsid w:val="006C699E"/>
    <w:rsid w:val="006E0B82"/>
    <w:rsid w:val="006E269C"/>
    <w:rsid w:val="006E60F6"/>
    <w:rsid w:val="006F033E"/>
    <w:rsid w:val="0070405B"/>
    <w:rsid w:val="00711DF4"/>
    <w:rsid w:val="007120C7"/>
    <w:rsid w:val="00712DD4"/>
    <w:rsid w:val="00716E18"/>
    <w:rsid w:val="00722088"/>
    <w:rsid w:val="00723F33"/>
    <w:rsid w:val="00753C04"/>
    <w:rsid w:val="0075508E"/>
    <w:rsid w:val="00760A22"/>
    <w:rsid w:val="0077191F"/>
    <w:rsid w:val="00772419"/>
    <w:rsid w:val="00772702"/>
    <w:rsid w:val="007832E9"/>
    <w:rsid w:val="007902F6"/>
    <w:rsid w:val="00795845"/>
    <w:rsid w:val="007C0108"/>
    <w:rsid w:val="007D2BE6"/>
    <w:rsid w:val="007D2FF0"/>
    <w:rsid w:val="007D70A1"/>
    <w:rsid w:val="007E018C"/>
    <w:rsid w:val="007E169C"/>
    <w:rsid w:val="007F6D2D"/>
    <w:rsid w:val="00810174"/>
    <w:rsid w:val="008132E8"/>
    <w:rsid w:val="00823407"/>
    <w:rsid w:val="00835A2C"/>
    <w:rsid w:val="00853A14"/>
    <w:rsid w:val="00853E3E"/>
    <w:rsid w:val="00854099"/>
    <w:rsid w:val="00861D04"/>
    <w:rsid w:val="0086297C"/>
    <w:rsid w:val="00872775"/>
    <w:rsid w:val="00873237"/>
    <w:rsid w:val="00873239"/>
    <w:rsid w:val="00880C22"/>
    <w:rsid w:val="008871FE"/>
    <w:rsid w:val="008A7FF4"/>
    <w:rsid w:val="008B0184"/>
    <w:rsid w:val="008B26E6"/>
    <w:rsid w:val="008B4873"/>
    <w:rsid w:val="008C23B2"/>
    <w:rsid w:val="008C5D02"/>
    <w:rsid w:val="008D01EE"/>
    <w:rsid w:val="008D2649"/>
    <w:rsid w:val="008D4793"/>
    <w:rsid w:val="008F46AC"/>
    <w:rsid w:val="00905186"/>
    <w:rsid w:val="0090568D"/>
    <w:rsid w:val="009075CA"/>
    <w:rsid w:val="009109BC"/>
    <w:rsid w:val="009125C9"/>
    <w:rsid w:val="00913879"/>
    <w:rsid w:val="00917661"/>
    <w:rsid w:val="00937132"/>
    <w:rsid w:val="00946B74"/>
    <w:rsid w:val="00954766"/>
    <w:rsid w:val="00964D8B"/>
    <w:rsid w:val="00967269"/>
    <w:rsid w:val="00970E5D"/>
    <w:rsid w:val="0097701C"/>
    <w:rsid w:val="00980A65"/>
    <w:rsid w:val="009872D3"/>
    <w:rsid w:val="00997945"/>
    <w:rsid w:val="009A4F77"/>
    <w:rsid w:val="009A5F2F"/>
    <w:rsid w:val="009B3520"/>
    <w:rsid w:val="009B5D9C"/>
    <w:rsid w:val="009B6E63"/>
    <w:rsid w:val="009B764B"/>
    <w:rsid w:val="009C5DCF"/>
    <w:rsid w:val="009C7750"/>
    <w:rsid w:val="009D757F"/>
    <w:rsid w:val="009E3098"/>
    <w:rsid w:val="00A153B2"/>
    <w:rsid w:val="00A2408C"/>
    <w:rsid w:val="00A25E70"/>
    <w:rsid w:val="00A26323"/>
    <w:rsid w:val="00A333F1"/>
    <w:rsid w:val="00A33765"/>
    <w:rsid w:val="00A62BBD"/>
    <w:rsid w:val="00A63269"/>
    <w:rsid w:val="00A64AEE"/>
    <w:rsid w:val="00A74928"/>
    <w:rsid w:val="00A839E9"/>
    <w:rsid w:val="00A922FA"/>
    <w:rsid w:val="00A92377"/>
    <w:rsid w:val="00AA7AA8"/>
    <w:rsid w:val="00AB2488"/>
    <w:rsid w:val="00AB29ED"/>
    <w:rsid w:val="00AD6ACC"/>
    <w:rsid w:val="00AE4BD8"/>
    <w:rsid w:val="00AF3DB5"/>
    <w:rsid w:val="00B05C8C"/>
    <w:rsid w:val="00B11E90"/>
    <w:rsid w:val="00B16096"/>
    <w:rsid w:val="00B20E68"/>
    <w:rsid w:val="00B25FD7"/>
    <w:rsid w:val="00B4388F"/>
    <w:rsid w:val="00B44790"/>
    <w:rsid w:val="00B46449"/>
    <w:rsid w:val="00B47CDD"/>
    <w:rsid w:val="00B5068B"/>
    <w:rsid w:val="00B5400D"/>
    <w:rsid w:val="00B60327"/>
    <w:rsid w:val="00B63237"/>
    <w:rsid w:val="00B717DD"/>
    <w:rsid w:val="00B72A90"/>
    <w:rsid w:val="00B9301F"/>
    <w:rsid w:val="00BA3F2E"/>
    <w:rsid w:val="00BC0A45"/>
    <w:rsid w:val="00BC5B95"/>
    <w:rsid w:val="00BC7D0E"/>
    <w:rsid w:val="00BE6208"/>
    <w:rsid w:val="00BF125E"/>
    <w:rsid w:val="00BF37A3"/>
    <w:rsid w:val="00C12C37"/>
    <w:rsid w:val="00C3491A"/>
    <w:rsid w:val="00C416F0"/>
    <w:rsid w:val="00C46EF7"/>
    <w:rsid w:val="00C474BE"/>
    <w:rsid w:val="00C524F6"/>
    <w:rsid w:val="00C82619"/>
    <w:rsid w:val="00C960DC"/>
    <w:rsid w:val="00CA0E2D"/>
    <w:rsid w:val="00CA4F82"/>
    <w:rsid w:val="00CB52CC"/>
    <w:rsid w:val="00CD4520"/>
    <w:rsid w:val="00CE6171"/>
    <w:rsid w:val="00CF1842"/>
    <w:rsid w:val="00D00A7E"/>
    <w:rsid w:val="00D02C75"/>
    <w:rsid w:val="00D10E22"/>
    <w:rsid w:val="00D10ED6"/>
    <w:rsid w:val="00D13492"/>
    <w:rsid w:val="00D13D2C"/>
    <w:rsid w:val="00D62CF5"/>
    <w:rsid w:val="00D65EA3"/>
    <w:rsid w:val="00D745E4"/>
    <w:rsid w:val="00D76AE2"/>
    <w:rsid w:val="00D87A7E"/>
    <w:rsid w:val="00DA79F5"/>
    <w:rsid w:val="00DB596A"/>
    <w:rsid w:val="00DB63D3"/>
    <w:rsid w:val="00DC2F94"/>
    <w:rsid w:val="00DC4548"/>
    <w:rsid w:val="00DC56B1"/>
    <w:rsid w:val="00DD3D9E"/>
    <w:rsid w:val="00DD7908"/>
    <w:rsid w:val="00DF14A5"/>
    <w:rsid w:val="00DF2956"/>
    <w:rsid w:val="00DF5EBF"/>
    <w:rsid w:val="00DF635B"/>
    <w:rsid w:val="00E04C58"/>
    <w:rsid w:val="00E22367"/>
    <w:rsid w:val="00E32858"/>
    <w:rsid w:val="00E41355"/>
    <w:rsid w:val="00E67E2B"/>
    <w:rsid w:val="00E82297"/>
    <w:rsid w:val="00E8771B"/>
    <w:rsid w:val="00EA55F2"/>
    <w:rsid w:val="00EA739F"/>
    <w:rsid w:val="00EC2159"/>
    <w:rsid w:val="00ED495F"/>
    <w:rsid w:val="00EE30A8"/>
    <w:rsid w:val="00EF39FD"/>
    <w:rsid w:val="00F06842"/>
    <w:rsid w:val="00F107FD"/>
    <w:rsid w:val="00F16845"/>
    <w:rsid w:val="00F17A94"/>
    <w:rsid w:val="00F24C13"/>
    <w:rsid w:val="00F43A27"/>
    <w:rsid w:val="00F6452D"/>
    <w:rsid w:val="00F66ED6"/>
    <w:rsid w:val="00F72C61"/>
    <w:rsid w:val="00F81CA8"/>
    <w:rsid w:val="00F81DB5"/>
    <w:rsid w:val="00F94D50"/>
    <w:rsid w:val="00FB64A8"/>
    <w:rsid w:val="00FC0E05"/>
    <w:rsid w:val="00FC53A9"/>
    <w:rsid w:val="00FE1F52"/>
    <w:rsid w:val="00FE2732"/>
    <w:rsid w:val="00FF5D59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184"/>
    <w:rPr>
      <w:lang w:eastAsia="en-US"/>
    </w:rPr>
  </w:style>
  <w:style w:type="paragraph" w:styleId="Heading3">
    <w:name w:val="heading 3"/>
    <w:basedOn w:val="Normal"/>
    <w:next w:val="Normal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EndnoteReference">
    <w:name w:val="endnote reference"/>
    <w:basedOn w:val="DefaultParagraphFont"/>
    <w:semiHidden/>
    <w:rsid w:val="008B0184"/>
    <w:rPr>
      <w:vertAlign w:val="superscript"/>
    </w:rPr>
  </w:style>
  <w:style w:type="paragraph" w:styleId="Header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Footer">
    <w:name w:val="footer"/>
    <w:basedOn w:val="Header"/>
    <w:rsid w:val="008B0184"/>
  </w:style>
  <w:style w:type="character" w:styleId="FootnoteReference">
    <w:name w:val="footnote reference"/>
    <w:semiHidden/>
    <w:rsid w:val="008B0184"/>
    <w:rPr>
      <w:vertAlign w:val="superscript"/>
    </w:rPr>
  </w:style>
  <w:style w:type="paragraph" w:styleId="FootnoteText">
    <w:name w:val="footnote text"/>
    <w:basedOn w:val="Normal"/>
    <w:semiHidden/>
    <w:rsid w:val="008B0184"/>
    <w:rPr>
      <w:rFonts w:ascii="Univers" w:hAnsi="Univers"/>
    </w:rPr>
  </w:style>
  <w:style w:type="character" w:styleId="Hyperlink">
    <w:name w:val="Hyperlink"/>
    <w:basedOn w:val="DefaultParagraphFont"/>
    <w:rsid w:val="008B0184"/>
    <w:rPr>
      <w:color w:val="0000FF"/>
      <w:u w:val="single"/>
    </w:rPr>
  </w:style>
  <w:style w:type="character" w:customStyle="1" w:styleId="MTEquationSection">
    <w:name w:val="MTEquationSection"/>
    <w:basedOn w:val="DefaultParagraphFont"/>
    <w:rsid w:val="008B0184"/>
    <w:rPr>
      <w:vanish/>
      <w:color w:val="FF0000"/>
    </w:rPr>
  </w:style>
  <w:style w:type="character" w:styleId="PageNumber">
    <w:name w:val="page number"/>
    <w:basedOn w:val="DefaultParagraphFont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DefaultParagraphFont"/>
    <w:rsid w:val="008B0184"/>
    <w:rPr>
      <w:sz w:val="1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8B0184"/>
    <w:rPr>
      <w:sz w:val="16"/>
      <w:szCs w:val="16"/>
    </w:rPr>
  </w:style>
  <w:style w:type="paragraph" w:styleId="CommentText">
    <w:name w:val="annotation text"/>
    <w:basedOn w:val="Normal"/>
    <w:semiHidden/>
    <w:rsid w:val="008B0184"/>
  </w:style>
  <w:style w:type="paragraph" w:styleId="CommentSubject">
    <w:name w:val="annotation subject"/>
    <w:basedOn w:val="CommentText"/>
    <w:next w:val="CommentText"/>
    <w:semiHidden/>
    <w:rsid w:val="008B0184"/>
    <w:rPr>
      <w:b/>
      <w:bCs/>
    </w:rPr>
  </w:style>
  <w:style w:type="paragraph" w:styleId="BalloonText">
    <w:name w:val="Balloon Text"/>
    <w:basedOn w:val="Normal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DefaultParagraphFont"/>
    <w:rsid w:val="00F06842"/>
    <w:rPr>
      <w:u w:val="single"/>
    </w:rPr>
  </w:style>
  <w:style w:type="paragraph" w:customStyle="1" w:styleId="ElsevierBodyTextCentredNospace">
    <w:name w:val="Elsevier Body Text Centred No space"/>
    <w:basedOn w:val="Normal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table" w:styleId="TableGrid">
    <w:name w:val="Table Grid"/>
    <w:basedOn w:val="TableNormal"/>
    <w:rsid w:val="00F2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718C2"/>
    <w:pPr>
      <w:widowControl w:val="0"/>
      <w:autoSpaceDE w:val="0"/>
      <w:autoSpaceDN w:val="0"/>
      <w:spacing w:before="120"/>
      <w:ind w:left="84" w:right="102"/>
      <w:jc w:val="center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EC21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3C04"/>
    <w:rPr>
      <w:lang w:eastAsia="en-US"/>
    </w:rPr>
  </w:style>
  <w:style w:type="paragraph" w:styleId="ListParagraph">
    <w:name w:val="List Paragraph"/>
    <w:basedOn w:val="Normal"/>
    <w:uiPriority w:val="34"/>
    <w:qFormat/>
    <w:rsid w:val="00696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8.bin"/><Relationship Id="rId39" Type="http://schemas.openxmlformats.org/officeDocument/2006/relationships/image" Target="media/image17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png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13.wmf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header" Target="header1.xml"/><Relationship Id="rId8" Type="http://schemas.openxmlformats.org/officeDocument/2006/relationships/hyperlink" Target="mailto:claudia.gutierrez@uaq.mx" TargetMode="Externa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image" Target="media/image1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C6DC0-B6AD-46C0-A71E-B9399582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</Template>
  <TotalTime>252</TotalTime>
  <Pages>6</Pages>
  <Words>2326</Words>
  <Characters>12798</Characters>
  <Application>Microsoft Office Word</Application>
  <DocSecurity>0</DocSecurity>
  <Lines>106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Chapter</vt:lpstr>
      <vt:lpstr>Chapter</vt:lpstr>
      <vt:lpstr>Chapter</vt:lpstr>
    </vt:vector>
  </TitlesOfParts>
  <Company>Elsevier Science</Company>
  <LinksUpToDate>false</LinksUpToDate>
  <CharactersWithSpaces>15094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Claudia Gutiérrez</cp:lastModifiedBy>
  <cp:revision>47</cp:revision>
  <cp:lastPrinted>2023-12-20T22:16:00Z</cp:lastPrinted>
  <dcterms:created xsi:type="dcterms:W3CDTF">2023-12-01T02:57:00Z</dcterms:created>
  <dcterms:modified xsi:type="dcterms:W3CDTF">2023-12-22T20:30:00Z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