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1958BFB" w:rsidR="00DD3D9E" w:rsidRPr="00B4388F" w:rsidRDefault="00E40176">
      <w:pPr>
        <w:pStyle w:val="Els-Title"/>
        <w:rPr>
          <w:color w:val="000000" w:themeColor="text1"/>
        </w:rPr>
      </w:pPr>
      <w:r w:rsidRPr="001B3776">
        <w:rPr>
          <w:color w:val="000000" w:themeColor="text1"/>
          <w:lang w:val="en-GB"/>
        </w:rPr>
        <w:t>Model</w:t>
      </w:r>
      <w:r>
        <w:rPr>
          <w:color w:val="000000" w:themeColor="text1"/>
          <w:lang w:val="en-GB"/>
        </w:rPr>
        <w:t>ling Natural Gas D</w:t>
      </w:r>
      <w:r w:rsidRPr="001B3776">
        <w:rPr>
          <w:color w:val="000000" w:themeColor="text1"/>
          <w:lang w:val="en-GB"/>
        </w:rPr>
        <w:t xml:space="preserve">ehydration by </w:t>
      </w:r>
      <w:r>
        <w:rPr>
          <w:color w:val="000000" w:themeColor="text1"/>
          <w:lang w:val="en-GB"/>
        </w:rPr>
        <w:t>Adsorption under H</w:t>
      </w:r>
      <w:r w:rsidRPr="001B3776">
        <w:rPr>
          <w:color w:val="000000" w:themeColor="text1"/>
          <w:lang w:val="en-GB"/>
        </w:rPr>
        <w:t xml:space="preserve">igh </w:t>
      </w:r>
      <w:r>
        <w:rPr>
          <w:color w:val="000000" w:themeColor="text1"/>
          <w:lang w:val="en-GB"/>
        </w:rPr>
        <w:t>CO</w:t>
      </w:r>
      <w:r w:rsidR="001B3776" w:rsidRPr="00A372CF">
        <w:rPr>
          <w:color w:val="000000" w:themeColor="text1"/>
          <w:vertAlign w:val="subscript"/>
          <w:lang w:val="en-GB"/>
        </w:rPr>
        <w:t>2</w:t>
      </w:r>
      <w:r>
        <w:rPr>
          <w:color w:val="000000" w:themeColor="text1"/>
          <w:lang w:val="en-GB"/>
        </w:rPr>
        <w:t xml:space="preserve"> C</w:t>
      </w:r>
      <w:r w:rsidRPr="001B3776">
        <w:rPr>
          <w:color w:val="000000" w:themeColor="text1"/>
          <w:lang w:val="en-GB"/>
        </w:rPr>
        <w:t>onditions</w:t>
      </w:r>
    </w:p>
    <w:p w14:paraId="144DE680" w14:textId="71B7476A" w:rsidR="00DD3D9E" w:rsidRPr="00945D82" w:rsidRDefault="00D85AFF">
      <w:pPr>
        <w:pStyle w:val="Els-Author"/>
        <w:rPr>
          <w:vertAlign w:val="superscript"/>
          <w:lang w:val="pt-BR"/>
        </w:rPr>
      </w:pPr>
      <w:bookmarkStart w:id="0" w:name="_Hlk152060733"/>
      <w:r w:rsidRPr="00945D82">
        <w:rPr>
          <w:lang w:val="pt-BR"/>
        </w:rPr>
        <w:t>Yuri Alves</w:t>
      </w:r>
      <w:r w:rsidRPr="00945D82">
        <w:rPr>
          <w:vertAlign w:val="superscript"/>
          <w:lang w:val="pt-BR"/>
        </w:rPr>
        <w:t>a</w:t>
      </w:r>
      <w:r w:rsidRPr="00945D82">
        <w:rPr>
          <w:lang w:val="pt-BR"/>
        </w:rPr>
        <w:t xml:space="preserve">, Felipe </w:t>
      </w:r>
      <w:r w:rsidR="007B554E">
        <w:rPr>
          <w:lang w:val="pt-BR"/>
        </w:rPr>
        <w:t xml:space="preserve">R. </w:t>
      </w:r>
      <w:r w:rsidRPr="00945D82">
        <w:rPr>
          <w:lang w:val="pt-BR"/>
        </w:rPr>
        <w:t>Pinto</w:t>
      </w:r>
      <w:r w:rsidRPr="00945D82">
        <w:rPr>
          <w:vertAlign w:val="superscript"/>
          <w:lang w:val="pt-BR"/>
        </w:rPr>
        <w:t>a</w:t>
      </w:r>
      <w:r w:rsidRPr="00945D82">
        <w:rPr>
          <w:lang w:val="pt-BR"/>
        </w:rPr>
        <w:t xml:space="preserve">, Felipe </w:t>
      </w:r>
      <w:r w:rsidR="00855D88">
        <w:rPr>
          <w:lang w:val="pt-BR"/>
        </w:rPr>
        <w:t xml:space="preserve">C. </w:t>
      </w:r>
      <w:r w:rsidRPr="00945D82">
        <w:rPr>
          <w:lang w:val="pt-BR"/>
        </w:rPr>
        <w:t>Cunha</w:t>
      </w:r>
      <w:r w:rsidRPr="00945D82">
        <w:rPr>
          <w:vertAlign w:val="superscript"/>
          <w:lang w:val="pt-BR"/>
        </w:rPr>
        <w:t>a</w:t>
      </w:r>
      <w:r w:rsidRPr="00945D82">
        <w:rPr>
          <w:lang w:val="pt-BR"/>
        </w:rPr>
        <w:t xml:space="preserve">, Argimiro </w:t>
      </w:r>
      <w:r w:rsidR="00855D88">
        <w:rPr>
          <w:lang w:val="pt-BR"/>
        </w:rPr>
        <w:t xml:space="preserve">R. </w:t>
      </w:r>
      <w:r w:rsidRPr="00945D82">
        <w:rPr>
          <w:lang w:val="pt-BR"/>
        </w:rPr>
        <w:t>Secchi</w:t>
      </w:r>
      <w:r w:rsidRPr="00945D82">
        <w:rPr>
          <w:vertAlign w:val="superscript"/>
          <w:lang w:val="pt-BR"/>
        </w:rPr>
        <w:t>a</w:t>
      </w:r>
      <w:r w:rsidRPr="00945D82">
        <w:rPr>
          <w:lang w:val="pt-BR"/>
        </w:rPr>
        <w:t>, Dárley Mel</w:t>
      </w:r>
      <w:r w:rsidR="005C2E80">
        <w:rPr>
          <w:lang w:val="pt-BR"/>
        </w:rPr>
        <w:t>o</w:t>
      </w:r>
      <w:r w:rsidR="005C2E80">
        <w:rPr>
          <w:vertAlign w:val="superscript"/>
          <w:lang w:val="pt-BR"/>
        </w:rPr>
        <w:t>b</w:t>
      </w:r>
      <w:r w:rsidR="005C2E80">
        <w:rPr>
          <w:lang w:val="pt-BR"/>
        </w:rPr>
        <w:t xml:space="preserve">, </w:t>
      </w:r>
      <w:r w:rsidR="005C2E80" w:rsidRPr="00945D82">
        <w:rPr>
          <w:lang w:val="pt-BR"/>
        </w:rPr>
        <w:t xml:space="preserve">Amaro </w:t>
      </w:r>
      <w:r w:rsidR="005C2E80">
        <w:rPr>
          <w:lang w:val="pt-BR"/>
        </w:rPr>
        <w:t xml:space="preserve">G. </w:t>
      </w:r>
      <w:r w:rsidR="005C2E80" w:rsidRPr="00945D82">
        <w:rPr>
          <w:lang w:val="pt-BR"/>
        </w:rPr>
        <w:t>Barreto Jr.</w:t>
      </w:r>
      <w:r w:rsidR="005C2E80" w:rsidRPr="00945D82">
        <w:rPr>
          <w:vertAlign w:val="superscript"/>
          <w:lang w:val="pt-BR"/>
        </w:rPr>
        <w:t>a</w:t>
      </w:r>
      <w:r w:rsidR="005C2E80" w:rsidRPr="00945D82">
        <w:rPr>
          <w:lang w:val="pt-BR"/>
        </w:rPr>
        <w:t>*</w:t>
      </w:r>
    </w:p>
    <w:p w14:paraId="144DE681" w14:textId="6FDB3E46" w:rsidR="00DD3D9E" w:rsidRPr="00945D82" w:rsidRDefault="00D85AFF">
      <w:pPr>
        <w:pStyle w:val="Els-Affiliation"/>
        <w:rPr>
          <w:lang w:val="pt-BR"/>
        </w:rPr>
      </w:pPr>
      <w:r w:rsidRPr="00945D82">
        <w:rPr>
          <w:vertAlign w:val="superscript"/>
          <w:lang w:val="pt-BR"/>
        </w:rPr>
        <w:t>a</w:t>
      </w:r>
      <w:r w:rsidR="00855D88" w:rsidRPr="00855D88">
        <w:rPr>
          <w:lang w:val="pt-BR"/>
        </w:rPr>
        <w:t>Postgraduate Program in Chemical and Biochemical Process Engineering</w:t>
      </w:r>
      <w:r w:rsidRPr="00945D82">
        <w:rPr>
          <w:lang w:val="pt-BR"/>
        </w:rPr>
        <w:t xml:space="preserve"> – EPQB</w:t>
      </w:r>
      <w:r w:rsidR="00855D88">
        <w:rPr>
          <w:lang w:val="pt-BR"/>
        </w:rPr>
        <w:t>, Universidade Federal do Rio de Janeiro, Brazil</w:t>
      </w:r>
    </w:p>
    <w:p w14:paraId="144DE682" w14:textId="7292DAA5" w:rsidR="00DD3D9E" w:rsidRPr="00945D82" w:rsidRDefault="00D85AFF">
      <w:pPr>
        <w:pStyle w:val="Els-Affiliation"/>
        <w:rPr>
          <w:lang w:val="pt-BR"/>
        </w:rPr>
      </w:pPr>
      <w:r w:rsidRPr="00945D82">
        <w:rPr>
          <w:vertAlign w:val="superscript"/>
          <w:lang w:val="pt-BR"/>
        </w:rPr>
        <w:t>b</w:t>
      </w:r>
      <w:r w:rsidRPr="00945D82">
        <w:rPr>
          <w:lang w:val="pt-BR"/>
        </w:rPr>
        <w:t xml:space="preserve">Petrobras </w:t>
      </w:r>
      <w:r w:rsidR="005C2E80" w:rsidRPr="005C2E80">
        <w:t>- Research, Development, and Innovation Center</w:t>
      </w:r>
      <w:r w:rsidRPr="00945D82">
        <w:rPr>
          <w:lang w:val="pt-BR"/>
        </w:rPr>
        <w:t xml:space="preserve"> - CENPES, Rio de Janeiro, Bra</w:t>
      </w:r>
      <w:r w:rsidR="00855D88">
        <w:rPr>
          <w:lang w:val="pt-BR"/>
        </w:rPr>
        <w:t>z</w:t>
      </w:r>
      <w:r w:rsidRPr="00945D82">
        <w:rPr>
          <w:lang w:val="pt-BR"/>
        </w:rPr>
        <w:t>il</w:t>
      </w:r>
    </w:p>
    <w:p w14:paraId="144DE683" w14:textId="372A4711" w:rsidR="008D2649" w:rsidRPr="00A94774" w:rsidRDefault="00D85AFF" w:rsidP="008D2649">
      <w:pPr>
        <w:pStyle w:val="Els-Affiliation"/>
        <w:spacing w:after="120"/>
      </w:pPr>
      <w:r>
        <w:t>amaro</w:t>
      </w:r>
      <w:r w:rsidRPr="00D85AFF">
        <w:t>@eq.ufrj.br</w:t>
      </w:r>
    </w:p>
    <w:bookmarkEnd w:id="0"/>
    <w:p w14:paraId="144DE684" w14:textId="77777777" w:rsidR="008D2649" w:rsidRDefault="008D2649" w:rsidP="008D2649">
      <w:pPr>
        <w:pStyle w:val="Els-Abstract"/>
      </w:pPr>
      <w:r>
        <w:t>Abstract</w:t>
      </w:r>
    </w:p>
    <w:p w14:paraId="144DE686" w14:textId="63234D0B" w:rsidR="008D2649" w:rsidRDefault="000E3CA2" w:rsidP="008D2649">
      <w:pPr>
        <w:pStyle w:val="Els-body-text"/>
        <w:spacing w:after="120"/>
        <w:rPr>
          <w:lang w:val="en-GB"/>
        </w:rPr>
      </w:pPr>
      <w:r w:rsidRPr="000E3CA2">
        <w:rPr>
          <w:lang w:val="en-GB"/>
        </w:rPr>
        <w:t xml:space="preserve">This study aims to gather information on high-pressure gas dehydration, intending to model, compare, and simulate breakthrough curves, evaluating their performance in a binary mixture of </w:t>
      </w:r>
      <w:r w:rsidRPr="000E3CA2">
        <w:rPr>
          <w:i/>
          <w:lang w:val="en-GB"/>
        </w:rPr>
        <w:t>H</w:t>
      </w:r>
      <w:r w:rsidRPr="000E3CA2">
        <w:rPr>
          <w:vertAlign w:val="subscript"/>
          <w:lang w:val="en-GB"/>
        </w:rPr>
        <w:t>2</w:t>
      </w:r>
      <w:r w:rsidRPr="000E3CA2">
        <w:rPr>
          <w:i/>
          <w:lang w:val="en-GB"/>
        </w:rPr>
        <w:t>O/CO</w:t>
      </w:r>
      <w:r w:rsidRPr="000E3CA2">
        <w:rPr>
          <w:vertAlign w:val="subscript"/>
          <w:lang w:val="en-GB"/>
        </w:rPr>
        <w:t>2</w:t>
      </w:r>
      <w:r w:rsidRPr="000E3CA2">
        <w:rPr>
          <w:lang w:val="en-GB"/>
        </w:rPr>
        <w:t xml:space="preserve">. </w:t>
      </w:r>
      <w:r w:rsidR="00955FC3">
        <w:rPr>
          <w:lang w:val="en-GB"/>
        </w:rPr>
        <w:t>O</w:t>
      </w:r>
      <w:r w:rsidRPr="000E3CA2">
        <w:rPr>
          <w:lang w:val="en-GB"/>
        </w:rPr>
        <w:t>ur approach considers the presence of other components in calculating the water fugacity in the gas phase under high pressure. The water adsorption process using zeolite 4A under high-pressure conditions is simulated, and the results are meticulously compared. The findings underscore the significance of this consideration, revealing differences of up to 24 hours compared to models that overlook this factor.</w:t>
      </w:r>
    </w:p>
    <w:p w14:paraId="144DE687" w14:textId="517AFFD8" w:rsidR="008D2649" w:rsidRDefault="008D2649" w:rsidP="008D2649">
      <w:pPr>
        <w:pStyle w:val="Els-body-text"/>
        <w:spacing w:after="120"/>
        <w:rPr>
          <w:lang w:val="en-GB"/>
        </w:rPr>
      </w:pPr>
      <w:r>
        <w:rPr>
          <w:b/>
          <w:bCs/>
          <w:lang w:val="en-GB"/>
        </w:rPr>
        <w:t>Keywords</w:t>
      </w:r>
      <w:r>
        <w:rPr>
          <w:lang w:val="en-GB"/>
        </w:rPr>
        <w:t>:</w:t>
      </w:r>
      <w:r w:rsidR="00263FCC">
        <w:rPr>
          <w:lang w:val="en-GB"/>
        </w:rPr>
        <w:t xml:space="preserve"> adsorption, natural gas dehydration, modelling, high pressure</w:t>
      </w:r>
      <w:r>
        <w:rPr>
          <w:lang w:val="en-GB"/>
        </w:rPr>
        <w:t>.</w:t>
      </w:r>
    </w:p>
    <w:p w14:paraId="144DE68B" w14:textId="79E065A3" w:rsidR="008D2649" w:rsidRDefault="000E3CA2" w:rsidP="008D2649">
      <w:pPr>
        <w:pStyle w:val="Els-1storder-head"/>
      </w:pPr>
      <w:r>
        <w:t>Introduction</w:t>
      </w:r>
    </w:p>
    <w:p w14:paraId="62F7B01B" w14:textId="61AC4998" w:rsidR="00D56F28" w:rsidRPr="00D56F28" w:rsidRDefault="00D56F28" w:rsidP="00D56F28">
      <w:pPr>
        <w:pStyle w:val="Els-body-text"/>
        <w:rPr>
          <w:lang w:val="en-GB"/>
        </w:rPr>
      </w:pPr>
      <w:r w:rsidRPr="00D56F28">
        <w:rPr>
          <w:lang w:val="en-GB"/>
        </w:rPr>
        <w:t>Natural gas conditioning aims to remove impurities such as water (</w:t>
      </w:r>
      <w:r w:rsidRPr="00D56F28">
        <w:rPr>
          <w:i/>
          <w:lang w:val="en-GB"/>
        </w:rPr>
        <w:t>H</w:t>
      </w:r>
      <w:r w:rsidRPr="00D56F28">
        <w:rPr>
          <w:i/>
          <w:vertAlign w:val="subscript"/>
          <w:lang w:val="en-GB"/>
        </w:rPr>
        <w:t>2</w:t>
      </w:r>
      <w:r w:rsidRPr="00D56F28">
        <w:rPr>
          <w:i/>
          <w:lang w:val="en-GB"/>
        </w:rPr>
        <w:t>O</w:t>
      </w:r>
      <w:r w:rsidRPr="00D56F28">
        <w:rPr>
          <w:lang w:val="en-GB"/>
        </w:rPr>
        <w:t>), carbon dioxide (</w:t>
      </w:r>
      <w:r w:rsidRPr="00D56F28">
        <w:rPr>
          <w:i/>
          <w:lang w:val="en-GB"/>
        </w:rPr>
        <w:t>CO</w:t>
      </w:r>
      <w:r w:rsidRPr="00D56F28">
        <w:rPr>
          <w:i/>
          <w:vertAlign w:val="subscript"/>
          <w:lang w:val="en-GB"/>
        </w:rPr>
        <w:t>2</w:t>
      </w:r>
      <w:r w:rsidRPr="00D56F28">
        <w:rPr>
          <w:lang w:val="en-GB"/>
        </w:rPr>
        <w:t>), nitrogen (</w:t>
      </w:r>
      <w:r w:rsidRPr="00D56F28">
        <w:rPr>
          <w:i/>
          <w:lang w:val="en-GB"/>
        </w:rPr>
        <w:t>N</w:t>
      </w:r>
      <w:r w:rsidRPr="00D56F28">
        <w:rPr>
          <w:i/>
          <w:vertAlign w:val="subscript"/>
          <w:lang w:val="en-GB"/>
        </w:rPr>
        <w:t>2</w:t>
      </w:r>
      <w:r w:rsidRPr="00D56F28">
        <w:rPr>
          <w:lang w:val="en-GB"/>
        </w:rPr>
        <w:t xml:space="preserve">), hydrogen </w:t>
      </w:r>
      <w:r w:rsidR="00487CBD" w:rsidRPr="00D56F28">
        <w:rPr>
          <w:lang w:val="en-GB"/>
        </w:rPr>
        <w:t>sulphide</w:t>
      </w:r>
      <w:r w:rsidRPr="00D56F28">
        <w:rPr>
          <w:lang w:val="en-GB"/>
        </w:rPr>
        <w:t xml:space="preserve"> (</w:t>
      </w:r>
      <w:r w:rsidRPr="00D56F28">
        <w:rPr>
          <w:i/>
          <w:lang w:val="en-GB"/>
        </w:rPr>
        <w:t>H</w:t>
      </w:r>
      <w:r w:rsidRPr="00D56F28">
        <w:rPr>
          <w:i/>
          <w:vertAlign w:val="subscript"/>
          <w:lang w:val="en-GB"/>
        </w:rPr>
        <w:t>2</w:t>
      </w:r>
      <w:r w:rsidRPr="00D56F28">
        <w:rPr>
          <w:i/>
          <w:lang w:val="en-GB"/>
        </w:rPr>
        <w:t>S</w:t>
      </w:r>
      <w:r w:rsidRPr="00D56F28">
        <w:rPr>
          <w:lang w:val="en-GB"/>
        </w:rPr>
        <w:t>), and other contaminants. In this regard, there is a need for some treatment or conditioning processes to ensure compliance with industry specifications, safety standards, and transportation of natural gas (NG). Among these contaminants, water in gas streams can pose a significant challenge to the primary stages of natural gas processing. Thus, moisture removal is crucial to prevent two common problems in high-pressure and low-temperature gas streams: hydrate formation and corrosion.</w:t>
      </w:r>
    </w:p>
    <w:p w14:paraId="532BE17C" w14:textId="59A1699F" w:rsidR="00D56F28" w:rsidRPr="00D56F28" w:rsidRDefault="00D56F28" w:rsidP="00D56F28">
      <w:pPr>
        <w:pStyle w:val="Els-body-text"/>
        <w:rPr>
          <w:lang w:val="en-GB"/>
        </w:rPr>
      </w:pPr>
      <w:r w:rsidRPr="00D56F28">
        <w:rPr>
          <w:lang w:val="en-GB"/>
        </w:rPr>
        <w:t>Adsorption dehydration emerges as a viable option and is widely employed when there is a requirement to achieve very low levels of water vapour content (1 ppm) in large gas flows. In this context, solid desiccants such as zeolites, silica gel, and alumina are preferred for natural gas dehydration. The adsorption operation is carried out through cyclic processes with two main steps: an adsorption step (in which water molecules are retained by the adsorbent) and regeneration step (in which water molecules are removed from the adsorbent). The adsorbent regeneration can be achieved through temperature swing adsorption (TSA) or pressure swing adsorption (PSA). TSA-based processes appear to be the most vi</w:t>
      </w:r>
      <w:r w:rsidR="004D582B">
        <w:rPr>
          <w:lang w:val="en-GB"/>
        </w:rPr>
        <w:t>able alternative for water vapo</w:t>
      </w:r>
      <w:r w:rsidR="00487CBD">
        <w:rPr>
          <w:lang w:val="en-GB"/>
        </w:rPr>
        <w:t>u</w:t>
      </w:r>
      <w:r w:rsidRPr="00D56F28">
        <w:rPr>
          <w:lang w:val="en-GB"/>
        </w:rPr>
        <w:t xml:space="preserve">r removal in gas streams for offshore oil industry operations under high-pressure conditions. </w:t>
      </w:r>
    </w:p>
    <w:p w14:paraId="28755516" w14:textId="074267D6" w:rsidR="001B3776" w:rsidRDefault="00D56F28" w:rsidP="00D56F28">
      <w:pPr>
        <w:pStyle w:val="Els-body-text"/>
        <w:rPr>
          <w:lang w:val="en-GB"/>
        </w:rPr>
      </w:pPr>
      <w:r w:rsidRPr="00D56F28">
        <w:rPr>
          <w:lang w:val="en-GB"/>
        </w:rPr>
        <w:t xml:space="preserve">Berg et al. (2019) reviewed adsorptive processes used in industrial natural gas processing and concluded that TSA is an established and essential process, but thermodynamic and kinetic principles still need to be fully understood. More recently, </w:t>
      </w:r>
      <w:r w:rsidR="00E40176">
        <w:rPr>
          <w:lang w:val="en-GB"/>
        </w:rPr>
        <w:t>Cavalc</w:t>
      </w:r>
      <w:r w:rsidR="00D81C9A">
        <w:rPr>
          <w:lang w:val="en-GB"/>
        </w:rPr>
        <w:t>ante</w:t>
      </w:r>
      <w:r w:rsidR="00D81C9A" w:rsidRPr="00D56F28">
        <w:rPr>
          <w:lang w:val="en-GB"/>
        </w:rPr>
        <w:t xml:space="preserve"> </w:t>
      </w:r>
      <w:r w:rsidRPr="00D56F28">
        <w:rPr>
          <w:lang w:val="en-GB"/>
        </w:rPr>
        <w:t xml:space="preserve">and </w:t>
      </w:r>
      <w:r w:rsidR="00D81C9A">
        <w:rPr>
          <w:lang w:val="en-GB"/>
        </w:rPr>
        <w:t>Pessoa</w:t>
      </w:r>
      <w:r w:rsidR="00D81C9A" w:rsidRPr="00D56F28">
        <w:rPr>
          <w:lang w:val="en-GB"/>
        </w:rPr>
        <w:t xml:space="preserve"> </w:t>
      </w:r>
      <w:r w:rsidRPr="00D56F28">
        <w:rPr>
          <w:lang w:val="en-GB"/>
        </w:rPr>
        <w:t xml:space="preserve">(2023) presented a simulation study regarding the effects of </w:t>
      </w:r>
      <w:r w:rsidRPr="00D56F28">
        <w:rPr>
          <w:lang w:val="en-GB"/>
        </w:rPr>
        <w:lastRenderedPageBreak/>
        <w:t xml:space="preserve">adsorbent aging. However, in addition to high-pressure operations, a high </w:t>
      </w:r>
      <w:r w:rsidRPr="000E3CA2">
        <w:rPr>
          <w:i/>
        </w:rPr>
        <w:t>CO</w:t>
      </w:r>
      <w:r w:rsidRPr="000E3CA2">
        <w:rPr>
          <w:vertAlign w:val="subscript"/>
        </w:rPr>
        <w:t>2</w:t>
      </w:r>
      <w:r w:rsidRPr="00D56F28">
        <w:rPr>
          <w:lang w:val="en-GB"/>
        </w:rPr>
        <w:t xml:space="preserve"> content can also become a challenge in some oil and gas exploration fields. In this context, the state-of-the-art phenomenological model</w:t>
      </w:r>
      <w:r w:rsidR="00585F8D">
        <w:rPr>
          <w:lang w:val="en-GB"/>
        </w:rPr>
        <w:t>l</w:t>
      </w:r>
      <w:r w:rsidRPr="00D56F28">
        <w:rPr>
          <w:lang w:val="en-GB"/>
        </w:rPr>
        <w:t xml:space="preserve">ing of TSA processes has seldom explored </w:t>
      </w:r>
      <w:r w:rsidR="0063126E">
        <w:rPr>
          <w:lang w:val="en-GB"/>
        </w:rPr>
        <w:t>such field operation conditions</w:t>
      </w:r>
      <w:r w:rsidRPr="00D56F28">
        <w:rPr>
          <w:lang w:val="en-GB"/>
        </w:rPr>
        <w:t xml:space="preserve"> (</w:t>
      </w:r>
      <w:proofErr w:type="spellStart"/>
      <w:r w:rsidR="0063126E">
        <w:rPr>
          <w:lang w:val="en-GB"/>
        </w:rPr>
        <w:t>Gholami</w:t>
      </w:r>
      <w:proofErr w:type="spellEnd"/>
      <w:r w:rsidR="0063126E">
        <w:rPr>
          <w:lang w:val="en-GB"/>
        </w:rPr>
        <w:t xml:space="preserve"> et al., 2010</w:t>
      </w:r>
      <w:r w:rsidRPr="00D56F28">
        <w:rPr>
          <w:lang w:val="en-GB"/>
        </w:rPr>
        <w:t>).</w:t>
      </w:r>
    </w:p>
    <w:p w14:paraId="7023A7DF" w14:textId="4AE95069" w:rsidR="00D56F28" w:rsidRPr="00CD4279" w:rsidRDefault="00D56F28" w:rsidP="00D56F28">
      <w:pPr>
        <w:pStyle w:val="Els-body-text"/>
        <w:rPr>
          <w:lang w:val="en-GB"/>
        </w:rPr>
      </w:pPr>
      <w:r w:rsidRPr="00E21C3F">
        <w:rPr>
          <w:lang w:val="en-GB"/>
        </w:rPr>
        <w:t>TSA process model</w:t>
      </w:r>
      <w:r w:rsidR="00585F8D">
        <w:rPr>
          <w:lang w:val="en-GB"/>
        </w:rPr>
        <w:t>l</w:t>
      </w:r>
      <w:r w:rsidRPr="00E21C3F">
        <w:rPr>
          <w:lang w:val="en-GB"/>
        </w:rPr>
        <w:t xml:space="preserve">ing requires a deep understanding of adsorption equilibrium and the transport of components in the porous media. In this scenario, experimental adsorption equilibrium data for </w:t>
      </w:r>
      <w:r w:rsidRPr="000E3CA2">
        <w:rPr>
          <w:i/>
        </w:rPr>
        <w:t>CO</w:t>
      </w:r>
      <w:r w:rsidRPr="000E3CA2">
        <w:rPr>
          <w:vertAlign w:val="subscript"/>
        </w:rPr>
        <w:t>2</w:t>
      </w:r>
      <w:r w:rsidRPr="00E21C3F">
        <w:rPr>
          <w:lang w:val="en-GB"/>
        </w:rPr>
        <w:t xml:space="preserve"> are available in the literature in a wide range of pressures and temperatures for several adsorbents. However, such data are scarce for water vapor, and existing data are in sub</w:t>
      </w:r>
      <w:r w:rsidR="00585F8D">
        <w:rPr>
          <w:lang w:val="en-GB"/>
        </w:rPr>
        <w:t>-</w:t>
      </w:r>
      <w:r w:rsidRPr="00E21C3F">
        <w:rPr>
          <w:lang w:val="en-GB"/>
        </w:rPr>
        <w:t>atmospheric conditions for a few temperatures and adsorbents</w:t>
      </w:r>
      <w:r>
        <w:rPr>
          <w:lang w:val="en-GB"/>
        </w:rPr>
        <w:t xml:space="preserve"> </w:t>
      </w:r>
      <w:r w:rsidR="0063126E">
        <w:rPr>
          <w:lang w:val="en-GB"/>
        </w:rPr>
        <w:t>(</w:t>
      </w:r>
      <w:proofErr w:type="spellStart"/>
      <w:r w:rsidRPr="003F6F4B">
        <w:rPr>
          <w:lang w:val="en-GB"/>
        </w:rPr>
        <w:t>W</w:t>
      </w:r>
      <w:r w:rsidR="0063126E">
        <w:rPr>
          <w:lang w:val="en-GB"/>
        </w:rPr>
        <w:t>ynnyk</w:t>
      </w:r>
      <w:proofErr w:type="spellEnd"/>
      <w:r w:rsidR="0063126E">
        <w:rPr>
          <w:lang w:val="en-GB"/>
        </w:rPr>
        <w:t>, 2019;</w:t>
      </w:r>
      <w:r w:rsidRPr="003F6F4B">
        <w:rPr>
          <w:lang w:val="en-GB"/>
        </w:rPr>
        <w:t xml:space="preserve"> W</w:t>
      </w:r>
      <w:r w:rsidR="0063126E">
        <w:rPr>
          <w:lang w:val="en-GB"/>
        </w:rPr>
        <w:t>ilkins et al., 2021)</w:t>
      </w:r>
      <w:r w:rsidRPr="00E21C3F">
        <w:rPr>
          <w:lang w:val="en-GB"/>
        </w:rPr>
        <w:t>.</w:t>
      </w:r>
    </w:p>
    <w:p w14:paraId="59187185" w14:textId="36DEB764" w:rsidR="00D56F28" w:rsidRPr="00EC7A9C" w:rsidRDefault="00D56F28" w:rsidP="00D56F28">
      <w:pPr>
        <w:pStyle w:val="Els-body-text"/>
      </w:pPr>
      <w:r w:rsidRPr="00811AB1">
        <w:rPr>
          <w:lang w:val="en-GB"/>
        </w:rPr>
        <w:t xml:space="preserve">Therefore, this work aims to develop a theoretical/computational model to simulate the natural gas dehydration process. In the obtained simulations, the feed stream consists of a mixture containing water and </w:t>
      </w:r>
      <w:r w:rsidRPr="00811AB1">
        <w:rPr>
          <w:i/>
          <w:lang w:val="en-GB"/>
        </w:rPr>
        <w:t>CO</w:t>
      </w:r>
      <w:r w:rsidRPr="00811AB1">
        <w:rPr>
          <w:vertAlign w:val="subscript"/>
          <w:lang w:val="en-GB"/>
        </w:rPr>
        <w:t>2</w:t>
      </w:r>
      <w:r w:rsidRPr="00811AB1">
        <w:rPr>
          <w:lang w:val="en-GB"/>
        </w:rPr>
        <w:t xml:space="preserve"> at a temperature of 40 °C. Two molar fractions of water were used in the feed stream:</w:t>
      </w:r>
      <w:r w:rsidRPr="00811AB1">
        <w:rPr>
          <w:sz w:val="24"/>
          <w:szCs w:val="24"/>
        </w:rPr>
        <w:t xml:space="preserve"> </w:t>
      </w:r>
      <w:r w:rsidRPr="00811AB1">
        <w:t>7</w:t>
      </w:r>
      <w:r w:rsidRPr="00811AB1">
        <w:rPr>
          <w:i/>
        </w:rPr>
        <w:t>.</w:t>
      </w:r>
      <w:r w:rsidRPr="00811AB1">
        <w:t>1</w:t>
      </w:r>
      <w:r w:rsidR="001F732C">
        <w:sym w:font="Symbol" w:char="F0B4"/>
      </w:r>
      <w:r w:rsidRPr="00811AB1">
        <w:t>10</w:t>
      </w:r>
      <w:r w:rsidRPr="00811AB1">
        <w:rPr>
          <w:vertAlign w:val="superscript"/>
        </w:rPr>
        <w:t>−4</w:t>
      </w:r>
      <w:r w:rsidRPr="00811AB1">
        <w:t xml:space="preserve"> at 1 bar and 1</w:t>
      </w:r>
      <w:r w:rsidRPr="00811AB1">
        <w:rPr>
          <w:i/>
        </w:rPr>
        <w:t>.</w:t>
      </w:r>
      <w:r w:rsidRPr="00811AB1">
        <w:t>4</w:t>
      </w:r>
      <w:r w:rsidR="001F732C">
        <w:sym w:font="Symbol" w:char="F0B4"/>
      </w:r>
      <w:r w:rsidRPr="00811AB1">
        <w:t>10</w:t>
      </w:r>
      <w:r w:rsidRPr="00811AB1">
        <w:rPr>
          <w:vertAlign w:val="superscript"/>
        </w:rPr>
        <w:t>−5</w:t>
      </w:r>
      <w:r w:rsidRPr="00811AB1">
        <w:t xml:space="preserve"> at 50 bar, with both cases corresponding to a concentration of 36.8 mmol/m³ of water.</w:t>
      </w:r>
      <w:r w:rsidR="00811AB1" w:rsidRPr="00811AB1">
        <w:t xml:space="preserve"> The adopted approach considers the impact of increasing pressure on calculating water fugacity in the gas phase. For this purpose, the Peng-Robinson equation of state is employed to consider this effect. The main goal of this study is to deepen the understanding of the effects of water vapor adsorption in the presence of </w:t>
      </w:r>
      <w:r w:rsidR="002D1328" w:rsidRPr="00811AB1">
        <w:rPr>
          <w:i/>
          <w:lang w:val="en-GB"/>
        </w:rPr>
        <w:t>CO</w:t>
      </w:r>
      <w:r w:rsidR="002D1328" w:rsidRPr="00811AB1">
        <w:rPr>
          <w:vertAlign w:val="subscript"/>
          <w:lang w:val="en-GB"/>
        </w:rPr>
        <w:t>2</w:t>
      </w:r>
      <w:r w:rsidR="00811AB1" w:rsidRPr="00811AB1">
        <w:t xml:space="preserve"> at high pressure through the analysis of breakthrough curves obtained from modeling that utilizes the Peng-Robinson equation of state.</w:t>
      </w:r>
    </w:p>
    <w:p w14:paraId="144DE699" w14:textId="7B67F8D7" w:rsidR="008D2649" w:rsidRDefault="00153BF9" w:rsidP="008D2649">
      <w:pPr>
        <w:pStyle w:val="Els-1storder-head"/>
      </w:pPr>
      <w:r>
        <w:t>Methods</w:t>
      </w:r>
    </w:p>
    <w:p w14:paraId="144DE69A" w14:textId="333C16DD" w:rsidR="008D2649" w:rsidRDefault="004D582B" w:rsidP="008D2649">
      <w:pPr>
        <w:pStyle w:val="Els-2ndorder-head"/>
      </w:pPr>
      <w:r>
        <w:t>Mathematical</w:t>
      </w:r>
      <w:r w:rsidR="00153BF9">
        <w:t xml:space="preserve"> modeling</w:t>
      </w:r>
    </w:p>
    <w:p w14:paraId="48F31721" w14:textId="192E47A7" w:rsidR="004D582B" w:rsidRPr="004D582B" w:rsidRDefault="004D582B" w:rsidP="004D582B">
      <w:pPr>
        <w:pStyle w:val="Els-body-text"/>
        <w:rPr>
          <w:lang w:val="en-GB"/>
        </w:rPr>
      </w:pPr>
      <w:r w:rsidRPr="004D582B">
        <w:rPr>
          <w:lang w:val="en-GB"/>
        </w:rPr>
        <w:t xml:space="preserve">The mathematical description of a fixed bed adsorption process encompasses principles of mass, energy, and momentum conservation coupled with thermodynamic models. The solution to this problem involves the numerical resolution of a system of partial differential equations (PDEs) for each adsorption and regeneration stage sequentially, with appropriate boundary conditions to reflect the sequence of steps in each cycle of an interconnected column system. In this study, the focus is on understanding the adsorption operation in a single column. The simulation of the adsorption column considered </w:t>
      </w:r>
      <w:r w:rsidR="001F732C">
        <w:rPr>
          <w:lang w:val="en-GB"/>
        </w:rPr>
        <w:t xml:space="preserve">the </w:t>
      </w:r>
      <w:r w:rsidRPr="004D582B">
        <w:rPr>
          <w:lang w:val="en-GB"/>
        </w:rPr>
        <w:t>following hypotheses: constant mass and heat transfer coefficients, negligible pressure drop</w:t>
      </w:r>
      <w:r w:rsidR="001F732C">
        <w:rPr>
          <w:lang w:val="en-GB"/>
        </w:rPr>
        <w:t>,</w:t>
      </w:r>
      <w:r w:rsidRPr="004D582B">
        <w:rPr>
          <w:lang w:val="en-GB"/>
        </w:rPr>
        <w:t xml:space="preserve"> constant superficial velocity, mass transfer of components between fluid and solid phases described by the Linear Driving Force (LDF) model, and the Peng-Robinson equation of state for the bulk phase.</w:t>
      </w:r>
    </w:p>
    <w:p w14:paraId="144DE69B" w14:textId="7BBA369C" w:rsidR="008D2649" w:rsidRDefault="004D582B" w:rsidP="004D582B">
      <w:pPr>
        <w:pStyle w:val="Els-body-text"/>
        <w:rPr>
          <w:lang w:val="en-GB"/>
        </w:rPr>
      </w:pPr>
      <w:r w:rsidRPr="004D582B">
        <w:rPr>
          <w:lang w:val="en-GB"/>
        </w:rPr>
        <w:t>Additionally, the numerical resolution of the PDE system was performed by the finite difference method in the axial coordinate, and numerical integration was performed using DASSLC (Differential-Algebraic System Solver in C) for Backward Differentiation Formula (BDF) in the temporal coordinate. The EMSO software was utilized to implement and solve the model (S</w:t>
      </w:r>
      <w:r w:rsidR="0063126E">
        <w:rPr>
          <w:lang w:val="en-GB"/>
        </w:rPr>
        <w:t>oares and Secchi</w:t>
      </w:r>
      <w:r w:rsidRPr="004D582B">
        <w:rPr>
          <w:lang w:val="en-GB"/>
        </w:rPr>
        <w:t>, 2003). Given the principles of adsorption, the basic equation to describe the dynamics of a fixed bed is derived from an infinitesimal mass balance per component in the gas phase:</w:t>
      </w:r>
    </w:p>
    <w:tbl>
      <w:tblPr>
        <w:tblW w:w="0" w:type="auto"/>
        <w:tblLook w:val="04A0" w:firstRow="1" w:lastRow="0" w:firstColumn="1" w:lastColumn="0" w:noHBand="0" w:noVBand="1"/>
      </w:tblPr>
      <w:tblGrid>
        <w:gridCol w:w="6317"/>
        <w:gridCol w:w="985"/>
      </w:tblGrid>
      <w:tr w:rsidR="0015176D" w:rsidRPr="00A94774" w14:paraId="2F3F209B" w14:textId="77777777" w:rsidTr="00027C31">
        <w:tc>
          <w:tcPr>
            <w:tcW w:w="6317" w:type="dxa"/>
            <w:shd w:val="clear" w:color="auto" w:fill="auto"/>
          </w:tcPr>
          <w:p w14:paraId="13D4C29B" w14:textId="59F94D32" w:rsidR="0015176D" w:rsidRPr="00D56F28" w:rsidRDefault="006A38A7" w:rsidP="004D582B">
            <w:pPr>
              <w:pStyle w:val="Els-body-text"/>
              <w:spacing w:before="120" w:after="120" w:line="264" w:lineRule="auto"/>
              <w:jc w:val="lef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z,i</m:t>
                    </m:r>
                  </m:sub>
                </m:sSub>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m:t>
                        </m:r>
                      </m:e>
                      <m:sup>
                        <m:r>
                          <w:rPr>
                            <w:rFonts w:ascii="Cambria Math" w:hAnsi="Cambria Math"/>
                            <w:lang w:val="en-GB"/>
                          </w:rPr>
                          <m:t>2</m:t>
                        </m:r>
                      </m:sup>
                    </m:sSup>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m:t>
                    </m:r>
                    <m:sSup>
                      <m:sSupPr>
                        <m:ctrlPr>
                          <w:rPr>
                            <w:rFonts w:ascii="Cambria Math" w:hAnsi="Cambria Math"/>
                            <w:i/>
                            <w:lang w:val="en-GB"/>
                          </w:rPr>
                        </m:ctrlPr>
                      </m:sSupPr>
                      <m:e>
                        <m:r>
                          <w:rPr>
                            <w:rFonts w:ascii="Cambria Math" w:hAnsi="Cambria Math"/>
                            <w:lang w:val="en-GB"/>
                          </w:rPr>
                          <m:t>z</m:t>
                        </m:r>
                      </m:e>
                      <m:sup>
                        <m:r>
                          <w:rPr>
                            <w:rFonts w:ascii="Cambria Math" w:hAnsi="Cambria Math"/>
                            <w:lang w:val="en-GB"/>
                          </w:rPr>
                          <m:t>2</m:t>
                        </m:r>
                      </m:sup>
                    </m:sSup>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d>
                      <m:dPr>
                        <m:ctrlPr>
                          <w:rPr>
                            <w:rFonts w:ascii="Cambria Math" w:hAnsi="Cambria Math"/>
                            <w:i/>
                            <w:lang w:val="en-GB"/>
                          </w:rPr>
                        </m:ctrlPr>
                      </m:dPr>
                      <m:e>
                        <m:r>
                          <w:rPr>
                            <w:rFonts w:ascii="Cambria Math" w:hAnsi="Cambria Math"/>
                            <w:lang w:val="en-GB"/>
                          </w:rPr>
                          <m:t>u</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e>
                    </m:d>
                  </m:num>
                  <m:den>
                    <m:r>
                      <w:rPr>
                        <w:rFonts w:ascii="Cambria Math" w:hAnsi="Cambria Math"/>
                        <w:lang w:val="en-GB"/>
                      </w:rPr>
                      <m:t>∂z</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∂t</m:t>
                    </m:r>
                  </m:den>
                </m:f>
                <m:r>
                  <w:rPr>
                    <w:rFonts w:ascii="Cambria Math" w:hAnsi="Cambria Math"/>
                    <w:lang w:val="en-GB"/>
                  </w:rPr>
                  <m:t>+</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1-ϵ</m:t>
                        </m:r>
                      </m:num>
                      <m:den>
                        <m:r>
                          <w:rPr>
                            <w:rFonts w:ascii="Cambria Math" w:hAnsi="Cambria Math"/>
                            <w:lang w:val="en-GB"/>
                          </w:rPr>
                          <m:t>ϵ</m:t>
                        </m:r>
                      </m:den>
                    </m:f>
                  </m:e>
                </m:d>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s</m:t>
                    </m:r>
                  </m:sub>
                </m:sSub>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i</m:t>
                        </m:r>
                      </m:sub>
                    </m:sSub>
                  </m:num>
                  <m:den>
                    <m:r>
                      <w:rPr>
                        <w:rFonts w:ascii="Cambria Math" w:hAnsi="Cambria Math"/>
                        <w:lang w:val="en-GB"/>
                      </w:rPr>
                      <m:t>∂t</m:t>
                    </m:r>
                  </m:den>
                </m:f>
                <m:r>
                  <w:rPr>
                    <w:rFonts w:ascii="Cambria Math" w:hAnsi="Cambria Math"/>
                    <w:lang w:val="en-GB"/>
                  </w:rPr>
                  <m:t xml:space="preserve">=0   </m:t>
                </m:r>
              </m:oMath>
            </m:oMathPara>
          </w:p>
        </w:tc>
        <w:tc>
          <w:tcPr>
            <w:tcW w:w="985" w:type="dxa"/>
            <w:shd w:val="clear" w:color="auto" w:fill="auto"/>
            <w:vAlign w:val="center"/>
          </w:tcPr>
          <w:p w14:paraId="643A64EF" w14:textId="77777777" w:rsidR="0015176D" w:rsidRPr="00A94774" w:rsidRDefault="0015176D" w:rsidP="004D582B">
            <w:pPr>
              <w:pStyle w:val="Els-body-text"/>
              <w:spacing w:before="120" w:after="120" w:line="264" w:lineRule="auto"/>
              <w:jc w:val="right"/>
              <w:rPr>
                <w:lang w:val="en-GB"/>
              </w:rPr>
            </w:pPr>
            <w:r w:rsidRPr="00A94774">
              <w:rPr>
                <w:lang w:val="en-GB"/>
              </w:rPr>
              <w:t>(1)</w:t>
            </w:r>
          </w:p>
        </w:tc>
      </w:tr>
    </w:tbl>
    <w:p w14:paraId="2B14C4B3" w14:textId="10456313" w:rsidR="00732777" w:rsidRDefault="004D582B" w:rsidP="00153BF9">
      <w:pPr>
        <w:pStyle w:val="Els-body-text"/>
        <w:rPr>
          <w:lang w:val="en-GB"/>
        </w:rPr>
      </w:pPr>
      <w:r>
        <w:rPr>
          <w:lang w:val="en-GB"/>
        </w:rPr>
        <w:t>I</w:t>
      </w:r>
      <w:r w:rsidRPr="00D86DF9">
        <w:rPr>
          <w:lang w:val="en-GB"/>
        </w:rPr>
        <w:t xml:space="preserve">n which,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z,i</m:t>
            </m:r>
          </m:sub>
        </m:sSub>
      </m:oMath>
      <w:r>
        <w:rPr>
          <w:lang w:val="en-GB"/>
        </w:rPr>
        <w:t xml:space="preserve"> </w:t>
      </w:r>
      <w:r w:rsidRPr="00D86DF9">
        <w:rPr>
          <w:lang w:val="en-GB"/>
        </w:rPr>
        <w:t xml:space="preserve">is the effective axial dispersion coefficient,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oMath>
      <w:r w:rsidRPr="00D86DF9">
        <w:rPr>
          <w:i/>
          <w:lang w:val="en-GB"/>
        </w:rPr>
        <w:t xml:space="preserve"> </w:t>
      </w:r>
      <w:r w:rsidRPr="00D86DF9">
        <w:rPr>
          <w:lang w:val="en-GB"/>
        </w:rPr>
        <w:t xml:space="preserve">is the concentration of component </w:t>
      </w:r>
      <w:r w:rsidRPr="006F55C5">
        <w:rPr>
          <w:i/>
          <w:lang w:val="en-GB"/>
        </w:rPr>
        <w:t>i</w:t>
      </w:r>
      <w:r w:rsidRPr="00D86DF9">
        <w:rPr>
          <w:lang w:val="en-GB"/>
        </w:rPr>
        <w:t xml:space="preserve"> in the fluid phase, </w:t>
      </w:r>
      <w:r w:rsidRPr="00D86DF9">
        <w:rPr>
          <w:i/>
          <w:lang w:val="en-GB"/>
        </w:rPr>
        <w:t xml:space="preserve">u </w:t>
      </w:r>
      <w:r w:rsidRPr="00D86DF9">
        <w:rPr>
          <w:lang w:val="en-GB"/>
        </w:rPr>
        <w:t xml:space="preserve">is the fluid velocity, </w:t>
      </w:r>
      <w:r w:rsidRPr="00D86DF9">
        <w:rPr>
          <w:i/>
          <w:lang w:val="en-GB"/>
        </w:rPr>
        <w:t xml:space="preserve">ε </w:t>
      </w:r>
      <w:r w:rsidRPr="00D86DF9">
        <w:rPr>
          <w:lang w:val="en-GB"/>
        </w:rPr>
        <w:t xml:space="preserve">is the bed void fraction,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s</m:t>
            </m:r>
          </m:sub>
        </m:sSub>
      </m:oMath>
      <w:r w:rsidRPr="00D86DF9">
        <w:rPr>
          <w:i/>
          <w:lang w:val="en-GB"/>
        </w:rPr>
        <w:t xml:space="preserve"> </w:t>
      </w:r>
      <w:r w:rsidRPr="00D86DF9">
        <w:rPr>
          <w:lang w:val="en-GB"/>
        </w:rPr>
        <w:t xml:space="preserve">is the density of the adsorbent, and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i</m:t>
                </m:r>
              </m:sub>
            </m:sSub>
          </m:e>
        </m:acc>
      </m:oMath>
      <w:r>
        <w:rPr>
          <w:lang w:val="en-GB"/>
        </w:rPr>
        <w:t xml:space="preserve"> </w:t>
      </w:r>
      <w:r w:rsidRPr="00D86DF9">
        <w:rPr>
          <w:lang w:val="en-GB"/>
        </w:rPr>
        <w:t>is the average concentration in the adsorbed phase</w:t>
      </w:r>
      <w:r>
        <w:rPr>
          <w:lang w:val="en-GB"/>
        </w:rPr>
        <w:t>.</w:t>
      </w:r>
      <w:r w:rsidRPr="00D86DF9">
        <w:rPr>
          <w:sz w:val="22"/>
          <w:szCs w:val="22"/>
        </w:rPr>
        <w:t xml:space="preserve"> </w:t>
      </w:r>
      <w:r w:rsidRPr="00D86DF9">
        <w:rPr>
          <w:lang w:val="en-GB"/>
        </w:rPr>
        <w:t>For the mass balance in the solid phase, the Linear Driving Force (LDF) model is presented:</w:t>
      </w:r>
    </w:p>
    <w:tbl>
      <w:tblPr>
        <w:tblW w:w="0" w:type="auto"/>
        <w:tblLook w:val="04A0" w:firstRow="1" w:lastRow="0" w:firstColumn="1" w:lastColumn="0" w:noHBand="0" w:noVBand="1"/>
      </w:tblPr>
      <w:tblGrid>
        <w:gridCol w:w="6317"/>
        <w:gridCol w:w="985"/>
      </w:tblGrid>
      <w:tr w:rsidR="0015176D" w:rsidRPr="00A94774" w14:paraId="6CB67DC9" w14:textId="77777777" w:rsidTr="00027C31">
        <w:tc>
          <w:tcPr>
            <w:tcW w:w="6317" w:type="dxa"/>
            <w:shd w:val="clear" w:color="auto" w:fill="auto"/>
          </w:tcPr>
          <w:p w14:paraId="4EC2BDDD" w14:textId="1F7FA0B8" w:rsidR="0015176D" w:rsidRPr="004D582B" w:rsidRDefault="006A38A7" w:rsidP="00027C31">
            <w:pPr>
              <w:pStyle w:val="Els-body-text"/>
              <w:spacing w:before="120" w:after="120" w:line="264" w:lineRule="auto"/>
              <w:jc w:val="left"/>
              <w:rPr>
                <w:lang w:val="en-GB"/>
              </w:rPr>
            </w:pPr>
            <m:oMathPara>
              <m:oMathParaPr>
                <m:jc m:val="left"/>
              </m:oMathParaPr>
              <m:oMath>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i</m:t>
                        </m:r>
                      </m:sub>
                    </m:sSub>
                  </m:num>
                  <m:den>
                    <m:r>
                      <w:rPr>
                        <w:rFonts w:ascii="Cambria Math" w:hAnsi="Cambria Math"/>
                        <w:lang w:val="en-GB"/>
                      </w:rPr>
                      <m:t>∂t</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q</m:t>
                    </m:r>
                  </m:e>
                  <m:sub>
                    <m:r>
                      <w:rPr>
                        <w:rFonts w:ascii="Cambria Math" w:hAnsi="Cambria Math"/>
                        <w:lang w:val="en-GB"/>
                      </w:rPr>
                      <m:t>i</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i</m:t>
                    </m:r>
                  </m:sub>
                </m:sSub>
                <m:r>
                  <w:rPr>
                    <w:rFonts w:ascii="Cambria Math" w:hAnsi="Cambria Math"/>
                    <w:lang w:val="en-GB"/>
                  </w:rPr>
                  <m:t xml:space="preserve">)   </m:t>
                </m:r>
              </m:oMath>
            </m:oMathPara>
            <w:bookmarkStart w:id="1" w:name="_GoBack"/>
            <w:bookmarkEnd w:id="1"/>
          </w:p>
        </w:tc>
        <w:tc>
          <w:tcPr>
            <w:tcW w:w="985" w:type="dxa"/>
            <w:shd w:val="clear" w:color="auto" w:fill="auto"/>
            <w:vAlign w:val="center"/>
          </w:tcPr>
          <w:p w14:paraId="1FFA9F1A" w14:textId="5F7C990B" w:rsidR="0015176D" w:rsidRPr="00A94774" w:rsidRDefault="0015176D" w:rsidP="00027C31">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62C4E0DF" w14:textId="73A02059" w:rsidR="0015176D" w:rsidRDefault="004D582B" w:rsidP="00D86DF9">
      <w:pPr>
        <w:pStyle w:val="Els-body-text"/>
        <w:rPr>
          <w:lang w:val="en-GB"/>
        </w:rPr>
      </w:pPr>
      <w:r w:rsidRPr="00D86DF9">
        <w:t xml:space="preserve">In which,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Pr>
          <w:i/>
        </w:rPr>
        <w:t xml:space="preserve"> </w:t>
      </w:r>
      <w:r w:rsidRPr="00D86DF9">
        <w:t xml:space="preserve">is a global coefficient of mass transfer resistance, and </w:t>
      </w:r>
      <m:oMath>
        <m:sSubSup>
          <m:sSubSupPr>
            <m:ctrlPr>
              <w:rPr>
                <w:rFonts w:ascii="Cambria Math" w:hAnsi="Cambria Math"/>
                <w:i/>
                <w:lang w:val="en-GB"/>
              </w:rPr>
            </m:ctrlPr>
          </m:sSubSupPr>
          <m:e>
            <m:r>
              <w:rPr>
                <w:rFonts w:ascii="Cambria Math" w:hAnsi="Cambria Math"/>
                <w:lang w:val="en-GB"/>
              </w:rPr>
              <m:t>q</m:t>
            </m:r>
          </m:e>
          <m:sub>
            <m:r>
              <w:rPr>
                <w:rFonts w:ascii="Cambria Math" w:hAnsi="Cambria Math"/>
                <w:lang w:val="en-GB"/>
              </w:rPr>
              <m:t>i</m:t>
            </m:r>
          </m:sub>
          <m:sup>
            <m:r>
              <w:rPr>
                <w:rFonts w:ascii="Cambria Math" w:hAnsi="Cambria Math"/>
                <w:lang w:val="en-GB"/>
              </w:rPr>
              <m:t>*</m:t>
            </m:r>
          </m:sup>
        </m:sSubSup>
      </m:oMath>
      <w:r w:rsidRPr="00D86DF9">
        <w:rPr>
          <w:i/>
        </w:rPr>
        <w:t xml:space="preserve"> </w:t>
      </w:r>
      <w:r w:rsidRPr="00D86DF9">
        <w:t xml:space="preserve">is the concentration of species </w:t>
      </w:r>
      <w:r w:rsidRPr="006F55C5">
        <w:rPr>
          <w:i/>
        </w:rPr>
        <w:t>i</w:t>
      </w:r>
      <w:r w:rsidRPr="00D86DF9">
        <w:t xml:space="preserve"> in the adsorbed phase in equilibrium with the concentration of the fluid phase. There are various proposals for the calculation of the coefficient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Pr>
          <w:i/>
        </w:rPr>
        <w:t xml:space="preserve"> </w:t>
      </w:r>
      <w:r w:rsidRPr="00D86DF9">
        <w:t>depending on the dominant resistance</w:t>
      </w:r>
      <w:r>
        <w:t xml:space="preserve"> </w:t>
      </w:r>
      <w:r w:rsidRPr="00D86DF9">
        <w:rPr>
          <w:lang w:val="en-GB"/>
        </w:rPr>
        <w:t>type in the system.</w:t>
      </w:r>
      <w:r w:rsidRPr="00D86DF9">
        <w:rPr>
          <w:sz w:val="22"/>
          <w:szCs w:val="22"/>
        </w:rPr>
        <w:t xml:space="preserve"> </w:t>
      </w:r>
      <w:r w:rsidRPr="00D86DF9">
        <w:rPr>
          <w:lang w:val="en-GB"/>
        </w:rPr>
        <w:t>Equation 3 describes the energy balance in the gas phase</w:t>
      </w:r>
      <w:r>
        <w:rPr>
          <w:lang w:val="en-GB"/>
        </w:rPr>
        <w:t>:</w:t>
      </w:r>
    </w:p>
    <w:tbl>
      <w:tblPr>
        <w:tblW w:w="0" w:type="auto"/>
        <w:tblLook w:val="04A0" w:firstRow="1" w:lastRow="0" w:firstColumn="1" w:lastColumn="0" w:noHBand="0" w:noVBand="1"/>
      </w:tblPr>
      <w:tblGrid>
        <w:gridCol w:w="6852"/>
        <w:gridCol w:w="450"/>
      </w:tblGrid>
      <w:tr w:rsidR="0015176D" w:rsidRPr="00A94774" w14:paraId="2320BF52" w14:textId="77777777" w:rsidTr="004D582B">
        <w:tc>
          <w:tcPr>
            <w:tcW w:w="6852" w:type="dxa"/>
            <w:shd w:val="clear" w:color="auto" w:fill="auto"/>
          </w:tcPr>
          <w:p w14:paraId="146F6013" w14:textId="2709FBC5" w:rsidR="0015176D" w:rsidRPr="004D582B" w:rsidRDefault="006A38A7" w:rsidP="00027C31">
            <w:pPr>
              <w:pStyle w:val="Els-body-text"/>
              <w:spacing w:before="120" w:after="120" w:line="264" w:lineRule="auto"/>
              <w:jc w:val="left"/>
              <w:rPr>
                <w:sz w:val="18"/>
                <w:szCs w:val="18"/>
                <w:lang w:val="en-GB"/>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-λ</m:t>
                    </m:r>
                  </m:e>
                  <m:sub>
                    <m:r>
                      <w:rPr>
                        <w:rFonts w:ascii="Cambria Math" w:hAnsi="Cambria Math"/>
                        <w:sz w:val="18"/>
                        <w:szCs w:val="18"/>
                        <w:lang w:val="en-GB"/>
                      </w:rPr>
                      <m:t>L</m:t>
                    </m:r>
                  </m:sub>
                </m:sSub>
                <m:f>
                  <m:fPr>
                    <m:ctrlPr>
                      <w:rPr>
                        <w:rFonts w:ascii="Cambria Math" w:hAnsi="Cambria Math"/>
                        <w:i/>
                        <w:sz w:val="18"/>
                        <w:szCs w:val="18"/>
                        <w:lang w:val="en-GB"/>
                      </w:rPr>
                    </m:ctrlPr>
                  </m:fPr>
                  <m:num>
                    <m:sSup>
                      <m:sSupPr>
                        <m:ctrlPr>
                          <w:rPr>
                            <w:rFonts w:ascii="Cambria Math" w:hAnsi="Cambria Math"/>
                            <w:i/>
                            <w:sz w:val="18"/>
                            <w:szCs w:val="18"/>
                            <w:lang w:val="en-GB"/>
                          </w:rPr>
                        </m:ctrlPr>
                      </m:sSupPr>
                      <m:e>
                        <m:r>
                          <w:rPr>
                            <w:rFonts w:ascii="Cambria Math" w:hAnsi="Cambria Math"/>
                            <w:sz w:val="18"/>
                            <w:szCs w:val="18"/>
                            <w:lang w:val="en-GB"/>
                          </w:rPr>
                          <m:t>∂</m:t>
                        </m:r>
                      </m:e>
                      <m:sup>
                        <m:r>
                          <w:rPr>
                            <w:rFonts w:ascii="Cambria Math" w:hAnsi="Cambria Math"/>
                            <w:sz w:val="18"/>
                            <w:szCs w:val="18"/>
                            <w:lang w:val="en-GB"/>
                          </w:rPr>
                          <m:t>2</m:t>
                        </m:r>
                      </m:sup>
                    </m:sSup>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g</m:t>
                        </m:r>
                      </m:sub>
                    </m:sSub>
                  </m:num>
                  <m:den>
                    <m:r>
                      <w:rPr>
                        <w:rFonts w:ascii="Cambria Math" w:hAnsi="Cambria Math"/>
                        <w:sz w:val="18"/>
                        <w:szCs w:val="18"/>
                        <w:lang w:val="en-GB"/>
                      </w:rPr>
                      <m:t>∂</m:t>
                    </m:r>
                    <m:sSup>
                      <m:sSupPr>
                        <m:ctrlPr>
                          <w:rPr>
                            <w:rFonts w:ascii="Cambria Math" w:hAnsi="Cambria Math"/>
                            <w:i/>
                            <w:sz w:val="18"/>
                            <w:szCs w:val="18"/>
                            <w:lang w:val="en-GB"/>
                          </w:rPr>
                        </m:ctrlPr>
                      </m:sSupPr>
                      <m:e>
                        <m:r>
                          <w:rPr>
                            <w:rFonts w:ascii="Cambria Math" w:hAnsi="Cambria Math"/>
                            <w:sz w:val="18"/>
                            <w:szCs w:val="18"/>
                            <w:lang w:val="en-GB"/>
                          </w:rPr>
                          <m:t>z</m:t>
                        </m:r>
                      </m:e>
                      <m:sup>
                        <m:r>
                          <w:rPr>
                            <w:rFonts w:ascii="Cambria Math" w:hAnsi="Cambria Math"/>
                            <w:sz w:val="18"/>
                            <w:szCs w:val="18"/>
                            <w:lang w:val="en-GB"/>
                          </w:rPr>
                          <m:t>2</m:t>
                        </m:r>
                      </m:sup>
                    </m:sSup>
                  </m:den>
                </m:f>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sSub>
                  <m:sSubPr>
                    <m:ctrlPr>
                      <w:rPr>
                        <w:rFonts w:ascii="Cambria Math" w:hAnsi="Cambria Math"/>
                        <w:i/>
                        <w:sz w:val="18"/>
                        <w:szCs w:val="18"/>
                        <w:lang w:val="en-GB"/>
                      </w:rPr>
                    </m:ctrlPr>
                  </m:sSubPr>
                  <m:e>
                    <m:r>
                      <w:rPr>
                        <w:rFonts w:ascii="Cambria Math" w:hAnsi="Cambria Math"/>
                        <w:sz w:val="18"/>
                        <w:szCs w:val="18"/>
                        <w:lang w:val="en-GB"/>
                      </w:rPr>
                      <m:t>C</m:t>
                    </m:r>
                  </m:e>
                  <m:sub>
                    <m:r>
                      <w:rPr>
                        <w:rFonts w:ascii="Cambria Math" w:hAnsi="Cambria Math"/>
                        <w:sz w:val="18"/>
                        <w:szCs w:val="18"/>
                        <w:lang w:val="en-GB"/>
                      </w:rPr>
                      <m:t>g</m:t>
                    </m:r>
                  </m:sub>
                </m:sSub>
                <m:f>
                  <m:fPr>
                    <m:ctrlPr>
                      <w:rPr>
                        <w:rFonts w:ascii="Cambria Math" w:hAnsi="Cambria Math"/>
                        <w:i/>
                        <w:sz w:val="18"/>
                        <w:szCs w:val="18"/>
                        <w:lang w:val="en-GB"/>
                      </w:rPr>
                    </m:ctrlPr>
                  </m:fPr>
                  <m:num>
                    <m:r>
                      <w:rPr>
                        <w:rFonts w:ascii="Cambria Math" w:hAnsi="Cambria Math"/>
                        <w:sz w:val="18"/>
                        <w:szCs w:val="18"/>
                        <w:lang w:val="en-GB"/>
                      </w:rPr>
                      <m:t>∂</m:t>
                    </m:r>
                    <m:d>
                      <m:dPr>
                        <m:ctrlPr>
                          <w:rPr>
                            <w:rFonts w:ascii="Cambria Math" w:hAnsi="Cambria Math"/>
                            <w:i/>
                            <w:sz w:val="18"/>
                            <w:szCs w:val="18"/>
                            <w:lang w:val="en-GB"/>
                          </w:rPr>
                        </m:ctrlPr>
                      </m:dPr>
                      <m:e>
                        <m:r>
                          <w:rPr>
                            <w:rFonts w:ascii="Cambria Math" w:hAnsi="Cambria Math"/>
                            <w:sz w:val="18"/>
                            <w:szCs w:val="18"/>
                            <w:lang w:val="en-GB"/>
                          </w:rPr>
                          <m:t>u</m:t>
                        </m:r>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g</m:t>
                            </m:r>
                          </m:sub>
                        </m:sSub>
                      </m:e>
                    </m:d>
                  </m:num>
                  <m:den>
                    <m:r>
                      <w:rPr>
                        <w:rFonts w:ascii="Cambria Math" w:hAnsi="Cambria Math"/>
                        <w:sz w:val="18"/>
                        <w:szCs w:val="18"/>
                        <w:lang w:val="en-GB"/>
                      </w:rPr>
                      <m:t>∂z</m:t>
                    </m:r>
                  </m:den>
                </m:f>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sSub>
                  <m:sSubPr>
                    <m:ctrlPr>
                      <w:rPr>
                        <w:rFonts w:ascii="Cambria Math" w:hAnsi="Cambria Math"/>
                        <w:i/>
                        <w:sz w:val="18"/>
                        <w:szCs w:val="18"/>
                        <w:lang w:val="en-GB"/>
                      </w:rPr>
                    </m:ctrlPr>
                  </m:sSubPr>
                  <m:e>
                    <m:r>
                      <w:rPr>
                        <w:rFonts w:ascii="Cambria Math" w:hAnsi="Cambria Math"/>
                        <w:sz w:val="18"/>
                        <w:szCs w:val="18"/>
                        <w:lang w:val="en-GB"/>
                      </w:rPr>
                      <m:t>C</m:t>
                    </m:r>
                  </m:e>
                  <m:sub>
                    <m:r>
                      <w:rPr>
                        <w:rFonts w:ascii="Cambria Math" w:hAnsi="Cambria Math"/>
                        <w:sz w:val="18"/>
                        <w:szCs w:val="18"/>
                        <w:lang w:val="en-GB"/>
                      </w:rPr>
                      <m:t>g</m:t>
                    </m:r>
                  </m:sub>
                </m:sSub>
                <m:f>
                  <m:fPr>
                    <m:ctrlPr>
                      <w:rPr>
                        <w:rFonts w:ascii="Cambria Math" w:hAnsi="Cambria Math"/>
                        <w:i/>
                        <w:sz w:val="18"/>
                        <w:szCs w:val="18"/>
                        <w:lang w:val="en-GB"/>
                      </w:rPr>
                    </m:ctrlPr>
                  </m:fPr>
                  <m:num>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g</m:t>
                        </m:r>
                      </m:sub>
                    </m:sSub>
                  </m:num>
                  <m:den>
                    <m:r>
                      <w:rPr>
                        <w:rFonts w:ascii="Cambria Math" w:hAnsi="Cambria Math"/>
                        <w:sz w:val="18"/>
                        <w:szCs w:val="18"/>
                        <w:lang w:val="en-GB"/>
                      </w:rPr>
                      <m:t>∂t</m:t>
                    </m:r>
                  </m:den>
                </m:f>
                <m:r>
                  <w:rPr>
                    <w:rFonts w:ascii="Cambria Math" w:hAnsi="Cambria Math"/>
                    <w:sz w:val="18"/>
                    <w:szCs w:val="18"/>
                    <w:lang w:val="en-GB"/>
                  </w:rPr>
                  <m:t>+</m:t>
                </m:r>
                <m:d>
                  <m:dPr>
                    <m:ctrlPr>
                      <w:rPr>
                        <w:rFonts w:ascii="Cambria Math" w:hAnsi="Cambria Math"/>
                        <w:i/>
                        <w:sz w:val="18"/>
                        <w:szCs w:val="18"/>
                        <w:lang w:val="en-GB"/>
                      </w:rPr>
                    </m:ctrlPr>
                  </m:dPr>
                  <m:e>
                    <m:f>
                      <m:fPr>
                        <m:ctrlPr>
                          <w:rPr>
                            <w:rFonts w:ascii="Cambria Math" w:hAnsi="Cambria Math"/>
                            <w:i/>
                            <w:sz w:val="18"/>
                            <w:szCs w:val="18"/>
                            <w:lang w:val="en-GB"/>
                          </w:rPr>
                        </m:ctrlPr>
                      </m:fPr>
                      <m:num>
                        <m:r>
                          <w:rPr>
                            <w:rFonts w:ascii="Cambria Math" w:hAnsi="Cambria Math"/>
                            <w:sz w:val="18"/>
                            <w:szCs w:val="18"/>
                            <w:lang w:val="en-GB"/>
                          </w:rPr>
                          <m:t>1-ϵ</m:t>
                        </m:r>
                      </m:num>
                      <m:den>
                        <m:r>
                          <w:rPr>
                            <w:rFonts w:ascii="Cambria Math" w:hAnsi="Cambria Math"/>
                            <w:sz w:val="18"/>
                            <w:szCs w:val="18"/>
                            <w:lang w:val="en-GB"/>
                          </w:rPr>
                          <m:t>ϵ</m:t>
                        </m:r>
                      </m:den>
                    </m:f>
                  </m:e>
                </m:d>
                <m:sSub>
                  <m:sSubPr>
                    <m:ctrlPr>
                      <w:rPr>
                        <w:rFonts w:ascii="Cambria Math" w:hAnsi="Cambria Math"/>
                        <w:i/>
                        <w:sz w:val="18"/>
                        <w:szCs w:val="18"/>
                        <w:lang w:val="en-GB"/>
                      </w:rPr>
                    </m:ctrlPr>
                  </m:sSubPr>
                  <m:e>
                    <m:r>
                      <w:rPr>
                        <w:rFonts w:ascii="Cambria Math" w:hAnsi="Cambria Math"/>
                        <w:sz w:val="18"/>
                        <w:szCs w:val="18"/>
                        <w:lang w:val="en-GB"/>
                      </w:rPr>
                      <m:t>h</m:t>
                    </m:r>
                  </m:e>
                  <m:sub>
                    <m:r>
                      <w:rPr>
                        <w:rFonts w:ascii="Cambria Math" w:hAnsi="Cambria Math"/>
                        <w:sz w:val="18"/>
                        <w:szCs w:val="18"/>
                        <w:lang w:val="en-GB"/>
                      </w:rPr>
                      <m:t>f</m:t>
                    </m:r>
                  </m:sub>
                </m:sSub>
                <m:sSub>
                  <m:sSubPr>
                    <m:ctrlPr>
                      <w:rPr>
                        <w:rFonts w:ascii="Cambria Math" w:hAnsi="Cambria Math"/>
                        <w:i/>
                        <w:sz w:val="18"/>
                        <w:szCs w:val="18"/>
                        <w:lang w:val="en-GB"/>
                      </w:rPr>
                    </m:ctrlPr>
                  </m:sSubPr>
                  <m:e>
                    <m:r>
                      <w:rPr>
                        <w:rFonts w:ascii="Cambria Math" w:hAnsi="Cambria Math"/>
                        <w:sz w:val="18"/>
                        <w:szCs w:val="18"/>
                        <w:lang w:val="en-GB"/>
                      </w:rPr>
                      <m:t>a</m:t>
                    </m:r>
                  </m:e>
                  <m:sub>
                    <m:r>
                      <w:rPr>
                        <w:rFonts w:ascii="Cambria Math" w:hAnsi="Cambria Math"/>
                        <w:sz w:val="18"/>
                        <w:szCs w:val="18"/>
                        <w:lang w:val="en-GB"/>
                      </w:rPr>
                      <m:t>s</m:t>
                    </m:r>
                  </m:sub>
                </m:sSub>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g</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s</m:t>
                        </m:r>
                      </m:sub>
                    </m:sSub>
                  </m:e>
                </m:d>
                <m:r>
                  <w:rPr>
                    <w:rFonts w:ascii="Cambria Math" w:hAnsi="Cambria Math"/>
                    <w:sz w:val="18"/>
                    <w:szCs w:val="18"/>
                    <w:lang w:val="en-GB"/>
                  </w:rPr>
                  <m:t>+</m:t>
                </m:r>
                <m:f>
                  <m:fPr>
                    <m:ctrlPr>
                      <w:rPr>
                        <w:rFonts w:ascii="Cambria Math" w:hAnsi="Cambria Math"/>
                        <w:i/>
                        <w:sz w:val="18"/>
                        <w:szCs w:val="18"/>
                        <w:lang w:val="en-GB"/>
                      </w:rPr>
                    </m:ctrlPr>
                  </m:fPr>
                  <m:num>
                    <m:r>
                      <w:rPr>
                        <w:rFonts w:ascii="Cambria Math" w:hAnsi="Cambria Math"/>
                        <w:sz w:val="18"/>
                        <w:szCs w:val="18"/>
                        <w:lang w:val="en-GB"/>
                      </w:rPr>
                      <m:t>4</m:t>
                    </m:r>
                    <m:sSub>
                      <m:sSubPr>
                        <m:ctrlPr>
                          <w:rPr>
                            <w:rFonts w:ascii="Cambria Math" w:hAnsi="Cambria Math"/>
                            <w:i/>
                            <w:sz w:val="18"/>
                            <w:szCs w:val="18"/>
                            <w:lang w:val="en-GB"/>
                          </w:rPr>
                        </m:ctrlPr>
                      </m:sSubPr>
                      <m:e>
                        <m:r>
                          <w:rPr>
                            <w:rFonts w:ascii="Cambria Math" w:hAnsi="Cambria Math"/>
                            <w:sz w:val="18"/>
                            <w:szCs w:val="18"/>
                            <w:lang w:val="en-GB"/>
                          </w:rPr>
                          <m:t>h</m:t>
                        </m:r>
                      </m:e>
                      <m:sub>
                        <m:r>
                          <w:rPr>
                            <w:rFonts w:ascii="Cambria Math" w:hAnsi="Cambria Math"/>
                            <w:sz w:val="18"/>
                            <w:szCs w:val="18"/>
                            <w:lang w:val="en-GB"/>
                          </w:rPr>
                          <m:t>w</m:t>
                        </m:r>
                      </m:sub>
                    </m:sSub>
                  </m:num>
                  <m:den>
                    <m:r>
                      <w:rPr>
                        <w:rFonts w:ascii="Cambria Math" w:hAnsi="Cambria Math"/>
                        <w:sz w:val="18"/>
                        <w:szCs w:val="18"/>
                        <w:lang w:val="en-GB"/>
                      </w:rPr>
                      <m:t>ϵ</m:t>
                    </m:r>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int</m:t>
                        </m:r>
                      </m:sub>
                    </m:sSub>
                  </m:den>
                </m:f>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g</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w</m:t>
                        </m:r>
                      </m:sub>
                    </m:sSub>
                  </m:e>
                </m:d>
                <m:r>
                  <w:rPr>
                    <w:rFonts w:ascii="Cambria Math" w:hAnsi="Cambria Math"/>
                    <w:sz w:val="18"/>
                    <w:szCs w:val="18"/>
                    <w:lang w:val="en-GB"/>
                  </w:rPr>
                  <m:t xml:space="preserve">=0   </m:t>
                </m:r>
              </m:oMath>
            </m:oMathPara>
          </w:p>
        </w:tc>
        <w:tc>
          <w:tcPr>
            <w:tcW w:w="450" w:type="dxa"/>
            <w:shd w:val="clear" w:color="auto" w:fill="auto"/>
            <w:vAlign w:val="center"/>
          </w:tcPr>
          <w:p w14:paraId="0FC56783" w14:textId="6B46C450" w:rsidR="0015176D" w:rsidRPr="00A94774" w:rsidRDefault="0015176D" w:rsidP="00027C31">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38FF3380" w14:textId="7E457E85" w:rsidR="00D86DF9" w:rsidRDefault="004D582B" w:rsidP="00D86DF9">
      <w:pPr>
        <w:pStyle w:val="Els-body-text"/>
        <w:rPr>
          <w:lang w:val="en-GB"/>
        </w:rPr>
      </w:pPr>
      <w:r>
        <w:rPr>
          <w:lang w:val="en-GB"/>
        </w:rPr>
        <w:t>wherein</w:t>
      </w:r>
      <w:r w:rsidRPr="00D86DF9">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L</m:t>
            </m:r>
          </m:sub>
        </m:sSub>
      </m:oMath>
      <w:r w:rsidRPr="00D86DF9">
        <w:rPr>
          <w:i/>
          <w:lang w:val="en-GB"/>
        </w:rPr>
        <w:t xml:space="preserve"> </w:t>
      </w:r>
      <w:r w:rsidRPr="00D86DF9">
        <w:rPr>
          <w:lang w:val="en-GB"/>
        </w:rPr>
        <w:t xml:space="preserve">is the effective axial thermal dispersion,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oMath>
      <w:r w:rsidRPr="00D86DF9">
        <w:rPr>
          <w:i/>
          <w:lang w:val="en-GB"/>
        </w:rPr>
        <w:t xml:space="preserve"> </w:t>
      </w:r>
      <w:r w:rsidRPr="00D86DF9">
        <w:rPr>
          <w:lang w:val="en-GB"/>
        </w:rPr>
        <w:t xml:space="preserve">is the temperature of the gas,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oMath>
      <w:r w:rsidRPr="00D86DF9">
        <w:rPr>
          <w:i/>
          <w:lang w:val="en-GB"/>
        </w:rPr>
        <w:t xml:space="preserve"> </w:t>
      </w:r>
      <w:r w:rsidRPr="00D86DF9">
        <w:rPr>
          <w:lang w:val="en-GB"/>
        </w:rPr>
        <w:t xml:space="preserve">is the temperature of the solid,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oMath>
      <w:r w:rsidRPr="00D86DF9">
        <w:rPr>
          <w:i/>
          <w:lang w:val="en-GB"/>
        </w:rPr>
        <w:t xml:space="preserve"> </w:t>
      </w:r>
      <w:r w:rsidRPr="00D86DF9">
        <w:rPr>
          <w:lang w:val="en-GB"/>
        </w:rPr>
        <w:t xml:space="preserve">is the temperature of the wall,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g</m:t>
            </m:r>
          </m:sub>
        </m:sSub>
      </m:oMath>
      <w:r w:rsidRPr="00D86DF9">
        <w:rPr>
          <w:i/>
          <w:lang w:val="en-GB"/>
        </w:rPr>
        <w:t xml:space="preserve"> </w:t>
      </w:r>
      <w:r w:rsidRPr="00D86DF9">
        <w:rPr>
          <w:lang w:val="en-GB"/>
        </w:rPr>
        <w:t xml:space="preserve">is the density of the gas,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g</m:t>
            </m:r>
          </m:sub>
        </m:sSub>
      </m:oMath>
      <w:r w:rsidRPr="00D86DF9">
        <w:rPr>
          <w:i/>
          <w:lang w:val="en-GB"/>
        </w:rPr>
        <w:t xml:space="preserve"> </w:t>
      </w:r>
      <w:r w:rsidRPr="00D86DF9">
        <w:rPr>
          <w:lang w:val="en-GB"/>
        </w:rPr>
        <w:t xml:space="preserve">is the heat capacity of the gas, </w:t>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f</m:t>
            </m:r>
          </m:sub>
        </m:sSub>
      </m:oMath>
      <w:r w:rsidRPr="00D86DF9">
        <w:rPr>
          <w:i/>
          <w:lang w:val="en-GB"/>
        </w:rPr>
        <w:t xml:space="preserve"> </w:t>
      </w:r>
      <w:r w:rsidRPr="00D86DF9">
        <w:rPr>
          <w:lang w:val="en-GB"/>
        </w:rPr>
        <w:t xml:space="preserve">is the heat exchange coefficient between gas and adsorbent,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s</m:t>
            </m:r>
          </m:sub>
        </m:sSub>
      </m:oMath>
      <w:r w:rsidRPr="00D86DF9">
        <w:rPr>
          <w:i/>
          <w:lang w:val="en-GB"/>
        </w:rPr>
        <w:t xml:space="preserve"> </w:t>
      </w:r>
      <w:r w:rsidRPr="00D86DF9">
        <w:rPr>
          <w:lang w:val="en-GB"/>
        </w:rPr>
        <w:t>is the ratio of external surface area</w:t>
      </w:r>
      <w:r w:rsidR="00B50558">
        <w:rPr>
          <w:lang w:val="en-GB"/>
        </w:rPr>
        <w:t xml:space="preserve"> </w:t>
      </w:r>
      <w:r w:rsidR="00B50558" w:rsidRPr="00D86DF9">
        <w:rPr>
          <w:lang w:val="en-GB"/>
        </w:rPr>
        <w:t>to volume</w:t>
      </w:r>
      <w:r w:rsidRPr="00D86DF9">
        <w:rPr>
          <w:lang w:val="en-GB"/>
        </w:rPr>
        <w:t xml:space="preserve"> of the particle, </w:t>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w</m:t>
            </m:r>
          </m:sub>
        </m:sSub>
      </m:oMath>
      <w:r w:rsidRPr="00D86DF9">
        <w:rPr>
          <w:i/>
          <w:lang w:val="en-GB"/>
        </w:rPr>
        <w:t xml:space="preserve"> </w:t>
      </w:r>
      <w:r w:rsidRPr="00D86DF9">
        <w:rPr>
          <w:lang w:val="en-GB"/>
        </w:rPr>
        <w:t xml:space="preserve">is the coefficient of internal convection heat transfer between the gas and the column wall, and </w:t>
      </w:r>
      <m:oMath>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int</m:t>
            </m:r>
          </m:sub>
        </m:sSub>
      </m:oMath>
      <w:r w:rsidRPr="00D86DF9">
        <w:rPr>
          <w:i/>
          <w:lang w:val="en-GB"/>
        </w:rPr>
        <w:t xml:space="preserve"> </w:t>
      </w:r>
      <w:r w:rsidRPr="00D86DF9">
        <w:rPr>
          <w:lang w:val="en-GB"/>
        </w:rPr>
        <w:t>is the internal diameter of the column.</w:t>
      </w:r>
      <w:r>
        <w:rPr>
          <w:lang w:val="en-GB"/>
        </w:rPr>
        <w:t xml:space="preserve"> </w:t>
      </w:r>
      <w:r w:rsidRPr="0088713D">
        <w:rPr>
          <w:lang w:val="en-GB"/>
        </w:rPr>
        <w:t xml:space="preserve">Finally, the energy balances in the solid phase and on the wall of column are given by </w:t>
      </w:r>
      <w:proofErr w:type="spellStart"/>
      <w:r w:rsidRPr="0088713D">
        <w:rPr>
          <w:lang w:val="en-GB"/>
        </w:rPr>
        <w:t>Eqs</w:t>
      </w:r>
      <w:proofErr w:type="spellEnd"/>
      <w:r w:rsidRPr="0088713D">
        <w:rPr>
          <w:lang w:val="en-GB"/>
        </w:rPr>
        <w:t>. 4 e 5</w:t>
      </w:r>
      <w:r>
        <w:rPr>
          <w:lang w:val="en-GB"/>
        </w:rPr>
        <w:t>:</w:t>
      </w:r>
    </w:p>
    <w:tbl>
      <w:tblPr>
        <w:tblW w:w="7087" w:type="dxa"/>
        <w:tblLook w:val="04A0" w:firstRow="1" w:lastRow="0" w:firstColumn="1" w:lastColumn="0" w:noHBand="0" w:noVBand="1"/>
      </w:tblPr>
      <w:tblGrid>
        <w:gridCol w:w="6121"/>
        <w:gridCol w:w="966"/>
      </w:tblGrid>
      <w:tr w:rsidR="002B5FA6" w:rsidRPr="00A94774" w14:paraId="31FE90B9" w14:textId="77777777" w:rsidTr="002B5FA6">
        <w:tc>
          <w:tcPr>
            <w:tcW w:w="6121" w:type="dxa"/>
            <w:shd w:val="clear" w:color="auto" w:fill="auto"/>
          </w:tcPr>
          <w:p w14:paraId="68E44BF4" w14:textId="756C6A0B" w:rsidR="002B5FA6" w:rsidRPr="004D582B" w:rsidRDefault="006A38A7" w:rsidP="00027C31">
            <w:pPr>
              <w:pStyle w:val="Els-body-text"/>
              <w:spacing w:before="120" w:after="120" w:line="264" w:lineRule="auto"/>
              <w:jc w:val="lef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s</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s</m:t>
                    </m:r>
                  </m:sub>
                </m:sSub>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num>
                  <m:den>
                    <m:r>
                      <w:rPr>
                        <w:rFonts w:ascii="Cambria Math" w:hAnsi="Cambria Math"/>
                        <w:lang w:val="en-GB"/>
                      </w:rPr>
                      <m:t>∂t</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s</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e>
                </m:d>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i=1</m:t>
                    </m:r>
                  </m:sub>
                  <m:sup>
                    <m:r>
                      <w:rPr>
                        <w:rFonts w:ascii="Cambria Math" w:hAnsi="Cambria Math"/>
                        <w:lang w:val="en-GB"/>
                      </w:rPr>
                      <m:t>n</m:t>
                    </m:r>
                  </m:sup>
                  <m:e>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i</m:t>
                            </m:r>
                          </m:sub>
                        </m:sSub>
                      </m:num>
                      <m:den>
                        <m:r>
                          <w:rPr>
                            <w:rFonts w:ascii="Cambria Math" w:hAnsi="Cambria Math"/>
                            <w:lang w:val="en-GB"/>
                          </w:rPr>
                          <m:t>∂t</m:t>
                        </m:r>
                      </m:den>
                    </m:f>
                  </m:e>
                </m:nary>
              </m:oMath>
            </m:oMathPara>
          </w:p>
        </w:tc>
        <w:tc>
          <w:tcPr>
            <w:tcW w:w="966" w:type="dxa"/>
            <w:shd w:val="clear" w:color="auto" w:fill="auto"/>
            <w:vAlign w:val="center"/>
          </w:tcPr>
          <w:p w14:paraId="1942C7FA" w14:textId="0BEE0420" w:rsidR="002B5FA6" w:rsidRPr="00A94774" w:rsidRDefault="002B5FA6" w:rsidP="00027C31">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r w:rsidR="002B5FA6" w:rsidRPr="00A94774" w14:paraId="1087904D" w14:textId="77777777" w:rsidTr="002B5FA6">
        <w:tc>
          <w:tcPr>
            <w:tcW w:w="6121" w:type="dxa"/>
            <w:shd w:val="clear" w:color="auto" w:fill="auto"/>
          </w:tcPr>
          <w:p w14:paraId="0E02C6F4" w14:textId="49CD713D" w:rsidR="002B5FA6" w:rsidRPr="004D582B" w:rsidRDefault="006A38A7" w:rsidP="00027C31">
            <w:pPr>
              <w:pStyle w:val="Els-body-text"/>
              <w:spacing w:before="120" w:after="120" w:line="264" w:lineRule="auto"/>
              <w:jc w:val="left"/>
              <w:rPr>
                <w:rFonts w:ascii="Cambria Math" w:hAnsi="Cambria Math"/>
                <w:lang w:val="en-GB"/>
                <w:oMath/>
              </w:rPr>
            </w:pPr>
            <m:oMathPara>
              <m:oMathParaPr>
                <m:jc m:val="left"/>
              </m:oMathParaP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w</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w</m:t>
                    </m:r>
                  </m:sub>
                </m:sSub>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num>
                  <m:den>
                    <m:r>
                      <w:rPr>
                        <w:rFonts w:ascii="Cambria Math" w:hAnsi="Cambria Math"/>
                        <w:lang w:val="en-GB"/>
                      </w:rPr>
                      <m:t>∂t</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w</m:t>
                    </m:r>
                  </m:sub>
                </m:sSub>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w</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e>
                </m:d>
                <m:r>
                  <w:rPr>
                    <w:rFonts w:ascii="Cambria Math" w:hAnsi="Cambria Math"/>
                    <w:lang w:val="en-GB"/>
                  </w:rPr>
                  <m:t>+U</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r>
                  <w:rPr>
                    <w:rFonts w:ascii="Cambria Math" w:hAnsi="Cambria Math"/>
                    <w:lang w:val="en-GB"/>
                  </w:rPr>
                  <m:t xml:space="preserve">)   </m:t>
                </m:r>
              </m:oMath>
            </m:oMathPara>
          </w:p>
        </w:tc>
        <w:tc>
          <w:tcPr>
            <w:tcW w:w="966" w:type="dxa"/>
            <w:shd w:val="clear" w:color="auto" w:fill="auto"/>
            <w:vAlign w:val="center"/>
          </w:tcPr>
          <w:p w14:paraId="1B972588" w14:textId="1C6B7A80" w:rsidR="002B5FA6" w:rsidRPr="00A94774" w:rsidRDefault="002B5FA6" w:rsidP="00027C31">
            <w:pPr>
              <w:pStyle w:val="Els-body-text"/>
              <w:spacing w:before="120" w:after="120" w:line="264" w:lineRule="auto"/>
              <w:jc w:val="right"/>
              <w:rPr>
                <w:lang w:val="en-GB"/>
              </w:rPr>
            </w:pPr>
            <w:r w:rsidRPr="00A94774">
              <w:rPr>
                <w:lang w:val="en-GB"/>
              </w:rPr>
              <w:t>(</w:t>
            </w:r>
            <w:r>
              <w:rPr>
                <w:lang w:val="en-GB"/>
              </w:rPr>
              <w:t>5</w:t>
            </w:r>
            <w:r w:rsidRPr="00A94774">
              <w:rPr>
                <w:lang w:val="en-GB"/>
              </w:rPr>
              <w:t>)</w:t>
            </w:r>
          </w:p>
        </w:tc>
      </w:tr>
    </w:tbl>
    <w:p w14:paraId="68D5AC84" w14:textId="68482116" w:rsidR="00E40176" w:rsidRDefault="004D582B" w:rsidP="00D86DF9">
      <w:pPr>
        <w:pStyle w:val="Els-body-text"/>
        <w:rPr>
          <w:sz w:val="22"/>
          <w:szCs w:val="22"/>
        </w:rPr>
      </w:pPr>
      <w:r>
        <w:rPr>
          <w:lang w:val="en-GB"/>
        </w:rPr>
        <w:t>wherein</w:t>
      </w:r>
      <w:r w:rsidR="0088713D" w:rsidRPr="0088713D">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s</m:t>
            </m:r>
          </m:sub>
        </m:sSub>
      </m:oMath>
      <w:r w:rsidR="0088713D" w:rsidRPr="0088713D">
        <w:rPr>
          <w:i/>
          <w:lang w:val="en-GB"/>
        </w:rPr>
        <w:t xml:space="preserve"> </w:t>
      </w:r>
      <w:r w:rsidR="0088713D" w:rsidRPr="0088713D">
        <w:rPr>
          <w:lang w:val="en-GB"/>
        </w:rPr>
        <w:t xml:space="preserve">is the heat capacity of the adsorbent, </w:t>
      </w:r>
      <w:r w:rsidR="0088713D" w:rsidRPr="0088713D">
        <w:rPr>
          <w:i/>
          <w:lang w:val="en-GB"/>
        </w:rPr>
        <w:t>H</w:t>
      </w:r>
      <w:r w:rsidR="0088713D" w:rsidRPr="0088713D">
        <w:rPr>
          <w:i/>
          <w:vertAlign w:val="subscript"/>
          <w:lang w:val="en-GB"/>
        </w:rPr>
        <w:t>i</w:t>
      </w:r>
      <w:r w:rsidR="0088713D" w:rsidRPr="0088713D">
        <w:rPr>
          <w:i/>
          <w:lang w:val="en-GB"/>
        </w:rPr>
        <w:t xml:space="preserve"> </w:t>
      </w:r>
      <w:r w:rsidR="0088713D" w:rsidRPr="0088713D">
        <w:rPr>
          <w:lang w:val="en-GB"/>
        </w:rPr>
        <w:t xml:space="preserve">is the enthalpy of adsorption of component </w:t>
      </w:r>
      <w:r w:rsidR="0088713D" w:rsidRPr="00945D82">
        <w:rPr>
          <w:i/>
          <w:lang w:val="en-GB"/>
        </w:rPr>
        <w:t>i</w:t>
      </w:r>
      <w:r w:rsidR="0088713D" w:rsidRPr="0088713D">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w</m:t>
            </m:r>
          </m:sub>
        </m:sSub>
      </m:oMath>
      <w:r w:rsidR="0088713D" w:rsidRPr="0088713D">
        <w:rPr>
          <w:i/>
          <w:lang w:val="en-GB"/>
        </w:rPr>
        <w:t xml:space="preserve"> </w:t>
      </w:r>
      <w:r w:rsidR="0088713D" w:rsidRPr="0088713D">
        <w:rPr>
          <w:lang w:val="en-GB"/>
        </w:rPr>
        <w:t xml:space="preserve">is the heat capacity of the column wall,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w</m:t>
            </m:r>
          </m:sub>
        </m:sSub>
      </m:oMath>
      <w:r w:rsidR="0088713D" w:rsidRPr="0088713D">
        <w:rPr>
          <w:i/>
          <w:lang w:val="en-GB"/>
        </w:rPr>
        <w:t xml:space="preserve"> </w:t>
      </w:r>
      <w:r w:rsidR="0088713D" w:rsidRPr="0088713D">
        <w:rPr>
          <w:lang w:val="en-GB"/>
        </w:rPr>
        <w:t xml:space="preserve">is the density of the column wall,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w</m:t>
            </m:r>
          </m:sub>
        </m:sSub>
      </m:oMath>
      <w:r w:rsidR="0088713D" w:rsidRPr="0088713D">
        <w:rPr>
          <w:i/>
          <w:lang w:val="en-GB"/>
        </w:rPr>
        <w:t xml:space="preserve"> </w:t>
      </w:r>
      <w:r w:rsidR="0088713D" w:rsidRPr="0088713D">
        <w:rPr>
          <w:lang w:val="en-GB"/>
        </w:rPr>
        <w:t xml:space="preserve">is the ratio of the internal surface area </w:t>
      </w:r>
      <w:r w:rsidR="00B50558" w:rsidRPr="0088713D">
        <w:rPr>
          <w:lang w:val="en-GB"/>
        </w:rPr>
        <w:t xml:space="preserve">to volume </w:t>
      </w:r>
      <w:r w:rsidR="0088713D" w:rsidRPr="0088713D">
        <w:rPr>
          <w:lang w:val="en-GB"/>
        </w:rPr>
        <w:t xml:space="preserve">of the column wall, </w:t>
      </w:r>
      <w:r w:rsidR="0088713D" w:rsidRPr="0088713D">
        <w:rPr>
          <w:i/>
          <w:lang w:val="en-GB"/>
        </w:rPr>
        <w:t xml:space="preserve">U </w:t>
      </w:r>
      <w:r w:rsidR="0088713D" w:rsidRPr="0088713D">
        <w:rPr>
          <w:lang w:val="en-GB"/>
        </w:rPr>
        <w:t xml:space="preserve">is the overall external heat transfer coefficient,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a</m:t>
            </m:r>
          </m:sub>
        </m:sSub>
      </m:oMath>
      <w:r w:rsidR="0088713D" w:rsidRPr="0088713D">
        <w:rPr>
          <w:i/>
          <w:lang w:val="en-GB"/>
        </w:rPr>
        <w:t xml:space="preserve"> </w:t>
      </w:r>
      <w:r w:rsidR="0088713D" w:rsidRPr="0088713D">
        <w:rPr>
          <w:lang w:val="en-GB"/>
        </w:rPr>
        <w:t>is the ratio of the external surface area</w:t>
      </w:r>
      <w:r w:rsidR="00B50558">
        <w:rPr>
          <w:lang w:val="en-GB"/>
        </w:rPr>
        <w:t xml:space="preserve"> </w:t>
      </w:r>
      <w:r w:rsidR="00B50558" w:rsidRPr="0088713D">
        <w:rPr>
          <w:lang w:val="en-GB"/>
        </w:rPr>
        <w:t>to volume</w:t>
      </w:r>
      <w:r w:rsidR="0088713D" w:rsidRPr="0088713D">
        <w:rPr>
          <w:lang w:val="en-GB"/>
        </w:rPr>
        <w:t xml:space="preserve"> of</w:t>
      </w:r>
      <w:r w:rsidR="00954C4B">
        <w:rPr>
          <w:lang w:val="en-GB"/>
        </w:rPr>
        <w:t xml:space="preserve"> </w:t>
      </w:r>
      <w:r w:rsidR="0088713D" w:rsidRPr="0088713D">
        <w:rPr>
          <w:lang w:val="en-GB"/>
        </w:rPr>
        <w:t xml:space="preserve">the column wall, and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t>
            </m:r>
          </m:sub>
        </m:sSub>
      </m:oMath>
      <w:r w:rsidR="0088713D" w:rsidRPr="0088713D">
        <w:rPr>
          <w:lang w:val="en-GB"/>
        </w:rPr>
        <w:t xml:space="preserve"> is the ambient temperature.</w:t>
      </w:r>
      <w:r w:rsidR="0088713D" w:rsidRPr="0088713D">
        <w:rPr>
          <w:sz w:val="22"/>
          <w:szCs w:val="22"/>
        </w:rPr>
        <w:t xml:space="preserve"> </w:t>
      </w:r>
    </w:p>
    <w:p w14:paraId="4F6BCC56" w14:textId="6CF407A1" w:rsidR="0088713D" w:rsidRDefault="0088713D" w:rsidP="00D86DF9">
      <w:pPr>
        <w:pStyle w:val="Els-body-text"/>
        <w:rPr>
          <w:lang w:val="en-GB"/>
        </w:rPr>
      </w:pPr>
      <w:r w:rsidRPr="0088713D">
        <w:rPr>
          <w:lang w:val="en-GB"/>
        </w:rPr>
        <w:t>The initial and boundary conditions are the following</w:t>
      </w:r>
      <w:r>
        <w:rPr>
          <w:lang w:val="en-GB"/>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064"/>
        <w:gridCol w:w="2390"/>
      </w:tblGrid>
      <w:tr w:rsidR="00954C4B" w14:paraId="3635BBE0" w14:textId="77777777" w:rsidTr="00027C31">
        <w:trPr>
          <w:trHeight w:val="462"/>
          <w:jc w:val="center"/>
        </w:trPr>
        <w:tc>
          <w:tcPr>
            <w:tcW w:w="0" w:type="auto"/>
          </w:tcPr>
          <w:p w14:paraId="24DC2F2C" w14:textId="26403D36" w:rsidR="00954C4B" w:rsidRDefault="00954C4B" w:rsidP="00027C31">
            <w:pPr>
              <w:pStyle w:val="Els-body-text"/>
              <w:jc w:val="center"/>
              <w:rPr>
                <w:lang w:val="en-GB"/>
              </w:rPr>
            </w:pPr>
          </w:p>
        </w:tc>
        <w:tc>
          <w:tcPr>
            <w:tcW w:w="0" w:type="auto"/>
            <w:vAlign w:val="bottom"/>
          </w:tcPr>
          <w:p w14:paraId="2E0A6D4C" w14:textId="28AB9862" w:rsidR="00954C4B" w:rsidRPr="00027C31" w:rsidRDefault="00954C4B" w:rsidP="00027C31">
            <w:pPr>
              <w:pStyle w:val="Els-body-text"/>
              <w:jc w:val="center"/>
              <w:rPr>
                <w:b/>
                <w:u w:val="single"/>
                <w:lang w:val="en-GB"/>
              </w:rPr>
            </w:pPr>
            <w:r w:rsidRPr="00027C31">
              <w:rPr>
                <w:b/>
                <w:u w:val="single"/>
                <w:lang w:val="en-GB"/>
              </w:rPr>
              <w:t>Mass balance</w:t>
            </w:r>
          </w:p>
        </w:tc>
        <w:tc>
          <w:tcPr>
            <w:tcW w:w="0" w:type="auto"/>
            <w:vAlign w:val="bottom"/>
          </w:tcPr>
          <w:p w14:paraId="610FCCEE" w14:textId="5A01BC1F" w:rsidR="00954C4B" w:rsidRPr="00027C31" w:rsidRDefault="00954C4B" w:rsidP="00027C31">
            <w:pPr>
              <w:pStyle w:val="Els-body-text"/>
              <w:jc w:val="center"/>
              <w:rPr>
                <w:b/>
                <w:u w:val="single"/>
                <w:lang w:val="en-GB"/>
              </w:rPr>
            </w:pPr>
            <w:r w:rsidRPr="00027C31">
              <w:rPr>
                <w:b/>
                <w:u w:val="single"/>
                <w:lang w:val="en-GB"/>
              </w:rPr>
              <w:t>Energy balance</w:t>
            </w:r>
          </w:p>
        </w:tc>
      </w:tr>
      <w:tr w:rsidR="00954C4B" w14:paraId="64F0C059" w14:textId="77777777" w:rsidTr="00027C31">
        <w:trPr>
          <w:trHeight w:val="462"/>
          <w:jc w:val="center"/>
        </w:trPr>
        <w:tc>
          <w:tcPr>
            <w:tcW w:w="0" w:type="auto"/>
            <w:vAlign w:val="center"/>
          </w:tcPr>
          <w:p w14:paraId="46754C0D" w14:textId="0978FE96" w:rsidR="00954C4B" w:rsidRDefault="00954C4B" w:rsidP="00027C31">
            <w:pPr>
              <w:pStyle w:val="Els-body-text"/>
              <w:jc w:val="center"/>
              <w:rPr>
                <w:lang w:val="en-GB"/>
              </w:rPr>
            </w:pPr>
            <w:r w:rsidRPr="00954C4B">
              <w:rPr>
                <w:lang w:val="en-GB"/>
              </w:rPr>
              <w:t>t = 0</w:t>
            </w:r>
            <w:r w:rsidR="00027C31">
              <w:rPr>
                <w:lang w:val="en-GB"/>
              </w:rPr>
              <w:t>:</w:t>
            </w:r>
          </w:p>
        </w:tc>
        <w:tc>
          <w:tcPr>
            <w:tcW w:w="0" w:type="auto"/>
            <w:vAlign w:val="center"/>
          </w:tcPr>
          <w:p w14:paraId="1CF37A19" w14:textId="5C5A5C91" w:rsidR="00954C4B" w:rsidRDefault="006A38A7" w:rsidP="006D25A9">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 xml:space="preserve">=0,  </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i</m:t>
                    </m:r>
                  </m:sub>
                </m:sSub>
                <m:r>
                  <w:rPr>
                    <w:rFonts w:ascii="Cambria Math" w:hAnsi="Cambria Math"/>
                    <w:lang w:val="en-GB"/>
                  </w:rPr>
                  <m:t>=0</m:t>
                </m:r>
              </m:oMath>
            </m:oMathPara>
          </w:p>
        </w:tc>
        <w:tc>
          <w:tcPr>
            <w:tcW w:w="0" w:type="auto"/>
            <w:vAlign w:val="center"/>
          </w:tcPr>
          <w:p w14:paraId="439FCFB9" w14:textId="76EAFB8B" w:rsidR="00954C4B" w:rsidRDefault="006A38A7" w:rsidP="00027C31">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i</m:t>
                    </m:r>
                  </m:sub>
                  <m:sup>
                    <m:r>
                      <w:rPr>
                        <w:rFonts w:ascii="Cambria Math" w:hAnsi="Cambria Math"/>
                        <w:lang w:val="en-GB"/>
                      </w:rPr>
                      <m:t>0</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i</m:t>
                    </m:r>
                  </m:sub>
                  <m:sup>
                    <m:r>
                      <w:rPr>
                        <w:rFonts w:ascii="Cambria Math" w:hAnsi="Cambria Math"/>
                        <w:lang w:val="en-GB"/>
                      </w:rPr>
                      <m:t>0</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t>
                    </m:r>
                  </m:sub>
                </m:sSub>
              </m:oMath>
            </m:oMathPara>
          </w:p>
        </w:tc>
      </w:tr>
      <w:tr w:rsidR="00954C4B" w14:paraId="5854F974" w14:textId="77777777" w:rsidTr="00027C31">
        <w:trPr>
          <w:trHeight w:val="462"/>
          <w:jc w:val="center"/>
        </w:trPr>
        <w:tc>
          <w:tcPr>
            <w:tcW w:w="0" w:type="auto"/>
            <w:vAlign w:val="center"/>
          </w:tcPr>
          <w:p w14:paraId="031015DD" w14:textId="01CB7C4A" w:rsidR="00954C4B" w:rsidRDefault="00954C4B" w:rsidP="00027C31">
            <w:pPr>
              <w:pStyle w:val="Els-body-text"/>
              <w:jc w:val="center"/>
              <w:rPr>
                <w:lang w:val="en-GB"/>
              </w:rPr>
            </w:pPr>
            <w:r w:rsidRPr="00954C4B">
              <w:rPr>
                <w:lang w:val="en-GB"/>
              </w:rPr>
              <w:t>z = 0</w:t>
            </w:r>
            <w:r w:rsidR="00027C31">
              <w:rPr>
                <w:lang w:val="en-GB"/>
              </w:rPr>
              <w:t>:</w:t>
            </w:r>
          </w:p>
        </w:tc>
        <w:tc>
          <w:tcPr>
            <w:tcW w:w="0" w:type="auto"/>
            <w:vAlign w:val="center"/>
          </w:tcPr>
          <w:p w14:paraId="1B23789C" w14:textId="24A264BB" w:rsidR="00954C4B" w:rsidRDefault="006A38A7" w:rsidP="00027C31">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z,i</m:t>
                    </m:r>
                  </m:sub>
                </m:sSub>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∂z</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0</m:t>
                    </m:r>
                  </m:sup>
                </m:sSubSup>
                <m:r>
                  <w:rPr>
                    <w:rFonts w:ascii="Cambria Math" w:hAnsi="Cambria Math"/>
                    <w:lang w:val="en-GB"/>
                  </w:rPr>
                  <m:t>]</m:t>
                </m:r>
              </m:oMath>
            </m:oMathPara>
          </w:p>
        </w:tc>
        <w:tc>
          <w:tcPr>
            <w:tcW w:w="0" w:type="auto"/>
            <w:vAlign w:val="center"/>
          </w:tcPr>
          <w:p w14:paraId="3AD6AA6D" w14:textId="13171B45" w:rsidR="00954C4B" w:rsidRDefault="006A38A7" w:rsidP="00027C31">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L</m:t>
                    </m:r>
                  </m:sub>
                </m:sSub>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num>
                  <m:den>
                    <m:r>
                      <w:rPr>
                        <w:rFonts w:ascii="Cambria Math" w:hAnsi="Cambria Math"/>
                        <w:lang w:val="en-GB"/>
                      </w:rPr>
                      <m:t>∂z</m:t>
                    </m:r>
                  </m:den>
                </m:f>
                <m:r>
                  <w:rPr>
                    <w:rFonts w:ascii="Cambria Math" w:hAnsi="Cambria Math"/>
                    <w:lang w:val="en-GB"/>
                  </w:rPr>
                  <m:t>=</m:t>
                </m:r>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sSub>
                  <m:sSubPr>
                    <m:ctrlPr>
                      <w:rPr>
                        <w:rFonts w:ascii="Cambria Math" w:hAnsi="Cambria Math"/>
                        <w:i/>
                        <w:sz w:val="18"/>
                        <w:szCs w:val="18"/>
                        <w:lang w:val="en-GB"/>
                      </w:rPr>
                    </m:ctrlPr>
                  </m:sSubPr>
                  <m:e>
                    <m:r>
                      <w:rPr>
                        <w:rFonts w:ascii="Cambria Math" w:hAnsi="Cambria Math"/>
                        <w:sz w:val="18"/>
                        <w:szCs w:val="18"/>
                        <w:lang w:val="en-GB"/>
                      </w:rPr>
                      <m:t>C</m:t>
                    </m:r>
                  </m:e>
                  <m:sub>
                    <m:r>
                      <w:rPr>
                        <w:rFonts w:ascii="Cambria Math" w:hAnsi="Cambria Math"/>
                        <w:sz w:val="18"/>
                        <w:szCs w:val="18"/>
                        <w:lang w:val="en-GB"/>
                      </w:rPr>
                      <m:t>g</m:t>
                    </m:r>
                  </m:sub>
                </m:sSub>
                <m:r>
                  <w:rPr>
                    <w:rFonts w:ascii="Cambria Math" w:hAnsi="Cambria Math"/>
                    <w:lang w:val="en-GB"/>
                  </w:rPr>
                  <m:t>u[</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g</m:t>
                    </m:r>
                  </m:sub>
                  <m:sup>
                    <m:r>
                      <w:rPr>
                        <w:rFonts w:ascii="Cambria Math" w:hAnsi="Cambria Math"/>
                        <w:lang w:val="en-GB"/>
                      </w:rPr>
                      <m:t>0</m:t>
                    </m:r>
                  </m:sup>
                </m:sSubSup>
                <m:r>
                  <w:rPr>
                    <w:rFonts w:ascii="Cambria Math" w:hAnsi="Cambria Math"/>
                    <w:lang w:val="en-GB"/>
                  </w:rPr>
                  <m:t>]</m:t>
                </m:r>
              </m:oMath>
            </m:oMathPara>
          </w:p>
        </w:tc>
      </w:tr>
      <w:tr w:rsidR="00954C4B" w14:paraId="160B7F9F" w14:textId="77777777" w:rsidTr="00027C31">
        <w:trPr>
          <w:trHeight w:val="463"/>
          <w:jc w:val="center"/>
        </w:trPr>
        <w:tc>
          <w:tcPr>
            <w:tcW w:w="0" w:type="auto"/>
            <w:vAlign w:val="center"/>
          </w:tcPr>
          <w:p w14:paraId="4EF2B985" w14:textId="766BD468" w:rsidR="00954C4B" w:rsidRDefault="00954C4B" w:rsidP="00027C31">
            <w:pPr>
              <w:pStyle w:val="Els-body-text"/>
              <w:jc w:val="center"/>
              <w:rPr>
                <w:lang w:val="en-GB"/>
              </w:rPr>
            </w:pPr>
            <w:r w:rsidRPr="00954C4B">
              <w:rPr>
                <w:lang w:val="en-GB"/>
              </w:rPr>
              <w:t>z = L</w:t>
            </w:r>
            <w:r w:rsidR="00027C31">
              <w:rPr>
                <w:lang w:val="en-GB"/>
              </w:rPr>
              <w:t>:</w:t>
            </w:r>
          </w:p>
        </w:tc>
        <w:tc>
          <w:tcPr>
            <w:tcW w:w="0" w:type="auto"/>
            <w:vAlign w:val="center"/>
          </w:tcPr>
          <w:p w14:paraId="50C4101D" w14:textId="29B007ED" w:rsidR="00954C4B" w:rsidRDefault="006A38A7" w:rsidP="00027C31">
            <w:pPr>
              <w:pStyle w:val="Els-body-text"/>
              <w:jc w:val="center"/>
              <w:rPr>
                <w:lang w:val="en-GB"/>
              </w:rPr>
            </w:pPr>
            <m:oMathPara>
              <m:oMath>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∂z</m:t>
                    </m:r>
                  </m:den>
                </m:f>
                <m:r>
                  <w:rPr>
                    <w:rFonts w:ascii="Cambria Math" w:hAnsi="Cambria Math"/>
                    <w:lang w:val="en-GB"/>
                  </w:rPr>
                  <m:t>=0</m:t>
                </m:r>
              </m:oMath>
            </m:oMathPara>
          </w:p>
        </w:tc>
        <w:tc>
          <w:tcPr>
            <w:tcW w:w="0" w:type="auto"/>
            <w:vAlign w:val="center"/>
          </w:tcPr>
          <w:p w14:paraId="0CAAF87D" w14:textId="185F9768" w:rsidR="00954C4B" w:rsidRDefault="006A38A7" w:rsidP="00027C31">
            <w:pPr>
              <w:pStyle w:val="Els-body-text"/>
              <w:jc w:val="center"/>
              <w:rPr>
                <w:lang w:val="en-GB"/>
              </w:rPr>
            </w:pPr>
            <m:oMathPara>
              <m:oMath>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num>
                  <m:den>
                    <m:r>
                      <w:rPr>
                        <w:rFonts w:ascii="Cambria Math" w:hAnsi="Cambria Math"/>
                        <w:lang w:val="en-GB"/>
                      </w:rPr>
                      <m:t>∂z</m:t>
                    </m:r>
                  </m:den>
                </m:f>
                <m:r>
                  <w:rPr>
                    <w:rFonts w:ascii="Cambria Math" w:hAnsi="Cambria Math"/>
                    <w:lang w:val="en-GB"/>
                  </w:rPr>
                  <m:t>=0</m:t>
                </m:r>
              </m:oMath>
            </m:oMathPara>
          </w:p>
        </w:tc>
      </w:tr>
    </w:tbl>
    <w:p w14:paraId="4EFE69FD" w14:textId="3600C827" w:rsidR="0088713D" w:rsidRDefault="0088713D" w:rsidP="00D86DF9">
      <w:pPr>
        <w:pStyle w:val="Els-body-text"/>
        <w:rPr>
          <w:lang w:val="en-GB"/>
        </w:rPr>
      </w:pPr>
    </w:p>
    <w:p w14:paraId="04B82279" w14:textId="0E51C876" w:rsidR="00515AB3" w:rsidRDefault="0088713D" w:rsidP="00D86DF9">
      <w:pPr>
        <w:pStyle w:val="Els-body-text"/>
        <w:rPr>
          <w:lang w:val="en-GB"/>
        </w:rPr>
      </w:pPr>
      <w:r w:rsidRPr="0088713D">
        <w:rPr>
          <w:lang w:val="en-GB"/>
        </w:rPr>
        <w:t>Table 1 provides information regarding the fixed bed considered for simulation, along with some properties treated as constants</w:t>
      </w:r>
      <w:r w:rsidR="00893E22">
        <w:rPr>
          <w:lang w:val="en-GB"/>
        </w:rPr>
        <w:t>.</w:t>
      </w:r>
      <w:r w:rsidR="00515AB3">
        <w:rPr>
          <w:lang w:val="en-GB"/>
        </w:rPr>
        <w:t xml:space="preserve"> </w:t>
      </w:r>
      <w:r w:rsidR="002D1328">
        <w:rPr>
          <w:lang w:val="en-GB"/>
        </w:rPr>
        <w:t>Further</w:t>
      </w:r>
      <w:r w:rsidR="002D1328" w:rsidRPr="002D1328">
        <w:rPr>
          <w:lang w:val="en-GB"/>
        </w:rPr>
        <w:t xml:space="preserve"> constitutive </w:t>
      </w:r>
      <w:r w:rsidR="002D1328">
        <w:rPr>
          <w:lang w:val="en-GB"/>
        </w:rPr>
        <w:t>equations of the model are presented by</w:t>
      </w:r>
      <w:r w:rsidR="002D1328" w:rsidRPr="002D1328">
        <w:rPr>
          <w:lang w:val="en-GB"/>
        </w:rPr>
        <w:t xml:space="preserve"> Braun </w:t>
      </w:r>
      <w:r w:rsidR="002D1328">
        <w:rPr>
          <w:lang w:val="en-GB"/>
        </w:rPr>
        <w:t>(</w:t>
      </w:r>
      <w:r w:rsidR="002D1328" w:rsidRPr="002D1328">
        <w:rPr>
          <w:lang w:val="en-GB"/>
        </w:rPr>
        <w:t>2019</w:t>
      </w:r>
      <w:r w:rsidR="002D1328">
        <w:rPr>
          <w:lang w:val="en-GB"/>
        </w:rPr>
        <w:t>)</w:t>
      </w:r>
      <w:r w:rsidR="002D1328" w:rsidRPr="002D1328">
        <w:rPr>
          <w:lang w:val="en-GB"/>
        </w:rPr>
        <w:t>.</w:t>
      </w:r>
    </w:p>
    <w:p w14:paraId="39CD6E15" w14:textId="5BEC91DD" w:rsidR="00350742" w:rsidRDefault="00350742" w:rsidP="00DD3FA4">
      <w:pPr>
        <w:pStyle w:val="Didascalia"/>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 Column parameters</w:t>
      </w: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247"/>
        <w:gridCol w:w="2439"/>
        <w:gridCol w:w="1127"/>
      </w:tblGrid>
      <w:tr w:rsidR="00893E22" w14:paraId="4DDB235E" w14:textId="77777777" w:rsidTr="00DD3FA4">
        <w:trPr>
          <w:jc w:val="center"/>
        </w:trPr>
        <w:tc>
          <w:tcPr>
            <w:tcW w:w="2263" w:type="dxa"/>
          </w:tcPr>
          <w:p w14:paraId="3520C2C3" w14:textId="4106CBD9" w:rsidR="00893E22" w:rsidRDefault="00893E22" w:rsidP="00027C31">
            <w:pPr>
              <w:pStyle w:val="Els-body-text"/>
              <w:jc w:val="center"/>
              <w:rPr>
                <w:lang w:val="en-GB"/>
              </w:rPr>
            </w:pPr>
            <w:r>
              <w:rPr>
                <w:lang w:val="en-GB"/>
              </w:rPr>
              <w:t>Bed length</w:t>
            </w:r>
            <w:r w:rsidR="00027C31">
              <w:rPr>
                <w:lang w:val="en-GB"/>
              </w:rPr>
              <w:t xml:space="preserve"> (</w:t>
            </w:r>
            <m:oMath>
              <m:r>
                <w:rPr>
                  <w:rFonts w:ascii="Cambria Math" w:hAnsi="Cambria Math"/>
                  <w:lang w:val="en-GB"/>
                </w:rPr>
                <m:t>L</m:t>
              </m:r>
            </m:oMath>
            <w:r w:rsidR="00027C31">
              <w:rPr>
                <w:lang w:val="en-GB"/>
              </w:rPr>
              <w:t>)</w:t>
            </w:r>
          </w:p>
        </w:tc>
        <w:tc>
          <w:tcPr>
            <w:tcW w:w="1247" w:type="dxa"/>
          </w:tcPr>
          <w:p w14:paraId="44DC7530" w14:textId="585A068C" w:rsidR="00893E22" w:rsidRDefault="00893E22" w:rsidP="00350742">
            <w:pPr>
              <w:pStyle w:val="Els-body-text"/>
              <w:jc w:val="center"/>
              <w:rPr>
                <w:lang w:val="en-GB"/>
              </w:rPr>
            </w:pPr>
            <w:r>
              <w:rPr>
                <w:lang w:val="en-GB"/>
              </w:rPr>
              <w:t>0.5</w:t>
            </w:r>
            <w:r w:rsidR="00350742">
              <w:rPr>
                <w:lang w:val="en-GB"/>
              </w:rPr>
              <w:t xml:space="preserve"> </w:t>
            </w:r>
            <w:r>
              <w:rPr>
                <w:lang w:val="en-GB"/>
              </w:rPr>
              <w:t>m</w:t>
            </w:r>
          </w:p>
        </w:tc>
        <w:tc>
          <w:tcPr>
            <w:tcW w:w="2439" w:type="dxa"/>
          </w:tcPr>
          <w:p w14:paraId="5888996D" w14:textId="3A0A97B8" w:rsidR="00893E22" w:rsidRDefault="00893E22" w:rsidP="00350742">
            <w:pPr>
              <w:pStyle w:val="Els-body-text"/>
              <w:jc w:val="center"/>
              <w:rPr>
                <w:lang w:val="en-GB"/>
              </w:rPr>
            </w:pPr>
            <w:r>
              <w:rPr>
                <w:lang w:val="en-GB"/>
              </w:rPr>
              <w:t>Thermal conductivity</w:t>
            </w:r>
            <w:r w:rsidR="00DD3FA4">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w</m:t>
                  </m:r>
                </m:sub>
              </m:sSub>
            </m:oMath>
            <w:r w:rsidR="00DD3FA4">
              <w:rPr>
                <w:lang w:val="en-GB"/>
              </w:rPr>
              <w:t>)</w:t>
            </w:r>
          </w:p>
        </w:tc>
        <w:tc>
          <w:tcPr>
            <w:tcW w:w="1127" w:type="dxa"/>
          </w:tcPr>
          <w:p w14:paraId="0B72CACF" w14:textId="320E9DBC" w:rsidR="00893E22" w:rsidRDefault="00893E22" w:rsidP="00350742">
            <w:pPr>
              <w:pStyle w:val="Els-body-text"/>
              <w:jc w:val="center"/>
              <w:rPr>
                <w:lang w:val="en-GB"/>
              </w:rPr>
            </w:pPr>
            <w:r>
              <w:rPr>
                <w:lang w:val="en-GB"/>
              </w:rPr>
              <w:t>17 W/m/K</w:t>
            </w:r>
          </w:p>
        </w:tc>
      </w:tr>
      <w:tr w:rsidR="00893E22" w14:paraId="24004E13" w14:textId="77777777" w:rsidTr="00DD3FA4">
        <w:trPr>
          <w:jc w:val="center"/>
        </w:trPr>
        <w:tc>
          <w:tcPr>
            <w:tcW w:w="2263" w:type="dxa"/>
          </w:tcPr>
          <w:p w14:paraId="6AE8A184" w14:textId="18EF8275" w:rsidR="00893E22" w:rsidRDefault="00350742" w:rsidP="00027C31">
            <w:pPr>
              <w:pStyle w:val="Els-body-text"/>
              <w:jc w:val="center"/>
              <w:rPr>
                <w:lang w:val="en-GB"/>
              </w:rPr>
            </w:pPr>
            <w:r>
              <w:rPr>
                <w:lang w:val="en-GB"/>
              </w:rPr>
              <w:t>Bed diameter</w:t>
            </w:r>
            <w:r w:rsidR="00027C31">
              <w:rPr>
                <w:lang w:val="en-GB"/>
              </w:rPr>
              <w:t xml:space="preserv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int</m:t>
                  </m:r>
                </m:sub>
              </m:sSub>
              <m:r>
                <w:rPr>
                  <w:rFonts w:ascii="Cambria Math" w:hAnsi="Cambria Math"/>
                  <w:lang w:val="en-GB"/>
                </w:rPr>
                <m:t>)</m:t>
              </m:r>
            </m:oMath>
          </w:p>
        </w:tc>
        <w:tc>
          <w:tcPr>
            <w:tcW w:w="1247" w:type="dxa"/>
          </w:tcPr>
          <w:p w14:paraId="79893305" w14:textId="186AE82F" w:rsidR="00893E22" w:rsidRDefault="00350742" w:rsidP="00350742">
            <w:pPr>
              <w:pStyle w:val="Els-body-text"/>
              <w:jc w:val="center"/>
              <w:rPr>
                <w:lang w:val="en-GB"/>
              </w:rPr>
            </w:pPr>
            <w:r>
              <w:rPr>
                <w:lang w:val="en-GB"/>
              </w:rPr>
              <w:t>0.038 m</w:t>
            </w:r>
          </w:p>
        </w:tc>
        <w:tc>
          <w:tcPr>
            <w:tcW w:w="2439" w:type="dxa"/>
          </w:tcPr>
          <w:p w14:paraId="1F774094" w14:textId="5EEC5056" w:rsidR="00893E22" w:rsidRDefault="00350742" w:rsidP="00350742">
            <w:pPr>
              <w:pStyle w:val="Els-body-text"/>
              <w:jc w:val="center"/>
              <w:rPr>
                <w:lang w:val="en-GB"/>
              </w:rPr>
            </w:pPr>
            <w:r>
              <w:rPr>
                <w:lang w:val="en-GB"/>
              </w:rPr>
              <w:t>Heat capacity</w:t>
            </w:r>
            <w:r w:rsidR="00515AB3">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w</m:t>
                  </m:r>
                </m:sub>
              </m:sSub>
            </m:oMath>
            <w:r w:rsidR="00515AB3">
              <w:rPr>
                <w:lang w:val="en-GB"/>
              </w:rPr>
              <w:t>)</w:t>
            </w:r>
          </w:p>
        </w:tc>
        <w:tc>
          <w:tcPr>
            <w:tcW w:w="1127" w:type="dxa"/>
          </w:tcPr>
          <w:p w14:paraId="3CF527B0" w14:textId="11B2368C" w:rsidR="00893E22" w:rsidRDefault="00350742" w:rsidP="00350742">
            <w:pPr>
              <w:pStyle w:val="Els-body-text"/>
              <w:jc w:val="center"/>
              <w:rPr>
                <w:lang w:val="en-GB"/>
              </w:rPr>
            </w:pPr>
            <w:r>
              <w:rPr>
                <w:lang w:val="en-GB"/>
              </w:rPr>
              <w:t>500 J/kg/K</w:t>
            </w:r>
          </w:p>
        </w:tc>
      </w:tr>
      <w:tr w:rsidR="00893E22" w14:paraId="50F71474" w14:textId="77777777" w:rsidTr="00DD3FA4">
        <w:trPr>
          <w:jc w:val="center"/>
        </w:trPr>
        <w:tc>
          <w:tcPr>
            <w:tcW w:w="2263" w:type="dxa"/>
          </w:tcPr>
          <w:p w14:paraId="3ABFFF27" w14:textId="02513CCA" w:rsidR="00893E22" w:rsidRDefault="00515AB3" w:rsidP="00515AB3">
            <w:pPr>
              <w:pStyle w:val="Els-body-text"/>
              <w:jc w:val="center"/>
              <w:rPr>
                <w:lang w:val="en-GB"/>
              </w:rPr>
            </w:pPr>
            <w:r>
              <w:rPr>
                <w:lang w:val="en-GB"/>
              </w:rPr>
              <w:t>Bed s</w:t>
            </w:r>
            <w:r w:rsidR="00350742">
              <w:rPr>
                <w:lang w:val="en-GB"/>
              </w:rPr>
              <w:t>pecific m</w:t>
            </w:r>
            <w:r>
              <w:rPr>
                <w:lang w:val="en-GB"/>
              </w:rPr>
              <w:t>ass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w</m:t>
                  </m:r>
                </m:sub>
              </m:sSub>
            </m:oMath>
            <w:r>
              <w:rPr>
                <w:lang w:val="en-GB"/>
              </w:rPr>
              <w:t>)</w:t>
            </w:r>
          </w:p>
        </w:tc>
        <w:tc>
          <w:tcPr>
            <w:tcW w:w="1247" w:type="dxa"/>
          </w:tcPr>
          <w:p w14:paraId="72AC433F" w14:textId="6E9E6843" w:rsidR="00893E22" w:rsidRDefault="00350742" w:rsidP="00350742">
            <w:pPr>
              <w:pStyle w:val="Els-body-text"/>
              <w:jc w:val="center"/>
              <w:rPr>
                <w:lang w:val="en-GB"/>
              </w:rPr>
            </w:pPr>
            <w:r>
              <w:rPr>
                <w:lang w:val="en-GB"/>
              </w:rPr>
              <w:t>8000 kg/m³</w:t>
            </w:r>
          </w:p>
        </w:tc>
        <w:tc>
          <w:tcPr>
            <w:tcW w:w="2439" w:type="dxa"/>
          </w:tcPr>
          <w:p w14:paraId="559CBE0C" w14:textId="4618C5FC" w:rsidR="00893E22" w:rsidRDefault="00350742" w:rsidP="00515AB3">
            <w:pPr>
              <w:pStyle w:val="Els-body-text"/>
              <w:jc w:val="center"/>
              <w:rPr>
                <w:lang w:val="en-GB"/>
              </w:rPr>
            </w:pPr>
            <w:r>
              <w:rPr>
                <w:lang w:val="en-GB"/>
              </w:rPr>
              <w:t>Bed void fraction</w:t>
            </w:r>
            <w:r w:rsidR="00515AB3">
              <w:rPr>
                <w:lang w:val="en-GB"/>
              </w:rPr>
              <w:t xml:space="preserve"> (</w:t>
            </w:r>
            <m:oMath>
              <m:r>
                <w:rPr>
                  <w:rFonts w:ascii="Cambria Math" w:hAnsi="Cambria Math"/>
                  <w:lang w:val="en-GB"/>
                </w:rPr>
                <m:t>ϵ</m:t>
              </m:r>
            </m:oMath>
            <w:r w:rsidR="00515AB3">
              <w:rPr>
                <w:lang w:val="en-GB"/>
              </w:rPr>
              <w:t>)</w:t>
            </w:r>
          </w:p>
        </w:tc>
        <w:tc>
          <w:tcPr>
            <w:tcW w:w="1127" w:type="dxa"/>
          </w:tcPr>
          <w:p w14:paraId="7933BD6E" w14:textId="17DE55D7" w:rsidR="00893E22" w:rsidRDefault="00350742" w:rsidP="00350742">
            <w:pPr>
              <w:pStyle w:val="Els-body-text"/>
              <w:jc w:val="center"/>
              <w:rPr>
                <w:lang w:val="en-GB"/>
              </w:rPr>
            </w:pPr>
            <w:r>
              <w:rPr>
                <w:lang w:val="en-GB"/>
              </w:rPr>
              <w:t>0.42</w:t>
            </w:r>
          </w:p>
        </w:tc>
      </w:tr>
      <w:tr w:rsidR="00893E22" w14:paraId="2CEBECC1" w14:textId="77777777" w:rsidTr="00DD3FA4">
        <w:trPr>
          <w:jc w:val="center"/>
        </w:trPr>
        <w:tc>
          <w:tcPr>
            <w:tcW w:w="2263" w:type="dxa"/>
          </w:tcPr>
          <w:p w14:paraId="31D88AC5" w14:textId="4F14078B" w:rsidR="00893E22" w:rsidRDefault="00350742" w:rsidP="00515AB3">
            <w:pPr>
              <w:pStyle w:val="Els-body-text"/>
              <w:jc w:val="center"/>
              <w:rPr>
                <w:lang w:val="en-GB"/>
              </w:rPr>
            </w:pPr>
            <w:r>
              <w:rPr>
                <w:lang w:val="en-GB"/>
              </w:rPr>
              <w:t>Volumetric flow</w:t>
            </w:r>
            <w:r w:rsidR="00515AB3">
              <w:rPr>
                <w:lang w:val="en-GB"/>
              </w:rPr>
              <w:t xml:space="preserve"> (</w:t>
            </w:r>
            <m:oMath>
              <m:r>
                <w:rPr>
                  <w:rFonts w:ascii="Cambria Math" w:hAnsi="Cambria Math"/>
                  <w:lang w:val="en-GB"/>
                </w:rPr>
                <m:t>Q</m:t>
              </m:r>
            </m:oMath>
            <w:r w:rsidR="00515AB3">
              <w:rPr>
                <w:lang w:val="en-GB"/>
              </w:rPr>
              <w:t>)</w:t>
            </w:r>
          </w:p>
        </w:tc>
        <w:tc>
          <w:tcPr>
            <w:tcW w:w="1247" w:type="dxa"/>
          </w:tcPr>
          <w:p w14:paraId="5B507F3B" w14:textId="75B76A03" w:rsidR="00893E22" w:rsidRDefault="00350742" w:rsidP="00350742">
            <w:pPr>
              <w:pStyle w:val="Els-body-text"/>
              <w:jc w:val="center"/>
              <w:rPr>
                <w:lang w:val="en-GB"/>
              </w:rPr>
            </w:pPr>
            <w:r>
              <w:rPr>
                <w:lang w:val="en-GB"/>
              </w:rPr>
              <w:t>0.5 m³/h</w:t>
            </w:r>
          </w:p>
        </w:tc>
        <w:tc>
          <w:tcPr>
            <w:tcW w:w="2439" w:type="dxa"/>
          </w:tcPr>
          <w:p w14:paraId="3A2DE834" w14:textId="77777777" w:rsidR="00893E22" w:rsidRDefault="00893E22" w:rsidP="00D86DF9">
            <w:pPr>
              <w:pStyle w:val="Els-body-text"/>
              <w:rPr>
                <w:lang w:val="en-GB"/>
              </w:rPr>
            </w:pPr>
          </w:p>
        </w:tc>
        <w:tc>
          <w:tcPr>
            <w:tcW w:w="1127" w:type="dxa"/>
          </w:tcPr>
          <w:p w14:paraId="0E31F0B4" w14:textId="77777777" w:rsidR="00893E22" w:rsidRDefault="00893E22" w:rsidP="00D86DF9">
            <w:pPr>
              <w:pStyle w:val="Els-body-text"/>
              <w:rPr>
                <w:lang w:val="en-GB"/>
              </w:rPr>
            </w:pPr>
          </w:p>
        </w:tc>
      </w:tr>
    </w:tbl>
    <w:p w14:paraId="144DE69D" w14:textId="155B0884" w:rsidR="008D2649" w:rsidRDefault="0088713D" w:rsidP="008D2649">
      <w:pPr>
        <w:pStyle w:val="Els-2ndorder-head"/>
      </w:pPr>
      <w:r>
        <w:lastRenderedPageBreak/>
        <w:t>Adsorption isotherm</w:t>
      </w:r>
    </w:p>
    <w:p w14:paraId="606266A6" w14:textId="3A08DF13" w:rsidR="0088713D" w:rsidRDefault="0088713D" w:rsidP="0088713D">
      <w:pPr>
        <w:pStyle w:val="Els-body-text"/>
      </w:pPr>
    </w:p>
    <w:p w14:paraId="37D1A381" w14:textId="53FDBF81" w:rsidR="002B5FA6" w:rsidRDefault="0088713D" w:rsidP="0088713D">
      <w:pPr>
        <w:pStyle w:val="Els-body-text"/>
        <w:rPr>
          <w:lang w:val="en-GB"/>
        </w:rPr>
      </w:pPr>
      <w:r w:rsidRPr="0088713D">
        <w:rPr>
          <w:lang w:val="en-GB"/>
        </w:rPr>
        <w:t>Proper mode</w:t>
      </w:r>
      <w:r w:rsidR="00FB0CA0">
        <w:rPr>
          <w:lang w:val="en-GB"/>
        </w:rPr>
        <w:t>l</w:t>
      </w:r>
      <w:r w:rsidRPr="0088713D">
        <w:rPr>
          <w:lang w:val="en-GB"/>
        </w:rPr>
        <w:t>ling of the adsorption isotherm is crucial for evaluating the type of adsorbent and understanding the behavio</w:t>
      </w:r>
      <w:r w:rsidR="00FB0CA0">
        <w:rPr>
          <w:lang w:val="en-GB"/>
        </w:rPr>
        <w:t>u</w:t>
      </w:r>
      <w:r w:rsidRPr="0088713D">
        <w:rPr>
          <w:lang w:val="en-GB"/>
        </w:rPr>
        <w:t>r of beds containing porous materials. This study employed a Langmuir-type model for water adsorption on zeolite. The pressure information has been replaced by the fugacity of the component in the isotherm model to adapt the mode</w:t>
      </w:r>
      <w:r w:rsidR="00FB0CA0">
        <w:rPr>
          <w:lang w:val="en-GB"/>
        </w:rPr>
        <w:t>l</w:t>
      </w:r>
      <w:r w:rsidRPr="0088713D">
        <w:rPr>
          <w:lang w:val="en-GB"/>
        </w:rPr>
        <w:t xml:space="preserve">ling to high-pressure and high </w:t>
      </w:r>
      <w:r w:rsidR="002D1328" w:rsidRPr="00811AB1">
        <w:rPr>
          <w:i/>
          <w:lang w:val="en-GB"/>
        </w:rPr>
        <w:t>CO</w:t>
      </w:r>
      <w:r w:rsidR="002D1328" w:rsidRPr="00811AB1">
        <w:rPr>
          <w:vertAlign w:val="subscript"/>
          <w:lang w:val="en-GB"/>
        </w:rPr>
        <w:t>2</w:t>
      </w:r>
      <w:r w:rsidRPr="0088713D">
        <w:rPr>
          <w:lang w:val="en-GB"/>
        </w:rPr>
        <w:t xml:space="preserve"> content conditions</w:t>
      </w:r>
      <w:r>
        <w:rPr>
          <w:lang w:val="en-GB"/>
        </w:rPr>
        <w:t>.</w:t>
      </w:r>
    </w:p>
    <w:tbl>
      <w:tblPr>
        <w:tblW w:w="7087" w:type="dxa"/>
        <w:tblLook w:val="04A0" w:firstRow="1" w:lastRow="0" w:firstColumn="1" w:lastColumn="0" w:noHBand="0" w:noVBand="1"/>
      </w:tblPr>
      <w:tblGrid>
        <w:gridCol w:w="6121"/>
        <w:gridCol w:w="966"/>
      </w:tblGrid>
      <w:tr w:rsidR="002B5FA6" w:rsidRPr="00A94774" w14:paraId="5AABAB8E" w14:textId="77777777" w:rsidTr="005D18E5">
        <w:trPr>
          <w:trHeight w:val="430"/>
        </w:trPr>
        <w:tc>
          <w:tcPr>
            <w:tcW w:w="6121" w:type="dxa"/>
            <w:shd w:val="clear" w:color="auto" w:fill="auto"/>
          </w:tcPr>
          <w:p w14:paraId="413CA4D0" w14:textId="5A18FFEB" w:rsidR="002B5FA6" w:rsidRPr="002D1328" w:rsidRDefault="006A38A7" w:rsidP="00027C31">
            <w:pPr>
              <w:pStyle w:val="Els-body-text"/>
              <w:spacing w:before="120" w:after="120" w:line="264" w:lineRule="auto"/>
              <w:jc w:val="left"/>
              <w:rPr>
                <w:lang w:val="en-GB"/>
              </w:rPr>
            </w:pPr>
            <m:oMathPara>
              <m:oMathParaPr>
                <m:jc m:val="left"/>
              </m:oMathParaPr>
              <m:oMath>
                <m:sSubSup>
                  <m:sSubSupPr>
                    <m:ctrlPr>
                      <w:rPr>
                        <w:rFonts w:ascii="Cambria Math" w:hAnsi="Cambria Math"/>
                        <w:i/>
                        <w:lang w:val="en-GB"/>
                      </w:rPr>
                    </m:ctrlPr>
                  </m:sSubSupPr>
                  <m:e>
                    <m:r>
                      <w:rPr>
                        <w:rFonts w:ascii="Cambria Math" w:hAnsi="Cambria Math"/>
                        <w:lang w:val="en-GB"/>
                      </w:rPr>
                      <m:t>q</m:t>
                    </m:r>
                  </m:e>
                  <m:sub>
                    <m:r>
                      <w:rPr>
                        <w:rFonts w:ascii="Cambria Math" w:hAnsi="Cambria Math"/>
                        <w:lang w:val="en-GB"/>
                      </w:rPr>
                      <m:t>i</m:t>
                    </m:r>
                  </m:sub>
                  <m:sup>
                    <m:r>
                      <w:rPr>
                        <w:rFonts w:ascii="Cambria Math" w:hAnsi="Cambria Math"/>
                        <w:lang w:val="en-GB"/>
                      </w:rPr>
                      <m:t>*</m:t>
                    </m:r>
                  </m:sup>
                </m:sSubSup>
                <m:r>
                  <w:rPr>
                    <w:rFonts w:ascii="Cambria Math" w:hAnsi="Cambria Math"/>
                    <w:lang w:val="en-GB"/>
                  </w:rPr>
                  <m:t>=</m:t>
                </m:r>
                <m:sSup>
                  <m:sSupPr>
                    <m:ctrlPr>
                      <w:rPr>
                        <w:rFonts w:ascii="Cambria Math" w:hAnsi="Cambria Math"/>
                        <w:i/>
                        <w:lang w:val="en-GB"/>
                      </w:rPr>
                    </m:ctrlPr>
                  </m:sSupPr>
                  <m:e>
                    <m:r>
                      <w:rPr>
                        <w:rFonts w:ascii="Cambria Math" w:hAnsi="Cambria Math"/>
                        <w:lang w:val="en-GB"/>
                      </w:rPr>
                      <m:t>n</m:t>
                    </m:r>
                  </m:e>
                  <m:sup>
                    <m:r>
                      <w:rPr>
                        <w:rFonts w:ascii="Cambria Math" w:hAnsi="Cambria Math"/>
                        <w:lang w:val="en-GB"/>
                      </w:rPr>
                      <m:t>∞</m:t>
                    </m:r>
                  </m:sup>
                </m:sSup>
                <m:f>
                  <m:fPr>
                    <m:ctrlPr>
                      <w:rPr>
                        <w:rFonts w:ascii="Cambria Math" w:hAnsi="Cambria Math"/>
                        <w:i/>
                        <w:lang w:val="en-GB"/>
                      </w:rPr>
                    </m:ctrlPr>
                  </m:fPr>
                  <m:num>
                    <m:r>
                      <w:rPr>
                        <w:rFonts w:ascii="Cambria Math" w:hAnsi="Cambria Math"/>
                        <w:lang w:val="en-GB"/>
                      </w:rPr>
                      <m:t>K</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num>
                  <m:den>
                    <m:r>
                      <w:rPr>
                        <w:rFonts w:ascii="Cambria Math" w:hAnsi="Cambria Math"/>
                        <w:lang w:val="en-GB"/>
                      </w:rPr>
                      <m:t>1+K</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den>
                </m:f>
                <m:r>
                  <w:rPr>
                    <w:rFonts w:ascii="Cambria Math" w:hAnsi="Cambria Math"/>
                    <w:lang w:val="en-GB"/>
                  </w:rPr>
                  <m:t>,  where    K=</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0</m:t>
                    </m:r>
                  </m:sub>
                </m:sSub>
                <m:func>
                  <m:funcPr>
                    <m:ctrlPr>
                      <w:rPr>
                        <w:rFonts w:ascii="Cambria Math" w:hAnsi="Cambria Math"/>
                        <w:i/>
                        <w:lang w:val="en-GB"/>
                      </w:rPr>
                    </m:ctrlPr>
                  </m:funcPr>
                  <m:fName>
                    <m:r>
                      <m:rPr>
                        <m:sty m:val="p"/>
                      </m:rPr>
                      <w:rPr>
                        <w:rFonts w:ascii="Cambria Math" w:hAnsi="Cambria Math"/>
                        <w:lang w:val="en-GB"/>
                      </w:rPr>
                      <m:t>exp</m:t>
                    </m:r>
                  </m:fName>
                  <m:e>
                    <m:d>
                      <m:dPr>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ΔH</m:t>
                            </m:r>
                          </m:num>
                          <m:den>
                            <m:r>
                              <w:rPr>
                                <w:rFonts w:ascii="Cambria Math" w:hAnsi="Cambria Math"/>
                                <w:lang w:val="en-GB"/>
                              </w:rPr>
                              <m:t>RT</m:t>
                            </m:r>
                          </m:den>
                        </m:f>
                      </m:e>
                    </m:d>
                  </m:e>
                </m:func>
                <m:r>
                  <w:rPr>
                    <w:rFonts w:ascii="Cambria Math" w:hAnsi="Cambria Math"/>
                    <w:lang w:val="en-GB"/>
                  </w:rPr>
                  <m:t xml:space="preserve"> </m:t>
                </m:r>
              </m:oMath>
            </m:oMathPara>
          </w:p>
        </w:tc>
        <w:tc>
          <w:tcPr>
            <w:tcW w:w="966" w:type="dxa"/>
            <w:shd w:val="clear" w:color="auto" w:fill="auto"/>
            <w:vAlign w:val="center"/>
          </w:tcPr>
          <w:p w14:paraId="4E8B8CF6" w14:textId="0F28B0F5" w:rsidR="002B5FA6" w:rsidRPr="00A94774" w:rsidRDefault="002B5FA6" w:rsidP="00027C31">
            <w:pPr>
              <w:pStyle w:val="Els-body-text"/>
              <w:spacing w:before="120" w:after="120" w:line="264" w:lineRule="auto"/>
              <w:jc w:val="right"/>
              <w:rPr>
                <w:lang w:val="en-GB"/>
              </w:rPr>
            </w:pPr>
            <w:r w:rsidRPr="00A94774">
              <w:rPr>
                <w:lang w:val="en-GB"/>
              </w:rPr>
              <w:t>(</w:t>
            </w:r>
            <w:r>
              <w:rPr>
                <w:lang w:val="en-GB"/>
              </w:rPr>
              <w:t>6</w:t>
            </w:r>
            <w:r w:rsidRPr="00A94774">
              <w:rPr>
                <w:lang w:val="en-GB"/>
              </w:rPr>
              <w:t>)</w:t>
            </w:r>
          </w:p>
        </w:tc>
      </w:tr>
    </w:tbl>
    <w:p w14:paraId="69ADFD98" w14:textId="60F1944A" w:rsidR="00DD3FA4" w:rsidRDefault="001B3776" w:rsidP="0088713D">
      <w:pPr>
        <w:pStyle w:val="Els-body-text"/>
      </w:pPr>
      <w:r w:rsidRPr="001B3776">
        <w:rPr>
          <w:lang w:val="en-GB"/>
        </w:rPr>
        <w:t xml:space="preserve">Although the isotherm model considers both components for adsorption, the water’s equilibrium constant, </w:t>
      </w:r>
      <w:r w:rsidRPr="00E40176">
        <w:rPr>
          <w:i/>
          <w:lang w:val="en-GB"/>
        </w:rPr>
        <w:t>K</w:t>
      </w:r>
      <w:r w:rsidRPr="001B3776">
        <w:rPr>
          <w:lang w:val="en-GB"/>
        </w:rPr>
        <w:t xml:space="preserve">, is significantly higher than that of </w:t>
      </w:r>
      <w:r w:rsidR="002D1328" w:rsidRPr="00811AB1">
        <w:rPr>
          <w:i/>
          <w:lang w:val="en-GB"/>
        </w:rPr>
        <w:t>CO</w:t>
      </w:r>
      <w:r w:rsidR="002D1328" w:rsidRPr="00811AB1">
        <w:rPr>
          <w:vertAlign w:val="subscript"/>
          <w:lang w:val="en-GB"/>
        </w:rPr>
        <w:t>2</w:t>
      </w:r>
      <w:r w:rsidRPr="001B3776">
        <w:rPr>
          <w:lang w:val="en-GB"/>
        </w:rPr>
        <w:t xml:space="preserve">. This reflects the greater affinity of water for the adsorbent, resulting in a situation where there is minimal competition for adsorption sites. Water molecules have a stronger tendency to displace </w:t>
      </w:r>
      <w:r w:rsidR="002D1328" w:rsidRPr="00811AB1">
        <w:rPr>
          <w:i/>
          <w:lang w:val="en-GB"/>
        </w:rPr>
        <w:t>CO</w:t>
      </w:r>
      <w:r w:rsidR="002D1328" w:rsidRPr="00811AB1">
        <w:rPr>
          <w:vertAlign w:val="subscript"/>
          <w:lang w:val="en-GB"/>
        </w:rPr>
        <w:t>2</w:t>
      </w:r>
      <w:r w:rsidRPr="001B3776">
        <w:rPr>
          <w:lang w:val="en-GB"/>
        </w:rPr>
        <w:t xml:space="preserve"> molecules and occupy the available sites. Therefore, we assume that only water is being adsorbed</w:t>
      </w:r>
      <w:r w:rsidR="002D1328">
        <w:rPr>
          <w:lang w:val="en-GB"/>
        </w:rPr>
        <w:t>.</w:t>
      </w:r>
      <w:r w:rsidR="00962C87">
        <w:rPr>
          <w:lang w:val="en-GB"/>
        </w:rPr>
        <w:t xml:space="preserve"> </w:t>
      </w:r>
      <w:r w:rsidR="004A381D">
        <w:rPr>
          <w:lang w:val="en-GB"/>
        </w:rPr>
        <w:t xml:space="preserve">Lastly, </w:t>
      </w:r>
      <w:r w:rsidR="004A381D" w:rsidRPr="001B3776">
        <w:t>parameter estimation employed a hybrid procedure that combines a nondeterministic method, such as Particle Swarm Optimization (PSO), with a deterministic Newton-li</w:t>
      </w:r>
      <w:r w:rsidR="004A381D">
        <w:t>ke method</w:t>
      </w:r>
      <w:r w:rsidR="004A381D" w:rsidRPr="001B3776">
        <w:t>.</w:t>
      </w:r>
    </w:p>
    <w:p w14:paraId="322A40BB" w14:textId="77777777" w:rsidR="00E40176" w:rsidRPr="007A6ED1" w:rsidRDefault="00E40176" w:rsidP="0088713D">
      <w:pPr>
        <w:pStyle w:val="Els-body-text"/>
        <w:rPr>
          <w:lang w:val="en-GB"/>
        </w:rPr>
      </w:pPr>
    </w:p>
    <w:p w14:paraId="144DE6A1" w14:textId="4098CD36" w:rsidR="008D2649" w:rsidRPr="00A94774" w:rsidRDefault="0088713D" w:rsidP="008D2649">
      <w:pPr>
        <w:pStyle w:val="Els-1storder-head"/>
        <w:spacing w:after="120"/>
        <w:rPr>
          <w:lang w:val="en-GB"/>
        </w:rPr>
      </w:pPr>
      <w:r>
        <w:rPr>
          <w:lang w:val="en-GB"/>
        </w:rPr>
        <w:t>Results and Discussion</w:t>
      </w:r>
    </w:p>
    <w:p w14:paraId="5AF09759" w14:textId="5AEB271E" w:rsidR="00FF6D3E" w:rsidRDefault="001B3776" w:rsidP="001B3776">
      <w:pPr>
        <w:pStyle w:val="Els-body-text"/>
      </w:pPr>
      <w:r w:rsidRPr="001B3776">
        <w:t xml:space="preserve">From the experimental equilibrium data presented in </w:t>
      </w:r>
      <w:proofErr w:type="spellStart"/>
      <w:r w:rsidRPr="001B3776">
        <w:t>Wynnyk</w:t>
      </w:r>
      <w:proofErr w:type="spellEnd"/>
      <w:r w:rsidRPr="001B3776">
        <w:t xml:space="preserve"> (2019), parameters were obtained to construct the water adsorption isotherm at temperatures of 298, 323, 348, 373, and 398K. The obtained parameters are presented in Table 2. </w:t>
      </w:r>
      <w:r w:rsidR="004A381D" w:rsidRPr="001B3776">
        <w:t>It is important to emphasize that the estimation was performed using the entire set of experimental data, and Figure 1 illustrates the fit of the modified Langmuir model.</w:t>
      </w:r>
    </w:p>
    <w:p w14:paraId="4A1DAB59" w14:textId="3C50A5E4" w:rsidR="00350742" w:rsidRDefault="00350742" w:rsidP="004A381D">
      <w:pPr>
        <w:pStyle w:val="Didascalia"/>
        <w:keepNext/>
        <w:jc w:val="center"/>
      </w:pPr>
      <w:r>
        <w:t xml:space="preserve">Table </w:t>
      </w:r>
      <w:r>
        <w:fldChar w:fldCharType="begin"/>
      </w:r>
      <w:r>
        <w:instrText xml:space="preserve"> SEQ Table \* ARABIC </w:instrText>
      </w:r>
      <w:r>
        <w:fldChar w:fldCharType="separate"/>
      </w:r>
      <w:r>
        <w:rPr>
          <w:noProof/>
        </w:rPr>
        <w:t>2</w:t>
      </w:r>
      <w:r>
        <w:fldChar w:fldCharType="end"/>
      </w:r>
      <w:r>
        <w:t xml:space="preserve"> - </w:t>
      </w:r>
      <w:r w:rsidRPr="00590694">
        <w:t>Estimated parameters for Langmuir isotherm mode</w:t>
      </w:r>
      <w:r>
        <w:t>l</w:t>
      </w: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115"/>
      </w:tblGrid>
      <w:tr w:rsidR="00350742" w14:paraId="3867FAAD" w14:textId="77777777" w:rsidTr="00350742">
        <w:trPr>
          <w:jc w:val="center"/>
        </w:trPr>
        <w:tc>
          <w:tcPr>
            <w:tcW w:w="0" w:type="auto"/>
            <w:tcBorders>
              <w:top w:val="single" w:sz="4" w:space="0" w:color="auto"/>
              <w:bottom w:val="single" w:sz="4" w:space="0" w:color="auto"/>
            </w:tcBorders>
          </w:tcPr>
          <w:p w14:paraId="52C7CC77" w14:textId="3E708C0E" w:rsidR="00350742" w:rsidRDefault="00350742" w:rsidP="00350742">
            <w:pPr>
              <w:pStyle w:val="Els-body-text"/>
              <w:jc w:val="center"/>
            </w:pPr>
            <w:r>
              <w:t>Parameter</w:t>
            </w:r>
          </w:p>
        </w:tc>
        <w:tc>
          <w:tcPr>
            <w:tcW w:w="0" w:type="auto"/>
            <w:tcBorders>
              <w:top w:val="single" w:sz="4" w:space="0" w:color="auto"/>
              <w:bottom w:val="single" w:sz="4" w:space="0" w:color="auto"/>
            </w:tcBorders>
          </w:tcPr>
          <w:p w14:paraId="55FBD004" w14:textId="6A7CCA6B" w:rsidR="00350742" w:rsidRDefault="00350742" w:rsidP="00350742">
            <w:pPr>
              <w:pStyle w:val="Els-body-text"/>
              <w:jc w:val="center"/>
            </w:pPr>
            <w:r>
              <w:t>4A</w:t>
            </w:r>
          </w:p>
        </w:tc>
      </w:tr>
      <w:tr w:rsidR="00350742" w14:paraId="7250DCBE" w14:textId="77777777" w:rsidTr="00350742">
        <w:trPr>
          <w:jc w:val="center"/>
        </w:trPr>
        <w:tc>
          <w:tcPr>
            <w:tcW w:w="0" w:type="auto"/>
            <w:tcBorders>
              <w:top w:val="single" w:sz="4" w:space="0" w:color="auto"/>
            </w:tcBorders>
          </w:tcPr>
          <w:p w14:paraId="080894CB" w14:textId="18B0E0B6" w:rsidR="00350742" w:rsidRDefault="006A38A7" w:rsidP="00350742">
            <w:pPr>
              <w:pStyle w:val="Els-body-text"/>
              <w:jc w:val="center"/>
            </w:pPr>
            <m:oMath>
              <m:sSup>
                <m:sSupPr>
                  <m:ctrlPr>
                    <w:rPr>
                      <w:rFonts w:ascii="Cambria Math" w:hAnsi="Cambria Math"/>
                      <w:i/>
                      <w:lang w:val="en-GB"/>
                    </w:rPr>
                  </m:ctrlPr>
                </m:sSupPr>
                <m:e>
                  <m:r>
                    <w:rPr>
                      <w:rFonts w:ascii="Cambria Math" w:hAnsi="Cambria Math"/>
                      <w:lang w:val="en-GB"/>
                    </w:rPr>
                    <m:t>n</m:t>
                  </m:r>
                </m:e>
                <m:sup>
                  <m:r>
                    <w:rPr>
                      <w:rFonts w:ascii="Cambria Math" w:hAnsi="Cambria Math"/>
                      <w:lang w:val="en-GB"/>
                    </w:rPr>
                    <m:t>∞</m:t>
                  </m:r>
                </m:sup>
              </m:sSup>
            </m:oMath>
            <w:r w:rsidR="00350742">
              <w:rPr>
                <w:lang w:val="en-GB"/>
              </w:rPr>
              <w:t>(mol/kg)</w:t>
            </w:r>
          </w:p>
        </w:tc>
        <w:tc>
          <w:tcPr>
            <w:tcW w:w="0" w:type="auto"/>
            <w:tcBorders>
              <w:top w:val="single" w:sz="4" w:space="0" w:color="auto"/>
            </w:tcBorders>
          </w:tcPr>
          <w:p w14:paraId="4C40F055" w14:textId="798C11C7" w:rsidR="00350742" w:rsidRDefault="00350742" w:rsidP="00350742">
            <w:pPr>
              <w:pStyle w:val="Els-body-text"/>
              <w:jc w:val="center"/>
            </w:pPr>
            <w:r>
              <w:t>13.3</w:t>
            </w:r>
          </w:p>
        </w:tc>
      </w:tr>
      <w:tr w:rsidR="00350742" w14:paraId="604CF8CE" w14:textId="77777777" w:rsidTr="00350742">
        <w:trPr>
          <w:jc w:val="center"/>
        </w:trPr>
        <w:tc>
          <w:tcPr>
            <w:tcW w:w="0" w:type="auto"/>
          </w:tcPr>
          <w:p w14:paraId="23316C7F" w14:textId="438F723E" w:rsidR="00350742" w:rsidRDefault="006A38A7" w:rsidP="00350742">
            <w:pPr>
              <w:pStyle w:val="Els-body-text"/>
              <w:jc w:val="cente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0</m:t>
                  </m:r>
                </m:sub>
              </m:sSub>
            </m:oMath>
            <w:r w:rsidR="00350742">
              <w:rPr>
                <w:lang w:val="en-GB"/>
              </w:rPr>
              <w:t>(1/bar)</w:t>
            </w:r>
          </w:p>
        </w:tc>
        <w:tc>
          <w:tcPr>
            <w:tcW w:w="0" w:type="auto"/>
          </w:tcPr>
          <w:p w14:paraId="3A1C0733" w14:textId="72841368" w:rsidR="00350742" w:rsidRDefault="00350742" w:rsidP="007A2915">
            <w:pPr>
              <w:pStyle w:val="Els-body-text"/>
              <w:jc w:val="center"/>
            </w:pPr>
            <w:r w:rsidRPr="000E3CA2">
              <w:t>7</w:t>
            </w:r>
            <w:r w:rsidRPr="000E3CA2">
              <w:rPr>
                <w:i/>
              </w:rPr>
              <w:t>.</w:t>
            </w:r>
            <w:r w:rsidRPr="000E3CA2">
              <w:t>1</w:t>
            </w:r>
            <w:r>
              <w:t>4</w:t>
            </w:r>
            <w:r w:rsidR="007A2915">
              <w:sym w:font="Symbol" w:char="F0B4"/>
            </w:r>
            <w:r w:rsidRPr="000E3CA2">
              <w:t>10</w:t>
            </w:r>
            <w:r w:rsidRPr="000E3CA2">
              <w:rPr>
                <w:vertAlign w:val="superscript"/>
              </w:rPr>
              <w:t>−4</w:t>
            </w:r>
          </w:p>
        </w:tc>
      </w:tr>
      <w:tr w:rsidR="00350742" w14:paraId="2E989DA0" w14:textId="77777777" w:rsidTr="00350742">
        <w:trPr>
          <w:jc w:val="center"/>
        </w:trPr>
        <w:tc>
          <w:tcPr>
            <w:tcW w:w="0" w:type="auto"/>
          </w:tcPr>
          <w:p w14:paraId="03F1E968" w14:textId="2B0D2E11" w:rsidR="00350742" w:rsidRDefault="00350742" w:rsidP="00350742">
            <w:pPr>
              <w:pStyle w:val="Els-body-text"/>
              <w:jc w:val="center"/>
            </w:pPr>
            <m:oMath>
              <m:r>
                <w:rPr>
                  <w:rFonts w:ascii="Cambria Math" w:hAnsi="Cambria Math"/>
                  <w:lang w:val="en-GB"/>
                </w:rPr>
                <m:t>ΔH</m:t>
              </m:r>
            </m:oMath>
            <w:r>
              <w:rPr>
                <w:lang w:val="en-GB"/>
              </w:rPr>
              <w:t>(J/mol)</w:t>
            </w:r>
          </w:p>
        </w:tc>
        <w:tc>
          <w:tcPr>
            <w:tcW w:w="0" w:type="auto"/>
          </w:tcPr>
          <w:p w14:paraId="7293E3D7" w14:textId="4FE973FE" w:rsidR="00350742" w:rsidRDefault="00350742" w:rsidP="00350742">
            <w:pPr>
              <w:pStyle w:val="Els-body-text"/>
              <w:jc w:val="center"/>
            </w:pPr>
            <w:r>
              <w:t>4</w:t>
            </w:r>
            <w:r w:rsidRPr="000E3CA2">
              <w:rPr>
                <w:i/>
              </w:rPr>
              <w:t>.</w:t>
            </w:r>
            <w:r w:rsidRPr="000E3CA2">
              <w:t>1</w:t>
            </w:r>
            <w:r>
              <w:t>58</w:t>
            </w:r>
            <w:r w:rsidR="007A2915">
              <w:sym w:font="Symbol" w:char="F0B4"/>
            </w:r>
            <w:r w:rsidRPr="000E3CA2">
              <w:t>10</w:t>
            </w:r>
            <w:r w:rsidRPr="000E3CA2">
              <w:rPr>
                <w:vertAlign w:val="superscript"/>
              </w:rPr>
              <w:t>−4</w:t>
            </w:r>
          </w:p>
        </w:tc>
      </w:tr>
    </w:tbl>
    <w:p w14:paraId="677EBA5F" w14:textId="77777777" w:rsidR="00D81C9A" w:rsidRDefault="004320B5" w:rsidP="00945D82">
      <w:pPr>
        <w:pStyle w:val="Els-body-text"/>
        <w:keepNext/>
        <w:jc w:val="center"/>
      </w:pPr>
      <w:r>
        <w:rPr>
          <w:noProof/>
          <w:lang w:val="pt-BR" w:eastAsia="pt-BR"/>
        </w:rPr>
        <w:lastRenderedPageBreak/>
        <w:drawing>
          <wp:inline distT="0" distB="0" distL="0" distR="0" wp14:anchorId="3EC98501" wp14:editId="2AF30B43">
            <wp:extent cx="2681346" cy="2495550"/>
            <wp:effectExtent l="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termas_obtidas_estima_BW-modifi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4452" cy="2498441"/>
                    </a:xfrm>
                    <a:prstGeom prst="rect">
                      <a:avLst/>
                    </a:prstGeom>
                  </pic:spPr>
                </pic:pic>
              </a:graphicData>
            </a:graphic>
          </wp:inline>
        </w:drawing>
      </w:r>
    </w:p>
    <w:p w14:paraId="70EB48D9" w14:textId="0F17CB9D" w:rsidR="004320B5" w:rsidRPr="001B3776" w:rsidRDefault="00D81C9A" w:rsidP="00945D82">
      <w:pPr>
        <w:pStyle w:val="Didascalia"/>
        <w:jc w:val="center"/>
      </w:pPr>
      <w:r>
        <w:t xml:space="preserve">Figure </w:t>
      </w:r>
      <w:r>
        <w:fldChar w:fldCharType="begin"/>
      </w:r>
      <w:r>
        <w:instrText xml:space="preserve"> SEQ Figure \* ARABIC </w:instrText>
      </w:r>
      <w:r>
        <w:fldChar w:fldCharType="separate"/>
      </w:r>
      <w:r>
        <w:rPr>
          <w:noProof/>
        </w:rPr>
        <w:t>1</w:t>
      </w:r>
      <w:r>
        <w:fldChar w:fldCharType="end"/>
      </w:r>
      <w:r>
        <w:t xml:space="preserve"> - </w:t>
      </w:r>
      <w:r w:rsidRPr="00857F74">
        <w:t>Calculated adsorption isotherms for water vapor adsorption on zeolite 4A at different temperatures. Experimental data are represented by markers (</w:t>
      </w:r>
      <w:proofErr w:type="spellStart"/>
      <w:r w:rsidRPr="00857F74">
        <w:t>Wynnyk</w:t>
      </w:r>
      <w:proofErr w:type="spellEnd"/>
      <w:r w:rsidRPr="00857F74">
        <w:t>, 2019).</w:t>
      </w:r>
    </w:p>
    <w:p w14:paraId="27CD9A7B" w14:textId="6200C49E" w:rsidR="001B3776" w:rsidRDefault="001B3776" w:rsidP="001B3776">
      <w:pPr>
        <w:pStyle w:val="Els-body-text"/>
        <w:rPr>
          <w:lang w:val="en-GB"/>
        </w:rPr>
      </w:pPr>
      <w:r w:rsidRPr="001B3776">
        <w:rPr>
          <w:lang w:val="en-GB"/>
        </w:rPr>
        <w:t>Using the estimated parameters for water adsorption on zeolite 4A, a series of simulations were conducted to evaluate a fixed-bed adsorption column. Based on data obtained at low pressures, the model was developed for application over a broader range, considering the pressure effect on the fugacity of each component in the mixture that forms bulk phase. Consequently, breakthrough curves were obtained at 1 bar and 50 bar pressures. Figure 2</w:t>
      </w:r>
      <w:r w:rsidR="00D81C9A">
        <w:rPr>
          <w:lang w:val="en-GB"/>
        </w:rPr>
        <w:t>a</w:t>
      </w:r>
      <w:r w:rsidRPr="001B3776">
        <w:rPr>
          <w:lang w:val="en-GB"/>
        </w:rPr>
        <w:t xml:space="preserve"> displays the critical results obtained</w:t>
      </w:r>
      <w:r w:rsidR="004369DB">
        <w:rPr>
          <w:lang w:val="en-GB"/>
        </w:rPr>
        <w:t>.</w:t>
      </w:r>
    </w:p>
    <w:p w14:paraId="484C9409" w14:textId="77777777" w:rsidR="00D81C9A" w:rsidRDefault="00D81C9A" w:rsidP="00E40176">
      <w:pPr>
        <w:pStyle w:val="Didascalia"/>
        <w:keepNext/>
      </w:pPr>
      <w:r>
        <w:rPr>
          <w:noProof/>
          <w:lang w:val="pt-BR" w:eastAsia="pt-BR"/>
        </w:rPr>
        <w:drawing>
          <wp:inline distT="0" distB="0" distL="0" distR="0" wp14:anchorId="562DDE99" wp14:editId="1A8E1DD3">
            <wp:extent cx="4613522" cy="23145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binado2.jpg"/>
                    <pic:cNvPicPr/>
                  </pic:nvPicPr>
                  <pic:blipFill>
                    <a:blip r:embed="rId9">
                      <a:extLst>
                        <a:ext uri="{28A0092B-C50C-407E-A947-70E740481C1C}">
                          <a14:useLocalDpi xmlns:a14="http://schemas.microsoft.com/office/drawing/2010/main" val="0"/>
                        </a:ext>
                      </a:extLst>
                    </a:blip>
                    <a:stretch>
                      <a:fillRect/>
                    </a:stretch>
                  </pic:blipFill>
                  <pic:spPr>
                    <a:xfrm>
                      <a:off x="0" y="0"/>
                      <a:ext cx="4626136" cy="2320903"/>
                    </a:xfrm>
                    <a:prstGeom prst="rect">
                      <a:avLst/>
                    </a:prstGeom>
                  </pic:spPr>
                </pic:pic>
              </a:graphicData>
            </a:graphic>
          </wp:inline>
        </w:drawing>
      </w:r>
    </w:p>
    <w:p w14:paraId="50B0DF5F" w14:textId="38136B5D" w:rsidR="00D81C9A" w:rsidRDefault="00D81C9A" w:rsidP="00945D82">
      <w:pPr>
        <w:pStyle w:val="Didascalia"/>
        <w:jc w:val="both"/>
        <w:rPr>
          <w:lang w:val="en-GB"/>
        </w:rPr>
      </w:pPr>
      <w:r>
        <w:t xml:space="preserve">Figure 2 - </w:t>
      </w:r>
      <w:r w:rsidRPr="00C537BC">
        <w:t xml:space="preserve">(a) Breakthrough curves at 313K H2O/CO2 in different conditions (b) Breakthrough curves at 40 °C and 50 </w:t>
      </w:r>
      <w:proofErr w:type="gramStart"/>
      <w:r w:rsidRPr="00C537BC">
        <w:t>bar</w:t>
      </w:r>
      <w:proofErr w:type="gramEnd"/>
      <w:r w:rsidRPr="00C537BC">
        <w:t xml:space="preserve"> for H2O/N2 and H2O/CO2 mixtures</w:t>
      </w:r>
    </w:p>
    <w:p w14:paraId="05CEABD5" w14:textId="5C0A924B" w:rsidR="00D81C9A" w:rsidRDefault="00D81C9A" w:rsidP="00945D82">
      <w:pPr>
        <w:pStyle w:val="Els-body-text"/>
        <w:keepNext/>
      </w:pPr>
    </w:p>
    <w:p w14:paraId="67F15C91" w14:textId="4844A71D" w:rsidR="001B3776" w:rsidRDefault="001B3776" w:rsidP="001B3776">
      <w:pPr>
        <w:pStyle w:val="Els-body-text"/>
        <w:rPr>
          <w:lang w:val="en-GB"/>
        </w:rPr>
      </w:pPr>
      <w:r w:rsidRPr="001B3776">
        <w:t>In Figure 2</w:t>
      </w:r>
      <w:r w:rsidR="00D81C9A">
        <w:t>a</w:t>
      </w:r>
      <w:r w:rsidRPr="001B3776">
        <w:t xml:space="preserve">, it is possible to observe three breakthrough curves at different pressures, each associated with distinct fugacity coefficients in the feed, given that </w:t>
      </w:r>
      <w:r w:rsidRPr="001B3776">
        <w:rPr>
          <w:i/>
        </w:rPr>
        <w:t>f</w:t>
      </w:r>
      <w:r w:rsidRPr="001B3776">
        <w:rPr>
          <w:i/>
          <w:vertAlign w:val="subscript"/>
        </w:rPr>
        <w:t>i</w:t>
      </w:r>
      <w:r w:rsidRPr="001B3776">
        <w:rPr>
          <w:i/>
        </w:rPr>
        <w:t xml:space="preserve"> </w:t>
      </w:r>
      <w:r w:rsidRPr="001B3776">
        <w:t xml:space="preserve">= </w:t>
      </w:r>
      <w:r w:rsidRPr="001B3776">
        <w:rPr>
          <w:i/>
        </w:rPr>
        <w:t>x</w:t>
      </w:r>
      <w:r w:rsidRPr="001B3776">
        <w:rPr>
          <w:i/>
          <w:vertAlign w:val="subscript"/>
        </w:rPr>
        <w:t>i</w:t>
      </w:r>
      <w:r w:rsidR="007A2915">
        <w:rPr>
          <w:i/>
          <w:vertAlign w:val="subscript"/>
        </w:rPr>
        <w:t xml:space="preserve"> </w:t>
      </w:r>
      <w:r w:rsidR="007A2915">
        <w:rPr>
          <w:i/>
        </w:rPr>
        <w:sym w:font="Symbol" w:char="F066"/>
      </w:r>
      <w:r w:rsidRPr="001B3776">
        <w:rPr>
          <w:i/>
          <w:vertAlign w:val="subscript"/>
        </w:rPr>
        <w:t>i</w:t>
      </w:r>
      <w:r w:rsidR="007A2915">
        <w:rPr>
          <w:i/>
          <w:vertAlign w:val="subscript"/>
        </w:rPr>
        <w:t xml:space="preserve"> </w:t>
      </w:r>
      <w:r w:rsidRPr="001B3776">
        <w:rPr>
          <w:i/>
        </w:rPr>
        <w:t>P</w:t>
      </w:r>
      <w:r w:rsidRPr="001B3776">
        <w:t xml:space="preserve">, and </w:t>
      </w:r>
      <w:r w:rsidR="007A2915">
        <w:rPr>
          <w:i/>
        </w:rPr>
        <w:sym w:font="Symbol" w:char="F066"/>
      </w:r>
      <w:r w:rsidRPr="001B3776">
        <w:rPr>
          <w:i/>
          <w:vertAlign w:val="subscript"/>
        </w:rPr>
        <w:t>i</w:t>
      </w:r>
      <w:r w:rsidRPr="001B3776">
        <w:rPr>
          <w:i/>
        </w:rPr>
        <w:t xml:space="preserve"> </w:t>
      </w:r>
      <w:r w:rsidRPr="001B3776">
        <w:t xml:space="preserve">is a function of </w:t>
      </w:r>
      <w:r w:rsidRPr="00945D82">
        <w:rPr>
          <w:i/>
        </w:rPr>
        <w:t>P</w:t>
      </w:r>
      <w:r w:rsidRPr="001B3776">
        <w:t xml:space="preserve"> and </w:t>
      </w:r>
      <w:r w:rsidRPr="001B3776">
        <w:rPr>
          <w:i/>
        </w:rPr>
        <w:t>x</w:t>
      </w:r>
      <w:r w:rsidRPr="001B3776">
        <w:rPr>
          <w:i/>
          <w:vertAlign w:val="subscript"/>
        </w:rPr>
        <w:t>i</w:t>
      </w:r>
      <w:r w:rsidRPr="001B3776">
        <w:t xml:space="preserve">, causing </w:t>
      </w:r>
      <w:r w:rsidRPr="001B3776">
        <w:rPr>
          <w:i/>
        </w:rPr>
        <w:t>f</w:t>
      </w:r>
      <w:r w:rsidRPr="001B3776">
        <w:rPr>
          <w:i/>
          <w:vertAlign w:val="subscript"/>
        </w:rPr>
        <w:t>i</w:t>
      </w:r>
      <w:r w:rsidRPr="001B3776">
        <w:rPr>
          <w:i/>
        </w:rPr>
        <w:t xml:space="preserve"> </w:t>
      </w:r>
      <w:r w:rsidRPr="001B3776">
        <w:t xml:space="preserve">to vary along </w:t>
      </w:r>
      <w:r w:rsidRPr="00945D82">
        <w:rPr>
          <w:i/>
        </w:rPr>
        <w:t>z</w:t>
      </w:r>
      <w:r w:rsidRPr="001B3776">
        <w:t xml:space="preserve"> and </w:t>
      </w:r>
      <w:r w:rsidRPr="00945D82">
        <w:rPr>
          <w:i/>
        </w:rPr>
        <w:t>t</w:t>
      </w:r>
      <w:r w:rsidRPr="001B3776">
        <w:t xml:space="preserve">. The difference between the solid curve, representing breakthrough at high pressure considering the pressure effect, </w:t>
      </w:r>
      <w:r w:rsidRPr="001B3776">
        <w:lastRenderedPageBreak/>
        <w:t>and the dashed curve, also at high pressure assuming the fugacity coefficient is equal to 1 (i.e., ideal gas), is approximately 2</w:t>
      </w:r>
      <w:r>
        <w:t>4</w:t>
      </w:r>
      <w:r w:rsidRPr="001B3776">
        <w:t xml:space="preserve"> hours. Under industrial operating conditions, this time difference c</w:t>
      </w:r>
      <w:r w:rsidR="008A1E29">
        <w:t>ould mean</w:t>
      </w:r>
      <w:r w:rsidRPr="001B3776">
        <w:t xml:space="preserve"> a significant</w:t>
      </w:r>
      <w:r>
        <w:t xml:space="preserve"> </w:t>
      </w:r>
      <w:r w:rsidRPr="001B3776">
        <w:rPr>
          <w:lang w:val="en-GB"/>
        </w:rPr>
        <w:t>cost increase. Another observed effect is the increase in pressure when considering the fugacity coefficient as 1. Thus, precise calculation becomes evident when dealing with water adsorption at high pressures</w:t>
      </w:r>
      <w:r>
        <w:rPr>
          <w:lang w:val="en-GB"/>
        </w:rPr>
        <w:t>.</w:t>
      </w:r>
    </w:p>
    <w:p w14:paraId="0A5103BC" w14:textId="046F3F0A" w:rsidR="001B3776" w:rsidRPr="004320B5" w:rsidRDefault="001B3776" w:rsidP="001B3776">
      <w:pPr>
        <w:pStyle w:val="Els-body-text"/>
      </w:pPr>
      <w:r w:rsidRPr="001B3776">
        <w:rPr>
          <w:lang w:val="en-GB"/>
        </w:rPr>
        <w:t xml:space="preserve">To demonstrate the effect of fugacity in the mixture, </w:t>
      </w:r>
      <w:r w:rsidR="008A1E29">
        <w:rPr>
          <w:lang w:val="en-GB"/>
        </w:rPr>
        <w:t xml:space="preserve">Figure </w:t>
      </w:r>
      <w:r w:rsidR="00D81C9A">
        <w:rPr>
          <w:lang w:val="en-GB"/>
        </w:rPr>
        <w:t>2b</w:t>
      </w:r>
      <w:r w:rsidR="008A1E29">
        <w:rPr>
          <w:lang w:val="en-GB"/>
        </w:rPr>
        <w:t xml:space="preserve"> </w:t>
      </w:r>
      <w:r w:rsidRPr="001B3776">
        <w:rPr>
          <w:lang w:val="en-GB"/>
        </w:rPr>
        <w:t>compare</w:t>
      </w:r>
      <w:r w:rsidR="008A1E29">
        <w:rPr>
          <w:lang w:val="en-GB"/>
        </w:rPr>
        <w:t>s</w:t>
      </w:r>
      <w:r w:rsidRPr="001B3776">
        <w:rPr>
          <w:lang w:val="en-GB"/>
        </w:rPr>
        <w:t xml:space="preserve"> </w:t>
      </w:r>
      <w:r w:rsidR="008A1E29">
        <w:rPr>
          <w:lang w:val="en-GB"/>
        </w:rPr>
        <w:t xml:space="preserve">the </w:t>
      </w:r>
      <w:r w:rsidRPr="001B3776">
        <w:rPr>
          <w:lang w:val="en-GB"/>
        </w:rPr>
        <w:t xml:space="preserve">breakthrough </w:t>
      </w:r>
      <w:r w:rsidR="008A1E29">
        <w:rPr>
          <w:lang w:val="en-GB"/>
        </w:rPr>
        <w:t>curves</w:t>
      </w:r>
      <w:r w:rsidR="008A1E29" w:rsidRPr="001B3776">
        <w:rPr>
          <w:lang w:val="en-GB"/>
        </w:rPr>
        <w:t xml:space="preserve"> </w:t>
      </w:r>
      <w:r w:rsidRPr="001B3776">
        <w:rPr>
          <w:lang w:val="en-GB"/>
        </w:rPr>
        <w:t xml:space="preserve">when feeding the column with </w:t>
      </w:r>
      <w:r w:rsidR="00E00F53" w:rsidRPr="001B3776">
        <w:rPr>
          <w:i/>
          <w:lang w:val="en-GB"/>
        </w:rPr>
        <w:t>H</w:t>
      </w:r>
      <w:r w:rsidR="00E00F53" w:rsidRPr="001B3776">
        <w:rPr>
          <w:vertAlign w:val="subscript"/>
          <w:lang w:val="en-GB"/>
        </w:rPr>
        <w:t>2</w:t>
      </w:r>
      <w:r w:rsidR="00E00F53" w:rsidRPr="001B3776">
        <w:rPr>
          <w:i/>
          <w:lang w:val="en-GB"/>
        </w:rPr>
        <w:t>O/N</w:t>
      </w:r>
      <w:r w:rsidR="00E00F53" w:rsidRPr="00945D82">
        <w:rPr>
          <w:vertAlign w:val="subscript"/>
          <w:lang w:val="en-GB"/>
        </w:rPr>
        <w:t>2</w:t>
      </w:r>
      <w:r w:rsidRPr="001B3776">
        <w:rPr>
          <w:lang w:val="en-GB"/>
        </w:rPr>
        <w:t xml:space="preserve"> and </w:t>
      </w:r>
      <w:r w:rsidR="00E00F53" w:rsidRPr="001B3776">
        <w:rPr>
          <w:i/>
          <w:lang w:val="en-GB"/>
        </w:rPr>
        <w:t>H</w:t>
      </w:r>
      <w:r w:rsidR="00E00F53" w:rsidRPr="001B3776">
        <w:rPr>
          <w:vertAlign w:val="subscript"/>
          <w:lang w:val="en-GB"/>
        </w:rPr>
        <w:t>2</w:t>
      </w:r>
      <w:r w:rsidR="00E00F53" w:rsidRPr="001B3776">
        <w:rPr>
          <w:i/>
          <w:lang w:val="en-GB"/>
        </w:rPr>
        <w:t>O/CO</w:t>
      </w:r>
      <w:r w:rsidR="00E00F53" w:rsidRPr="001B3776">
        <w:rPr>
          <w:vertAlign w:val="subscript"/>
          <w:lang w:val="en-GB"/>
        </w:rPr>
        <w:t>2</w:t>
      </w:r>
      <w:r w:rsidR="00E00F53" w:rsidRPr="001B3776">
        <w:rPr>
          <w:lang w:val="en-GB"/>
        </w:rPr>
        <w:t xml:space="preserve"> </w:t>
      </w:r>
      <w:r w:rsidRPr="001B3776">
        <w:rPr>
          <w:lang w:val="en-GB"/>
        </w:rPr>
        <w:t xml:space="preserve">mixtures under high-pressure conditions (50 bar). It can be observed that bed saturation occurs more rapidly when </w:t>
      </w:r>
      <w:r w:rsidRPr="001B3776">
        <w:rPr>
          <w:i/>
          <w:lang w:val="en-GB"/>
        </w:rPr>
        <w:t>CO</w:t>
      </w:r>
      <w:r w:rsidRPr="001B3776">
        <w:rPr>
          <w:vertAlign w:val="subscript"/>
          <w:lang w:val="en-GB"/>
        </w:rPr>
        <w:t>2</w:t>
      </w:r>
      <w:r w:rsidRPr="001B3776">
        <w:rPr>
          <w:lang w:val="en-GB"/>
        </w:rPr>
        <w:t xml:space="preserve"> is present in the gas stream. This is attributed to the lower fugacity coefficient for water in the </w:t>
      </w:r>
      <w:r w:rsidRPr="001B3776">
        <w:rPr>
          <w:i/>
          <w:lang w:val="en-GB"/>
        </w:rPr>
        <w:t>H</w:t>
      </w:r>
      <w:r w:rsidRPr="001B3776">
        <w:rPr>
          <w:vertAlign w:val="subscript"/>
          <w:lang w:val="en-GB"/>
        </w:rPr>
        <w:t>2</w:t>
      </w:r>
      <w:r w:rsidRPr="001B3776">
        <w:rPr>
          <w:i/>
          <w:lang w:val="en-GB"/>
        </w:rPr>
        <w:t>O/CO</w:t>
      </w:r>
      <w:r w:rsidRPr="001B3776">
        <w:rPr>
          <w:vertAlign w:val="subscript"/>
          <w:lang w:val="en-GB"/>
        </w:rPr>
        <w:t>2</w:t>
      </w:r>
      <w:r w:rsidRPr="001B3776">
        <w:rPr>
          <w:lang w:val="en-GB"/>
        </w:rPr>
        <w:t xml:space="preserve"> mixture, which is 0.49, compared to the </w:t>
      </w:r>
      <w:r w:rsidRPr="001B3776">
        <w:rPr>
          <w:i/>
          <w:lang w:val="en-GB"/>
        </w:rPr>
        <w:t>H</w:t>
      </w:r>
      <w:r w:rsidRPr="001B3776">
        <w:rPr>
          <w:vertAlign w:val="subscript"/>
          <w:lang w:val="en-GB"/>
        </w:rPr>
        <w:t>2</w:t>
      </w:r>
      <w:r w:rsidRPr="001B3776">
        <w:rPr>
          <w:i/>
          <w:lang w:val="en-GB"/>
        </w:rPr>
        <w:t>O/N</w:t>
      </w:r>
      <w:r w:rsidRPr="00945D82">
        <w:rPr>
          <w:vertAlign w:val="subscript"/>
          <w:lang w:val="en-GB"/>
        </w:rPr>
        <w:t>2</w:t>
      </w:r>
      <w:r w:rsidRPr="001B3776">
        <w:rPr>
          <w:lang w:val="en-GB"/>
        </w:rPr>
        <w:t>, which is 0.75.</w:t>
      </w:r>
    </w:p>
    <w:p w14:paraId="144DE6AE" w14:textId="5D4BD68C" w:rsidR="008D2649" w:rsidRDefault="001B3776" w:rsidP="008D2649">
      <w:pPr>
        <w:pStyle w:val="Els-1storder-head"/>
        <w:spacing w:after="120"/>
        <w:rPr>
          <w:lang w:val="en-GB"/>
        </w:rPr>
      </w:pPr>
      <w:r>
        <w:rPr>
          <w:lang w:val="en-GB"/>
        </w:rPr>
        <w:t>Conclusion</w:t>
      </w:r>
    </w:p>
    <w:p w14:paraId="41729971" w14:textId="777EA105" w:rsidR="001B3776" w:rsidRPr="001B3776" w:rsidRDefault="001B3776" w:rsidP="001B3776">
      <w:pPr>
        <w:pStyle w:val="Els-body-text"/>
        <w:rPr>
          <w:lang w:val="en-GB"/>
        </w:rPr>
      </w:pPr>
      <w:r w:rsidRPr="001B3776">
        <w:rPr>
          <w:lang w:val="en-GB"/>
        </w:rPr>
        <w:t xml:space="preserve">A computational model was developed to simulate natural gas dehydration at high pressure in the presence of </w:t>
      </w:r>
      <w:r w:rsidRPr="001B3776">
        <w:rPr>
          <w:i/>
          <w:lang w:val="en-GB"/>
        </w:rPr>
        <w:t>CO</w:t>
      </w:r>
      <w:r w:rsidRPr="001B3776">
        <w:rPr>
          <w:vertAlign w:val="subscript"/>
          <w:lang w:val="en-GB"/>
        </w:rPr>
        <w:t>2</w:t>
      </w:r>
      <w:r w:rsidRPr="001B3776">
        <w:rPr>
          <w:lang w:val="en-GB"/>
        </w:rPr>
        <w:t>, using experimental data of zeolite 4A available in the literature. The model generated relevant breakthrough curves, and the results highlighted the crucial importance of calculating the fugacity coefficient in the operation time of the process. This consideration can lead to differences of up to 24 hours compared to models that do not consider this factor. A common area for improvement in the literature is using low-pressure data, extrapolating to high pressure with a correction only in the isotherm parameters, neglecting the correction in fugacity. As demonstrated in this work, this approach can lead to prediction errors, resulting in higher operational costs. Therefore,</w:t>
      </w:r>
      <w:r w:rsidR="00D85AFF">
        <w:rPr>
          <w:lang w:val="en-GB"/>
        </w:rPr>
        <w:t xml:space="preserve"> </w:t>
      </w:r>
      <w:r w:rsidRPr="001B3776">
        <w:rPr>
          <w:lang w:val="en-GB"/>
        </w:rPr>
        <w:t>the findings and information provided by the computational model contribute significantly to an enhanced understanding of natural gas dehydration processes.</w:t>
      </w:r>
    </w:p>
    <w:p w14:paraId="144DE6B5" w14:textId="50F3AF17" w:rsidR="008D2649" w:rsidRPr="00A94774" w:rsidRDefault="00FF6D3E" w:rsidP="008D2649">
      <w:pPr>
        <w:pStyle w:val="Els-1storder-head"/>
        <w:spacing w:after="120"/>
        <w:rPr>
          <w:lang w:val="en-GB"/>
        </w:rPr>
      </w:pPr>
      <w:r>
        <w:rPr>
          <w:lang w:val="en-GB"/>
        </w:rPr>
        <w:t>Acknowledgements</w:t>
      </w:r>
    </w:p>
    <w:p w14:paraId="144DE6B6" w14:textId="2C4CFCDF" w:rsidR="008D2649" w:rsidRPr="008B13DD" w:rsidRDefault="001B3776" w:rsidP="008D2649">
      <w:pPr>
        <w:pStyle w:val="Els-body-text"/>
        <w:spacing w:after="120"/>
        <w:rPr>
          <w:lang w:val="en-GB"/>
        </w:rPr>
      </w:pPr>
      <w:r w:rsidRPr="008B13DD">
        <w:rPr>
          <w:lang w:val="en-GB"/>
        </w:rPr>
        <w:t>The authors gratefully acknowledge</w:t>
      </w:r>
      <w:r w:rsidRPr="00945D82">
        <w:rPr>
          <w:lang w:val="pt-BR"/>
        </w:rPr>
        <w:t xml:space="preserve"> Conselho Nacional de Desenvolvimento Científico e Tecnológico (CNPq), </w:t>
      </w:r>
      <w:r w:rsidR="00955FC3" w:rsidRPr="00945D82">
        <w:rPr>
          <w:lang w:val="pt-BR"/>
        </w:rPr>
        <w:t>Fundação de Amparo à Pesquisa do Estado do Rio de Janeiro</w:t>
      </w:r>
      <w:r w:rsidR="00FD6AC4" w:rsidRPr="00945D82">
        <w:rPr>
          <w:lang w:val="pt-BR"/>
        </w:rPr>
        <w:t xml:space="preserve"> </w:t>
      </w:r>
      <w:r w:rsidR="00EB7F44" w:rsidRPr="00945D82">
        <w:rPr>
          <w:lang w:val="pt-BR"/>
        </w:rPr>
        <w:t>(FAPERJ)</w:t>
      </w:r>
      <w:r w:rsidR="00955FC3" w:rsidRPr="00945D82">
        <w:rPr>
          <w:lang w:val="pt-BR"/>
        </w:rPr>
        <w:t>,</w:t>
      </w:r>
      <w:r w:rsidR="00EB7F44" w:rsidRPr="00945D82">
        <w:rPr>
          <w:lang w:val="pt-BR"/>
        </w:rPr>
        <w:t xml:space="preserve"> </w:t>
      </w:r>
      <w:r w:rsidRPr="00945D82">
        <w:rPr>
          <w:lang w:val="pt-BR"/>
        </w:rPr>
        <w:t xml:space="preserve">Brazil, Coordenação de Aperfeiçoamento de Pessoal de Nível Superior (CAPES), </w:t>
      </w:r>
      <w:r w:rsidRPr="008B13DD">
        <w:rPr>
          <w:lang w:val="en-GB"/>
        </w:rPr>
        <w:t>Brazil, and</w:t>
      </w:r>
      <w:r w:rsidRPr="00945D82">
        <w:rPr>
          <w:lang w:val="pt-BR"/>
        </w:rPr>
        <w:t xml:space="preserve"> Petrobras-ANP (Agência Nacional do Petróleo) </w:t>
      </w:r>
      <w:r w:rsidRPr="008B13DD">
        <w:rPr>
          <w:lang w:val="en-GB"/>
        </w:rPr>
        <w:t>for the financial support.</w:t>
      </w:r>
    </w:p>
    <w:p w14:paraId="144DE6BF" w14:textId="608D0AD6" w:rsidR="008D2649" w:rsidRDefault="008D2649" w:rsidP="008D2649">
      <w:pPr>
        <w:pStyle w:val="Els-reference-head"/>
      </w:pPr>
      <w:r>
        <w:t>References</w:t>
      </w:r>
    </w:p>
    <w:p w14:paraId="018C60D8" w14:textId="47800462" w:rsidR="007411E6" w:rsidRPr="00945D82" w:rsidRDefault="007411E6" w:rsidP="00945D82">
      <w:pPr>
        <w:pStyle w:val="Els-referenceno-number"/>
        <w:spacing w:after="40"/>
        <w:ind w:left="284" w:hanging="284"/>
        <w:jc w:val="both"/>
        <w:rPr>
          <w:lang w:val="pt-BR"/>
        </w:rPr>
      </w:pPr>
      <w:r w:rsidRPr="00DC2212">
        <w:t xml:space="preserve">Berg, F., Pasel, C., Eckardt, T., &amp; Bathen, D. (2019). Temperature Swing Adsorption in natural gas processing: A concise overview. </w:t>
      </w:r>
      <w:r w:rsidRPr="00945D82">
        <w:rPr>
          <w:lang w:val="pt-BR"/>
        </w:rPr>
        <w:t>ChemBioEng Reviews, 6(3), 59-71.</w:t>
      </w:r>
    </w:p>
    <w:p w14:paraId="1AFD4A9C" w14:textId="1534ED7C" w:rsidR="007411E6" w:rsidRPr="00DC2212" w:rsidRDefault="007411E6" w:rsidP="00945D82">
      <w:pPr>
        <w:pStyle w:val="Els-referenceno-number"/>
        <w:spacing w:after="40"/>
        <w:ind w:left="284" w:hanging="284"/>
        <w:jc w:val="both"/>
      </w:pPr>
      <w:r w:rsidRPr="00945D82">
        <w:rPr>
          <w:lang w:val="pt-BR"/>
        </w:rPr>
        <w:t xml:space="preserve">Braun, F. E. (2019). Modelagem e otimização de projeto de unidades de desidratação de gás natural por adsorção. </w:t>
      </w:r>
      <w:r w:rsidRPr="00DC2212">
        <w:t>MSc Dissertation. Federal University of Rio de Janeiro, Brazil.</w:t>
      </w:r>
    </w:p>
    <w:p w14:paraId="740E6F28" w14:textId="47E2BAB7" w:rsidR="0088713D" w:rsidRPr="00DC2212" w:rsidRDefault="0063126E" w:rsidP="00945D82">
      <w:pPr>
        <w:pStyle w:val="Els-referenceno-number"/>
        <w:spacing w:after="40"/>
        <w:ind w:left="284" w:hanging="284"/>
        <w:jc w:val="both"/>
      </w:pPr>
      <w:r w:rsidRPr="00DC2212">
        <w:t>Gholami, M., Talaie, M. R., &amp; Roodpeyma, S. (2010). Mathematical modeling of gas dehydration using adsorption process. Chemical Engineering Science, 65(22), 5942-5949.</w:t>
      </w:r>
    </w:p>
    <w:p w14:paraId="5B356520" w14:textId="113F241D" w:rsidR="007411E6" w:rsidRPr="00DC2212" w:rsidRDefault="00D81C9A" w:rsidP="00945D82">
      <w:pPr>
        <w:pStyle w:val="Els-referenceno-number"/>
        <w:spacing w:after="40"/>
        <w:ind w:left="284" w:hanging="284"/>
        <w:jc w:val="both"/>
      </w:pPr>
      <w:r>
        <w:t>Cavalcante</w:t>
      </w:r>
      <w:r w:rsidR="0063126E" w:rsidRPr="00DC2212">
        <w:t xml:space="preserve">, </w:t>
      </w:r>
      <w:r w:rsidR="007411E6" w:rsidRPr="00DC2212">
        <w:t xml:space="preserve">C. J., &amp; </w:t>
      </w:r>
      <w:r>
        <w:t>Pessoa</w:t>
      </w:r>
      <w:r w:rsidR="0063126E" w:rsidRPr="00DC2212">
        <w:t>, P.</w:t>
      </w:r>
      <w:r w:rsidR="007411E6" w:rsidRPr="00DC2212">
        <w:t xml:space="preserve"> de A.</w:t>
      </w:r>
      <w:r w:rsidR="0063126E" w:rsidRPr="00DC2212">
        <w:t xml:space="preserve"> (2023). Modeling and simulation of an industrial adsorption process of dehydration of natural gas in 4A molecular s</w:t>
      </w:r>
      <w:r w:rsidR="007411E6" w:rsidRPr="00DC2212">
        <w:t>ieves</w:t>
      </w:r>
      <w:r w:rsidR="0063126E" w:rsidRPr="00DC2212">
        <w:t>. Results in Engineering, 18, 101144.</w:t>
      </w:r>
    </w:p>
    <w:p w14:paraId="7D6CD585" w14:textId="7EA93F2E" w:rsidR="007411E6" w:rsidRPr="00DC2212" w:rsidRDefault="007411E6" w:rsidP="00945D82">
      <w:pPr>
        <w:pStyle w:val="Els-referenceno-number"/>
        <w:spacing w:after="40"/>
        <w:ind w:left="284" w:hanging="284"/>
        <w:jc w:val="both"/>
      </w:pPr>
      <w:r w:rsidRPr="00DC2212">
        <w:t>Soares, R. D. P., &amp; Secchi, A. R. (2003). EMSO: A new environment for modelling, simulation and optimisation. In Computer Aided Chemical Engineering</w:t>
      </w:r>
      <w:r w:rsidR="008B13DD">
        <w:t>,</w:t>
      </w:r>
      <w:r w:rsidRPr="00DC2212">
        <w:t xml:space="preserve"> Vol. 14, pp. 947-952. Elsevier.</w:t>
      </w:r>
    </w:p>
    <w:p w14:paraId="21314014" w14:textId="3D5C7D5B" w:rsidR="0088713D" w:rsidRPr="00DC2212" w:rsidRDefault="007411E6" w:rsidP="00945D82">
      <w:pPr>
        <w:pStyle w:val="Els-referenceno-number"/>
        <w:spacing w:after="40"/>
        <w:ind w:left="284" w:hanging="284"/>
        <w:jc w:val="both"/>
      </w:pPr>
      <w:r w:rsidRPr="00DC2212">
        <w:t>Wilkins, N. S., Rajendran, A., &amp; Farooq, S. (2021). Dynamic column breakthrough experiments for measurement of adsorption equilibrium and kinetics. Adsorption, 27(3), 397-422.</w:t>
      </w:r>
    </w:p>
    <w:p w14:paraId="144DE6C3" w14:textId="19962C06" w:rsidR="008D2649" w:rsidRDefault="0088713D" w:rsidP="00E40176">
      <w:pPr>
        <w:pStyle w:val="Els-referenceno-number"/>
        <w:ind w:left="284" w:hanging="284"/>
        <w:jc w:val="both"/>
        <w:rPr>
          <w:lang w:val="en-US"/>
        </w:rPr>
      </w:pPr>
      <w:r w:rsidRPr="00DC2212">
        <w:rPr>
          <w:lang w:val="en-US"/>
        </w:rPr>
        <w:t>W</w:t>
      </w:r>
      <w:r w:rsidR="007411E6" w:rsidRPr="00DC2212">
        <w:rPr>
          <w:lang w:val="en-US"/>
        </w:rPr>
        <w:t>ynnyk</w:t>
      </w:r>
      <w:r w:rsidRPr="00DC2212">
        <w:rPr>
          <w:lang w:val="en-US"/>
        </w:rPr>
        <w:t xml:space="preserve">, K. G. </w:t>
      </w:r>
      <w:r w:rsidR="007411E6" w:rsidRPr="00DC2212">
        <w:rPr>
          <w:lang w:val="en-US"/>
        </w:rPr>
        <w:t xml:space="preserve">(2019). </w:t>
      </w:r>
      <w:r w:rsidRPr="00DC2212">
        <w:rPr>
          <w:lang w:val="en-US"/>
        </w:rPr>
        <w:t>High-pressure Adsorption Equilibria Aimed at Optimizing Sour Gas</w:t>
      </w:r>
      <w:r w:rsidR="008B13DD">
        <w:rPr>
          <w:lang w:val="en-US"/>
        </w:rPr>
        <w:t xml:space="preserve"> </w:t>
      </w:r>
      <w:r w:rsidRPr="00DC2212">
        <w:rPr>
          <w:lang w:val="en-US"/>
        </w:rPr>
        <w:t>Conditioning</w:t>
      </w:r>
      <w:r w:rsidR="007411E6" w:rsidRPr="00DC2212">
        <w:rPr>
          <w:lang w:val="en-US"/>
        </w:rPr>
        <w:t xml:space="preserve">. Thesis Phd. </w:t>
      </w:r>
      <w:r w:rsidRPr="00DC2212">
        <w:rPr>
          <w:lang w:val="en-US"/>
        </w:rPr>
        <w:t xml:space="preserve"> Universit</w:t>
      </w:r>
      <w:r w:rsidR="007411E6" w:rsidRPr="00DC2212">
        <w:rPr>
          <w:lang w:val="en-US"/>
        </w:rPr>
        <w:t>y of Calgary, AB, Canada.</w:t>
      </w:r>
    </w:p>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08262" w14:textId="77777777" w:rsidR="0029218F" w:rsidRDefault="0029218F">
      <w:r>
        <w:separator/>
      </w:r>
    </w:p>
  </w:endnote>
  <w:endnote w:type="continuationSeparator" w:id="0">
    <w:p w14:paraId="59EA5776" w14:textId="77777777" w:rsidR="0029218F" w:rsidRDefault="0029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BF9A6" w14:textId="77777777" w:rsidR="0029218F" w:rsidRDefault="0029218F">
      <w:r>
        <w:separator/>
      </w:r>
    </w:p>
  </w:footnote>
  <w:footnote w:type="continuationSeparator" w:id="0">
    <w:p w14:paraId="1B6CA3F6" w14:textId="77777777" w:rsidR="0029218F" w:rsidRDefault="0029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B1D26D4" w:rsidR="00D81C9A" w:rsidRPr="006A38A7" w:rsidRDefault="00D81C9A">
    <w:pPr>
      <w:pStyle w:val="Intestazione"/>
      <w:tabs>
        <w:tab w:val="clear" w:pos="7200"/>
        <w:tab w:val="right" w:pos="7088"/>
      </w:tabs>
      <w:rPr>
        <w:i/>
      </w:rPr>
    </w:pPr>
    <w:r>
      <w:rPr>
        <w:rStyle w:val="Numeropagina"/>
      </w:rPr>
      <w:tab/>
    </w:r>
    <w:r>
      <w:rPr>
        <w:rStyle w:val="Numeropagina"/>
        <w:i/>
      </w:rPr>
      <w:tab/>
    </w:r>
    <w:r w:rsidR="006A38A7" w:rsidRPr="006A38A7">
      <w:rPr>
        <w:i/>
        <w:lang w:val="pt-BR"/>
      </w:rPr>
      <w:t>Yuri Alves</w:t>
    </w:r>
    <w:r w:rsidR="006A38A7" w:rsidRPr="006A38A7">
      <w:rPr>
        <w:i/>
        <w:lang w:val="pt-BR"/>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7214ABC" w:rsidR="00D81C9A" w:rsidRDefault="006A38A7" w:rsidP="006A38A7">
    <w:pPr>
      <w:pStyle w:val="Els-Title"/>
      <w:rPr>
        <w:sz w:val="24"/>
      </w:rPr>
    </w:pPr>
    <w:r w:rsidRPr="006A38A7">
      <w:rPr>
        <w:b w:val="0"/>
        <w:i/>
        <w:color w:val="000000" w:themeColor="text1"/>
        <w:sz w:val="20"/>
        <w:lang w:val="en-GB"/>
      </w:rPr>
      <w:t>Modelling Natural Gas Dehydration by Adsorption under High CO</w:t>
    </w:r>
    <w:r w:rsidRPr="006A38A7">
      <w:rPr>
        <w:b w:val="0"/>
        <w:i/>
        <w:color w:val="000000" w:themeColor="text1"/>
        <w:sz w:val="20"/>
        <w:vertAlign w:val="subscript"/>
        <w:lang w:val="en-GB"/>
      </w:rPr>
      <w:t>2</w:t>
    </w:r>
    <w:r w:rsidRPr="006A38A7">
      <w:rPr>
        <w:b w:val="0"/>
        <w:i/>
        <w:color w:val="000000" w:themeColor="text1"/>
        <w:sz w:val="20"/>
        <w:lang w:val="en-GB"/>
      </w:rPr>
      <w:t xml:space="preserve"> Conditions</w:t>
    </w:r>
    <w:r w:rsidR="00D81C9A">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BEBC" w14:textId="77777777" w:rsidR="00E40176" w:rsidRPr="003B50B5" w:rsidRDefault="00E40176" w:rsidP="00E40176">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54E904B8" w:rsidR="00D81C9A" w:rsidRPr="00E40176" w:rsidRDefault="00E40176" w:rsidP="00E40176">
    <w:pPr>
      <w:pStyle w:val="Intestazione"/>
    </w:pPr>
    <w:r w:rsidRPr="001E6A29">
      <w:rPr>
        <w:sz w:val="18"/>
        <w:szCs w:val="18"/>
      </w:rPr>
      <w:t>© 202</w:t>
    </w:r>
    <w:r>
      <w:rPr>
        <w:sz w:val="18"/>
        <w:szCs w:val="18"/>
      </w:rPr>
      <w:t>4</w:t>
    </w:r>
    <w:r w:rsidRPr="001E6A29">
      <w:rPr>
        <w:sz w:val="18"/>
        <w:szCs w:val="18"/>
      </w:rPr>
      <w:t xml:space="preserve"> Elsevier B.V.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tzQxszC0MDMyNzNQ0lEKTi0uzszPAykwrAUAL1BAPCwAAAA="/>
  </w:docVars>
  <w:rsids>
    <w:rsidRoot w:val="00B63237"/>
    <w:rsid w:val="00027C31"/>
    <w:rsid w:val="0006244D"/>
    <w:rsid w:val="000B2B86"/>
    <w:rsid w:val="000D3D9B"/>
    <w:rsid w:val="000E3CA2"/>
    <w:rsid w:val="0015176D"/>
    <w:rsid w:val="00153BF9"/>
    <w:rsid w:val="0016032F"/>
    <w:rsid w:val="001879F6"/>
    <w:rsid w:val="001B1DE3"/>
    <w:rsid w:val="001B3776"/>
    <w:rsid w:val="001C0148"/>
    <w:rsid w:val="001C757E"/>
    <w:rsid w:val="001F624A"/>
    <w:rsid w:val="001F732C"/>
    <w:rsid w:val="0020390F"/>
    <w:rsid w:val="00263FCC"/>
    <w:rsid w:val="00264926"/>
    <w:rsid w:val="0029218F"/>
    <w:rsid w:val="002B5FA6"/>
    <w:rsid w:val="002D1328"/>
    <w:rsid w:val="002E538C"/>
    <w:rsid w:val="00344D01"/>
    <w:rsid w:val="00350742"/>
    <w:rsid w:val="003601F7"/>
    <w:rsid w:val="003A6B27"/>
    <w:rsid w:val="003D1582"/>
    <w:rsid w:val="003D7E4C"/>
    <w:rsid w:val="003E41C2"/>
    <w:rsid w:val="004320B5"/>
    <w:rsid w:val="004369DB"/>
    <w:rsid w:val="004628E9"/>
    <w:rsid w:val="00487CBD"/>
    <w:rsid w:val="00491D0B"/>
    <w:rsid w:val="0049772C"/>
    <w:rsid w:val="004A381D"/>
    <w:rsid w:val="004D582B"/>
    <w:rsid w:val="00507CB7"/>
    <w:rsid w:val="00511930"/>
    <w:rsid w:val="00515AB3"/>
    <w:rsid w:val="00552EEB"/>
    <w:rsid w:val="00567D93"/>
    <w:rsid w:val="00585F8D"/>
    <w:rsid w:val="005C2E80"/>
    <w:rsid w:val="005D18E5"/>
    <w:rsid w:val="005F71D8"/>
    <w:rsid w:val="0063126E"/>
    <w:rsid w:val="00642ED7"/>
    <w:rsid w:val="006A38A7"/>
    <w:rsid w:val="006A69BF"/>
    <w:rsid w:val="006C11D1"/>
    <w:rsid w:val="006D25A9"/>
    <w:rsid w:val="00711DF4"/>
    <w:rsid w:val="00732777"/>
    <w:rsid w:val="007411E6"/>
    <w:rsid w:val="007871BB"/>
    <w:rsid w:val="007A2915"/>
    <w:rsid w:val="007A6ED1"/>
    <w:rsid w:val="007B554E"/>
    <w:rsid w:val="007C79B6"/>
    <w:rsid w:val="007D70A1"/>
    <w:rsid w:val="007F0038"/>
    <w:rsid w:val="00811AB1"/>
    <w:rsid w:val="008132E8"/>
    <w:rsid w:val="00823407"/>
    <w:rsid w:val="00855D88"/>
    <w:rsid w:val="0086657C"/>
    <w:rsid w:val="00870A22"/>
    <w:rsid w:val="0088713D"/>
    <w:rsid w:val="00893E22"/>
    <w:rsid w:val="008A1E29"/>
    <w:rsid w:val="008B0184"/>
    <w:rsid w:val="008B13DD"/>
    <w:rsid w:val="008C5D02"/>
    <w:rsid w:val="008D20DE"/>
    <w:rsid w:val="008D2649"/>
    <w:rsid w:val="0090568D"/>
    <w:rsid w:val="009125C9"/>
    <w:rsid w:val="00913879"/>
    <w:rsid w:val="00917661"/>
    <w:rsid w:val="00945D82"/>
    <w:rsid w:val="00954C4B"/>
    <w:rsid w:val="00955FC3"/>
    <w:rsid w:val="00962C87"/>
    <w:rsid w:val="00970E5D"/>
    <w:rsid w:val="0097701C"/>
    <w:rsid w:val="00980A65"/>
    <w:rsid w:val="00A00CAA"/>
    <w:rsid w:val="00A136A3"/>
    <w:rsid w:val="00A25E70"/>
    <w:rsid w:val="00A33765"/>
    <w:rsid w:val="00A372CF"/>
    <w:rsid w:val="00A46099"/>
    <w:rsid w:val="00A63269"/>
    <w:rsid w:val="00A92377"/>
    <w:rsid w:val="00AB29ED"/>
    <w:rsid w:val="00AE4BD8"/>
    <w:rsid w:val="00B4388F"/>
    <w:rsid w:val="00B50558"/>
    <w:rsid w:val="00B63237"/>
    <w:rsid w:val="00C960DC"/>
    <w:rsid w:val="00CD4279"/>
    <w:rsid w:val="00D02C75"/>
    <w:rsid w:val="00D10E22"/>
    <w:rsid w:val="00D13D2C"/>
    <w:rsid w:val="00D46770"/>
    <w:rsid w:val="00D56F28"/>
    <w:rsid w:val="00D81C9A"/>
    <w:rsid w:val="00D82F8A"/>
    <w:rsid w:val="00D85AFF"/>
    <w:rsid w:val="00D86DF9"/>
    <w:rsid w:val="00DC2212"/>
    <w:rsid w:val="00DC2F94"/>
    <w:rsid w:val="00DD3D9E"/>
    <w:rsid w:val="00DD3FA4"/>
    <w:rsid w:val="00DD7908"/>
    <w:rsid w:val="00E00F53"/>
    <w:rsid w:val="00E36D68"/>
    <w:rsid w:val="00E40176"/>
    <w:rsid w:val="00E70746"/>
    <w:rsid w:val="00E82297"/>
    <w:rsid w:val="00E83F44"/>
    <w:rsid w:val="00EB7F44"/>
    <w:rsid w:val="00EC094D"/>
    <w:rsid w:val="00EC7A9C"/>
    <w:rsid w:val="00EF39FD"/>
    <w:rsid w:val="00F06842"/>
    <w:rsid w:val="00F107FD"/>
    <w:rsid w:val="00F273CE"/>
    <w:rsid w:val="00FB0CA0"/>
    <w:rsid w:val="00FB64A8"/>
    <w:rsid w:val="00FC3DEF"/>
    <w:rsid w:val="00FD6AC4"/>
    <w:rsid w:val="00FF6043"/>
    <w:rsid w:val="00FF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9AFABCFD-A8D8-4D4A-AE46-9268C13D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rsid w:val="007411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Corpotesto">
    <w:name w:val="Body Text"/>
    <w:basedOn w:val="Normale"/>
    <w:link w:val="CorpotestoCarattere"/>
    <w:semiHidden/>
    <w:unhideWhenUsed/>
    <w:rsid w:val="000E3CA2"/>
    <w:pPr>
      <w:spacing w:after="120"/>
    </w:pPr>
  </w:style>
  <w:style w:type="character" w:customStyle="1" w:styleId="CorpotestoCarattere">
    <w:name w:val="Corpo testo Carattere"/>
    <w:basedOn w:val="Carpredefinitoparagrafo"/>
    <w:link w:val="Corpotesto"/>
    <w:semiHidden/>
    <w:rsid w:val="000E3CA2"/>
    <w:rPr>
      <w:lang w:eastAsia="en-US"/>
    </w:rPr>
  </w:style>
  <w:style w:type="paragraph" w:styleId="Paragrafoelenco">
    <w:name w:val="List Paragraph"/>
    <w:basedOn w:val="Normale"/>
    <w:uiPriority w:val="34"/>
    <w:qFormat/>
    <w:rsid w:val="000E3CA2"/>
    <w:pPr>
      <w:ind w:left="720"/>
      <w:contextualSpacing/>
    </w:pPr>
  </w:style>
  <w:style w:type="character" w:styleId="Testosegnaposto">
    <w:name w:val="Placeholder Text"/>
    <w:basedOn w:val="Carpredefinitoparagrafo"/>
    <w:uiPriority w:val="99"/>
    <w:semiHidden/>
    <w:rsid w:val="0015176D"/>
    <w:rPr>
      <w:color w:val="808080"/>
    </w:rPr>
  </w:style>
  <w:style w:type="table" w:styleId="Grigliatabella">
    <w:name w:val="Table Grid"/>
    <w:basedOn w:val="Tabellanormale"/>
    <w:rsid w:val="0089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semiHidden/>
    <w:rsid w:val="007411E6"/>
    <w:rPr>
      <w:rFonts w:asciiTheme="majorHAnsi" w:eastAsiaTheme="majorEastAsia" w:hAnsiTheme="majorHAnsi" w:cstheme="majorBidi"/>
      <w:b/>
      <w:bCs/>
      <w:i/>
      <w:iCs/>
      <w:color w:val="4F81BD" w:themeColor="accent1"/>
      <w:lang w:eastAsia="en-US"/>
    </w:rPr>
  </w:style>
  <w:style w:type="paragraph" w:styleId="Revisione">
    <w:name w:val="Revision"/>
    <w:hidden/>
    <w:uiPriority w:val="99"/>
    <w:semiHidden/>
    <w:rsid w:val="00E4017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037C-A5D9-4CD0-B2C5-06C76560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13</TotalTime>
  <Pages>6</Pages>
  <Words>2339</Words>
  <Characters>13336</Characters>
  <Application>Microsoft Office Word</Application>
  <DocSecurity>0</DocSecurity>
  <Lines>111</Lines>
  <Paragraphs>31</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7</cp:revision>
  <cp:lastPrinted>2004-12-17T09:20:00Z</cp:lastPrinted>
  <dcterms:created xsi:type="dcterms:W3CDTF">2023-11-29T14:04:00Z</dcterms:created>
  <dcterms:modified xsi:type="dcterms:W3CDTF">2024-01-16T15:27:00Z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