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0C3ED00" w:rsidR="00DD3D9E" w:rsidRPr="00B4388F" w:rsidRDefault="002D3B3A">
      <w:pPr>
        <w:pStyle w:val="Els-Title"/>
        <w:rPr>
          <w:color w:val="000000" w:themeColor="text1"/>
        </w:rPr>
      </w:pPr>
      <w:r w:rsidRPr="002D3B3A">
        <w:rPr>
          <w:color w:val="000000" w:themeColor="text1"/>
        </w:rPr>
        <w:t>Modeling Fed-batch Cultures of Yeast for the Production of Heterologous Proteins - an Industrial Experimental Study</w:t>
      </w:r>
    </w:p>
    <w:p w14:paraId="67D50507" w14:textId="77777777" w:rsidR="00FE723A" w:rsidRPr="008F1252" w:rsidRDefault="00FE723A" w:rsidP="00FE723A">
      <w:pPr>
        <w:pStyle w:val="Els-Author"/>
        <w:spacing w:after="120" w:line="240" w:lineRule="auto"/>
        <w:jc w:val="both"/>
        <w:rPr>
          <w:lang w:val="en-US"/>
        </w:rPr>
      </w:pPr>
      <w:r w:rsidRPr="008F1252">
        <w:rPr>
          <w:lang w:val="en-US"/>
        </w:rPr>
        <w:t>Micaela Benavides</w:t>
      </w:r>
      <w:r w:rsidRPr="008F1252">
        <w:rPr>
          <w:vertAlign w:val="superscript"/>
          <w:lang w:val="en-US"/>
        </w:rPr>
        <w:t>a,b</w:t>
      </w:r>
      <w:r w:rsidRPr="008F1252">
        <w:rPr>
          <w:lang w:val="en-US"/>
        </w:rPr>
        <w:t>, Pascal Gerkens</w:t>
      </w:r>
      <w:r w:rsidRPr="008F1252">
        <w:rPr>
          <w:vertAlign w:val="superscript"/>
          <w:lang w:val="en-US"/>
        </w:rPr>
        <w:t>b</w:t>
      </w:r>
      <w:r w:rsidRPr="008F1252">
        <w:rPr>
          <w:lang w:val="en-US"/>
        </w:rPr>
        <w:t>, Gaël de Lannoy</w:t>
      </w:r>
      <w:r w:rsidRPr="008F1252">
        <w:rPr>
          <w:vertAlign w:val="superscript"/>
          <w:lang w:val="en-US"/>
        </w:rPr>
        <w:t>b</w:t>
      </w:r>
      <w:r w:rsidRPr="008F1252">
        <w:rPr>
          <w:lang w:val="en-US"/>
        </w:rPr>
        <w:t>, Laurent Dewasme</w:t>
      </w:r>
      <w:r w:rsidRPr="008F1252">
        <w:rPr>
          <w:vertAlign w:val="superscript"/>
          <w:lang w:val="en-US"/>
        </w:rPr>
        <w:t>a</w:t>
      </w:r>
      <w:r w:rsidRPr="008F1252">
        <w:rPr>
          <w:lang w:val="en-US"/>
        </w:rPr>
        <w:t xml:space="preserve"> and Alain Vande Wouwer</w:t>
      </w:r>
      <w:r w:rsidRPr="008F1252">
        <w:rPr>
          <w:vertAlign w:val="superscript"/>
          <w:lang w:val="en-US"/>
        </w:rPr>
        <w:t>a,*</w:t>
      </w:r>
    </w:p>
    <w:p w14:paraId="144DE681" w14:textId="3F86E1F1" w:rsidR="00DD3D9E" w:rsidRDefault="008F72A4">
      <w:pPr>
        <w:pStyle w:val="Els-Affiliation"/>
      </w:pPr>
      <w:r>
        <w:rPr>
          <w:spacing w:val="-2"/>
          <w:position w:val="7"/>
          <w:sz w:val="14"/>
        </w:rPr>
        <w:t>a</w:t>
      </w:r>
      <w:r>
        <w:rPr>
          <w:spacing w:val="-2"/>
        </w:rPr>
        <w:t>Systems, Estimation, Control</w:t>
      </w:r>
      <w:r>
        <w:rPr>
          <w:spacing w:val="-3"/>
        </w:rPr>
        <w:t xml:space="preserve"> </w:t>
      </w:r>
      <w:r>
        <w:rPr>
          <w:spacing w:val="-2"/>
        </w:rPr>
        <w:t>and</w:t>
      </w:r>
      <w:r>
        <w:rPr>
          <w:spacing w:val="-3"/>
        </w:rPr>
        <w:t xml:space="preserve"> </w:t>
      </w:r>
      <w:r>
        <w:rPr>
          <w:spacing w:val="-2"/>
        </w:rPr>
        <w:t>Optimization</w:t>
      </w:r>
      <w:r>
        <w:rPr>
          <w:spacing w:val="-3"/>
        </w:rPr>
        <w:t xml:space="preserve"> </w:t>
      </w:r>
      <w:r>
        <w:rPr>
          <w:spacing w:val="-2"/>
        </w:rPr>
        <w:t>(SECO),</w:t>
      </w:r>
      <w:r>
        <w:rPr>
          <w:spacing w:val="-3"/>
        </w:rPr>
        <w:t xml:space="preserve"> </w:t>
      </w:r>
      <w:r>
        <w:rPr>
          <w:spacing w:val="-2"/>
        </w:rPr>
        <w:t>University</w:t>
      </w:r>
      <w:r>
        <w:rPr>
          <w:spacing w:val="-3"/>
        </w:rPr>
        <w:t xml:space="preserve"> </w:t>
      </w:r>
      <w:r>
        <w:rPr>
          <w:spacing w:val="-2"/>
        </w:rPr>
        <w:t>of</w:t>
      </w:r>
      <w:r>
        <w:rPr>
          <w:spacing w:val="-3"/>
        </w:rPr>
        <w:t xml:space="preserve"> </w:t>
      </w:r>
      <w:r>
        <w:rPr>
          <w:spacing w:val="-2"/>
        </w:rPr>
        <w:t>Mons, 7000</w:t>
      </w:r>
      <w:r>
        <w:rPr>
          <w:spacing w:val="-3"/>
        </w:rPr>
        <w:t xml:space="preserve"> </w:t>
      </w:r>
      <w:r>
        <w:rPr>
          <w:spacing w:val="-2"/>
        </w:rPr>
        <w:t xml:space="preserve">Mons, Belgium </w:t>
      </w:r>
      <w:r>
        <w:rPr>
          <w:position w:val="7"/>
          <w:sz w:val="14"/>
        </w:rPr>
        <w:t>b</w:t>
      </w:r>
      <w:r>
        <w:t>GlaxoSmithKline, 1330 Rixensart, Belgium</w:t>
      </w:r>
      <w:r w:rsidR="00970761">
        <w:t xml:space="preserve"> </w:t>
      </w:r>
    </w:p>
    <w:p w14:paraId="144DE683" w14:textId="77C89AE0" w:rsidR="008D2649" w:rsidRPr="00D35B75" w:rsidRDefault="006B50F5" w:rsidP="008D2649">
      <w:pPr>
        <w:pStyle w:val="Els-Affiliation"/>
        <w:spacing w:after="120"/>
        <w:rPr>
          <w:lang w:val="fr-BE"/>
        </w:rPr>
      </w:pPr>
      <w:r w:rsidRPr="00D35B75">
        <w:rPr>
          <w:lang w:val="fr-BE"/>
        </w:rPr>
        <w:t xml:space="preserve">*alain.vandewouwer@umons.ac.be </w:t>
      </w:r>
    </w:p>
    <w:p w14:paraId="144DE684" w14:textId="77777777" w:rsidR="008D2649" w:rsidRPr="00D35B75" w:rsidRDefault="008D2649" w:rsidP="004C5FDC">
      <w:pPr>
        <w:pStyle w:val="Els-Abstract"/>
        <w:rPr>
          <w:lang w:val="fr-BE"/>
        </w:rPr>
      </w:pPr>
      <w:r w:rsidRPr="00D35B75">
        <w:rPr>
          <w:lang w:val="fr-BE"/>
        </w:rPr>
        <w:t>Abstract</w:t>
      </w:r>
    </w:p>
    <w:p w14:paraId="3DC918A1" w14:textId="11D776DD" w:rsidR="001B365F" w:rsidRDefault="001B365F" w:rsidP="008D2649">
      <w:pPr>
        <w:pStyle w:val="Els-body-text"/>
        <w:spacing w:after="120"/>
      </w:pPr>
      <w:r w:rsidRPr="00555AA5">
        <w:t xml:space="preserve">This work reports on the development of a dynamic model of yeast cultures based on a few industrial vaccine production data sets, hypothesizing on the structure of the kinetics, and testing various parametrizations. The proposed model describes the catabolism of a genetically modified strain of the yeast </w:t>
      </w:r>
      <w:r w:rsidRPr="00555AA5">
        <w:rPr>
          <w:i/>
        </w:rPr>
        <w:t>Saccharomyces cerevisiae</w:t>
      </w:r>
      <w:r w:rsidRPr="00555AA5">
        <w:t>. The main metabolic mechanisms are translated into simple multiplicative activation and inhibition kinetic factors, avoiding the use of nonlinear switching functions, and involving only a few measurable concentrations, i.e., biomass, glucose, and ethanol. A parameter identification study is carried out, based on the minimization of a non- linear least squares criterion, and taking measurement noise into account. A sensitivity analysis is performed, where the resulting Fisher Information Matrix is used to characterize the precision of the parameter estimates. A model extension, including dissolved oxygen, is also proposed as a promising alternative</w:t>
      </w:r>
      <w:r w:rsidR="002C33F9">
        <w:t>.</w:t>
      </w:r>
    </w:p>
    <w:p w14:paraId="144DE687" w14:textId="0C974D28" w:rsidR="008D2649" w:rsidRDefault="008D2649" w:rsidP="008D2649">
      <w:pPr>
        <w:pStyle w:val="Els-body-text"/>
        <w:spacing w:after="120"/>
        <w:rPr>
          <w:lang w:val="en-GB"/>
        </w:rPr>
      </w:pPr>
      <w:r>
        <w:rPr>
          <w:b/>
          <w:bCs/>
          <w:lang w:val="en-GB"/>
        </w:rPr>
        <w:t>Keywords</w:t>
      </w:r>
      <w:r>
        <w:rPr>
          <w:lang w:val="en-GB"/>
        </w:rPr>
        <w:t xml:space="preserve">: </w:t>
      </w:r>
      <w:r w:rsidR="00946A3C">
        <w:t>Mathematical</w:t>
      </w:r>
      <w:r w:rsidR="00946A3C">
        <w:rPr>
          <w:spacing w:val="-2"/>
        </w:rPr>
        <w:t xml:space="preserve"> </w:t>
      </w:r>
      <w:r w:rsidR="00946A3C">
        <w:t>Modeling, Parameter</w:t>
      </w:r>
      <w:r w:rsidR="00946A3C">
        <w:rPr>
          <w:spacing w:val="-2"/>
        </w:rPr>
        <w:t xml:space="preserve"> </w:t>
      </w:r>
      <w:r w:rsidR="00946A3C">
        <w:t xml:space="preserve">identification, Estimation, Biotechnology, </w:t>
      </w:r>
      <w:r w:rsidR="00946A3C">
        <w:rPr>
          <w:i/>
        </w:rPr>
        <w:t>Saccharomyces</w:t>
      </w:r>
      <w:r w:rsidR="00946A3C">
        <w:rPr>
          <w:i/>
          <w:spacing w:val="-2"/>
        </w:rPr>
        <w:t xml:space="preserve"> </w:t>
      </w:r>
      <w:r w:rsidR="00946A3C">
        <w:rPr>
          <w:i/>
        </w:rPr>
        <w:t>cerevisiae</w:t>
      </w:r>
      <w:r>
        <w:rPr>
          <w:lang w:val="en-GB"/>
        </w:rPr>
        <w:t>.</w:t>
      </w:r>
    </w:p>
    <w:p w14:paraId="144DE689" w14:textId="331AE369" w:rsidR="008D2649" w:rsidRDefault="002214F9" w:rsidP="008D2649">
      <w:pPr>
        <w:pStyle w:val="Els-1storder-head"/>
      </w:pPr>
      <w:r w:rsidRPr="00243789">
        <w:t>Introduction</w:t>
      </w:r>
    </w:p>
    <w:p w14:paraId="0F5FC358" w14:textId="77777777" w:rsidR="008908A5" w:rsidRDefault="008908A5" w:rsidP="008908A5">
      <w:pPr>
        <w:pStyle w:val="Els-body-text"/>
      </w:pPr>
      <w:r>
        <w:t xml:space="preserve">Antigen production is an essential step for vaccine development, usually achieved with the help of a vector such as a genetically modified yeast strain. The latter is cultivated in scaled-up bioreactors, where the prediction of critical compound concentration profiles can be achieved by dynamic process models. Following advanced genetic studies, the yeast </w:t>
      </w:r>
      <w:r w:rsidRPr="00361530">
        <w:rPr>
          <w:i/>
          <w:iCs/>
        </w:rPr>
        <w:t>S. cerevisiae</w:t>
      </w:r>
      <w:r>
        <w:t xml:space="preserve"> has been successfully modified </w:t>
      </w:r>
      <w:proofErr w:type="gramStart"/>
      <w:r>
        <w:t>for the production of</w:t>
      </w:r>
      <w:proofErr w:type="gramEnd"/>
      <w:r>
        <w:t xml:space="preserve"> recombinant vaccines (Silva et al., 2022).</w:t>
      </w:r>
    </w:p>
    <w:p w14:paraId="67D5BE90" w14:textId="77777777" w:rsidR="008908A5" w:rsidRDefault="008908A5" w:rsidP="008908A5">
      <w:pPr>
        <w:pStyle w:val="Els-body-text"/>
      </w:pPr>
      <w:r>
        <w:t>During culture scale-up, the bioreactor environmental conditions and the culture medium must meet some quality attributes, such as a high yield of recombinant protein expression and, in turn, vaccine efficiency (Vieira Gomes et al., 2018). One way to meet these conditions consists in controlling the input flow rate, based on a model-based feedback loop using the available measurements, i.e. biomass, substrate, ethanol, ammonium, and dissolved oxygen concentrations. However, all these state variables should be measurable online and, therefore, require expensive equipment. Software sensors are an interesting alternative, providing unmeasurable state estimates using the available mathematical models and measurement device configuration (Bogaerts and Vande Wouwer, 2003), (</w:t>
      </w:r>
      <w:proofErr w:type="spellStart"/>
      <w:r>
        <w:t>Dewasme</w:t>
      </w:r>
      <w:proofErr w:type="spellEnd"/>
      <w:r>
        <w:t xml:space="preserve"> et al., 2009).</w:t>
      </w:r>
    </w:p>
    <w:p w14:paraId="0DFC91FA" w14:textId="77777777" w:rsidR="008908A5" w:rsidRDefault="008908A5" w:rsidP="008908A5">
      <w:pPr>
        <w:pStyle w:val="Els-body-text"/>
      </w:pPr>
      <w:r>
        <w:t xml:space="preserve">The metabolism of </w:t>
      </w:r>
      <w:r w:rsidRPr="00906DB1">
        <w:rPr>
          <w:i/>
          <w:iCs/>
        </w:rPr>
        <w:t xml:space="preserve">S. cerevisiae </w:t>
      </w:r>
      <w:r>
        <w:t>is ruled by its respiratory capacity (</w:t>
      </w:r>
      <w:proofErr w:type="spellStart"/>
      <w:r>
        <w:t>Sonnleitner</w:t>
      </w:r>
      <w:proofErr w:type="spellEnd"/>
      <w:r>
        <w:t xml:space="preserve"> and </w:t>
      </w:r>
      <w:proofErr w:type="spellStart"/>
      <w:r>
        <w:t>Käppeli</w:t>
      </w:r>
      <w:proofErr w:type="spellEnd"/>
      <w:r>
        <w:t xml:space="preserve">, 1986). When operated at low glucose levels, the yeast culture oxidizes all the available glucose into biomass and carbon dioxide (CO2). This metabolic regime is called </w:t>
      </w:r>
      <w:proofErr w:type="spellStart"/>
      <w:r>
        <w:t>respirative</w:t>
      </w:r>
      <w:proofErr w:type="spellEnd"/>
      <w:r>
        <w:t xml:space="preserve"> and only a part of the respiratory capacity is used. When the respiratory capacity becomes insufficient to oxidize all the available glucose, and acts as a bottleneck, the yeast metabolism switches to the fermentation pathway, where the glucose excess </w:t>
      </w:r>
      <w:proofErr w:type="spellStart"/>
      <w:r>
        <w:lastRenderedPageBreak/>
        <w:t>fermentates</w:t>
      </w:r>
      <w:proofErr w:type="spellEnd"/>
      <w:r>
        <w:t xml:space="preserve"> into ethanol. This regime is also known as the Crabtree effect or overflow metabolism (Deken, 1966). It should be noticed that, in presence of ethanol, a switch back to the </w:t>
      </w:r>
      <w:proofErr w:type="spellStart"/>
      <w:r>
        <w:t>respirative</w:t>
      </w:r>
      <w:proofErr w:type="spellEnd"/>
      <w:r>
        <w:t xml:space="preserve"> regime leads to ethanol consumption, thanks to the remaining part of the respiratory capacity (Wills, 1990). Fed-batch applications often aim to avoid this “short-term Crabtree effect” by using exponential feeding to maintain a low glucose concentration during yeast cultivation (Patel and Thibault, 2009; </w:t>
      </w:r>
      <w:proofErr w:type="spellStart"/>
      <w:r>
        <w:t>Dewasme</w:t>
      </w:r>
      <w:proofErr w:type="spellEnd"/>
      <w:r>
        <w:t xml:space="preserve"> et al., 2011).</w:t>
      </w:r>
    </w:p>
    <w:p w14:paraId="2D78DA5F" w14:textId="77777777" w:rsidR="008908A5" w:rsidRDefault="008908A5" w:rsidP="008908A5">
      <w:pPr>
        <w:pStyle w:val="Els-body-text"/>
      </w:pPr>
      <w:r>
        <w:t xml:space="preserve">Several other models have been suggested to expand the unstructured model of </w:t>
      </w:r>
      <w:proofErr w:type="spellStart"/>
      <w:r>
        <w:t>Sonnleitner</w:t>
      </w:r>
      <w:proofErr w:type="spellEnd"/>
      <w:r>
        <w:t xml:space="preserve"> and </w:t>
      </w:r>
      <w:proofErr w:type="spellStart"/>
      <w:r>
        <w:t>Käppeli</w:t>
      </w:r>
      <w:proofErr w:type="spellEnd"/>
      <w:r>
        <w:t xml:space="preserve"> (1986). For instance, Richelle et al. (2014) have considered the consumption of nitrogen as an evident limiting factor of biomass growth and a responsible factor for the production of trehalose. However, most of these models consider short-term cultures, which usually do not allow triggering several metabolic switches, for instance leading to a second ethanol production phase as depicted in (</w:t>
      </w:r>
      <w:proofErr w:type="spellStart"/>
      <w:r>
        <w:t>Grosfils</w:t>
      </w:r>
      <w:proofErr w:type="spellEnd"/>
      <w:r>
        <w:t>, 2007).</w:t>
      </w:r>
    </w:p>
    <w:p w14:paraId="3CFDA50C" w14:textId="462BAC63" w:rsidR="008908A5" w:rsidRDefault="008908A5" w:rsidP="008908A5">
      <w:pPr>
        <w:pStyle w:val="Els-body-text"/>
      </w:pPr>
      <w:r>
        <w:t>The main motivation of this work is to present a mechanistic model of yeast culture experiments operated in fed-batch mode including several metabolic switches. In the next section, the experimental conditions are briefly described. Section 3 develops the model based on macroscopic mass balance equations and the selection of kinetic structures combining different modulation factors. Section 4 compares the most promising models and conclusions are drawn in section 5.</w:t>
      </w:r>
    </w:p>
    <w:p w14:paraId="35225357" w14:textId="1A9B4A4C" w:rsidR="008521DF" w:rsidRDefault="009D4D9C" w:rsidP="008D2649">
      <w:pPr>
        <w:pStyle w:val="Els-1storder-head"/>
      </w:pPr>
      <w:r w:rsidRPr="00BB46D4">
        <w:t>Materials and Methods</w:t>
      </w:r>
      <w:r>
        <w:t xml:space="preserve"> </w:t>
      </w:r>
    </w:p>
    <w:p w14:paraId="00E3FBEA" w14:textId="5AD4B7CB" w:rsidR="008521DF" w:rsidRDefault="008521DF" w:rsidP="008521DF">
      <w:pPr>
        <w:pStyle w:val="Els-body-text"/>
        <w:rPr>
          <w:lang w:val="en-GB"/>
        </w:rPr>
      </w:pPr>
      <w:r w:rsidRPr="00150FAC">
        <w:rPr>
          <w:lang w:val="en-GB"/>
        </w:rPr>
        <w:t xml:space="preserve">In this study, a recombinant yeast strain of </w:t>
      </w:r>
      <w:r w:rsidRPr="00361530">
        <w:rPr>
          <w:i/>
          <w:iCs/>
          <w:lang w:val="en-GB"/>
        </w:rPr>
        <w:t>S</w:t>
      </w:r>
      <w:r w:rsidR="00361530" w:rsidRPr="00361530">
        <w:rPr>
          <w:i/>
          <w:iCs/>
          <w:lang w:val="en-GB"/>
        </w:rPr>
        <w:t>.</w:t>
      </w:r>
      <w:r w:rsidRPr="00361530">
        <w:rPr>
          <w:i/>
          <w:iCs/>
          <w:lang w:val="en-GB"/>
        </w:rPr>
        <w:t xml:space="preserve"> cerevisiae</w:t>
      </w:r>
      <w:r w:rsidRPr="00150FAC">
        <w:rPr>
          <w:lang w:val="en-GB"/>
        </w:rPr>
        <w:t xml:space="preserve"> is cultivated in fed-batch mode. A total of three cultures have been conducted with an initial volume of 5.5 L, and a stirrer speed set to 260 rpm. The temperature was maintained at 30°C throughout all the experimental sessions, while the pH was regulated at 5, using a base solution. The bioreactor was equipped with an in-line pO2 sensor delivering dissolved oxygen in percents, a stirrer motor controlled to maintain this pO2 above 60%, and a peristaltic pump controlling the feed flow rate. The culture duration was set to 95 hours, and offline measurements of optical density, glucose, ethanol, and ammonium were taken every 2 hours. The optical density provides the concentration of biomass based on a dry weight calibration. The cultures were conducted in GSK laboratories, and any other detail remains confidential.</w:t>
      </w:r>
    </w:p>
    <w:p w14:paraId="144DE6A1" w14:textId="0864E7D7" w:rsidR="008D2649" w:rsidRPr="00A94774" w:rsidRDefault="004006E7" w:rsidP="00367AD3">
      <w:pPr>
        <w:pStyle w:val="Els-1storder-head"/>
        <w:rPr>
          <w:lang w:val="en-GB"/>
        </w:rPr>
      </w:pPr>
      <w:r w:rsidRPr="00BB46D4">
        <w:rPr>
          <w:lang w:val="en-GB"/>
        </w:rPr>
        <w:t>Model development</w:t>
      </w:r>
      <w:r w:rsidRPr="00A94774">
        <w:rPr>
          <w:lang w:val="en-GB"/>
        </w:rPr>
        <w:t xml:space="preserve"> </w:t>
      </w:r>
    </w:p>
    <w:p w14:paraId="2818E340" w14:textId="77777777" w:rsidR="00A739D6" w:rsidRPr="003F1033" w:rsidRDefault="00A739D6" w:rsidP="00A739D6">
      <w:pPr>
        <w:pStyle w:val="Els-body-text"/>
        <w:spacing w:after="80"/>
        <w:rPr>
          <w:lang w:val="en-GB"/>
        </w:rPr>
      </w:pPr>
      <w:r>
        <w:t>Two candidate models are proposed.</w:t>
      </w:r>
      <w:r>
        <w:rPr>
          <w:spacing w:val="40"/>
        </w:rPr>
        <w:t xml:space="preserve"> </w:t>
      </w:r>
      <w:r>
        <w:t>The first model (Model 1), considers three reactions with variables</w:t>
      </w:r>
      <w:r>
        <w:rPr>
          <w:spacing w:val="-10"/>
        </w:rPr>
        <w:t xml:space="preserve"> </w:t>
      </w:r>
      <w:r>
        <w:t>including</w:t>
      </w:r>
      <w:r>
        <w:rPr>
          <w:spacing w:val="-10"/>
        </w:rPr>
        <w:t xml:space="preserve"> </w:t>
      </w:r>
      <w:r>
        <w:t>biomass</w:t>
      </w:r>
      <w:r>
        <w:rPr>
          <w:spacing w:val="-10"/>
        </w:rPr>
        <w:t xml:space="preserve"> </w:t>
      </w:r>
      <w:r>
        <w:t>(X),</w:t>
      </w:r>
      <w:r>
        <w:rPr>
          <w:spacing w:val="-10"/>
        </w:rPr>
        <w:t xml:space="preserve"> </w:t>
      </w:r>
      <w:r>
        <w:t>glucose</w:t>
      </w:r>
      <w:r>
        <w:rPr>
          <w:spacing w:val="-10"/>
        </w:rPr>
        <w:t xml:space="preserve"> </w:t>
      </w:r>
      <w:r>
        <w:t>(S),</w:t>
      </w:r>
      <w:r>
        <w:rPr>
          <w:spacing w:val="-10"/>
        </w:rPr>
        <w:t xml:space="preserve"> </w:t>
      </w:r>
      <w:r>
        <w:t>and</w:t>
      </w:r>
      <w:r>
        <w:rPr>
          <w:spacing w:val="-10"/>
        </w:rPr>
        <w:t xml:space="preserve"> </w:t>
      </w:r>
      <w:r>
        <w:t>ethanol</w:t>
      </w:r>
      <w:r>
        <w:rPr>
          <w:spacing w:val="-10"/>
        </w:rPr>
        <w:t xml:space="preserve"> </w:t>
      </w:r>
      <w:r>
        <w:t>(E).</w:t>
      </w:r>
      <w:r>
        <w:rPr>
          <w:spacing w:val="-10"/>
        </w:rPr>
        <w:t xml:space="preserve"> </w:t>
      </w:r>
      <w:r>
        <w:t>This</w:t>
      </w:r>
      <w:r>
        <w:rPr>
          <w:spacing w:val="-10"/>
        </w:rPr>
        <w:t xml:space="preserve"> </w:t>
      </w:r>
      <w:r>
        <w:t>model</w:t>
      </w:r>
      <w:r>
        <w:rPr>
          <w:spacing w:val="-10"/>
        </w:rPr>
        <w:t xml:space="preserve"> </w:t>
      </w:r>
      <w:r>
        <w:t>counts</w:t>
      </w:r>
      <w:r>
        <w:rPr>
          <w:spacing w:val="-10"/>
        </w:rPr>
        <w:t xml:space="preserve"> </w:t>
      </w:r>
      <w:r>
        <w:t>13</w:t>
      </w:r>
      <w:r>
        <w:rPr>
          <w:spacing w:val="-10"/>
        </w:rPr>
        <w:t xml:space="preserve"> </w:t>
      </w:r>
      <w:r>
        <w:t>parameters</w:t>
      </w:r>
      <w:r>
        <w:rPr>
          <w:spacing w:val="-10"/>
        </w:rPr>
        <w:t xml:space="preserve"> </w:t>
      </w:r>
      <w:r>
        <w:t>to be</w:t>
      </w:r>
      <w:r>
        <w:rPr>
          <w:spacing w:val="-8"/>
        </w:rPr>
        <w:t xml:space="preserve"> </w:t>
      </w:r>
      <w:r>
        <w:t>estimated. Model</w:t>
      </w:r>
      <w:r>
        <w:rPr>
          <w:spacing w:val="-8"/>
        </w:rPr>
        <w:t xml:space="preserve"> </w:t>
      </w:r>
      <w:r>
        <w:t>2</w:t>
      </w:r>
      <w:r>
        <w:rPr>
          <w:spacing w:val="-8"/>
        </w:rPr>
        <w:t xml:space="preserve"> </w:t>
      </w:r>
      <w:r>
        <w:t>simplifies</w:t>
      </w:r>
      <w:r>
        <w:rPr>
          <w:spacing w:val="-8"/>
        </w:rPr>
        <w:t xml:space="preserve"> </w:t>
      </w:r>
      <w:r>
        <w:t>the</w:t>
      </w:r>
      <w:r>
        <w:rPr>
          <w:spacing w:val="-8"/>
        </w:rPr>
        <w:t xml:space="preserve"> </w:t>
      </w:r>
      <w:r>
        <w:t>process</w:t>
      </w:r>
      <w:r>
        <w:rPr>
          <w:spacing w:val="-8"/>
        </w:rPr>
        <w:t xml:space="preserve"> </w:t>
      </w:r>
      <w:r>
        <w:t>description</w:t>
      </w:r>
      <w:r>
        <w:rPr>
          <w:spacing w:val="-8"/>
        </w:rPr>
        <w:t xml:space="preserve"> </w:t>
      </w:r>
      <w:r>
        <w:t>by</w:t>
      </w:r>
      <w:r>
        <w:rPr>
          <w:spacing w:val="-8"/>
        </w:rPr>
        <w:t xml:space="preserve"> </w:t>
      </w:r>
      <w:r>
        <w:t>using</w:t>
      </w:r>
      <w:r>
        <w:rPr>
          <w:spacing w:val="-8"/>
        </w:rPr>
        <w:t xml:space="preserve"> </w:t>
      </w:r>
      <w:r>
        <w:t>only</w:t>
      </w:r>
      <w:r>
        <w:rPr>
          <w:spacing w:val="-8"/>
        </w:rPr>
        <w:t xml:space="preserve"> </w:t>
      </w:r>
      <w:r>
        <w:t>two</w:t>
      </w:r>
      <w:r>
        <w:rPr>
          <w:spacing w:val="-8"/>
        </w:rPr>
        <w:t xml:space="preserve"> </w:t>
      </w:r>
      <w:r>
        <w:t>reactions</w:t>
      </w:r>
      <w:r>
        <w:rPr>
          <w:spacing w:val="-8"/>
        </w:rPr>
        <w:t xml:space="preserve"> </w:t>
      </w:r>
      <w:r>
        <w:t>and</w:t>
      </w:r>
      <w:r>
        <w:rPr>
          <w:spacing w:val="-8"/>
        </w:rPr>
        <w:t xml:space="preserve"> </w:t>
      </w:r>
      <w:r>
        <w:t>incorporates oxygen information.</w:t>
      </w:r>
    </w:p>
    <w:p w14:paraId="5DD2CFBC" w14:textId="77777777" w:rsidR="00A739D6" w:rsidRPr="003F1033" w:rsidRDefault="00A739D6" w:rsidP="00A739D6">
      <w:pPr>
        <w:pStyle w:val="Els-2ndorder-head"/>
        <w:spacing w:after="60"/>
        <w:rPr>
          <w:lang w:val="en-GB"/>
        </w:rPr>
      </w:pPr>
      <w:r>
        <w:t>Model 1</w:t>
      </w:r>
    </w:p>
    <w:p w14:paraId="7B78560E" w14:textId="77777777" w:rsidR="00A739D6" w:rsidRDefault="00A739D6" w:rsidP="00A739D6">
      <w:pPr>
        <w:pStyle w:val="BodyText"/>
        <w:spacing w:after="80" w:line="249" w:lineRule="auto"/>
        <w:jc w:val="both"/>
      </w:pPr>
      <w:bookmarkStart w:id="0" w:name="._Model_1"/>
      <w:bookmarkEnd w:id="0"/>
      <w:r>
        <w:t>Model</w:t>
      </w:r>
      <w:r>
        <w:rPr>
          <w:spacing w:val="-1"/>
        </w:rPr>
        <w:t xml:space="preserve"> </w:t>
      </w:r>
      <w:r>
        <w:t>1 focuses</w:t>
      </w:r>
      <w:r>
        <w:rPr>
          <w:spacing w:val="-1"/>
        </w:rPr>
        <w:t xml:space="preserve"> </w:t>
      </w:r>
      <w:r>
        <w:t>on the</w:t>
      </w:r>
      <w:r>
        <w:rPr>
          <w:spacing w:val="-1"/>
        </w:rPr>
        <w:t xml:space="preserve"> </w:t>
      </w:r>
      <w:r>
        <w:t>macroscopic description</w:t>
      </w:r>
      <w:r>
        <w:rPr>
          <w:spacing w:val="-1"/>
        </w:rPr>
        <w:t xml:space="preserve"> </w:t>
      </w:r>
      <w:r>
        <w:t>of</w:t>
      </w:r>
      <w:r>
        <w:rPr>
          <w:spacing w:val="-1"/>
        </w:rPr>
        <w:t xml:space="preserve"> </w:t>
      </w:r>
      <w:r>
        <w:t xml:space="preserve">both </w:t>
      </w:r>
      <w:proofErr w:type="spellStart"/>
      <w:r>
        <w:t>respirative</w:t>
      </w:r>
      <w:proofErr w:type="spellEnd"/>
      <w:r>
        <w:rPr>
          <w:spacing w:val="-1"/>
        </w:rPr>
        <w:t xml:space="preserve"> </w:t>
      </w:r>
      <w:r>
        <w:t xml:space="preserve">and fermentative regimes, as shown in Table </w:t>
      </w:r>
      <w:hyperlink w:anchor="_bookmark0" w:history="1">
        <w:r>
          <w:t>1.</w:t>
        </w:r>
      </w:hyperlink>
      <w:r>
        <w:rPr>
          <w:spacing w:val="40"/>
        </w:rPr>
        <w:t xml:space="preserve"> </w:t>
      </w:r>
      <w:r>
        <w:t>The first reaction considers glucose oxidation, the second reaction describes the</w:t>
      </w:r>
      <w:r>
        <w:rPr>
          <w:spacing w:val="-11"/>
        </w:rPr>
        <w:t xml:space="preserve"> </w:t>
      </w:r>
      <w:proofErr w:type="spellStart"/>
      <w:r>
        <w:t>respiro</w:t>
      </w:r>
      <w:proofErr w:type="spellEnd"/>
      <w:r>
        <w:t>-fermentative</w:t>
      </w:r>
      <w:r>
        <w:rPr>
          <w:spacing w:val="-12"/>
        </w:rPr>
        <w:t xml:space="preserve"> </w:t>
      </w:r>
      <w:r>
        <w:t>pathway</w:t>
      </w:r>
      <w:r>
        <w:rPr>
          <w:spacing w:val="-11"/>
        </w:rPr>
        <w:t xml:space="preserve"> </w:t>
      </w:r>
      <w:r>
        <w:t>while</w:t>
      </w:r>
      <w:r>
        <w:rPr>
          <w:spacing w:val="-11"/>
        </w:rPr>
        <w:t xml:space="preserve"> </w:t>
      </w:r>
      <w:r>
        <w:t>the</w:t>
      </w:r>
      <w:r>
        <w:rPr>
          <w:spacing w:val="-12"/>
        </w:rPr>
        <w:t xml:space="preserve"> </w:t>
      </w:r>
      <w:r>
        <w:t>third</w:t>
      </w:r>
      <w:r>
        <w:rPr>
          <w:spacing w:val="-11"/>
        </w:rPr>
        <w:t xml:space="preserve"> </w:t>
      </w:r>
      <w:r>
        <w:t>reaction</w:t>
      </w:r>
      <w:r>
        <w:rPr>
          <w:spacing w:val="-11"/>
        </w:rPr>
        <w:t xml:space="preserve"> </w:t>
      </w:r>
      <w:r>
        <w:t>considers</w:t>
      </w:r>
      <w:r>
        <w:rPr>
          <w:spacing w:val="-12"/>
        </w:rPr>
        <w:t xml:space="preserve"> </w:t>
      </w:r>
      <w:r>
        <w:t>the</w:t>
      </w:r>
      <w:r>
        <w:rPr>
          <w:spacing w:val="-11"/>
        </w:rPr>
        <w:t xml:space="preserve"> </w:t>
      </w:r>
      <w:r>
        <w:t>possible</w:t>
      </w:r>
      <w:r>
        <w:rPr>
          <w:spacing w:val="-11"/>
        </w:rPr>
        <w:t xml:space="preserve"> </w:t>
      </w:r>
      <w:r>
        <w:t>ethanol consumption.</w:t>
      </w:r>
      <w:r>
        <w:rPr>
          <w:spacing w:val="30"/>
        </w:rPr>
        <w:t xml:space="preserve"> </w:t>
      </w:r>
      <w:r>
        <w:t xml:space="preserve">The first and third reactions occur in the </w:t>
      </w:r>
      <w:proofErr w:type="spellStart"/>
      <w:r>
        <w:t>respirative</w:t>
      </w:r>
      <w:proofErr w:type="spellEnd"/>
      <w:r>
        <w:t xml:space="preserve"> regime while the first and second ones correspond to the fermentative regime.</w:t>
      </w:r>
    </w:p>
    <w:p w14:paraId="528A5377" w14:textId="77777777" w:rsidR="00A739D6" w:rsidRDefault="00A739D6" w:rsidP="00A739D6">
      <w:pPr>
        <w:pStyle w:val="Els-body-text"/>
        <w:spacing w:after="80"/>
        <w:rPr>
          <w:spacing w:val="-2"/>
        </w:rPr>
      </w:pPr>
      <w:r>
        <w:t>The</w:t>
      </w:r>
      <w:r>
        <w:rPr>
          <w:spacing w:val="-13"/>
        </w:rPr>
        <w:t xml:space="preserve"> </w:t>
      </w:r>
      <w:r>
        <w:t>first</w:t>
      </w:r>
      <w:r>
        <w:rPr>
          <w:spacing w:val="-12"/>
        </w:rPr>
        <w:t xml:space="preserve"> </w:t>
      </w:r>
      <w:r>
        <w:t>reaction</w:t>
      </w:r>
      <w:r>
        <w:rPr>
          <w:spacing w:val="-13"/>
        </w:rPr>
        <w:t xml:space="preserve"> </w:t>
      </w:r>
      <w:r>
        <w:t>rate</w:t>
      </w:r>
      <w:r>
        <w:rPr>
          <w:spacing w:val="-12"/>
        </w:rPr>
        <w:t xml:space="preserve"> </w:t>
      </w:r>
      <w:r>
        <w:rPr>
          <w:i/>
        </w:rPr>
        <w:t>r</w:t>
      </w:r>
      <w:r>
        <w:rPr>
          <w:vertAlign w:val="subscript"/>
        </w:rPr>
        <w:t>1</w:t>
      </w:r>
      <w:r>
        <w:rPr>
          <w:spacing w:val="-4"/>
        </w:rPr>
        <w:t xml:space="preserve"> </w:t>
      </w:r>
      <w:r>
        <w:t>considers</w:t>
      </w:r>
      <w:r>
        <w:rPr>
          <w:spacing w:val="-13"/>
        </w:rPr>
        <w:t xml:space="preserve"> </w:t>
      </w:r>
      <w:r>
        <w:t>Monod</w:t>
      </w:r>
      <w:r>
        <w:rPr>
          <w:spacing w:val="-12"/>
        </w:rPr>
        <w:t xml:space="preserve"> </w:t>
      </w:r>
      <w:r>
        <w:t>kinetics</w:t>
      </w:r>
      <w:r>
        <w:rPr>
          <w:spacing w:val="-13"/>
        </w:rPr>
        <w:t xml:space="preserve"> </w:t>
      </w:r>
      <w:r>
        <w:t>to</w:t>
      </w:r>
      <w:r>
        <w:rPr>
          <w:spacing w:val="-12"/>
        </w:rPr>
        <w:t xml:space="preserve"> </w:t>
      </w:r>
      <w:r>
        <w:t>describe</w:t>
      </w:r>
      <w:r>
        <w:rPr>
          <w:spacing w:val="-13"/>
        </w:rPr>
        <w:t xml:space="preserve"> </w:t>
      </w:r>
      <w:r>
        <w:t>glucose</w:t>
      </w:r>
      <w:r>
        <w:rPr>
          <w:spacing w:val="-12"/>
        </w:rPr>
        <w:t xml:space="preserve"> </w:t>
      </w:r>
      <w:r>
        <w:t>uptake,</w:t>
      </w:r>
      <w:r>
        <w:rPr>
          <w:spacing w:val="-12"/>
        </w:rPr>
        <w:t xml:space="preserve"> </w:t>
      </w:r>
      <w:r>
        <w:t>limited</w:t>
      </w:r>
      <w:r>
        <w:rPr>
          <w:spacing w:val="-13"/>
        </w:rPr>
        <w:t xml:space="preserve"> </w:t>
      </w:r>
      <w:r>
        <w:t>by</w:t>
      </w:r>
      <w:r>
        <w:rPr>
          <w:spacing w:val="-12"/>
        </w:rPr>
        <w:t xml:space="preserve"> </w:t>
      </w:r>
      <w:r>
        <w:t>the</w:t>
      </w:r>
      <w:r>
        <w:rPr>
          <w:spacing w:val="-13"/>
        </w:rPr>
        <w:t xml:space="preserve"> </w:t>
      </w:r>
      <w:r>
        <w:t>available</w:t>
      </w:r>
      <w:r>
        <w:rPr>
          <w:spacing w:val="-8"/>
        </w:rPr>
        <w:t xml:space="preserve"> </w:t>
      </w:r>
      <w:r>
        <w:t>respiratory</w:t>
      </w:r>
      <w:r>
        <w:rPr>
          <w:spacing w:val="-8"/>
        </w:rPr>
        <w:t xml:space="preserve"> </w:t>
      </w:r>
      <w:r>
        <w:t>capacity</w:t>
      </w:r>
      <w:r>
        <w:rPr>
          <w:spacing w:val="-8"/>
        </w:rPr>
        <w:t xml:space="preserve"> </w:t>
      </w:r>
      <w:r>
        <w:t>either</w:t>
      </w:r>
      <w:r>
        <w:rPr>
          <w:spacing w:val="-8"/>
        </w:rPr>
        <w:t xml:space="preserve"> </w:t>
      </w:r>
      <w:r>
        <w:t>inhibited</w:t>
      </w:r>
      <w:r>
        <w:rPr>
          <w:spacing w:val="-8"/>
        </w:rPr>
        <w:t xml:space="preserve"> </w:t>
      </w:r>
      <w:r>
        <w:t>by</w:t>
      </w:r>
      <w:r>
        <w:rPr>
          <w:spacing w:val="-8"/>
        </w:rPr>
        <w:t xml:space="preserve"> </w:t>
      </w:r>
      <w:r>
        <w:t>the</w:t>
      </w:r>
      <w:r>
        <w:rPr>
          <w:spacing w:val="-8"/>
        </w:rPr>
        <w:t xml:space="preserve"> </w:t>
      </w:r>
      <w:r>
        <w:t>biomass</w:t>
      </w:r>
      <w:r>
        <w:rPr>
          <w:spacing w:val="-8"/>
        </w:rPr>
        <w:t xml:space="preserve"> </w:t>
      </w:r>
      <w:r>
        <w:t>density</w:t>
      </w:r>
      <w:r>
        <w:rPr>
          <w:spacing w:val="-8"/>
        </w:rPr>
        <w:t xml:space="preserve"> </w:t>
      </w:r>
      <w:r>
        <w:t>(second</w:t>
      </w:r>
      <w:r>
        <w:rPr>
          <w:spacing w:val="-8"/>
        </w:rPr>
        <w:t xml:space="preserve"> </w:t>
      </w:r>
      <w:r>
        <w:t>factor)</w:t>
      </w:r>
      <w:r>
        <w:rPr>
          <w:spacing w:val="-8"/>
        </w:rPr>
        <w:t xml:space="preserve"> </w:t>
      </w:r>
      <w:r>
        <w:t>or</w:t>
      </w:r>
      <w:r>
        <w:rPr>
          <w:spacing w:val="-8"/>
        </w:rPr>
        <w:t xml:space="preserve"> </w:t>
      </w:r>
      <w:r>
        <w:t>the</w:t>
      </w:r>
      <w:r>
        <w:rPr>
          <w:spacing w:val="-8"/>
        </w:rPr>
        <w:t xml:space="preserve"> </w:t>
      </w:r>
      <w:r>
        <w:t>presence</w:t>
      </w:r>
      <w:r>
        <w:rPr>
          <w:spacing w:val="-8"/>
        </w:rPr>
        <w:t xml:space="preserve"> </w:t>
      </w:r>
      <w:r>
        <w:t>of ethanol (third factor).</w:t>
      </w:r>
      <w:r>
        <w:rPr>
          <w:spacing w:val="28"/>
        </w:rPr>
        <w:t xml:space="preserve"> </w:t>
      </w:r>
      <w:r>
        <w:t xml:space="preserve">The second reaction rate </w:t>
      </w:r>
      <w:r>
        <w:rPr>
          <w:i/>
        </w:rPr>
        <w:t>r</w:t>
      </w:r>
      <w:r>
        <w:rPr>
          <w:vertAlign w:val="subscript"/>
        </w:rPr>
        <w:t>2</w:t>
      </w:r>
      <w:r>
        <w:t xml:space="preserve"> is also ruled by a Monod factor related to glucose</w:t>
      </w:r>
      <w:r>
        <w:rPr>
          <w:spacing w:val="1"/>
        </w:rPr>
        <w:t xml:space="preserve"> </w:t>
      </w:r>
      <w:r>
        <w:t>uptake</w:t>
      </w:r>
      <w:r>
        <w:rPr>
          <w:spacing w:val="1"/>
        </w:rPr>
        <w:t xml:space="preserve"> </w:t>
      </w:r>
      <w:r>
        <w:t>and</w:t>
      </w:r>
      <w:r>
        <w:rPr>
          <w:spacing w:val="2"/>
        </w:rPr>
        <w:t xml:space="preserve"> </w:t>
      </w:r>
      <w:r>
        <w:t>limited</w:t>
      </w:r>
      <w:r>
        <w:rPr>
          <w:spacing w:val="1"/>
        </w:rPr>
        <w:t xml:space="preserve"> </w:t>
      </w:r>
      <w:r>
        <w:t>by</w:t>
      </w:r>
      <w:r>
        <w:rPr>
          <w:spacing w:val="2"/>
        </w:rPr>
        <w:t xml:space="preserve"> </w:t>
      </w:r>
      <w:r>
        <w:t>the</w:t>
      </w:r>
      <w:r>
        <w:rPr>
          <w:spacing w:val="1"/>
        </w:rPr>
        <w:t xml:space="preserve"> </w:t>
      </w:r>
      <w:r>
        <w:t>respiratory</w:t>
      </w:r>
      <w:r>
        <w:rPr>
          <w:spacing w:val="1"/>
        </w:rPr>
        <w:t xml:space="preserve"> </w:t>
      </w:r>
      <w:r>
        <w:t>capacity</w:t>
      </w:r>
      <w:r>
        <w:rPr>
          <w:spacing w:val="2"/>
        </w:rPr>
        <w:t xml:space="preserve"> </w:t>
      </w:r>
      <w:r>
        <w:t>depending</w:t>
      </w:r>
      <w:r>
        <w:rPr>
          <w:spacing w:val="1"/>
        </w:rPr>
        <w:t xml:space="preserve"> </w:t>
      </w:r>
      <w:r>
        <w:t>on</w:t>
      </w:r>
      <w:r>
        <w:rPr>
          <w:spacing w:val="2"/>
        </w:rPr>
        <w:t xml:space="preserve"> </w:t>
      </w:r>
      <w:r>
        <w:t>the</w:t>
      </w:r>
      <w:r>
        <w:rPr>
          <w:spacing w:val="1"/>
        </w:rPr>
        <w:t xml:space="preserve"> </w:t>
      </w:r>
      <w:r>
        <w:t>biomass</w:t>
      </w:r>
      <w:r>
        <w:rPr>
          <w:spacing w:val="1"/>
        </w:rPr>
        <w:t xml:space="preserve"> </w:t>
      </w:r>
      <w:r>
        <w:t>density.</w:t>
      </w:r>
      <w:r>
        <w:rPr>
          <w:spacing w:val="27"/>
        </w:rPr>
        <w:t xml:space="preserve"> </w:t>
      </w:r>
      <w:r>
        <w:t xml:space="preserve">The </w:t>
      </w:r>
      <w:r>
        <w:rPr>
          <w:spacing w:val="-2"/>
        </w:rPr>
        <w:t xml:space="preserve">third </w:t>
      </w:r>
      <w:r w:rsidRPr="003F1033">
        <w:rPr>
          <w:spacing w:val="-2"/>
        </w:rPr>
        <w:t xml:space="preserve">reaction rate </w:t>
      </w:r>
      <w:r w:rsidRPr="00E51A42">
        <w:rPr>
          <w:i/>
          <w:spacing w:val="-2"/>
        </w:rPr>
        <w:t>r</w:t>
      </w:r>
      <w:r w:rsidRPr="00E51A42">
        <w:rPr>
          <w:i/>
          <w:spacing w:val="-2"/>
          <w:vertAlign w:val="subscript"/>
        </w:rPr>
        <w:t>3</w:t>
      </w:r>
      <w:r w:rsidRPr="003F1033">
        <w:rPr>
          <w:spacing w:val="-2"/>
        </w:rPr>
        <w:t xml:space="preserve"> is driven by the presence of ethanol using Monod kinetics, a respiratory capacity limitation factor comparable to reactions 1 and 2, and an inhibition factor by substrate, explaining the preferential selection, as main substrate, of glucose over ethanol.</w:t>
      </w:r>
    </w:p>
    <w:p w14:paraId="058A5CDB" w14:textId="22FF5A4D" w:rsidR="00A739D6" w:rsidRDefault="00A739D6" w:rsidP="00A739D6">
      <w:pPr>
        <w:pStyle w:val="Els-body-text"/>
        <w:rPr>
          <w:spacing w:val="-2"/>
        </w:rPr>
      </w:pPr>
      <w:r w:rsidRPr="003F1033">
        <w:rPr>
          <w:spacing w:val="-2"/>
        </w:rPr>
        <w:lastRenderedPageBreak/>
        <w:t xml:space="preserve">Mass balance is applied to each macro-reaction, yielding a differential equation system </w:t>
      </w:r>
      <w:proofErr w:type="spellStart"/>
      <w:r w:rsidRPr="003F1033">
        <w:rPr>
          <w:spacing w:val="-2"/>
        </w:rPr>
        <w:t>eqs</w:t>
      </w:r>
      <w:proofErr w:type="spellEnd"/>
      <w:r w:rsidRPr="003F1033">
        <w:rPr>
          <w:spacing w:val="-2"/>
        </w:rPr>
        <w:t xml:space="preserve">. (4) to (6). </w:t>
      </w:r>
      <m:oMath>
        <m:r>
          <w:rPr>
            <w:rFonts w:ascii="Cambria Math" w:hAnsi="Cambria Math"/>
            <w:spacing w:val="-2"/>
          </w:rPr>
          <m:t>D=</m:t>
        </m:r>
        <m:sSub>
          <m:sSubPr>
            <m:ctrlPr>
              <w:rPr>
                <w:rFonts w:ascii="Cambria Math" w:hAnsi="Cambria Math"/>
                <w:i/>
                <w:spacing w:val="-2"/>
              </w:rPr>
            </m:ctrlPr>
          </m:sSubPr>
          <m:e>
            <m:r>
              <w:rPr>
                <w:rFonts w:ascii="Cambria Math" w:hAnsi="Cambria Math"/>
                <w:spacing w:val="-2"/>
              </w:rPr>
              <m:t>F</m:t>
            </m:r>
          </m:e>
          <m:sub>
            <m:r>
              <w:rPr>
                <w:rFonts w:ascii="Cambria Math" w:hAnsi="Cambria Math"/>
                <w:spacing w:val="-2"/>
                <w:vertAlign w:val="subscript"/>
              </w:rPr>
              <m:t>in</m:t>
            </m:r>
          </m:sub>
        </m:sSub>
        <m:r>
          <w:rPr>
            <w:rFonts w:ascii="Cambria Math" w:hAnsi="Cambria Math"/>
            <w:spacing w:val="-2"/>
          </w:rPr>
          <m:t>/V</m:t>
        </m:r>
      </m:oMath>
      <w:r>
        <w:rPr>
          <w:spacing w:val="-2"/>
        </w:rPr>
        <w:t xml:space="preserve"> is </w:t>
      </w:r>
      <w:r w:rsidRPr="003F1033">
        <w:rPr>
          <w:spacing w:val="-2"/>
        </w:rPr>
        <w:t>the dilution rate where</w:t>
      </w:r>
      <w:r w:rsidRPr="00E51A42">
        <w:rPr>
          <w:i/>
          <w:spacing w:val="-2"/>
        </w:rPr>
        <w:t xml:space="preserve"> F</w:t>
      </w:r>
      <w:r w:rsidRPr="00E51A42">
        <w:rPr>
          <w:i/>
          <w:spacing w:val="-2"/>
          <w:vertAlign w:val="subscript"/>
        </w:rPr>
        <w:t>in</w:t>
      </w:r>
      <w:r w:rsidRPr="003F1033">
        <w:rPr>
          <w:spacing w:val="-2"/>
        </w:rPr>
        <w:t xml:space="preserve"> is the inlet feed flow rate and </w:t>
      </w:r>
      <w:r w:rsidRPr="00E51A42">
        <w:rPr>
          <w:i/>
          <w:spacing w:val="-2"/>
        </w:rPr>
        <w:t>V</w:t>
      </w:r>
      <w:r w:rsidRPr="003F1033">
        <w:rPr>
          <w:spacing w:val="-2"/>
        </w:rPr>
        <w:t xml:space="preserve"> the bioreactor volume.</w:t>
      </w:r>
    </w:p>
    <w:p w14:paraId="32892A62" w14:textId="77777777" w:rsidR="00181C34" w:rsidRDefault="00181C34" w:rsidP="004C5FDC">
      <w:pPr>
        <w:pStyle w:val="Els-body-text"/>
        <w:spacing w:before="120" w:after="60"/>
        <w:jc w:val="center"/>
        <w:rPr>
          <w:lang w:val="en-GB"/>
        </w:rPr>
      </w:pPr>
      <w:r>
        <w:t>Table</w:t>
      </w:r>
      <w:r>
        <w:rPr>
          <w:spacing w:val="-10"/>
        </w:rPr>
        <w:t xml:space="preserve"> </w:t>
      </w:r>
      <w:r>
        <w:t>1:</w:t>
      </w:r>
      <w:r>
        <w:rPr>
          <w:spacing w:val="1"/>
        </w:rPr>
        <w:t xml:space="preserve"> </w:t>
      </w:r>
      <w:r>
        <w:t>Model</w:t>
      </w:r>
      <w:r>
        <w:rPr>
          <w:spacing w:val="-10"/>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806"/>
        <w:gridCol w:w="450"/>
      </w:tblGrid>
      <w:tr w:rsidR="00964B59" w14:paraId="24FFF9C6" w14:textId="77777777" w:rsidTr="0077436F">
        <w:tc>
          <w:tcPr>
            <w:tcW w:w="3114" w:type="dxa"/>
            <w:tcBorders>
              <w:top w:val="single" w:sz="6" w:space="0" w:color="auto"/>
              <w:bottom w:val="single" w:sz="6" w:space="0" w:color="auto"/>
            </w:tcBorders>
          </w:tcPr>
          <w:p w14:paraId="18B9B217" w14:textId="77777777" w:rsidR="00964B59" w:rsidRDefault="00964B59" w:rsidP="00245D85">
            <w:pPr>
              <w:pStyle w:val="Els-body-text"/>
              <w:spacing w:after="40"/>
              <w:rPr>
                <w:lang w:val="en-GB"/>
              </w:rPr>
            </w:pPr>
            <w:r>
              <w:rPr>
                <w:spacing w:val="-2"/>
              </w:rPr>
              <w:t>Stoichiometric</w:t>
            </w:r>
            <w:r>
              <w:rPr>
                <w:spacing w:val="15"/>
              </w:rPr>
              <w:t xml:space="preserve"> </w:t>
            </w:r>
            <w:r>
              <w:rPr>
                <w:spacing w:val="-2"/>
              </w:rPr>
              <w:t>equations</w:t>
            </w:r>
          </w:p>
        </w:tc>
        <w:tc>
          <w:tcPr>
            <w:tcW w:w="4222" w:type="dxa"/>
            <w:tcBorders>
              <w:top w:val="single" w:sz="6" w:space="0" w:color="auto"/>
              <w:bottom w:val="single" w:sz="6" w:space="0" w:color="auto"/>
            </w:tcBorders>
          </w:tcPr>
          <w:p w14:paraId="26F1D42E" w14:textId="77777777" w:rsidR="00964B59" w:rsidRDefault="00964B59" w:rsidP="00245D85">
            <w:pPr>
              <w:pStyle w:val="Els-body-text"/>
              <w:spacing w:after="40"/>
              <w:rPr>
                <w:lang w:val="en-GB"/>
              </w:rPr>
            </w:pPr>
            <w:r>
              <w:t>Reactions</w:t>
            </w:r>
            <w:r>
              <w:rPr>
                <w:spacing w:val="-10"/>
              </w:rPr>
              <w:t xml:space="preserve"> </w:t>
            </w:r>
            <w:r>
              <w:t>and</w:t>
            </w:r>
            <w:r>
              <w:rPr>
                <w:spacing w:val="-9"/>
              </w:rPr>
              <w:t xml:space="preserve"> </w:t>
            </w:r>
            <w:r>
              <w:t>differential</w:t>
            </w:r>
            <w:r>
              <w:rPr>
                <w:spacing w:val="-9"/>
              </w:rPr>
              <w:t xml:space="preserve"> </w:t>
            </w:r>
            <w:r>
              <w:rPr>
                <w:spacing w:val="-2"/>
              </w:rPr>
              <w:t>equations</w:t>
            </w:r>
          </w:p>
        </w:tc>
        <w:tc>
          <w:tcPr>
            <w:tcW w:w="450" w:type="dxa"/>
            <w:tcBorders>
              <w:top w:val="single" w:sz="6" w:space="0" w:color="auto"/>
              <w:bottom w:val="single" w:sz="6" w:space="0" w:color="auto"/>
            </w:tcBorders>
          </w:tcPr>
          <w:p w14:paraId="2665A88D" w14:textId="77777777" w:rsidR="00964B59" w:rsidRDefault="00964B59" w:rsidP="00245D85">
            <w:pPr>
              <w:pStyle w:val="Els-body-text"/>
              <w:spacing w:after="60"/>
              <w:rPr>
                <w:lang w:val="en-GB"/>
              </w:rPr>
            </w:pPr>
          </w:p>
        </w:tc>
      </w:tr>
      <w:tr w:rsidR="00964B59" w14:paraId="0AA9ED02" w14:textId="77777777" w:rsidTr="0077436F">
        <w:tc>
          <w:tcPr>
            <w:tcW w:w="3114" w:type="dxa"/>
            <w:tcBorders>
              <w:top w:val="single" w:sz="6" w:space="0" w:color="auto"/>
            </w:tcBorders>
            <w:vAlign w:val="center"/>
          </w:tcPr>
          <w:p w14:paraId="0B1DDE86" w14:textId="77777777" w:rsidR="00964B59" w:rsidRPr="00B05775" w:rsidRDefault="00000000" w:rsidP="0077436F">
            <w:pPr>
              <w:pStyle w:val="Els-body-text"/>
              <w:spacing w:before="20" w:after="20"/>
              <w:jc w:val="center"/>
              <w:rPr>
                <w:sz w:val="18"/>
                <w:szCs w:val="18"/>
                <w:lang w:val="en-GB"/>
              </w:rPr>
            </w:pPr>
            <m:oMathPara>
              <m:oMathParaPr>
                <m:jc m:val="left"/>
              </m:oMathParaPr>
              <m:oMath>
                <m:m>
                  <m:mPr>
                    <m:mcs>
                      <m:mc>
                        <m:mcPr>
                          <m:count m:val="3"/>
                          <m:mcJc m:val="center"/>
                        </m:mcPr>
                      </m:mc>
                    </m:mcs>
                    <m:ctrlPr>
                      <w:rPr>
                        <w:rFonts w:ascii="Cambria Math" w:hAnsi="Cambria Math"/>
                        <w:i/>
                        <w:sz w:val="18"/>
                        <w:szCs w:val="18"/>
                        <w:lang w:val="en-GB"/>
                      </w:rPr>
                    </m:ctrlPr>
                  </m:mPr>
                  <m:mr>
                    <m:e>
                      <m:r>
                        <w:rPr>
                          <w:rFonts w:ascii="Cambria Math" w:hAnsi="Cambria Math"/>
                          <w:sz w:val="18"/>
                          <w:szCs w:val="18"/>
                          <w:lang w:val="en-GB"/>
                        </w:rPr>
                        <m:t xml:space="preserve">  S</m:t>
                      </m:r>
                    </m:e>
                    <m:e>
                      <m:groupChr>
                        <m:groupChrPr>
                          <m:chr m:val="→"/>
                          <m:vertJc m:val="bot"/>
                          <m:ctrlPr>
                            <w:rPr>
                              <w:rFonts w:ascii="Cambria Math" w:hAnsi="Cambria Math"/>
                              <w:i/>
                              <w:sz w:val="18"/>
                              <w:szCs w:val="18"/>
                              <w:lang w:val="en-GB"/>
                            </w:rPr>
                          </m:ctrlPr>
                        </m:groupChrPr>
                        <m:e>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1</m:t>
                              </m:r>
                            </m:sub>
                          </m:sSub>
                          <m:r>
                            <w:rPr>
                              <w:rFonts w:ascii="Cambria Math" w:hAnsi="Cambria Math"/>
                              <w:sz w:val="18"/>
                              <w:szCs w:val="18"/>
                              <w:lang w:val="en-GB"/>
                            </w:rPr>
                            <m:t>X</m:t>
                          </m:r>
                        </m:e>
                      </m:groupChr>
                    </m:e>
                    <m:e>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1</m:t>
                          </m:r>
                        </m:sub>
                      </m:sSub>
                      <m:r>
                        <w:rPr>
                          <w:rFonts w:ascii="Cambria Math" w:hAnsi="Cambria Math"/>
                          <w:sz w:val="18"/>
                          <w:szCs w:val="18"/>
                          <w:lang w:val="en-GB"/>
                        </w:rPr>
                        <m:t>X</m:t>
                      </m:r>
                    </m:e>
                  </m:mr>
                </m:m>
              </m:oMath>
            </m:oMathPara>
          </w:p>
        </w:tc>
        <w:tc>
          <w:tcPr>
            <w:tcW w:w="4222" w:type="dxa"/>
            <w:tcBorders>
              <w:top w:val="single" w:sz="6" w:space="0" w:color="auto"/>
            </w:tcBorders>
            <w:vAlign w:val="center"/>
          </w:tcPr>
          <w:p w14:paraId="13EE79FF" w14:textId="77777777" w:rsidR="00964B59" w:rsidRPr="00B05775" w:rsidRDefault="00000000" w:rsidP="0077436F">
            <w:pPr>
              <w:pStyle w:val="Els-body-text"/>
              <w:spacing w:before="20" w:after="20"/>
              <w:jc w:val="center"/>
              <w:rPr>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1</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m1</m:t>
                    </m:r>
                  </m:sub>
                </m:sSub>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S</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S1</m:t>
                            </m:r>
                          </m:sub>
                        </m:sSub>
                        <m:r>
                          <w:rPr>
                            <w:rFonts w:ascii="Cambria Math" w:hAnsi="Cambria Math"/>
                            <w:sz w:val="18"/>
                            <w:szCs w:val="18"/>
                            <w:lang w:val="en-GB"/>
                          </w:rPr>
                          <m:t>+S</m:t>
                        </m:r>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f>
                          <m:fPr>
                            <m:ctrlPr>
                              <w:rPr>
                                <w:rFonts w:ascii="Cambria Math" w:hAnsi="Cambria Math"/>
                                <w:i/>
                                <w:sz w:val="18"/>
                                <w:szCs w:val="18"/>
                                <w:lang w:val="en-GB"/>
                              </w:rPr>
                            </m:ctrlPr>
                          </m:fPr>
                          <m:num>
                            <m:r>
                              <w:rPr>
                                <w:rFonts w:ascii="Cambria Math" w:hAnsi="Cambria Math"/>
                                <w:sz w:val="18"/>
                                <w:szCs w:val="18"/>
                                <w:lang w:val="en-GB"/>
                              </w:rPr>
                              <m:t>X</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IX</m:t>
                                </m:r>
                              </m:sub>
                            </m:sSub>
                          </m:den>
                        </m:f>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E</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IE</m:t>
                                    </m:r>
                                  </m:sub>
                                </m:sSub>
                              </m:den>
                            </m:f>
                          </m:e>
                        </m:box>
                      </m:den>
                    </m:f>
                  </m:e>
                </m:box>
              </m:oMath>
            </m:oMathPara>
          </w:p>
        </w:tc>
        <w:tc>
          <w:tcPr>
            <w:tcW w:w="450" w:type="dxa"/>
            <w:tcBorders>
              <w:top w:val="single" w:sz="6" w:space="0" w:color="auto"/>
            </w:tcBorders>
            <w:vAlign w:val="center"/>
          </w:tcPr>
          <w:p w14:paraId="3ECAF1C5" w14:textId="77777777" w:rsidR="00964B59" w:rsidRDefault="00964B59" w:rsidP="0077436F">
            <w:pPr>
              <w:pStyle w:val="Els-body-text"/>
              <w:spacing w:before="20" w:after="20"/>
              <w:jc w:val="left"/>
              <w:rPr>
                <w:lang w:val="en-GB"/>
              </w:rPr>
            </w:pPr>
            <w:r w:rsidRPr="00A94774">
              <w:rPr>
                <w:lang w:val="en-GB"/>
              </w:rPr>
              <w:t>(1)</w:t>
            </w:r>
          </w:p>
        </w:tc>
      </w:tr>
      <w:tr w:rsidR="00964B59" w:rsidRPr="00EC4DB6" w14:paraId="6932E28E" w14:textId="77777777" w:rsidTr="0077436F">
        <w:tc>
          <w:tcPr>
            <w:tcW w:w="3114" w:type="dxa"/>
            <w:vAlign w:val="center"/>
          </w:tcPr>
          <w:p w14:paraId="33F6226B" w14:textId="77777777" w:rsidR="00964B59" w:rsidRPr="00B05775" w:rsidRDefault="00000000" w:rsidP="0077436F">
            <w:pPr>
              <w:pStyle w:val="Els-body-text"/>
              <w:spacing w:before="20" w:after="20"/>
              <w:jc w:val="center"/>
              <w:rPr>
                <w:rFonts w:ascii="Cambria Math" w:hAnsi="Cambria Math"/>
                <w:i/>
                <w:sz w:val="18"/>
                <w:szCs w:val="18"/>
                <w:lang w:val="en-GB"/>
              </w:rPr>
            </w:pPr>
            <m:oMathPara>
              <m:oMathParaPr>
                <m:jc m:val="left"/>
              </m:oMathParaPr>
              <m:oMath>
                <m:m>
                  <m:mPr>
                    <m:mcs>
                      <m:mc>
                        <m:mcPr>
                          <m:count m:val="3"/>
                          <m:mcJc m:val="center"/>
                        </m:mcPr>
                      </m:mc>
                    </m:mcs>
                    <m:ctrlPr>
                      <w:rPr>
                        <w:rFonts w:ascii="Cambria Math" w:hAnsi="Cambria Math"/>
                        <w:i/>
                        <w:sz w:val="18"/>
                        <w:szCs w:val="18"/>
                        <w:lang w:val="en-GB"/>
                      </w:rPr>
                    </m:ctrlPr>
                  </m:mPr>
                  <m:mr>
                    <m:e>
                      <m:r>
                        <w:rPr>
                          <w:rFonts w:ascii="Cambria Math" w:hAnsi="Cambria Math"/>
                          <w:sz w:val="18"/>
                          <w:szCs w:val="18"/>
                          <w:lang w:val="en-GB"/>
                        </w:rPr>
                        <m:t xml:space="preserve">  S</m:t>
                      </m:r>
                    </m:e>
                    <m:e>
                      <m:groupChr>
                        <m:groupChrPr>
                          <m:chr m:val="→"/>
                          <m:vertJc m:val="bot"/>
                          <m:ctrlPr>
                            <w:rPr>
                              <w:rFonts w:ascii="Cambria Math" w:hAnsi="Cambria Math"/>
                              <w:i/>
                              <w:sz w:val="18"/>
                              <w:szCs w:val="18"/>
                              <w:lang w:val="en-GB"/>
                            </w:rPr>
                          </m:ctrlPr>
                        </m:groupChrPr>
                        <m:e>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2</m:t>
                              </m:r>
                            </m:sub>
                          </m:sSub>
                          <m:r>
                            <w:rPr>
                              <w:rFonts w:ascii="Cambria Math" w:hAnsi="Cambria Math"/>
                              <w:sz w:val="18"/>
                              <w:szCs w:val="18"/>
                              <w:lang w:val="en-GB"/>
                            </w:rPr>
                            <m:t>X</m:t>
                          </m:r>
                        </m:e>
                      </m:groupChr>
                    </m:e>
                    <m:e>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2</m:t>
                          </m:r>
                        </m:sub>
                      </m:sSub>
                      <m:r>
                        <w:rPr>
                          <w:rFonts w:ascii="Cambria Math" w:hAnsi="Cambria Math"/>
                          <w:sz w:val="18"/>
                          <w:szCs w:val="18"/>
                          <w:lang w:val="en-GB"/>
                        </w:rPr>
                        <m:t>E+</m:t>
                      </m:r>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4</m:t>
                          </m:r>
                        </m:sub>
                      </m:sSub>
                      <m:r>
                        <w:rPr>
                          <w:rFonts w:ascii="Cambria Math" w:hAnsi="Cambria Math"/>
                          <w:sz w:val="18"/>
                          <w:szCs w:val="18"/>
                          <w:lang w:val="en-GB"/>
                        </w:rPr>
                        <m:t>X</m:t>
                      </m:r>
                    </m:e>
                  </m:mr>
                </m:m>
              </m:oMath>
            </m:oMathPara>
          </w:p>
        </w:tc>
        <w:tc>
          <w:tcPr>
            <w:tcW w:w="4222" w:type="dxa"/>
            <w:vAlign w:val="center"/>
          </w:tcPr>
          <w:p w14:paraId="049341A9" w14:textId="77777777" w:rsidR="00964B59" w:rsidRPr="00B05775" w:rsidRDefault="00000000" w:rsidP="0077436F">
            <w:pPr>
              <w:pStyle w:val="Els-body-text"/>
              <w:spacing w:before="20" w:after="20"/>
              <w:jc w:val="center"/>
              <w:rPr>
                <w:rFonts w:ascii="Cambria Math" w:hAnsi="Cambria Math"/>
                <w:i/>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2</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m2</m:t>
                    </m:r>
                  </m:sub>
                </m:sSub>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S</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S2</m:t>
                            </m:r>
                          </m:sub>
                        </m:sSub>
                        <m:r>
                          <w:rPr>
                            <w:rFonts w:ascii="Cambria Math" w:hAnsi="Cambria Math"/>
                            <w:sz w:val="18"/>
                            <w:szCs w:val="18"/>
                            <w:lang w:val="en-GB"/>
                          </w:rPr>
                          <m:t>+S</m:t>
                        </m:r>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f>
                          <m:fPr>
                            <m:ctrlPr>
                              <w:rPr>
                                <w:rFonts w:ascii="Cambria Math" w:hAnsi="Cambria Math"/>
                                <w:i/>
                                <w:sz w:val="18"/>
                                <w:szCs w:val="18"/>
                                <w:lang w:val="en-GB"/>
                              </w:rPr>
                            </m:ctrlPr>
                          </m:fPr>
                          <m:num>
                            <m:r>
                              <w:rPr>
                                <w:rFonts w:ascii="Cambria Math" w:hAnsi="Cambria Math"/>
                                <w:sz w:val="18"/>
                                <w:szCs w:val="18"/>
                                <w:lang w:val="en-GB"/>
                              </w:rPr>
                              <m:t>X</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IX</m:t>
                                </m:r>
                              </m:sub>
                            </m:sSub>
                          </m:den>
                        </m:f>
                      </m:den>
                    </m:f>
                  </m:e>
                </m:box>
              </m:oMath>
            </m:oMathPara>
          </w:p>
        </w:tc>
        <w:tc>
          <w:tcPr>
            <w:tcW w:w="450" w:type="dxa"/>
            <w:vAlign w:val="center"/>
          </w:tcPr>
          <w:p w14:paraId="204A9B41" w14:textId="77777777" w:rsidR="00964B59" w:rsidRPr="003450C6" w:rsidRDefault="00964B59" w:rsidP="0077436F">
            <w:pPr>
              <w:pStyle w:val="Els-body-text"/>
              <w:spacing w:before="20" w:after="20"/>
              <w:jc w:val="left"/>
              <w:rPr>
                <w:rFonts w:ascii="Cambria Math" w:hAnsi="Cambria Math"/>
                <w:i/>
                <w:lang w:val="en-GB"/>
              </w:rPr>
            </w:pPr>
            <w:r w:rsidRPr="00EC4DB6">
              <w:rPr>
                <w:lang w:val="en-GB"/>
              </w:rPr>
              <w:t>(2)</w:t>
            </w:r>
          </w:p>
        </w:tc>
      </w:tr>
      <w:tr w:rsidR="00964B59" w:rsidRPr="00EC4DB6" w14:paraId="0D6F6037" w14:textId="77777777" w:rsidTr="0077436F">
        <w:tc>
          <w:tcPr>
            <w:tcW w:w="3114" w:type="dxa"/>
            <w:vAlign w:val="center"/>
          </w:tcPr>
          <w:p w14:paraId="602A4889" w14:textId="77777777" w:rsidR="00964B59" w:rsidRPr="00B05775" w:rsidRDefault="00000000" w:rsidP="0077436F">
            <w:pPr>
              <w:pStyle w:val="Els-body-text"/>
              <w:spacing w:before="20" w:after="20"/>
              <w:jc w:val="center"/>
              <w:rPr>
                <w:rFonts w:ascii="Cambria Math" w:hAnsi="Cambria Math"/>
                <w:i/>
                <w:sz w:val="18"/>
                <w:szCs w:val="18"/>
                <w:lang w:val="en-GB"/>
              </w:rPr>
            </w:pPr>
            <m:oMathPara>
              <m:oMathParaPr>
                <m:jc m:val="left"/>
              </m:oMathParaPr>
              <m:oMath>
                <m:m>
                  <m:mPr>
                    <m:mcs>
                      <m:mc>
                        <m:mcPr>
                          <m:count m:val="3"/>
                          <m:mcJc m:val="center"/>
                        </m:mcPr>
                      </m:mc>
                    </m:mcs>
                    <m:ctrlPr>
                      <w:rPr>
                        <w:rFonts w:ascii="Cambria Math" w:hAnsi="Cambria Math"/>
                        <w:i/>
                        <w:sz w:val="18"/>
                        <w:szCs w:val="18"/>
                        <w:lang w:val="en-GB"/>
                      </w:rPr>
                    </m:ctrlPr>
                  </m:mPr>
                  <m:mr>
                    <m:e>
                      <m:r>
                        <w:rPr>
                          <w:rFonts w:ascii="Cambria Math" w:hAnsi="Cambria Math"/>
                          <w:sz w:val="18"/>
                          <w:szCs w:val="18"/>
                          <w:lang w:val="en-GB"/>
                        </w:rPr>
                        <m:t xml:space="preserve">  E</m:t>
                      </m:r>
                    </m:e>
                    <m:e>
                      <m:groupChr>
                        <m:groupChrPr>
                          <m:chr m:val="→"/>
                          <m:vertJc m:val="bot"/>
                          <m:ctrlPr>
                            <w:rPr>
                              <w:rFonts w:ascii="Cambria Math" w:hAnsi="Cambria Math"/>
                              <w:i/>
                              <w:sz w:val="18"/>
                              <w:szCs w:val="18"/>
                              <w:lang w:val="en-GB"/>
                            </w:rPr>
                          </m:ctrlPr>
                        </m:groupChrPr>
                        <m:e>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3</m:t>
                              </m:r>
                            </m:sub>
                          </m:sSub>
                          <m:r>
                            <w:rPr>
                              <w:rFonts w:ascii="Cambria Math" w:hAnsi="Cambria Math"/>
                              <w:sz w:val="18"/>
                              <w:szCs w:val="18"/>
                              <w:lang w:val="en-GB"/>
                            </w:rPr>
                            <m:t>X</m:t>
                          </m:r>
                        </m:e>
                      </m:groupChr>
                    </m:e>
                    <m:e>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3</m:t>
                          </m:r>
                        </m:sub>
                      </m:sSub>
                      <m:r>
                        <w:rPr>
                          <w:rFonts w:ascii="Cambria Math" w:hAnsi="Cambria Math"/>
                          <w:sz w:val="18"/>
                          <w:szCs w:val="18"/>
                          <w:lang w:val="en-GB"/>
                        </w:rPr>
                        <m:t>X</m:t>
                      </m:r>
                    </m:e>
                  </m:mr>
                </m:m>
              </m:oMath>
            </m:oMathPara>
          </w:p>
        </w:tc>
        <w:tc>
          <w:tcPr>
            <w:tcW w:w="4222" w:type="dxa"/>
            <w:vAlign w:val="center"/>
          </w:tcPr>
          <w:p w14:paraId="512D9FA3" w14:textId="77777777" w:rsidR="00964B59" w:rsidRPr="00B05775" w:rsidRDefault="00000000" w:rsidP="0077436F">
            <w:pPr>
              <w:pStyle w:val="Els-body-text"/>
              <w:spacing w:before="20" w:after="20"/>
              <w:jc w:val="center"/>
              <w:rPr>
                <w:rFonts w:ascii="Cambria Math" w:hAnsi="Cambria Math"/>
                <w:i/>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3</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m3</m:t>
                    </m:r>
                  </m:sub>
                </m:sSub>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E</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E</m:t>
                            </m:r>
                          </m:sub>
                        </m:sSub>
                        <m:r>
                          <w:rPr>
                            <w:rFonts w:ascii="Cambria Math" w:hAnsi="Cambria Math"/>
                            <w:sz w:val="18"/>
                            <w:szCs w:val="18"/>
                            <w:lang w:val="en-GB"/>
                          </w:rPr>
                          <m:t>+E</m:t>
                        </m:r>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f>
                          <m:fPr>
                            <m:ctrlPr>
                              <w:rPr>
                                <w:rFonts w:ascii="Cambria Math" w:hAnsi="Cambria Math"/>
                                <w:i/>
                                <w:sz w:val="18"/>
                                <w:szCs w:val="18"/>
                                <w:lang w:val="en-GB"/>
                              </w:rPr>
                            </m:ctrlPr>
                          </m:fPr>
                          <m:num>
                            <m:r>
                              <w:rPr>
                                <w:rFonts w:ascii="Cambria Math" w:hAnsi="Cambria Math"/>
                                <w:sz w:val="18"/>
                                <w:szCs w:val="18"/>
                                <w:lang w:val="en-GB"/>
                              </w:rPr>
                              <m:t>X</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IX</m:t>
                                </m:r>
                              </m:sub>
                            </m:sSub>
                          </m:den>
                        </m:f>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S</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IS</m:t>
                                    </m:r>
                                  </m:sub>
                                </m:sSub>
                              </m:den>
                            </m:f>
                          </m:e>
                        </m:box>
                      </m:den>
                    </m:f>
                  </m:e>
                </m:box>
              </m:oMath>
            </m:oMathPara>
          </w:p>
        </w:tc>
        <w:tc>
          <w:tcPr>
            <w:tcW w:w="450" w:type="dxa"/>
            <w:vAlign w:val="center"/>
          </w:tcPr>
          <w:p w14:paraId="5E521152" w14:textId="77777777" w:rsidR="00964B59" w:rsidRPr="001F6038" w:rsidRDefault="00964B59" w:rsidP="0077436F">
            <w:pPr>
              <w:pStyle w:val="Els-body-text"/>
              <w:spacing w:before="20" w:after="20"/>
              <w:jc w:val="left"/>
              <w:rPr>
                <w:rFonts w:ascii="Cambria Math" w:hAnsi="Cambria Math"/>
                <w:i/>
                <w:lang w:val="en-GB"/>
              </w:rPr>
            </w:pPr>
            <w:r w:rsidRPr="00EC4DB6">
              <w:rPr>
                <w:lang w:val="en-GB"/>
              </w:rPr>
              <w:t>(3)</w:t>
            </w:r>
          </w:p>
        </w:tc>
      </w:tr>
      <w:tr w:rsidR="00964B59" w:rsidRPr="00EC4DB6" w14:paraId="40F4E5E4" w14:textId="77777777" w:rsidTr="0077436F">
        <w:tc>
          <w:tcPr>
            <w:tcW w:w="3114" w:type="dxa"/>
          </w:tcPr>
          <w:p w14:paraId="04CAE744" w14:textId="77777777" w:rsidR="00964B59" w:rsidRPr="00B05775" w:rsidRDefault="00964B59" w:rsidP="0077436F">
            <w:pPr>
              <w:pStyle w:val="Els-body-text"/>
              <w:spacing w:before="20" w:after="20"/>
              <w:jc w:val="center"/>
              <w:rPr>
                <w:rFonts w:ascii="Cambria Math" w:hAnsi="Cambria Math"/>
                <w:i/>
                <w:sz w:val="18"/>
                <w:szCs w:val="18"/>
                <w:lang w:val="en-GB"/>
              </w:rPr>
            </w:pPr>
          </w:p>
        </w:tc>
        <w:tc>
          <w:tcPr>
            <w:tcW w:w="4222" w:type="dxa"/>
          </w:tcPr>
          <w:p w14:paraId="7716C18A" w14:textId="77777777" w:rsidR="00964B59" w:rsidRPr="00407FBB"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dX</m:t>
                        </m:r>
                      </m:num>
                      <m:den>
                        <m:r>
                          <w:rPr>
                            <w:rFonts w:ascii="Cambria Math" w:hAnsi="Cambria Math"/>
                            <w:lang w:val="en-GB"/>
                          </w:rPr>
                          <m:t>dt</m:t>
                        </m:r>
                      </m:den>
                    </m:f>
                    <m:r>
                      <w:rPr>
                        <w:rFonts w:ascii="Cambria Math" w:hAnsi="Cambria Math"/>
                        <w:lang w:val="en-GB"/>
                      </w:rPr>
                      <m:t xml:space="preserve"> =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e>
                    </m:d>
                    <m:r>
                      <w:rPr>
                        <w:rFonts w:ascii="Cambria Math" w:hAnsi="Cambria Math"/>
                        <w:lang w:val="en-GB"/>
                      </w:rPr>
                      <m:t>⋅X-D⋅X</m:t>
                    </m:r>
                  </m:e>
                </m:box>
              </m:oMath>
            </m:oMathPara>
          </w:p>
        </w:tc>
        <w:tc>
          <w:tcPr>
            <w:tcW w:w="450" w:type="dxa"/>
            <w:vAlign w:val="center"/>
          </w:tcPr>
          <w:p w14:paraId="3F0BC0EC" w14:textId="77777777" w:rsidR="00964B59" w:rsidRPr="00EC4DB6" w:rsidRDefault="00964B59" w:rsidP="0077436F">
            <w:pPr>
              <w:pStyle w:val="Els-body-text"/>
              <w:spacing w:before="20" w:after="20"/>
              <w:jc w:val="left"/>
              <w:rPr>
                <w:rFonts w:ascii="Cambria Math" w:hAnsi="Cambria Math"/>
                <w:i/>
                <w:lang w:val="en-GB"/>
              </w:rPr>
            </w:pPr>
            <w:r w:rsidRPr="00EC4DB6">
              <w:rPr>
                <w:lang w:val="en-GB"/>
              </w:rPr>
              <w:t>(4)</w:t>
            </w:r>
          </w:p>
        </w:tc>
      </w:tr>
      <w:tr w:rsidR="00964B59" w14:paraId="1F8807A1" w14:textId="77777777" w:rsidTr="0077436F">
        <w:tc>
          <w:tcPr>
            <w:tcW w:w="3114" w:type="dxa"/>
          </w:tcPr>
          <w:p w14:paraId="0E243299" w14:textId="77777777" w:rsidR="00964B59" w:rsidRPr="00B05775" w:rsidRDefault="00964B59" w:rsidP="0077436F">
            <w:pPr>
              <w:pStyle w:val="Els-body-text"/>
              <w:spacing w:before="20" w:after="20"/>
              <w:jc w:val="center"/>
              <w:rPr>
                <w:rFonts w:ascii="Cambria Math" w:hAnsi="Cambria Math"/>
                <w:i/>
                <w:sz w:val="18"/>
                <w:szCs w:val="18"/>
                <w:lang w:val="en-GB"/>
              </w:rPr>
            </w:pPr>
          </w:p>
        </w:tc>
        <w:tc>
          <w:tcPr>
            <w:tcW w:w="4222" w:type="dxa"/>
          </w:tcPr>
          <w:p w14:paraId="1DB5D819" w14:textId="77777777" w:rsidR="00964B59" w:rsidRPr="00407FBB"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dS</m:t>
                        </m:r>
                      </m:num>
                      <m:den>
                        <m:r>
                          <w:rPr>
                            <w:rFonts w:ascii="Cambria Math" w:hAnsi="Cambria Math"/>
                            <w:lang w:val="en-GB"/>
                          </w:rPr>
                          <m:t>dt</m:t>
                        </m:r>
                      </m:den>
                    </m:f>
                    <m:r>
                      <w:rPr>
                        <w:rFonts w:ascii="Cambria Math" w:hAnsi="Cambria Math"/>
                        <w:lang w:val="en-GB"/>
                      </w:rPr>
                      <m:t xml:space="preserve"> =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e>
                    </m:d>
                    <m:r>
                      <w:rPr>
                        <w:rFonts w:ascii="Cambria Math" w:hAnsi="Cambria Math"/>
                        <w:lang w:val="en-GB"/>
                      </w:rPr>
                      <m:t>⋅X-D⋅S+D⋅</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in</m:t>
                        </m:r>
                      </m:sub>
                    </m:sSub>
                  </m:e>
                </m:box>
              </m:oMath>
            </m:oMathPara>
          </w:p>
        </w:tc>
        <w:tc>
          <w:tcPr>
            <w:tcW w:w="450" w:type="dxa"/>
            <w:vAlign w:val="center"/>
          </w:tcPr>
          <w:p w14:paraId="642FF99E" w14:textId="77777777" w:rsidR="00964B59" w:rsidRPr="00EC4DB6" w:rsidRDefault="00964B59" w:rsidP="0077436F">
            <w:pPr>
              <w:pStyle w:val="Els-body-text"/>
              <w:spacing w:before="20" w:after="20"/>
              <w:jc w:val="left"/>
              <w:rPr>
                <w:rFonts w:ascii="Cambria Math" w:hAnsi="Cambria Math"/>
                <w:i/>
                <w:lang w:val="en-GB"/>
              </w:rPr>
            </w:pPr>
            <w:r w:rsidRPr="00EC4DB6">
              <w:rPr>
                <w:lang w:val="en-GB"/>
              </w:rPr>
              <w:t>(5)</w:t>
            </w:r>
          </w:p>
        </w:tc>
      </w:tr>
      <w:tr w:rsidR="00964B59" w:rsidRPr="00EC4DB6" w14:paraId="6275A796" w14:textId="77777777" w:rsidTr="0077436F">
        <w:tc>
          <w:tcPr>
            <w:tcW w:w="3114" w:type="dxa"/>
          </w:tcPr>
          <w:p w14:paraId="40996E2D" w14:textId="77777777" w:rsidR="00964B59" w:rsidRPr="00B05775" w:rsidRDefault="00964B59" w:rsidP="0077436F">
            <w:pPr>
              <w:pStyle w:val="Els-body-text"/>
              <w:spacing w:before="20" w:after="20"/>
              <w:jc w:val="center"/>
              <w:rPr>
                <w:rFonts w:ascii="Cambria Math" w:hAnsi="Cambria Math"/>
                <w:i/>
                <w:sz w:val="18"/>
                <w:szCs w:val="18"/>
                <w:lang w:val="en-GB"/>
              </w:rPr>
            </w:pPr>
          </w:p>
        </w:tc>
        <w:tc>
          <w:tcPr>
            <w:tcW w:w="4222" w:type="dxa"/>
          </w:tcPr>
          <w:p w14:paraId="59248126" w14:textId="77777777" w:rsidR="00964B59" w:rsidRPr="00407FBB"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dE</m:t>
                        </m:r>
                      </m:num>
                      <m:den>
                        <m:r>
                          <w:rPr>
                            <w:rFonts w:ascii="Cambria Math" w:hAnsi="Cambria Math"/>
                            <w:lang w:val="en-GB"/>
                          </w:rPr>
                          <m:t>dt</m:t>
                        </m:r>
                      </m:den>
                    </m:f>
                    <m:r>
                      <w:rPr>
                        <w:rFonts w:ascii="Cambria Math" w:hAnsi="Cambria Math"/>
                        <w:lang w:val="en-GB"/>
                      </w:rPr>
                      <m:t xml:space="preserve"> =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3</m:t>
                            </m:r>
                          </m:sub>
                        </m:sSub>
                      </m:e>
                    </m:d>
                    <m:r>
                      <w:rPr>
                        <w:rFonts w:ascii="Cambria Math" w:hAnsi="Cambria Math"/>
                        <w:lang w:val="en-GB"/>
                      </w:rPr>
                      <m:t>⋅X-D⋅E</m:t>
                    </m:r>
                  </m:e>
                </m:box>
              </m:oMath>
            </m:oMathPara>
          </w:p>
        </w:tc>
        <w:tc>
          <w:tcPr>
            <w:tcW w:w="450" w:type="dxa"/>
            <w:vAlign w:val="center"/>
          </w:tcPr>
          <w:p w14:paraId="687B6F9C" w14:textId="77777777" w:rsidR="00964B59" w:rsidRPr="00EC4DB6" w:rsidRDefault="00964B59" w:rsidP="0077436F">
            <w:pPr>
              <w:pStyle w:val="Els-body-text"/>
              <w:spacing w:before="20" w:after="20"/>
              <w:jc w:val="left"/>
              <w:rPr>
                <w:lang w:val="en-GB"/>
              </w:rPr>
            </w:pPr>
            <w:r w:rsidRPr="00EC4DB6">
              <w:rPr>
                <w:lang w:val="en-GB"/>
              </w:rPr>
              <w:t>(6)</w:t>
            </w:r>
          </w:p>
        </w:tc>
      </w:tr>
      <w:tr w:rsidR="00964B59" w:rsidRPr="00EC4DB6" w14:paraId="0AC15010" w14:textId="77777777" w:rsidTr="0077436F">
        <w:tc>
          <w:tcPr>
            <w:tcW w:w="3114" w:type="dxa"/>
            <w:tcBorders>
              <w:bottom w:val="single" w:sz="6" w:space="0" w:color="auto"/>
            </w:tcBorders>
          </w:tcPr>
          <w:p w14:paraId="56AAFF41" w14:textId="77777777" w:rsidR="00964B59" w:rsidRPr="00B05775" w:rsidRDefault="00964B59" w:rsidP="0077436F">
            <w:pPr>
              <w:pStyle w:val="Els-body-text"/>
              <w:spacing w:before="20" w:after="80"/>
              <w:jc w:val="center"/>
              <w:rPr>
                <w:rFonts w:ascii="Cambria Math" w:hAnsi="Cambria Math"/>
                <w:i/>
                <w:sz w:val="18"/>
                <w:szCs w:val="18"/>
                <w:lang w:val="en-GB"/>
              </w:rPr>
            </w:pPr>
          </w:p>
        </w:tc>
        <w:tc>
          <w:tcPr>
            <w:tcW w:w="4222" w:type="dxa"/>
            <w:tcBorders>
              <w:bottom w:val="single" w:sz="6" w:space="0" w:color="auto"/>
            </w:tcBorders>
          </w:tcPr>
          <w:p w14:paraId="790F51AD" w14:textId="77777777" w:rsidR="00964B59" w:rsidRPr="00407FBB" w:rsidRDefault="00000000" w:rsidP="0077436F">
            <w:pPr>
              <w:pStyle w:val="Els-body-text"/>
              <w:spacing w:before="20" w:after="4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dV</m:t>
                        </m:r>
                      </m:num>
                      <m:den>
                        <m:r>
                          <w:rPr>
                            <w:rFonts w:ascii="Cambria Math" w:hAnsi="Cambria Math"/>
                            <w:lang w:val="en-GB"/>
                          </w:rPr>
                          <m:t>dt</m:t>
                        </m:r>
                      </m:den>
                    </m:f>
                    <m:r>
                      <w:rPr>
                        <w:rFonts w:ascii="Cambria Math" w:hAnsi="Cambria Math"/>
                        <w:lang w:val="en-GB"/>
                      </w:rPr>
                      <m:t xml:space="preserve"> = D⋅V=</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in</m:t>
                        </m:r>
                      </m:sub>
                    </m:sSub>
                  </m:e>
                </m:box>
              </m:oMath>
            </m:oMathPara>
          </w:p>
        </w:tc>
        <w:tc>
          <w:tcPr>
            <w:tcW w:w="450" w:type="dxa"/>
            <w:tcBorders>
              <w:bottom w:val="single" w:sz="6" w:space="0" w:color="auto"/>
            </w:tcBorders>
            <w:vAlign w:val="center"/>
          </w:tcPr>
          <w:p w14:paraId="5BBD5DB8" w14:textId="77777777" w:rsidR="00964B59" w:rsidRPr="00EC4DB6" w:rsidRDefault="00964B59" w:rsidP="0077436F">
            <w:pPr>
              <w:pStyle w:val="Els-body-text"/>
              <w:spacing w:before="20" w:after="80"/>
              <w:jc w:val="left"/>
              <w:rPr>
                <w:lang w:val="en-GB"/>
              </w:rPr>
            </w:pPr>
            <w:r w:rsidRPr="00EC4DB6">
              <w:rPr>
                <w:lang w:val="en-GB"/>
              </w:rPr>
              <w:t>(7)</w:t>
            </w:r>
          </w:p>
        </w:tc>
      </w:tr>
      <w:tr w:rsidR="00964B59" w14:paraId="058C7FCB" w14:textId="77777777" w:rsidTr="0077436F">
        <w:tc>
          <w:tcPr>
            <w:tcW w:w="7786" w:type="dxa"/>
            <w:gridSpan w:val="3"/>
            <w:tcBorders>
              <w:top w:val="single" w:sz="6" w:space="0" w:color="auto"/>
            </w:tcBorders>
          </w:tcPr>
          <w:p w14:paraId="35291EB9" w14:textId="77777777" w:rsidR="00964B59" w:rsidRPr="009830D3" w:rsidRDefault="00964B59" w:rsidP="0077436F">
            <w:pPr>
              <w:spacing w:before="16" w:line="170" w:lineRule="auto"/>
              <w:jc w:val="both"/>
              <w:rPr>
                <w:sz w:val="16"/>
              </w:rPr>
            </w:pPr>
            <m:oMath>
              <m:r>
                <w:rPr>
                  <w:rFonts w:ascii="Cambria Math" w:hAnsi="Cambria Math"/>
                  <w:sz w:val="16"/>
                </w:rPr>
                <m:t>X</m:t>
              </m:r>
            </m:oMath>
            <w:r>
              <w:rPr>
                <w:i/>
                <w:spacing w:val="-10"/>
                <w:sz w:val="16"/>
              </w:rPr>
              <w:t xml:space="preserve"> </w:t>
            </w:r>
            <w:r>
              <w:rPr>
                <w:sz w:val="16"/>
              </w:rPr>
              <w:t>:Biomass</w:t>
            </w:r>
            <w:r>
              <w:rPr>
                <w:spacing w:val="-10"/>
                <w:sz w:val="16"/>
              </w:rPr>
              <w:t xml:space="preserve"> </w:t>
            </w:r>
            <w:r>
              <w:rPr>
                <w:sz w:val="16"/>
              </w:rPr>
              <w:t>concentration (optical density)</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m:oMath>
              <m:r>
                <w:rPr>
                  <w:rFonts w:ascii="Cambria Math" w:hAnsi="Cambria Math"/>
                  <w:sz w:val="16"/>
                </w:rPr>
                <m:t>S</m:t>
              </m:r>
            </m:oMath>
            <w:r>
              <w:rPr>
                <w:sz w:val="16"/>
              </w:rPr>
              <w:t xml:space="preserve">:Substrate concentration </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m:oMath>
              <m:r>
                <w:rPr>
                  <w:rFonts w:ascii="Cambria Math" w:hAnsi="Cambria Math"/>
                  <w:sz w:val="16"/>
                </w:rPr>
                <m:t>E</m:t>
              </m:r>
            </m:oMath>
            <w:r>
              <w:rPr>
                <w:sz w:val="16"/>
              </w:rPr>
              <w:t xml:space="preserve">:Ethanol concentration </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w:proofErr w:type="spellStart"/>
            <w:r>
              <w:rPr>
                <w:i/>
                <w:sz w:val="16"/>
              </w:rPr>
              <w:t>S</w:t>
            </w:r>
            <w:r>
              <w:rPr>
                <w:i/>
                <w:sz w:val="16"/>
                <w:vertAlign w:val="subscript"/>
              </w:rPr>
              <w:t>in</w:t>
            </w:r>
            <w:r>
              <w:rPr>
                <w:sz w:val="16"/>
              </w:rPr>
              <w:t>:Inlet</w:t>
            </w:r>
            <w:proofErr w:type="spellEnd"/>
            <w:r>
              <w:rPr>
                <w:spacing w:val="-3"/>
                <w:sz w:val="16"/>
              </w:rPr>
              <w:t xml:space="preserve"> </w:t>
            </w:r>
            <w:r>
              <w:rPr>
                <w:sz w:val="16"/>
              </w:rPr>
              <w:t xml:space="preserve">feed substrate concentration </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m:oMath>
              <m:sSub>
                <m:sSubPr>
                  <m:ctrlPr>
                    <w:rPr>
                      <w:rFonts w:ascii="Cambria Math" w:hAnsi="Cambria Math"/>
                      <w:i/>
                      <w:sz w:val="16"/>
                    </w:rPr>
                  </m:ctrlPr>
                </m:sSubPr>
                <m:e>
                  <m:r>
                    <w:rPr>
                      <w:rFonts w:ascii="Cambria Math" w:hAnsi="Cambria Math"/>
                      <w:sz w:val="16"/>
                    </w:rPr>
                    <m:t>F</m:t>
                  </m:r>
                </m:e>
                <m:sub>
                  <m:r>
                    <w:rPr>
                      <w:rFonts w:ascii="Cambria Math" w:hAnsi="Cambria Math"/>
                      <w:sz w:val="16"/>
                      <w:vertAlign w:val="subscript"/>
                    </w:rPr>
                    <m:t>in</m:t>
                  </m:r>
                </m:sub>
              </m:sSub>
            </m:oMath>
            <w:r>
              <w:rPr>
                <w:sz w:val="16"/>
              </w:rPr>
              <w:t>:Feed flow rate</w:t>
            </w:r>
            <w:r>
              <w:rPr>
                <w:rFonts w:ascii="Euclid" w:hAnsi="Euclid"/>
                <w:sz w:val="16"/>
              </w:rPr>
              <w:t>[</w:t>
            </w:r>
            <w:r>
              <w:rPr>
                <w:sz w:val="16"/>
              </w:rPr>
              <w:t>L</w:t>
            </w:r>
            <w:r>
              <w:rPr>
                <w:rFonts w:ascii="Comic Sans MS" w:hAnsi="Comic Sans MS"/>
                <w:i/>
                <w:sz w:val="16"/>
              </w:rPr>
              <w:t>/</w:t>
            </w:r>
            <w:r>
              <w:rPr>
                <w:sz w:val="16"/>
              </w:rPr>
              <w:t>h</w:t>
            </w:r>
            <w:r>
              <w:rPr>
                <w:rFonts w:ascii="Euclid" w:hAnsi="Euclid"/>
                <w:sz w:val="16"/>
              </w:rPr>
              <w:t>]</w:t>
            </w:r>
            <w:r>
              <w:rPr>
                <w:sz w:val="16"/>
              </w:rPr>
              <w:t xml:space="preserve">; </w:t>
            </w:r>
            <m:oMath>
              <m:r>
                <w:rPr>
                  <w:rFonts w:ascii="Cambria Math" w:hAnsi="Cambria Math"/>
                  <w:sz w:val="16"/>
                </w:rPr>
                <m:t>V</m:t>
              </m:r>
              <m:r>
                <w:rPr>
                  <w:rFonts w:ascii="Cambria Math" w:hAnsi="Cambria Math"/>
                  <w:spacing w:val="-10"/>
                  <w:sz w:val="16"/>
                </w:rPr>
                <m:t xml:space="preserve"> </m:t>
              </m:r>
            </m:oMath>
            <w:r>
              <w:rPr>
                <w:sz w:val="16"/>
              </w:rPr>
              <w:t>:Culture volume</w:t>
            </w:r>
            <w:r>
              <w:rPr>
                <w:rFonts w:ascii="Euclid" w:hAnsi="Euclid"/>
                <w:sz w:val="16"/>
              </w:rPr>
              <w:t>[</w:t>
            </w:r>
            <w:r>
              <w:rPr>
                <w:sz w:val="16"/>
              </w:rPr>
              <w:t>L</w:t>
            </w:r>
            <w:r>
              <w:rPr>
                <w:rFonts w:ascii="Euclid" w:hAnsi="Euclid"/>
                <w:sz w:val="16"/>
              </w:rPr>
              <w:t>]</w:t>
            </w:r>
            <w:r>
              <w:rPr>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i</m:t>
                  </m:r>
                </m:sub>
              </m:sSub>
            </m:oMath>
            <w:r>
              <w:rPr>
                <w:sz w:val="16"/>
              </w:rPr>
              <w:t xml:space="preserve">:Yield coefficients </w:t>
            </w:r>
            <w:r>
              <w:rPr>
                <w:rFonts w:ascii="Euclid" w:hAnsi="Euclid"/>
                <w:sz w:val="16"/>
              </w:rPr>
              <w:t>[</w:t>
            </w:r>
            <w:r>
              <w:rPr>
                <w:sz w:val="16"/>
              </w:rPr>
              <w:t>g</w:t>
            </w:r>
            <w:r>
              <w:rPr>
                <w:rFonts w:ascii="Comic Sans MS" w:hAnsi="Comic Sans MS"/>
                <w:i/>
                <w:sz w:val="16"/>
              </w:rPr>
              <w:t>/</w:t>
            </w:r>
            <w:r>
              <w:rPr>
                <w:sz w:val="16"/>
              </w:rPr>
              <w:t>g</w:t>
            </w:r>
            <w:r>
              <w:rPr>
                <w:rFonts w:ascii="Euclid" w:hAnsi="Euclid"/>
                <w:sz w:val="16"/>
              </w:rPr>
              <w:t>]</w:t>
            </w:r>
            <w:r>
              <w:rPr>
                <w:sz w:val="16"/>
              </w:rPr>
              <w:t>;</w:t>
            </w:r>
            <w:r>
              <w:rPr>
                <w:spacing w:val="40"/>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S1</m:t>
                  </m:r>
                </m:sub>
              </m:sSub>
              <m:r>
                <w:rPr>
                  <w:rFonts w:ascii="Cambria Math" w:hAnsi="Cambria Math"/>
                  <w:sz w:val="16"/>
                </w:rPr>
                <m:t>,</m:t>
              </m:r>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S2</m:t>
                  </m:r>
                </m:sub>
              </m:sSub>
            </m:oMath>
            <w:r>
              <w:rPr>
                <w:sz w:val="16"/>
              </w:rPr>
              <w:t>:Substrate</w:t>
            </w:r>
            <w:r>
              <w:rPr>
                <w:spacing w:val="-2"/>
                <w:sz w:val="16"/>
              </w:rPr>
              <w:t xml:space="preserve"> </w:t>
            </w:r>
            <w:r>
              <w:rPr>
                <w:sz w:val="16"/>
              </w:rPr>
              <w:t>half-saturation</w:t>
            </w:r>
            <w:r>
              <w:rPr>
                <w:spacing w:val="-2"/>
                <w:sz w:val="16"/>
              </w:rPr>
              <w:t xml:space="preserve"> </w:t>
            </w:r>
            <w:r>
              <w:rPr>
                <w:sz w:val="16"/>
              </w:rPr>
              <w:t>constants</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E</m:t>
                  </m:r>
                </m:sub>
              </m:sSub>
            </m:oMath>
            <w:r>
              <w:rPr>
                <w:sz w:val="16"/>
              </w:rPr>
              <w:t>:Ethanol</w:t>
            </w:r>
            <w:r>
              <w:rPr>
                <w:spacing w:val="-2"/>
                <w:sz w:val="16"/>
              </w:rPr>
              <w:t xml:space="preserve"> </w:t>
            </w:r>
            <w:r>
              <w:rPr>
                <w:sz w:val="16"/>
              </w:rPr>
              <w:t>half-saturation</w:t>
            </w:r>
            <w:r>
              <w:rPr>
                <w:spacing w:val="-2"/>
                <w:sz w:val="16"/>
              </w:rPr>
              <w:t xml:space="preserve"> </w:t>
            </w:r>
            <w:r>
              <w:rPr>
                <w:sz w:val="16"/>
              </w:rPr>
              <w:t>constant</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IX</m:t>
                  </m:r>
                </m:sub>
              </m:sSub>
            </m:oMath>
            <w:r>
              <w:rPr>
                <w:sz w:val="16"/>
              </w:rPr>
              <w:t>,</w:t>
            </w:r>
            <w:r>
              <w:rPr>
                <w:spacing w:val="-1"/>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IE</m:t>
                  </m:r>
                </m:sub>
              </m:sSub>
            </m:oMath>
            <w:r>
              <w:rPr>
                <w:sz w:val="16"/>
              </w:rPr>
              <w:t>and</w:t>
            </w:r>
            <w:r>
              <w:rPr>
                <w:spacing w:val="-2"/>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vertAlign w:val="subscript"/>
                    </w:rPr>
                    <m:t>IS</m:t>
                  </m:r>
                </m:sub>
              </m:sSub>
            </m:oMath>
            <w:r>
              <w:rPr>
                <w:sz w:val="16"/>
              </w:rPr>
              <w:t>: Biomass,</w:t>
            </w:r>
            <w:r>
              <w:rPr>
                <w:spacing w:val="40"/>
                <w:sz w:val="16"/>
              </w:rPr>
              <w:t xml:space="preserve"> </w:t>
            </w:r>
            <w:r>
              <w:rPr>
                <w:sz w:val="16"/>
              </w:rPr>
              <w:t xml:space="preserve">ethanol and substrate inhibition constants </w:t>
            </w:r>
            <w:r>
              <w:rPr>
                <w:rFonts w:ascii="Euclid" w:hAnsi="Euclid"/>
                <w:sz w:val="16"/>
              </w:rPr>
              <w:t>[</w:t>
            </w:r>
            <w:r>
              <w:rPr>
                <w:sz w:val="16"/>
              </w:rPr>
              <w:t>g</w:t>
            </w:r>
            <w:r>
              <w:rPr>
                <w:rFonts w:ascii="Comic Sans MS" w:hAnsi="Comic Sans MS"/>
                <w:i/>
                <w:sz w:val="16"/>
              </w:rPr>
              <w:t>/</w:t>
            </w:r>
            <w:r>
              <w:rPr>
                <w:sz w:val="16"/>
              </w:rPr>
              <w:t>L</w:t>
            </w:r>
            <w:r>
              <w:rPr>
                <w:rFonts w:ascii="Euclid" w:hAnsi="Euclid"/>
                <w:sz w:val="16"/>
              </w:rPr>
              <w:t>]</w:t>
            </w:r>
            <w:r>
              <w:rPr>
                <w:sz w:val="16"/>
              </w:rPr>
              <w:t xml:space="preserve">; </w:t>
            </w:r>
            <m:oMath>
              <m:sSub>
                <m:sSubPr>
                  <m:ctrlPr>
                    <w:rPr>
                      <w:rFonts w:ascii="Cambria Math" w:hAnsi="Cambria Math"/>
                      <w:i/>
                      <w:sz w:val="16"/>
                    </w:rPr>
                  </m:ctrlPr>
                </m:sSubPr>
                <m:e>
                  <m:r>
                    <w:rPr>
                      <w:rFonts w:ascii="Cambria Math" w:hAnsi="Cambria Math"/>
                      <w:sz w:val="16"/>
                    </w:rPr>
                    <m:t>µ</m:t>
                  </m:r>
                </m:e>
                <m:sub>
                  <m:r>
                    <w:rPr>
                      <w:rFonts w:ascii="Cambria Math" w:hAnsi="Cambria Math"/>
                      <w:sz w:val="16"/>
                      <w:vertAlign w:val="subscript"/>
                    </w:rPr>
                    <m:t>mi</m:t>
                  </m:r>
                </m:sub>
              </m:sSub>
            </m:oMath>
            <w:r>
              <w:rPr>
                <w:sz w:val="16"/>
              </w:rPr>
              <w:t xml:space="preserve">: Maximum specific rate constants </w:t>
            </w:r>
            <w:r>
              <w:rPr>
                <w:rFonts w:ascii="Euclid" w:hAnsi="Euclid"/>
                <w:sz w:val="16"/>
              </w:rPr>
              <w:t>[</w:t>
            </w:r>
            <w:r>
              <w:rPr>
                <w:sz w:val="16"/>
              </w:rPr>
              <w:t>g</w:t>
            </w:r>
            <w:r>
              <w:rPr>
                <w:rFonts w:ascii="Comic Sans MS" w:hAnsi="Comic Sans MS"/>
                <w:i/>
                <w:sz w:val="16"/>
              </w:rPr>
              <w:t>/</w:t>
            </w:r>
            <w:proofErr w:type="spellStart"/>
            <w:r>
              <w:rPr>
                <w:sz w:val="16"/>
              </w:rPr>
              <w:t>gX</w:t>
            </w:r>
            <w:proofErr w:type="spellEnd"/>
            <w:r>
              <w:rPr>
                <w:rFonts w:ascii="Comic Sans MS" w:hAnsi="Comic Sans MS"/>
                <w:i/>
                <w:sz w:val="16"/>
              </w:rPr>
              <w:t>/</w:t>
            </w:r>
            <w:r>
              <w:rPr>
                <w:sz w:val="16"/>
              </w:rPr>
              <w:t>h</w:t>
            </w:r>
            <w:r>
              <w:rPr>
                <w:rFonts w:ascii="Euclid" w:hAnsi="Euclid"/>
                <w:sz w:val="16"/>
              </w:rPr>
              <w:t>]</w:t>
            </w:r>
            <w:r>
              <w:rPr>
                <w:sz w:val="16"/>
              </w:rPr>
              <w:t>.</w:t>
            </w:r>
          </w:p>
        </w:tc>
      </w:tr>
    </w:tbl>
    <w:p w14:paraId="7A094A5A" w14:textId="77777777" w:rsidR="00610138" w:rsidRDefault="00610138" w:rsidP="00610138">
      <w:pPr>
        <w:pStyle w:val="Els-2ndorder-head"/>
        <w:spacing w:after="120"/>
      </w:pPr>
      <w:r>
        <w:t>Model 2</w:t>
      </w:r>
    </w:p>
    <w:p w14:paraId="7AC5076C" w14:textId="7DF6AD21" w:rsidR="00A976D2" w:rsidRDefault="00610138" w:rsidP="00E71C01">
      <w:pPr>
        <w:pStyle w:val="Els-body-text"/>
        <w:spacing w:after="80"/>
        <w:rPr>
          <w:lang w:val="en-GB"/>
        </w:rPr>
      </w:pPr>
      <w:r w:rsidRPr="003F1033">
        <w:rPr>
          <w:lang w:val="en-GB"/>
        </w:rPr>
        <w:t xml:space="preserve">Model 2 merges the first two reactions of Model 1 into one reaction, assuming that a clear separation of glucose oxidation and fermentation mechanisms is difficult to observe. The second reaction of Model 2 still describes ethanol oxidation but also considers the additional dissolved oxygen variable </w:t>
      </w:r>
      <w:r w:rsidRPr="00A42038">
        <w:rPr>
          <w:i/>
          <w:lang w:val="en-GB"/>
        </w:rPr>
        <w:t>O</w:t>
      </w:r>
      <w:r w:rsidRPr="003F1033">
        <w:rPr>
          <w:lang w:val="en-GB"/>
        </w:rPr>
        <w:t xml:space="preserve">, assumed to drive ethanol consumption. </w:t>
      </w:r>
      <w:r w:rsidR="00480290" w:rsidRPr="003F1033">
        <w:rPr>
          <w:lang w:val="en-GB"/>
        </w:rPr>
        <w:t xml:space="preserve">Applying mass balance to all the involved macroscopic species leads to the new differential equations </w:t>
      </w:r>
      <w:proofErr w:type="spellStart"/>
      <w:r w:rsidR="00480290" w:rsidRPr="003F1033">
        <w:rPr>
          <w:lang w:val="en-GB"/>
        </w:rPr>
        <w:t>eqs</w:t>
      </w:r>
      <w:proofErr w:type="spellEnd"/>
      <w:r w:rsidR="00480290" w:rsidRPr="003F1033">
        <w:rPr>
          <w:lang w:val="en-GB"/>
        </w:rPr>
        <w:t>. (10) to (1</w:t>
      </w:r>
      <w:r w:rsidR="00480290">
        <w:rPr>
          <w:lang w:val="en-GB"/>
        </w:rPr>
        <w:t>4</w:t>
      </w:r>
      <w:r w:rsidR="00480290" w:rsidRPr="003F1033">
        <w:rPr>
          <w:lang w:val="en-GB"/>
        </w:rPr>
        <w:t>).</w:t>
      </w:r>
    </w:p>
    <w:p w14:paraId="1FE8A314" w14:textId="77777777" w:rsidR="00C833FB" w:rsidRDefault="00C833FB" w:rsidP="00C833FB">
      <w:pPr>
        <w:pStyle w:val="Els-body-text"/>
        <w:spacing w:before="120" w:after="60"/>
        <w:jc w:val="center"/>
        <w:rPr>
          <w:lang w:val="en-GB"/>
        </w:rPr>
      </w:pPr>
      <w:r>
        <w:t>Table</w:t>
      </w:r>
      <w:r>
        <w:rPr>
          <w:spacing w:val="-10"/>
        </w:rPr>
        <w:t xml:space="preserve"> </w:t>
      </w:r>
      <w:r>
        <w:t>2:</w:t>
      </w:r>
      <w:r>
        <w:rPr>
          <w:spacing w:val="1"/>
        </w:rPr>
        <w:t xml:space="preserve"> </w:t>
      </w:r>
      <w:r>
        <w:t>Model</w:t>
      </w:r>
      <w:r>
        <w:rPr>
          <w:spacing w:val="-10"/>
        </w:rPr>
        <w:t xml:space="preserve"> 2</w:t>
      </w:r>
    </w:p>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3710"/>
        <w:gridCol w:w="550"/>
      </w:tblGrid>
      <w:tr w:rsidR="00C833FB" w14:paraId="3F0A013C" w14:textId="77777777" w:rsidTr="00895F04">
        <w:tc>
          <w:tcPr>
            <w:tcW w:w="2827" w:type="dxa"/>
            <w:tcBorders>
              <w:top w:val="single" w:sz="6" w:space="0" w:color="auto"/>
              <w:bottom w:val="single" w:sz="6" w:space="0" w:color="auto"/>
            </w:tcBorders>
          </w:tcPr>
          <w:p w14:paraId="3AC4FD4C" w14:textId="77777777" w:rsidR="00C833FB" w:rsidRDefault="00C833FB" w:rsidP="002D0D15">
            <w:pPr>
              <w:pStyle w:val="Els-body-text"/>
              <w:spacing w:after="40"/>
              <w:rPr>
                <w:lang w:val="en-GB"/>
              </w:rPr>
            </w:pPr>
            <w:r>
              <w:rPr>
                <w:spacing w:val="-2"/>
              </w:rPr>
              <w:t>Stoichiometric</w:t>
            </w:r>
            <w:r>
              <w:rPr>
                <w:spacing w:val="15"/>
              </w:rPr>
              <w:t xml:space="preserve"> </w:t>
            </w:r>
            <w:r>
              <w:rPr>
                <w:spacing w:val="-2"/>
              </w:rPr>
              <w:t>equations</w:t>
            </w:r>
          </w:p>
        </w:tc>
        <w:tc>
          <w:tcPr>
            <w:tcW w:w="3710" w:type="dxa"/>
            <w:tcBorders>
              <w:top w:val="single" w:sz="6" w:space="0" w:color="auto"/>
              <w:bottom w:val="single" w:sz="6" w:space="0" w:color="auto"/>
            </w:tcBorders>
          </w:tcPr>
          <w:p w14:paraId="32362DF1" w14:textId="77777777" w:rsidR="00C833FB" w:rsidRDefault="00C833FB" w:rsidP="002D0D15">
            <w:pPr>
              <w:pStyle w:val="Els-body-text"/>
              <w:spacing w:after="40"/>
              <w:rPr>
                <w:lang w:val="en-GB"/>
              </w:rPr>
            </w:pPr>
            <w:r>
              <w:t>Reactions</w:t>
            </w:r>
            <w:r>
              <w:rPr>
                <w:spacing w:val="-10"/>
              </w:rPr>
              <w:t xml:space="preserve"> </w:t>
            </w:r>
            <w:r>
              <w:t>and</w:t>
            </w:r>
            <w:r>
              <w:rPr>
                <w:spacing w:val="-9"/>
              </w:rPr>
              <w:t xml:space="preserve"> </w:t>
            </w:r>
            <w:r>
              <w:t>differential</w:t>
            </w:r>
            <w:r>
              <w:rPr>
                <w:spacing w:val="-9"/>
              </w:rPr>
              <w:t xml:space="preserve"> </w:t>
            </w:r>
            <w:r>
              <w:rPr>
                <w:spacing w:val="-2"/>
              </w:rPr>
              <w:t>equations</w:t>
            </w:r>
          </w:p>
        </w:tc>
        <w:tc>
          <w:tcPr>
            <w:tcW w:w="550" w:type="dxa"/>
            <w:tcBorders>
              <w:top w:val="single" w:sz="6" w:space="0" w:color="auto"/>
              <w:bottom w:val="single" w:sz="6" w:space="0" w:color="auto"/>
            </w:tcBorders>
          </w:tcPr>
          <w:p w14:paraId="638D4E84" w14:textId="77777777" w:rsidR="00C833FB" w:rsidRDefault="00C833FB" w:rsidP="002D0D15">
            <w:pPr>
              <w:pStyle w:val="Els-body-text"/>
              <w:spacing w:after="40"/>
              <w:rPr>
                <w:lang w:val="en-GB"/>
              </w:rPr>
            </w:pPr>
          </w:p>
        </w:tc>
      </w:tr>
      <w:tr w:rsidR="00C833FB" w14:paraId="443728CB" w14:textId="77777777" w:rsidTr="00895F04">
        <w:tc>
          <w:tcPr>
            <w:tcW w:w="2827" w:type="dxa"/>
            <w:tcBorders>
              <w:top w:val="single" w:sz="6" w:space="0" w:color="auto"/>
            </w:tcBorders>
            <w:vAlign w:val="center"/>
          </w:tcPr>
          <w:p w14:paraId="7DDE281F" w14:textId="77777777" w:rsidR="00C833FB" w:rsidRPr="00B05775" w:rsidRDefault="00000000" w:rsidP="0077436F">
            <w:pPr>
              <w:pStyle w:val="Els-body-text"/>
              <w:spacing w:before="20" w:after="20"/>
              <w:jc w:val="center"/>
              <w:rPr>
                <w:sz w:val="18"/>
                <w:szCs w:val="18"/>
                <w:lang w:val="en-GB"/>
              </w:rPr>
            </w:pPr>
            <m:oMathPara>
              <m:oMathParaPr>
                <m:jc m:val="left"/>
              </m:oMathParaPr>
              <m:oMath>
                <m:m>
                  <m:mPr>
                    <m:mcs>
                      <m:mc>
                        <m:mcPr>
                          <m:count m:val="3"/>
                          <m:mcJc m:val="center"/>
                        </m:mcPr>
                      </m:mc>
                    </m:mcs>
                    <m:ctrlPr>
                      <w:rPr>
                        <w:rFonts w:ascii="Cambria Math" w:hAnsi="Cambria Math"/>
                        <w:i/>
                        <w:sz w:val="18"/>
                        <w:szCs w:val="18"/>
                        <w:lang w:val="en-GB"/>
                      </w:rPr>
                    </m:ctrlPr>
                  </m:mPr>
                  <m:mr>
                    <m:e>
                      <m:r>
                        <w:rPr>
                          <w:rFonts w:ascii="Cambria Math" w:hAnsi="Cambria Math"/>
                          <w:sz w:val="18"/>
                          <w:szCs w:val="18"/>
                          <w:lang w:val="en-GB"/>
                        </w:rPr>
                        <m:t xml:space="preserve">  S</m:t>
                      </m:r>
                    </m:e>
                    <m:e>
                      <m:groupChr>
                        <m:groupChrPr>
                          <m:chr m:val="→"/>
                          <m:vertJc m:val="bot"/>
                          <m:ctrlPr>
                            <w:rPr>
                              <w:rFonts w:ascii="Cambria Math" w:hAnsi="Cambria Math"/>
                              <w:i/>
                              <w:sz w:val="18"/>
                              <w:szCs w:val="18"/>
                              <w:lang w:val="en-GB"/>
                            </w:rPr>
                          </m:ctrlPr>
                        </m:groupChrPr>
                        <m:e>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1</m:t>
                              </m:r>
                            </m:sub>
                          </m:sSub>
                          <m:r>
                            <w:rPr>
                              <w:rFonts w:ascii="Cambria Math" w:hAnsi="Cambria Math"/>
                              <w:sz w:val="18"/>
                              <w:szCs w:val="18"/>
                              <w:lang w:val="en-GB"/>
                            </w:rPr>
                            <m:t>X</m:t>
                          </m:r>
                        </m:e>
                      </m:groupChr>
                    </m:e>
                    <m:e>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1</m:t>
                          </m:r>
                        </m:sub>
                      </m:sSub>
                      <m:r>
                        <w:rPr>
                          <w:rFonts w:ascii="Cambria Math" w:hAnsi="Cambria Math"/>
                          <w:sz w:val="18"/>
                          <w:szCs w:val="18"/>
                          <w:lang w:val="en-GB"/>
                        </w:rPr>
                        <m:t>X+</m:t>
                      </m:r>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2</m:t>
                          </m:r>
                        </m:sub>
                      </m:sSub>
                      <m:r>
                        <w:rPr>
                          <w:rFonts w:ascii="Cambria Math" w:hAnsi="Cambria Math"/>
                          <w:sz w:val="18"/>
                          <w:szCs w:val="18"/>
                          <w:lang w:val="en-GB"/>
                        </w:rPr>
                        <m:t>E</m:t>
                      </m:r>
                    </m:e>
                  </m:mr>
                </m:m>
              </m:oMath>
            </m:oMathPara>
          </w:p>
        </w:tc>
        <w:tc>
          <w:tcPr>
            <w:tcW w:w="3710" w:type="dxa"/>
            <w:tcBorders>
              <w:top w:val="single" w:sz="6" w:space="0" w:color="auto"/>
            </w:tcBorders>
            <w:vAlign w:val="center"/>
          </w:tcPr>
          <w:p w14:paraId="4EB6187C" w14:textId="77777777" w:rsidR="00C833FB" w:rsidRPr="00B05775" w:rsidRDefault="00000000" w:rsidP="0077436F">
            <w:pPr>
              <w:pStyle w:val="Els-body-text"/>
              <w:spacing w:before="20" w:after="20"/>
              <w:jc w:val="center"/>
              <w:rPr>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1</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m1</m:t>
                    </m:r>
                  </m:sub>
                </m:sSub>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S</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S1</m:t>
                            </m:r>
                          </m:sub>
                        </m:sSub>
                        <m:r>
                          <w:rPr>
                            <w:rFonts w:ascii="Cambria Math" w:hAnsi="Cambria Math"/>
                            <w:sz w:val="18"/>
                            <w:szCs w:val="18"/>
                            <w:lang w:val="en-GB"/>
                          </w:rPr>
                          <m:t>+S</m:t>
                        </m:r>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f>
                          <m:fPr>
                            <m:ctrlPr>
                              <w:rPr>
                                <w:rFonts w:ascii="Cambria Math" w:hAnsi="Cambria Math"/>
                                <w:i/>
                                <w:sz w:val="18"/>
                                <w:szCs w:val="18"/>
                                <w:lang w:val="en-GB"/>
                              </w:rPr>
                            </m:ctrlPr>
                          </m:fPr>
                          <m:num>
                            <m:r>
                              <w:rPr>
                                <w:rFonts w:ascii="Cambria Math" w:hAnsi="Cambria Math"/>
                                <w:sz w:val="18"/>
                                <w:szCs w:val="18"/>
                                <w:lang w:val="en-GB"/>
                              </w:rPr>
                              <m:t>X</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IX</m:t>
                                </m:r>
                              </m:sub>
                            </m:sSub>
                          </m:den>
                        </m:f>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E</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IE</m:t>
                                    </m:r>
                                  </m:sub>
                                </m:sSub>
                              </m:den>
                            </m:f>
                          </m:e>
                        </m:box>
                      </m:den>
                    </m:f>
                  </m:e>
                </m:box>
              </m:oMath>
            </m:oMathPara>
          </w:p>
        </w:tc>
        <w:tc>
          <w:tcPr>
            <w:tcW w:w="550" w:type="dxa"/>
            <w:tcBorders>
              <w:top w:val="single" w:sz="6" w:space="0" w:color="auto"/>
            </w:tcBorders>
            <w:vAlign w:val="center"/>
          </w:tcPr>
          <w:p w14:paraId="3AD62430" w14:textId="77777777" w:rsidR="00C833FB" w:rsidRDefault="00C833FB" w:rsidP="0077436F">
            <w:pPr>
              <w:pStyle w:val="Els-body-text"/>
              <w:spacing w:before="20" w:after="20"/>
              <w:jc w:val="left"/>
              <w:rPr>
                <w:lang w:val="en-GB"/>
              </w:rPr>
            </w:pPr>
            <w:r w:rsidRPr="00A94774">
              <w:rPr>
                <w:lang w:val="en-GB"/>
              </w:rPr>
              <w:t>(</w:t>
            </w:r>
            <w:r>
              <w:rPr>
                <w:lang w:val="en-GB"/>
              </w:rPr>
              <w:t>8</w:t>
            </w:r>
            <w:r w:rsidRPr="00A94774">
              <w:rPr>
                <w:lang w:val="en-GB"/>
              </w:rPr>
              <w:t>)</w:t>
            </w:r>
          </w:p>
        </w:tc>
      </w:tr>
      <w:tr w:rsidR="00C833FB" w:rsidRPr="00EC4DB6" w14:paraId="7D154086" w14:textId="77777777" w:rsidTr="00895F04">
        <w:tc>
          <w:tcPr>
            <w:tcW w:w="2827" w:type="dxa"/>
            <w:vAlign w:val="center"/>
          </w:tcPr>
          <w:p w14:paraId="1324C80B" w14:textId="77777777" w:rsidR="00C833FB" w:rsidRPr="00B05775" w:rsidRDefault="00000000" w:rsidP="0077436F">
            <w:pPr>
              <w:pStyle w:val="Els-body-text"/>
              <w:spacing w:before="20" w:after="20"/>
              <w:jc w:val="center"/>
              <w:rPr>
                <w:rFonts w:ascii="Cambria Math" w:hAnsi="Cambria Math"/>
                <w:i/>
                <w:sz w:val="18"/>
                <w:szCs w:val="18"/>
                <w:lang w:val="en-GB"/>
              </w:rPr>
            </w:pPr>
            <m:oMathPara>
              <m:oMathParaPr>
                <m:jc m:val="left"/>
              </m:oMathParaPr>
              <m:oMath>
                <m:m>
                  <m:mPr>
                    <m:mcs>
                      <m:mc>
                        <m:mcPr>
                          <m:count m:val="3"/>
                          <m:mcJc m:val="center"/>
                        </m:mcPr>
                      </m:mc>
                    </m:mcs>
                    <m:ctrlPr>
                      <w:rPr>
                        <w:rFonts w:ascii="Cambria Math" w:hAnsi="Cambria Math"/>
                        <w:i/>
                        <w:sz w:val="18"/>
                        <w:szCs w:val="18"/>
                        <w:lang w:val="en-GB"/>
                      </w:rPr>
                    </m:ctrlPr>
                  </m:mPr>
                  <m:mr>
                    <m:e>
                      <m:r>
                        <w:rPr>
                          <w:rFonts w:ascii="Cambria Math" w:hAnsi="Cambria Math"/>
                          <w:sz w:val="18"/>
                          <w:szCs w:val="18"/>
                          <w:lang w:val="en-GB"/>
                        </w:rPr>
                        <m:t xml:space="preserve">  </m:t>
                      </m:r>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4</m:t>
                          </m:r>
                        </m:sub>
                      </m:sSub>
                      <m:r>
                        <w:rPr>
                          <w:rFonts w:ascii="Cambria Math" w:hAnsi="Cambria Math"/>
                          <w:sz w:val="18"/>
                          <w:szCs w:val="18"/>
                          <w:lang w:val="en-GB"/>
                        </w:rPr>
                        <m:t>E+O</m:t>
                      </m:r>
                    </m:e>
                    <m:e>
                      <m:groupChr>
                        <m:groupChrPr>
                          <m:chr m:val="→"/>
                          <m:vertJc m:val="bot"/>
                          <m:ctrlPr>
                            <w:rPr>
                              <w:rFonts w:ascii="Cambria Math" w:hAnsi="Cambria Math"/>
                              <w:i/>
                              <w:sz w:val="18"/>
                              <w:szCs w:val="18"/>
                              <w:lang w:val="en-GB"/>
                            </w:rPr>
                          </m:ctrlPr>
                        </m:groupChrPr>
                        <m:e>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2</m:t>
                              </m:r>
                            </m:sub>
                          </m:sSub>
                          <m:r>
                            <w:rPr>
                              <w:rFonts w:ascii="Cambria Math" w:hAnsi="Cambria Math"/>
                              <w:sz w:val="18"/>
                              <w:szCs w:val="18"/>
                              <w:lang w:val="en-GB"/>
                            </w:rPr>
                            <m:t>X</m:t>
                          </m:r>
                        </m:e>
                      </m:groupChr>
                    </m:e>
                    <m:e>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3</m:t>
                          </m:r>
                        </m:sub>
                      </m:sSub>
                      <m:r>
                        <w:rPr>
                          <w:rFonts w:ascii="Cambria Math" w:hAnsi="Cambria Math"/>
                          <w:sz w:val="18"/>
                          <w:szCs w:val="18"/>
                          <w:lang w:val="en-GB"/>
                        </w:rPr>
                        <m:t>X</m:t>
                      </m:r>
                    </m:e>
                  </m:mr>
                </m:m>
              </m:oMath>
            </m:oMathPara>
          </w:p>
        </w:tc>
        <w:tc>
          <w:tcPr>
            <w:tcW w:w="3710" w:type="dxa"/>
            <w:vAlign w:val="center"/>
          </w:tcPr>
          <w:p w14:paraId="051B0EBD" w14:textId="307DD9E8" w:rsidR="00C833FB" w:rsidRPr="00B05775" w:rsidRDefault="00000000" w:rsidP="0077436F">
            <w:pPr>
              <w:pStyle w:val="Els-body-text"/>
              <w:spacing w:before="20" w:after="20"/>
              <w:jc w:val="center"/>
              <w:rPr>
                <w:rFonts w:ascii="Cambria Math" w:hAnsi="Cambria Math"/>
                <w:i/>
                <w:sz w:val="18"/>
                <w:szCs w:val="18"/>
                <w:lang w:val="en-GB"/>
              </w:rPr>
            </w:pPr>
            <m:oMathPara>
              <m:oMathParaPr>
                <m:jc m:val="left"/>
              </m:oMathParaPr>
              <m:oMath>
                <m:sSub>
                  <m:sSubPr>
                    <m:ctrlPr>
                      <w:rPr>
                        <w:rFonts w:ascii="Cambria Math" w:hAnsi="Cambria Math"/>
                        <w:i/>
                        <w:sz w:val="18"/>
                        <w:szCs w:val="18"/>
                        <w:lang w:val="en-GB"/>
                      </w:rPr>
                    </m:ctrlPr>
                  </m:sSubPr>
                  <m:e>
                    <m:r>
                      <w:rPr>
                        <w:rFonts w:ascii="Cambria Math" w:hAnsi="Cambria Math"/>
                        <w:sz w:val="18"/>
                        <w:szCs w:val="18"/>
                        <w:lang w:val="en-GB"/>
                      </w:rPr>
                      <m:t>r</m:t>
                    </m:r>
                  </m:e>
                  <m:sub>
                    <m:r>
                      <w:rPr>
                        <w:rFonts w:ascii="Cambria Math" w:hAnsi="Cambria Math"/>
                        <w:sz w:val="18"/>
                        <w:szCs w:val="18"/>
                        <w:lang w:val="en-GB"/>
                      </w:rPr>
                      <m:t>2</m:t>
                    </m:r>
                  </m:sub>
                </m:sSub>
                <m:r>
                  <w:rPr>
                    <w:rFonts w:ascii="Cambria Math" w:hAnsi="Cambria Math"/>
                    <w:sz w:val="18"/>
                    <w:szCs w:val="18"/>
                    <w:lang w:val="en-GB"/>
                  </w:rPr>
                  <m:t>=</m:t>
                </m:r>
                <m:sSub>
                  <m:sSubPr>
                    <m:ctrlPr>
                      <w:rPr>
                        <w:rFonts w:ascii="Cambria Math" w:hAnsi="Cambria Math"/>
                        <w:i/>
                        <w:sz w:val="18"/>
                        <w:szCs w:val="18"/>
                        <w:lang w:val="en-GB"/>
                      </w:rPr>
                    </m:ctrlPr>
                  </m:sSubPr>
                  <m:e>
                    <m:r>
                      <w:rPr>
                        <w:rFonts w:ascii="Cambria Math" w:hAnsi="Cambria Math"/>
                        <w:sz w:val="18"/>
                        <w:szCs w:val="18"/>
                        <w:lang w:val="en-GB"/>
                      </w:rPr>
                      <m:t>μ</m:t>
                    </m:r>
                  </m:e>
                  <m:sub>
                    <m:r>
                      <w:rPr>
                        <w:rFonts w:ascii="Cambria Math" w:hAnsi="Cambria Math"/>
                        <w:sz w:val="18"/>
                        <w:szCs w:val="18"/>
                        <w:lang w:val="en-GB"/>
                      </w:rPr>
                      <m:t>m2</m:t>
                    </m:r>
                  </m:sub>
                </m:sSub>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O</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O</m:t>
                            </m:r>
                          </m:sub>
                        </m:sSub>
                        <m:r>
                          <w:rPr>
                            <w:rFonts w:ascii="Cambria Math" w:hAnsi="Cambria Math"/>
                            <w:sz w:val="18"/>
                            <w:szCs w:val="18"/>
                            <w:lang w:val="en-GB"/>
                          </w:rPr>
                          <m:t>+O</m:t>
                        </m:r>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E</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E</m:t>
                            </m:r>
                          </m:sub>
                        </m:sSub>
                        <m:r>
                          <w:rPr>
                            <w:rFonts w:ascii="Cambria Math" w:hAnsi="Cambria Math"/>
                            <w:sz w:val="18"/>
                            <w:szCs w:val="18"/>
                            <w:lang w:val="en-GB"/>
                          </w:rPr>
                          <m:t>+E</m:t>
                        </m:r>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X</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IX</m:t>
                                    </m:r>
                                  </m:sub>
                                </m:sSub>
                              </m:den>
                            </m:f>
                          </m:e>
                        </m:box>
                      </m:den>
                    </m:f>
                  </m:e>
                </m:box>
                <m:r>
                  <w:rPr>
                    <w:rFonts w:ascii="Cambria Math" w:hAnsi="Cambria Math"/>
                    <w:sz w:val="18"/>
                    <w:szCs w:val="18"/>
                    <w:lang w:val="en-GB"/>
                  </w:rPr>
                  <m:t>⋅</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1</m:t>
                        </m:r>
                      </m:num>
                      <m:den>
                        <m:r>
                          <w:rPr>
                            <w:rFonts w:ascii="Cambria Math" w:hAnsi="Cambria Math"/>
                            <w:sz w:val="18"/>
                            <w:szCs w:val="18"/>
                            <w:lang w:val="en-GB"/>
                          </w:rPr>
                          <m:t>1+</m:t>
                        </m:r>
                        <m:box>
                          <m:boxPr>
                            <m:ctrlPr>
                              <w:rPr>
                                <w:rFonts w:ascii="Cambria Math" w:hAnsi="Cambria Math"/>
                                <w:i/>
                                <w:sz w:val="18"/>
                                <w:szCs w:val="18"/>
                                <w:lang w:val="en-GB"/>
                              </w:rPr>
                            </m:ctrlPr>
                          </m:boxPr>
                          <m:e>
                            <m:argPr>
                              <m:argSz m:val="-1"/>
                            </m:argPr>
                            <m:f>
                              <m:fPr>
                                <m:ctrlPr>
                                  <w:rPr>
                                    <w:rFonts w:ascii="Cambria Math" w:hAnsi="Cambria Math"/>
                                    <w:i/>
                                    <w:sz w:val="18"/>
                                    <w:szCs w:val="18"/>
                                    <w:lang w:val="en-GB"/>
                                  </w:rPr>
                                </m:ctrlPr>
                              </m:fPr>
                              <m:num>
                                <m:r>
                                  <w:rPr>
                                    <w:rFonts w:ascii="Cambria Math" w:hAnsi="Cambria Math"/>
                                    <w:sz w:val="18"/>
                                    <w:szCs w:val="18"/>
                                    <w:lang w:val="en-GB"/>
                                  </w:rPr>
                                  <m:t>S</m:t>
                                </m:r>
                              </m:num>
                              <m:den>
                                <m:sSub>
                                  <m:sSubPr>
                                    <m:ctrlPr>
                                      <w:rPr>
                                        <w:rFonts w:ascii="Cambria Math" w:hAnsi="Cambria Math"/>
                                        <w:i/>
                                        <w:sz w:val="18"/>
                                        <w:szCs w:val="18"/>
                                        <w:lang w:val="en-GB"/>
                                      </w:rPr>
                                    </m:ctrlPr>
                                  </m:sSubPr>
                                  <m:e>
                                    <m:r>
                                      <w:rPr>
                                        <w:rFonts w:ascii="Cambria Math" w:hAnsi="Cambria Math"/>
                                        <w:sz w:val="18"/>
                                        <w:szCs w:val="18"/>
                                        <w:lang w:val="en-GB"/>
                                      </w:rPr>
                                      <m:t>K</m:t>
                                    </m:r>
                                  </m:e>
                                  <m:sub>
                                    <m:r>
                                      <w:rPr>
                                        <w:rFonts w:ascii="Cambria Math" w:hAnsi="Cambria Math"/>
                                        <w:sz w:val="18"/>
                                        <w:szCs w:val="18"/>
                                        <w:lang w:val="en-GB"/>
                                      </w:rPr>
                                      <m:t>IS</m:t>
                                    </m:r>
                                  </m:sub>
                                </m:sSub>
                              </m:den>
                            </m:f>
                          </m:e>
                        </m:box>
                      </m:den>
                    </m:f>
                  </m:e>
                </m:box>
              </m:oMath>
            </m:oMathPara>
          </w:p>
        </w:tc>
        <w:tc>
          <w:tcPr>
            <w:tcW w:w="550" w:type="dxa"/>
            <w:vAlign w:val="center"/>
          </w:tcPr>
          <w:p w14:paraId="7A1119BC" w14:textId="77777777" w:rsidR="00C833FB" w:rsidRPr="003450C6" w:rsidRDefault="00C833FB" w:rsidP="0077436F">
            <w:pPr>
              <w:pStyle w:val="Els-body-text"/>
              <w:spacing w:before="20" w:after="20"/>
              <w:jc w:val="left"/>
              <w:rPr>
                <w:rFonts w:ascii="Cambria Math" w:hAnsi="Cambria Math"/>
                <w:i/>
                <w:lang w:val="en-GB"/>
              </w:rPr>
            </w:pPr>
            <w:r w:rsidRPr="00EC4DB6">
              <w:rPr>
                <w:lang w:val="en-GB"/>
              </w:rPr>
              <w:t>(</w:t>
            </w:r>
            <w:r>
              <w:rPr>
                <w:lang w:val="en-GB"/>
              </w:rPr>
              <w:t>9</w:t>
            </w:r>
            <w:r w:rsidRPr="00EC4DB6">
              <w:rPr>
                <w:lang w:val="en-GB"/>
              </w:rPr>
              <w:t>)</w:t>
            </w:r>
          </w:p>
        </w:tc>
      </w:tr>
      <w:tr w:rsidR="00C833FB" w:rsidRPr="00EC4DB6" w14:paraId="5ABD62B3" w14:textId="77777777" w:rsidTr="00895F04">
        <w:tc>
          <w:tcPr>
            <w:tcW w:w="2827" w:type="dxa"/>
          </w:tcPr>
          <w:p w14:paraId="33593F01" w14:textId="77777777" w:rsidR="00C833FB" w:rsidRPr="00B05775" w:rsidRDefault="00C833FB" w:rsidP="0077436F">
            <w:pPr>
              <w:pStyle w:val="Els-body-text"/>
              <w:spacing w:before="40" w:after="40"/>
              <w:jc w:val="center"/>
              <w:rPr>
                <w:rFonts w:ascii="Cambria Math" w:hAnsi="Cambria Math"/>
                <w:i/>
                <w:sz w:val="18"/>
                <w:szCs w:val="18"/>
                <w:lang w:val="en-GB"/>
              </w:rPr>
            </w:pPr>
          </w:p>
        </w:tc>
        <w:tc>
          <w:tcPr>
            <w:tcW w:w="3710" w:type="dxa"/>
          </w:tcPr>
          <w:p w14:paraId="01D2D99E" w14:textId="77777777" w:rsidR="00C833FB" w:rsidRPr="00231D7E"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dX</m:t>
                        </m:r>
                      </m:num>
                      <m:den>
                        <m:r>
                          <w:rPr>
                            <w:rFonts w:ascii="Cambria Math" w:hAnsi="Cambria Math"/>
                            <w:lang w:val="en-GB"/>
                          </w:rPr>
                          <m:t>dt</m:t>
                        </m:r>
                      </m:den>
                    </m:f>
                    <m:r>
                      <w:rPr>
                        <w:rFonts w:ascii="Cambria Math" w:hAnsi="Cambria Math"/>
                        <w:lang w:val="en-GB"/>
                      </w:rPr>
                      <m:t xml:space="preserve"> =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e>
                    </m:d>
                    <m:r>
                      <w:rPr>
                        <w:rFonts w:ascii="Cambria Math" w:hAnsi="Cambria Math"/>
                        <w:lang w:val="en-GB"/>
                      </w:rPr>
                      <m:t>⋅X-D⋅X</m:t>
                    </m:r>
                  </m:e>
                </m:box>
              </m:oMath>
            </m:oMathPara>
          </w:p>
        </w:tc>
        <w:tc>
          <w:tcPr>
            <w:tcW w:w="550" w:type="dxa"/>
            <w:vAlign w:val="center"/>
          </w:tcPr>
          <w:p w14:paraId="10F3241F" w14:textId="77777777" w:rsidR="00C833FB" w:rsidRPr="00EC4DB6" w:rsidRDefault="00C833FB" w:rsidP="0077436F">
            <w:pPr>
              <w:pStyle w:val="Els-body-text"/>
              <w:spacing w:before="20" w:after="20"/>
              <w:jc w:val="left"/>
              <w:rPr>
                <w:rFonts w:ascii="Cambria Math" w:hAnsi="Cambria Math"/>
                <w:i/>
                <w:lang w:val="en-GB"/>
              </w:rPr>
            </w:pPr>
            <w:r w:rsidRPr="00EC4DB6">
              <w:rPr>
                <w:lang w:val="en-GB"/>
              </w:rPr>
              <w:t>(</w:t>
            </w:r>
            <w:r>
              <w:rPr>
                <w:lang w:val="en-GB"/>
              </w:rPr>
              <w:t>10</w:t>
            </w:r>
            <w:r w:rsidRPr="00EC4DB6">
              <w:rPr>
                <w:lang w:val="en-GB"/>
              </w:rPr>
              <w:t>)</w:t>
            </w:r>
          </w:p>
        </w:tc>
      </w:tr>
      <w:tr w:rsidR="00C833FB" w14:paraId="162D92CE" w14:textId="77777777" w:rsidTr="00895F04">
        <w:tc>
          <w:tcPr>
            <w:tcW w:w="2827" w:type="dxa"/>
          </w:tcPr>
          <w:p w14:paraId="2E8048AB" w14:textId="77777777" w:rsidR="00C833FB" w:rsidRPr="00B05775" w:rsidRDefault="00C833FB" w:rsidP="0077436F">
            <w:pPr>
              <w:pStyle w:val="Els-body-text"/>
              <w:spacing w:before="20" w:after="20"/>
              <w:jc w:val="center"/>
              <w:rPr>
                <w:rFonts w:ascii="Cambria Math" w:hAnsi="Cambria Math"/>
                <w:i/>
                <w:sz w:val="18"/>
                <w:szCs w:val="18"/>
                <w:lang w:val="en-GB"/>
              </w:rPr>
            </w:pPr>
          </w:p>
        </w:tc>
        <w:tc>
          <w:tcPr>
            <w:tcW w:w="3710" w:type="dxa"/>
          </w:tcPr>
          <w:p w14:paraId="0A708138" w14:textId="77777777" w:rsidR="00C833FB" w:rsidRPr="00231D7E"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dS</m:t>
                        </m:r>
                      </m:num>
                      <m:den>
                        <m:r>
                          <w:rPr>
                            <w:rFonts w:ascii="Cambria Math" w:hAnsi="Cambria Math"/>
                            <w:lang w:val="en-GB"/>
                          </w:rPr>
                          <m:t>dt</m:t>
                        </m:r>
                      </m:den>
                    </m:f>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⋅X-D⋅S+D⋅</m:t>
                    </m:r>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in</m:t>
                        </m:r>
                      </m:sub>
                    </m:sSub>
                  </m:e>
                </m:box>
              </m:oMath>
            </m:oMathPara>
          </w:p>
        </w:tc>
        <w:tc>
          <w:tcPr>
            <w:tcW w:w="550" w:type="dxa"/>
            <w:vAlign w:val="center"/>
          </w:tcPr>
          <w:p w14:paraId="191A048F" w14:textId="77777777" w:rsidR="00C833FB" w:rsidRPr="00EC4DB6" w:rsidRDefault="00C833FB" w:rsidP="0077436F">
            <w:pPr>
              <w:pStyle w:val="Els-body-text"/>
              <w:spacing w:before="20" w:after="20"/>
              <w:jc w:val="left"/>
              <w:rPr>
                <w:rFonts w:ascii="Cambria Math" w:hAnsi="Cambria Math"/>
                <w:i/>
                <w:lang w:val="en-GB"/>
              </w:rPr>
            </w:pPr>
            <w:r w:rsidRPr="00EC4DB6">
              <w:rPr>
                <w:lang w:val="en-GB"/>
              </w:rPr>
              <w:t>(</w:t>
            </w:r>
            <w:r>
              <w:rPr>
                <w:lang w:val="en-GB"/>
              </w:rPr>
              <w:t>11</w:t>
            </w:r>
            <w:r w:rsidRPr="00EC4DB6">
              <w:rPr>
                <w:lang w:val="en-GB"/>
              </w:rPr>
              <w:t>)</w:t>
            </w:r>
          </w:p>
        </w:tc>
      </w:tr>
      <w:tr w:rsidR="00C833FB" w:rsidRPr="00EC4DB6" w14:paraId="46D27596" w14:textId="77777777" w:rsidTr="00895F04">
        <w:tc>
          <w:tcPr>
            <w:tcW w:w="2827" w:type="dxa"/>
          </w:tcPr>
          <w:p w14:paraId="6D65ACCB" w14:textId="77777777" w:rsidR="00C833FB" w:rsidRPr="00B05775" w:rsidRDefault="00C833FB" w:rsidP="0077436F">
            <w:pPr>
              <w:pStyle w:val="Els-body-text"/>
              <w:spacing w:before="20" w:after="20"/>
              <w:jc w:val="center"/>
              <w:rPr>
                <w:rFonts w:ascii="Cambria Math" w:hAnsi="Cambria Math"/>
                <w:i/>
                <w:sz w:val="18"/>
                <w:szCs w:val="18"/>
                <w:lang w:val="en-GB"/>
              </w:rPr>
            </w:pPr>
          </w:p>
        </w:tc>
        <w:tc>
          <w:tcPr>
            <w:tcW w:w="3710" w:type="dxa"/>
          </w:tcPr>
          <w:p w14:paraId="70A2DE48" w14:textId="77777777" w:rsidR="00C833FB" w:rsidRPr="00231D7E"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dE</m:t>
                        </m:r>
                      </m:num>
                      <m:den>
                        <m:r>
                          <w:rPr>
                            <w:rFonts w:ascii="Cambria Math" w:hAnsi="Cambria Math"/>
                            <w:lang w:val="en-GB"/>
                          </w:rPr>
                          <m:t>dt</m:t>
                        </m:r>
                      </m:den>
                    </m:f>
                    <m:r>
                      <w:rPr>
                        <w:rFonts w:ascii="Cambria Math" w:hAnsi="Cambria Math"/>
                        <w:lang w:val="en-GB"/>
                      </w:rPr>
                      <m:t xml:space="preserve"> = </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e>
                    </m:d>
                    <m:r>
                      <w:rPr>
                        <w:rFonts w:ascii="Cambria Math" w:hAnsi="Cambria Math"/>
                        <w:lang w:val="en-GB"/>
                      </w:rPr>
                      <m:t>⋅X-D⋅E</m:t>
                    </m:r>
                  </m:e>
                </m:box>
              </m:oMath>
            </m:oMathPara>
          </w:p>
        </w:tc>
        <w:tc>
          <w:tcPr>
            <w:tcW w:w="550" w:type="dxa"/>
            <w:vAlign w:val="center"/>
          </w:tcPr>
          <w:p w14:paraId="333657C8" w14:textId="77777777" w:rsidR="00C833FB" w:rsidRPr="00EC4DB6" w:rsidRDefault="00C833FB" w:rsidP="0077436F">
            <w:pPr>
              <w:pStyle w:val="Els-body-text"/>
              <w:spacing w:before="20" w:after="20"/>
              <w:jc w:val="left"/>
              <w:rPr>
                <w:lang w:val="en-GB"/>
              </w:rPr>
            </w:pPr>
            <w:r w:rsidRPr="00EC4DB6">
              <w:rPr>
                <w:lang w:val="en-GB"/>
              </w:rPr>
              <w:t>(</w:t>
            </w:r>
            <w:r>
              <w:rPr>
                <w:lang w:val="en-GB"/>
              </w:rPr>
              <w:t>12</w:t>
            </w:r>
            <w:r w:rsidRPr="00EC4DB6">
              <w:rPr>
                <w:lang w:val="en-GB"/>
              </w:rPr>
              <w:t>)</w:t>
            </w:r>
          </w:p>
        </w:tc>
      </w:tr>
      <w:tr w:rsidR="00C833FB" w:rsidRPr="00EC4DB6" w14:paraId="3F68A83C" w14:textId="77777777" w:rsidTr="00A70B12">
        <w:tc>
          <w:tcPr>
            <w:tcW w:w="2827" w:type="dxa"/>
          </w:tcPr>
          <w:p w14:paraId="12F5E4D8" w14:textId="77777777" w:rsidR="00C833FB" w:rsidRPr="00EF5E72" w:rsidRDefault="00C833FB" w:rsidP="0077436F">
            <w:pPr>
              <w:pStyle w:val="Els-body-text"/>
              <w:spacing w:before="40" w:after="40"/>
              <w:jc w:val="center"/>
              <w:rPr>
                <w:rFonts w:ascii="Cambria Math" w:hAnsi="Cambria Math"/>
                <w:i/>
                <w:sz w:val="18"/>
                <w:szCs w:val="18"/>
                <w:lang w:val="en-GB"/>
              </w:rPr>
            </w:pPr>
          </w:p>
        </w:tc>
        <w:tc>
          <w:tcPr>
            <w:tcW w:w="3710" w:type="dxa"/>
          </w:tcPr>
          <w:p w14:paraId="7E58F4C7" w14:textId="11743524" w:rsidR="00C833FB" w:rsidRPr="00231D7E" w:rsidRDefault="00000000" w:rsidP="0077436F">
            <w:pPr>
              <w:pStyle w:val="Els-body-text"/>
              <w:spacing w:before="20" w:after="20"/>
              <w:jc w:val="center"/>
              <w:rPr>
                <w:rFonts w:ascii="Cambria Math" w:hAnsi="Cambria Math"/>
                <w:i/>
                <w:lang w:val="en-GB"/>
              </w:rPr>
            </w:pPr>
            <m:oMathPara>
              <m:oMathParaPr>
                <m:jc m:val="left"/>
              </m:oMathPara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dO</m:t>
                        </m:r>
                      </m:num>
                      <m:den>
                        <m:r>
                          <w:rPr>
                            <w:rFonts w:ascii="Cambria Math" w:hAnsi="Cambria Math"/>
                            <w:lang w:val="en-GB"/>
                          </w:rPr>
                          <m:t>dt</m:t>
                        </m:r>
                      </m:den>
                    </m:f>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2</m:t>
                        </m:r>
                      </m:sub>
                    </m:sSub>
                    <m:r>
                      <w:rPr>
                        <w:rFonts w:ascii="Cambria Math" w:hAnsi="Cambria Math"/>
                        <w:lang w:val="en-GB"/>
                      </w:rPr>
                      <m:t>⋅X-D⋅O+OTR</m:t>
                    </m:r>
                  </m:e>
                </m:box>
              </m:oMath>
            </m:oMathPara>
          </w:p>
        </w:tc>
        <w:tc>
          <w:tcPr>
            <w:tcW w:w="550" w:type="dxa"/>
            <w:vAlign w:val="center"/>
          </w:tcPr>
          <w:p w14:paraId="35B36CFB" w14:textId="77777777" w:rsidR="00C833FB" w:rsidRPr="00EC4DB6" w:rsidRDefault="00C833FB" w:rsidP="0077436F">
            <w:pPr>
              <w:pStyle w:val="Els-body-text"/>
              <w:spacing w:before="20" w:after="20"/>
              <w:jc w:val="left"/>
              <w:rPr>
                <w:lang w:val="en-GB"/>
              </w:rPr>
            </w:pPr>
            <w:r w:rsidRPr="00EC4DB6">
              <w:rPr>
                <w:lang w:val="en-GB"/>
              </w:rPr>
              <w:t>(</w:t>
            </w:r>
            <w:r>
              <w:rPr>
                <w:lang w:val="en-GB"/>
              </w:rPr>
              <w:t>13</w:t>
            </w:r>
            <w:r w:rsidRPr="00EC4DB6">
              <w:rPr>
                <w:lang w:val="en-GB"/>
              </w:rPr>
              <w:t>)</w:t>
            </w:r>
          </w:p>
        </w:tc>
      </w:tr>
      <w:tr w:rsidR="00A70B12" w:rsidRPr="00EC4DB6" w14:paraId="319D33A7" w14:textId="77777777" w:rsidTr="00A70B12">
        <w:tc>
          <w:tcPr>
            <w:tcW w:w="2827" w:type="dxa"/>
            <w:tcBorders>
              <w:bottom w:val="single" w:sz="4" w:space="0" w:color="auto"/>
            </w:tcBorders>
          </w:tcPr>
          <w:p w14:paraId="083BD9E1" w14:textId="77777777" w:rsidR="00A70B12" w:rsidRPr="00EF5E72" w:rsidRDefault="00A70B12" w:rsidP="0077436F">
            <w:pPr>
              <w:pStyle w:val="Els-body-text"/>
              <w:spacing w:before="40" w:after="40"/>
              <w:jc w:val="center"/>
              <w:rPr>
                <w:rFonts w:ascii="Cambria Math" w:hAnsi="Cambria Math"/>
                <w:i/>
                <w:sz w:val="18"/>
                <w:szCs w:val="18"/>
                <w:lang w:val="en-GB"/>
              </w:rPr>
            </w:pPr>
          </w:p>
        </w:tc>
        <w:tc>
          <w:tcPr>
            <w:tcW w:w="3710" w:type="dxa"/>
            <w:tcBorders>
              <w:bottom w:val="single" w:sz="4" w:space="0" w:color="auto"/>
            </w:tcBorders>
            <w:vAlign w:val="center"/>
          </w:tcPr>
          <w:p w14:paraId="7B223D10" w14:textId="3E75033A" w:rsidR="00A70B12" w:rsidRPr="00231D7E" w:rsidRDefault="00000000" w:rsidP="00A70B12">
            <w:pPr>
              <w:pStyle w:val="Els-body-text"/>
              <w:spacing w:before="20" w:after="20"/>
              <w:jc w:val="left"/>
              <w:rPr>
                <w:rFonts w:ascii="Cambria Math" w:hAnsi="Cambria Math"/>
                <w:i/>
                <w:lang w:val="en-GB"/>
              </w:rPr>
            </w:pPr>
            <m:oMath>
              <m:box>
                <m:boxPr>
                  <m:ctrlPr>
                    <w:rPr>
                      <w:rFonts w:ascii="Cambria Math" w:hAnsi="Cambria Math"/>
                      <w:i/>
                      <w:lang w:val="en-GB"/>
                    </w:rPr>
                  </m:ctrlPr>
                </m:boxPr>
                <m:e>
                  <m:argPr>
                    <m:argSz m:val="-1"/>
                  </m:argPr>
                  <m:f>
                    <m:fPr>
                      <m:ctrlPr>
                        <w:rPr>
                          <w:rFonts w:ascii="Cambria Math" w:hAnsi="Cambria Math"/>
                          <w:i/>
                          <w:lang w:val="en-GB"/>
                        </w:rPr>
                      </m:ctrlPr>
                    </m:fPr>
                    <m:num>
                      <m:r>
                        <w:rPr>
                          <w:rFonts w:ascii="Cambria Math" w:hAnsi="Cambria Math"/>
                          <w:lang w:val="en-GB"/>
                        </w:rPr>
                        <m:t>dV</m:t>
                      </m:r>
                    </m:num>
                    <m:den>
                      <m:r>
                        <w:rPr>
                          <w:rFonts w:ascii="Cambria Math" w:hAnsi="Cambria Math"/>
                          <w:lang w:val="en-GB"/>
                        </w:rPr>
                        <m:t>dt</m:t>
                      </m:r>
                    </m:den>
                  </m:f>
                  <m:r>
                    <w:rPr>
                      <w:rFonts w:ascii="Cambria Math" w:hAnsi="Cambria Math"/>
                      <w:lang w:val="en-GB"/>
                    </w:rPr>
                    <m:t xml:space="preserve"> = D⋅V=</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in</m:t>
                      </m:r>
                    </m:sub>
                  </m:sSub>
                </m:e>
              </m:box>
            </m:oMath>
            <w:r w:rsidR="00A70B12" w:rsidRPr="00231D7E">
              <w:rPr>
                <w:rFonts w:ascii="Cambria Math" w:hAnsi="Cambria Math"/>
                <w:i/>
                <w:lang w:val="en-GB"/>
              </w:rPr>
              <w:t xml:space="preserve"> </w:t>
            </w:r>
          </w:p>
        </w:tc>
        <w:tc>
          <w:tcPr>
            <w:tcW w:w="550" w:type="dxa"/>
            <w:tcBorders>
              <w:bottom w:val="single" w:sz="4" w:space="0" w:color="auto"/>
            </w:tcBorders>
            <w:vAlign w:val="center"/>
          </w:tcPr>
          <w:p w14:paraId="6B8D9515" w14:textId="1E4B1A94" w:rsidR="00A70B12" w:rsidRPr="00EC4DB6" w:rsidRDefault="00A70B12" w:rsidP="0077436F">
            <w:pPr>
              <w:pStyle w:val="Els-body-text"/>
              <w:spacing w:before="20" w:after="20"/>
              <w:jc w:val="left"/>
              <w:rPr>
                <w:lang w:val="en-GB"/>
              </w:rPr>
            </w:pPr>
            <w:r w:rsidRPr="00EC4DB6">
              <w:rPr>
                <w:lang w:val="en-GB"/>
              </w:rPr>
              <w:t>(</w:t>
            </w:r>
            <w:r>
              <w:rPr>
                <w:lang w:val="en-GB"/>
              </w:rPr>
              <w:t>14</w:t>
            </w:r>
            <w:r w:rsidRPr="00EC4DB6">
              <w:rPr>
                <w:lang w:val="en-GB"/>
              </w:rPr>
              <w:t>)</w:t>
            </w:r>
          </w:p>
        </w:tc>
      </w:tr>
      <w:tr w:rsidR="00895F04" w:rsidRPr="00EC4DB6" w14:paraId="6B7B2247" w14:textId="77777777" w:rsidTr="00A70B12">
        <w:tc>
          <w:tcPr>
            <w:tcW w:w="7087" w:type="dxa"/>
            <w:gridSpan w:val="3"/>
            <w:tcBorders>
              <w:top w:val="single" w:sz="4" w:space="0" w:color="auto"/>
            </w:tcBorders>
          </w:tcPr>
          <w:p w14:paraId="4E1DE230" w14:textId="5DF5CB07" w:rsidR="00895F04" w:rsidRPr="00EF5E72" w:rsidRDefault="00F120BC" w:rsidP="00CD1EB1">
            <w:pPr>
              <w:pStyle w:val="Els-body-text"/>
              <w:spacing w:before="16" w:line="170" w:lineRule="auto"/>
              <w:rPr>
                <w:lang w:val="en-GB"/>
              </w:rPr>
            </w:pPr>
            <m:oMath>
              <m:r>
                <w:rPr>
                  <w:rFonts w:ascii="Cambria Math" w:hAnsi="Cambria Math"/>
                  <w:spacing w:val="-10"/>
                  <w:sz w:val="16"/>
                </w:rPr>
                <m:t>O</m:t>
              </m:r>
            </m:oMath>
            <w:r w:rsidR="00CD1EB1" w:rsidRPr="00EF5E72">
              <w:rPr>
                <w:spacing w:val="-10"/>
                <w:sz w:val="16"/>
              </w:rPr>
              <w:t xml:space="preserve"> </w:t>
            </w:r>
            <w:r w:rsidR="00DD5CB2" w:rsidRPr="00EF5E72">
              <w:rPr>
                <w:spacing w:val="-10"/>
                <w:sz w:val="16"/>
              </w:rPr>
              <w:t>:</w:t>
            </w:r>
            <w:r w:rsidR="00A6317F" w:rsidRPr="00EF5E72">
              <w:rPr>
                <w:sz w:val="16"/>
              </w:rPr>
              <w:t xml:space="preserve"> </w:t>
            </w:r>
            <w:r w:rsidR="002F5C60" w:rsidRPr="00EF5E72">
              <w:rPr>
                <w:sz w:val="16"/>
              </w:rPr>
              <w:t>concentration of d</w:t>
            </w:r>
            <w:r w:rsidR="00BD5277" w:rsidRPr="00EF5E72">
              <w:rPr>
                <w:sz w:val="16"/>
              </w:rPr>
              <w:t>issolved oxygen</w:t>
            </w:r>
            <w:r w:rsidR="00DD5CB2" w:rsidRPr="00EF5E72">
              <w:rPr>
                <w:sz w:val="16"/>
              </w:rPr>
              <w:t xml:space="preserve"> </w:t>
            </w:r>
            <w:r w:rsidRPr="00EF5E72">
              <w:rPr>
                <w:rFonts w:ascii="Euclid" w:hAnsi="Euclid"/>
                <w:sz w:val="16"/>
              </w:rPr>
              <w:t>[</w:t>
            </w:r>
            <w:r w:rsidRPr="00EF5E72">
              <w:rPr>
                <w:sz w:val="16"/>
              </w:rPr>
              <w:t>g</w:t>
            </w:r>
            <w:r w:rsidRPr="00EF5E72">
              <w:rPr>
                <w:rFonts w:ascii="Comic Sans MS" w:hAnsi="Comic Sans MS"/>
                <w:i/>
                <w:sz w:val="16"/>
              </w:rPr>
              <w:t>/</w:t>
            </w:r>
            <w:r w:rsidRPr="00EF5E72">
              <w:rPr>
                <w:sz w:val="16"/>
              </w:rPr>
              <w:t>L</w:t>
            </w:r>
            <w:r w:rsidRPr="00EF5E72">
              <w:rPr>
                <w:rFonts w:ascii="Euclid" w:hAnsi="Euclid"/>
                <w:sz w:val="16"/>
              </w:rPr>
              <w:t>]</w:t>
            </w:r>
            <w:r w:rsidRPr="00EF5E72">
              <w:rPr>
                <w:sz w:val="16"/>
              </w:rPr>
              <w:t xml:space="preserve">; </w:t>
            </w:r>
            <w:r w:rsidR="00DD5CB2" w:rsidRPr="00EF5E72">
              <w:rPr>
                <w:sz w:val="16"/>
              </w:rPr>
              <w:t>OTR</w:t>
            </w:r>
            <w:r w:rsidRPr="00EF5E72">
              <w:rPr>
                <w:sz w:val="16"/>
              </w:rPr>
              <w:t>:</w:t>
            </w:r>
            <w:r w:rsidR="00DD5CB2" w:rsidRPr="00EF5E72">
              <w:rPr>
                <w:sz w:val="16"/>
              </w:rPr>
              <w:t xml:space="preserve"> O</w:t>
            </w:r>
            <w:r w:rsidR="00D31812" w:rsidRPr="00EF5E72">
              <w:rPr>
                <w:sz w:val="16"/>
              </w:rPr>
              <w:t xml:space="preserve">xygen </w:t>
            </w:r>
            <w:r w:rsidR="00DD5CB2" w:rsidRPr="00EF5E72">
              <w:rPr>
                <w:sz w:val="16"/>
              </w:rPr>
              <w:t>transfer rate</w:t>
            </w:r>
            <w:r w:rsidRPr="00EF5E72">
              <w:rPr>
                <w:sz w:val="16"/>
              </w:rPr>
              <w:t xml:space="preserve"> </w:t>
            </w:r>
            <w:r w:rsidRPr="00EF5E72">
              <w:rPr>
                <w:rFonts w:ascii="Euclid" w:hAnsi="Euclid"/>
                <w:sz w:val="16"/>
              </w:rPr>
              <w:t>[</w:t>
            </w:r>
            <w:r w:rsidR="00DD5CB2" w:rsidRPr="00EF5E72">
              <w:rPr>
                <w:rFonts w:ascii="Euclid" w:hAnsi="Euclid"/>
                <w:sz w:val="16"/>
              </w:rPr>
              <w:t>g/</w:t>
            </w:r>
            <w:proofErr w:type="spellStart"/>
            <w:r w:rsidR="00DD5CB2" w:rsidRPr="00EF5E72">
              <w:rPr>
                <w:rFonts w:ascii="Euclid" w:hAnsi="Euclid"/>
                <w:sz w:val="16"/>
              </w:rPr>
              <w:t>Lh</w:t>
            </w:r>
            <w:proofErr w:type="spellEnd"/>
            <w:r w:rsidRPr="00EF5E72">
              <w:rPr>
                <w:rFonts w:ascii="Euclid" w:hAnsi="Euclid"/>
                <w:sz w:val="16"/>
              </w:rPr>
              <w:t>]</w:t>
            </w:r>
            <w:r w:rsidR="00DD5CB2" w:rsidRPr="00EF5E72">
              <w:rPr>
                <w:rFonts w:ascii="Euclid" w:hAnsi="Euclid"/>
                <w:sz w:val="16"/>
              </w:rPr>
              <w:t>;</w:t>
            </w:r>
            <w:r w:rsidR="006D233E" w:rsidRPr="00EF5E72">
              <w:rPr>
                <w:rFonts w:ascii="Euclid" w:hAnsi="Euclid"/>
                <w:sz w:val="16"/>
              </w:rPr>
              <w:t xml:space="preserve"> </w:t>
            </w:r>
            <m:oMath>
              <m:sSub>
                <m:sSubPr>
                  <m:ctrlPr>
                    <w:rPr>
                      <w:rFonts w:ascii="Cambria Math" w:hAnsi="Cambria Math"/>
                      <w:i/>
                      <w:sz w:val="16"/>
                    </w:rPr>
                  </m:ctrlPr>
                </m:sSubPr>
                <m:e>
                  <m:r>
                    <w:rPr>
                      <w:rFonts w:ascii="Cambria Math" w:hAnsi="Cambria Math"/>
                      <w:sz w:val="16"/>
                    </w:rPr>
                    <m:t>K</m:t>
                  </m:r>
                </m:e>
                <m:sub>
                  <m:r>
                    <w:rPr>
                      <w:rFonts w:ascii="Cambria Math" w:hAnsi="Cambria Math"/>
                      <w:sz w:val="16"/>
                    </w:rPr>
                    <m:t>o</m:t>
                  </m:r>
                </m:sub>
              </m:sSub>
            </m:oMath>
            <w:r w:rsidR="00740A82" w:rsidRPr="00EF5E72">
              <w:rPr>
                <w:sz w:val="16"/>
              </w:rPr>
              <w:t>:</w:t>
            </w:r>
            <w:r w:rsidR="00BD0140" w:rsidRPr="00EF5E72">
              <w:rPr>
                <w:sz w:val="16"/>
              </w:rPr>
              <w:t xml:space="preserve"> Oxygen</w:t>
            </w:r>
            <w:r w:rsidR="00740A82" w:rsidRPr="00EF5E72">
              <w:rPr>
                <w:spacing w:val="-2"/>
                <w:sz w:val="16"/>
              </w:rPr>
              <w:t xml:space="preserve"> </w:t>
            </w:r>
            <w:r w:rsidR="00740A82" w:rsidRPr="00EF5E72">
              <w:rPr>
                <w:sz w:val="16"/>
              </w:rPr>
              <w:t>half-saturation</w:t>
            </w:r>
            <w:r w:rsidR="00740A82" w:rsidRPr="00EF5E72">
              <w:rPr>
                <w:spacing w:val="-2"/>
                <w:sz w:val="16"/>
              </w:rPr>
              <w:t xml:space="preserve"> </w:t>
            </w:r>
            <w:r w:rsidR="00740A82" w:rsidRPr="00EF5E72">
              <w:rPr>
                <w:sz w:val="16"/>
              </w:rPr>
              <w:t>constant</w:t>
            </w:r>
            <w:r w:rsidR="00740A82" w:rsidRPr="00EF5E72">
              <w:rPr>
                <w:rFonts w:ascii="Euclid" w:hAnsi="Euclid"/>
                <w:sz w:val="16"/>
              </w:rPr>
              <w:t>[</w:t>
            </w:r>
            <w:r w:rsidR="00740A82" w:rsidRPr="00EF5E72">
              <w:rPr>
                <w:sz w:val="16"/>
              </w:rPr>
              <w:t>g</w:t>
            </w:r>
            <w:r w:rsidR="00740A82" w:rsidRPr="00EF5E72">
              <w:rPr>
                <w:rFonts w:ascii="Comic Sans MS" w:hAnsi="Comic Sans MS"/>
                <w:i/>
                <w:sz w:val="16"/>
              </w:rPr>
              <w:t>/</w:t>
            </w:r>
            <w:r w:rsidR="00740A82" w:rsidRPr="00EF5E72">
              <w:rPr>
                <w:sz w:val="16"/>
              </w:rPr>
              <w:t>L</w:t>
            </w:r>
            <w:r w:rsidR="00740A82" w:rsidRPr="00EF5E72">
              <w:rPr>
                <w:rFonts w:ascii="Euclid" w:hAnsi="Euclid"/>
                <w:sz w:val="16"/>
              </w:rPr>
              <w:t>]</w:t>
            </w:r>
            <w:r w:rsidR="002C69EC" w:rsidRPr="00EF5E72">
              <w:rPr>
                <w:rFonts w:ascii="Euclid" w:hAnsi="Euclid"/>
                <w:sz w:val="16"/>
              </w:rPr>
              <w:t>.</w:t>
            </w:r>
          </w:p>
        </w:tc>
      </w:tr>
    </w:tbl>
    <w:p w14:paraId="6DA0B796" w14:textId="4B31A050" w:rsidR="002F790E" w:rsidRDefault="006976B6" w:rsidP="00407FBB">
      <w:pPr>
        <w:pStyle w:val="Els-body-text"/>
        <w:spacing w:before="120"/>
        <w:rPr>
          <w:lang w:val="en-GB"/>
        </w:rPr>
      </w:pPr>
      <w:r w:rsidRPr="003F1033">
        <w:rPr>
          <w:lang w:val="en-GB"/>
        </w:rPr>
        <w:t>OTR is the oxygen transfer rate from the gas to the liquid phase</w:t>
      </w:r>
      <w:r w:rsidR="00F1297F">
        <w:rPr>
          <w:lang w:val="en-GB"/>
        </w:rPr>
        <w:t xml:space="preserve"> (eq. 13) and it</w:t>
      </w:r>
      <w:r w:rsidRPr="003F1033">
        <w:rPr>
          <w:lang w:val="en-GB"/>
        </w:rPr>
        <w:t xml:space="preserve"> is a variable that is challenging to measure, requiring a gas </w:t>
      </w:r>
      <w:proofErr w:type="spellStart"/>
      <w:r w:rsidRPr="003F1033">
        <w:rPr>
          <w:lang w:val="en-GB"/>
        </w:rPr>
        <w:t>analyzer</w:t>
      </w:r>
      <w:proofErr w:type="spellEnd"/>
      <w:r w:rsidRPr="003F1033">
        <w:rPr>
          <w:lang w:val="en-GB"/>
        </w:rPr>
        <w:t>. An interesting measurement approach is proposed in (Rocha, 2003) where both oxygen and nitrogen gas fractions and flow rates are measured at process input and output</w:t>
      </w:r>
      <w:r w:rsidR="00F1297F">
        <w:rPr>
          <w:lang w:val="en-GB"/>
        </w:rPr>
        <w:t>.</w:t>
      </w:r>
      <w:r w:rsidRPr="003F1033">
        <w:rPr>
          <w:lang w:val="en-GB"/>
        </w:rPr>
        <w:t xml:space="preserve"> </w:t>
      </w:r>
      <w:r w:rsidR="00F1297F">
        <w:rPr>
          <w:lang w:val="en-GB"/>
        </w:rPr>
        <w:t>A</w:t>
      </w:r>
      <w:r w:rsidRPr="003F1033">
        <w:rPr>
          <w:lang w:val="en-GB"/>
        </w:rPr>
        <w:t xml:space="preserve">n alternative way to approximate OTR is also to use the volumetric transfer coefficient of oxygen, </w:t>
      </w:r>
      <w:proofErr w:type="spellStart"/>
      <w:r w:rsidRPr="003F1033">
        <w:rPr>
          <w:i/>
          <w:lang w:val="en-GB"/>
        </w:rPr>
        <w:t>k</w:t>
      </w:r>
      <w:r w:rsidRPr="003F1033">
        <w:rPr>
          <w:i/>
          <w:vertAlign w:val="subscript"/>
          <w:lang w:val="en-GB"/>
        </w:rPr>
        <w:t>L</w:t>
      </w:r>
      <w:r w:rsidRPr="003F1033">
        <w:rPr>
          <w:i/>
          <w:lang w:val="en-GB"/>
        </w:rPr>
        <w:t>a</w:t>
      </w:r>
      <w:proofErr w:type="spellEnd"/>
      <w:r w:rsidRPr="003F1033">
        <w:rPr>
          <w:lang w:val="en-GB"/>
        </w:rPr>
        <w:t>, as follows (</w:t>
      </w:r>
      <w:proofErr w:type="spellStart"/>
      <w:r w:rsidRPr="003F1033">
        <w:rPr>
          <w:lang w:val="en-GB"/>
        </w:rPr>
        <w:t>Papapostolou</w:t>
      </w:r>
      <w:proofErr w:type="spellEnd"/>
      <w:r w:rsidRPr="003F1033">
        <w:rPr>
          <w:lang w:val="en-GB"/>
        </w:rPr>
        <w:t xml:space="preserve"> et al., 2019)</w:t>
      </w:r>
      <w:r w:rsidR="00125C1C">
        <w:rPr>
          <w:lang w:val="en-GB"/>
        </w:rPr>
        <w:t xml:space="preserve">: </w:t>
      </w:r>
      <m:oMath>
        <m:r>
          <w:rPr>
            <w:rFonts w:ascii="Cambria Math" w:hAnsi="Cambria Math"/>
          </w:rPr>
          <m:t>OTR=</m:t>
        </m:r>
        <m:sSub>
          <m:sSubPr>
            <m:ctrlPr>
              <w:rPr>
                <w:rFonts w:ascii="Cambria Math" w:hAnsi="Cambria Math"/>
                <w:i/>
              </w:rPr>
            </m:ctrlPr>
          </m:sSubPr>
          <m:e>
            <m:r>
              <w:rPr>
                <w:rFonts w:ascii="Cambria Math" w:hAnsi="Cambria Math"/>
              </w:rPr>
              <m:t>k</m:t>
            </m:r>
          </m:e>
          <m:sub>
            <m:r>
              <w:rPr>
                <w:rFonts w:ascii="Cambria Math" w:hAnsi="Cambria Math"/>
                <w:vertAlign w:val="subscript"/>
              </w:rPr>
              <m:t>L</m:t>
            </m:r>
          </m:sub>
        </m:sSub>
        <m:r>
          <w:rPr>
            <w:rFonts w:ascii="Cambria Math" w:hAnsi="Cambria Math"/>
          </w:rPr>
          <m:t>a</m:t>
        </m:r>
        <m:d>
          <m:dPr>
            <m:ctrlPr>
              <w:rPr>
                <w:rFonts w:ascii="Cambria Math" w:hAnsi="Cambria Math"/>
              </w:rPr>
            </m:ctrlPr>
          </m:dPr>
          <m:e>
            <m:sSub>
              <m:sSubPr>
                <m:ctrlPr>
                  <w:rPr>
                    <w:rFonts w:ascii="Cambria Math" w:hAnsi="Cambria Math"/>
                    <w:i/>
                  </w:rPr>
                </m:ctrlPr>
              </m:sSubPr>
              <m:e>
                <m:r>
                  <w:rPr>
                    <w:rFonts w:ascii="Cambria Math" w:hAnsi="Cambria Math"/>
                  </w:rPr>
                  <m:t>O</m:t>
                </m:r>
                <m:ctrlPr>
                  <w:rPr>
                    <w:rFonts w:ascii="Cambria Math" w:hAnsi="Cambria Math"/>
                  </w:rPr>
                </m:ctrlPr>
              </m:e>
              <m:sub>
                <m:r>
                  <w:rPr>
                    <w:rFonts w:ascii="Cambria Math" w:hAnsi="Cambria Math"/>
                    <w:vertAlign w:val="subscript"/>
                  </w:rPr>
                  <m:t>sat</m:t>
                </m:r>
              </m:sub>
            </m:sSub>
            <m:r>
              <w:rPr>
                <w:rFonts w:ascii="Cambria Math" w:hAnsi="Cambria Math"/>
                <w:spacing w:val="-5"/>
              </w:rPr>
              <m:t>-O</m:t>
            </m:r>
            <m:ctrlPr>
              <w:rPr>
                <w:rFonts w:ascii="Cambria Math" w:hAnsi="Cambria Math"/>
                <w:spacing w:val="-5"/>
              </w:rPr>
            </m:ctrlPr>
          </m:e>
        </m:d>
        <m:r>
          <m:rPr>
            <m:sty m:val="p"/>
          </m:rPr>
          <w:rPr>
            <w:rFonts w:ascii="Cambria Math" w:hAnsi="Cambria Math"/>
            <w:spacing w:val="-5"/>
          </w:rPr>
          <m:t xml:space="preserve">, </m:t>
        </m:r>
      </m:oMath>
      <w:r w:rsidR="00186F13" w:rsidRPr="003F1033">
        <w:rPr>
          <w:lang w:val="en-GB"/>
        </w:rPr>
        <w:t xml:space="preserve">where the difference between the </w:t>
      </w:r>
      <w:r w:rsidR="00186F13" w:rsidRPr="003F1033">
        <w:rPr>
          <w:lang w:val="en-GB"/>
        </w:rPr>
        <w:lastRenderedPageBreak/>
        <w:t>dissolved oxygen concentration at saturation (</w:t>
      </w:r>
      <m:oMath>
        <m:sSub>
          <m:sSubPr>
            <m:ctrlPr>
              <w:rPr>
                <w:rFonts w:ascii="Cambria Math" w:hAnsi="Cambria Math"/>
                <w:i/>
                <w:lang w:val="en-GB"/>
              </w:rPr>
            </m:ctrlPr>
          </m:sSubPr>
          <m:e>
            <m:r>
              <w:rPr>
                <w:rFonts w:ascii="Cambria Math" w:hAnsi="Cambria Math"/>
                <w:lang w:val="en-GB"/>
              </w:rPr>
              <m:t>O</m:t>
            </m:r>
          </m:e>
          <m:sub>
            <m:r>
              <w:rPr>
                <w:rFonts w:ascii="Cambria Math" w:hAnsi="Cambria Math"/>
                <w:vertAlign w:val="subscript"/>
                <w:lang w:val="en-GB"/>
              </w:rPr>
              <m:t>sat</m:t>
            </m:r>
          </m:sub>
        </m:sSub>
      </m:oMath>
      <w:r w:rsidR="00186F13" w:rsidRPr="003F1033">
        <w:rPr>
          <w:lang w:val="en-GB"/>
        </w:rPr>
        <w:t>) and the actual concentration (</w:t>
      </w:r>
      <w:r w:rsidR="00186F13" w:rsidRPr="003F1033">
        <w:rPr>
          <w:i/>
          <w:lang w:val="en-GB"/>
        </w:rPr>
        <w:t>O</w:t>
      </w:r>
      <w:r w:rsidR="00186F13" w:rsidRPr="003F1033">
        <w:rPr>
          <w:lang w:val="en-GB"/>
        </w:rPr>
        <w:t xml:space="preserve">) in the liquid phase is assumed to be proportional to the OTR in a specific bioreactor environment </w:t>
      </w:r>
      <w:proofErr w:type="spellStart"/>
      <w:r w:rsidR="00186F13" w:rsidRPr="003F1033">
        <w:rPr>
          <w:lang w:val="en-GB"/>
        </w:rPr>
        <w:t>modeled</w:t>
      </w:r>
      <w:proofErr w:type="spellEnd"/>
      <w:r w:rsidR="00186F13" w:rsidRPr="003F1033">
        <w:rPr>
          <w:lang w:val="en-GB"/>
        </w:rPr>
        <w:t xml:space="preserve"> by </w:t>
      </w:r>
      <m:oMath>
        <m:sSub>
          <m:sSubPr>
            <m:ctrlPr>
              <w:rPr>
                <w:rFonts w:ascii="Cambria Math" w:hAnsi="Cambria Math"/>
                <w:i/>
                <w:lang w:val="en-GB"/>
              </w:rPr>
            </m:ctrlPr>
          </m:sSubPr>
          <m:e>
            <m:r>
              <w:rPr>
                <w:rFonts w:ascii="Cambria Math" w:hAnsi="Cambria Math"/>
                <w:lang w:val="en-GB"/>
              </w:rPr>
              <m:t>k</m:t>
            </m:r>
          </m:e>
          <m:sub>
            <m:r>
              <w:rPr>
                <w:rFonts w:ascii="Cambria Math" w:hAnsi="Cambria Math"/>
                <w:vertAlign w:val="subscript"/>
                <w:lang w:val="en-GB"/>
              </w:rPr>
              <m:t>L</m:t>
            </m:r>
          </m:sub>
        </m:sSub>
        <m:r>
          <w:rPr>
            <w:rFonts w:ascii="Cambria Math" w:hAnsi="Cambria Math"/>
            <w:lang w:val="en-GB"/>
          </w:rPr>
          <m:t>a</m:t>
        </m:r>
      </m:oMath>
      <w:r w:rsidR="00186F13" w:rsidRPr="003F1033">
        <w:rPr>
          <w:lang w:val="en-GB"/>
        </w:rPr>
        <w:t xml:space="preserve"> and assumed constant. However, even approximating the constant </w:t>
      </w:r>
      <m:oMath>
        <m:sSub>
          <m:sSubPr>
            <m:ctrlPr>
              <w:rPr>
                <w:rFonts w:ascii="Cambria Math" w:hAnsi="Cambria Math"/>
                <w:i/>
                <w:lang w:val="en-GB"/>
              </w:rPr>
            </m:ctrlPr>
          </m:sSubPr>
          <m:e>
            <m:r>
              <w:rPr>
                <w:rFonts w:ascii="Cambria Math" w:hAnsi="Cambria Math"/>
                <w:lang w:val="en-GB"/>
              </w:rPr>
              <m:t>k</m:t>
            </m:r>
          </m:e>
          <m:sub>
            <m:r>
              <w:rPr>
                <w:rFonts w:ascii="Cambria Math" w:hAnsi="Cambria Math"/>
                <w:vertAlign w:val="subscript"/>
                <w:lang w:val="en-GB"/>
              </w:rPr>
              <m:t>L</m:t>
            </m:r>
          </m:sub>
        </m:sSub>
        <m:r>
          <w:rPr>
            <w:rFonts w:ascii="Cambria Math" w:hAnsi="Cambria Math"/>
            <w:lang w:val="en-GB"/>
          </w:rPr>
          <m:t>a</m:t>
        </m:r>
      </m:oMath>
      <w:r w:rsidR="00186F13" w:rsidRPr="003F1033">
        <w:rPr>
          <w:lang w:val="en-GB"/>
        </w:rPr>
        <w:t xml:space="preserve"> value is not trivial and the latter depends on several factors, such as the agitation speed, the viscosity of the culture medium, and the stirrer/tank geometry.</w:t>
      </w:r>
      <w:r w:rsidR="00AB682B" w:rsidRPr="00AB682B">
        <w:rPr>
          <w:lang w:val="en-GB"/>
        </w:rPr>
        <w:t xml:space="preserve"> </w:t>
      </w:r>
    </w:p>
    <w:p w14:paraId="2BBA7447" w14:textId="44107BB4" w:rsidR="0040303C" w:rsidRPr="00EF5E72" w:rsidRDefault="00A909FF" w:rsidP="00E104BF">
      <w:pPr>
        <w:pStyle w:val="Els-body-text"/>
        <w:spacing w:before="120"/>
        <w:rPr>
          <w:lang w:val="en-GB"/>
        </w:rPr>
      </w:pPr>
      <w:r w:rsidRPr="00EF5E72">
        <w:rPr>
          <w:lang w:val="en-GB"/>
        </w:rPr>
        <w:t>To overcome these difficulties, and since the dissolved oxygen tension pO2 measurements are available, the OTR is replaced by the derivative of pO2, assuming that this signal tracks the OTR trajectory</w:t>
      </w:r>
      <w:r w:rsidR="002F790E" w:rsidRPr="00EF5E72">
        <w:rPr>
          <w:lang w:val="en-GB"/>
        </w:rPr>
        <w:t xml:space="preserve">. Consequently, Equation (13) is modified as follows: </w:t>
      </w:r>
    </w:p>
    <w:tbl>
      <w:tblPr>
        <w:tblpPr w:leftFromText="141" w:rightFromText="141" w:vertAnchor="text" w:horzAnchor="margin" w:tblpY="130"/>
        <w:tblW w:w="7230" w:type="dxa"/>
        <w:tblLook w:val="04A0" w:firstRow="1" w:lastRow="0" w:firstColumn="1" w:lastColumn="0" w:noHBand="0" w:noVBand="1"/>
      </w:tblPr>
      <w:tblGrid>
        <w:gridCol w:w="6379"/>
        <w:gridCol w:w="851"/>
      </w:tblGrid>
      <w:tr w:rsidR="00EF5E72" w:rsidRPr="00EF5E72" w14:paraId="463DB22E" w14:textId="77777777" w:rsidTr="002F790E">
        <w:trPr>
          <w:trHeight w:val="337"/>
        </w:trPr>
        <w:tc>
          <w:tcPr>
            <w:tcW w:w="6379" w:type="dxa"/>
            <w:shd w:val="clear" w:color="auto" w:fill="auto"/>
            <w:vAlign w:val="center"/>
          </w:tcPr>
          <w:p w14:paraId="2DF3DFAF" w14:textId="0EEF0C41" w:rsidR="002F790E" w:rsidRPr="00407FBB" w:rsidRDefault="00000000" w:rsidP="000B4E65">
            <w:pPr>
              <w:pStyle w:val="Els-body-text"/>
              <w:spacing w:line="264" w:lineRule="auto"/>
              <w:ind w:left="35"/>
              <w:jc w:val="left"/>
              <w:rPr>
                <w:lang w:val="en-GB"/>
              </w:rPr>
            </w:pPr>
            <m:oMathPara>
              <m:oMathParaPr>
                <m:jc m:val="left"/>
              </m:oMathParaPr>
              <m:oMath>
                <m:f>
                  <m:fPr>
                    <m:ctrlPr>
                      <w:rPr>
                        <w:rFonts w:ascii="Cambria Math" w:hAnsi="Cambria Math"/>
                        <w:i/>
                        <w:lang w:val="en-GB"/>
                      </w:rPr>
                    </m:ctrlPr>
                  </m:fPr>
                  <m:num>
                    <m:r>
                      <w:rPr>
                        <w:rFonts w:ascii="Cambria Math" w:hAnsi="Cambria Math"/>
                        <w:lang w:val="en-GB"/>
                      </w:rPr>
                      <m:t>dm</m:t>
                    </m:r>
                  </m:num>
                  <m:den>
                    <m:r>
                      <w:rPr>
                        <w:rFonts w:ascii="Cambria Math" w:hAnsi="Cambria Math"/>
                        <w:lang w:val="en-GB"/>
                      </w:rPr>
                      <m:t>dt</m:t>
                    </m:r>
                  </m:den>
                </m:f>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 xml:space="preserve"> r</m:t>
                    </m:r>
                  </m:e>
                  <m:sub>
                    <m:r>
                      <w:rPr>
                        <w:rFonts w:ascii="Cambria Math" w:hAnsi="Cambria Math"/>
                        <w:lang w:val="en-GB"/>
                      </w:rPr>
                      <m:t>2</m:t>
                    </m:r>
                  </m:sub>
                </m:sSub>
                <m:r>
                  <w:rPr>
                    <w:rFonts w:ascii="Cambria Math" w:hAnsi="Cambria Math"/>
                    <w:lang w:val="en-GB"/>
                  </w:rPr>
                  <m:t>⋅X-D⋅m+</m:t>
                </m:r>
                <m:f>
                  <m:fPr>
                    <m:ctrlPr>
                      <w:rPr>
                        <w:rFonts w:ascii="Cambria Math" w:hAnsi="Cambria Math"/>
                        <w:i/>
                        <w:lang w:val="en-GB"/>
                      </w:rPr>
                    </m:ctrlPr>
                  </m:fPr>
                  <m:num>
                    <m:r>
                      <w:rPr>
                        <w:rFonts w:ascii="Cambria Math" w:hAnsi="Cambria Math"/>
                        <w:lang w:val="en-GB"/>
                      </w:rPr>
                      <m:t>dpO2</m:t>
                    </m:r>
                  </m:num>
                  <m:den>
                    <m:r>
                      <w:rPr>
                        <w:rFonts w:ascii="Cambria Math" w:hAnsi="Cambria Math"/>
                        <w:lang w:val="en-GB"/>
                      </w:rPr>
                      <m:t>dt</m:t>
                    </m:r>
                  </m:den>
                </m:f>
              </m:oMath>
            </m:oMathPara>
          </w:p>
        </w:tc>
        <w:tc>
          <w:tcPr>
            <w:tcW w:w="851" w:type="dxa"/>
            <w:shd w:val="clear" w:color="auto" w:fill="auto"/>
            <w:vAlign w:val="center"/>
          </w:tcPr>
          <w:p w14:paraId="7FD91669" w14:textId="6B02D15A" w:rsidR="002F790E" w:rsidRPr="00EF5E72" w:rsidRDefault="002F790E" w:rsidP="000B4E65">
            <w:pPr>
              <w:pStyle w:val="Els-body-text"/>
              <w:spacing w:line="264" w:lineRule="auto"/>
              <w:jc w:val="right"/>
              <w:rPr>
                <w:lang w:val="en-GB"/>
              </w:rPr>
            </w:pPr>
            <w:r w:rsidRPr="00EF5E72">
              <w:rPr>
                <w:lang w:val="en-GB"/>
              </w:rPr>
              <w:t>(15)</w:t>
            </w:r>
          </w:p>
        </w:tc>
      </w:tr>
    </w:tbl>
    <w:p w14:paraId="1005FA62" w14:textId="72067877" w:rsidR="00AB682B" w:rsidRPr="00EF5E72" w:rsidRDefault="00165F03" w:rsidP="00E104BF">
      <w:pPr>
        <w:pStyle w:val="Els-body-text"/>
        <w:spacing w:before="60"/>
        <w:rPr>
          <w:lang w:val="en-GB"/>
        </w:rPr>
      </w:pPr>
      <w:r w:rsidRPr="00EF5E72">
        <w:rPr>
          <w:lang w:val="en-GB"/>
        </w:rPr>
        <w:t xml:space="preserve">where </w:t>
      </w:r>
      <w:r w:rsidRPr="00EF5E72">
        <w:rPr>
          <w:i/>
          <w:iCs/>
          <w:lang w:val="en-GB"/>
        </w:rPr>
        <w:t>m</w:t>
      </w:r>
      <w:r w:rsidRPr="00EF5E72">
        <w:rPr>
          <w:lang w:val="en-GB"/>
        </w:rPr>
        <w:t xml:space="preserve"> </w:t>
      </w:r>
      <w:r w:rsidR="002A1C1C" w:rsidRPr="00EF5E72">
        <w:rPr>
          <w:lang w:val="en-GB"/>
        </w:rPr>
        <w:t xml:space="preserve">represents a metabolic variable that is related to the concentration of dissolved oxygen. Since the concentration of pO2 is given in percentage, the value of </w:t>
      </w:r>
      <w:r w:rsidR="002A1C1C" w:rsidRPr="00EF5E72">
        <w:rPr>
          <w:i/>
          <w:iCs/>
          <w:lang w:val="en-GB"/>
        </w:rPr>
        <w:t>m</w:t>
      </w:r>
      <w:r w:rsidR="002A1C1C" w:rsidRPr="00EF5E72">
        <w:rPr>
          <w:lang w:val="en-GB"/>
        </w:rPr>
        <w:t xml:space="preserve"> is also expressed in percentage. Additionally, </w:t>
      </w:r>
      <w:r w:rsidR="002A1C1C" w:rsidRPr="00EF5E72">
        <w:rPr>
          <w:i/>
          <w:iCs/>
          <w:lang w:val="en-GB"/>
        </w:rPr>
        <w:t>O</w:t>
      </w:r>
      <w:r w:rsidR="002A1C1C" w:rsidRPr="00EF5E72">
        <w:rPr>
          <w:lang w:val="en-GB"/>
        </w:rPr>
        <w:t xml:space="preserve"> </w:t>
      </w:r>
      <w:r w:rsidR="00D35B75" w:rsidRPr="00EF5E72">
        <w:rPr>
          <w:lang w:val="en-GB"/>
        </w:rPr>
        <w:t>is replaced by</w:t>
      </w:r>
      <w:r w:rsidR="002A1C1C" w:rsidRPr="00EF5E72">
        <w:rPr>
          <w:lang w:val="en-GB"/>
        </w:rPr>
        <w:t xml:space="preserve"> </w:t>
      </w:r>
      <w:r w:rsidR="002A1C1C" w:rsidRPr="00EF5E72">
        <w:rPr>
          <w:i/>
          <w:iCs/>
          <w:lang w:val="en-GB"/>
        </w:rPr>
        <w:t>m</w:t>
      </w:r>
      <w:r w:rsidR="00D35B75" w:rsidRPr="00EF5E72">
        <w:rPr>
          <w:i/>
          <w:iCs/>
          <w:lang w:val="en-GB"/>
        </w:rPr>
        <w:t xml:space="preserve"> </w:t>
      </w:r>
      <w:r w:rsidR="00D35B75" w:rsidRPr="00EF5E72">
        <w:rPr>
          <w:lang w:val="en-GB"/>
        </w:rPr>
        <w:t>in Equation (9)</w:t>
      </w:r>
      <w:r w:rsidR="002A1C1C" w:rsidRPr="00EF5E72">
        <w:rPr>
          <w:lang w:val="en-GB"/>
        </w:rPr>
        <w:t xml:space="preserve">, and the parameter to be identified,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O</m:t>
            </m:r>
          </m:sub>
        </m:sSub>
      </m:oMath>
      <w:r w:rsidR="002A1C1C" w:rsidRPr="00EF5E72">
        <w:rPr>
          <w:lang w:val="en-GB"/>
        </w:rPr>
        <w:t>, is also expressed in percentage.</w:t>
      </w:r>
    </w:p>
    <w:p w14:paraId="5D408F68" w14:textId="77777777" w:rsidR="00B1242D" w:rsidRPr="00A94774" w:rsidRDefault="00B1242D" w:rsidP="00367AD3">
      <w:pPr>
        <w:pStyle w:val="Els-1storder-head"/>
        <w:rPr>
          <w:lang w:val="en-GB"/>
        </w:rPr>
      </w:pPr>
      <w:r w:rsidRPr="00BB46D4">
        <w:rPr>
          <w:lang w:val="en-GB"/>
        </w:rPr>
        <w:t>Identification of the proposed models</w:t>
      </w:r>
    </w:p>
    <w:p w14:paraId="10CA6279" w14:textId="77777777" w:rsidR="00B1242D" w:rsidRDefault="00B1242D" w:rsidP="00B1242D">
      <w:pPr>
        <w:pStyle w:val="Els-body-text"/>
        <w:rPr>
          <w:lang w:val="en-GB"/>
        </w:rPr>
      </w:pPr>
      <w:r w:rsidRPr="00BB46D4">
        <w:rPr>
          <w:lang w:val="en-GB"/>
        </w:rPr>
        <w:t>Two experimental data sets were considered for parameter identification, while a third data set was used for model cross-validation. A weighted least-squares criterion representing the weighted distances between the data and the model predictions is minimized and reads as follows:</w:t>
      </w:r>
    </w:p>
    <w:tbl>
      <w:tblPr>
        <w:tblW w:w="7088" w:type="dxa"/>
        <w:tblLook w:val="04A0" w:firstRow="1" w:lastRow="0" w:firstColumn="1" w:lastColumn="0" w:noHBand="0" w:noVBand="1"/>
      </w:tblPr>
      <w:tblGrid>
        <w:gridCol w:w="6538"/>
        <w:gridCol w:w="550"/>
      </w:tblGrid>
      <w:tr w:rsidR="00B1242D" w:rsidRPr="00A94774" w14:paraId="7DA1C04C" w14:textId="77777777" w:rsidTr="00D30949">
        <w:tc>
          <w:tcPr>
            <w:tcW w:w="6804" w:type="dxa"/>
            <w:shd w:val="clear" w:color="auto" w:fill="auto"/>
            <w:vAlign w:val="center"/>
          </w:tcPr>
          <w:p w14:paraId="3F307FB1" w14:textId="77777777" w:rsidR="00B1242D" w:rsidRPr="00E72739" w:rsidRDefault="00B1242D" w:rsidP="00245D85">
            <w:pPr>
              <w:pStyle w:val="Els-body-text"/>
              <w:ind w:left="34" w:hanging="34"/>
            </w:pPr>
            <m:oMathPara>
              <m:oMathParaPr>
                <m:jc m:val="left"/>
              </m:oMathParaPr>
              <m:oMath>
                <m:r>
                  <w:rPr>
                    <w:rFonts w:ascii="Cambria Math" w:hAnsi="Cambria Math"/>
                  </w:rPr>
                  <m:t>J</m:t>
                </m:r>
                <m:d>
                  <m:dPr>
                    <m:ctrlPr>
                      <w:rPr>
                        <w:rFonts w:ascii="Cambria Math" w:hAnsi="Cambria Math"/>
                        <w:i/>
                      </w:rPr>
                    </m:ctrlPr>
                  </m:dPr>
                  <m:e>
                    <m:r>
                      <w:rPr>
                        <w:rFonts w:ascii="Cambria Math" w:hAnsi="Cambria Math"/>
                      </w:rPr>
                      <m:t>θ</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i,meas</m:t>
                                    </m:r>
                                  </m:sub>
                                </m:sSub>
                              </m:e>
                            </m:d>
                          </m:e>
                          <m:sup>
                            <m:r>
                              <w:rPr>
                                <w:rFonts w:ascii="Cambria Math" w:hAnsi="Cambria Math"/>
                              </w:rPr>
                              <m:t>T</m:t>
                            </m:r>
                          </m:sup>
                        </m:s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-1</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i,meas</m:t>
                                </m:r>
                              </m:sub>
                            </m:sSub>
                          </m:e>
                        </m:d>
                      </m:e>
                    </m:d>
                  </m:e>
                </m:nary>
              </m:oMath>
            </m:oMathPara>
          </w:p>
        </w:tc>
        <w:tc>
          <w:tcPr>
            <w:tcW w:w="284" w:type="dxa"/>
            <w:shd w:val="clear" w:color="auto" w:fill="auto"/>
            <w:vAlign w:val="center"/>
          </w:tcPr>
          <w:p w14:paraId="429F8AEF" w14:textId="18728E7B" w:rsidR="00B1242D" w:rsidRPr="00A94774" w:rsidRDefault="00B1242D" w:rsidP="00DE3C99">
            <w:pPr>
              <w:pStyle w:val="Els-body-text"/>
              <w:tabs>
                <w:tab w:val="left" w:pos="527"/>
              </w:tabs>
              <w:spacing w:before="120" w:after="40" w:line="264" w:lineRule="auto"/>
              <w:ind w:right="-113"/>
              <w:jc w:val="right"/>
              <w:rPr>
                <w:lang w:val="en-GB"/>
              </w:rPr>
            </w:pPr>
            <w:r>
              <w:rPr>
                <w:lang w:val="en-GB"/>
              </w:rPr>
              <w:t xml:space="preserve">  </w:t>
            </w:r>
            <w:r w:rsidRPr="00A94774">
              <w:rPr>
                <w:lang w:val="en-GB"/>
              </w:rPr>
              <w:t>(</w:t>
            </w:r>
            <w:r>
              <w:rPr>
                <w:lang w:val="en-GB"/>
              </w:rPr>
              <w:t>1</w:t>
            </w:r>
            <w:r w:rsidR="00A70B12">
              <w:rPr>
                <w:lang w:val="en-GB"/>
              </w:rPr>
              <w:t>6</w:t>
            </w:r>
            <w:r w:rsidRPr="00A94774">
              <w:rPr>
                <w:lang w:val="en-GB"/>
              </w:rPr>
              <w:t>)</w:t>
            </w:r>
          </w:p>
        </w:tc>
      </w:tr>
    </w:tbl>
    <w:p w14:paraId="415B1CC5" w14:textId="77777777" w:rsidR="00B1242D" w:rsidRDefault="00B1242D" w:rsidP="00664446">
      <w:pPr>
        <w:pStyle w:val="BodyText"/>
        <w:spacing w:after="0"/>
        <w:jc w:val="both"/>
      </w:pPr>
      <w:r>
        <w:t>where</w:t>
      </w:r>
      <w:r>
        <w:rPr>
          <w:spacing w:val="-13"/>
        </w:rPr>
        <w:t xml:space="preserve"> </w:t>
      </w:r>
      <m:oMath>
        <m:sSub>
          <m:sSubPr>
            <m:ctrlPr>
              <w:rPr>
                <w:rFonts w:ascii="Cambria Math" w:hAnsi="Cambria Math"/>
                <w:i/>
              </w:rPr>
            </m:ctrlPr>
          </m:sSubPr>
          <m:e>
            <m:r>
              <w:rPr>
                <w:rFonts w:ascii="Cambria Math" w:hAnsi="Cambria Math"/>
              </w:rPr>
              <m:t>y</m:t>
            </m:r>
          </m:e>
          <m:sub>
            <m:r>
              <w:rPr>
                <w:rFonts w:ascii="Cambria Math" w:hAnsi="Cambria Math"/>
                <w:vertAlign w:val="subscript"/>
              </w:rPr>
              <m:t>i,meas</m:t>
            </m:r>
          </m:sub>
        </m:sSub>
      </m:oMath>
      <w:r>
        <w:rPr>
          <w:spacing w:val="-13"/>
        </w:rPr>
        <w:t xml:space="preserve"> is </w:t>
      </w:r>
      <w:r>
        <w:t>the</w:t>
      </w:r>
      <w:r>
        <w:rPr>
          <w:spacing w:val="-12"/>
        </w:rPr>
        <w:t xml:space="preserve"> </w:t>
      </w:r>
      <w:r>
        <w:t>measurement</w:t>
      </w:r>
      <w:r>
        <w:rPr>
          <w:spacing w:val="-13"/>
        </w:rPr>
        <w:t xml:space="preserve"> </w:t>
      </w:r>
      <w:r>
        <w:t>vector,</w:t>
      </w:r>
      <w:r>
        <w:rPr>
          <w:spacing w:val="-12"/>
        </w:rPr>
        <w:t xml:space="preserve"> </w:t>
      </w:r>
      <m:oMath>
        <m:sSub>
          <m:sSubPr>
            <m:ctrlPr>
              <w:rPr>
                <w:rFonts w:ascii="Cambria Math" w:hAnsi="Cambria Math"/>
                <w:i/>
              </w:rPr>
            </m:ctrlPr>
          </m:sSubPr>
          <m:e>
            <m:r>
              <w:rPr>
                <w:rFonts w:ascii="Cambria Math" w:hAnsi="Cambria Math"/>
              </w:rPr>
              <m:t>y</m:t>
            </m:r>
          </m:e>
          <m:sub>
            <m:r>
              <w:rPr>
                <w:rFonts w:ascii="Cambria Math" w:hAnsi="Cambria Math"/>
                <w:vertAlign w:val="subscript"/>
              </w:rPr>
              <m:t>i</m:t>
            </m:r>
          </m:sub>
        </m:sSub>
      </m:oMath>
      <w:r>
        <w:rPr>
          <w:i/>
          <w:spacing w:val="-13"/>
        </w:rPr>
        <w:t xml:space="preserve"> </w:t>
      </w:r>
      <w:r>
        <w:t>is</w:t>
      </w:r>
      <w:r>
        <w:rPr>
          <w:spacing w:val="-12"/>
        </w:rPr>
        <w:t xml:space="preserve"> </w:t>
      </w:r>
      <w:r>
        <w:t>the</w:t>
      </w:r>
      <w:r>
        <w:rPr>
          <w:spacing w:val="-13"/>
        </w:rPr>
        <w:t xml:space="preserve"> </w:t>
      </w:r>
      <w:r>
        <w:t>model</w:t>
      </w:r>
      <w:r>
        <w:rPr>
          <w:spacing w:val="-12"/>
        </w:rPr>
        <w:t xml:space="preserve"> </w:t>
      </w:r>
      <w:r>
        <w:t>prediction</w:t>
      </w:r>
      <w:r>
        <w:rPr>
          <w:spacing w:val="-13"/>
        </w:rPr>
        <w:t xml:space="preserve"> </w:t>
      </w:r>
      <w:r>
        <w:t>vector,</w:t>
      </w:r>
      <w:r>
        <w:rPr>
          <w:spacing w:val="-12"/>
        </w:rPr>
        <w:t xml:space="preserve"> </w:t>
      </w:r>
      <m:oMath>
        <m:r>
          <w:rPr>
            <w:rFonts w:ascii="Cambria Math" w:hAnsi="Cambria Math"/>
          </w:rPr>
          <m:t>θ</m:t>
        </m:r>
      </m:oMath>
      <w:r>
        <w:rPr>
          <w:rFonts w:ascii="Century Gothic" w:hAnsi="Century Gothic"/>
          <w:i/>
          <w:spacing w:val="-14"/>
        </w:rPr>
        <w:t xml:space="preserve"> </w:t>
      </w:r>
      <w:r>
        <w:t>is</w:t>
      </w:r>
      <w:r>
        <w:rPr>
          <w:spacing w:val="-13"/>
        </w:rPr>
        <w:t xml:space="preserve"> </w:t>
      </w:r>
      <w:r>
        <w:t>the</w:t>
      </w:r>
      <w:r>
        <w:rPr>
          <w:spacing w:val="-12"/>
        </w:rPr>
        <w:t xml:space="preserve"> </w:t>
      </w:r>
      <w:r>
        <w:t>parameter</w:t>
      </w:r>
      <w:r>
        <w:rPr>
          <w:spacing w:val="-13"/>
        </w:rPr>
        <w:t xml:space="preserve"> </w:t>
      </w:r>
      <w:r>
        <w:t xml:space="preserve">vector, </w:t>
      </w:r>
      <m:oMath>
        <m:r>
          <w:rPr>
            <w:rFonts w:ascii="Cambria Math" w:hAnsi="Cambria Math"/>
          </w:rPr>
          <m:t>N</m:t>
        </m:r>
      </m:oMath>
      <w:r>
        <w:rPr>
          <w:i/>
          <w:spacing w:val="-6"/>
        </w:rPr>
        <w:t xml:space="preserve"> </w:t>
      </w:r>
      <w:r>
        <w:t>is</w:t>
      </w:r>
      <w:r>
        <w:rPr>
          <w:spacing w:val="-2"/>
        </w:rPr>
        <w:t xml:space="preserve"> </w:t>
      </w:r>
      <w:r>
        <w:t>the</w:t>
      </w:r>
      <w:r>
        <w:rPr>
          <w:spacing w:val="-3"/>
        </w:rPr>
        <w:t xml:space="preserve"> </w:t>
      </w:r>
      <w:r>
        <w:t>number</w:t>
      </w:r>
      <w:r>
        <w:rPr>
          <w:spacing w:val="-3"/>
        </w:rPr>
        <w:t xml:space="preserve"> </w:t>
      </w:r>
      <w:r>
        <w:t>of</w:t>
      </w:r>
      <w:r>
        <w:rPr>
          <w:spacing w:val="-3"/>
        </w:rPr>
        <w:t xml:space="preserve"> </w:t>
      </w:r>
      <w:r>
        <w:t>measurement</w:t>
      </w:r>
      <w:r>
        <w:rPr>
          <w:spacing w:val="-3"/>
        </w:rPr>
        <w:t xml:space="preserve"> </w:t>
      </w:r>
      <w:r>
        <w:t>samples,</w:t>
      </w:r>
      <w:r>
        <w:rPr>
          <w:spacing w:val="-3"/>
        </w:rPr>
        <w:t xml:space="preserve"> </w:t>
      </w:r>
      <w:r>
        <w:t xml:space="preserve">and </w:t>
      </w:r>
      <m:oMath>
        <m:sSubSup>
          <m:sSubSupPr>
            <m:ctrlPr>
              <w:rPr>
                <w:rFonts w:ascii="Cambria Math" w:hAnsi="Cambria Math"/>
                <w:i/>
                <w:spacing w:val="-13"/>
              </w:rPr>
            </m:ctrlPr>
          </m:sSubSupPr>
          <m:e>
            <m:r>
              <w:rPr>
                <w:rFonts w:ascii="Cambria Math" w:hAnsi="Cambria Math"/>
              </w:rPr>
              <m:t>W</m:t>
            </m:r>
            <m:ctrlPr>
              <w:rPr>
                <w:rFonts w:ascii="Cambria Math" w:hAnsi="Cambria Math"/>
                <w:i/>
              </w:rPr>
            </m:ctrlPr>
          </m:e>
          <m:sub>
            <m:r>
              <w:rPr>
                <w:rFonts w:ascii="Cambria Math" w:hAnsi="Cambria Math"/>
                <w:vertAlign w:val="subscript"/>
              </w:rPr>
              <m:t>i</m:t>
            </m:r>
            <m:ctrlPr>
              <w:rPr>
                <w:rFonts w:ascii="Cambria Math" w:hAnsi="Cambria Math"/>
                <w:i/>
                <w:vertAlign w:val="subscript"/>
              </w:rPr>
            </m:ctrlPr>
          </m:sub>
          <m:sup>
            <m:r>
              <w:rPr>
                <w:rFonts w:ascii="Cambria Math" w:hAnsi="Cambria Math"/>
                <w:vertAlign w:val="superscript"/>
              </w:rPr>
              <m:t>-1</m:t>
            </m:r>
          </m:sup>
        </m:sSubSup>
      </m:oMath>
      <w:r>
        <w:t xml:space="preserve"> is</w:t>
      </w:r>
      <w:r>
        <w:rPr>
          <w:spacing w:val="-3"/>
        </w:rPr>
        <w:t xml:space="preserve"> </w:t>
      </w:r>
      <w:r>
        <w:t>the</w:t>
      </w:r>
      <w:r>
        <w:rPr>
          <w:spacing w:val="-3"/>
        </w:rPr>
        <w:t xml:space="preserve"> </w:t>
      </w:r>
      <w:r>
        <w:t>weighting</w:t>
      </w:r>
      <w:r>
        <w:rPr>
          <w:spacing w:val="-3"/>
        </w:rPr>
        <w:t xml:space="preserve"> </w:t>
      </w:r>
      <w:r>
        <w:t>matrix. The</w:t>
      </w:r>
      <w:r>
        <w:rPr>
          <w:spacing w:val="-3"/>
        </w:rPr>
        <w:t xml:space="preserve"> </w:t>
      </w:r>
      <w:r>
        <w:t>minimization</w:t>
      </w:r>
      <w:r>
        <w:rPr>
          <w:spacing w:val="-3"/>
        </w:rPr>
        <w:t xml:space="preserve"> </w:t>
      </w:r>
      <w:r>
        <w:t xml:space="preserve">of </w:t>
      </w:r>
      <m:oMath>
        <m:r>
          <w:rPr>
            <w:rFonts w:ascii="Cambria Math" w:hAnsi="Cambria Math"/>
          </w:rPr>
          <m:t>J</m:t>
        </m:r>
      </m:oMath>
      <w:r>
        <w:rPr>
          <w:i/>
        </w:rPr>
        <w:t xml:space="preserve"> </w:t>
      </w:r>
      <w:r>
        <w:t>is considered in the following nonlinear programming problem:</w:t>
      </w:r>
    </w:p>
    <w:tbl>
      <w:tblPr>
        <w:tblpPr w:leftFromText="141" w:rightFromText="141" w:vertAnchor="text" w:horzAnchor="margin" w:tblpY="130"/>
        <w:tblW w:w="7218" w:type="dxa"/>
        <w:tblLook w:val="04A0" w:firstRow="1" w:lastRow="0" w:firstColumn="1" w:lastColumn="0" w:noHBand="0" w:noVBand="1"/>
      </w:tblPr>
      <w:tblGrid>
        <w:gridCol w:w="6663"/>
        <w:gridCol w:w="555"/>
      </w:tblGrid>
      <w:tr w:rsidR="00B1242D" w:rsidRPr="00A94774" w14:paraId="4DA0657E" w14:textId="77777777" w:rsidTr="00957856">
        <w:trPr>
          <w:trHeight w:val="283"/>
        </w:trPr>
        <w:tc>
          <w:tcPr>
            <w:tcW w:w="6663" w:type="dxa"/>
            <w:shd w:val="clear" w:color="auto" w:fill="auto"/>
            <w:vAlign w:val="center"/>
          </w:tcPr>
          <w:p w14:paraId="5F6B8077" w14:textId="77777777" w:rsidR="00B1242D" w:rsidRPr="00D35B75" w:rsidRDefault="00000000" w:rsidP="00664446">
            <w:pPr>
              <w:pStyle w:val="Els-body-text"/>
              <w:ind w:left="34"/>
              <w:jc w:val="right"/>
              <w:rPr>
                <w:lang w:val="fr-BE"/>
              </w:rPr>
            </w:pPr>
            <m:oMathPara>
              <m:oMathParaPr>
                <m:jc m:val="left"/>
              </m:oMathParaPr>
              <m:oMath>
                <m:acc>
                  <m:accPr>
                    <m:ctrlPr>
                      <w:rPr>
                        <w:rFonts w:ascii="Cambria Math" w:hAnsi="Cambria Math"/>
                        <w:i/>
                      </w:rPr>
                    </m:ctrlPr>
                  </m:accPr>
                  <m:e>
                    <m:r>
                      <w:rPr>
                        <w:rFonts w:ascii="Cambria Math" w:hAnsi="Cambria Math"/>
                      </w:rPr>
                      <m:t>θ</m:t>
                    </m:r>
                  </m:e>
                </m:acc>
                <m:r>
                  <w:rPr>
                    <w:rFonts w:ascii="Cambria Math" w:hAnsi="Cambria Math"/>
                    <w:lang w:val="fr-BE"/>
                  </w:rPr>
                  <m:t>=</m:t>
                </m:r>
                <m:r>
                  <m:rPr>
                    <m:nor/>
                  </m:rPr>
                  <w:rPr>
                    <w:rFonts w:ascii="Cambria Math" w:hAnsi="Cambria Math"/>
                    <w:lang w:val="fr-BE"/>
                  </w:rPr>
                  <m:t>arg</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lang w:val="fr-BE"/>
                          </w:rPr>
                          <m:t>min</m:t>
                        </m:r>
                      </m:e>
                      <m:lim>
                        <m:r>
                          <w:rPr>
                            <w:rFonts w:ascii="Cambria Math" w:hAnsi="Cambria Math"/>
                          </w:rPr>
                          <m:t>θ</m:t>
                        </m:r>
                      </m:lim>
                    </m:limLow>
                  </m:fName>
                  <m:e>
                    <m:r>
                      <w:rPr>
                        <w:rFonts w:ascii="Cambria Math" w:hAnsi="Cambria Math"/>
                      </w:rPr>
                      <m:t>J</m:t>
                    </m:r>
                    <m:d>
                      <m:dPr>
                        <m:ctrlPr>
                          <w:rPr>
                            <w:rFonts w:ascii="Cambria Math" w:hAnsi="Cambria Math"/>
                            <w:i/>
                          </w:rPr>
                        </m:ctrlPr>
                      </m:dPr>
                      <m:e>
                        <m:r>
                          <w:rPr>
                            <w:rFonts w:ascii="Cambria Math" w:hAnsi="Cambria Math"/>
                          </w:rPr>
                          <m:t>θ</m:t>
                        </m:r>
                      </m:e>
                    </m:d>
                  </m:e>
                </m:func>
              </m:oMath>
            </m:oMathPara>
          </w:p>
        </w:tc>
        <w:tc>
          <w:tcPr>
            <w:tcW w:w="555" w:type="dxa"/>
            <w:shd w:val="clear" w:color="auto" w:fill="auto"/>
            <w:vAlign w:val="center"/>
          </w:tcPr>
          <w:p w14:paraId="3A2C3956" w14:textId="4F1B41B1" w:rsidR="00B1242D" w:rsidRPr="00A94774" w:rsidRDefault="00B1242D" w:rsidP="00664446">
            <w:pPr>
              <w:pStyle w:val="Els-body-text"/>
              <w:jc w:val="right"/>
              <w:rPr>
                <w:lang w:val="en-GB"/>
              </w:rPr>
            </w:pPr>
            <w:r w:rsidRPr="00A94774">
              <w:rPr>
                <w:lang w:val="en-GB"/>
              </w:rPr>
              <w:t>(1</w:t>
            </w:r>
            <w:r w:rsidR="00A70B12">
              <w:rPr>
                <w:lang w:val="en-GB"/>
              </w:rPr>
              <w:t>7</w:t>
            </w:r>
            <w:r w:rsidRPr="00A94774">
              <w:rPr>
                <w:lang w:val="en-GB"/>
              </w:rPr>
              <w:t>)</w:t>
            </w:r>
          </w:p>
        </w:tc>
      </w:tr>
    </w:tbl>
    <w:p w14:paraId="1D627708" w14:textId="63B3F233" w:rsidR="00B1242D" w:rsidRPr="008A78BF" w:rsidRDefault="00B1242D" w:rsidP="00B1242D">
      <w:pPr>
        <w:pStyle w:val="Els-body-text"/>
        <w:rPr>
          <w:lang w:val="en-GB"/>
        </w:rPr>
      </w:pPr>
      <w:r w:rsidRPr="008A78BF">
        <w:rPr>
          <w:lang w:val="en-GB"/>
        </w:rPr>
        <w:t>Among the several available optimizers present in the MATLAB libraries, the Nelder-Mead function, achieving the optimization by application of the simplex algo</w:t>
      </w:r>
      <w:r>
        <w:rPr>
          <w:lang w:val="en-GB"/>
        </w:rPr>
        <w:t xml:space="preserve">rithm, and used in the routine </w:t>
      </w:r>
      <w:r w:rsidRPr="00094C5B">
        <w:rPr>
          <w:lang w:val="en-GB"/>
        </w:rPr>
        <w:t>‘</w:t>
      </w:r>
      <w:proofErr w:type="spellStart"/>
      <w:r w:rsidRPr="008A78BF">
        <w:rPr>
          <w:lang w:val="en-GB"/>
        </w:rPr>
        <w:t>fminsearch</w:t>
      </w:r>
      <w:proofErr w:type="spellEnd"/>
      <w:r w:rsidRPr="008A78BF">
        <w:rPr>
          <w:lang w:val="en-GB"/>
        </w:rPr>
        <w:t>’, is selected</w:t>
      </w:r>
      <w:r w:rsidR="000A403C">
        <w:rPr>
          <w:lang w:val="en-GB"/>
        </w:rPr>
        <w:t>.</w:t>
      </w:r>
      <w:r w:rsidRPr="008A78BF">
        <w:rPr>
          <w:lang w:val="en-GB"/>
        </w:rPr>
        <w:t xml:space="preserve"> To assess the accuracy of the parameter estimates, the Fisher Information Matrix (FIM) </w:t>
      </w:r>
      <w:hyperlink w:anchor="_bookmark18" w:history="1">
        <w:r w:rsidRPr="008A78BF">
          <w:rPr>
            <w:lang w:val="en-GB"/>
          </w:rPr>
          <w:t>(Walter and</w:t>
        </w:r>
      </w:hyperlink>
      <w:r w:rsidRPr="008A78BF">
        <w:rPr>
          <w:lang w:val="en-GB"/>
        </w:rPr>
        <w:t xml:space="preserve"> </w:t>
      </w:r>
      <w:hyperlink w:anchor="_bookmark18" w:history="1">
        <w:proofErr w:type="spellStart"/>
        <w:r w:rsidRPr="008A78BF">
          <w:rPr>
            <w:lang w:val="en-GB"/>
          </w:rPr>
          <w:t>Pronzato</w:t>
        </w:r>
        <w:proofErr w:type="spellEnd"/>
        <w:r w:rsidRPr="008A78BF">
          <w:rPr>
            <w:lang w:val="en-GB"/>
          </w:rPr>
          <w:t>,</w:t>
        </w:r>
      </w:hyperlink>
      <w:r w:rsidRPr="008A78BF">
        <w:rPr>
          <w:lang w:val="en-GB"/>
        </w:rPr>
        <w:t xml:space="preserve"> </w:t>
      </w:r>
      <w:hyperlink w:anchor="_bookmark18" w:history="1">
        <w:r w:rsidRPr="008A78BF">
          <w:rPr>
            <w:lang w:val="en-GB"/>
          </w:rPr>
          <w:t>1997)</w:t>
        </w:r>
      </w:hyperlink>
      <w:r w:rsidRPr="008A78BF">
        <w:rPr>
          <w:lang w:val="en-GB"/>
        </w:rPr>
        <w:t xml:space="preserve"> is built:</w:t>
      </w:r>
    </w:p>
    <w:tbl>
      <w:tblPr>
        <w:tblpPr w:leftFromText="141" w:rightFromText="141" w:vertAnchor="text" w:horzAnchor="margin" w:tblpY="130"/>
        <w:tblW w:w="7230" w:type="dxa"/>
        <w:tblLook w:val="04A0" w:firstRow="1" w:lastRow="0" w:firstColumn="1" w:lastColumn="0" w:noHBand="0" w:noVBand="1"/>
      </w:tblPr>
      <w:tblGrid>
        <w:gridCol w:w="6379"/>
        <w:gridCol w:w="851"/>
      </w:tblGrid>
      <w:tr w:rsidR="00B1242D" w:rsidRPr="00A94774" w14:paraId="79CA8ED9" w14:textId="77777777" w:rsidTr="00EE1331">
        <w:trPr>
          <w:trHeight w:val="337"/>
        </w:trPr>
        <w:tc>
          <w:tcPr>
            <w:tcW w:w="6379" w:type="dxa"/>
            <w:shd w:val="clear" w:color="auto" w:fill="auto"/>
            <w:vAlign w:val="center"/>
          </w:tcPr>
          <w:p w14:paraId="657D22BB" w14:textId="77777777" w:rsidR="00B1242D" w:rsidRPr="00D906E8" w:rsidRDefault="00B1242D" w:rsidP="0077436F">
            <w:pPr>
              <w:pStyle w:val="Els-body-text"/>
              <w:spacing w:line="264" w:lineRule="auto"/>
              <w:ind w:left="35"/>
              <w:jc w:val="left"/>
              <w:rPr>
                <w:lang w:val="en-GB"/>
              </w:rPr>
            </w:pPr>
            <m:oMathPara>
              <m:oMathParaPr>
                <m:jc m:val="left"/>
              </m:oMathParaPr>
              <m:oMath>
                <m:r>
                  <w:rPr>
                    <w:rFonts w:ascii="Cambria Math" w:hAnsi="Cambria Math"/>
                    <w:lang w:val="en-GB"/>
                  </w:rPr>
                  <m:t>F=</m:t>
                </m:r>
                <m:nary>
                  <m:naryPr>
                    <m:chr m:val="∑"/>
                    <m:limLoc m:val="undOvr"/>
                    <m:ctrlPr>
                      <w:rPr>
                        <w:rFonts w:ascii="Cambria Math" w:hAnsi="Cambria Math"/>
                        <w:i/>
                        <w:lang w:val="en-GB"/>
                      </w:rPr>
                    </m:ctrlPr>
                  </m:naryPr>
                  <m:sub>
                    <m:argPr>
                      <m:argSz m:val="1"/>
                    </m:argPr>
                    <m:r>
                      <w:rPr>
                        <w:rFonts w:ascii="Cambria Math" w:hAnsi="Cambria Math"/>
                        <w:lang w:val="en-GB"/>
                      </w:rPr>
                      <m:t>i=1</m:t>
                    </m:r>
                  </m:sub>
                  <m:sup>
                    <m:r>
                      <w:rPr>
                        <w:rFonts w:ascii="Cambria Math" w:hAnsi="Cambria Math"/>
                        <w:lang w:val="en-GB"/>
                      </w:rPr>
                      <m:t>N</m:t>
                    </m:r>
                  </m:sup>
                  <m:e>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∂y</m:t>
                                </m:r>
                              </m:num>
                              <m:den>
                                <m:r>
                                  <w:rPr>
                                    <w:rFonts w:ascii="Cambria Math" w:hAnsi="Cambria Math"/>
                                    <w:lang w:val="en-GB"/>
                                  </w:rPr>
                                  <m:t>∂θ</m:t>
                                </m:r>
                              </m:den>
                            </m:f>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e>
                        </m:d>
                      </m:e>
                      <m:sup>
                        <m:r>
                          <w:rPr>
                            <w:rFonts w:ascii="Cambria Math" w:hAnsi="Cambria Math"/>
                            <w:lang w:val="en-GB"/>
                          </w:rPr>
                          <m:t>T</m:t>
                        </m:r>
                      </m:sup>
                    </m:sSup>
                    <m:sSubSup>
                      <m:sSubSupPr>
                        <m:ctrlPr>
                          <w:rPr>
                            <w:rFonts w:ascii="Cambria Math" w:hAnsi="Cambria Math"/>
                            <w:i/>
                            <w:lang w:val="en-GB"/>
                          </w:rPr>
                        </m:ctrlPr>
                      </m:sSubSupPr>
                      <m:e>
                        <m:r>
                          <m:rPr>
                            <m:sty m:val="p"/>
                          </m:rPr>
                          <w:rPr>
                            <w:rFonts w:ascii="Cambria Math" w:hAnsi="Cambria Math"/>
                            <w:lang w:val="en-GB"/>
                          </w:rPr>
                          <m:t>Σ</m:t>
                        </m:r>
                        <m:ctrlPr>
                          <w:rPr>
                            <w:rFonts w:ascii="Cambria Math" w:hAnsi="Cambria Math"/>
                            <w:lang w:val="en-GB"/>
                          </w:rPr>
                        </m:ctrlPr>
                      </m:e>
                      <m:sub>
                        <m:r>
                          <w:rPr>
                            <w:rFonts w:ascii="Cambria Math" w:hAnsi="Cambria Math"/>
                            <w:lang w:val="en-GB"/>
                          </w:rPr>
                          <m:t>i</m:t>
                        </m:r>
                      </m:sub>
                      <m:sup>
                        <m:r>
                          <w:rPr>
                            <w:rFonts w:ascii="Cambria Math" w:hAnsi="Cambria Math"/>
                            <w:lang w:val="en-GB"/>
                          </w:rPr>
                          <m:t>-1</m:t>
                        </m:r>
                      </m:sup>
                    </m:sSubSup>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∂y</m:t>
                            </m:r>
                          </m:num>
                          <m:den>
                            <m:r>
                              <w:rPr>
                                <w:rFonts w:ascii="Cambria Math" w:hAnsi="Cambria Math"/>
                                <w:lang w:val="en-GB"/>
                              </w:rPr>
                              <m:t>∂θ</m:t>
                            </m:r>
                          </m:den>
                        </m:f>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e>
                        </m:d>
                      </m:e>
                    </m:d>
                  </m:e>
                </m:nary>
              </m:oMath>
            </m:oMathPara>
          </w:p>
        </w:tc>
        <w:tc>
          <w:tcPr>
            <w:tcW w:w="851" w:type="dxa"/>
            <w:shd w:val="clear" w:color="auto" w:fill="auto"/>
            <w:vAlign w:val="center"/>
          </w:tcPr>
          <w:p w14:paraId="0CAA3BF3" w14:textId="6398DE44" w:rsidR="00B1242D" w:rsidRPr="00A94774" w:rsidRDefault="00B1242D" w:rsidP="00EB1568">
            <w:pPr>
              <w:pStyle w:val="Els-body-text"/>
              <w:spacing w:line="264" w:lineRule="auto"/>
              <w:jc w:val="right"/>
              <w:rPr>
                <w:lang w:val="en-GB"/>
              </w:rPr>
            </w:pPr>
            <w:r w:rsidRPr="00A94774">
              <w:rPr>
                <w:lang w:val="en-GB"/>
              </w:rPr>
              <w:t>(1</w:t>
            </w:r>
            <w:r w:rsidR="00EB1568">
              <w:rPr>
                <w:lang w:val="en-GB"/>
              </w:rPr>
              <w:t>8</w:t>
            </w:r>
            <w:r w:rsidRPr="00A94774">
              <w:rPr>
                <w:lang w:val="en-GB"/>
              </w:rPr>
              <w:t>)</w:t>
            </w:r>
          </w:p>
        </w:tc>
      </w:tr>
    </w:tbl>
    <w:p w14:paraId="6AD71629" w14:textId="77777777" w:rsidR="00B1242D" w:rsidRDefault="00B1242D" w:rsidP="00245D85">
      <w:pPr>
        <w:pStyle w:val="Els-body-text"/>
        <w:rPr>
          <w:lang w:val="en-GB"/>
        </w:rPr>
      </w:pPr>
      <w:r w:rsidRPr="008A78BF">
        <w:rPr>
          <w:lang w:val="en-GB"/>
        </w:rPr>
        <w:t xml:space="preserve">The FIM contains information about the measurement noise (via the inverse of the measurement error covariance matrix </w:t>
      </w:r>
      <m:oMath>
        <m:sSubSup>
          <m:sSubSupPr>
            <m:ctrlPr>
              <w:rPr>
                <w:rFonts w:ascii="Cambria Math" w:hAnsi="Cambria Math"/>
                <w:i/>
                <w:vertAlign w:val="subscript"/>
                <w:lang w:val="en-GB"/>
              </w:rPr>
            </m:ctrlPr>
          </m:sSubSupPr>
          <m:e>
            <m:r>
              <w:rPr>
                <w:rFonts w:ascii="Cambria Math" w:hAnsi="Cambria Math"/>
                <w:lang w:val="en-GB"/>
              </w:rPr>
              <m:t>Σ</m:t>
            </m:r>
            <m:ctrlPr>
              <w:rPr>
                <w:rFonts w:ascii="Cambria Math" w:hAnsi="Cambria Math"/>
                <w:i/>
                <w:lang w:val="en-GB"/>
              </w:rPr>
            </m:ctrlPr>
          </m:e>
          <m:sub>
            <m:r>
              <w:rPr>
                <w:rFonts w:ascii="Cambria Math" w:hAnsi="Cambria Math"/>
                <w:lang w:val="en-GB"/>
              </w:rPr>
              <m:t>i</m:t>
            </m:r>
            <m:ctrlPr>
              <w:rPr>
                <w:rFonts w:ascii="Cambria Math" w:hAnsi="Cambria Math"/>
                <w:i/>
                <w:lang w:val="en-GB"/>
              </w:rPr>
            </m:ctrlPr>
          </m:sub>
          <m:sup>
            <m:r>
              <w:rPr>
                <w:rFonts w:ascii="Cambria Math" w:hAnsi="Cambria Math"/>
                <w:vertAlign w:val="superscript"/>
                <w:lang w:val="en-GB"/>
              </w:rPr>
              <m:t>-1</m:t>
            </m:r>
          </m:sup>
        </m:sSubSup>
      </m:oMath>
      <w:r w:rsidRPr="008A78BF">
        <w:rPr>
          <w:lang w:val="en-GB"/>
        </w:rPr>
        <w:t xml:space="preserve">), and the output sensitivity function </w:t>
      </w:r>
      <m:oMath>
        <m:r>
          <w:rPr>
            <w:rFonts w:ascii="Cambria Math" w:hAnsi="Cambria Math"/>
            <w:lang w:val="en-GB"/>
          </w:rPr>
          <m:t>∂y/∂θ</m:t>
        </m:r>
      </m:oMath>
      <w:r w:rsidRPr="008A78BF">
        <w:rPr>
          <w:lang w:val="en-GB"/>
        </w:rPr>
        <w:t xml:space="preserve"> at each point </w:t>
      </w:r>
      <m:oMath>
        <m:r>
          <w:rPr>
            <w:rFonts w:ascii="Cambria Math" w:hAnsi="Cambria Math"/>
            <w:lang w:val="en-GB"/>
          </w:rPr>
          <m:t xml:space="preserve">i </m:t>
        </m:r>
      </m:oMath>
      <w:r w:rsidRPr="008A78BF">
        <w:rPr>
          <w:lang w:val="en-GB"/>
        </w:rPr>
        <w:t xml:space="preserve">in time. The inverse of the FIM provides an optimistic estimate (i.e., a lower bound) of the parameter estimation error covariance matrix </w:t>
      </w:r>
      <m:oMath>
        <m:acc>
          <m:accPr>
            <m:ctrlPr>
              <w:rPr>
                <w:rFonts w:ascii="Cambria Math" w:hAnsi="Cambria Math"/>
                <w:i/>
                <w:lang w:val="en-GB"/>
              </w:rPr>
            </m:ctrlPr>
          </m:accPr>
          <m:e>
            <m:r>
              <w:rPr>
                <w:rFonts w:ascii="Cambria Math" w:hAnsi="Cambria Math"/>
                <w:lang w:val="en-GB"/>
              </w:rPr>
              <m:t>Cov</m:t>
            </m:r>
          </m:e>
        </m:acc>
      </m:oMath>
      <w:r w:rsidRPr="00455AC1">
        <w:rPr>
          <w:lang w:val="en-GB"/>
        </w:rPr>
        <w:t xml:space="preserve">. </w:t>
      </w:r>
      <w:r w:rsidRPr="008A78BF">
        <w:rPr>
          <w:lang w:val="en-GB"/>
        </w:rPr>
        <w:t xml:space="preserve">In practice, the parameter estimation error standard deviations can be inferred from the square roots of the diagonal elements of </w:t>
      </w:r>
      <m:oMath>
        <m:acc>
          <m:accPr>
            <m:ctrlPr>
              <w:rPr>
                <w:rFonts w:ascii="Cambria Math" w:hAnsi="Cambria Math"/>
                <w:i/>
                <w:lang w:val="en-GB"/>
              </w:rPr>
            </m:ctrlPr>
          </m:accPr>
          <m:e>
            <m:r>
              <w:rPr>
                <w:rFonts w:ascii="Cambria Math" w:hAnsi="Cambria Math"/>
                <w:lang w:val="en-GB"/>
              </w:rPr>
              <m:t>Cov</m:t>
            </m:r>
          </m:e>
        </m:acc>
      </m:oMath>
      <w:r w:rsidRPr="008A78BF">
        <w:rPr>
          <w:lang w:val="en-GB"/>
        </w:rPr>
        <w:t>, as follows:</w:t>
      </w:r>
    </w:p>
    <w:tbl>
      <w:tblPr>
        <w:tblpPr w:leftFromText="141" w:rightFromText="141" w:vertAnchor="text" w:horzAnchor="margin" w:tblpY="130"/>
        <w:tblW w:w="7230" w:type="dxa"/>
        <w:tblLook w:val="04A0" w:firstRow="1" w:lastRow="0" w:firstColumn="1" w:lastColumn="0" w:noHBand="0" w:noVBand="1"/>
      </w:tblPr>
      <w:tblGrid>
        <w:gridCol w:w="6237"/>
        <w:gridCol w:w="993"/>
      </w:tblGrid>
      <w:tr w:rsidR="00B1242D" w:rsidRPr="00A94774" w14:paraId="341A2140" w14:textId="77777777" w:rsidTr="00245D85">
        <w:trPr>
          <w:trHeight w:val="340"/>
        </w:trPr>
        <w:tc>
          <w:tcPr>
            <w:tcW w:w="6237" w:type="dxa"/>
            <w:shd w:val="clear" w:color="auto" w:fill="auto"/>
            <w:vAlign w:val="center"/>
          </w:tcPr>
          <w:p w14:paraId="587A227F" w14:textId="77777777" w:rsidR="00B1242D" w:rsidRPr="00455AC1" w:rsidRDefault="00000000" w:rsidP="00245D85">
            <w:pPr>
              <w:pStyle w:val="Els-body-text"/>
              <w:ind w:left="34"/>
              <w:jc w:val="right"/>
              <w:rPr>
                <w:rFonts w:ascii="Cambria Math" w:hAnsi="Cambria Math"/>
                <w:i/>
                <w:lang w:val="en-GB"/>
              </w:rPr>
            </w:pPr>
            <m:oMathPara>
              <m:oMathParaPr>
                <m:jc m:val="left"/>
              </m:oMathParaPr>
              <m:oMath>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σ</m:t>
                        </m:r>
                      </m:e>
                    </m:acc>
                  </m:e>
                  <m:sub>
                    <m:r>
                      <w:rPr>
                        <w:rFonts w:ascii="Cambria Math" w:hAnsi="Cambria Math"/>
                        <w:lang w:val="en-GB"/>
                      </w:rPr>
                      <m:t>i</m:t>
                    </m:r>
                  </m:sub>
                </m:sSub>
                <m:d>
                  <m:dPr>
                    <m:ctrlPr>
                      <w:rPr>
                        <w:rFonts w:ascii="Cambria Math" w:hAnsi="Cambria Math"/>
                        <w:i/>
                        <w:lang w:val="en-GB"/>
                      </w:rPr>
                    </m:ctrlPr>
                  </m:dPr>
                  <m:e>
                    <m:sSub>
                      <m:sSubPr>
                        <m:ctrlPr>
                          <w:rPr>
                            <w:rFonts w:ascii="Cambria Math" w:hAnsi="Cambria Math"/>
                            <w:i/>
                            <w:lang w:val="en-GB"/>
                          </w:rPr>
                        </m:ctrlPr>
                      </m:sSubPr>
                      <m:e>
                        <m:acc>
                          <m:accPr>
                            <m:ctrlPr>
                              <w:rPr>
                                <w:rFonts w:ascii="Cambria Math" w:hAnsi="Cambria Math"/>
                                <w:i/>
                                <w:lang w:val="en-GB"/>
                              </w:rPr>
                            </m:ctrlPr>
                          </m:accPr>
                          <m:e>
                            <m:r>
                              <w:rPr>
                                <w:rFonts w:ascii="Cambria Math" w:hAnsi="Cambria Math"/>
                                <w:lang w:val="en-GB"/>
                              </w:rPr>
                              <m:t>θ</m:t>
                            </m:r>
                          </m:e>
                        </m:acc>
                      </m:e>
                      <m:sub>
                        <m:r>
                          <w:rPr>
                            <w:rFonts w:ascii="Cambria Math" w:hAnsi="Cambria Math"/>
                            <w:lang w:val="en-GB"/>
                          </w:rPr>
                          <m:t>i</m:t>
                        </m:r>
                      </m:sub>
                    </m:sSub>
                  </m:e>
                </m:d>
                <m:r>
                  <w:rPr>
                    <w:rFonts w:ascii="Cambria Math" w:hAnsi="Cambria Math"/>
                    <w:lang w:val="en-GB"/>
                  </w:rPr>
                  <m:t>=</m:t>
                </m:r>
                <m:rad>
                  <m:radPr>
                    <m:degHide m:val="1"/>
                    <m:ctrlPr>
                      <w:rPr>
                        <w:rFonts w:ascii="Cambria Math" w:hAnsi="Cambria Math"/>
                        <w:i/>
                        <w:lang w:val="en-GB"/>
                      </w:rPr>
                    </m:ctrlPr>
                  </m:radPr>
                  <m:deg/>
                  <m:e>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ii</m:t>
                        </m:r>
                      </m:sub>
                      <m:sup>
                        <m:r>
                          <w:rPr>
                            <w:rFonts w:ascii="Cambria Math" w:hAnsi="Cambria Math"/>
                            <w:lang w:val="en-GB"/>
                          </w:rPr>
                          <m:t>-1</m:t>
                        </m:r>
                      </m:sup>
                    </m:sSubSup>
                  </m:e>
                </m:rad>
              </m:oMath>
            </m:oMathPara>
          </w:p>
        </w:tc>
        <w:tc>
          <w:tcPr>
            <w:tcW w:w="993" w:type="dxa"/>
            <w:shd w:val="clear" w:color="auto" w:fill="auto"/>
            <w:vAlign w:val="center"/>
          </w:tcPr>
          <w:p w14:paraId="608A48DD" w14:textId="25225E7B" w:rsidR="00B1242D" w:rsidRPr="00A94774" w:rsidRDefault="00B1242D" w:rsidP="00245D85">
            <w:pPr>
              <w:pStyle w:val="Els-body-text"/>
              <w:spacing w:after="120"/>
              <w:jc w:val="right"/>
              <w:rPr>
                <w:lang w:val="en-GB"/>
              </w:rPr>
            </w:pPr>
            <w:r w:rsidRPr="00A94774">
              <w:rPr>
                <w:lang w:val="en-GB"/>
              </w:rPr>
              <w:t>(1</w:t>
            </w:r>
            <w:r w:rsidR="00EE1331">
              <w:rPr>
                <w:lang w:val="en-GB"/>
              </w:rPr>
              <w:t>9</w:t>
            </w:r>
            <w:r w:rsidRPr="00A94774">
              <w:rPr>
                <w:lang w:val="en-GB"/>
              </w:rPr>
              <w:t>)</w:t>
            </w:r>
          </w:p>
        </w:tc>
      </w:tr>
    </w:tbl>
    <w:p w14:paraId="445ACDAC" w14:textId="77777777" w:rsidR="00960F39" w:rsidRDefault="00B1242D" w:rsidP="00960F39">
      <w:pPr>
        <w:pStyle w:val="Els-body-text"/>
        <w:spacing w:after="120"/>
        <w:rPr>
          <w:lang w:val="en-GB"/>
        </w:rPr>
      </w:pPr>
      <w:r w:rsidRPr="008A78BF">
        <w:rPr>
          <w:lang w:val="en-GB"/>
        </w:rPr>
        <w:t xml:space="preserve">The coefficients of variations (CV) are therefore calculated </w:t>
      </w:r>
      <w:r w:rsidRPr="00455AC1">
        <w:rPr>
          <w:lang w:val="en-GB"/>
        </w:rPr>
        <w:t xml:space="preserve">as </w:t>
      </w:r>
      <m:oMath>
        <m:r>
          <w:rPr>
            <w:rFonts w:ascii="Cambria Math" w:hAnsi="Cambria Math"/>
            <w:lang w:val="en-GB"/>
          </w:rPr>
          <m:t>C</m:t>
        </m:r>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i</m:t>
            </m:r>
          </m:sub>
        </m:sSub>
        <m:r>
          <m:rPr>
            <m:sty m:val="p"/>
          </m:rPr>
          <w:rPr>
            <w:rFonts w:ascii="Cambria Math" w:hAnsi="Cambria Math"/>
            <w:lang w:val="en-GB"/>
          </w:rPr>
          <m:t xml:space="preserve"> = </m:t>
        </m:r>
        <m:box>
          <m:boxPr>
            <m:ctrlPr>
              <w:rPr>
                <w:rFonts w:ascii="Cambria Math" w:hAnsi="Cambria Math"/>
                <w:lang w:val="en-GB"/>
              </w:rPr>
            </m:ctrlPr>
          </m:boxPr>
          <m:e>
            <m:argPr>
              <m:argSz m:val="-1"/>
            </m:argPr>
            <m:f>
              <m:fPr>
                <m:ctrlPr>
                  <w:rPr>
                    <w:rFonts w:ascii="Cambria Math" w:hAnsi="Cambria Math"/>
                    <w:lang w:val="en-GB"/>
                  </w:rPr>
                </m:ctrlPr>
              </m:fPr>
              <m:num>
                <m:sSub>
                  <m:sSubPr>
                    <m:ctrlPr>
                      <w:rPr>
                        <w:rFonts w:ascii="Cambria Math" w:hAnsi="Cambria Math"/>
                        <w:lang w:val="en-GB"/>
                      </w:rPr>
                    </m:ctrlPr>
                  </m:sSubPr>
                  <m:e>
                    <m:acc>
                      <m:accPr>
                        <m:ctrlPr>
                          <w:rPr>
                            <w:rFonts w:ascii="Cambria Math" w:hAnsi="Cambria Math"/>
                            <w:lang w:val="en-GB"/>
                          </w:rPr>
                        </m:ctrlPr>
                      </m:accPr>
                      <m:e>
                        <m:r>
                          <w:rPr>
                            <w:rFonts w:ascii="Cambria Math" w:hAnsi="Cambria Math"/>
                            <w:lang w:val="en-GB"/>
                          </w:rPr>
                          <m:t>σ</m:t>
                        </m:r>
                      </m:e>
                    </m:acc>
                  </m:e>
                  <m:sub>
                    <m:r>
                      <w:rPr>
                        <w:rFonts w:ascii="Cambria Math" w:hAnsi="Cambria Math"/>
                        <w:lang w:val="en-GB"/>
                      </w:rPr>
                      <m:t>i</m:t>
                    </m:r>
                  </m:sub>
                </m:sSub>
              </m:num>
              <m:den>
                <m:sSub>
                  <m:sSubPr>
                    <m:ctrlPr>
                      <w:rPr>
                        <w:rFonts w:ascii="Cambria Math" w:hAnsi="Cambria Math"/>
                        <w:lang w:val="en-GB"/>
                      </w:rPr>
                    </m:ctrlPr>
                  </m:sSubPr>
                  <m:e>
                    <m:acc>
                      <m:accPr>
                        <m:ctrlPr>
                          <w:rPr>
                            <w:rFonts w:ascii="Cambria Math" w:hAnsi="Cambria Math"/>
                            <w:lang w:val="en-GB"/>
                          </w:rPr>
                        </m:ctrlPr>
                      </m:accPr>
                      <m:e>
                        <m:r>
                          <w:rPr>
                            <w:rFonts w:ascii="Cambria Math" w:hAnsi="Cambria Math"/>
                            <w:lang w:val="en-GB"/>
                          </w:rPr>
                          <m:t>θ</m:t>
                        </m:r>
                      </m:e>
                    </m:acc>
                  </m:e>
                  <m:sub>
                    <m:r>
                      <w:rPr>
                        <w:rFonts w:ascii="Cambria Math" w:hAnsi="Cambria Math"/>
                        <w:lang w:val="en-GB"/>
                      </w:rPr>
                      <m:t>i</m:t>
                    </m:r>
                  </m:sub>
                </m:sSub>
              </m:den>
            </m:f>
          </m:e>
        </m:box>
      </m:oMath>
      <w:r w:rsidRPr="00455AC1">
        <w:rPr>
          <w:lang w:val="en-GB"/>
        </w:rPr>
        <w:t xml:space="preserve">. </w:t>
      </w:r>
      <w:r w:rsidRPr="008A78BF">
        <w:rPr>
          <w:lang w:val="en-GB"/>
        </w:rPr>
        <w:t>The parameter values</w:t>
      </w:r>
      <w:r>
        <w:rPr>
          <w:lang w:val="en-GB"/>
        </w:rPr>
        <w:t xml:space="preserve"> </w:t>
      </w:r>
      <w:r w:rsidRPr="008A78BF">
        <w:rPr>
          <w:lang w:val="en-GB"/>
        </w:rPr>
        <w:t>along with their respective CV for the two models previously described are presented in Figure 1.</w:t>
      </w:r>
      <w:r>
        <w:rPr>
          <w:lang w:val="en-GB"/>
        </w:rPr>
        <w:t xml:space="preserve"> </w:t>
      </w:r>
      <w:r w:rsidRPr="008A78BF">
        <w:rPr>
          <w:lang w:val="en-GB"/>
        </w:rPr>
        <w:t>Model 1 has the best curve fitting as highlighted by the root-mean-square error (RMSE) values in Figure 1, which can be explained by the higher number of parameters providing more degrees of freedom to fit the data.</w:t>
      </w:r>
      <w:r w:rsidR="00960F39">
        <w:rPr>
          <w:lang w:val="en-GB"/>
        </w:rPr>
        <w:t xml:space="preserve"> </w:t>
      </w:r>
    </w:p>
    <w:p w14:paraId="66ED5073" w14:textId="266AACD3" w:rsidR="00960F39" w:rsidRDefault="00960F39" w:rsidP="00931073">
      <w:pPr>
        <w:pStyle w:val="Els-body-text"/>
        <w:jc w:val="center"/>
        <w:rPr>
          <w:lang w:val="en-GB"/>
        </w:rPr>
      </w:pPr>
      <w:r>
        <w:rPr>
          <w:noProof/>
          <w:lang w:val="en-GB"/>
        </w:rPr>
        <w:lastRenderedPageBreak/>
        <w:drawing>
          <wp:inline distT="0" distB="0" distL="0" distR="0" wp14:anchorId="6574D312" wp14:editId="39E7FA9C">
            <wp:extent cx="2744365" cy="1703705"/>
            <wp:effectExtent l="0" t="0" r="1270" b="0"/>
            <wp:docPr id="2"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grap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4365" cy="1703705"/>
                    </a:xfrm>
                    <a:prstGeom prst="rect">
                      <a:avLst/>
                    </a:prstGeom>
                  </pic:spPr>
                </pic:pic>
              </a:graphicData>
            </a:graphic>
          </wp:inline>
        </w:drawing>
      </w:r>
    </w:p>
    <w:p w14:paraId="5E11D977" w14:textId="78B67723" w:rsidR="00960F39" w:rsidRDefault="00960F39" w:rsidP="00931073">
      <w:pPr>
        <w:pStyle w:val="Els-body-text"/>
        <w:spacing w:after="120" w:line="264" w:lineRule="auto"/>
        <w:rPr>
          <w:lang w:val="en-GB"/>
        </w:rPr>
      </w:pPr>
      <w:r>
        <w:rPr>
          <w:lang w:val="en-GB"/>
        </w:rPr>
        <w:t>F</w:t>
      </w:r>
      <w:r w:rsidRPr="001A15BA">
        <w:rPr>
          <w:lang w:val="en-GB"/>
        </w:rPr>
        <w:t xml:space="preserve">igure 1: Parameter estimate values with their respective CVs and RMSEs of the biomass (X), glucose (S), and ethanol (E) predictions of the </w:t>
      </w:r>
      <w:r w:rsidR="00717025">
        <w:rPr>
          <w:lang w:val="en-GB"/>
        </w:rPr>
        <w:t>2</w:t>
      </w:r>
      <w:r w:rsidRPr="001A15BA">
        <w:rPr>
          <w:lang w:val="en-GB"/>
        </w:rPr>
        <w:t xml:space="preserve"> models.</w:t>
      </w:r>
    </w:p>
    <w:p w14:paraId="2954A604" w14:textId="4878F6BC" w:rsidR="00BF0AB2" w:rsidRPr="00EF5E72" w:rsidRDefault="00960F39" w:rsidP="00D02815">
      <w:pPr>
        <w:pStyle w:val="Els-body-text"/>
        <w:spacing w:before="80" w:line="264" w:lineRule="auto"/>
        <w:rPr>
          <w:lang w:val="en-GB"/>
        </w:rPr>
      </w:pPr>
      <w:r w:rsidRPr="008A78BF">
        <w:rPr>
          <w:lang w:val="en-GB"/>
        </w:rPr>
        <w:t xml:space="preserve">However, despite higher RMSEs, it can also be observed that the maximum CV values of Model 2 are lower than those of Model 1 which presents high CVs for all parameters involved in the second reaction. </w:t>
      </w:r>
      <w:r w:rsidR="00C3471D" w:rsidRPr="00EF5E72">
        <w:rPr>
          <w:lang w:val="en-GB"/>
        </w:rPr>
        <w:t>This suggests that the simplification done in Model 1, where reactions 1 and 2 are merged, is consistent with the inclusion of dissolved oxygen</w:t>
      </w:r>
      <w:r w:rsidRPr="00EF5E72">
        <w:rPr>
          <w:lang w:val="en-GB"/>
        </w:rPr>
        <w:t xml:space="preserve">. </w:t>
      </w:r>
      <w:r w:rsidRPr="008A78BF">
        <w:rPr>
          <w:lang w:val="en-GB"/>
        </w:rPr>
        <w:t>The curve fitting of both models</w:t>
      </w:r>
      <w:r>
        <w:rPr>
          <w:lang w:val="en-GB"/>
        </w:rPr>
        <w:t xml:space="preserve"> </w:t>
      </w:r>
      <w:r w:rsidRPr="001A15BA">
        <w:rPr>
          <w:lang w:val="en-GB"/>
        </w:rPr>
        <w:t xml:space="preserve">is shown in Figures 2 and 3 in direct validation using one of the two available data sets. For the sake of confidentiality, all values are normalized. It is worth mentioning that the quality of the model fitting on the other data set, used in direct validation, is similar. Based on these results, both models seem to properly reflect the process </w:t>
      </w:r>
      <w:proofErr w:type="spellStart"/>
      <w:r w:rsidRPr="001A15BA">
        <w:rPr>
          <w:lang w:val="en-GB"/>
        </w:rPr>
        <w:t>behavior</w:t>
      </w:r>
      <w:proofErr w:type="spellEnd"/>
      <w:r w:rsidRPr="001A15BA">
        <w:rPr>
          <w:lang w:val="en-GB"/>
        </w:rPr>
        <w:t xml:space="preserve">. The results indicate that despite a higher RMSE value, Model 2 presents the advantage of better reproducing the data trends, more specifically when ethanol enters its second production phase at the end of the culture. Additionally, the cross-validation of Model 1 and Model 2 using the third experimental data set is presented in Figure 4, </w:t>
      </w:r>
      <w:r w:rsidR="005D2880" w:rsidRPr="00EF5E72">
        <w:rPr>
          <w:lang w:val="en-GB"/>
        </w:rPr>
        <w:t>suggesting</w:t>
      </w:r>
      <w:r w:rsidRPr="00EF5E72">
        <w:rPr>
          <w:lang w:val="en-GB"/>
        </w:rPr>
        <w:t xml:space="preserve"> the </w:t>
      </w:r>
      <w:r w:rsidR="005D2880" w:rsidRPr="00EF5E72">
        <w:rPr>
          <w:lang w:val="en-GB"/>
        </w:rPr>
        <w:t xml:space="preserve">good </w:t>
      </w:r>
      <w:r w:rsidRPr="001A15BA">
        <w:rPr>
          <w:lang w:val="en-GB"/>
        </w:rPr>
        <w:t>prediction capacity of both models. The same conclusions from the direct validations apply to the cross-validation since it can be observed that Model 2 provides a better prediction of the end of the experiment while Model 1 still presents a slightly better precision (the</w:t>
      </w:r>
      <w:r>
        <w:rPr>
          <w:lang w:val="en-GB"/>
        </w:rPr>
        <w:t xml:space="preserve"> c</w:t>
      </w:r>
      <w:r w:rsidRPr="001A15BA">
        <w:rPr>
          <w:lang w:val="en-GB"/>
        </w:rPr>
        <w:t>orresponding RMSE value is ±6% less</w:t>
      </w:r>
      <w:r w:rsidRPr="00EF5E72">
        <w:rPr>
          <w:lang w:val="en-GB"/>
        </w:rPr>
        <w:t>).</w:t>
      </w:r>
      <w:r w:rsidR="00BF0AB2" w:rsidRPr="00EF5E72">
        <w:rPr>
          <w:lang w:val="en-GB"/>
        </w:rPr>
        <w:t xml:space="preserve"> </w:t>
      </w:r>
      <w:r w:rsidR="00FC7C9A" w:rsidRPr="00EF5E72">
        <w:rPr>
          <w:lang w:val="en-GB"/>
        </w:rPr>
        <w:t>It is worth noting that the ethanol</w:t>
      </w:r>
      <w:r w:rsidR="00EE3C35" w:rsidRPr="00EF5E72">
        <w:rPr>
          <w:lang w:val="en-GB"/>
        </w:rPr>
        <w:t xml:space="preserve"> measurement device</w:t>
      </w:r>
      <w:r w:rsidR="00FC7C9A" w:rsidRPr="00EF5E72">
        <w:rPr>
          <w:lang w:val="en-GB"/>
        </w:rPr>
        <w:t xml:space="preserve"> has</w:t>
      </w:r>
      <w:r w:rsidR="00EE3C35" w:rsidRPr="00EF5E72">
        <w:rPr>
          <w:lang w:val="en-GB"/>
        </w:rPr>
        <w:t xml:space="preserve"> a</w:t>
      </w:r>
      <w:r w:rsidR="00FC7C9A" w:rsidRPr="00EF5E72">
        <w:rPr>
          <w:lang w:val="en-GB"/>
        </w:rPr>
        <w:t xml:space="preserve"> limited </w:t>
      </w:r>
      <w:r w:rsidR="00EE3C35" w:rsidRPr="00EF5E72">
        <w:rPr>
          <w:lang w:val="en-GB"/>
        </w:rPr>
        <w:t>sensitivity assimilating too small non-zero values</w:t>
      </w:r>
      <w:r w:rsidR="00FC7C9A" w:rsidRPr="00EF5E72">
        <w:rPr>
          <w:lang w:val="en-GB"/>
        </w:rPr>
        <w:t xml:space="preserve"> to </w:t>
      </w:r>
      <w:r w:rsidR="00EE3C35" w:rsidRPr="00EF5E72">
        <w:rPr>
          <w:lang w:val="en-GB"/>
        </w:rPr>
        <w:t>a small constant</w:t>
      </w:r>
      <w:r w:rsidR="00FC7C9A" w:rsidRPr="00EF5E72">
        <w:rPr>
          <w:lang w:val="en-GB"/>
        </w:rPr>
        <w:t xml:space="preserve">. </w:t>
      </w:r>
      <w:r w:rsidR="00EE3C35" w:rsidRPr="00EF5E72">
        <w:rPr>
          <w:lang w:val="en-GB"/>
        </w:rPr>
        <w:t>All initial conditions are however identified during the cross-validation, allowing the model to start below the device sensitivity threshold</w:t>
      </w:r>
      <w:r w:rsidR="00FC7C9A" w:rsidRPr="00EF5E72">
        <w:rPr>
          <w:lang w:val="en-GB"/>
        </w:rPr>
        <w:t>.</w:t>
      </w:r>
    </w:p>
    <w:p w14:paraId="2F71A7F8" w14:textId="77777777" w:rsidR="00BF0AB2" w:rsidRDefault="00BF0AB2" w:rsidP="00BF0AB2">
      <w:pPr>
        <w:pStyle w:val="Els-body-text"/>
        <w:spacing w:line="0" w:lineRule="atLeast"/>
        <w:jc w:val="center"/>
        <w:rPr>
          <w:lang w:val="en-GB"/>
        </w:rPr>
      </w:pPr>
      <w:r>
        <w:rPr>
          <w:noProof/>
          <w:lang w:val="en-GB"/>
        </w:rPr>
        <w:drawing>
          <wp:inline distT="0" distB="0" distL="0" distR="0" wp14:anchorId="1C77B588" wp14:editId="217C0CD1">
            <wp:extent cx="3174945" cy="1286510"/>
            <wp:effectExtent l="0" t="0" r="6985" b="8890"/>
            <wp:docPr id="5" name="Picture 5" descr="A graph of gluc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gluco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5966" cy="1303132"/>
                    </a:xfrm>
                    <a:prstGeom prst="rect">
                      <a:avLst/>
                    </a:prstGeom>
                  </pic:spPr>
                </pic:pic>
              </a:graphicData>
            </a:graphic>
          </wp:inline>
        </w:drawing>
      </w:r>
    </w:p>
    <w:p w14:paraId="364597A2" w14:textId="77777777" w:rsidR="00BF0AB2" w:rsidRPr="006D4133" w:rsidRDefault="00BF0AB2" w:rsidP="00BF0AB2">
      <w:pPr>
        <w:pStyle w:val="Els-body-text"/>
        <w:spacing w:line="0" w:lineRule="atLeast"/>
        <w:jc w:val="center"/>
        <w:rPr>
          <w:lang w:val="en-GB"/>
        </w:rPr>
      </w:pPr>
      <w:r w:rsidRPr="00E53E0A">
        <w:rPr>
          <w:lang w:val="en-GB"/>
        </w:rPr>
        <w:t>Figure 2: Estimation of biomass, glucose and ethanol using the proposed Model 1.</w:t>
      </w:r>
    </w:p>
    <w:p w14:paraId="4ABE7D0A" w14:textId="77777777" w:rsidR="0097730A" w:rsidRPr="00A94774" w:rsidRDefault="0097730A" w:rsidP="00B0554F">
      <w:pPr>
        <w:pStyle w:val="Els-1storder-head"/>
        <w:spacing w:before="120"/>
        <w:rPr>
          <w:lang w:val="en-GB"/>
        </w:rPr>
      </w:pPr>
      <w:r w:rsidRPr="00A94774">
        <w:rPr>
          <w:lang w:val="en-GB"/>
        </w:rPr>
        <w:t>Conclusions</w:t>
      </w:r>
    </w:p>
    <w:p w14:paraId="08CFD6C8" w14:textId="556A8EF3" w:rsidR="0097730A" w:rsidRDefault="007B6681" w:rsidP="0097730A">
      <w:pPr>
        <w:pStyle w:val="Els-body-text"/>
        <w:rPr>
          <w:lang w:val="en-GB"/>
        </w:rPr>
      </w:pPr>
      <w:r w:rsidRPr="00EF5E72">
        <w:rPr>
          <w:lang w:val="en-GB"/>
        </w:rPr>
        <w:t>In this study, a mathematical model has been proposed</w:t>
      </w:r>
      <w:r w:rsidR="00EE3C35" w:rsidRPr="00EF5E72">
        <w:rPr>
          <w:lang w:val="en-GB"/>
        </w:rPr>
        <w:t>,</w:t>
      </w:r>
      <w:r w:rsidRPr="00EF5E72">
        <w:rPr>
          <w:lang w:val="en-GB"/>
        </w:rPr>
        <w:t xml:space="preserve"> that predicts the time evolution of biomass, glucose, and ethanol concentrations in cultures of </w:t>
      </w:r>
      <w:r w:rsidR="00EE3C35" w:rsidRPr="00EF5E72">
        <w:rPr>
          <w:lang w:val="en-GB"/>
        </w:rPr>
        <w:t xml:space="preserve">the </w:t>
      </w:r>
      <w:r w:rsidR="002F5329" w:rsidRPr="00EF5E72">
        <w:rPr>
          <w:lang w:val="en-GB"/>
        </w:rPr>
        <w:t xml:space="preserve">yeast </w:t>
      </w:r>
      <w:r w:rsidR="002F5329" w:rsidRPr="00EF5E72">
        <w:rPr>
          <w:i/>
          <w:lang w:val="en-GB"/>
        </w:rPr>
        <w:t>S. cerevisiae</w:t>
      </w:r>
      <w:r w:rsidRPr="00EF5E72">
        <w:rPr>
          <w:lang w:val="en-GB"/>
        </w:rPr>
        <w:t>. The model takes into account the reactions of glucose oxidation, glucose fermentation, and ethanol oxidation. Additionally, the model is based on the structuration of the kinetic laws, which are based on the product of activation and inhibition factors.</w:t>
      </w:r>
      <w:r w:rsidR="005B31CC" w:rsidRPr="00EF5E72">
        <w:rPr>
          <w:lang w:val="en-GB"/>
        </w:rPr>
        <w:t xml:space="preserve"> </w:t>
      </w:r>
      <w:r w:rsidRPr="00EF5E72">
        <w:rPr>
          <w:lang w:val="en-GB"/>
        </w:rPr>
        <w:t xml:space="preserve">A second model </w:t>
      </w:r>
      <w:r w:rsidRPr="00EF5E72">
        <w:rPr>
          <w:lang w:val="en-GB"/>
        </w:rPr>
        <w:lastRenderedPageBreak/>
        <w:t>has been developed which simplifies the oxidation and fermentation of the glucose into one reaction, thereby reducing the number of parameters involved. In this model, the inclusion of the dynamics of the dissolved oxygen has shown to significantly improve the model formulation and its prediction.</w:t>
      </w:r>
      <w:r w:rsidR="00356BDD" w:rsidRPr="00EF5E72">
        <w:rPr>
          <w:lang w:val="en-GB"/>
        </w:rPr>
        <w:t xml:space="preserve"> </w:t>
      </w:r>
      <w:r w:rsidR="0097730A" w:rsidRPr="00EF5E72">
        <w:rPr>
          <w:lang w:val="en-GB"/>
        </w:rPr>
        <w:t xml:space="preserve">The </w:t>
      </w:r>
      <w:r w:rsidR="0097730A" w:rsidRPr="00ED58BE">
        <w:rPr>
          <w:lang w:val="en-GB"/>
        </w:rPr>
        <w:t>proposed models are confirmed to have good prediction capability through both direct and cross-validation results</w:t>
      </w:r>
      <w:r w:rsidR="0097730A">
        <w:rPr>
          <w:lang w:val="en-GB"/>
        </w:rPr>
        <w:t>.</w:t>
      </w:r>
    </w:p>
    <w:p w14:paraId="46AFCFA9" w14:textId="61225C96" w:rsidR="003E4A14" w:rsidRDefault="003E4A14" w:rsidP="000F7C46">
      <w:pPr>
        <w:pStyle w:val="Els-body-text"/>
        <w:spacing w:before="60"/>
        <w:jc w:val="center"/>
        <w:rPr>
          <w:lang w:val="en-GB"/>
        </w:rPr>
      </w:pPr>
      <w:r>
        <w:rPr>
          <w:noProof/>
          <w:lang w:val="en-GB"/>
        </w:rPr>
        <w:drawing>
          <wp:inline distT="0" distB="0" distL="0" distR="0" wp14:anchorId="7E46CC04" wp14:editId="6329C24C">
            <wp:extent cx="3402315" cy="1170190"/>
            <wp:effectExtent l="0" t="0" r="8255" b="0"/>
            <wp:docPr id="1" name="Picture 1"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graph of a graph&#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3951" t="2456" r="9117"/>
                    <a:stretch/>
                  </pic:blipFill>
                  <pic:spPr bwMode="auto">
                    <a:xfrm>
                      <a:off x="0" y="0"/>
                      <a:ext cx="3438660" cy="1182691"/>
                    </a:xfrm>
                    <a:prstGeom prst="rect">
                      <a:avLst/>
                    </a:prstGeom>
                    <a:ln>
                      <a:noFill/>
                    </a:ln>
                    <a:extLst>
                      <a:ext uri="{53640926-AAD7-44D8-BBD7-CCE9431645EC}">
                        <a14:shadowObscured xmlns:a14="http://schemas.microsoft.com/office/drawing/2010/main"/>
                      </a:ext>
                    </a:extLst>
                  </pic:spPr>
                </pic:pic>
              </a:graphicData>
            </a:graphic>
          </wp:inline>
        </w:drawing>
      </w:r>
    </w:p>
    <w:p w14:paraId="5558AB3F" w14:textId="77777777" w:rsidR="0097730A" w:rsidRDefault="0097730A" w:rsidP="00EF5E72">
      <w:pPr>
        <w:pStyle w:val="BodyText"/>
        <w:spacing w:before="15" w:after="60"/>
        <w:ind w:left="142"/>
        <w:jc w:val="center"/>
        <w:rPr>
          <w:spacing w:val="-5"/>
        </w:rPr>
      </w:pPr>
      <w:bookmarkStart w:id="1" w:name="_bookmark4"/>
      <w:bookmarkEnd w:id="1"/>
      <w:r>
        <w:t>Figure</w:t>
      </w:r>
      <w:r>
        <w:rPr>
          <w:spacing w:val="-6"/>
        </w:rPr>
        <w:t xml:space="preserve"> </w:t>
      </w:r>
      <w:r>
        <w:t>3:</w:t>
      </w:r>
      <w:r>
        <w:rPr>
          <w:spacing w:val="5"/>
        </w:rPr>
        <w:t xml:space="preserve"> </w:t>
      </w:r>
      <w:r>
        <w:t>Estimation</w:t>
      </w:r>
      <w:r>
        <w:rPr>
          <w:spacing w:val="-6"/>
        </w:rPr>
        <w:t xml:space="preserve"> </w:t>
      </w:r>
      <w:r>
        <w:t>of</w:t>
      </w:r>
      <w:r>
        <w:rPr>
          <w:spacing w:val="-5"/>
        </w:rPr>
        <w:t xml:space="preserve"> </w:t>
      </w:r>
      <w:r>
        <w:t>biomass,</w:t>
      </w:r>
      <w:r>
        <w:rPr>
          <w:spacing w:val="-6"/>
        </w:rPr>
        <w:t xml:space="preserve"> </w:t>
      </w:r>
      <w:r>
        <w:t>glucose,</w:t>
      </w:r>
      <w:r>
        <w:rPr>
          <w:spacing w:val="-5"/>
        </w:rPr>
        <w:t xml:space="preserve"> </w:t>
      </w:r>
      <w:r>
        <w:t>ethanol</w:t>
      </w:r>
      <w:r>
        <w:rPr>
          <w:spacing w:val="-6"/>
        </w:rPr>
        <w:t xml:space="preserve"> </w:t>
      </w:r>
      <w:r>
        <w:t>and</w:t>
      </w:r>
      <w:r>
        <w:rPr>
          <w:spacing w:val="-6"/>
        </w:rPr>
        <w:t xml:space="preserve"> </w:t>
      </w:r>
      <m:oMath>
        <m:sSup>
          <m:sSupPr>
            <m:ctrlPr>
              <w:rPr>
                <w:rFonts w:ascii="Cambria Math" w:hAnsi="Cambria Math"/>
                <w:i/>
              </w:rPr>
            </m:ctrlPr>
          </m:sSupPr>
          <m:e>
            <m:r>
              <w:rPr>
                <w:rFonts w:ascii="Cambria Math" w:hAnsi="Cambria Math"/>
              </w:rPr>
              <m:t>O</m:t>
            </m:r>
          </m:e>
          <m:sup>
            <m:r>
              <w:rPr>
                <w:rFonts w:ascii="Cambria Math" w:hAnsi="Cambria Math"/>
              </w:rPr>
              <m:t>*</m:t>
            </m:r>
          </m:sup>
        </m:sSup>
      </m:oMath>
      <w:r w:rsidRPr="009445DA">
        <w:t xml:space="preserve"> </w:t>
      </w:r>
      <w:r>
        <w:t>using</w:t>
      </w:r>
      <w:r>
        <w:rPr>
          <w:spacing w:val="-6"/>
        </w:rPr>
        <w:t xml:space="preserve"> </w:t>
      </w:r>
      <w:r>
        <w:t>the</w:t>
      </w:r>
      <w:r>
        <w:rPr>
          <w:spacing w:val="-6"/>
        </w:rPr>
        <w:t xml:space="preserve"> </w:t>
      </w:r>
      <w:r>
        <w:t>proposed</w:t>
      </w:r>
      <w:r>
        <w:rPr>
          <w:spacing w:val="-5"/>
        </w:rPr>
        <w:t xml:space="preserve"> </w:t>
      </w:r>
      <w:r>
        <w:t>Model</w:t>
      </w:r>
      <w:r>
        <w:rPr>
          <w:spacing w:val="-6"/>
        </w:rPr>
        <w:t xml:space="preserve"> </w:t>
      </w:r>
      <w:r>
        <w:rPr>
          <w:spacing w:val="-5"/>
        </w:rPr>
        <w:t>2.</w:t>
      </w:r>
    </w:p>
    <w:p w14:paraId="45AE76EA" w14:textId="77777777" w:rsidR="0097730A" w:rsidRDefault="0097730A" w:rsidP="00EF5E72">
      <w:pPr>
        <w:pStyle w:val="BodyText"/>
        <w:spacing w:after="0" w:line="0" w:lineRule="atLeast"/>
        <w:ind w:left="142"/>
        <w:jc w:val="center"/>
      </w:pPr>
      <w:r>
        <w:rPr>
          <w:noProof/>
        </w:rPr>
        <w:drawing>
          <wp:inline distT="0" distB="0" distL="0" distR="0" wp14:anchorId="4316867E" wp14:editId="41BF1D51">
            <wp:extent cx="3443816" cy="1192261"/>
            <wp:effectExtent l="0" t="0" r="4445" b="8255"/>
            <wp:docPr id="4" name="Picture 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curv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3816" cy="1192261"/>
                    </a:xfrm>
                    <a:prstGeom prst="rect">
                      <a:avLst/>
                    </a:prstGeom>
                  </pic:spPr>
                </pic:pic>
              </a:graphicData>
            </a:graphic>
          </wp:inline>
        </w:drawing>
      </w:r>
    </w:p>
    <w:p w14:paraId="5114BF7B" w14:textId="77777777" w:rsidR="0097730A" w:rsidRDefault="0097730A" w:rsidP="00FB55E4">
      <w:pPr>
        <w:pStyle w:val="BodyText"/>
        <w:spacing w:line="0" w:lineRule="atLeast"/>
        <w:jc w:val="both"/>
      </w:pPr>
      <w:bookmarkStart w:id="2" w:name="_bookmark5"/>
      <w:bookmarkEnd w:id="2"/>
      <w:r>
        <w:t>Figure 4:</w:t>
      </w:r>
      <w:r>
        <w:rPr>
          <w:spacing w:val="40"/>
        </w:rPr>
        <w:t xml:space="preserve"> </w:t>
      </w:r>
      <w:r>
        <w:t>Cross-validation of the proposed Model 1 and 2, with normalized RMSE values of 0.8725 and 0.9304, respectively.</w:t>
      </w:r>
    </w:p>
    <w:p w14:paraId="6DBC7DB3" w14:textId="77777777" w:rsidR="00717025" w:rsidRDefault="00717025" w:rsidP="00717025">
      <w:pPr>
        <w:pStyle w:val="Els-reference-head"/>
        <w:spacing w:before="120"/>
      </w:pPr>
      <w:r>
        <w:t>References</w:t>
      </w:r>
    </w:p>
    <w:p w14:paraId="732F3602" w14:textId="44D4B4B1" w:rsidR="00717025" w:rsidRPr="00787988" w:rsidRDefault="00717025" w:rsidP="00717025">
      <w:pPr>
        <w:pStyle w:val="Els-referenceno-number"/>
        <w:jc w:val="both"/>
        <w:rPr>
          <w:lang w:val="en-US"/>
        </w:rPr>
      </w:pPr>
      <w:r w:rsidRPr="00787988">
        <w:rPr>
          <w:lang w:val="en-US"/>
        </w:rPr>
        <w:t>P. Bogaerts, A. Vande Wouwer, 2003. Software sensors for bioprocesses. ISA Transactions 42.</w:t>
      </w:r>
    </w:p>
    <w:p w14:paraId="7537EB60" w14:textId="3F5C5E80" w:rsidR="00717025" w:rsidRPr="00D64A2B" w:rsidRDefault="00717025" w:rsidP="00717025">
      <w:pPr>
        <w:pStyle w:val="Els-referenceno-number"/>
        <w:jc w:val="both"/>
        <w:rPr>
          <w:lang w:val="en-US"/>
        </w:rPr>
      </w:pPr>
      <w:r w:rsidRPr="00D64A2B">
        <w:rPr>
          <w:lang w:val="en-US"/>
        </w:rPr>
        <w:t>R. H. D. Deken, 1966. The crabtree effect: A regulatory system in yeast. J . gen. Microbiol. 44.</w:t>
      </w:r>
    </w:p>
    <w:p w14:paraId="7D4DBD6E" w14:textId="77777777" w:rsidR="00717025" w:rsidRPr="00D64A2B" w:rsidRDefault="00717025" w:rsidP="00717025">
      <w:pPr>
        <w:pStyle w:val="Els-referenceno-number"/>
        <w:jc w:val="both"/>
        <w:rPr>
          <w:lang w:val="en-US"/>
        </w:rPr>
      </w:pPr>
      <w:r w:rsidRPr="00D64A2B">
        <w:rPr>
          <w:lang w:val="en-US"/>
        </w:rPr>
        <w:t>L. Dewasme, P. Bogaerts, A. Vande Wouwer, 2009. Monitoring of bioprocesses: mechanistic and data-driven approaches. Studies in Computational Intelligence, (Computational Intelligent Techniques fo</w:t>
      </w:r>
      <w:r>
        <w:rPr>
          <w:lang w:val="en-US"/>
        </w:rPr>
        <w:t>r Bioprocess Modelling, Supervi</w:t>
      </w:r>
      <w:r w:rsidRPr="00D64A2B">
        <w:rPr>
          <w:lang w:val="en-US"/>
        </w:rPr>
        <w:t>sion and Control, Maria do Carmo Nicoletti, Lakhmi C. Jain, eds.). Springer Verlag, pp. 57–97.</w:t>
      </w:r>
    </w:p>
    <w:p w14:paraId="2A691308" w14:textId="26B93135" w:rsidR="00717025" w:rsidRPr="00D64A2B" w:rsidRDefault="00717025" w:rsidP="00717025">
      <w:pPr>
        <w:pStyle w:val="Els-referenceno-number"/>
        <w:jc w:val="both"/>
        <w:rPr>
          <w:lang w:val="en-US"/>
        </w:rPr>
      </w:pPr>
      <w:r w:rsidRPr="00D64A2B">
        <w:rPr>
          <w:lang w:val="en-US"/>
        </w:rPr>
        <w:t>L. Dewasme, B. Srinivasan, M. Perrier, A. V. Wouwer, 2011. Extremum-seeking algorithm design for fed-batch cultures of microorganisms with overflow metabolism. Journal of Process Control</w:t>
      </w:r>
      <w:r w:rsidR="00CD2187">
        <w:rPr>
          <w:lang w:val="en-US"/>
        </w:rPr>
        <w:t>.</w:t>
      </w:r>
    </w:p>
    <w:p w14:paraId="1C0BED4E" w14:textId="77777777" w:rsidR="00717025" w:rsidRPr="00A976D2" w:rsidRDefault="00717025" w:rsidP="00717025">
      <w:pPr>
        <w:pStyle w:val="Els-referenceno-number"/>
        <w:jc w:val="both"/>
        <w:rPr>
          <w:lang w:val="es-PE"/>
        </w:rPr>
      </w:pPr>
      <w:r w:rsidRPr="00D64A2B">
        <w:rPr>
          <w:lang w:val="en-US"/>
        </w:rPr>
        <w:t xml:space="preserve">A. Grosfils, 2007. First principles and black box modelling of biological systems. </w:t>
      </w:r>
      <w:r w:rsidRPr="00A976D2">
        <w:rPr>
          <w:lang w:val="es-PE"/>
        </w:rPr>
        <w:t>Ph.D. thesis, Université libre de Bruxelles.</w:t>
      </w:r>
    </w:p>
    <w:p w14:paraId="109B832F" w14:textId="77777777" w:rsidR="00717025" w:rsidRPr="00D64A2B" w:rsidRDefault="00717025" w:rsidP="00717025">
      <w:pPr>
        <w:pStyle w:val="Els-referenceno-number"/>
        <w:jc w:val="both"/>
        <w:rPr>
          <w:lang w:val="en-US"/>
        </w:rPr>
      </w:pPr>
      <w:r w:rsidRPr="00A976D2">
        <w:rPr>
          <w:lang w:val="es-PE"/>
        </w:rPr>
        <w:t xml:space="preserve">A. Papapostolou, E. Karasavvas, C. Chatzidoukas, 2019. </w:t>
      </w:r>
      <w:r w:rsidRPr="00D64A2B">
        <w:rPr>
          <w:lang w:val="en-US"/>
        </w:rPr>
        <w:t>Oxygen mass transfer limitat</w:t>
      </w:r>
      <w:r>
        <w:rPr>
          <w:lang w:val="en-US"/>
        </w:rPr>
        <w:t>ions set the performance bound</w:t>
      </w:r>
      <w:r w:rsidRPr="00D64A2B">
        <w:rPr>
          <w:lang w:val="en-US"/>
        </w:rPr>
        <w:t>aries of microbial pha production processes–a model-based problem investigation supporting scale-up studies. Biochemical engineering journal 148, 224–238.</w:t>
      </w:r>
    </w:p>
    <w:p w14:paraId="39045E3E" w14:textId="12BF1ED9" w:rsidR="00717025" w:rsidRPr="00D64A2B" w:rsidRDefault="00717025" w:rsidP="00717025">
      <w:pPr>
        <w:pStyle w:val="Els-referenceno-number"/>
        <w:jc w:val="both"/>
        <w:rPr>
          <w:lang w:val="en-US"/>
        </w:rPr>
      </w:pPr>
      <w:r w:rsidRPr="00D64A2B">
        <w:rPr>
          <w:lang w:val="en-US"/>
        </w:rPr>
        <w:t>N. Patel, J. Thibault, 2009. Data reconciliation using neural networks for the determination of k</w:t>
      </w:r>
      <w:r w:rsidR="00B47EBA">
        <w:rPr>
          <w:lang w:val="en-US"/>
        </w:rPr>
        <w:t>L</w:t>
      </w:r>
      <w:r w:rsidRPr="00D64A2B">
        <w:rPr>
          <w:lang w:val="en-US"/>
        </w:rPr>
        <w:t>a. Computational Intelligence Techniques for Bioprocess Modelling, Supervision and Control</w:t>
      </w:r>
      <w:r w:rsidR="00B47EBA">
        <w:rPr>
          <w:lang w:val="en-US"/>
        </w:rPr>
        <w:t>.</w:t>
      </w:r>
    </w:p>
    <w:p w14:paraId="77A044E4" w14:textId="33A27DEC" w:rsidR="00717025" w:rsidRPr="00D64A2B" w:rsidRDefault="00717025" w:rsidP="00717025">
      <w:pPr>
        <w:pStyle w:val="Els-referenceno-number"/>
        <w:jc w:val="both"/>
        <w:rPr>
          <w:lang w:val="en-US"/>
        </w:rPr>
      </w:pPr>
      <w:r w:rsidRPr="00D64A2B">
        <w:rPr>
          <w:lang w:val="en-US"/>
        </w:rPr>
        <w:t>A. Richelle, P. Fickers, P. Bogaerts, 2014. Macroscopic modelling of baker’s yeast production in fed-batch cultures and its link with trehalose production. Computers &amp; chemical engineering 6.</w:t>
      </w:r>
    </w:p>
    <w:p w14:paraId="5A7FCCE6" w14:textId="77777777" w:rsidR="00717025" w:rsidRPr="00D64A2B" w:rsidRDefault="00717025" w:rsidP="00717025">
      <w:pPr>
        <w:pStyle w:val="Els-referenceno-number"/>
        <w:jc w:val="both"/>
        <w:rPr>
          <w:lang w:val="pt-BR"/>
        </w:rPr>
      </w:pPr>
      <w:r w:rsidRPr="00D64A2B">
        <w:rPr>
          <w:lang w:val="en-US"/>
        </w:rPr>
        <w:t xml:space="preserve">I. Rocha, 2003. Model-based strategies for computer-aided operation of recombinant e. coli fermentation. </w:t>
      </w:r>
      <w:r w:rsidRPr="00D64A2B">
        <w:rPr>
          <w:lang w:val="pt-BR"/>
        </w:rPr>
        <w:t>Ph.D. thesis, University of Minho, Portugal.</w:t>
      </w:r>
    </w:p>
    <w:p w14:paraId="73E466F2" w14:textId="77777777" w:rsidR="00717025" w:rsidRPr="00D64A2B" w:rsidRDefault="00717025" w:rsidP="00717025">
      <w:pPr>
        <w:pStyle w:val="Els-referenceno-number"/>
        <w:jc w:val="both"/>
        <w:rPr>
          <w:lang w:val="en-US"/>
        </w:rPr>
      </w:pPr>
      <w:r w:rsidRPr="00D64A2B">
        <w:rPr>
          <w:lang w:val="pt-BR"/>
        </w:rPr>
        <w:t xml:space="preserve">A. J. D. Silva, C. K. d. S. Rocha, A. C. de Freitas, 2022. </w:t>
      </w:r>
      <w:r w:rsidRPr="00D64A2B">
        <w:rPr>
          <w:lang w:val="en-US"/>
        </w:rPr>
        <w:t>Standardization and key aspects of the development of whole yeast cell vaccines. Pharmaceutics 14 (12), 2792.</w:t>
      </w:r>
    </w:p>
    <w:p w14:paraId="1C4E587D" w14:textId="77777777" w:rsidR="00717025" w:rsidRPr="00D64A2B" w:rsidRDefault="00717025" w:rsidP="00717025">
      <w:pPr>
        <w:pStyle w:val="Els-referenceno-number"/>
        <w:jc w:val="both"/>
        <w:rPr>
          <w:lang w:val="pt-BR"/>
        </w:rPr>
      </w:pPr>
      <w:r w:rsidRPr="00D64A2B">
        <w:rPr>
          <w:lang w:val="en-US"/>
        </w:rPr>
        <w:t xml:space="preserve">B. Sonnleitner, O. Käppeli, 1986. Growth of saccharomyces cerevisiae is controlled by its limited respiratory capacity: formulation and verification of a hypothesis. </w:t>
      </w:r>
      <w:r w:rsidRPr="00D64A2B">
        <w:rPr>
          <w:lang w:val="pt-BR"/>
        </w:rPr>
        <w:t>Biotechnology and bioengineering 28 (6), 927–937.</w:t>
      </w:r>
    </w:p>
    <w:p w14:paraId="04A56F95" w14:textId="77777777" w:rsidR="00717025" w:rsidRPr="00D64A2B" w:rsidRDefault="00717025" w:rsidP="00717025">
      <w:pPr>
        <w:pStyle w:val="Els-referenceno-number"/>
        <w:jc w:val="both"/>
        <w:rPr>
          <w:lang w:val="en-US"/>
        </w:rPr>
      </w:pPr>
      <w:r w:rsidRPr="00D64A2B">
        <w:rPr>
          <w:lang w:val="pt-BR"/>
        </w:rPr>
        <w:t xml:space="preserve">A. M. Vieira Gomes, T. Souza Carmo, L. Silva Carvalho, F. Mendonça Bahia, N. S. Parachin, 2018. </w:t>
      </w:r>
      <w:r w:rsidRPr="00D64A2B">
        <w:rPr>
          <w:lang w:val="en-US"/>
        </w:rPr>
        <w:t>Comparison of yeasts as hosts for recombinant protein production. Microorganisms 6 (2), 38.</w:t>
      </w:r>
    </w:p>
    <w:p w14:paraId="59B65522" w14:textId="77777777" w:rsidR="00717025" w:rsidRPr="00D64A2B" w:rsidRDefault="00717025" w:rsidP="00717025">
      <w:pPr>
        <w:pStyle w:val="Els-referenceno-number"/>
        <w:jc w:val="both"/>
        <w:rPr>
          <w:lang w:val="en-US"/>
        </w:rPr>
      </w:pPr>
      <w:r w:rsidRPr="00D64A2B">
        <w:rPr>
          <w:lang w:val="en-US"/>
        </w:rPr>
        <w:t>E. Walter, L. Pronzato, 1997. Identification of parametric models. Springer Verlag New-York.</w:t>
      </w:r>
    </w:p>
    <w:p w14:paraId="081CDE7D" w14:textId="04999720" w:rsidR="00A739D6" w:rsidRPr="00D97764" w:rsidRDefault="00717025" w:rsidP="00D97764">
      <w:pPr>
        <w:pStyle w:val="Els-referenceno-number"/>
        <w:jc w:val="both"/>
        <w:rPr>
          <w:lang w:val="en-US"/>
        </w:rPr>
      </w:pPr>
      <w:r w:rsidRPr="00D64A2B">
        <w:rPr>
          <w:lang w:val="en-US"/>
        </w:rPr>
        <w:t xml:space="preserve">C. Wills, 1990. Regulation of sugar and ethanol metabolism in saccharomyces cerevisiae. Critical reviews in </w:t>
      </w:r>
      <w:r>
        <w:rPr>
          <w:lang w:val="en-US"/>
        </w:rPr>
        <w:t>biochemistry</w:t>
      </w:r>
      <w:r w:rsidRPr="00D64A2B">
        <w:rPr>
          <w:lang w:val="en-US"/>
        </w:rPr>
        <w:t xml:space="preserve"> and molecular biology 25 (4), 245–280.</w:t>
      </w:r>
    </w:p>
    <w:sectPr w:rsidR="00A739D6" w:rsidRPr="00D97764" w:rsidSect="00245D85">
      <w:headerReference w:type="even" r:id="rId12"/>
      <w:headerReference w:type="default" r:id="rId13"/>
      <w:headerReference w:type="first" r:id="rId14"/>
      <w:type w:val="continuous"/>
      <w:pgSz w:w="11906" w:h="16838" w:code="9"/>
      <w:pgMar w:top="2377" w:right="2410" w:bottom="2127"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9F91C" w14:textId="77777777" w:rsidR="00CF3597" w:rsidRDefault="00CF3597">
      <w:r>
        <w:separator/>
      </w:r>
    </w:p>
  </w:endnote>
  <w:endnote w:type="continuationSeparator" w:id="0">
    <w:p w14:paraId="6EF3A985" w14:textId="77777777" w:rsidR="00CF3597" w:rsidRDefault="00C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w:altName w:val="Cambria"/>
    <w:charset w:val="00"/>
    <w:family w:val="roman"/>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B6EB" w14:textId="77777777" w:rsidR="00CF3597" w:rsidRDefault="00CF3597">
      <w:r>
        <w:separator/>
      </w:r>
    </w:p>
  </w:footnote>
  <w:footnote w:type="continuationSeparator" w:id="0">
    <w:p w14:paraId="2FB508A6" w14:textId="77777777" w:rsidR="00CF3597" w:rsidRDefault="00CF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EED7F86" w:rsidR="00DD3D9E" w:rsidRDefault="00DD3D9E">
    <w:pPr>
      <w:pStyle w:val="Header"/>
      <w:tabs>
        <w:tab w:val="clear" w:pos="7200"/>
        <w:tab w:val="right" w:pos="7088"/>
      </w:tabs>
    </w:pPr>
    <w:r>
      <w:rPr>
        <w:rStyle w:val="PageNumber"/>
      </w:rPr>
      <w:tab/>
    </w:r>
    <w:r>
      <w:rPr>
        <w:rStyle w:val="PageNumber"/>
        <w:i/>
      </w:rPr>
      <w:tab/>
    </w:r>
    <w:r w:rsidR="002A7911">
      <w:rPr>
        <w:i/>
      </w:rPr>
      <w:t>M. Benavides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8052275" w:rsidR="00DD3D9E" w:rsidRDefault="006F4723" w:rsidP="00F91B9D">
    <w:pPr>
      <w:pStyle w:val="Header"/>
      <w:tabs>
        <w:tab w:val="clear" w:pos="7200"/>
        <w:tab w:val="right" w:pos="7086"/>
      </w:tabs>
      <w:jc w:val="right"/>
      <w:rPr>
        <w:sz w:val="24"/>
      </w:rPr>
    </w:pPr>
    <w:r>
      <w:rPr>
        <w:i/>
      </w:rPr>
      <w:t>Modeling fed</w:t>
    </w:r>
    <w:r w:rsidR="00236881">
      <w:rPr>
        <w:i/>
      </w:rPr>
      <w:t xml:space="preserve">-batch cultures of </w:t>
    </w:r>
    <w:r w:rsidR="00777875">
      <w:rPr>
        <w:i/>
      </w:rPr>
      <w:t xml:space="preserve">yeast for the production </w:t>
    </w:r>
    <w:r w:rsidR="0042529E">
      <w:rPr>
        <w:i/>
      </w:rPr>
      <w:t>of heterologous proteins</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15079474">
    <w:abstractNumId w:val="11"/>
  </w:num>
  <w:num w:numId="2" w16cid:durableId="1458525472">
    <w:abstractNumId w:val="11"/>
  </w:num>
  <w:num w:numId="3" w16cid:durableId="1802075238">
    <w:abstractNumId w:val="11"/>
  </w:num>
  <w:num w:numId="4" w16cid:durableId="1646084592">
    <w:abstractNumId w:val="11"/>
  </w:num>
  <w:num w:numId="5" w16cid:durableId="924269198">
    <w:abstractNumId w:val="0"/>
  </w:num>
  <w:num w:numId="6" w16cid:durableId="1887519274">
    <w:abstractNumId w:val="6"/>
  </w:num>
  <w:num w:numId="7" w16cid:durableId="926422655">
    <w:abstractNumId w:val="12"/>
  </w:num>
  <w:num w:numId="8" w16cid:durableId="662705699">
    <w:abstractNumId w:val="1"/>
  </w:num>
  <w:num w:numId="9" w16cid:durableId="2064131985">
    <w:abstractNumId w:val="10"/>
  </w:num>
  <w:num w:numId="10" w16cid:durableId="2053458062">
    <w:abstractNumId w:val="14"/>
  </w:num>
  <w:num w:numId="11" w16cid:durableId="1900163099">
    <w:abstractNumId w:val="13"/>
  </w:num>
  <w:num w:numId="12" w16cid:durableId="75440750">
    <w:abstractNumId w:val="5"/>
  </w:num>
  <w:num w:numId="13" w16cid:durableId="72942391">
    <w:abstractNumId w:val="8"/>
  </w:num>
  <w:num w:numId="14" w16cid:durableId="566459569">
    <w:abstractNumId w:val="2"/>
  </w:num>
  <w:num w:numId="15" w16cid:durableId="494493355">
    <w:abstractNumId w:val="7"/>
  </w:num>
  <w:num w:numId="16" w16cid:durableId="1958949472">
    <w:abstractNumId w:val="3"/>
  </w:num>
  <w:num w:numId="17" w16cid:durableId="425033566">
    <w:abstractNumId w:val="4"/>
  </w:num>
  <w:num w:numId="18" w16cid:durableId="2088067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975"/>
    <w:rsid w:val="00093882"/>
    <w:rsid w:val="00094BCD"/>
    <w:rsid w:val="000A403C"/>
    <w:rsid w:val="000B4FFE"/>
    <w:rsid w:val="000D3D9B"/>
    <w:rsid w:val="000F7C46"/>
    <w:rsid w:val="00110A70"/>
    <w:rsid w:val="001211E6"/>
    <w:rsid w:val="00125C1C"/>
    <w:rsid w:val="0016032F"/>
    <w:rsid w:val="001653AD"/>
    <w:rsid w:val="00165F03"/>
    <w:rsid w:val="00181C34"/>
    <w:rsid w:val="00186F13"/>
    <w:rsid w:val="001879F6"/>
    <w:rsid w:val="00197475"/>
    <w:rsid w:val="001B365F"/>
    <w:rsid w:val="001B6292"/>
    <w:rsid w:val="001C0148"/>
    <w:rsid w:val="001C757E"/>
    <w:rsid w:val="001E227D"/>
    <w:rsid w:val="001F4A20"/>
    <w:rsid w:val="0020390F"/>
    <w:rsid w:val="002214F9"/>
    <w:rsid w:val="00223852"/>
    <w:rsid w:val="00231D7E"/>
    <w:rsid w:val="00235C5E"/>
    <w:rsid w:val="00236881"/>
    <w:rsid w:val="00245D85"/>
    <w:rsid w:val="00264926"/>
    <w:rsid w:val="00273351"/>
    <w:rsid w:val="002A1C1C"/>
    <w:rsid w:val="002A7911"/>
    <w:rsid w:val="002A7DD7"/>
    <w:rsid w:val="002B287C"/>
    <w:rsid w:val="002C33F9"/>
    <w:rsid w:val="002C69EC"/>
    <w:rsid w:val="002D015F"/>
    <w:rsid w:val="002D0D15"/>
    <w:rsid w:val="002D3B3A"/>
    <w:rsid w:val="002E7516"/>
    <w:rsid w:val="002F5329"/>
    <w:rsid w:val="002F5C60"/>
    <w:rsid w:val="002F790E"/>
    <w:rsid w:val="003235E5"/>
    <w:rsid w:val="00356BDD"/>
    <w:rsid w:val="00361530"/>
    <w:rsid w:val="0036586D"/>
    <w:rsid w:val="00367AD3"/>
    <w:rsid w:val="003974DD"/>
    <w:rsid w:val="003A10C4"/>
    <w:rsid w:val="003A2DFE"/>
    <w:rsid w:val="003C3D85"/>
    <w:rsid w:val="003D1582"/>
    <w:rsid w:val="003D2F9D"/>
    <w:rsid w:val="003D7E4C"/>
    <w:rsid w:val="003E41C2"/>
    <w:rsid w:val="003E4A14"/>
    <w:rsid w:val="003F7781"/>
    <w:rsid w:val="004006E7"/>
    <w:rsid w:val="0040303C"/>
    <w:rsid w:val="00407FBB"/>
    <w:rsid w:val="0042529E"/>
    <w:rsid w:val="00436BB2"/>
    <w:rsid w:val="00444CED"/>
    <w:rsid w:val="00480290"/>
    <w:rsid w:val="0049772C"/>
    <w:rsid w:val="0049779C"/>
    <w:rsid w:val="004C0A59"/>
    <w:rsid w:val="004C0A86"/>
    <w:rsid w:val="004C3B0B"/>
    <w:rsid w:val="004C5FDC"/>
    <w:rsid w:val="00532CCB"/>
    <w:rsid w:val="00552EEB"/>
    <w:rsid w:val="00566148"/>
    <w:rsid w:val="00593782"/>
    <w:rsid w:val="0059539B"/>
    <w:rsid w:val="005A1260"/>
    <w:rsid w:val="005B31CC"/>
    <w:rsid w:val="005B73D9"/>
    <w:rsid w:val="005D2880"/>
    <w:rsid w:val="00610138"/>
    <w:rsid w:val="00664446"/>
    <w:rsid w:val="006976B6"/>
    <w:rsid w:val="006A69BF"/>
    <w:rsid w:val="006B2246"/>
    <w:rsid w:val="006B50F5"/>
    <w:rsid w:val="006D22A9"/>
    <w:rsid w:val="006D233E"/>
    <w:rsid w:val="006F30DD"/>
    <w:rsid w:val="006F4723"/>
    <w:rsid w:val="00704002"/>
    <w:rsid w:val="00711DF4"/>
    <w:rsid w:val="00717025"/>
    <w:rsid w:val="00740A82"/>
    <w:rsid w:val="00775FD2"/>
    <w:rsid w:val="00777875"/>
    <w:rsid w:val="00793723"/>
    <w:rsid w:val="007B6681"/>
    <w:rsid w:val="007D0026"/>
    <w:rsid w:val="007D2FC7"/>
    <w:rsid w:val="007D70A1"/>
    <w:rsid w:val="007F59FF"/>
    <w:rsid w:val="008132E8"/>
    <w:rsid w:val="00823407"/>
    <w:rsid w:val="00827FAD"/>
    <w:rsid w:val="008329E9"/>
    <w:rsid w:val="008521DF"/>
    <w:rsid w:val="008908A5"/>
    <w:rsid w:val="00895F04"/>
    <w:rsid w:val="008969CD"/>
    <w:rsid w:val="008B0184"/>
    <w:rsid w:val="008B1471"/>
    <w:rsid w:val="008B65B8"/>
    <w:rsid w:val="008C5D02"/>
    <w:rsid w:val="008D2649"/>
    <w:rsid w:val="008D34D3"/>
    <w:rsid w:val="008F72A4"/>
    <w:rsid w:val="0090568D"/>
    <w:rsid w:val="00906DB1"/>
    <w:rsid w:val="009125C9"/>
    <w:rsid w:val="00913879"/>
    <w:rsid w:val="0091423D"/>
    <w:rsid w:val="00917661"/>
    <w:rsid w:val="00931073"/>
    <w:rsid w:val="00946A3C"/>
    <w:rsid w:val="00957856"/>
    <w:rsid w:val="00960F39"/>
    <w:rsid w:val="00964B59"/>
    <w:rsid w:val="00970761"/>
    <w:rsid w:val="00970E5D"/>
    <w:rsid w:val="00975624"/>
    <w:rsid w:val="00976ECA"/>
    <w:rsid w:val="0097701C"/>
    <w:rsid w:val="0097730A"/>
    <w:rsid w:val="00980A65"/>
    <w:rsid w:val="00985763"/>
    <w:rsid w:val="009D4D9C"/>
    <w:rsid w:val="00A25E70"/>
    <w:rsid w:val="00A33765"/>
    <w:rsid w:val="00A6317F"/>
    <w:rsid w:val="00A63269"/>
    <w:rsid w:val="00A649C5"/>
    <w:rsid w:val="00A70ADF"/>
    <w:rsid w:val="00A70B12"/>
    <w:rsid w:val="00A723C8"/>
    <w:rsid w:val="00A739D6"/>
    <w:rsid w:val="00A86F13"/>
    <w:rsid w:val="00A909FF"/>
    <w:rsid w:val="00A92377"/>
    <w:rsid w:val="00A976D2"/>
    <w:rsid w:val="00AA29F8"/>
    <w:rsid w:val="00AA6FD5"/>
    <w:rsid w:val="00AB29ED"/>
    <w:rsid w:val="00AB682B"/>
    <w:rsid w:val="00AC56A9"/>
    <w:rsid w:val="00AE4BD8"/>
    <w:rsid w:val="00AF4BEC"/>
    <w:rsid w:val="00B0554F"/>
    <w:rsid w:val="00B05775"/>
    <w:rsid w:val="00B1242D"/>
    <w:rsid w:val="00B23B5A"/>
    <w:rsid w:val="00B401C4"/>
    <w:rsid w:val="00B4388F"/>
    <w:rsid w:val="00B47EBA"/>
    <w:rsid w:val="00B63237"/>
    <w:rsid w:val="00B93B09"/>
    <w:rsid w:val="00BB2282"/>
    <w:rsid w:val="00BC15BB"/>
    <w:rsid w:val="00BD0140"/>
    <w:rsid w:val="00BD122A"/>
    <w:rsid w:val="00BD5277"/>
    <w:rsid w:val="00BE4548"/>
    <w:rsid w:val="00BF0AB2"/>
    <w:rsid w:val="00BF62C1"/>
    <w:rsid w:val="00C01F41"/>
    <w:rsid w:val="00C27390"/>
    <w:rsid w:val="00C3471D"/>
    <w:rsid w:val="00C76856"/>
    <w:rsid w:val="00C833FB"/>
    <w:rsid w:val="00C960DC"/>
    <w:rsid w:val="00CA6EFD"/>
    <w:rsid w:val="00CA7883"/>
    <w:rsid w:val="00CD1EB1"/>
    <w:rsid w:val="00CD2187"/>
    <w:rsid w:val="00CD31B2"/>
    <w:rsid w:val="00CF3597"/>
    <w:rsid w:val="00CF37B6"/>
    <w:rsid w:val="00CF4159"/>
    <w:rsid w:val="00D02815"/>
    <w:rsid w:val="00D02C75"/>
    <w:rsid w:val="00D10E22"/>
    <w:rsid w:val="00D13D2C"/>
    <w:rsid w:val="00D2042D"/>
    <w:rsid w:val="00D213C7"/>
    <w:rsid w:val="00D23CB5"/>
    <w:rsid w:val="00D30949"/>
    <w:rsid w:val="00D31812"/>
    <w:rsid w:val="00D35B75"/>
    <w:rsid w:val="00D64EAF"/>
    <w:rsid w:val="00D97764"/>
    <w:rsid w:val="00DA4854"/>
    <w:rsid w:val="00DC2F94"/>
    <w:rsid w:val="00DD3D9E"/>
    <w:rsid w:val="00DD5CB2"/>
    <w:rsid w:val="00DD7908"/>
    <w:rsid w:val="00DE3C99"/>
    <w:rsid w:val="00E104BF"/>
    <w:rsid w:val="00E6715D"/>
    <w:rsid w:val="00E71C01"/>
    <w:rsid w:val="00E75EB0"/>
    <w:rsid w:val="00E82297"/>
    <w:rsid w:val="00EB1568"/>
    <w:rsid w:val="00EE1331"/>
    <w:rsid w:val="00EE3C35"/>
    <w:rsid w:val="00EF39FD"/>
    <w:rsid w:val="00EF5E72"/>
    <w:rsid w:val="00F04E59"/>
    <w:rsid w:val="00F06842"/>
    <w:rsid w:val="00F107FD"/>
    <w:rsid w:val="00F120BC"/>
    <w:rsid w:val="00F1297F"/>
    <w:rsid w:val="00F26896"/>
    <w:rsid w:val="00F66AE1"/>
    <w:rsid w:val="00F75483"/>
    <w:rsid w:val="00F91B9D"/>
    <w:rsid w:val="00FB55E4"/>
    <w:rsid w:val="00FB64A8"/>
    <w:rsid w:val="00FC7C9A"/>
    <w:rsid w:val="00FE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4C5FDC"/>
    <w:pPr>
      <w:numPr>
        <w:ilvl w:val="0"/>
        <w:numId w:val="0"/>
      </w:numPr>
      <w:spacing w:before="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6B50F5"/>
    <w:rPr>
      <w:color w:val="605E5C"/>
      <w:shd w:val="clear" w:color="auto" w:fill="E1DFDD"/>
    </w:rPr>
  </w:style>
  <w:style w:type="paragraph" w:styleId="BodyText">
    <w:name w:val="Body Text"/>
    <w:basedOn w:val="Normal"/>
    <w:link w:val="BodyTextChar"/>
    <w:unhideWhenUsed/>
    <w:rsid w:val="00A739D6"/>
    <w:pPr>
      <w:spacing w:after="120"/>
    </w:pPr>
  </w:style>
  <w:style w:type="character" w:customStyle="1" w:styleId="BodyTextChar">
    <w:name w:val="Body Text Char"/>
    <w:basedOn w:val="DefaultParagraphFont"/>
    <w:link w:val="BodyText"/>
    <w:rsid w:val="00A739D6"/>
    <w:rPr>
      <w:lang w:eastAsia="en-US"/>
    </w:rPr>
  </w:style>
  <w:style w:type="table" w:styleId="TableGrid">
    <w:name w:val="Table Grid"/>
    <w:basedOn w:val="TableNormal"/>
    <w:rsid w:val="00964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0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5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46</TotalTime>
  <Pages>6</Pages>
  <Words>2931</Words>
  <Characters>16123</Characters>
  <Application>Microsoft Office Word</Application>
  <DocSecurity>0</DocSecurity>
  <Lines>134</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Micaela Lucia Benavides</cp:lastModifiedBy>
  <cp:revision>22</cp:revision>
  <cp:lastPrinted>2023-12-20T11:13:00Z</cp:lastPrinted>
  <dcterms:created xsi:type="dcterms:W3CDTF">2023-12-21T14:20:00Z</dcterms:created>
  <dcterms:modified xsi:type="dcterms:W3CDTF">2023-12-22T11:15:00Z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