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7AB00AE6" w:rsidR="00DD3D9E" w:rsidRPr="00AE434B" w:rsidRDefault="007A177E" w:rsidP="004B748E">
      <w:pPr>
        <w:pStyle w:val="Els-Title"/>
        <w:spacing w:before="200"/>
        <w:rPr>
          <w:color w:val="000000" w:themeColor="text1"/>
          <w:lang w:val="en-GB"/>
        </w:rPr>
      </w:pPr>
      <w:bookmarkStart w:id="0" w:name="_Hlk151650617"/>
      <w:r w:rsidRPr="007A177E">
        <w:rPr>
          <w:color w:val="000000" w:themeColor="text1"/>
        </w:rPr>
        <w:t xml:space="preserve">Supply </w:t>
      </w:r>
      <w:r w:rsidR="00625907" w:rsidRPr="007A177E">
        <w:rPr>
          <w:color w:val="000000" w:themeColor="text1"/>
        </w:rPr>
        <w:t xml:space="preserve">Chains Design </w:t>
      </w:r>
      <w:r w:rsidRPr="007A177E">
        <w:rPr>
          <w:color w:val="000000" w:themeColor="text1"/>
        </w:rPr>
        <w:t xml:space="preserve">for </w:t>
      </w:r>
      <w:r w:rsidR="00625907" w:rsidRPr="007A177E">
        <w:rPr>
          <w:color w:val="000000" w:themeColor="text1"/>
        </w:rPr>
        <w:t>Sustainability</w:t>
      </w:r>
      <w:r w:rsidRPr="007A177E">
        <w:rPr>
          <w:color w:val="000000" w:themeColor="text1"/>
        </w:rPr>
        <w:t xml:space="preserve">: </w:t>
      </w:r>
      <w:r w:rsidR="00625907" w:rsidRPr="007A177E">
        <w:rPr>
          <w:color w:val="000000" w:themeColor="text1"/>
        </w:rPr>
        <w:t xml:space="preserve">Addressing Correlated Uncertainty </w:t>
      </w:r>
      <w:r w:rsidRPr="007A177E">
        <w:rPr>
          <w:color w:val="000000" w:themeColor="text1"/>
        </w:rPr>
        <w:t>in Life Cycle Inventory</w:t>
      </w:r>
      <w:bookmarkEnd w:id="0"/>
    </w:p>
    <w:p w14:paraId="144DE680" w14:textId="417ADA06" w:rsidR="00DD3D9E" w:rsidRPr="004B3A2A" w:rsidRDefault="004B3A2A">
      <w:pPr>
        <w:pStyle w:val="Els-Author"/>
        <w:rPr>
          <w:lang w:val="es-ES"/>
        </w:rPr>
      </w:pPr>
      <w:r w:rsidRPr="004B3A2A">
        <w:rPr>
          <w:lang w:val="es-ES"/>
        </w:rPr>
        <w:t>Raquel Salcedo-Diaz</w:t>
      </w:r>
      <w:r w:rsidR="00CB02B3">
        <w:rPr>
          <w:lang w:val="es-ES"/>
        </w:rPr>
        <w:t>*</w:t>
      </w:r>
      <w:r w:rsidRPr="004B3A2A">
        <w:rPr>
          <w:lang w:val="es-ES"/>
        </w:rPr>
        <w:t>, Florencia L. Garcia‐Castro, Rubén Ruiz-Femenia, José A. Caballero</w:t>
      </w:r>
    </w:p>
    <w:p w14:paraId="144DE682" w14:textId="64D44A11" w:rsidR="00DD3D9E" w:rsidRPr="00AD7DE8" w:rsidRDefault="005D1885" w:rsidP="005D1885">
      <w:pPr>
        <w:pStyle w:val="Els-Affiliation"/>
        <w:rPr>
          <w:lang w:val="es-ES"/>
        </w:rPr>
      </w:pPr>
      <w:r w:rsidRPr="005D1885">
        <w:t xml:space="preserve">Department of Chemical Engineering, University of Alicante. </w:t>
      </w:r>
      <w:r w:rsidRPr="005D1885">
        <w:rPr>
          <w:lang w:val="es-ES"/>
        </w:rPr>
        <w:t>Ap. Correos 99, E-03080, Alicante. Spain.</w:t>
      </w:r>
    </w:p>
    <w:p w14:paraId="144DE683" w14:textId="4C9B08DD" w:rsidR="008D2649" w:rsidRPr="00A94774" w:rsidRDefault="00565478" w:rsidP="008D2649">
      <w:pPr>
        <w:pStyle w:val="Els-Affiliation"/>
        <w:spacing w:after="120"/>
      </w:pPr>
      <w:r>
        <w:t>raquel.salcedo</w:t>
      </w:r>
      <w:r w:rsidR="008D2649" w:rsidRPr="00D22E38">
        <w:t>@</w:t>
      </w:r>
      <w:r>
        <w:t>ua.es</w:t>
      </w:r>
    </w:p>
    <w:p w14:paraId="144DE684" w14:textId="77777777" w:rsidR="008D2649" w:rsidRDefault="008D2649" w:rsidP="008D2649">
      <w:pPr>
        <w:pStyle w:val="Els-Abstract"/>
      </w:pPr>
      <w:r>
        <w:t>Abstract</w:t>
      </w:r>
    </w:p>
    <w:p w14:paraId="144DE686" w14:textId="1DE8F93D" w:rsidR="008D2649" w:rsidRDefault="005F4248" w:rsidP="008D2649">
      <w:pPr>
        <w:pStyle w:val="Els-body-text"/>
        <w:spacing w:after="120"/>
        <w:rPr>
          <w:lang w:val="en-GB"/>
        </w:rPr>
      </w:pPr>
      <w:r w:rsidRPr="005F4248">
        <w:rPr>
          <w:lang w:val="en-GB"/>
        </w:rPr>
        <w:t xml:space="preserve">The significance of corporate environmental impact has grown in recent years, driven not only by customer expectations but also by emissions reduction regulations that establish a direct connection between emissions and overall profit. Numerous uncertainties can influence the future performance of a supply chain, underscoring the importance of incorporating them into the initial stages of supply chain design. </w:t>
      </w:r>
      <w:r w:rsidR="000D6270" w:rsidRPr="000D6270">
        <w:rPr>
          <w:lang w:val="en-GB"/>
        </w:rPr>
        <w:t xml:space="preserve">Decision-makers </w:t>
      </w:r>
      <w:r w:rsidR="00673C62" w:rsidRPr="00673C62">
        <w:rPr>
          <w:lang w:val="en-GB"/>
        </w:rPr>
        <w:t xml:space="preserve">should possess the necessary information </w:t>
      </w:r>
      <w:r w:rsidRPr="005F4248">
        <w:rPr>
          <w:lang w:val="en-GB"/>
        </w:rPr>
        <w:t xml:space="preserve">on the influence and repercussions of these uncertainties to optimize network outcomes. While existing literature has explored the impact of uncertain factors </w:t>
      </w:r>
      <w:r w:rsidR="00673C62">
        <w:rPr>
          <w:lang w:val="en-GB"/>
        </w:rPr>
        <w:t>such as</w:t>
      </w:r>
      <w:r w:rsidRPr="005F4248">
        <w:rPr>
          <w:lang w:val="en-GB"/>
        </w:rPr>
        <w:t xml:space="preserve"> demand and carbon prices, this study considers </w:t>
      </w:r>
      <w:r w:rsidR="00AD7DE8">
        <w:rPr>
          <w:lang w:val="en-GB"/>
        </w:rPr>
        <w:t xml:space="preserve">specifically </w:t>
      </w:r>
      <w:r w:rsidRPr="005F4248">
        <w:rPr>
          <w:lang w:val="en-GB"/>
        </w:rPr>
        <w:t xml:space="preserve">uncertainty through Life Cycle Impact Assessment data and the correlation </w:t>
      </w:r>
      <w:r w:rsidR="00AA6668" w:rsidRPr="00AA6668">
        <w:rPr>
          <w:lang w:val="en-GB"/>
        </w:rPr>
        <w:t>among various parameters</w:t>
      </w:r>
      <w:r w:rsidRPr="005F4248">
        <w:rPr>
          <w:lang w:val="en-GB"/>
        </w:rPr>
        <w:t>.</w:t>
      </w:r>
    </w:p>
    <w:p w14:paraId="144DE687" w14:textId="3C538254" w:rsidR="008D2649" w:rsidRDefault="008D2649" w:rsidP="00F35A21">
      <w:pPr>
        <w:pStyle w:val="Els-body-text"/>
        <w:spacing w:after="120"/>
        <w:rPr>
          <w:lang w:val="en-GB"/>
        </w:rPr>
      </w:pPr>
      <w:r>
        <w:rPr>
          <w:b/>
          <w:bCs/>
          <w:lang w:val="en-GB"/>
        </w:rPr>
        <w:t>Keywords</w:t>
      </w:r>
      <w:r>
        <w:rPr>
          <w:lang w:val="en-GB"/>
        </w:rPr>
        <w:t xml:space="preserve">: </w:t>
      </w:r>
      <w:r w:rsidR="00F35A21" w:rsidRPr="00F35A21">
        <w:rPr>
          <w:lang w:val="en-GB"/>
        </w:rPr>
        <w:t>Multi‐objective</w:t>
      </w:r>
      <w:r w:rsidR="00FE0D13">
        <w:rPr>
          <w:lang w:val="en-GB"/>
        </w:rPr>
        <w:t>,</w:t>
      </w:r>
      <w:r w:rsidR="00F35A21" w:rsidRPr="00F35A21">
        <w:rPr>
          <w:lang w:val="en-GB"/>
        </w:rPr>
        <w:t xml:space="preserve"> supply chain management</w:t>
      </w:r>
      <w:r w:rsidR="00FE0D13">
        <w:rPr>
          <w:lang w:val="en-GB"/>
        </w:rPr>
        <w:t>,</w:t>
      </w:r>
      <w:r w:rsidR="00F35A21" w:rsidRPr="00F35A21">
        <w:rPr>
          <w:lang w:val="en-GB"/>
        </w:rPr>
        <w:t xml:space="preserve"> stochastic modelling</w:t>
      </w:r>
      <w:r w:rsidR="00ED0A44">
        <w:rPr>
          <w:lang w:val="en-GB"/>
        </w:rPr>
        <w:t>,</w:t>
      </w:r>
      <w:r w:rsidR="00F35A21" w:rsidRPr="00F35A21">
        <w:rPr>
          <w:lang w:val="en-GB"/>
        </w:rPr>
        <w:t xml:space="preserve"> Life Cycle Assessment</w:t>
      </w:r>
      <w:r w:rsidR="003F11D7">
        <w:rPr>
          <w:lang w:val="en-GB"/>
        </w:rPr>
        <w:t>,</w:t>
      </w:r>
      <w:r w:rsidR="00FE0D13">
        <w:rPr>
          <w:lang w:val="en-GB"/>
        </w:rPr>
        <w:t xml:space="preserve"> </w:t>
      </w:r>
      <w:r w:rsidR="003767F4" w:rsidRPr="00F35A21">
        <w:rPr>
          <w:lang w:val="en-GB"/>
        </w:rPr>
        <w:t>correlat</w:t>
      </w:r>
      <w:r w:rsidR="003767F4">
        <w:rPr>
          <w:lang w:val="en-GB"/>
        </w:rPr>
        <w:t>ed</w:t>
      </w:r>
      <w:r w:rsidR="003767F4" w:rsidRPr="00F35A21">
        <w:rPr>
          <w:lang w:val="en-GB"/>
        </w:rPr>
        <w:t xml:space="preserve"> </w:t>
      </w:r>
      <w:r w:rsidR="00F35A21" w:rsidRPr="00F35A21">
        <w:rPr>
          <w:lang w:val="en-GB"/>
        </w:rPr>
        <w:t>uncertainty</w:t>
      </w:r>
      <w:r>
        <w:rPr>
          <w:lang w:val="en-GB"/>
        </w:rPr>
        <w:t>.</w:t>
      </w:r>
    </w:p>
    <w:p w14:paraId="144DE689" w14:textId="6226E227" w:rsidR="008D2649" w:rsidRPr="0023404D" w:rsidRDefault="00ED73C0" w:rsidP="0023404D">
      <w:pPr>
        <w:pStyle w:val="Els-1storder-head"/>
        <w:spacing w:before="200" w:after="120"/>
        <w:rPr>
          <w:lang w:val="en-GB"/>
        </w:rPr>
      </w:pPr>
      <w:r w:rsidRPr="0023404D">
        <w:rPr>
          <w:lang w:val="en-GB"/>
        </w:rPr>
        <w:t>Introduction</w:t>
      </w:r>
    </w:p>
    <w:p w14:paraId="1C9A63C4" w14:textId="6572B1BD" w:rsidR="00DB18F0" w:rsidRDefault="00CB02B3" w:rsidP="00776B0B">
      <w:pPr>
        <w:pStyle w:val="Els-body-text"/>
      </w:pPr>
      <w:r w:rsidRPr="00CB02B3">
        <w:t xml:space="preserve">In recent years, governments have imposed increasingly stringent environmental regulations, elevating the significance of mitigating the environmental impact within supply chains (SC). </w:t>
      </w:r>
      <w:r w:rsidR="008378C1" w:rsidRPr="008378C1">
        <w:t xml:space="preserve">This study focuses on the Life Cycle Assessment (LCA) as a key metric among various indicators that measure environmental impact. LCA thoroughly analyzes the environmental effects of complete </w:t>
      </w:r>
      <w:r w:rsidR="0037562D">
        <w:t>SC</w:t>
      </w:r>
      <w:r w:rsidR="008378C1" w:rsidRPr="008378C1">
        <w:t>, encompassing processes such as raw material extraction, product manufacturing, transportation, and final disposal.</w:t>
      </w:r>
      <w:r w:rsidR="007604B4">
        <w:t xml:space="preserve"> </w:t>
      </w:r>
      <w:r w:rsidR="00FF2BF8" w:rsidRPr="00FF2BF8">
        <w:t xml:space="preserve">The integration of LCA with tools based on multi-objective optimization (MOO), initially proposed by </w:t>
      </w:r>
      <w:proofErr w:type="spellStart"/>
      <w:r w:rsidR="00FF2BF8" w:rsidRPr="00FF2BF8">
        <w:t>Azapagic</w:t>
      </w:r>
      <w:proofErr w:type="spellEnd"/>
      <w:r w:rsidR="00FF2BF8" w:rsidRPr="00FF2BF8">
        <w:t xml:space="preserve"> and Clift (1999), has gained increasing popularity. This approach treats the environmental aspect as an additional objective rather than an extra constraint in the model.</w:t>
      </w:r>
      <w:r w:rsidR="00143BB8">
        <w:t xml:space="preserve"> </w:t>
      </w:r>
      <w:r w:rsidR="00FF2BF8" w:rsidRPr="00FF2BF8">
        <w:t>Many studies integrating LCA and MOO predominantly adopt a deterministic approach, concentrating on analyzing the outcome of a single scenario pre-identified as the most probable. This methodology assumes that all parameters are known, and there is no variability among them. While the solution may be optimal for the specified scenario, its performance becomes unpredictable if the parameters deviate from the expected behavior.</w:t>
      </w:r>
      <w:r w:rsidR="0091376D">
        <w:t xml:space="preserve"> </w:t>
      </w:r>
      <w:r w:rsidRPr="00CB02B3">
        <w:t>Consequently, the role of uncertainty has gained prominence in the decision-making process for effective supply chain management.</w:t>
      </w:r>
      <w:r w:rsidR="00692717">
        <w:t xml:space="preserve"> </w:t>
      </w:r>
      <w:r w:rsidR="001C5506">
        <w:t>Many key parameters</w:t>
      </w:r>
      <w:r w:rsidR="008106D9">
        <w:t xml:space="preserve">, </w:t>
      </w:r>
      <w:r w:rsidR="001C5506">
        <w:t>such as</w:t>
      </w:r>
      <w:r w:rsidR="008106D9">
        <w:t xml:space="preserve"> demand and prices, </w:t>
      </w:r>
      <w:r w:rsidR="004326C1" w:rsidRPr="004326C1">
        <w:t>are susceptible to uncertainty</w:t>
      </w:r>
      <w:r w:rsidR="008106D9">
        <w:t>, making the precise prediction of future values challenging. This study concentrates on uncertainties within the Life Cycle Inventory (LCI)</w:t>
      </w:r>
      <w:r w:rsidR="007C148A">
        <w:t xml:space="preserve"> </w:t>
      </w:r>
      <w:r w:rsidR="007C148A" w:rsidRPr="007C148A">
        <w:t>data obtained from the ECOINVENT database</w:t>
      </w:r>
      <w:r w:rsidR="008106D9">
        <w:t>, commonly identified as the primary source of uncertainty in LCA analyses.</w:t>
      </w:r>
      <w:r w:rsidR="00E768B6">
        <w:t xml:space="preserve"> </w:t>
      </w:r>
    </w:p>
    <w:p w14:paraId="4CE1441F" w14:textId="7315BFDA" w:rsidR="00377F5F" w:rsidRDefault="009032FD" w:rsidP="00C06501">
      <w:pPr>
        <w:pStyle w:val="Els-body-text"/>
      </w:pPr>
      <w:r w:rsidRPr="00776B0B">
        <w:lastRenderedPageBreak/>
        <w:t xml:space="preserve">To the best of our knowledge, </w:t>
      </w:r>
      <w:proofErr w:type="spellStart"/>
      <w:r w:rsidRPr="00776B0B">
        <w:t>Guillén‐Gosálbez</w:t>
      </w:r>
      <w:proofErr w:type="spellEnd"/>
      <w:r w:rsidRPr="00776B0B">
        <w:t xml:space="preserve"> </w:t>
      </w:r>
      <w:r w:rsidR="00603F09" w:rsidRPr="00776B0B">
        <w:t>and Gross</w:t>
      </w:r>
      <w:r w:rsidR="0069776D" w:rsidRPr="00776B0B">
        <w:t>mann (2009)</w:t>
      </w:r>
      <w:r w:rsidRPr="00776B0B">
        <w:t xml:space="preserve"> were the first to introduce a robust</w:t>
      </w:r>
      <w:r w:rsidR="00407398" w:rsidRPr="00776B0B">
        <w:t xml:space="preserve"> </w:t>
      </w:r>
      <w:r w:rsidRPr="00776B0B">
        <w:t xml:space="preserve">mathematical programming tool </w:t>
      </w:r>
      <w:r w:rsidR="00D34076" w:rsidRPr="00776B0B">
        <w:t>that considers the uncertainty of LCI emissions</w:t>
      </w:r>
      <w:r w:rsidR="00D72C2C" w:rsidRPr="00776B0B">
        <w:t xml:space="preserve">, using </w:t>
      </w:r>
      <w:r w:rsidRPr="00776B0B">
        <w:t>uncorrelated, normally distributed data</w:t>
      </w:r>
      <w:r w:rsidR="00D72C2C" w:rsidRPr="00776B0B">
        <w:t>.</w:t>
      </w:r>
      <w:r w:rsidR="007604B4">
        <w:t xml:space="preserve"> </w:t>
      </w:r>
      <w:r w:rsidRPr="00C06501">
        <w:t xml:space="preserve">In this </w:t>
      </w:r>
      <w:r w:rsidR="00AD4289" w:rsidRPr="00C06501">
        <w:t>study</w:t>
      </w:r>
      <w:r w:rsidRPr="00C06501">
        <w:t xml:space="preserve">, the </w:t>
      </w:r>
      <w:r w:rsidR="004A2F7E">
        <w:t>SC</w:t>
      </w:r>
      <w:r w:rsidRPr="00C06501">
        <w:t xml:space="preserve"> design problem is formulated under uncertainty as a</w:t>
      </w:r>
      <w:r w:rsidR="00776B0B" w:rsidRPr="00C06501">
        <w:t xml:space="preserve"> </w:t>
      </w:r>
      <w:r w:rsidRPr="00C06501">
        <w:t>multi</w:t>
      </w:r>
      <w:r w:rsidR="00C06501">
        <w:t>-</w:t>
      </w:r>
      <w:r w:rsidRPr="00C06501">
        <w:t>objective stochastic Mixed Integer Linear Program (MILP)</w:t>
      </w:r>
      <w:r w:rsidR="00183A23" w:rsidRPr="00C06501">
        <w:t>. T</w:t>
      </w:r>
      <w:r w:rsidRPr="00C06501">
        <w:t>he objectives are to maximize</w:t>
      </w:r>
      <w:r w:rsidR="00776B0B" w:rsidRPr="00C06501">
        <w:t xml:space="preserve"> </w:t>
      </w:r>
      <w:r w:rsidRPr="00C06501">
        <w:t>profit and minimize environmental impact.</w:t>
      </w:r>
      <w:r w:rsidR="00377F5F" w:rsidRPr="00C06501">
        <w:t xml:space="preserve"> </w:t>
      </w:r>
      <w:r w:rsidR="003D6B2E" w:rsidRPr="00C06501">
        <w:t xml:space="preserve">The main novelty of this work </w:t>
      </w:r>
      <w:r w:rsidR="008C1645" w:rsidRPr="00C06501">
        <w:t>lies in investigating the influence of the correlation among uncertain LCI emission parameters on the economic and environmental performance of a supply chain</w:t>
      </w:r>
      <w:r w:rsidR="003D6B2E" w:rsidRPr="00C06501">
        <w:t>.</w:t>
      </w:r>
    </w:p>
    <w:p w14:paraId="4209AB0C" w14:textId="77777777" w:rsidR="00032360" w:rsidRDefault="00032360" w:rsidP="00032360">
      <w:pPr>
        <w:pStyle w:val="Els-1storder-head"/>
        <w:spacing w:after="120"/>
        <w:rPr>
          <w:lang w:val="en-GB"/>
        </w:rPr>
      </w:pPr>
      <w:r>
        <w:rPr>
          <w:lang w:val="en-GB"/>
        </w:rPr>
        <w:t>Case study</w:t>
      </w:r>
    </w:p>
    <w:p w14:paraId="1C38D341" w14:textId="2A824B0D" w:rsidR="00497AB1" w:rsidRPr="007A363D" w:rsidRDefault="00032360" w:rsidP="00497AB1">
      <w:pPr>
        <w:pStyle w:val="Els-body-text"/>
        <w:rPr>
          <w:lang w:val="en-GB"/>
        </w:rPr>
      </w:pPr>
      <w:r w:rsidRPr="00A661A8">
        <w:rPr>
          <w:lang w:val="en-GB"/>
        </w:rPr>
        <w:t xml:space="preserve">The </w:t>
      </w:r>
      <w:r w:rsidR="004A2F7E">
        <w:rPr>
          <w:lang w:val="en-GB"/>
        </w:rPr>
        <w:t>proposed</w:t>
      </w:r>
      <w:r w:rsidRPr="00A661A8">
        <w:rPr>
          <w:lang w:val="en-GB"/>
        </w:rPr>
        <w:t xml:space="preserve"> model has been applied to the </w:t>
      </w:r>
      <w:r w:rsidR="00045447">
        <w:rPr>
          <w:lang w:val="en-GB"/>
        </w:rPr>
        <w:t>SC</w:t>
      </w:r>
      <w:r w:rsidRPr="00A661A8">
        <w:rPr>
          <w:lang w:val="en-GB"/>
        </w:rPr>
        <w:t xml:space="preserve"> structure introduced by </w:t>
      </w:r>
      <w:proofErr w:type="spellStart"/>
      <w:r w:rsidRPr="00A661A8">
        <w:rPr>
          <w:lang w:val="en-GB"/>
        </w:rPr>
        <w:t>Guillén‐Gosálbez</w:t>
      </w:r>
      <w:proofErr w:type="spellEnd"/>
      <w:r w:rsidRPr="00A661A8">
        <w:rPr>
          <w:lang w:val="en-GB"/>
        </w:rPr>
        <w:t xml:space="preserve"> and Grossmann (2009). The three-echelon European supply chain comprises </w:t>
      </w:r>
      <w:r w:rsidR="00045447">
        <w:rPr>
          <w:lang w:val="en-GB"/>
        </w:rPr>
        <w:t xml:space="preserve">7 </w:t>
      </w:r>
      <w:r w:rsidRPr="00A661A8">
        <w:rPr>
          <w:lang w:val="en-GB"/>
        </w:rPr>
        <w:t xml:space="preserve">plants located in Germany (Frankfurt and </w:t>
      </w:r>
      <w:proofErr w:type="spellStart"/>
      <w:r w:rsidRPr="00A661A8">
        <w:rPr>
          <w:lang w:val="en-GB"/>
        </w:rPr>
        <w:t>Leuna</w:t>
      </w:r>
      <w:proofErr w:type="spellEnd"/>
      <w:r w:rsidRPr="00A661A8">
        <w:rPr>
          <w:lang w:val="en-GB"/>
        </w:rPr>
        <w:t>), Italy (</w:t>
      </w:r>
      <w:proofErr w:type="spellStart"/>
      <w:r w:rsidRPr="00A661A8">
        <w:rPr>
          <w:lang w:val="en-GB"/>
        </w:rPr>
        <w:t>Mantova</w:t>
      </w:r>
      <w:proofErr w:type="spellEnd"/>
      <w:r w:rsidRPr="00A661A8">
        <w:rPr>
          <w:lang w:val="en-GB"/>
        </w:rPr>
        <w:t>), Spain (Tarragona), Poland (Wloclawek), the Czech Republic (Neratovice), and Hungary (</w:t>
      </w:r>
      <w:proofErr w:type="spellStart"/>
      <w:r w:rsidRPr="00A661A8">
        <w:rPr>
          <w:lang w:val="en-GB"/>
        </w:rPr>
        <w:t>Kazincbarcika</w:t>
      </w:r>
      <w:proofErr w:type="spellEnd"/>
      <w:r w:rsidRPr="00A661A8">
        <w:rPr>
          <w:lang w:val="en-GB"/>
        </w:rPr>
        <w:t>). Each plant is associated with a warehouse and allows for chemical production using six different technologies. These technologies generate acetaldehyde, acetone, acrylonitrile, cumene, isopropanol, and phenol. The resulting products are distributed and sold across ten European markets situated in Belgium (Brussels), Romania (Pitesti), Germany (Stade), Hungary (</w:t>
      </w:r>
      <w:proofErr w:type="spellStart"/>
      <w:r w:rsidRPr="00A661A8">
        <w:rPr>
          <w:lang w:val="en-GB"/>
        </w:rPr>
        <w:t>Kazincbarcika</w:t>
      </w:r>
      <w:proofErr w:type="spellEnd"/>
      <w:r w:rsidRPr="00A661A8">
        <w:rPr>
          <w:lang w:val="en-GB"/>
        </w:rPr>
        <w:t>), Italy (</w:t>
      </w:r>
      <w:proofErr w:type="spellStart"/>
      <w:r w:rsidRPr="00A661A8">
        <w:rPr>
          <w:lang w:val="en-GB"/>
        </w:rPr>
        <w:t>Mantova</w:t>
      </w:r>
      <w:proofErr w:type="spellEnd"/>
      <w:r w:rsidRPr="00A661A8">
        <w:rPr>
          <w:lang w:val="en-GB"/>
        </w:rPr>
        <w:t xml:space="preserve"> and Ferrara), the Czech Republic (Neratovice), Spain (Tarragona), Poland (Wloclawek), and Portugal (Sines), in accordance with their respective demands.</w:t>
      </w:r>
      <w:r w:rsidR="00497AB1">
        <w:rPr>
          <w:lang w:val="en-GB"/>
        </w:rPr>
        <w:t xml:space="preserve"> </w:t>
      </w:r>
      <w:r w:rsidR="00F80141">
        <w:rPr>
          <w:lang w:val="en-GB"/>
        </w:rPr>
        <w:t>The interested reader can find t</w:t>
      </w:r>
      <w:r w:rsidR="00497AB1" w:rsidRPr="00497AB1">
        <w:rPr>
          <w:lang w:val="en-GB"/>
        </w:rPr>
        <w:t>he full data describing the supply chain and all</w:t>
      </w:r>
      <w:r w:rsidR="00FF1418">
        <w:rPr>
          <w:lang w:val="en-GB"/>
        </w:rPr>
        <w:t xml:space="preserve"> </w:t>
      </w:r>
      <w:r w:rsidR="00497AB1" w:rsidRPr="00497AB1">
        <w:rPr>
          <w:lang w:val="en-GB"/>
        </w:rPr>
        <w:t>constraints in tables 1 to 7 of the original publication</w:t>
      </w:r>
      <w:r w:rsidR="00FF1418">
        <w:rPr>
          <w:lang w:val="en-GB"/>
        </w:rPr>
        <w:t xml:space="preserve"> </w:t>
      </w:r>
      <w:r w:rsidR="00FF1418" w:rsidRPr="00A661A8">
        <w:rPr>
          <w:lang w:val="en-GB"/>
        </w:rPr>
        <w:t xml:space="preserve">by </w:t>
      </w:r>
      <w:proofErr w:type="spellStart"/>
      <w:r w:rsidR="00FF1418" w:rsidRPr="00A661A8">
        <w:rPr>
          <w:lang w:val="en-GB"/>
        </w:rPr>
        <w:t>Guillén‐Gosálbez</w:t>
      </w:r>
      <w:proofErr w:type="spellEnd"/>
      <w:r w:rsidR="00FF1418" w:rsidRPr="00A661A8">
        <w:rPr>
          <w:lang w:val="en-GB"/>
        </w:rPr>
        <w:t xml:space="preserve"> and Grossmann (2009)</w:t>
      </w:r>
      <w:r w:rsidR="00497AB1" w:rsidRPr="00497AB1">
        <w:rPr>
          <w:lang w:val="en-GB"/>
        </w:rPr>
        <w:t>.</w:t>
      </w:r>
    </w:p>
    <w:p w14:paraId="144DE699" w14:textId="28E05806" w:rsidR="008D2649" w:rsidRPr="0023404D" w:rsidRDefault="00601E6F" w:rsidP="0023404D">
      <w:pPr>
        <w:pStyle w:val="Els-1storder-head"/>
        <w:spacing w:before="200" w:after="120"/>
        <w:rPr>
          <w:lang w:val="en-GB"/>
        </w:rPr>
      </w:pPr>
      <w:r w:rsidRPr="0023404D">
        <w:rPr>
          <w:lang w:val="en-GB"/>
        </w:rPr>
        <w:t>Methodology and mathematical formulation</w:t>
      </w:r>
    </w:p>
    <w:p w14:paraId="24075539" w14:textId="3D548533" w:rsidR="0061482E" w:rsidRPr="00274ABA" w:rsidRDefault="000D3813" w:rsidP="004378E0">
      <w:pPr>
        <w:pStyle w:val="Els-body-text"/>
      </w:pPr>
      <w:r w:rsidRPr="000D3813">
        <w:t xml:space="preserve">The </w:t>
      </w:r>
      <w:r w:rsidR="00625756">
        <w:t>goal</w:t>
      </w:r>
      <w:r w:rsidRPr="000D3813">
        <w:t xml:space="preserve"> of this study is to identify a </w:t>
      </w:r>
      <w:r w:rsidR="0047138D">
        <w:t>SC</w:t>
      </w:r>
      <w:r w:rsidRPr="000D3813">
        <w:t xml:space="preserve"> design that </w:t>
      </w:r>
      <w:r w:rsidR="00FE5920" w:rsidRPr="00FE5920">
        <w:t xml:space="preserve">simultaneously </w:t>
      </w:r>
      <w:r w:rsidRPr="000D3813">
        <w:t xml:space="preserve">maximizes the expected total Net Present Value (NPV) and minimizes </w:t>
      </w:r>
      <w:r w:rsidR="00EC020E">
        <w:t>its</w:t>
      </w:r>
      <w:r w:rsidRPr="000D3813">
        <w:t xml:space="preserve"> environmental impact</w:t>
      </w:r>
      <w:r w:rsidR="00274ABA">
        <w:t>,</w:t>
      </w:r>
      <w:r w:rsidR="00772E00">
        <w:t xml:space="preserve"> </w:t>
      </w:r>
      <w:r w:rsidR="00274ABA">
        <w:t>which is subject to uncertainty.</w:t>
      </w:r>
      <w:r w:rsidR="00C66C69">
        <w:t xml:space="preserve"> Given are the capacity </w:t>
      </w:r>
      <w:r w:rsidR="00F00EAE" w:rsidRPr="00F00EAE">
        <w:t>constraints</w:t>
      </w:r>
      <w:r w:rsidR="00C66C69">
        <w:t>, the prices</w:t>
      </w:r>
      <w:r w:rsidR="00C869AD">
        <w:t xml:space="preserve"> </w:t>
      </w:r>
      <w:r w:rsidR="00C66C69">
        <w:t>of raw materials and final products, a fixed time horizon divided into a set of time periods,</w:t>
      </w:r>
      <w:r w:rsidR="00C869AD">
        <w:t xml:space="preserve"> </w:t>
      </w:r>
      <w:r w:rsidR="00C66C69">
        <w:t xml:space="preserve">a set of </w:t>
      </w:r>
      <w:r w:rsidR="002F41B4" w:rsidRPr="002F41B4">
        <w:t xml:space="preserve">possible </w:t>
      </w:r>
      <w:r w:rsidR="00C66C69">
        <w:t xml:space="preserve">locations for </w:t>
      </w:r>
      <w:r w:rsidR="0071774B">
        <w:t>SC</w:t>
      </w:r>
      <w:r w:rsidR="00D664ED">
        <w:t xml:space="preserve"> facilities</w:t>
      </w:r>
      <w:r w:rsidR="00C66C69">
        <w:t xml:space="preserve">, the </w:t>
      </w:r>
      <w:proofErr w:type="gramStart"/>
      <w:r w:rsidR="00C66C69">
        <w:t>investment</w:t>
      </w:r>
      <w:proofErr w:type="gramEnd"/>
      <w:r w:rsidR="00C66C69">
        <w:t xml:space="preserve"> and operational</w:t>
      </w:r>
      <w:r w:rsidR="00C869AD">
        <w:t xml:space="preserve"> </w:t>
      </w:r>
      <w:r w:rsidR="002F41B4" w:rsidRPr="002F41B4">
        <w:t>expenses</w:t>
      </w:r>
      <w:r w:rsidR="004D7ABE">
        <w:t>,</w:t>
      </w:r>
      <w:r w:rsidR="002F41B4" w:rsidRPr="002F41B4">
        <w:t xml:space="preserve"> </w:t>
      </w:r>
      <w:r w:rsidR="00C66C69">
        <w:t xml:space="preserve">as well as the demand. </w:t>
      </w:r>
      <w:r w:rsidR="00A05EF5" w:rsidRPr="00A05EF5">
        <w:t>Additionally, the environmental data, subject to uncertainty, is represented through a set of scenarios with assigned probabilities.</w:t>
      </w:r>
      <w:r w:rsidR="00D60424">
        <w:t xml:space="preserve"> </w:t>
      </w:r>
      <w:r w:rsidR="005B63E0">
        <w:t xml:space="preserve">The approach proposed in this work relies on a two‐stage stochastic MILP model, based on </w:t>
      </w:r>
      <w:r w:rsidR="00673AEC">
        <w:t>that</w:t>
      </w:r>
      <w:r w:rsidR="005B63E0">
        <w:t xml:space="preserve"> introduced by </w:t>
      </w:r>
      <w:proofErr w:type="spellStart"/>
      <w:r w:rsidR="005B63E0">
        <w:t>Guillén‐Gosálbez</w:t>
      </w:r>
      <w:proofErr w:type="spellEnd"/>
      <w:r w:rsidR="005B63E0">
        <w:t xml:space="preserve"> </w:t>
      </w:r>
      <w:r w:rsidR="005B63E0" w:rsidRPr="00776B0B">
        <w:t>and Grossmann (2009)</w:t>
      </w:r>
      <w:r w:rsidR="005B63E0">
        <w:t xml:space="preserve">. </w:t>
      </w:r>
      <w:r w:rsidR="00174A51" w:rsidRPr="00174A51">
        <w:t>The model encompasses two types of decision variables.</w:t>
      </w:r>
      <w:r w:rsidR="0061482E">
        <w:t xml:space="preserve"> </w:t>
      </w:r>
      <w:r w:rsidR="00786941" w:rsidRPr="00786941">
        <w:t>Firstly, the structural decisions encode characteristics of the plants and warehouses</w:t>
      </w:r>
      <w:r w:rsidR="0061482E">
        <w:t>,</w:t>
      </w:r>
      <w:r w:rsidR="00B36DD8">
        <w:t xml:space="preserve"> </w:t>
      </w:r>
      <w:r w:rsidR="0061482E">
        <w:t>such as their locations, capacities</w:t>
      </w:r>
      <w:r w:rsidR="009E0E7D">
        <w:t>,</w:t>
      </w:r>
      <w:r w:rsidR="0061482E">
        <w:t xml:space="preserve"> </w:t>
      </w:r>
      <w:r w:rsidR="00BB286A">
        <w:t>and the</w:t>
      </w:r>
      <w:r w:rsidR="0061482E">
        <w:t xml:space="preserve"> types of installed technologies. </w:t>
      </w:r>
      <w:r w:rsidR="009E0E7D" w:rsidRPr="009E0E7D">
        <w:t>The second type of decision variables</w:t>
      </w:r>
      <w:r w:rsidR="009E0E7D">
        <w:t xml:space="preserve"> </w:t>
      </w:r>
      <w:r w:rsidR="00F835BB">
        <w:t>involves</w:t>
      </w:r>
      <w:r w:rsidR="0061482E">
        <w:t xml:space="preserve"> the operational ones, which in</w:t>
      </w:r>
      <w:r w:rsidR="004378E0">
        <w:t xml:space="preserve">clude the production rate at each plant and in each </w:t>
      </w:r>
      <w:proofErr w:type="gramStart"/>
      <w:r w:rsidR="004378E0">
        <w:t>time period</w:t>
      </w:r>
      <w:proofErr w:type="gramEnd"/>
      <w:r w:rsidR="004378E0">
        <w:t>, material flow</w:t>
      </w:r>
      <w:r w:rsidR="00E32428">
        <w:t>s</w:t>
      </w:r>
      <w:r w:rsidR="004378E0">
        <w:t xml:space="preserve"> between plants,</w:t>
      </w:r>
      <w:r w:rsidR="009A3211">
        <w:t xml:space="preserve"> </w:t>
      </w:r>
      <w:r w:rsidR="004378E0">
        <w:t>warehouses and markets</w:t>
      </w:r>
      <w:r w:rsidR="00FA6588">
        <w:t>, as well as</w:t>
      </w:r>
      <w:r w:rsidR="006850DC">
        <w:t xml:space="preserve"> </w:t>
      </w:r>
      <w:r w:rsidR="004378E0">
        <w:t>the amounts of sales of final products.</w:t>
      </w:r>
      <w:r w:rsidR="00743F92">
        <w:t xml:space="preserve"> These </w:t>
      </w:r>
      <w:r w:rsidR="00743F92" w:rsidRPr="00993B80">
        <w:t xml:space="preserve">decisions are made after the uncertainty </w:t>
      </w:r>
      <w:r w:rsidR="00743F92">
        <w:t>is</w:t>
      </w:r>
      <w:r w:rsidR="00743F92" w:rsidRPr="00627DEB">
        <w:t xml:space="preserve"> revealed</w:t>
      </w:r>
      <w:r w:rsidR="00743F92">
        <w:t xml:space="preserve"> and </w:t>
      </w:r>
      <w:r w:rsidR="00743F92" w:rsidRPr="00993B80">
        <w:t>impact operational variables in the model, enabling it to adapt to the new circumstances.</w:t>
      </w:r>
    </w:p>
    <w:p w14:paraId="5467A4BA" w14:textId="77777777" w:rsidR="00940EB4" w:rsidRDefault="003D2283" w:rsidP="00D6029A">
      <w:pPr>
        <w:pStyle w:val="Els-body-text"/>
      </w:pPr>
      <w:r w:rsidRPr="003D2283">
        <w:t xml:space="preserve">The model consists of three </w:t>
      </w:r>
      <w:r>
        <w:t>main</w:t>
      </w:r>
      <w:r w:rsidRPr="003D2283">
        <w:t xml:space="preserve"> sets of equations</w:t>
      </w:r>
      <w:r>
        <w:t>:</w:t>
      </w:r>
      <w:r w:rsidR="001A6790">
        <w:t xml:space="preserve"> mass balance equations, capacity constraints</w:t>
      </w:r>
      <w:r w:rsidR="00A54ADA">
        <w:t>, and</w:t>
      </w:r>
      <w:r w:rsidR="001A6790">
        <w:t xml:space="preserve"> equations describing the objective functions </w:t>
      </w:r>
      <w:r w:rsidR="00614448">
        <w:t>governin</w:t>
      </w:r>
      <w:r w:rsidR="002A4875">
        <w:t>g</w:t>
      </w:r>
      <w:r w:rsidR="001A6790">
        <w:t xml:space="preserve"> both </w:t>
      </w:r>
      <w:r w:rsidR="002A4875">
        <w:t xml:space="preserve">the </w:t>
      </w:r>
      <w:r w:rsidR="001A6790">
        <w:t xml:space="preserve">economic and environmental performance of the </w:t>
      </w:r>
      <w:r w:rsidR="002A4875">
        <w:t>system</w:t>
      </w:r>
      <w:r w:rsidR="001A6790">
        <w:t>.</w:t>
      </w:r>
      <w:r w:rsidR="007370F6">
        <w:t xml:space="preserve"> </w:t>
      </w:r>
    </w:p>
    <w:p w14:paraId="7C881508" w14:textId="5CD2EAC4" w:rsidR="00D6029A" w:rsidRPr="00F228B2" w:rsidRDefault="00D6029A" w:rsidP="00D6029A">
      <w:pPr>
        <w:pStyle w:val="Els-body-text"/>
      </w:pPr>
      <w:r w:rsidRPr="00F228B2">
        <w:t>Throughout the manuscript, the subscript</w:t>
      </w:r>
      <w:r w:rsidR="00CF28A2" w:rsidRPr="00F228B2">
        <w:t xml:space="preserve"> </w:t>
      </w:r>
      <w:r w:rsidR="00CF28A2" w:rsidRPr="00F228B2">
        <w:rPr>
          <w:i/>
          <w:iCs/>
        </w:rPr>
        <w:t>p</w:t>
      </w:r>
      <w:r w:rsidR="00CF28A2" w:rsidRPr="00F228B2">
        <w:t xml:space="preserve"> </w:t>
      </w:r>
      <w:r w:rsidRPr="00F228B2">
        <w:t xml:space="preserve">denotes a </w:t>
      </w:r>
      <w:r w:rsidR="00F22267" w:rsidRPr="00F228B2">
        <w:t>plant,</w:t>
      </w:r>
      <w:r w:rsidRPr="00F228B2">
        <w:t xml:space="preserve"> and the set of plants is denoted </w:t>
      </w:r>
      <w:r w:rsidRPr="00F228B2">
        <w:rPr>
          <w:i/>
          <w:iCs/>
        </w:rPr>
        <w:t>P</w:t>
      </w:r>
      <w:r w:rsidR="001F3AF4" w:rsidRPr="00F228B2">
        <w:t xml:space="preserve">. Similarly, </w:t>
      </w:r>
      <w:r w:rsidR="007F5B25" w:rsidRPr="00F228B2">
        <w:rPr>
          <w:noProof/>
          <w:position w:val="-6"/>
        </w:rPr>
      </w:r>
      <w:r w:rsidR="007F5B25" w:rsidRPr="00F228B2">
        <w:rPr>
          <w:noProof/>
          <w:position w:val="-6"/>
        </w:rPr>
        <w:object w:dxaOrig="480" w:dyaOrig="220" w14:anchorId="69B85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pt;height:13pt;mso-width-percent:0;mso-height-percent:0;mso-width-percent:0;mso-height-percent:0" o:ole="">
            <v:imagedata r:id="rId8" o:title=""/>
          </v:shape>
          <o:OLEObject Type="Embed" ProgID="Equation.DSMT4" ShapeID="_x0000_i1025" DrawAspect="Content" ObjectID="_1764591488" r:id="rId9"/>
        </w:object>
      </w:r>
      <w:r w:rsidR="001F3AF4" w:rsidRPr="00F228B2">
        <w:t xml:space="preserve"> </w:t>
      </w:r>
      <w:r w:rsidRPr="00F228B2">
        <w:t>denotes a warehouse. The chemical products are represented</w:t>
      </w:r>
      <w:r w:rsidR="003D0BEF" w:rsidRPr="00F228B2">
        <w:t xml:space="preserve"> </w:t>
      </w:r>
      <w:r w:rsidRPr="00F228B2">
        <w:t xml:space="preserve">by </w:t>
      </w:r>
      <w:r w:rsidR="007F5B25" w:rsidRPr="00F228B2">
        <w:rPr>
          <w:noProof/>
          <w:position w:val="-8"/>
        </w:rPr>
      </w:r>
      <w:r w:rsidR="007F5B25" w:rsidRPr="00F228B2">
        <w:rPr>
          <w:noProof/>
          <w:position w:val="-8"/>
        </w:rPr>
        <w:object w:dxaOrig="420" w:dyaOrig="240" w14:anchorId="4FDCAB3E">
          <v:shape id="_x0000_i1026" type="#_x0000_t75" alt="" style="width:24pt;height:14pt;mso-width-percent:0;mso-height-percent:0;mso-width-percent:0;mso-height-percent:0" o:ole="">
            <v:imagedata r:id="rId10" o:title=""/>
          </v:shape>
          <o:OLEObject Type="Embed" ProgID="Equation.DSMT4" ShapeID="_x0000_i1026" DrawAspect="Content" ObjectID="_1764591489" r:id="rId11"/>
        </w:object>
      </w:r>
      <w:r w:rsidR="00B87943" w:rsidRPr="00F228B2">
        <w:t>,</w:t>
      </w:r>
      <w:r w:rsidRPr="00F228B2">
        <w:t xml:space="preserve"> and markets by </w:t>
      </w:r>
      <w:r w:rsidR="007F5B25" w:rsidRPr="00F228B2">
        <w:rPr>
          <w:noProof/>
          <w:position w:val="-6"/>
        </w:rPr>
      </w:r>
      <w:r w:rsidR="007F5B25" w:rsidRPr="00F228B2">
        <w:rPr>
          <w:noProof/>
          <w:position w:val="-6"/>
        </w:rPr>
        <w:object w:dxaOrig="440" w:dyaOrig="220" w14:anchorId="78BC384F">
          <v:shape id="_x0000_i1027" type="#_x0000_t75" alt="" style="width:22pt;height:11pt;mso-width-percent:0;mso-height-percent:0;mso-width-percent:0;mso-height-percent:0" o:ole="">
            <v:imagedata r:id="rId12" o:title=""/>
          </v:shape>
          <o:OLEObject Type="Embed" ProgID="Equation.DSMT4" ShapeID="_x0000_i1027" DrawAspect="Content" ObjectID="_1764591490" r:id="rId13"/>
        </w:object>
      </w:r>
      <w:r w:rsidR="008C6CC0" w:rsidRPr="00F228B2">
        <w:t xml:space="preserve"> </w:t>
      </w:r>
      <w:r w:rsidRPr="00F228B2">
        <w:t xml:space="preserve">k. The set of main products for technology </w:t>
      </w:r>
      <w:r w:rsidR="007F5B25" w:rsidRPr="00F228B2">
        <w:rPr>
          <w:noProof/>
          <w:position w:val="-6"/>
        </w:rPr>
      </w:r>
      <w:r w:rsidR="007F5B25" w:rsidRPr="00F228B2">
        <w:rPr>
          <w:noProof/>
          <w:position w:val="-6"/>
        </w:rPr>
        <w:object w:dxaOrig="360" w:dyaOrig="220" w14:anchorId="3C982FE1">
          <v:shape id="_x0000_i1028" type="#_x0000_t75" alt="" style="width:18pt;height:11pt;mso-width-percent:0;mso-height-percent:0;mso-width-percent:0;mso-height-percent:0" o:ole="">
            <v:imagedata r:id="rId14" o:title=""/>
          </v:shape>
          <o:OLEObject Type="Embed" ProgID="Equation.DSMT4" ShapeID="_x0000_i1028" DrawAspect="Content" ObjectID="_1764591491" r:id="rId15"/>
        </w:object>
      </w:r>
      <w:r w:rsidR="009F2AD7" w:rsidRPr="00F228B2">
        <w:t xml:space="preserve"> </w:t>
      </w:r>
      <w:r w:rsidRPr="00F228B2">
        <w:t>is denoted</w:t>
      </w:r>
      <w:r w:rsidR="00B87943" w:rsidRPr="00F228B2">
        <w:t xml:space="preserve"> </w:t>
      </w:r>
      <w:r w:rsidR="007F5B25" w:rsidRPr="00F228B2">
        <w:rPr>
          <w:noProof/>
          <w:position w:val="-10"/>
        </w:rPr>
      </w:r>
      <w:r w:rsidR="007F5B25" w:rsidRPr="00F228B2">
        <w:rPr>
          <w:noProof/>
          <w:position w:val="-10"/>
        </w:rPr>
        <w:object w:dxaOrig="639" w:dyaOrig="279" w14:anchorId="22EB872A">
          <v:shape id="_x0000_i1029" type="#_x0000_t75" alt="" style="width:32pt;height:14pt;mso-width-percent:0;mso-height-percent:0;mso-width-percent:0;mso-height-percent:0" o:ole="">
            <v:imagedata r:id="rId16" o:title=""/>
          </v:shape>
          <o:OLEObject Type="Embed" ProgID="Equation.DSMT4" ShapeID="_x0000_i1029" DrawAspect="Content" ObjectID="_1764591492" r:id="rId17"/>
        </w:object>
      </w:r>
      <w:r w:rsidRPr="00F228B2">
        <w:t>.</w:t>
      </w:r>
      <w:r w:rsidR="00B87943" w:rsidRPr="00F228B2">
        <w:t xml:space="preserve"> </w:t>
      </w:r>
      <w:r w:rsidRPr="00F228B2">
        <w:t xml:space="preserve">The time horizon is discretized into a finite number of timesteps, </w:t>
      </w:r>
      <w:r w:rsidR="007F5B25" w:rsidRPr="00F228B2">
        <w:rPr>
          <w:noProof/>
          <w:position w:val="-6"/>
        </w:rPr>
      </w:r>
      <w:r w:rsidR="007F5B25" w:rsidRPr="00F228B2">
        <w:rPr>
          <w:noProof/>
          <w:position w:val="-6"/>
        </w:rPr>
        <w:object w:dxaOrig="380" w:dyaOrig="220" w14:anchorId="0402BE80">
          <v:shape id="_x0000_i1030" type="#_x0000_t75" alt="" style="width:20pt;height:12pt;mso-width-percent:0;mso-height-percent:0;mso-width-percent:0;mso-height-percent:0" o:ole="">
            <v:imagedata r:id="rId18" o:title=""/>
          </v:shape>
          <o:OLEObject Type="Embed" ProgID="Equation.DSMT4" ShapeID="_x0000_i1030" DrawAspect="Content" ObjectID="_1764591493" r:id="rId19"/>
        </w:object>
      </w:r>
      <w:r w:rsidRPr="00F228B2">
        <w:t>, and scenarios are given</w:t>
      </w:r>
      <w:r w:rsidR="003D0BEF" w:rsidRPr="00F228B2">
        <w:t xml:space="preserve"> </w:t>
      </w:r>
      <w:r w:rsidRPr="00F228B2">
        <w:t xml:space="preserve">by </w:t>
      </w:r>
      <w:r w:rsidR="007F5B25" w:rsidRPr="00F228B2">
        <w:rPr>
          <w:noProof/>
          <w:position w:val="-6"/>
        </w:rPr>
      </w:r>
      <w:r w:rsidR="007F5B25" w:rsidRPr="00F228B2">
        <w:rPr>
          <w:noProof/>
          <w:position w:val="-6"/>
        </w:rPr>
        <w:object w:dxaOrig="400" w:dyaOrig="220" w14:anchorId="394562B9">
          <v:shape id="_x0000_i1031" type="#_x0000_t75" alt="" style="width:25pt;height:13pt;mso-width-percent:0;mso-height-percent:0;mso-width-percent:0;mso-height-percent:0" o:ole="">
            <v:imagedata r:id="rId20" o:title=""/>
          </v:shape>
          <o:OLEObject Type="Embed" ProgID="Equation.DSMT4" ShapeID="_x0000_i1031" DrawAspect="Content" ObjectID="_1764591494" r:id="rId21"/>
        </w:object>
      </w:r>
      <w:r w:rsidRPr="00F228B2">
        <w:t>.</w:t>
      </w:r>
    </w:p>
    <w:p w14:paraId="61FE103E" w14:textId="29174383" w:rsidR="00741C44" w:rsidRDefault="00015D31" w:rsidP="00635345">
      <w:pPr>
        <w:pStyle w:val="Els-2ndorder-head"/>
      </w:pPr>
      <w:r w:rsidRPr="00015D31">
        <w:t>Mass balance</w:t>
      </w:r>
      <w:r w:rsidR="00BE0E83">
        <w:t>s</w:t>
      </w:r>
      <w:r w:rsidRPr="00015D31">
        <w:t xml:space="preserve"> </w:t>
      </w:r>
      <w:r w:rsidR="00CA11F3">
        <w:t>and capacity c</w:t>
      </w:r>
      <w:r w:rsidR="00DA6F21">
        <w:t>onstraints</w:t>
      </w:r>
    </w:p>
    <w:p w14:paraId="361C202C" w14:textId="7C8E27DF" w:rsidR="00D630E4" w:rsidRPr="000218A5" w:rsidRDefault="00763971" w:rsidP="009E602D">
      <w:pPr>
        <w:pStyle w:val="Els-body-text"/>
      </w:pPr>
      <w:r w:rsidRPr="00763971">
        <w:t>Mass balances are defined for every node in the supply chain network.</w:t>
      </w:r>
      <w:r w:rsidR="000C67BF">
        <w:t xml:space="preserve"> </w:t>
      </w:r>
      <w:r w:rsidR="00E2389F" w:rsidRPr="00E2389F">
        <w:t>In the case of plants</w:t>
      </w:r>
      <w:r w:rsidR="00F8061B">
        <w:t xml:space="preserve">, </w:t>
      </w:r>
      <w:r w:rsidR="00D17FD3" w:rsidRPr="00D17FD3">
        <w:t>the sum of purchased chemicals and the produced chemicals must equal the quantity transported from the plant</w:t>
      </w:r>
      <w:r w:rsidR="00E762CB">
        <w:t>,</w:t>
      </w:r>
      <w:r w:rsidR="00645896">
        <w:t xml:space="preserve"> </w:t>
      </w:r>
      <w:r w:rsidR="00645896" w:rsidRPr="00645896">
        <w:rPr>
          <w:i/>
          <w:iCs/>
        </w:rPr>
        <w:t>p</w:t>
      </w:r>
      <w:r w:rsidR="00E762CB">
        <w:rPr>
          <w:i/>
          <w:iCs/>
        </w:rPr>
        <w:t>,</w:t>
      </w:r>
      <w:r w:rsidR="00D17FD3" w:rsidRPr="00D17FD3">
        <w:t xml:space="preserve"> to the warehouses</w:t>
      </w:r>
      <w:r w:rsidR="00E762CB">
        <w:t>,</w:t>
      </w:r>
      <w:r w:rsidR="00D17FD3">
        <w:t xml:space="preserve"> </w:t>
      </w:r>
      <w:r w:rsidR="00E762CB" w:rsidRPr="00E762CB">
        <w:rPr>
          <w:i/>
          <w:iCs/>
        </w:rPr>
        <w:t>w</w:t>
      </w:r>
      <w:r w:rsidR="00E762CB">
        <w:rPr>
          <w:i/>
          <w:iCs/>
        </w:rPr>
        <w:t>,</w:t>
      </w:r>
      <w:r w:rsidR="00E762CB">
        <w:t xml:space="preserve"> </w:t>
      </w:r>
      <w:r w:rsidR="003E73FF" w:rsidRPr="003E73FF">
        <w:t>across all time steps and scenarios</w:t>
      </w:r>
      <w:r w:rsidR="00761A57">
        <w:t>.</w:t>
      </w:r>
      <w:r w:rsidR="004E4311">
        <w:t xml:space="preserve"> </w:t>
      </w:r>
      <w:r w:rsidR="004E4311" w:rsidRPr="00555EDE">
        <w:rPr>
          <w:lang w:val="en-GB"/>
        </w:rPr>
        <w:t xml:space="preserve">The production rate of each technology at each plant, across each </w:t>
      </w:r>
      <w:proofErr w:type="gramStart"/>
      <w:r w:rsidR="004E4311" w:rsidRPr="00555EDE">
        <w:rPr>
          <w:lang w:val="en-GB"/>
        </w:rPr>
        <w:t>time period</w:t>
      </w:r>
      <w:proofErr w:type="gramEnd"/>
      <w:r w:rsidR="004E4311" w:rsidRPr="00555EDE">
        <w:rPr>
          <w:lang w:val="en-GB"/>
        </w:rPr>
        <w:t xml:space="preserve"> and scenario, is restricted to be below the corresponding capacity. </w:t>
      </w:r>
      <w:r w:rsidR="004E4311" w:rsidRPr="002672E1">
        <w:rPr>
          <w:lang w:val="en-GB"/>
        </w:rPr>
        <w:t>This capacity is defined by the sum of the previous timestep's capacity and a capacity expansion</w:t>
      </w:r>
      <w:r w:rsidR="004E4311">
        <w:rPr>
          <w:lang w:val="en-GB"/>
        </w:rPr>
        <w:t>,</w:t>
      </w:r>
      <w:r w:rsidR="004E4311" w:rsidRPr="00555EDE">
        <w:rPr>
          <w:lang w:val="en-GB"/>
        </w:rPr>
        <w:t xml:space="preserve"> </w:t>
      </w:r>
      <w:r w:rsidR="004E4311">
        <w:rPr>
          <w:lang w:val="en-GB"/>
        </w:rPr>
        <w:t>which</w:t>
      </w:r>
      <w:r w:rsidR="004E4311" w:rsidRPr="00555EDE">
        <w:rPr>
          <w:lang w:val="en-GB"/>
        </w:rPr>
        <w:t xml:space="preserve"> is constrained within specified bounds.</w:t>
      </w:r>
      <w:r w:rsidR="00DD2B52">
        <w:rPr>
          <w:lang w:val="en-GB"/>
        </w:rPr>
        <w:t xml:space="preserve"> </w:t>
      </w:r>
      <w:r w:rsidR="00D96509" w:rsidRPr="00D96509">
        <w:rPr>
          <w:lang w:val="en-GB"/>
        </w:rPr>
        <w:t>For warehouses, in each scenario and at every time step, the inventory at the previous time step</w:t>
      </w:r>
      <w:r w:rsidR="00FC710E">
        <w:rPr>
          <w:lang w:val="en-GB"/>
        </w:rPr>
        <w:t>, when</w:t>
      </w:r>
      <w:r w:rsidR="00D96509" w:rsidRPr="00D96509">
        <w:rPr>
          <w:lang w:val="en-GB"/>
        </w:rPr>
        <w:t xml:space="preserve"> added to the amount of product transported from the plants, must equal the inventory in the current </w:t>
      </w:r>
      <w:proofErr w:type="gramStart"/>
      <w:r w:rsidR="00D96509" w:rsidRPr="00D96509">
        <w:rPr>
          <w:lang w:val="en-GB"/>
        </w:rPr>
        <w:t>time period</w:t>
      </w:r>
      <w:proofErr w:type="gramEnd"/>
      <w:r w:rsidR="00D96509" w:rsidRPr="00D96509">
        <w:rPr>
          <w:lang w:val="en-GB"/>
        </w:rPr>
        <w:t xml:space="preserve"> plus the quantity of product sent from the warehouse to the markets.</w:t>
      </w:r>
      <w:r w:rsidR="002972C8" w:rsidRPr="001658CA">
        <w:rPr>
          <w:lang w:val="en-GB"/>
        </w:rPr>
        <w:t xml:space="preserve"> </w:t>
      </w:r>
      <w:r w:rsidR="00F058AB" w:rsidRPr="001658CA">
        <w:rPr>
          <w:lang w:val="en-GB"/>
        </w:rPr>
        <w:t>T</w:t>
      </w:r>
      <w:r w:rsidR="002972C8" w:rsidRPr="001658CA">
        <w:rPr>
          <w:lang w:val="en-GB"/>
        </w:rPr>
        <w:t xml:space="preserve">he capacity of a warehouse can </w:t>
      </w:r>
      <w:r w:rsidR="00F058AB">
        <w:rPr>
          <w:lang w:val="en-GB"/>
        </w:rPr>
        <w:t xml:space="preserve">also </w:t>
      </w:r>
      <w:r w:rsidR="002972C8" w:rsidRPr="001658CA">
        <w:rPr>
          <w:lang w:val="en-GB"/>
        </w:rPr>
        <w:t>be expanded in each timestep.</w:t>
      </w:r>
      <w:r w:rsidR="0027179E">
        <w:rPr>
          <w:lang w:val="en-GB"/>
        </w:rPr>
        <w:t xml:space="preserve"> </w:t>
      </w:r>
      <w:r w:rsidR="00921E0E" w:rsidRPr="00921E0E">
        <w:rPr>
          <w:lang w:val="en-GB"/>
        </w:rPr>
        <w:t xml:space="preserve">The </w:t>
      </w:r>
      <w:r w:rsidR="00551ADE">
        <w:rPr>
          <w:lang w:val="en-GB"/>
        </w:rPr>
        <w:t xml:space="preserve">quantity of </w:t>
      </w:r>
      <w:r w:rsidR="00921E0E" w:rsidRPr="00921E0E">
        <w:rPr>
          <w:lang w:val="en-GB"/>
        </w:rPr>
        <w:t>product</w:t>
      </w:r>
      <w:r w:rsidR="00844B15">
        <w:rPr>
          <w:lang w:val="en-GB"/>
        </w:rPr>
        <w:t>s</w:t>
      </w:r>
      <w:r w:rsidR="00921E0E" w:rsidRPr="00921E0E">
        <w:rPr>
          <w:lang w:val="en-GB"/>
        </w:rPr>
        <w:t xml:space="preserve"> </w:t>
      </w:r>
      <w:r w:rsidR="00551ADE" w:rsidRPr="00921E0E">
        <w:rPr>
          <w:lang w:val="en-GB"/>
        </w:rPr>
        <w:t xml:space="preserve">sold </w:t>
      </w:r>
      <w:r w:rsidR="00921E0E" w:rsidRPr="00921E0E">
        <w:rPr>
          <w:lang w:val="en-GB"/>
        </w:rPr>
        <w:t>on a market</w:t>
      </w:r>
      <w:r w:rsidR="00957D01">
        <w:rPr>
          <w:lang w:val="en-GB"/>
        </w:rPr>
        <w:t xml:space="preserve"> </w:t>
      </w:r>
      <w:r w:rsidR="00844B15" w:rsidRPr="00844B15">
        <w:rPr>
          <w:lang w:val="en-GB"/>
        </w:rPr>
        <w:t>is constrained with a minimum threshold ensuring satisfaction of demand.</w:t>
      </w:r>
    </w:p>
    <w:p w14:paraId="340E4D5C" w14:textId="65319AEB" w:rsidR="00CD0DFC" w:rsidRDefault="00CD0DFC" w:rsidP="00635345">
      <w:pPr>
        <w:pStyle w:val="Els-2ndorder-head"/>
      </w:pPr>
      <w:r w:rsidRPr="00CD0DFC">
        <w:t>Objective function</w:t>
      </w:r>
    </w:p>
    <w:p w14:paraId="5A02EADA" w14:textId="3D81E738" w:rsidR="006035D2" w:rsidRDefault="005C02B5" w:rsidP="00373D07">
      <w:pPr>
        <w:pStyle w:val="Els-body-text"/>
      </w:pPr>
      <w:r>
        <w:t>T</w:t>
      </w:r>
      <w:r w:rsidR="00B95B4D">
        <w:t>he model under study has two objectives. The economic performance</w:t>
      </w:r>
      <w:r w:rsidR="00B37768">
        <w:t>, measured</w:t>
      </w:r>
      <w:r w:rsidR="00B95B4D">
        <w:t xml:space="preserve"> in terms of the </w:t>
      </w:r>
      <w:r w:rsidR="00EF61B7">
        <w:t>NPV</w:t>
      </w:r>
      <w:r w:rsidR="00B37768">
        <w:t>,</w:t>
      </w:r>
      <w:r w:rsidR="00B95B4D">
        <w:t xml:space="preserve"> is to be maximized, while the </w:t>
      </w:r>
      <w:r w:rsidR="00AD68BD">
        <w:t xml:space="preserve">quantified </w:t>
      </w:r>
      <w:r w:rsidR="00B95B4D">
        <w:t>environmental performance is to be minimized</w:t>
      </w:r>
      <w:r w:rsidR="00117111">
        <w:t xml:space="preserve"> (eq.</w:t>
      </w:r>
      <w:r w:rsidR="00117111">
        <w:rPr>
          <w:iCs/>
        </w:rPr>
        <w:fldChar w:fldCharType="begin"/>
      </w:r>
      <w:r w:rsidR="00117111">
        <w:rPr>
          <w:iCs/>
        </w:rPr>
        <w:instrText xml:space="preserve"> GOTOBUTTON ZEqnNum160541  \* MERGEFORMAT </w:instrText>
      </w:r>
      <w:r w:rsidR="00117111">
        <w:rPr>
          <w:iCs/>
        </w:rPr>
        <w:fldChar w:fldCharType="begin"/>
      </w:r>
      <w:r w:rsidR="00117111">
        <w:rPr>
          <w:iCs/>
        </w:rPr>
        <w:instrText xml:space="preserve"> REF ZEqnNum160541 \* Charformat \! \* MERGEFORMAT </w:instrText>
      </w:r>
      <w:r w:rsidR="00117111">
        <w:rPr>
          <w:iCs/>
        </w:rPr>
        <w:fldChar w:fldCharType="separate"/>
      </w:r>
      <w:r w:rsidR="00385F58" w:rsidRPr="00385F58">
        <w:rPr>
          <w:iCs/>
        </w:rPr>
        <w:instrText>(1)</w:instrText>
      </w:r>
      <w:r w:rsidR="00117111">
        <w:rPr>
          <w:iCs/>
        </w:rPr>
        <w:fldChar w:fldCharType="end"/>
      </w:r>
      <w:r w:rsidR="00117111">
        <w:rPr>
          <w:iCs/>
        </w:rPr>
        <w:fldChar w:fldCharType="end"/>
      </w:r>
      <w:r w:rsidR="00117111">
        <w:rPr>
          <w:iCs/>
        </w:rPr>
        <w:t>)</w:t>
      </w:r>
      <w:r w:rsidR="00B95B4D">
        <w:t>.</w:t>
      </w:r>
    </w:p>
    <w:p w14:paraId="5A8F7658" w14:textId="6739AA32" w:rsidR="00373D07" w:rsidRDefault="007F5B25" w:rsidP="00E94B2D">
      <w:pPr>
        <w:pStyle w:val="Els-equation"/>
        <w:spacing w:before="0" w:after="0"/>
      </w:pPr>
      <w:r w:rsidRPr="00373D07">
        <w:rPr>
          <w:position w:val="-16"/>
        </w:rPr>
      </w:r>
      <w:r w:rsidR="007F5B25" w:rsidRPr="00373D07">
        <w:rPr>
          <w:position w:val="-16"/>
        </w:rPr>
        <w:object w:dxaOrig="2560" w:dyaOrig="360" w14:anchorId="7972AEBC">
          <v:shape id="_x0000_i1032" type="#_x0000_t75" alt="" style="width:173pt;height:25pt;mso-width-percent:0;mso-height-percent:0;mso-width-percent:0;mso-height-percent:0" o:ole="">
            <v:imagedata r:id="rId22" o:title=""/>
          </v:shape>
          <o:OLEObject Type="Embed" ProgID="Equation.DSMT4" ShapeID="_x0000_i1032" DrawAspect="Content" ObjectID="_1764591495" r:id="rId23"/>
        </w:object>
      </w:r>
      <w:r w:rsidR="00373D07">
        <w:t xml:space="preserve"> </w:t>
      </w:r>
      <w:r w:rsidR="00373D07">
        <w:tab/>
      </w:r>
      <w:r w:rsidR="00373D07">
        <w:fldChar w:fldCharType="begin"/>
      </w:r>
      <w:r w:rsidR="00373D07">
        <w:instrText xml:space="preserve"> MACROBUTTON MTPlaceRef \* MERGEFORMAT </w:instrText>
      </w:r>
      <w:r w:rsidR="00373D07">
        <w:fldChar w:fldCharType="begin"/>
      </w:r>
      <w:r w:rsidR="00373D07">
        <w:instrText xml:space="preserve"> SEQ MTEqn \h \* MERGEFORMAT </w:instrText>
      </w:r>
      <w:r w:rsidR="00373D07">
        <w:fldChar w:fldCharType="end"/>
      </w:r>
      <w:bookmarkStart w:id="1" w:name="ZEqnNum160541"/>
      <w:r w:rsidR="00373D07">
        <w:instrText>(</w:instrText>
      </w:r>
      <w:r w:rsidR="003875AF">
        <w:fldChar w:fldCharType="begin"/>
      </w:r>
      <w:r w:rsidR="003875AF">
        <w:instrText xml:space="preserve"> SEQ MTEqn \c \* Arabic \* MERGEFORMAT </w:instrText>
      </w:r>
      <w:r w:rsidR="003875AF">
        <w:fldChar w:fldCharType="separate"/>
      </w:r>
      <w:r w:rsidR="00385F58">
        <w:instrText>1</w:instrText>
      </w:r>
      <w:r w:rsidR="003875AF">
        <w:fldChar w:fldCharType="end"/>
      </w:r>
      <w:r w:rsidR="00373D07">
        <w:instrText>)</w:instrText>
      </w:r>
      <w:bookmarkEnd w:id="1"/>
      <w:r w:rsidR="00373D07">
        <w:fldChar w:fldCharType="end"/>
      </w:r>
    </w:p>
    <w:p w14:paraId="4AC79B21" w14:textId="168C0BDB" w:rsidR="002A4727" w:rsidRDefault="00506231" w:rsidP="004B748E">
      <w:pPr>
        <w:pStyle w:val="Els-body-text"/>
        <w:spacing w:after="120" w:line="264" w:lineRule="auto"/>
      </w:pPr>
      <w:r>
        <w:t>w</w:t>
      </w:r>
      <w:r w:rsidR="00117111">
        <w:t xml:space="preserve">here </w:t>
      </w:r>
      <w:r w:rsidR="00117111" w:rsidRPr="000D17CC">
        <w:rPr>
          <w:i/>
          <w:iCs/>
        </w:rPr>
        <w:t>WC</w:t>
      </w:r>
      <w:r w:rsidR="00117111">
        <w:t xml:space="preserve"> represents the </w:t>
      </w:r>
      <w:r w:rsidR="00937074">
        <w:t>worst</w:t>
      </w:r>
      <w:r w:rsidR="00117111">
        <w:t xml:space="preserve"> case of the </w:t>
      </w:r>
      <w:r w:rsidR="00CD0FF8">
        <w:t>environment</w:t>
      </w:r>
      <w:r w:rsidR="000D17CC">
        <w:t xml:space="preserve">al </w:t>
      </w:r>
      <w:r w:rsidR="00F144F9">
        <w:t>impact of the system</w:t>
      </w:r>
      <w:r>
        <w:t>,</w:t>
      </w:r>
      <w:r w:rsidR="002A4727">
        <w:t xml:space="preserve"> </w:t>
      </w:r>
      <w:r w:rsidR="002A4727" w:rsidRPr="00C860F1">
        <w:rPr>
          <w:i/>
          <w:iCs/>
        </w:rPr>
        <w:t>x</w:t>
      </w:r>
      <w:r w:rsidR="002A4727">
        <w:t xml:space="preserve"> and </w:t>
      </w:r>
      <w:proofErr w:type="spellStart"/>
      <w:r w:rsidR="002A4727" w:rsidRPr="00C860F1">
        <w:rPr>
          <w:i/>
          <w:iCs/>
        </w:rPr>
        <w:t>x</w:t>
      </w:r>
      <w:r w:rsidR="002A4727" w:rsidRPr="00C860F1">
        <w:rPr>
          <w:i/>
          <w:iCs/>
          <w:vertAlign w:val="subscript"/>
        </w:rPr>
        <w:t>s</w:t>
      </w:r>
      <w:proofErr w:type="spellEnd"/>
      <w:r w:rsidR="002A4727">
        <w:t xml:space="preserve"> denote first </w:t>
      </w:r>
      <w:r>
        <w:t>and</w:t>
      </w:r>
      <w:r w:rsidR="002A4727">
        <w:t xml:space="preserve"> second stage continuous variables,</w:t>
      </w:r>
      <w:r w:rsidR="00C860F1">
        <w:t xml:space="preserve"> respectively,</w:t>
      </w:r>
      <w:r w:rsidR="002A4727">
        <w:t xml:space="preserve"> and </w:t>
      </w:r>
      <w:r w:rsidR="002A4727" w:rsidRPr="00924232">
        <w:rPr>
          <w:i/>
          <w:iCs/>
        </w:rPr>
        <w:t>y</w:t>
      </w:r>
      <w:r w:rsidR="002A4727">
        <w:t xml:space="preserve"> </w:t>
      </w:r>
      <w:r w:rsidR="00C860F1">
        <w:t>are</w:t>
      </w:r>
      <w:r w:rsidR="002A4727">
        <w:t xml:space="preserve"> binary variables</w:t>
      </w:r>
      <w:r w:rsidR="00C860F1">
        <w:t>.</w:t>
      </w:r>
    </w:p>
    <w:p w14:paraId="50AD3AC9" w14:textId="7497E6F9" w:rsidR="007C360A" w:rsidRDefault="007C360A" w:rsidP="002F1358">
      <w:pPr>
        <w:pStyle w:val="Els-3rdorder-head"/>
      </w:pPr>
      <w:r>
        <w:t>Economic objective function</w:t>
      </w:r>
    </w:p>
    <w:p w14:paraId="38A3A6A8" w14:textId="0E5372D4" w:rsidR="00845616" w:rsidRDefault="00E83A01" w:rsidP="00DB5FA8">
      <w:pPr>
        <w:pStyle w:val="Els-body-text"/>
      </w:pPr>
      <w:r w:rsidRPr="00845616">
        <w:t xml:space="preserve">The NPV(s) is calculated for each scenario </w:t>
      </w:r>
      <w:r w:rsidR="007F5B25" w:rsidRPr="00F36327">
        <w:rPr>
          <w:noProof/>
          <w:position w:val="-6"/>
        </w:rPr>
      </w:r>
      <w:r w:rsidR="007F5B25" w:rsidRPr="00F36327">
        <w:rPr>
          <w:noProof/>
          <w:position w:val="-6"/>
        </w:rPr>
        <w:object w:dxaOrig="560" w:dyaOrig="279" w14:anchorId="444706CA">
          <v:shape id="_x0000_i1033" type="#_x0000_t75" alt="" style="width:24pt;height:12pt;mso-width-percent:0;mso-height-percent:0;mso-width-percent:0;mso-height-percent:0" o:ole="">
            <v:imagedata r:id="rId24" o:title=""/>
          </v:shape>
          <o:OLEObject Type="Embed" ProgID="Equation.DSMT4" ShapeID="_x0000_i1033" DrawAspect="Content" ObjectID="_1764591496" r:id="rId25"/>
        </w:object>
      </w:r>
      <w:r w:rsidR="00F36327">
        <w:t xml:space="preserve"> </w:t>
      </w:r>
      <w:r w:rsidR="00524E46">
        <w:t>as the sum of the discounted cash flows over all time periods</w:t>
      </w:r>
      <w:r w:rsidR="009B3098">
        <w:t xml:space="preserve">. </w:t>
      </w:r>
      <w:r w:rsidRPr="00845616">
        <w:t>The expected value of the</w:t>
      </w:r>
      <w:r w:rsidR="00845616" w:rsidRPr="00845616">
        <w:t xml:space="preserve"> </w:t>
      </w:r>
      <w:r w:rsidRPr="00845616">
        <w:t>NPV is then calculated as</w:t>
      </w:r>
    </w:p>
    <w:p w14:paraId="7965F48D" w14:textId="4FBD9853" w:rsidR="00DB5FA8" w:rsidRDefault="007F5B25" w:rsidP="00130695">
      <w:pPr>
        <w:pStyle w:val="Els-equation"/>
        <w:spacing w:before="0" w:after="0"/>
      </w:pPr>
      <w:r w:rsidRPr="007F7945">
        <w:rPr>
          <w:position w:val="-28"/>
        </w:rPr>
      </w:r>
      <w:r w:rsidR="007F5B25" w:rsidRPr="007F7945">
        <w:rPr>
          <w:position w:val="-28"/>
        </w:rPr>
        <w:object w:dxaOrig="2780" w:dyaOrig="540" w14:anchorId="76D1D723">
          <v:shape id="_x0000_i1034" type="#_x0000_t75" alt="" style="width:111pt;height:23pt;mso-width-percent:0;mso-height-percent:0;mso-width-percent:0;mso-height-percent:0" o:ole="">
            <v:imagedata r:id="rId26" o:title=""/>
          </v:shape>
          <o:OLEObject Type="Embed" ProgID="Equation.DSMT4" ShapeID="_x0000_i1034" DrawAspect="Content" ObjectID="_1764591497" r:id="rId27"/>
        </w:object>
      </w:r>
      <w:r w:rsidR="00AE5D2B">
        <w:t xml:space="preserve"> </w:t>
      </w:r>
      <w:r w:rsidR="00461273">
        <w:tab/>
      </w:r>
      <w:r w:rsidR="00E91080">
        <w:fldChar w:fldCharType="begin"/>
      </w:r>
      <w:r w:rsidR="00E91080">
        <w:instrText xml:space="preserve"> MACROBUTTON MTPlaceRef \* MERGEFORMAT </w:instrText>
      </w:r>
      <w:r w:rsidR="00E91080">
        <w:fldChar w:fldCharType="begin"/>
      </w:r>
      <w:r w:rsidR="00E91080">
        <w:instrText xml:space="preserve"> SEQ MTEqn \h \* MERGEFORMAT </w:instrText>
      </w:r>
      <w:r w:rsidR="00E91080">
        <w:fldChar w:fldCharType="end"/>
      </w:r>
      <w:r w:rsidR="00E91080">
        <w:instrText>(</w:instrText>
      </w:r>
      <w:r w:rsidR="003875AF">
        <w:fldChar w:fldCharType="begin"/>
      </w:r>
      <w:r w:rsidR="003875AF">
        <w:instrText xml:space="preserve"> SEQ MTEqn \c \* Arabic \* MERGEFORMAT </w:instrText>
      </w:r>
      <w:r w:rsidR="003875AF">
        <w:fldChar w:fldCharType="separate"/>
      </w:r>
      <w:r w:rsidR="00385F58">
        <w:instrText>2</w:instrText>
      </w:r>
      <w:r w:rsidR="003875AF">
        <w:fldChar w:fldCharType="end"/>
      </w:r>
      <w:r w:rsidR="00E91080">
        <w:instrText>)</w:instrText>
      </w:r>
      <w:r w:rsidR="00E91080">
        <w:fldChar w:fldCharType="end"/>
      </w:r>
    </w:p>
    <w:p w14:paraId="781EE7E1" w14:textId="4EFDEAB5" w:rsidR="00450C94" w:rsidRDefault="00450C94" w:rsidP="00450C94">
      <w:pPr>
        <w:pStyle w:val="Els-body-text"/>
      </w:pPr>
      <w:r w:rsidRPr="00450C94">
        <w:t xml:space="preserve">where </w:t>
      </w:r>
      <w:r w:rsidR="007F5B25" w:rsidRPr="006369E6">
        <w:rPr>
          <w:noProof/>
          <w:position w:val="-14"/>
        </w:rPr>
      </w:r>
      <w:r w:rsidR="007F5B25" w:rsidRPr="006369E6">
        <w:rPr>
          <w:noProof/>
          <w:position w:val="-14"/>
        </w:rPr>
        <w:object w:dxaOrig="1219" w:dyaOrig="400" w14:anchorId="37EAEAB5">
          <v:shape id="_x0000_i1035" type="#_x0000_t75" alt="" style="width:53pt;height:17pt;mso-width-percent:0;mso-height-percent:0;mso-width-percent:0;mso-height-percent:0" o:ole="">
            <v:imagedata r:id="rId28" o:title=""/>
          </v:shape>
          <o:OLEObject Type="Embed" ProgID="Equation.DSMT4" ShapeID="_x0000_i1035" DrawAspect="Content" ObjectID="_1764591498" r:id="rId29"/>
        </w:object>
      </w:r>
      <w:r>
        <w:t xml:space="preserve"> </w:t>
      </w:r>
      <w:r w:rsidRPr="00450C94">
        <w:t>denotes the probability of scenario s.</w:t>
      </w:r>
    </w:p>
    <w:p w14:paraId="3CBF2202" w14:textId="3215DC9B" w:rsidR="00F37FF4" w:rsidRDefault="00F37FF4" w:rsidP="002F1358">
      <w:pPr>
        <w:pStyle w:val="Els-3rdorder-head"/>
      </w:pPr>
      <w:r w:rsidRPr="00F37FF4">
        <w:t>Environmental impact assessment</w:t>
      </w:r>
    </w:p>
    <w:p w14:paraId="4C2746E6" w14:textId="06F0E524" w:rsidR="00F13705" w:rsidRDefault="00544D11" w:rsidP="002104C2">
      <w:pPr>
        <w:pStyle w:val="Els-body-text"/>
      </w:pPr>
      <w:r w:rsidRPr="00544D11">
        <w:t>In this study</w:t>
      </w:r>
      <w:r w:rsidR="00E1560C">
        <w:t xml:space="preserve">, the Global Warming Potential indicator (GWP) was </w:t>
      </w:r>
      <w:r w:rsidR="00F4112C">
        <w:t>employed</w:t>
      </w:r>
      <w:r w:rsidR="00E1560C">
        <w:t xml:space="preserve"> to </w:t>
      </w:r>
      <w:r w:rsidR="0037528C" w:rsidRPr="005D3BF2">
        <w:t>assess</w:t>
      </w:r>
      <w:r w:rsidR="0037528C">
        <w:rPr>
          <w:rFonts w:ascii="Segoe UI" w:hAnsi="Segoe UI" w:cs="Segoe UI"/>
          <w:color w:val="374151"/>
          <w:shd w:val="clear" w:color="auto" w:fill="F7F7F8"/>
        </w:rPr>
        <w:t xml:space="preserve"> </w:t>
      </w:r>
      <w:r w:rsidR="00E1560C">
        <w:t xml:space="preserve">the </w:t>
      </w:r>
      <w:r w:rsidR="00F4112C">
        <w:t>environmental</w:t>
      </w:r>
      <w:r w:rsidR="00E1560C">
        <w:t xml:space="preserve"> impact. </w:t>
      </w:r>
      <w:r w:rsidR="00C742F6" w:rsidRPr="00C742F6">
        <w:t>This indicator measures how much one kilogram of a specific greenhouse gas contributes to global warming relative to the emission of one kilogram of carbon dioxide</w:t>
      </w:r>
      <w:r w:rsidR="00E1560C">
        <w:t>.</w:t>
      </w:r>
      <w:r w:rsidR="00FC3279">
        <w:t xml:space="preserve"> </w:t>
      </w:r>
      <w:r w:rsidR="00E45F9B" w:rsidRPr="00E45F9B">
        <w:t xml:space="preserve">To quantify the amount of global warming emissions throughout the entire life cycle of the </w:t>
      </w:r>
      <w:r w:rsidR="00EA6B23">
        <w:t>SC</w:t>
      </w:r>
      <w:r w:rsidR="00E45F9B" w:rsidRPr="00E45F9B">
        <w:t>, we consider three main sources of emissions</w:t>
      </w:r>
      <w:r w:rsidR="008E4A94">
        <w:t>: e</w:t>
      </w:r>
      <w:r w:rsidR="008E4A94" w:rsidRPr="008E4A94">
        <w:t>missions due to the consumption of raw materials</w:t>
      </w:r>
      <w:r w:rsidR="005329A8">
        <w:t>;</w:t>
      </w:r>
      <w:r w:rsidR="008E4A94">
        <w:t xml:space="preserve"> </w:t>
      </w:r>
      <w:r w:rsidR="005329A8">
        <w:t>emissions due to transportation of products from plants to warehouses and from warehouses to markets</w:t>
      </w:r>
      <w:r w:rsidR="00325DBE">
        <w:t>;</w:t>
      </w:r>
      <w:r w:rsidR="005329A8">
        <w:t xml:space="preserve"> and </w:t>
      </w:r>
      <w:r w:rsidR="004A06BD" w:rsidRPr="004A06BD">
        <w:t>emissions due to energy consumption</w:t>
      </w:r>
      <w:r w:rsidR="004A06BD">
        <w:t xml:space="preserve">. </w:t>
      </w:r>
    </w:p>
    <w:p w14:paraId="6E5F1191" w14:textId="15A768FA" w:rsidR="002F1358" w:rsidRDefault="007F5B25" w:rsidP="00130695">
      <w:pPr>
        <w:pStyle w:val="Els-equation"/>
        <w:spacing w:before="0" w:after="0"/>
      </w:pPr>
      <w:r w:rsidRPr="005B5BA7">
        <w:rPr>
          <w:position w:val="-42"/>
        </w:rPr>
      </w:r>
      <w:r w:rsidR="007F5B25" w:rsidRPr="005B5BA7">
        <w:rPr>
          <w:position w:val="-42"/>
        </w:rPr>
        <w:object w:dxaOrig="5780" w:dyaOrig="600" w14:anchorId="5628364D">
          <v:shape id="_x0000_i1036" type="#_x0000_t75" alt="" style="width:338pt;height:35pt;mso-width-percent:0;mso-height-percent:0;mso-width-percent:0;mso-height-percent:0" o:ole="">
            <v:imagedata r:id="rId30" o:title=""/>
          </v:shape>
          <o:OLEObject Type="Embed" ProgID="Equation.DSMT4" ShapeID="_x0000_i1036" DrawAspect="Content" ObjectID="_1764591499" r:id="rId31"/>
        </w:object>
      </w:r>
      <w:r w:rsidR="0065130A">
        <w:tab/>
      </w:r>
      <w:r w:rsidR="00F13705">
        <w:t xml:space="preserve"> </w:t>
      </w:r>
      <w:r w:rsidR="006A3C7A">
        <w:fldChar w:fldCharType="begin"/>
      </w:r>
      <w:r w:rsidR="006A3C7A">
        <w:instrText xml:space="preserve"> MACROBUTTON MTPlaceRef \* MERGEFORMAT </w:instrText>
      </w:r>
      <w:r w:rsidR="006A3C7A">
        <w:fldChar w:fldCharType="begin"/>
      </w:r>
      <w:r w:rsidR="006A3C7A">
        <w:instrText xml:space="preserve"> SEQ MTEqn \h \* MERGEFORMAT </w:instrText>
      </w:r>
      <w:r w:rsidR="006A3C7A">
        <w:fldChar w:fldCharType="end"/>
      </w:r>
      <w:bookmarkStart w:id="2" w:name="ZEqnNum644383"/>
      <w:r w:rsidR="006A3C7A">
        <w:instrText>(</w:instrText>
      </w:r>
      <w:r w:rsidR="003875AF">
        <w:fldChar w:fldCharType="begin"/>
      </w:r>
      <w:r w:rsidR="003875AF">
        <w:instrText xml:space="preserve"> SEQ MTEqn \c \* Arabic \* MERGEFORMAT </w:instrText>
      </w:r>
      <w:r w:rsidR="003875AF">
        <w:fldChar w:fldCharType="separate"/>
      </w:r>
      <w:r w:rsidR="00385F58">
        <w:instrText>3</w:instrText>
      </w:r>
      <w:r w:rsidR="003875AF">
        <w:fldChar w:fldCharType="end"/>
      </w:r>
      <w:r w:rsidR="006A3C7A">
        <w:instrText>)</w:instrText>
      </w:r>
      <w:bookmarkEnd w:id="2"/>
      <w:r w:rsidR="006A3C7A">
        <w:fldChar w:fldCharType="end"/>
      </w:r>
    </w:p>
    <w:p w14:paraId="4EA0256B" w14:textId="70DEE2CD" w:rsidR="004E742B" w:rsidRDefault="007A2683" w:rsidP="00561B04">
      <w:pPr>
        <w:pStyle w:val="Els-body-text"/>
      </w:pPr>
      <w:r>
        <w:t xml:space="preserve">In eq. </w:t>
      </w:r>
      <w:r>
        <w:rPr>
          <w:iCs/>
        </w:rPr>
        <w:fldChar w:fldCharType="begin"/>
      </w:r>
      <w:r>
        <w:rPr>
          <w:iCs/>
        </w:rPr>
        <w:instrText xml:space="preserve"> GOTOBUTTON ZEqnNum644383  \* MERGEFORMAT </w:instrText>
      </w:r>
      <w:r>
        <w:rPr>
          <w:iCs/>
        </w:rPr>
        <w:fldChar w:fldCharType="begin"/>
      </w:r>
      <w:r>
        <w:rPr>
          <w:iCs/>
        </w:rPr>
        <w:instrText xml:space="preserve"> REF ZEqnNum644383 \* Charformat \! \* MERGEFORMAT </w:instrText>
      </w:r>
      <w:r>
        <w:rPr>
          <w:iCs/>
        </w:rPr>
        <w:fldChar w:fldCharType="separate"/>
      </w:r>
      <w:r w:rsidR="00385F58" w:rsidRPr="00385F58">
        <w:rPr>
          <w:iCs/>
        </w:rPr>
        <w:instrText>(3)</w:instrText>
      </w:r>
      <w:r>
        <w:rPr>
          <w:iCs/>
        </w:rPr>
        <w:fldChar w:fldCharType="end"/>
      </w:r>
      <w:r>
        <w:rPr>
          <w:iCs/>
        </w:rPr>
        <w:fldChar w:fldCharType="end"/>
      </w:r>
      <w:r w:rsidR="00BE6782">
        <w:t xml:space="preserve"> </w:t>
      </w:r>
      <w:r w:rsidR="007F5B25" w:rsidRPr="000D62F3">
        <w:rPr>
          <w:noProof/>
          <w:position w:val="-14"/>
        </w:rPr>
      </w:r>
      <w:r w:rsidR="007F5B25" w:rsidRPr="000D62F3">
        <w:rPr>
          <w:noProof/>
          <w:position w:val="-14"/>
        </w:rPr>
        <w:object w:dxaOrig="840" w:dyaOrig="380" w14:anchorId="2EA049A8">
          <v:shape id="_x0000_i1037" type="#_x0000_t75" alt="" style="width:37pt;height:16pt;mso-width-percent:0;mso-height-percent:0;mso-width-percent:0;mso-height-percent:0" o:ole="">
            <v:imagedata r:id="rId32" o:title=""/>
          </v:shape>
          <o:OLEObject Type="Embed" ProgID="Equation.DSMT4" ShapeID="_x0000_i1037" DrawAspect="Content" ObjectID="_1764591500" r:id="rId33"/>
        </w:object>
      </w:r>
      <w:r w:rsidR="000D62F3">
        <w:t xml:space="preserve">is </w:t>
      </w:r>
      <w:r w:rsidR="00BE6782">
        <w:t xml:space="preserve">the </w:t>
      </w:r>
      <w:r w:rsidR="00583390" w:rsidRPr="00583390">
        <w:t>amount of raw materials purchased</w:t>
      </w:r>
      <w:r w:rsidR="00583390">
        <w:t xml:space="preserve">, </w:t>
      </w:r>
      <w:r w:rsidR="007F5B25" w:rsidRPr="0001379F">
        <w:rPr>
          <w:noProof/>
          <w:position w:val="-16"/>
        </w:rPr>
      </w:r>
      <w:r w:rsidR="007F5B25" w:rsidRPr="0001379F">
        <w:rPr>
          <w:noProof/>
          <w:position w:val="-16"/>
        </w:rPr>
        <w:object w:dxaOrig="460" w:dyaOrig="400" w14:anchorId="6682A31B">
          <v:shape id="_x0000_i1038" type="#_x0000_t75" alt="" style="width:20pt;height:17pt;mso-width-percent:0;mso-height-percent:0;mso-width-percent:0;mso-height-percent:0" o:ole="">
            <v:imagedata r:id="rId34" o:title=""/>
          </v:shape>
          <o:OLEObject Type="Embed" ProgID="Equation.DSMT4" ShapeID="_x0000_i1038" DrawAspect="Content" ObjectID="_1764591501" r:id="rId35"/>
        </w:object>
      </w:r>
      <w:r w:rsidR="0013759B" w:rsidRPr="0013759B">
        <w:t xml:space="preserve">represents the cumulative life cycle impact assessment </w:t>
      </w:r>
      <w:r w:rsidR="00EC3679" w:rsidRPr="005478EF">
        <w:t xml:space="preserve">(LCIA) </w:t>
      </w:r>
      <w:r w:rsidR="0013759B" w:rsidRPr="0013759B">
        <w:t>associated with the consumption</w:t>
      </w:r>
      <w:r w:rsidR="0013759B">
        <w:t xml:space="preserve"> </w:t>
      </w:r>
      <w:r w:rsidR="0013759B" w:rsidRPr="0013759B">
        <w:t>of 1 kg of the corresponding raw material</w:t>
      </w:r>
      <w:r w:rsidR="002209B5">
        <w:t>.</w:t>
      </w:r>
      <w:r w:rsidR="0013759B">
        <w:t xml:space="preserve"> </w:t>
      </w:r>
      <w:r w:rsidR="007F5B25" w:rsidRPr="00EB4B9D">
        <w:rPr>
          <w:noProof/>
          <w:position w:val="-12"/>
        </w:rPr>
      </w:r>
      <w:r w:rsidR="007F5B25" w:rsidRPr="00EB4B9D">
        <w:rPr>
          <w:noProof/>
          <w:position w:val="-12"/>
        </w:rPr>
        <w:object w:dxaOrig="340" w:dyaOrig="360" w14:anchorId="5297B93A">
          <v:shape id="_x0000_i1039" type="#_x0000_t75" alt="" style="width:14pt;height:15pt;mso-width-percent:0;mso-height-percent:0;mso-width-percent:0;mso-height-percent:0" o:ole="">
            <v:imagedata r:id="rId36" o:title=""/>
          </v:shape>
          <o:OLEObject Type="Embed" ProgID="Equation.DSMT4" ShapeID="_x0000_i1039" DrawAspect="Content" ObjectID="_1764591502" r:id="rId37"/>
        </w:object>
      </w:r>
      <w:r w:rsidR="00F92021">
        <w:rPr>
          <w:rFonts w:ascii="Calibri" w:hAnsi="Calibri" w:cs="Calibri"/>
          <w:sz w:val="24"/>
          <w:szCs w:val="24"/>
          <w:lang w:eastAsia="en-GB"/>
        </w:rPr>
        <w:t xml:space="preserve"> </w:t>
      </w:r>
      <w:r w:rsidR="00F92021" w:rsidRPr="00754954">
        <w:t xml:space="preserve">is </w:t>
      </w:r>
      <w:r w:rsidR="00754954" w:rsidRPr="00754954">
        <w:t xml:space="preserve">the cumulative </w:t>
      </w:r>
      <w:r w:rsidR="00EC3679" w:rsidRPr="005478EF">
        <w:t xml:space="preserve">LCIA </w:t>
      </w:r>
      <w:r w:rsidR="00754954" w:rsidRPr="00754954">
        <w:t>associated with the transportation of 1 ton of product over a distance of 1 km</w:t>
      </w:r>
      <w:r w:rsidR="00754954">
        <w:t xml:space="preserve">, </w:t>
      </w:r>
      <w:r w:rsidR="007F5B25" w:rsidRPr="00F0164A">
        <w:rPr>
          <w:noProof/>
          <w:position w:val="-14"/>
        </w:rPr>
      </w:r>
      <w:r w:rsidR="007F5B25" w:rsidRPr="00F0164A">
        <w:rPr>
          <w:noProof/>
          <w:position w:val="-14"/>
        </w:rPr>
        <w:object w:dxaOrig="520" w:dyaOrig="380" w14:anchorId="2CF4AD4B">
          <v:shape id="_x0000_i1040" type="#_x0000_t75" alt="" style="width:23pt;height:17pt;mso-width-percent:0;mso-height-percent:0;mso-width-percent:0;mso-height-percent:0" o:ole="">
            <v:imagedata r:id="rId38" o:title=""/>
          </v:shape>
          <o:OLEObject Type="Embed" ProgID="Equation.DSMT4" ShapeID="_x0000_i1040" DrawAspect="Content" ObjectID="_1764591503" r:id="rId39"/>
        </w:object>
      </w:r>
      <w:r w:rsidR="00CF2D57">
        <w:t>,</w:t>
      </w:r>
      <w:r w:rsidR="0032507D">
        <w:t xml:space="preserve"> </w:t>
      </w:r>
      <w:r w:rsidR="007F5B25" w:rsidRPr="00F0164A">
        <w:rPr>
          <w:noProof/>
          <w:position w:val="-14"/>
        </w:rPr>
      </w:r>
      <w:r w:rsidR="007F5B25" w:rsidRPr="00F0164A">
        <w:rPr>
          <w:noProof/>
          <w:position w:val="-14"/>
        </w:rPr>
        <w:object w:dxaOrig="520" w:dyaOrig="380" w14:anchorId="32B2E6F9">
          <v:shape id="_x0000_i1041" type="#_x0000_t75" alt="" style="width:23pt;height:17pt;mso-width-percent:0;mso-height-percent:0;mso-width-percent:0;mso-height-percent:0" o:ole="">
            <v:imagedata r:id="rId40" o:title=""/>
          </v:shape>
          <o:OLEObject Type="Embed" ProgID="Equation.DSMT4" ShapeID="_x0000_i1041" DrawAspect="Content" ObjectID="_1764591504" r:id="rId41"/>
        </w:object>
      </w:r>
      <w:r w:rsidR="00A27E61" w:rsidRPr="002209B5">
        <w:t>and</w:t>
      </w:r>
      <w:r w:rsidR="007F5B25" w:rsidRPr="00F0164A">
        <w:rPr>
          <w:noProof/>
          <w:position w:val="-14"/>
        </w:rPr>
      </w:r>
      <w:r w:rsidR="007F5B25" w:rsidRPr="00F0164A">
        <w:rPr>
          <w:noProof/>
          <w:position w:val="-14"/>
        </w:rPr>
        <w:object w:dxaOrig="840" w:dyaOrig="380" w14:anchorId="218CA4D6">
          <v:shape id="_x0000_i1042" type="#_x0000_t75" alt="" style="width:38pt;height:18pt;mso-width-percent:0;mso-height-percent:0;mso-width-percent:0;mso-height-percent:0" o:ole="">
            <v:imagedata r:id="rId42" o:title=""/>
          </v:shape>
          <o:OLEObject Type="Embed" ProgID="Equation.DSMT4" ShapeID="_x0000_i1042" DrawAspect="Content" ObjectID="_1764591505" r:id="rId43"/>
        </w:object>
      </w:r>
      <w:r w:rsidR="00CF2D57">
        <w:t>,</w:t>
      </w:r>
      <w:r w:rsidR="007F5B25" w:rsidRPr="00F0164A">
        <w:rPr>
          <w:noProof/>
          <w:position w:val="-14"/>
        </w:rPr>
      </w:r>
      <w:r w:rsidR="007F5B25" w:rsidRPr="00F0164A">
        <w:rPr>
          <w:noProof/>
          <w:position w:val="-14"/>
        </w:rPr>
        <w:object w:dxaOrig="820" w:dyaOrig="380" w14:anchorId="71F4B1FC">
          <v:shape id="_x0000_i1043" type="#_x0000_t75" alt="" style="width:36pt;height:16pt;mso-width-percent:0;mso-height-percent:0;mso-width-percent:0;mso-height-percent:0" o:ole="">
            <v:imagedata r:id="rId44" o:title=""/>
          </v:shape>
          <o:OLEObject Type="Embed" ProgID="Equation.DSMT4" ShapeID="_x0000_i1043" DrawAspect="Content" ObjectID="_1764591506" r:id="rId45"/>
        </w:object>
      </w:r>
      <w:r w:rsidR="00045E46">
        <w:rPr>
          <w:rFonts w:ascii="CMMI8" w:hAnsi="CMMI8" w:cs="CMMI8"/>
          <w:i/>
          <w:iCs/>
          <w:sz w:val="16"/>
          <w:szCs w:val="16"/>
          <w:lang w:eastAsia="en-GB"/>
        </w:rPr>
        <w:t xml:space="preserve"> </w:t>
      </w:r>
      <w:r w:rsidR="00045E46" w:rsidRPr="00955BB6">
        <w:t xml:space="preserve">are </w:t>
      </w:r>
      <w:r w:rsidR="00A27E61">
        <w:t xml:space="preserve">the distances and </w:t>
      </w:r>
      <w:r w:rsidR="00A27E61" w:rsidRPr="00955BB6">
        <w:t xml:space="preserve">transported </w:t>
      </w:r>
      <w:r w:rsidR="00A27E61">
        <w:t>flows</w:t>
      </w:r>
      <w:r w:rsidR="00463D28" w:rsidRPr="00955BB6">
        <w:t xml:space="preserve"> from p</w:t>
      </w:r>
      <w:r w:rsidR="00955BB6">
        <w:t>lants</w:t>
      </w:r>
      <w:r w:rsidR="00463D28" w:rsidRPr="00955BB6">
        <w:t xml:space="preserve"> to warehouses </w:t>
      </w:r>
      <w:r w:rsidR="00955BB6" w:rsidRPr="00955BB6">
        <w:t>and from warehouses to market</w:t>
      </w:r>
      <w:r w:rsidR="00955BB6">
        <w:t>s</w:t>
      </w:r>
      <w:r w:rsidR="00955BB6" w:rsidRPr="00955BB6">
        <w:t xml:space="preserve"> </w:t>
      </w:r>
      <w:r w:rsidR="00463D28" w:rsidRPr="00955BB6">
        <w:t>for all timesteps and scenarios</w:t>
      </w:r>
      <w:r w:rsidR="00955BB6" w:rsidRPr="00955BB6">
        <w:t>, respectively</w:t>
      </w:r>
      <w:r w:rsidR="002209B5">
        <w:t xml:space="preserve">. </w:t>
      </w:r>
      <w:r w:rsidR="007F5B25" w:rsidRPr="00D720F9">
        <w:rPr>
          <w:noProof/>
          <w:position w:val="-14"/>
        </w:rPr>
      </w:r>
      <w:r w:rsidR="007F5B25" w:rsidRPr="00D720F9">
        <w:rPr>
          <w:noProof/>
          <w:position w:val="-14"/>
        </w:rPr>
        <w:object w:dxaOrig="420" w:dyaOrig="380" w14:anchorId="02634439">
          <v:shape id="_x0000_i1044" type="#_x0000_t75" alt="" style="width:18pt;height:16pt;mso-width-percent:0;mso-height-percent:0;mso-width-percent:0;mso-height-percent:0" o:ole="">
            <v:imagedata r:id="rId46" o:title=""/>
          </v:shape>
          <o:OLEObject Type="Embed" ProgID="Equation.DSMT4" ShapeID="_x0000_i1044" DrawAspect="Content" ObjectID="_1764591507" r:id="rId47"/>
        </w:object>
      </w:r>
      <w:r w:rsidR="006C0042">
        <w:t>is</w:t>
      </w:r>
      <w:r w:rsidR="002209B5">
        <w:t xml:space="preserve"> th</w:t>
      </w:r>
      <w:r w:rsidR="005478EF">
        <w:t xml:space="preserve">e </w:t>
      </w:r>
      <w:r w:rsidR="00561B04" w:rsidRPr="005478EF">
        <w:t>cumulative LCIA associated with the consumption</w:t>
      </w:r>
      <w:r w:rsidR="006D7C4C" w:rsidRPr="005478EF">
        <w:t xml:space="preserve"> </w:t>
      </w:r>
      <w:r w:rsidR="00561B04" w:rsidRPr="005478EF">
        <w:t>of 1 MJ of energy</w:t>
      </w:r>
      <w:r w:rsidR="005478EF">
        <w:t xml:space="preserve">, </w:t>
      </w:r>
      <w:r w:rsidR="007F5B25" w:rsidRPr="00A456E7">
        <w:rPr>
          <w:noProof/>
          <w:position w:val="-12"/>
        </w:rPr>
      </w:r>
      <w:r w:rsidR="007F5B25" w:rsidRPr="00A456E7">
        <w:rPr>
          <w:noProof/>
          <w:position w:val="-12"/>
        </w:rPr>
        <w:object w:dxaOrig="440" w:dyaOrig="360" w14:anchorId="6480C46A">
          <v:shape id="_x0000_i1045" type="#_x0000_t75" alt="" style="width:18pt;height:14pt;mso-width-percent:0;mso-height-percent:0;mso-width-percent:0;mso-height-percent:0" o:ole="">
            <v:imagedata r:id="rId48" o:title=""/>
          </v:shape>
          <o:OLEObject Type="Embed" ProgID="Equation.DSMT4" ShapeID="_x0000_i1045" DrawAspect="Content" ObjectID="_1764591508" r:id="rId49"/>
        </w:object>
      </w:r>
      <w:r w:rsidR="00A456E7">
        <w:t xml:space="preserve"> denotes </w:t>
      </w:r>
      <w:r w:rsidR="00A456E7" w:rsidRPr="00A456E7">
        <w:t xml:space="preserve">the consumption of energy used by each technology </w:t>
      </w:r>
      <w:proofErr w:type="spellStart"/>
      <w:r w:rsidR="00322E39" w:rsidRPr="000754C5">
        <w:rPr>
          <w:i/>
          <w:iCs/>
        </w:rPr>
        <w:t>i</w:t>
      </w:r>
      <w:proofErr w:type="spellEnd"/>
      <w:r w:rsidR="00A456E7">
        <w:t xml:space="preserve"> and </w:t>
      </w:r>
      <w:r w:rsidR="007F5B25" w:rsidRPr="00387637">
        <w:rPr>
          <w:noProof/>
          <w:position w:val="-16"/>
        </w:rPr>
      </w:r>
      <w:r w:rsidR="007F5B25" w:rsidRPr="00387637">
        <w:rPr>
          <w:noProof/>
          <w:position w:val="-16"/>
        </w:rPr>
        <w:object w:dxaOrig="700" w:dyaOrig="400" w14:anchorId="1F16FDC1">
          <v:shape id="_x0000_i1046" type="#_x0000_t75" alt="" style="width:31pt;height:18pt;mso-width-percent:0;mso-height-percent:0;mso-width-percent:0;mso-height-percent:0" o:ole="">
            <v:imagedata r:id="rId50" o:title=""/>
          </v:shape>
          <o:OLEObject Type="Embed" ProgID="Equation.DSMT4" ShapeID="_x0000_i1046" DrawAspect="Content" ObjectID="_1764591509" r:id="rId51"/>
        </w:object>
      </w:r>
      <w:r w:rsidR="006A6582">
        <w:t xml:space="preserve">the </w:t>
      </w:r>
      <w:r w:rsidR="004710BE" w:rsidRPr="006A6582">
        <w:t xml:space="preserve">amount of chemical </w:t>
      </w:r>
      <w:r w:rsidR="004710BE" w:rsidRPr="000754C5">
        <w:rPr>
          <w:i/>
          <w:iCs/>
        </w:rPr>
        <w:t>j</w:t>
      </w:r>
      <w:r w:rsidR="004710BE" w:rsidRPr="006A6582">
        <w:t xml:space="preserve"> produced at plant </w:t>
      </w:r>
      <w:r w:rsidR="004E742B" w:rsidRPr="000754C5">
        <w:rPr>
          <w:i/>
          <w:iCs/>
        </w:rPr>
        <w:t>p</w:t>
      </w:r>
      <w:r w:rsidR="004E742B">
        <w:t xml:space="preserve"> with technology </w:t>
      </w:r>
      <w:r w:rsidR="004E742B" w:rsidRPr="000754C5">
        <w:rPr>
          <w:i/>
          <w:iCs/>
        </w:rPr>
        <w:t>i</w:t>
      </w:r>
      <w:r w:rsidR="004E742B">
        <w:t xml:space="preserve">. </w:t>
      </w:r>
      <w:r w:rsidR="00781B20">
        <w:t xml:space="preserve">The </w:t>
      </w:r>
      <w:r w:rsidR="00781B20" w:rsidRPr="00781B20">
        <w:t xml:space="preserve">total </w:t>
      </w:r>
      <w:r w:rsidR="00FA499A">
        <w:t>GWP</w:t>
      </w:r>
      <w:r w:rsidR="00781B20" w:rsidRPr="00781B20">
        <w:t xml:space="preserve"> is</w:t>
      </w:r>
      <w:r w:rsidR="00783B12">
        <w:t xml:space="preserve"> calculated as (eq. </w:t>
      </w:r>
      <w:r w:rsidR="00783B12">
        <w:rPr>
          <w:iCs/>
        </w:rPr>
        <w:fldChar w:fldCharType="begin"/>
      </w:r>
      <w:r w:rsidR="00783B12">
        <w:rPr>
          <w:iCs/>
        </w:rPr>
        <w:instrText xml:space="preserve"> GOTOBUTTON ZEqnNum566187  \* MERGEFORMAT </w:instrText>
      </w:r>
      <w:r w:rsidR="00783B12">
        <w:rPr>
          <w:iCs/>
        </w:rPr>
        <w:fldChar w:fldCharType="begin"/>
      </w:r>
      <w:r w:rsidR="00783B12">
        <w:rPr>
          <w:iCs/>
        </w:rPr>
        <w:instrText xml:space="preserve"> REF ZEqnNum566187 \* Charformat \! \* MERGEFORMAT </w:instrText>
      </w:r>
      <w:r w:rsidR="00783B12">
        <w:rPr>
          <w:iCs/>
        </w:rPr>
        <w:fldChar w:fldCharType="separate"/>
      </w:r>
      <w:r w:rsidR="00385F58" w:rsidRPr="00385F58">
        <w:rPr>
          <w:iCs/>
        </w:rPr>
        <w:instrText>(4)</w:instrText>
      </w:r>
      <w:r w:rsidR="00783B12">
        <w:rPr>
          <w:iCs/>
        </w:rPr>
        <w:fldChar w:fldCharType="end"/>
      </w:r>
      <w:r w:rsidR="00783B12">
        <w:rPr>
          <w:iCs/>
        </w:rPr>
        <w:fldChar w:fldCharType="end"/>
      </w:r>
      <w:r w:rsidR="00783B12">
        <w:rPr>
          <w:iCs/>
        </w:rPr>
        <w:t>)</w:t>
      </w:r>
    </w:p>
    <w:p w14:paraId="7A6C141A" w14:textId="7D08EEAD" w:rsidR="00781B20" w:rsidRPr="006248E9" w:rsidRDefault="007F5B25" w:rsidP="00130695">
      <w:pPr>
        <w:pStyle w:val="Els-equation"/>
        <w:spacing w:before="0" w:after="0"/>
      </w:pPr>
      <w:r w:rsidRPr="00973CB4">
        <w:rPr>
          <w:position w:val="-20"/>
        </w:rPr>
      </w:r>
      <w:r w:rsidR="007F5B25" w:rsidRPr="00973CB4">
        <w:rPr>
          <w:position w:val="-20"/>
        </w:rPr>
        <w:object w:dxaOrig="1680" w:dyaOrig="380" w14:anchorId="11612E6C">
          <v:shape id="_x0000_i1047" type="#_x0000_t75" alt="" style="width:99pt;height:23pt;mso-width-percent:0;mso-height-percent:0;mso-width-percent:0;mso-height-percent:0" o:ole="">
            <v:imagedata r:id="rId52" o:title=""/>
          </v:shape>
          <o:OLEObject Type="Embed" ProgID="Equation.DSMT4" ShapeID="_x0000_i1047" DrawAspect="Content" ObjectID="_1764591510" r:id="rId53"/>
        </w:object>
      </w:r>
      <w:r w:rsidR="003F478A">
        <w:tab/>
      </w:r>
      <w:r w:rsidR="00781B20">
        <w:fldChar w:fldCharType="begin"/>
      </w:r>
      <w:r w:rsidR="00781B20">
        <w:instrText xml:space="preserve"> MACROBUTTON MTPlaceRef \* MERGEFORMAT </w:instrText>
      </w:r>
      <w:r w:rsidR="00781B20">
        <w:fldChar w:fldCharType="begin"/>
      </w:r>
      <w:r w:rsidR="00781B20">
        <w:instrText xml:space="preserve"> SEQ MTEqn \h \* MERGEFORMAT </w:instrText>
      </w:r>
      <w:r w:rsidR="00781B20">
        <w:fldChar w:fldCharType="end"/>
      </w:r>
      <w:bookmarkStart w:id="3" w:name="ZEqnNum566187"/>
      <w:r w:rsidR="00781B20">
        <w:instrText>(</w:instrText>
      </w:r>
      <w:r w:rsidR="003875AF">
        <w:fldChar w:fldCharType="begin"/>
      </w:r>
      <w:r w:rsidR="003875AF">
        <w:instrText xml:space="preserve"> SEQ MTEqn \c \* Arabic \* MERGEFORMAT </w:instrText>
      </w:r>
      <w:r w:rsidR="003875AF">
        <w:fldChar w:fldCharType="separate"/>
      </w:r>
      <w:r w:rsidR="00385F58">
        <w:instrText>4</w:instrText>
      </w:r>
      <w:r w:rsidR="003875AF">
        <w:fldChar w:fldCharType="end"/>
      </w:r>
      <w:r w:rsidR="00781B20">
        <w:instrText>)</w:instrText>
      </w:r>
      <w:bookmarkEnd w:id="3"/>
      <w:r w:rsidR="00781B20">
        <w:fldChar w:fldCharType="end"/>
      </w:r>
    </w:p>
    <w:p w14:paraId="6DD816AC" w14:textId="7B2D7E86" w:rsidR="00F37FF4" w:rsidRDefault="00F37FF4" w:rsidP="00635345">
      <w:pPr>
        <w:pStyle w:val="Els-2ndorder-head"/>
      </w:pPr>
      <w:r w:rsidRPr="00F37FF4">
        <w:t>Uncertainty</w:t>
      </w:r>
      <w:r w:rsidR="007B2364">
        <w:t xml:space="preserve"> </w:t>
      </w:r>
      <w:r w:rsidR="001841FC">
        <w:t xml:space="preserve">and scenario generation </w:t>
      </w:r>
    </w:p>
    <w:p w14:paraId="0BDCEF60" w14:textId="146F7A4B" w:rsidR="004505B7" w:rsidRPr="008B2207" w:rsidRDefault="00864DA3" w:rsidP="008B2207">
      <w:pPr>
        <w:pStyle w:val="Els-body-text"/>
      </w:pPr>
      <w:r>
        <w:t xml:space="preserve">The LCI and LCIA parameters </w:t>
      </w:r>
      <w:r w:rsidR="00597185">
        <w:t>are</w:t>
      </w:r>
      <w:r>
        <w:t xml:space="preserve"> obtained from the ECOINVENT database.</w:t>
      </w:r>
      <w:r w:rsidR="00597185">
        <w:t xml:space="preserve"> </w:t>
      </w:r>
      <w:r w:rsidR="00C41FE9" w:rsidRPr="00C41FE9">
        <w:t xml:space="preserve">However, these parameters are uncertain, and the values presented in the database represent </w:t>
      </w:r>
      <w:r w:rsidR="006953BA">
        <w:t xml:space="preserve">their </w:t>
      </w:r>
      <w:r w:rsidR="00C41FE9" w:rsidRPr="00C41FE9">
        <w:t xml:space="preserve">expected values. Analytical information regarding their probability distribution is unavailable. Nonetheless, in accordance with the recommendation by Weidema and Wesnæs (1996), </w:t>
      </w:r>
      <w:r w:rsidR="00794171" w:rsidRPr="00794171">
        <w:t>the</w:t>
      </w:r>
      <w:r w:rsidR="00794171">
        <w:t xml:space="preserve"> </w:t>
      </w:r>
      <w:r w:rsidR="00794171" w:rsidRPr="00794171">
        <w:t xml:space="preserve">parameters </w:t>
      </w:r>
      <w:r w:rsidR="00794171">
        <w:t>can be</w:t>
      </w:r>
      <w:r w:rsidR="00794171" w:rsidRPr="00794171">
        <w:t xml:space="preserve"> modelled using a lognormal distribution, defined by a location parameter μ and an arithmetic scale parameter σ</w:t>
      </w:r>
      <w:r w:rsidR="001F46F1">
        <w:t>.</w:t>
      </w:r>
      <w:r w:rsidR="00C41FE9" w:rsidRPr="00C41FE9">
        <w:t xml:space="preserve"> This allows for the sampling of uncertain parameters, resulting in a set of scenarios used to address the stochastic </w:t>
      </w:r>
      <w:r w:rsidR="00206BE3">
        <w:t>SC</w:t>
      </w:r>
      <w:r w:rsidR="00C41FE9" w:rsidRPr="00C41FE9">
        <w:t xml:space="preserve"> design problem.</w:t>
      </w:r>
      <w:r w:rsidR="001A1C06" w:rsidRPr="004F5913">
        <w:t xml:space="preserve"> </w:t>
      </w:r>
      <w:r w:rsidR="000D327B" w:rsidRPr="004F5913">
        <w:t>T</w:t>
      </w:r>
      <w:r w:rsidR="001A1C06" w:rsidRPr="004F5913">
        <w:t xml:space="preserve">he initial step involves utilizing the correlation matrix and standard deviation of the lognormally distributed uncertain parameters to establish a covariance matrix. Subsequently, this matrix, in conjunction with the Monte Carlo technique, is employed to generate samples of normally distributed correlated random variables. The multivariate cumulative density function of the transformed variables is then computed for the impact factors. Finally, the inverse of this multivariate cumulative density function is calculated to assign a probability to each of the generated samples. Scenarios for the stochastic problem are </w:t>
      </w:r>
      <w:r w:rsidR="004F5913" w:rsidRPr="004F5913">
        <w:t>obtained</w:t>
      </w:r>
      <w:r w:rsidR="001A1C06" w:rsidRPr="004F5913">
        <w:t xml:space="preserve"> by </w:t>
      </w:r>
      <w:proofErr w:type="spellStart"/>
      <w:r w:rsidR="001A1C06" w:rsidRPr="004F5913">
        <w:t>backtransforming</w:t>
      </w:r>
      <w:proofErr w:type="spellEnd"/>
      <w:r w:rsidR="001A1C06" w:rsidRPr="004F5913">
        <w:t xml:space="preserve"> these samples onto the original, lognormally distributed probability spaces.</w:t>
      </w:r>
      <w:r w:rsidR="00BE04C0">
        <w:t xml:space="preserve"> </w:t>
      </w:r>
      <w:r w:rsidR="00FB0F73" w:rsidRPr="00FB0F73">
        <w:t>This methodology for handling correlated uncertainty has been employed in previous studies. For instance, Salcedo-Diaz et al. (2020) optimized a water distribution network considering correlated uncertainty in nodes' demand, and Garcia-Castro et al.</w:t>
      </w:r>
      <w:r w:rsidR="009015D6">
        <w:t xml:space="preserve"> (2023)</w:t>
      </w:r>
      <w:r w:rsidR="00FB0F73" w:rsidRPr="00FB0F73">
        <w:t xml:space="preserve"> addressed the design of </w:t>
      </w:r>
      <w:r w:rsidR="009E6E03">
        <w:t>SC</w:t>
      </w:r>
      <w:r w:rsidR="00FB0F73" w:rsidRPr="00FB0F73">
        <w:t xml:space="preserve"> under correlated uncertainty in energy and carbon prices.</w:t>
      </w:r>
    </w:p>
    <w:p w14:paraId="144DE69D" w14:textId="166EE65A" w:rsidR="008D2649" w:rsidRDefault="003B1DD8" w:rsidP="008D2649">
      <w:pPr>
        <w:pStyle w:val="Els-2ndorder-head"/>
      </w:pPr>
      <w:r>
        <w:t>Solution procedure</w:t>
      </w:r>
    </w:p>
    <w:p w14:paraId="40B6B355" w14:textId="77CFA2C6" w:rsidR="00380274" w:rsidRDefault="008A3D47" w:rsidP="008E6385">
      <w:pPr>
        <w:pStyle w:val="Els-body-text"/>
      </w:pPr>
      <w:r w:rsidRPr="008A3D47">
        <w:t xml:space="preserve">The solution to the </w:t>
      </w:r>
      <w:r w:rsidR="00122743">
        <w:t>MOO</w:t>
      </w:r>
      <w:r w:rsidRPr="008A3D47">
        <w:t xml:space="preserve"> problem can be depicted through a collection of Pareto points</w:t>
      </w:r>
      <w:r w:rsidR="006C27A4" w:rsidRPr="006C27A4">
        <w:t xml:space="preserve">, </w:t>
      </w:r>
      <w:r w:rsidR="00F24422">
        <w:t>each of which represents</w:t>
      </w:r>
      <w:r w:rsidR="006C27A4" w:rsidRPr="006C27A4">
        <w:t xml:space="preserve"> a trade-off between both objectives. </w:t>
      </w:r>
      <w:r w:rsidR="00380274" w:rsidRPr="00277736">
        <w:t>To compute these Pareto points, the ε‐constraint method is utilized</w:t>
      </w:r>
      <w:r w:rsidR="008260DA">
        <w:t xml:space="preserve"> (eq.</w:t>
      </w:r>
      <w:r w:rsidR="008260DA">
        <w:rPr>
          <w:iCs/>
        </w:rPr>
        <w:fldChar w:fldCharType="begin"/>
      </w:r>
      <w:r w:rsidR="008260DA">
        <w:rPr>
          <w:iCs/>
        </w:rPr>
        <w:instrText xml:space="preserve"> GOTOBUTTON ZEqnNum164988  \* MERGEFORMAT </w:instrText>
      </w:r>
      <w:r w:rsidR="008260DA">
        <w:rPr>
          <w:iCs/>
        </w:rPr>
        <w:fldChar w:fldCharType="begin"/>
      </w:r>
      <w:r w:rsidR="008260DA">
        <w:rPr>
          <w:iCs/>
        </w:rPr>
        <w:instrText xml:space="preserve"> REF ZEqnNum164988 \* Charformat \! \* MERGEFORMAT </w:instrText>
      </w:r>
      <w:r w:rsidR="008260DA">
        <w:rPr>
          <w:iCs/>
        </w:rPr>
        <w:fldChar w:fldCharType="separate"/>
      </w:r>
      <w:r w:rsidR="00385F58" w:rsidRPr="00385F58">
        <w:rPr>
          <w:iCs/>
        </w:rPr>
        <w:instrText>(5)</w:instrText>
      </w:r>
      <w:r w:rsidR="008260DA">
        <w:rPr>
          <w:iCs/>
        </w:rPr>
        <w:fldChar w:fldCharType="end"/>
      </w:r>
      <w:r w:rsidR="008260DA">
        <w:rPr>
          <w:iCs/>
        </w:rPr>
        <w:fldChar w:fldCharType="end"/>
      </w:r>
      <w:r w:rsidR="008260DA">
        <w:rPr>
          <w:iCs/>
        </w:rPr>
        <w:t>)</w:t>
      </w:r>
      <w:r w:rsidR="00380274" w:rsidRPr="00277736">
        <w:t xml:space="preserve">, transforming the primary problem into a single‐objective problem that is solved for </w:t>
      </w:r>
      <w:r w:rsidR="00277736">
        <w:t xml:space="preserve">different </w:t>
      </w:r>
      <w:r w:rsidR="00380274" w:rsidRPr="00277736">
        <w:t>values of the ε‐parameter.</w:t>
      </w:r>
    </w:p>
    <w:p w14:paraId="1F325090" w14:textId="3FD79F5E" w:rsidR="00B610B4" w:rsidRDefault="007F5B25" w:rsidP="00E94B2D">
      <w:pPr>
        <w:pStyle w:val="Els-equation"/>
        <w:spacing w:before="0" w:after="0"/>
      </w:pPr>
      <w:r w:rsidRPr="00554245">
        <w:rPr>
          <w:position w:val="-74"/>
        </w:rPr>
      </w:r>
      <w:r w:rsidR="007F5B25" w:rsidRPr="00554245">
        <w:rPr>
          <w:position w:val="-74"/>
        </w:rPr>
        <w:object w:dxaOrig="3540" w:dyaOrig="1560" w14:anchorId="3A2B969E">
          <v:shape id="_x0000_i1048" type="#_x0000_t75" alt="" style="width:191pt;height:85pt;mso-width-percent:0;mso-height-percent:0;mso-width-percent:0;mso-height-percent:0" o:ole="">
            <v:imagedata r:id="rId54" o:title=""/>
          </v:shape>
          <o:OLEObject Type="Embed" ProgID="Equation.DSMT4" ShapeID="_x0000_i1048" DrawAspect="Content" ObjectID="_1764591511" r:id="rId55"/>
        </w:object>
      </w:r>
      <w:r w:rsidR="00D2439C">
        <w:tab/>
      </w:r>
      <w:r w:rsidR="00B610B4">
        <w:fldChar w:fldCharType="begin"/>
      </w:r>
      <w:r w:rsidR="00B610B4">
        <w:instrText xml:space="preserve"> MACROBUTTON MTPlaceRef \* MERGEFORMAT </w:instrText>
      </w:r>
      <w:r w:rsidR="00B610B4">
        <w:fldChar w:fldCharType="begin"/>
      </w:r>
      <w:r w:rsidR="00B610B4">
        <w:instrText xml:space="preserve"> SEQ MTEqn \h \* MERGEFORMAT </w:instrText>
      </w:r>
      <w:r w:rsidR="00B610B4">
        <w:fldChar w:fldCharType="end"/>
      </w:r>
      <w:bookmarkStart w:id="4" w:name="ZEqnNum164988"/>
      <w:r w:rsidR="00B610B4">
        <w:instrText>(</w:instrText>
      </w:r>
      <w:r w:rsidR="003875AF">
        <w:fldChar w:fldCharType="begin"/>
      </w:r>
      <w:r w:rsidR="003875AF">
        <w:instrText xml:space="preserve"> SEQ MTEqn \c \* Arabic \* MERGEFORMAT </w:instrText>
      </w:r>
      <w:r w:rsidR="003875AF">
        <w:fldChar w:fldCharType="separate"/>
      </w:r>
      <w:r w:rsidR="00385F58">
        <w:instrText>5</w:instrText>
      </w:r>
      <w:r w:rsidR="003875AF">
        <w:fldChar w:fldCharType="end"/>
      </w:r>
      <w:r w:rsidR="00B610B4">
        <w:instrText>)</w:instrText>
      </w:r>
      <w:bookmarkEnd w:id="4"/>
      <w:r w:rsidR="00B610B4">
        <w:fldChar w:fldCharType="end"/>
      </w:r>
    </w:p>
    <w:p w14:paraId="144DE6A5" w14:textId="3908A73B" w:rsidR="008D2649" w:rsidRDefault="002B5AF6" w:rsidP="0023404D">
      <w:pPr>
        <w:pStyle w:val="Els-1storder-head"/>
        <w:spacing w:before="200" w:after="120"/>
        <w:rPr>
          <w:lang w:val="en-GB"/>
        </w:rPr>
      </w:pPr>
      <w:r>
        <w:rPr>
          <w:lang w:val="en-GB"/>
        </w:rPr>
        <w:t xml:space="preserve">Results and </w:t>
      </w:r>
      <w:r w:rsidR="00697DAE">
        <w:rPr>
          <w:lang w:val="en-GB"/>
        </w:rPr>
        <w:t xml:space="preserve">discussion </w:t>
      </w:r>
    </w:p>
    <w:p w14:paraId="5197AD5E" w14:textId="55C211D4" w:rsidR="0074347E" w:rsidRDefault="00B423AA" w:rsidP="0074347E">
      <w:pPr>
        <w:pStyle w:val="Els-body-text"/>
      </w:pPr>
      <w:r w:rsidRPr="00B423AA">
        <w:t>Th</w:t>
      </w:r>
      <w:r w:rsidR="001C4F61">
        <w:t>e</w:t>
      </w:r>
      <w:r w:rsidRPr="00B423AA">
        <w:t xml:space="preserve"> MILP</w:t>
      </w:r>
      <w:r w:rsidR="001C4F61">
        <w:t xml:space="preserve"> </w:t>
      </w:r>
      <w:r w:rsidR="00723AF5">
        <w:t>problem formulated</w:t>
      </w:r>
      <w:r w:rsidRPr="00B423AA">
        <w:t xml:space="preserve"> </w:t>
      </w:r>
      <w:r w:rsidR="00723AF5">
        <w:t>has</w:t>
      </w:r>
      <w:r w:rsidRPr="00B423AA">
        <w:t xml:space="preserve"> </w:t>
      </w:r>
      <w:r w:rsidR="00A015EF">
        <w:t xml:space="preserve">been </w:t>
      </w:r>
      <w:r w:rsidRPr="00B423AA">
        <w:t>implemen</w:t>
      </w:r>
      <w:r w:rsidR="00723AF5">
        <w:t>t</w:t>
      </w:r>
      <w:r w:rsidRPr="00B423AA">
        <w:t>ed in the General Algebraic Modeling System (GAMS) and solved to global op</w:t>
      </w:r>
      <w:r w:rsidR="00B31F3C" w:rsidRPr="00B31F3C">
        <w:t>timality using IBMs CPLEX v12.9 optimization algorithm.</w:t>
      </w:r>
      <w:r w:rsidR="00723AF5">
        <w:t xml:space="preserve"> </w:t>
      </w:r>
      <w:r w:rsidR="00833058">
        <w:t>Given</w:t>
      </w:r>
      <w:r w:rsidR="001D4B77" w:rsidRPr="001D4B77">
        <w:t xml:space="preserve"> the vast number of scenarios resulting from the consideration of mean values, standard deviation, and correlation among the 35 impact factors in the database, only the five impact factors with the highest contribution to emissions </w:t>
      </w:r>
      <w:proofErr w:type="gramStart"/>
      <w:r w:rsidR="00DD45A0">
        <w:t>are considered to be</w:t>
      </w:r>
      <w:proofErr w:type="gramEnd"/>
      <w:r w:rsidR="00DD45A0">
        <w:t xml:space="preserve"> correlated and uncertain.</w:t>
      </w:r>
      <w:r w:rsidR="008A731F">
        <w:t xml:space="preserve"> These</w:t>
      </w:r>
      <w:r w:rsidR="004343FF">
        <w:t xml:space="preserve"> imp</w:t>
      </w:r>
      <w:r w:rsidR="00070DC4">
        <w:t>act factors</w:t>
      </w:r>
      <w:r w:rsidR="008A731F">
        <w:t xml:space="preserve"> are </w:t>
      </w:r>
      <w:r w:rsidR="008A731F" w:rsidRPr="00FA1D9F">
        <w:t>carbon dioxide (fossil), carbon monoxide (fossil), dinitrogen monoxide, Methane (biogenic), and Methane (fossil)</w:t>
      </w:r>
      <w:r w:rsidR="00070DC4">
        <w:t xml:space="preserve">, which </w:t>
      </w:r>
      <w:r w:rsidR="00070DC4" w:rsidRPr="00070DC4">
        <w:t>are responsible for more than 99% of the total emissions</w:t>
      </w:r>
      <w:r w:rsidR="00070DC4">
        <w:t>.</w:t>
      </w:r>
      <w:r w:rsidR="00D86C2D">
        <w:t xml:space="preserve"> </w:t>
      </w:r>
      <w:r w:rsidR="00624CF9">
        <w:t>In each simulation, the correlation between several subgroups of the 5 parameters can either be low, medium</w:t>
      </w:r>
      <w:r w:rsidR="006A7CD0">
        <w:t>,</w:t>
      </w:r>
      <w:r w:rsidR="00C4384C">
        <w:t xml:space="preserve"> </w:t>
      </w:r>
      <w:r w:rsidR="00624CF9">
        <w:t>or high</w:t>
      </w:r>
      <w:r w:rsidR="006A7CD0">
        <w:t xml:space="preserve">. </w:t>
      </w:r>
      <w:r w:rsidR="000108E7">
        <w:t xml:space="preserve">This variability results in distinct correlation matrices for each simulation, serving as input for the </w:t>
      </w:r>
      <w:r w:rsidR="00A0740A">
        <w:t xml:space="preserve">sampling </w:t>
      </w:r>
      <w:r w:rsidR="000108E7">
        <w:t>algorithm to generate 170 corresponding scenarios.</w:t>
      </w:r>
      <w:r w:rsidR="00E864A6">
        <w:t xml:space="preserve"> </w:t>
      </w:r>
      <w:r w:rsidR="002B69F4" w:rsidRPr="002B69F4">
        <w:t>The obtained results reveal a pronounced impact of accounting for correlation among the impact factors on the network's performance</w:t>
      </w:r>
      <w:r w:rsidR="002B69F4">
        <w:t xml:space="preserve">. </w:t>
      </w:r>
      <w:r w:rsidR="00E6005F" w:rsidRPr="00E6005F">
        <w:t>Furthermore</w:t>
      </w:r>
      <w:r w:rsidR="00D26E30">
        <w:t>, d</w:t>
      </w:r>
      <w:r w:rsidR="003B683F">
        <w:t>epending on the level of correlation, the economic performance can worsen while maintaining</w:t>
      </w:r>
      <w:r w:rsidR="00D26E30">
        <w:t xml:space="preserve"> </w:t>
      </w:r>
      <w:r w:rsidR="003B683F">
        <w:t xml:space="preserve">the level of emissions. </w:t>
      </w:r>
      <w:r w:rsidR="00AF7995">
        <w:t>T</w:t>
      </w:r>
      <w:r w:rsidR="00AF7995" w:rsidRPr="00AF7995">
        <w:t>herefore, it is crucial to account for correlation among the LCI parameters, as treating them as independent can result in an overestimation of the network's performance.</w:t>
      </w:r>
      <w:r w:rsidR="00B56996">
        <w:t xml:space="preserve"> </w:t>
      </w:r>
      <w:r w:rsidR="00BC7116">
        <w:t>A</w:t>
      </w:r>
      <w:r w:rsidR="008C6E8D">
        <w:t xml:space="preserve"> simulation </w:t>
      </w:r>
      <w:r w:rsidR="00BC7116">
        <w:t>was conducted to pinpoint the two impact factors whose correlation has the most substantial influence on the overall network performance. The findings reveal that these impact factors are carbon dioxide and fossil methane.</w:t>
      </w:r>
      <w:r w:rsidR="00F71932">
        <w:t xml:space="preserve"> </w:t>
      </w:r>
      <w:r w:rsidR="00F71932">
        <w:fldChar w:fldCharType="begin"/>
      </w:r>
      <w:r w:rsidR="00F71932">
        <w:instrText xml:space="preserve"> REF _Ref152069923 \h </w:instrText>
      </w:r>
      <w:r w:rsidR="00F71932">
        <w:fldChar w:fldCharType="separate"/>
      </w:r>
      <w:r w:rsidR="00385F58">
        <w:t xml:space="preserve">Figure </w:t>
      </w:r>
      <w:r w:rsidR="00385F58">
        <w:rPr>
          <w:noProof/>
        </w:rPr>
        <w:t>1</w:t>
      </w:r>
      <w:r w:rsidR="00F71932">
        <w:fldChar w:fldCharType="end"/>
      </w:r>
      <w:r w:rsidR="00F71932">
        <w:t xml:space="preserve"> </w:t>
      </w:r>
      <w:r w:rsidR="0047718F" w:rsidRPr="0047718F">
        <w:t>displays</w:t>
      </w:r>
      <w:r w:rsidR="0047718F">
        <w:t xml:space="preserve"> </w:t>
      </w:r>
      <w:r w:rsidR="00640503">
        <w:t xml:space="preserve">the </w:t>
      </w:r>
      <w:r w:rsidR="0047718F">
        <w:t>P</w:t>
      </w:r>
      <w:r w:rsidR="00640503">
        <w:t>areto curves obtained</w:t>
      </w:r>
      <w:r w:rsidR="0074347E">
        <w:t xml:space="preserve"> </w:t>
      </w:r>
      <w:r w:rsidR="00F410DD" w:rsidRPr="00F410DD">
        <w:t>without correlation and with a notably high correlation factor of 0.98 between carbon dioxide and fossil methane</w:t>
      </w:r>
      <w:r w:rsidR="00640503">
        <w:t>.</w:t>
      </w:r>
      <w:r w:rsidR="008309EE">
        <w:t xml:space="preserve"> I</w:t>
      </w:r>
      <w:r w:rsidR="00D76C90">
        <w:t>t</w:t>
      </w:r>
      <w:r w:rsidR="00A6049D" w:rsidRPr="00A6049D">
        <w:t xml:space="preserve"> is evident that accounting for correlation between these two impact factors results in a poorer economic performance for a given level of emissions in the network.</w:t>
      </w:r>
      <w:bookmarkStart w:id="5" w:name="_Ref151636171"/>
      <w:r w:rsidR="00277B6F">
        <w:t xml:space="preserve"> </w:t>
      </w:r>
    </w:p>
    <w:p w14:paraId="3B1513FF" w14:textId="0AED39AA" w:rsidR="00783349" w:rsidRPr="004268A7" w:rsidRDefault="008D5DC2" w:rsidP="004707B5">
      <w:pPr>
        <w:pStyle w:val="Els-caption"/>
        <w:spacing w:after="0"/>
        <w:jc w:val="center"/>
        <w:rPr>
          <w:sz w:val="12"/>
          <w:szCs w:val="12"/>
        </w:rPr>
      </w:pPr>
      <w:r>
        <w:rPr>
          <w:noProof/>
        </w:rPr>
        <w:drawing>
          <wp:inline distT="0" distB="0" distL="0" distR="0" wp14:anchorId="49C9D69F" wp14:editId="4EDDBAAD">
            <wp:extent cx="3924300" cy="1759454"/>
            <wp:effectExtent l="0" t="0" r="0" b="5715"/>
            <wp:docPr id="2067534138" name="Imagen 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534138" name="Imagen 4" descr="Diagrama&#10;&#10;Descripción generada automáticament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3924300" cy="1759454"/>
                    </a:xfrm>
                    <a:prstGeom prst="rect">
                      <a:avLst/>
                    </a:prstGeom>
                  </pic:spPr>
                </pic:pic>
              </a:graphicData>
            </a:graphic>
          </wp:inline>
        </w:drawing>
      </w:r>
    </w:p>
    <w:p w14:paraId="2285B646" w14:textId="5606B2BE" w:rsidR="00BC7116" w:rsidRDefault="0084776C" w:rsidP="0074335E">
      <w:pPr>
        <w:pStyle w:val="Els-caption"/>
        <w:spacing w:before="60"/>
      </w:pPr>
      <w:bookmarkStart w:id="6" w:name="_Ref152069923"/>
      <w:r>
        <w:t xml:space="preserve">Figure </w:t>
      </w:r>
      <w:r>
        <w:fldChar w:fldCharType="begin"/>
      </w:r>
      <w:r>
        <w:instrText xml:space="preserve"> SEQ Figure \* ARABIC </w:instrText>
      </w:r>
      <w:r>
        <w:fldChar w:fldCharType="separate"/>
      </w:r>
      <w:r w:rsidR="00385F58">
        <w:rPr>
          <w:noProof/>
        </w:rPr>
        <w:t>1</w:t>
      </w:r>
      <w:r>
        <w:fldChar w:fldCharType="end"/>
      </w:r>
      <w:bookmarkEnd w:id="5"/>
      <w:bookmarkEnd w:id="6"/>
      <w:r>
        <w:t xml:space="preserve">. </w:t>
      </w:r>
      <w:r w:rsidR="00F24A27">
        <w:t xml:space="preserve">Pareto curve representing the economic and environmental performance of the network without correlation and with high correlation </w:t>
      </w:r>
      <w:r w:rsidR="00A067C2">
        <w:t>between</w:t>
      </w:r>
      <w:r w:rsidR="00F24A27">
        <w:t xml:space="preserve"> carbon dioxide and fossil methane.</w:t>
      </w:r>
    </w:p>
    <w:p w14:paraId="4C9992FC" w14:textId="6707296C" w:rsidR="00443A36" w:rsidRDefault="00331854" w:rsidP="00CF4242">
      <w:pPr>
        <w:pStyle w:val="Els-body-text"/>
      </w:pPr>
      <w:r>
        <w:t xml:space="preserve">In </w:t>
      </w:r>
      <w:r w:rsidR="00802035">
        <w:t>a</w:t>
      </w:r>
      <w:r>
        <w:t xml:space="preserve"> </w:t>
      </w:r>
      <w:r w:rsidR="004A0013" w:rsidRPr="00012496">
        <w:t xml:space="preserve">subsequent </w:t>
      </w:r>
      <w:r>
        <w:t>simulation, a</w:t>
      </w:r>
      <w:r w:rsidR="00C55E7A">
        <w:t xml:space="preserve"> </w:t>
      </w:r>
      <w:r>
        <w:t xml:space="preserve">high correlation between these two impact factors </w:t>
      </w:r>
      <w:r w:rsidR="00C46A57" w:rsidRPr="00012496">
        <w:t>was exclusively considered in one component of the global warming potential, namely raw material consumption, transportation, and energy consumption.</w:t>
      </w:r>
      <w:r>
        <w:t xml:space="preserve"> </w:t>
      </w:r>
      <w:r w:rsidR="00C66653">
        <w:t xml:space="preserve">The </w:t>
      </w:r>
      <w:r w:rsidR="00C46A57" w:rsidRPr="00012496">
        <w:t>outcomes indicate that</w:t>
      </w:r>
      <w:r w:rsidR="00B707F3">
        <w:t>, as expected,</w:t>
      </w:r>
      <w:r w:rsidR="00C46A57" w:rsidRPr="00012496">
        <w:t xml:space="preserve"> raw material consumption exerts the most significant influence on the overall result</w:t>
      </w:r>
      <w:r>
        <w:t>,</w:t>
      </w:r>
      <w:r w:rsidR="00732625" w:rsidRPr="00012496">
        <w:t xml:space="preserve"> given that the largest proportion of emissions occurs during this stage</w:t>
      </w:r>
      <w:r w:rsidR="00732625">
        <w:t>.</w:t>
      </w:r>
      <w:r w:rsidR="00274940">
        <w:t xml:space="preserve"> </w:t>
      </w:r>
      <w:r w:rsidR="000225CF" w:rsidRPr="000225CF">
        <w:t xml:space="preserve">Finally, the </w:t>
      </w:r>
      <w:r w:rsidR="00EE55C6" w:rsidRPr="00EE55C6">
        <w:t xml:space="preserve">study examined the </w:t>
      </w:r>
      <w:r w:rsidR="000225CF" w:rsidRPr="000225CF">
        <w:t>dispersion of solutions with and without correlation</w:t>
      </w:r>
      <w:r w:rsidR="00254730">
        <w:t xml:space="preserve">, considering three values </w:t>
      </w:r>
      <w:r w:rsidR="00B52933">
        <w:t xml:space="preserve">for the </w:t>
      </w:r>
      <w:r w:rsidR="00B52933" w:rsidRPr="00254730">
        <w:t>σ</w:t>
      </w:r>
      <w:r w:rsidR="00B52933">
        <w:t xml:space="preserve"> </w:t>
      </w:r>
      <w:r w:rsidR="00254730">
        <w:t>parameter</w:t>
      </w:r>
      <w:r w:rsidR="00EB16A9">
        <w:t>:</w:t>
      </w:r>
      <w:r w:rsidR="00B52933">
        <w:t xml:space="preserve"> 1.7</w:t>
      </w:r>
      <w:r w:rsidR="006416B4">
        <w:t xml:space="preserve">, </w:t>
      </w:r>
      <w:r w:rsidR="002A0CEB">
        <w:t>1.487</w:t>
      </w:r>
      <w:r w:rsidR="00EE55C6" w:rsidRPr="00EE55C6">
        <w:t>,</w:t>
      </w:r>
      <w:r w:rsidR="002A0CEB">
        <w:t xml:space="preserve"> </w:t>
      </w:r>
      <w:r w:rsidR="005611AE">
        <w:t>and</w:t>
      </w:r>
      <w:r w:rsidR="002A0CEB">
        <w:t xml:space="preserve"> </w:t>
      </w:r>
      <w:r w:rsidR="00B52933">
        <w:t>1.216</w:t>
      </w:r>
      <w:r w:rsidR="000225CF">
        <w:t>.</w:t>
      </w:r>
      <w:r w:rsidR="00B52933">
        <w:t xml:space="preserve"> </w:t>
      </w:r>
      <w:r w:rsidR="0033245C" w:rsidRPr="0033245C">
        <w:t>Consistently across</w:t>
      </w:r>
      <w:r w:rsidR="00B52933">
        <w:t xml:space="preserve"> </w:t>
      </w:r>
      <w:r w:rsidR="00A66454">
        <w:t xml:space="preserve">all these values, </w:t>
      </w:r>
      <w:r w:rsidR="000C3410">
        <w:t xml:space="preserve">the </w:t>
      </w:r>
      <w:r w:rsidR="002D3F7D">
        <w:t xml:space="preserve">same trend </w:t>
      </w:r>
      <w:r w:rsidR="000C3410">
        <w:t>was observed</w:t>
      </w:r>
      <w:r w:rsidR="00AE34FC">
        <w:t>, that is,</w:t>
      </w:r>
      <w:r w:rsidR="002D3F7D">
        <w:t xml:space="preserve"> </w:t>
      </w:r>
      <w:r w:rsidR="002D3F7D" w:rsidRPr="00AE34FC">
        <w:t xml:space="preserve">the economic performance for a </w:t>
      </w:r>
      <w:r w:rsidR="004B4041">
        <w:t>specific</w:t>
      </w:r>
      <w:r w:rsidR="002D3F7D" w:rsidRPr="00AE34FC">
        <w:t xml:space="preserve"> GWP is more conservative when considering correlation</w:t>
      </w:r>
      <w:r w:rsidR="002D3F7D">
        <w:t>.</w:t>
      </w:r>
      <w:r w:rsidR="00871569">
        <w:t xml:space="preserve"> </w:t>
      </w:r>
      <w:r w:rsidR="00D45CD4" w:rsidRPr="00D45CD4">
        <w:t>Moreover</w:t>
      </w:r>
      <w:r w:rsidR="002D3F7D" w:rsidRPr="00871569">
        <w:t xml:space="preserve">, for lower values of σ, the </w:t>
      </w:r>
      <w:r w:rsidR="00D45CD4" w:rsidRPr="00D45CD4">
        <w:t>resulting</w:t>
      </w:r>
      <w:r w:rsidR="002D3F7D" w:rsidRPr="00871569">
        <w:t xml:space="preserve"> network is more robust </w:t>
      </w:r>
      <w:r w:rsidR="00D45CD4" w:rsidRPr="00D45CD4">
        <w:t>concerning</w:t>
      </w:r>
      <w:r w:rsidR="002D3F7D" w:rsidRPr="00871569">
        <w:t xml:space="preserve"> emissions</w:t>
      </w:r>
      <w:r w:rsidR="00871569" w:rsidRPr="00871569">
        <w:t xml:space="preserve"> </w:t>
      </w:r>
      <w:r w:rsidR="002D3F7D" w:rsidRPr="00871569">
        <w:t xml:space="preserve">but </w:t>
      </w:r>
      <w:r w:rsidR="00D45CD4" w:rsidRPr="00D45CD4">
        <w:t xml:space="preserve">exhibits a </w:t>
      </w:r>
      <w:r w:rsidR="002D3F7D" w:rsidRPr="00871569">
        <w:t>larger variation in economic performance</w:t>
      </w:r>
      <w:r w:rsidR="005726C3">
        <w:t xml:space="preserve"> (</w:t>
      </w:r>
      <w:r w:rsidR="005726C3">
        <w:fldChar w:fldCharType="begin"/>
      </w:r>
      <w:r w:rsidR="005726C3">
        <w:instrText xml:space="preserve"> REF _Ref151649632 \h </w:instrText>
      </w:r>
      <w:r w:rsidR="005726C3">
        <w:fldChar w:fldCharType="separate"/>
      </w:r>
      <w:r w:rsidR="00385F58" w:rsidRPr="00FC74B4">
        <w:t xml:space="preserve">Figure </w:t>
      </w:r>
      <w:r w:rsidR="00385F58">
        <w:rPr>
          <w:noProof/>
        </w:rPr>
        <w:t>2</w:t>
      </w:r>
      <w:r w:rsidR="005726C3">
        <w:fldChar w:fldCharType="end"/>
      </w:r>
      <w:r w:rsidR="005726C3">
        <w:t>)</w:t>
      </w:r>
      <w:r w:rsidR="002D3F7D" w:rsidRPr="00871569">
        <w:t xml:space="preserve">. This </w:t>
      </w:r>
      <w:r w:rsidR="00D45CD4" w:rsidRPr="00D45CD4">
        <w:t>suggests</w:t>
      </w:r>
      <w:r w:rsidR="002D3F7D" w:rsidRPr="00871569">
        <w:t xml:space="preserve"> that σ</w:t>
      </w:r>
      <w:r w:rsidR="00D45CD4" w:rsidRPr="00D45CD4">
        <w:t>,</w:t>
      </w:r>
      <w:r w:rsidR="002D3F7D" w:rsidRPr="00871569">
        <w:t xml:space="preserve"> and </w:t>
      </w:r>
      <w:r w:rsidR="00D45CD4" w:rsidRPr="00D45CD4">
        <w:t>consequently</w:t>
      </w:r>
      <w:r w:rsidR="00F477B1" w:rsidRPr="00871569">
        <w:t xml:space="preserve"> the dispersion of scenarios</w:t>
      </w:r>
      <w:r w:rsidR="00D45CD4" w:rsidRPr="00D45CD4">
        <w:t>, significantly influences</w:t>
      </w:r>
      <w:r w:rsidR="00F477B1" w:rsidRPr="00871569">
        <w:t xml:space="preserve"> the performance of the network</w:t>
      </w:r>
      <w:r w:rsidR="00D45CD4" w:rsidRPr="00D45CD4">
        <w:t>.</w:t>
      </w:r>
    </w:p>
    <w:p w14:paraId="32B536DB" w14:textId="0A0708AE" w:rsidR="00C45BA8" w:rsidRDefault="004050BC" w:rsidP="0009760F">
      <w:pPr>
        <w:pStyle w:val="Els-caption"/>
        <w:spacing w:before="0" w:after="0"/>
        <w:jc w:val="center"/>
      </w:pPr>
      <w:r w:rsidRPr="004050BC">
        <w:rPr>
          <w:noProof/>
          <w:lang w:val="en-GB"/>
        </w:rPr>
        <w:drawing>
          <wp:inline distT="0" distB="0" distL="0" distR="0" wp14:anchorId="4AE4BDBF" wp14:editId="2E7D7AF1">
            <wp:extent cx="2937850" cy="2044800"/>
            <wp:effectExtent l="0" t="0" r="0" b="0"/>
            <wp:docPr id="1505190083"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190083" name="Imagen 1" descr="Interfaz de usuario gráfica, Aplicación&#10;&#10;Descripción generada automáticamente"/>
                    <pic:cNvPicPr/>
                  </pic:nvPicPr>
                  <pic:blipFill>
                    <a:blip r:embed="rId57"/>
                    <a:stretch>
                      <a:fillRect/>
                    </a:stretch>
                  </pic:blipFill>
                  <pic:spPr>
                    <a:xfrm>
                      <a:off x="0" y="0"/>
                      <a:ext cx="2937850" cy="2044800"/>
                    </a:xfrm>
                    <a:prstGeom prst="rect">
                      <a:avLst/>
                    </a:prstGeom>
                  </pic:spPr>
                </pic:pic>
              </a:graphicData>
            </a:graphic>
          </wp:inline>
        </w:drawing>
      </w:r>
    </w:p>
    <w:p w14:paraId="481930BD" w14:textId="38E9BA22" w:rsidR="0080320F" w:rsidRDefault="00FC74B4" w:rsidP="00930C2F">
      <w:pPr>
        <w:pStyle w:val="Els-caption"/>
        <w:spacing w:before="40" w:after="40"/>
        <w:jc w:val="both"/>
      </w:pPr>
      <w:bookmarkStart w:id="7" w:name="_Ref151649632"/>
      <w:r w:rsidRPr="00FC74B4">
        <w:t xml:space="preserve">Figure </w:t>
      </w:r>
      <w:r w:rsidRPr="00FC74B4">
        <w:fldChar w:fldCharType="begin"/>
      </w:r>
      <w:r w:rsidRPr="00FC74B4">
        <w:instrText xml:space="preserve"> SEQ Figure \* ARABIC </w:instrText>
      </w:r>
      <w:r w:rsidRPr="00FC74B4">
        <w:fldChar w:fldCharType="separate"/>
      </w:r>
      <w:r w:rsidR="00385F58">
        <w:rPr>
          <w:noProof/>
        </w:rPr>
        <w:t>2</w:t>
      </w:r>
      <w:r w:rsidRPr="00FC74B4">
        <w:fldChar w:fldCharType="end"/>
      </w:r>
      <w:bookmarkEnd w:id="7"/>
      <w:r w:rsidR="009414CC" w:rsidRPr="00D74BEF">
        <w:t xml:space="preserve">. </w:t>
      </w:r>
      <w:r w:rsidR="00D91685" w:rsidRPr="00D74BEF">
        <w:t xml:space="preserve">Pareto points for the stochastic model </w:t>
      </w:r>
      <w:r w:rsidR="00952C8D">
        <w:t xml:space="preserve">without correlation and </w:t>
      </w:r>
      <w:r w:rsidR="00D91685" w:rsidRPr="00D74BEF">
        <w:t>with correlations of 0.98 between carbon dioxide and fossil methane for σ = 1.7 and 1.216</w:t>
      </w:r>
      <w:r w:rsidR="000C2459">
        <w:t>, respectively</w:t>
      </w:r>
      <w:r w:rsidR="00F20D8F">
        <w:t>.</w:t>
      </w:r>
      <w:r w:rsidR="00D91685" w:rsidRPr="00D74BEF">
        <w:t xml:space="preserve"> </w:t>
      </w:r>
    </w:p>
    <w:p w14:paraId="1AFEA425" w14:textId="554E4FD4" w:rsidR="0080320F" w:rsidRPr="00D74BEF" w:rsidRDefault="007456E4" w:rsidP="007F27A5">
      <w:pPr>
        <w:pStyle w:val="Els-body-text"/>
      </w:pPr>
      <w:r w:rsidRPr="007456E4">
        <w:t xml:space="preserve">In a broad sense, the </w:t>
      </w:r>
      <w:r w:rsidR="00911E82">
        <w:t xml:space="preserve">Pareto </w:t>
      </w:r>
      <w:r w:rsidR="00094A29">
        <w:t xml:space="preserve">optimal set of solutions </w:t>
      </w:r>
      <w:r w:rsidRPr="007456E4">
        <w:t xml:space="preserve">reveal that </w:t>
      </w:r>
      <w:r w:rsidR="00911E82">
        <w:t xml:space="preserve">SC </w:t>
      </w:r>
      <w:r w:rsidRPr="007456E4">
        <w:t xml:space="preserve">strategic decisions, encompassing the </w:t>
      </w:r>
      <w:r w:rsidR="007F5B25">
        <w:t>locations</w:t>
      </w:r>
      <w:r w:rsidRPr="007456E4">
        <w:t xml:space="preserve"> and capacities of its entities, exhibit minimal variations</w:t>
      </w:r>
      <w:r w:rsidR="00911E82">
        <w:t xml:space="preserve"> among them</w:t>
      </w:r>
      <w:r w:rsidRPr="007456E4">
        <w:t xml:space="preserve">. However, </w:t>
      </w:r>
      <w:r w:rsidR="005439F6">
        <w:t>differences</w:t>
      </w:r>
      <w:r w:rsidRPr="007456E4">
        <w:t xml:space="preserve"> </w:t>
      </w:r>
      <w:r w:rsidR="00AB4ACB" w:rsidRPr="007456E4">
        <w:t>surpass</w:t>
      </w:r>
      <w:r w:rsidR="00AB4ACB">
        <w:t>ing</w:t>
      </w:r>
      <w:r w:rsidR="00AB4ACB" w:rsidRPr="007456E4">
        <w:t xml:space="preserve"> a 1% threshold</w:t>
      </w:r>
      <w:r w:rsidR="00AB4ACB" w:rsidRPr="007456E4">
        <w:t xml:space="preserve"> </w:t>
      </w:r>
      <w:r w:rsidRPr="007456E4">
        <w:t>arise in the NPV</w:t>
      </w:r>
      <w:r w:rsidR="00B14E34">
        <w:t xml:space="preserve"> </w:t>
      </w:r>
      <w:r w:rsidRPr="007456E4">
        <w:t xml:space="preserve">and GWP due to fluxes </w:t>
      </w:r>
      <w:r w:rsidR="00B639C5">
        <w:t>between</w:t>
      </w:r>
      <w:r w:rsidRPr="007456E4">
        <w:t xml:space="preserve"> nodes, particularly when accounting for correlations among uncertain parameters that.</w:t>
      </w:r>
    </w:p>
    <w:p w14:paraId="144DE6AE" w14:textId="737EA9F4" w:rsidR="008D2649" w:rsidRDefault="002B5AF6" w:rsidP="00E71AC9">
      <w:pPr>
        <w:pStyle w:val="Els-1storder-head"/>
        <w:spacing w:before="200" w:after="80"/>
        <w:rPr>
          <w:lang w:val="en-GB"/>
        </w:rPr>
      </w:pPr>
      <w:r>
        <w:rPr>
          <w:lang w:val="en-GB"/>
        </w:rPr>
        <w:t>Conclusions</w:t>
      </w:r>
    </w:p>
    <w:p w14:paraId="1970BDBB" w14:textId="5BD9C578" w:rsidR="00B55EFE" w:rsidRDefault="001369C0" w:rsidP="006662B7">
      <w:pPr>
        <w:pStyle w:val="Els-body-text"/>
        <w:rPr>
          <w:highlight w:val="yellow"/>
          <w:lang w:val="en-GB"/>
        </w:rPr>
      </w:pPr>
      <w:r w:rsidRPr="001369C0">
        <w:rPr>
          <w:lang w:val="en-GB"/>
        </w:rPr>
        <w:t xml:space="preserve">In this study, the focus is on the design of sustainable </w:t>
      </w:r>
      <w:r w:rsidR="009E6E03">
        <w:rPr>
          <w:lang w:val="en-GB"/>
        </w:rPr>
        <w:t>SC</w:t>
      </w:r>
      <w:r w:rsidRPr="001369C0">
        <w:rPr>
          <w:lang w:val="en-GB"/>
        </w:rPr>
        <w:t xml:space="preserve"> under correlated uncertainty in the LCI data. The findings reveal that accounting for the correlation between uncertain LCI factors can significantly influence the overall performance of the network</w:t>
      </w:r>
      <w:r w:rsidR="00071469" w:rsidRPr="00B55EFE">
        <w:rPr>
          <w:lang w:val="en-GB"/>
        </w:rPr>
        <w:t xml:space="preserve">. </w:t>
      </w:r>
      <w:r w:rsidR="00D52881">
        <w:rPr>
          <w:lang w:val="en-GB"/>
        </w:rPr>
        <w:t>Not c</w:t>
      </w:r>
      <w:r w:rsidR="00D52881" w:rsidRPr="00D52881">
        <w:rPr>
          <w:lang w:val="en-GB"/>
        </w:rPr>
        <w:t>onsider</w:t>
      </w:r>
      <w:r w:rsidR="00D52881">
        <w:rPr>
          <w:lang w:val="en-GB"/>
        </w:rPr>
        <w:t>ing</w:t>
      </w:r>
      <w:r w:rsidR="00D52881" w:rsidRPr="00D52881">
        <w:rPr>
          <w:lang w:val="en-GB"/>
        </w:rPr>
        <w:t xml:space="preserve"> this correlation may result in a supply chain design that underperforms in potential future scenarios</w:t>
      </w:r>
      <w:r w:rsidR="00867114" w:rsidRPr="00B55EFE">
        <w:rPr>
          <w:lang w:val="en-GB"/>
        </w:rPr>
        <w:t>.</w:t>
      </w:r>
      <w:r w:rsidR="00AA6857" w:rsidRPr="00B55EFE">
        <w:rPr>
          <w:lang w:val="en-GB"/>
        </w:rPr>
        <w:t xml:space="preserve"> </w:t>
      </w:r>
      <w:r w:rsidR="003D7339" w:rsidRPr="003D7339">
        <w:rPr>
          <w:lang w:val="en-GB"/>
        </w:rPr>
        <w:t>Introducing</w:t>
      </w:r>
      <w:r w:rsidR="00867114" w:rsidRPr="003D7339">
        <w:rPr>
          <w:lang w:val="en-GB"/>
        </w:rPr>
        <w:t xml:space="preserve"> correlation among the burdens with the</w:t>
      </w:r>
      <w:r w:rsidR="005D28A3" w:rsidRPr="003D7339">
        <w:rPr>
          <w:lang w:val="en-GB"/>
        </w:rPr>
        <w:t xml:space="preserve"> </w:t>
      </w:r>
      <w:r w:rsidR="00867114" w:rsidRPr="003D7339">
        <w:rPr>
          <w:lang w:val="en-GB"/>
        </w:rPr>
        <w:t xml:space="preserve">highest contribution to overall emissions </w:t>
      </w:r>
      <w:r w:rsidR="003D7339" w:rsidRPr="003D7339">
        <w:rPr>
          <w:lang w:val="en-GB"/>
        </w:rPr>
        <w:t xml:space="preserve">is crucial, as precise </w:t>
      </w:r>
      <w:r w:rsidR="00A74090" w:rsidRPr="003D7339">
        <w:rPr>
          <w:lang w:val="en-GB"/>
        </w:rPr>
        <w:t>modelling</w:t>
      </w:r>
      <w:r w:rsidR="003D7339" w:rsidRPr="003D7339">
        <w:rPr>
          <w:lang w:val="en-GB"/>
        </w:rPr>
        <w:t xml:space="preserve"> of these factors is essential</w:t>
      </w:r>
      <w:r w:rsidR="00CD6151" w:rsidRPr="00B55EFE">
        <w:rPr>
          <w:lang w:val="en-GB"/>
        </w:rPr>
        <w:t>.</w:t>
      </w:r>
      <w:r w:rsidR="00867114" w:rsidRPr="00B55EFE">
        <w:rPr>
          <w:lang w:val="en-GB"/>
        </w:rPr>
        <w:t xml:space="preserve"> </w:t>
      </w:r>
      <w:r w:rsidR="00AE362E" w:rsidRPr="00AE362E">
        <w:rPr>
          <w:lang w:val="en-GB"/>
        </w:rPr>
        <w:t>The results emphasize that considering correlation generally</w:t>
      </w:r>
      <w:r w:rsidR="00867114" w:rsidRPr="00AE362E">
        <w:rPr>
          <w:lang w:val="en-GB"/>
        </w:rPr>
        <w:t xml:space="preserve"> leads to more conservative </w:t>
      </w:r>
      <w:r w:rsidR="00AE362E" w:rsidRPr="00AE362E">
        <w:rPr>
          <w:lang w:val="en-GB"/>
        </w:rPr>
        <w:t>outcomes, implying</w:t>
      </w:r>
      <w:r w:rsidR="00867114" w:rsidRPr="00AE362E">
        <w:rPr>
          <w:lang w:val="en-GB"/>
        </w:rPr>
        <w:t xml:space="preserve"> that the economic performance for a fixed </w:t>
      </w:r>
      <w:r w:rsidR="002F2E28">
        <w:rPr>
          <w:lang w:val="en-GB"/>
        </w:rPr>
        <w:t>GWP</w:t>
      </w:r>
      <w:r w:rsidR="00867114" w:rsidRPr="00AE362E">
        <w:rPr>
          <w:lang w:val="en-GB"/>
        </w:rPr>
        <w:t xml:space="preserve"> may be </w:t>
      </w:r>
      <w:r w:rsidR="00AE362E" w:rsidRPr="00AE362E">
        <w:rPr>
          <w:lang w:val="en-GB"/>
        </w:rPr>
        <w:t>compromised</w:t>
      </w:r>
      <w:r w:rsidR="00867114" w:rsidRPr="00B55EFE">
        <w:rPr>
          <w:lang w:val="en-GB"/>
        </w:rPr>
        <w:t xml:space="preserve">. </w:t>
      </w:r>
      <w:r w:rsidR="00A74090" w:rsidRPr="00A74090">
        <w:rPr>
          <w:lang w:val="en-GB"/>
        </w:rPr>
        <w:t>Additionally, the dispersion of scenarios has a substantial impact on the network's performance</w:t>
      </w:r>
      <w:r w:rsidR="00500871">
        <w:rPr>
          <w:lang w:val="en-GB"/>
        </w:rPr>
        <w:t>.</w:t>
      </w:r>
      <w:r w:rsidR="0042642D" w:rsidRPr="0042642D">
        <w:rPr>
          <w:highlight w:val="yellow"/>
          <w:lang w:val="en-GB"/>
        </w:rPr>
        <w:t xml:space="preserve"> </w:t>
      </w:r>
    </w:p>
    <w:p w14:paraId="58022895" w14:textId="27DE34C1" w:rsidR="00BD7A70" w:rsidRPr="00BD7A70" w:rsidRDefault="00BD7A70" w:rsidP="000F1707">
      <w:pPr>
        <w:pStyle w:val="Els-reference-head"/>
        <w:spacing w:before="40" w:after="0"/>
        <w:rPr>
          <w:sz w:val="20"/>
          <w:szCs w:val="20"/>
        </w:rPr>
      </w:pPr>
      <w:proofErr w:type="spellStart"/>
      <w:r w:rsidRPr="00BD7A70">
        <w:rPr>
          <w:sz w:val="20"/>
          <w:szCs w:val="20"/>
        </w:rPr>
        <w:t>Acknowledments</w:t>
      </w:r>
      <w:proofErr w:type="spellEnd"/>
    </w:p>
    <w:p w14:paraId="5A4C0070" w14:textId="3FEF8BA1" w:rsidR="00BD7A70" w:rsidRPr="00311D1C" w:rsidRDefault="00BD7A70" w:rsidP="006662B7">
      <w:pPr>
        <w:pStyle w:val="Els-body-text"/>
        <w:rPr>
          <w:sz w:val="16"/>
          <w:szCs w:val="16"/>
          <w:highlight w:val="yellow"/>
          <w:lang w:val="en-GB"/>
        </w:rPr>
      </w:pPr>
      <w:r w:rsidRPr="00311D1C">
        <w:rPr>
          <w:sz w:val="16"/>
          <w:szCs w:val="16"/>
          <w:lang w:val="en-GB"/>
        </w:rPr>
        <w:t xml:space="preserve">The authors gratefully acknowledge financial support to the </w:t>
      </w:r>
      <w:proofErr w:type="spellStart"/>
      <w:r w:rsidRPr="00311D1C">
        <w:rPr>
          <w:sz w:val="16"/>
          <w:szCs w:val="16"/>
          <w:lang w:val="en-GB"/>
        </w:rPr>
        <w:t>Generalitat</w:t>
      </w:r>
      <w:proofErr w:type="spellEnd"/>
      <w:r w:rsidRPr="00311D1C">
        <w:rPr>
          <w:sz w:val="16"/>
          <w:szCs w:val="16"/>
          <w:lang w:val="en-GB"/>
        </w:rPr>
        <w:t xml:space="preserve"> </w:t>
      </w:r>
      <w:proofErr w:type="spellStart"/>
      <w:r w:rsidRPr="00311D1C">
        <w:rPr>
          <w:sz w:val="16"/>
          <w:szCs w:val="16"/>
          <w:lang w:val="en-GB"/>
        </w:rPr>
        <w:t>Valenciana</w:t>
      </w:r>
      <w:proofErr w:type="spellEnd"/>
      <w:r w:rsidRPr="00311D1C">
        <w:rPr>
          <w:sz w:val="16"/>
          <w:szCs w:val="16"/>
          <w:lang w:val="en-GB"/>
        </w:rPr>
        <w:t>, Spain, PROMETEO/2020/064 and to the Spanish “</w:t>
      </w:r>
      <w:proofErr w:type="spellStart"/>
      <w:r w:rsidRPr="00311D1C">
        <w:rPr>
          <w:sz w:val="16"/>
          <w:szCs w:val="16"/>
          <w:lang w:val="en-GB"/>
        </w:rPr>
        <w:t>Ministerio</w:t>
      </w:r>
      <w:proofErr w:type="spellEnd"/>
      <w:r w:rsidRPr="00311D1C">
        <w:rPr>
          <w:sz w:val="16"/>
          <w:szCs w:val="16"/>
          <w:lang w:val="en-GB"/>
        </w:rPr>
        <w:t xml:space="preserve"> de </w:t>
      </w:r>
      <w:proofErr w:type="spellStart"/>
      <w:r w:rsidRPr="00311D1C">
        <w:rPr>
          <w:sz w:val="16"/>
          <w:szCs w:val="16"/>
          <w:lang w:val="en-GB"/>
        </w:rPr>
        <w:t>Ciencia</w:t>
      </w:r>
      <w:proofErr w:type="spellEnd"/>
      <w:r w:rsidRPr="00311D1C">
        <w:rPr>
          <w:sz w:val="16"/>
          <w:szCs w:val="16"/>
          <w:lang w:val="en-GB"/>
        </w:rPr>
        <w:t xml:space="preserve"> e </w:t>
      </w:r>
      <w:proofErr w:type="spellStart"/>
      <w:r w:rsidRPr="00311D1C">
        <w:rPr>
          <w:sz w:val="16"/>
          <w:szCs w:val="16"/>
          <w:lang w:val="en-GB"/>
        </w:rPr>
        <w:t>Innovación</w:t>
      </w:r>
      <w:proofErr w:type="spellEnd"/>
      <w:r w:rsidRPr="00311D1C">
        <w:rPr>
          <w:sz w:val="16"/>
          <w:szCs w:val="16"/>
          <w:lang w:val="en-GB"/>
        </w:rPr>
        <w:t>” under project PID2021-124139NB-C21.</w:t>
      </w:r>
    </w:p>
    <w:p w14:paraId="144DE6BF" w14:textId="608D0AD6" w:rsidR="008D2649" w:rsidRDefault="008D2649" w:rsidP="00E71AC9">
      <w:pPr>
        <w:pStyle w:val="Els-reference-head"/>
        <w:spacing w:before="60" w:after="40"/>
      </w:pPr>
      <w:r>
        <w:t>References</w:t>
      </w:r>
    </w:p>
    <w:p w14:paraId="6F3C60F1" w14:textId="362DEFEB" w:rsidR="00DA1763" w:rsidRDefault="00DA1763" w:rsidP="00DA1763">
      <w:pPr>
        <w:pStyle w:val="Els-referenceno-number"/>
        <w:rPr>
          <w:lang w:val="en-US"/>
        </w:rPr>
      </w:pPr>
      <w:r w:rsidRPr="00DA1763">
        <w:rPr>
          <w:lang w:val="en-US"/>
        </w:rPr>
        <w:t>A</w:t>
      </w:r>
      <w:r w:rsidR="00723455">
        <w:rPr>
          <w:lang w:val="en-US"/>
        </w:rPr>
        <w:t>.</w:t>
      </w:r>
      <w:r w:rsidRPr="00DA1763">
        <w:rPr>
          <w:lang w:val="en-US"/>
        </w:rPr>
        <w:t xml:space="preserve"> Azapagic and R</w:t>
      </w:r>
      <w:r w:rsidR="00723455">
        <w:rPr>
          <w:lang w:val="en-US"/>
        </w:rPr>
        <w:t>.</w:t>
      </w:r>
      <w:r w:rsidRPr="00DA1763">
        <w:rPr>
          <w:lang w:val="en-US"/>
        </w:rPr>
        <w:t xml:space="preserve"> Clift. The application of life cycle assessment to process optimisation. Computers</w:t>
      </w:r>
      <w:r>
        <w:rPr>
          <w:lang w:val="en-US"/>
        </w:rPr>
        <w:t xml:space="preserve"> </w:t>
      </w:r>
      <w:r w:rsidRPr="00DA1763">
        <w:rPr>
          <w:lang w:val="en-US"/>
        </w:rPr>
        <w:t>&amp; Chemical Engineering, 23(10):1509–1526, 1999.</w:t>
      </w:r>
    </w:p>
    <w:p w14:paraId="07A44954" w14:textId="3CA5CB1B" w:rsidR="00DA10DD" w:rsidRDefault="00DA10DD" w:rsidP="00DA10DD">
      <w:pPr>
        <w:pStyle w:val="Els-referenceno-number"/>
        <w:rPr>
          <w:lang w:val="en-US"/>
        </w:rPr>
      </w:pPr>
      <w:r w:rsidRPr="00DA10DD">
        <w:rPr>
          <w:lang w:val="en-US"/>
        </w:rPr>
        <w:t>B</w:t>
      </w:r>
      <w:r w:rsidR="000E1168">
        <w:rPr>
          <w:lang w:val="en-US"/>
        </w:rPr>
        <w:t>.</w:t>
      </w:r>
      <w:r w:rsidRPr="00DA10DD">
        <w:rPr>
          <w:lang w:val="en-US"/>
        </w:rPr>
        <w:t xml:space="preserve"> P</w:t>
      </w:r>
      <w:r w:rsidR="000E1168">
        <w:rPr>
          <w:lang w:val="en-US"/>
        </w:rPr>
        <w:t>.</w:t>
      </w:r>
      <w:r w:rsidRPr="00DA10DD">
        <w:rPr>
          <w:lang w:val="en-US"/>
        </w:rPr>
        <w:t xml:space="preserve"> Weidema and M</w:t>
      </w:r>
      <w:r w:rsidR="000E1168">
        <w:rPr>
          <w:lang w:val="en-US"/>
        </w:rPr>
        <w:t>.</w:t>
      </w:r>
      <w:r w:rsidRPr="00DA10DD">
        <w:rPr>
          <w:lang w:val="en-US"/>
        </w:rPr>
        <w:t xml:space="preserve"> S</w:t>
      </w:r>
      <w:r w:rsidR="000E1168">
        <w:rPr>
          <w:lang w:val="en-US"/>
        </w:rPr>
        <w:t>.</w:t>
      </w:r>
      <w:r w:rsidRPr="00DA10DD">
        <w:rPr>
          <w:lang w:val="en-US"/>
        </w:rPr>
        <w:t xml:space="preserve"> Wesnæs. Data quality management for life cycle inventories—an example of using data quality indicators. Journal of Cleaner Production, 4(3):167–174, 1996.</w:t>
      </w:r>
    </w:p>
    <w:p w14:paraId="558F222C" w14:textId="7ADA8EBB" w:rsidR="002C2C6F" w:rsidRDefault="002C2C6F" w:rsidP="002C2C6F">
      <w:pPr>
        <w:pStyle w:val="Els-referenceno-number"/>
        <w:rPr>
          <w:lang w:val="en-US"/>
        </w:rPr>
      </w:pPr>
      <w:r w:rsidRPr="007105FA">
        <w:rPr>
          <w:lang w:val="en-US"/>
        </w:rPr>
        <w:t xml:space="preserve">Ecoinvent database. </w:t>
      </w:r>
      <w:hyperlink r:id="rId58" w:history="1">
        <w:r w:rsidRPr="00755812">
          <w:rPr>
            <w:rStyle w:val="Hipervnculo"/>
            <w:lang w:val="en-US"/>
          </w:rPr>
          <w:t>https://ecoinvent.org</w:t>
        </w:r>
      </w:hyperlink>
      <w:r w:rsidRPr="007105FA">
        <w:rPr>
          <w:lang w:val="en-US"/>
        </w:rPr>
        <w:t>.</w:t>
      </w:r>
    </w:p>
    <w:p w14:paraId="3B81B457" w14:textId="5FE4C5F2" w:rsidR="00A84B3F" w:rsidRPr="003449E1" w:rsidRDefault="00A84B3F" w:rsidP="00A84B3F">
      <w:pPr>
        <w:pStyle w:val="Els-referenceno-number"/>
        <w:rPr>
          <w:lang w:val="en-US"/>
        </w:rPr>
      </w:pPr>
      <w:r w:rsidRPr="00C94857">
        <w:rPr>
          <w:lang w:val="en-US"/>
        </w:rPr>
        <w:t>F</w:t>
      </w:r>
      <w:r w:rsidR="00A33D3D" w:rsidRPr="00C94857">
        <w:rPr>
          <w:lang w:val="en-US"/>
        </w:rPr>
        <w:t>.</w:t>
      </w:r>
      <w:r w:rsidRPr="00C94857">
        <w:rPr>
          <w:lang w:val="en-US"/>
        </w:rPr>
        <w:t xml:space="preserve"> L</w:t>
      </w:r>
      <w:r w:rsidR="00A33D3D" w:rsidRPr="00C94857">
        <w:rPr>
          <w:lang w:val="en-US"/>
        </w:rPr>
        <w:t>.</w:t>
      </w:r>
      <w:r w:rsidRPr="00C94857">
        <w:rPr>
          <w:lang w:val="en-US"/>
        </w:rPr>
        <w:t xml:space="preserve"> Garcia-Castro, R</w:t>
      </w:r>
      <w:r w:rsidR="00A33D3D" w:rsidRPr="00C94857">
        <w:rPr>
          <w:lang w:val="en-US"/>
        </w:rPr>
        <w:t>.</w:t>
      </w:r>
      <w:r w:rsidRPr="00C94857">
        <w:rPr>
          <w:lang w:val="en-US"/>
        </w:rPr>
        <w:t xml:space="preserve"> Ruiz-Femenia, R</w:t>
      </w:r>
      <w:r w:rsidR="00A33D3D" w:rsidRPr="00C94857">
        <w:rPr>
          <w:lang w:val="en-US"/>
        </w:rPr>
        <w:t>.</w:t>
      </w:r>
      <w:r w:rsidRPr="00C94857">
        <w:rPr>
          <w:lang w:val="en-US"/>
        </w:rPr>
        <w:t xml:space="preserve"> Salcedo-Diaz</w:t>
      </w:r>
      <w:r w:rsidR="00C921C7" w:rsidRPr="00C94857">
        <w:rPr>
          <w:lang w:val="en-US"/>
        </w:rPr>
        <w:t xml:space="preserve"> and</w:t>
      </w:r>
      <w:r w:rsidRPr="00C94857">
        <w:rPr>
          <w:lang w:val="en-US"/>
        </w:rPr>
        <w:t xml:space="preserve"> J</w:t>
      </w:r>
      <w:r w:rsidR="00A33D3D" w:rsidRPr="00C94857">
        <w:rPr>
          <w:lang w:val="en-US"/>
        </w:rPr>
        <w:t>.</w:t>
      </w:r>
      <w:r w:rsidRPr="00C94857">
        <w:rPr>
          <w:lang w:val="en-US"/>
        </w:rPr>
        <w:t xml:space="preserve"> A. Caballlero. </w:t>
      </w:r>
      <w:r w:rsidRPr="003449E1">
        <w:rPr>
          <w:lang w:val="en-US"/>
        </w:rPr>
        <w:t>Sustainable supply chain design under correlated uncertainty in energy and</w:t>
      </w:r>
      <w:r>
        <w:rPr>
          <w:lang w:val="en-US"/>
        </w:rPr>
        <w:t xml:space="preserve"> </w:t>
      </w:r>
      <w:r w:rsidRPr="003449E1">
        <w:rPr>
          <w:lang w:val="en-US"/>
        </w:rPr>
        <w:t>carbon prices. Journal of Cleaner Production 414, 137612, 2023.</w:t>
      </w:r>
    </w:p>
    <w:p w14:paraId="46588B1D" w14:textId="77777777" w:rsidR="00B47825" w:rsidRDefault="00723455" w:rsidP="00B47825">
      <w:pPr>
        <w:pStyle w:val="Els-referenceno-number"/>
        <w:rPr>
          <w:lang w:val="en-US"/>
        </w:rPr>
      </w:pPr>
      <w:r>
        <w:rPr>
          <w:lang w:val="en-US"/>
        </w:rPr>
        <w:t>G.</w:t>
      </w:r>
      <w:r w:rsidR="00021022" w:rsidRPr="005D3BF2">
        <w:rPr>
          <w:lang w:val="en-US"/>
        </w:rPr>
        <w:t xml:space="preserve"> Guillén‐Gosálbez and </w:t>
      </w:r>
      <w:r>
        <w:rPr>
          <w:lang w:val="en-US"/>
        </w:rPr>
        <w:t>I.</w:t>
      </w:r>
      <w:r w:rsidR="00021022" w:rsidRPr="005D3BF2">
        <w:rPr>
          <w:lang w:val="en-US"/>
        </w:rPr>
        <w:t xml:space="preserve"> Grossmann. </w:t>
      </w:r>
      <w:r w:rsidR="00021022" w:rsidRPr="00021022">
        <w:rPr>
          <w:lang w:val="en-US"/>
        </w:rPr>
        <w:t>Optimal design and planning of sustainable</w:t>
      </w:r>
      <w:r w:rsidR="000C7EA0">
        <w:rPr>
          <w:lang w:val="en-US"/>
        </w:rPr>
        <w:t xml:space="preserve"> </w:t>
      </w:r>
      <w:r w:rsidR="00021022" w:rsidRPr="00021022">
        <w:rPr>
          <w:lang w:val="en-US"/>
        </w:rPr>
        <w:t>chemical supply chains under uncertainty. AIChE Journal, 55:99 – 121, 01 2009.</w:t>
      </w:r>
    </w:p>
    <w:p w14:paraId="6AC003B5" w14:textId="3DDF9B60" w:rsidR="008D2649" w:rsidRDefault="00A33D3D" w:rsidP="00B47825">
      <w:pPr>
        <w:pStyle w:val="Els-referenceno-number"/>
        <w:rPr>
          <w:lang w:val="en-US"/>
        </w:rPr>
      </w:pPr>
      <w:r w:rsidRPr="003449E1">
        <w:rPr>
          <w:lang w:val="en-US"/>
        </w:rPr>
        <w:t>R.</w:t>
      </w:r>
      <w:r>
        <w:rPr>
          <w:lang w:val="en-US"/>
        </w:rPr>
        <w:t xml:space="preserve"> </w:t>
      </w:r>
      <w:r w:rsidR="003449E1" w:rsidRPr="003449E1">
        <w:rPr>
          <w:lang w:val="en-US"/>
        </w:rPr>
        <w:t xml:space="preserve">Salcedo-Díaz, </w:t>
      </w:r>
      <w:r w:rsidRPr="003449E1">
        <w:rPr>
          <w:lang w:val="en-US"/>
        </w:rPr>
        <w:t>R.</w:t>
      </w:r>
      <w:r w:rsidR="003449E1" w:rsidRPr="003449E1">
        <w:rPr>
          <w:lang w:val="en-US"/>
        </w:rPr>
        <w:t xml:space="preserve"> Ruiz-Femenia, </w:t>
      </w:r>
      <w:r w:rsidRPr="003449E1">
        <w:rPr>
          <w:lang w:val="en-US"/>
        </w:rPr>
        <w:t>J.A.</w:t>
      </w:r>
      <w:r>
        <w:rPr>
          <w:lang w:val="en-US"/>
        </w:rPr>
        <w:t xml:space="preserve"> </w:t>
      </w:r>
      <w:r w:rsidR="003449E1" w:rsidRPr="003449E1">
        <w:rPr>
          <w:lang w:val="en-US"/>
        </w:rPr>
        <w:t>Caballero,</w:t>
      </w:r>
      <w:r w:rsidR="000E1168">
        <w:rPr>
          <w:lang w:val="en-US"/>
        </w:rPr>
        <w:t xml:space="preserve"> and</w:t>
      </w:r>
      <w:r w:rsidR="003449E1" w:rsidRPr="003449E1">
        <w:rPr>
          <w:lang w:val="en-US"/>
        </w:rPr>
        <w:t xml:space="preserve"> </w:t>
      </w:r>
      <w:r w:rsidRPr="003449E1">
        <w:rPr>
          <w:lang w:val="en-US"/>
        </w:rPr>
        <w:t>M.A.S.S.</w:t>
      </w:r>
      <w:r>
        <w:rPr>
          <w:lang w:val="en-US"/>
        </w:rPr>
        <w:t xml:space="preserve"> </w:t>
      </w:r>
      <w:r w:rsidR="003449E1" w:rsidRPr="003449E1">
        <w:rPr>
          <w:lang w:val="en-US"/>
        </w:rPr>
        <w:t>Ravagnani, Water Distribution Network Optimization Considering Uncertainties in the Nodes Demands. Computer Aided Chemical Engineering, 48, 1183–1188, 2020.</w:t>
      </w:r>
    </w:p>
    <w:sectPr w:rsidR="008D2649" w:rsidSect="008B0184">
      <w:headerReference w:type="even" r:id="rId59"/>
      <w:headerReference w:type="default" r:id="rId60"/>
      <w:headerReference w:type="first" r:id="rId61"/>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B95D5" w14:textId="77777777" w:rsidR="004E5E9D" w:rsidRDefault="004E5E9D">
      <w:r>
        <w:separator/>
      </w:r>
    </w:p>
  </w:endnote>
  <w:endnote w:type="continuationSeparator" w:id="0">
    <w:p w14:paraId="06897D7F" w14:textId="77777777" w:rsidR="004E5E9D" w:rsidRDefault="004E5E9D">
      <w:r>
        <w:continuationSeparator/>
      </w:r>
    </w:p>
  </w:endnote>
  <w:endnote w:type="continuationNotice" w:id="1">
    <w:p w14:paraId="1289A29F" w14:textId="77777777" w:rsidR="004E5E9D" w:rsidRDefault="004E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MMI8">
    <w:altName w:val="Calibri"/>
    <w:panose1 w:val="020B0604020202020204"/>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AF687" w14:textId="77777777" w:rsidR="004E5E9D" w:rsidRDefault="004E5E9D">
      <w:r>
        <w:separator/>
      </w:r>
    </w:p>
  </w:footnote>
  <w:footnote w:type="continuationSeparator" w:id="0">
    <w:p w14:paraId="5B864B9A" w14:textId="77777777" w:rsidR="004E5E9D" w:rsidRDefault="004E5E9D">
      <w:r>
        <w:continuationSeparator/>
      </w:r>
    </w:p>
  </w:footnote>
  <w:footnote w:type="continuationNotice" w:id="1">
    <w:p w14:paraId="46E1E267" w14:textId="77777777" w:rsidR="004E5E9D" w:rsidRDefault="004E5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D3E74E8" w:rsidR="00DD3D9E" w:rsidRPr="005D42D2" w:rsidRDefault="00DD3D9E">
    <w:pPr>
      <w:pStyle w:val="Encabezado"/>
      <w:tabs>
        <w:tab w:val="clear" w:pos="7200"/>
        <w:tab w:val="right" w:pos="7088"/>
      </w:tabs>
      <w:rPr>
        <w:lang w:val="es-ES"/>
      </w:rPr>
    </w:pPr>
    <w:r>
      <w:rPr>
        <w:rStyle w:val="Nmerodepgina"/>
      </w:rPr>
      <w:tab/>
    </w:r>
    <w:r>
      <w:rPr>
        <w:rStyle w:val="Nmerodepgina"/>
        <w:i/>
      </w:rPr>
      <w:tab/>
    </w:r>
    <w:r w:rsidR="005D42D2" w:rsidRPr="005D42D2">
      <w:rPr>
        <w:i/>
        <w:lang w:val="es-ES"/>
      </w:rPr>
      <w:t>R. Salcedo-Diaz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CD69937" w:rsidR="00DD3D9E" w:rsidRDefault="005D42D2">
    <w:pPr>
      <w:pStyle w:val="Encabezado"/>
      <w:tabs>
        <w:tab w:val="clear" w:pos="7200"/>
        <w:tab w:val="right" w:pos="7088"/>
      </w:tabs>
      <w:jc w:val="right"/>
      <w:rPr>
        <w:sz w:val="24"/>
      </w:rPr>
    </w:pPr>
    <w:r w:rsidRPr="005D42D2">
      <w:rPr>
        <w:i/>
      </w:rPr>
      <w:t>Supply Chains Design for Sustainability: Addressing Correlated Uncertainty in Life Cycle Inventory</w:t>
    </w:r>
    <w:r w:rsidR="00DD3D9E">
      <w:rPr>
        <w:rStyle w:val="Nmerodepgina"/>
        <w:i/>
        <w:sz w:val="24"/>
      </w:rPr>
      <w:tab/>
    </w:r>
    <w:r w:rsidR="00DD3D9E">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1BB0A868"/>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 w:numId="19" w16cid:durableId="1869564155">
    <w:abstractNumId w:val="4"/>
  </w:num>
  <w:num w:numId="20" w16cid:durableId="1876232215">
    <w:abstractNumId w:val="4"/>
  </w:num>
  <w:num w:numId="21" w16cid:durableId="986132891">
    <w:abstractNumId w:val="4"/>
  </w:num>
  <w:num w:numId="22" w16cid:durableId="510946647">
    <w:abstractNumId w:val="4"/>
  </w:num>
  <w:num w:numId="23" w16cid:durableId="333185670">
    <w:abstractNumId w:val="4"/>
  </w:num>
  <w:num w:numId="24" w16cid:durableId="211113217">
    <w:abstractNumId w:val="4"/>
  </w:num>
  <w:num w:numId="25" w16cid:durableId="273247645">
    <w:abstractNumId w:val="4"/>
  </w:num>
  <w:num w:numId="26" w16cid:durableId="1600412401">
    <w:abstractNumId w:val="4"/>
  </w:num>
  <w:num w:numId="27" w16cid:durableId="1874423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6139"/>
    <w:rsid w:val="00006FC8"/>
    <w:rsid w:val="000108E7"/>
    <w:rsid w:val="00012496"/>
    <w:rsid w:val="0001379F"/>
    <w:rsid w:val="00014299"/>
    <w:rsid w:val="00015365"/>
    <w:rsid w:val="00015D31"/>
    <w:rsid w:val="00017B22"/>
    <w:rsid w:val="00021022"/>
    <w:rsid w:val="000218A5"/>
    <w:rsid w:val="00021A91"/>
    <w:rsid w:val="000225CF"/>
    <w:rsid w:val="00023A7B"/>
    <w:rsid w:val="0003174B"/>
    <w:rsid w:val="00032360"/>
    <w:rsid w:val="0003444D"/>
    <w:rsid w:val="00035B1D"/>
    <w:rsid w:val="00037EB9"/>
    <w:rsid w:val="000425E1"/>
    <w:rsid w:val="00045447"/>
    <w:rsid w:val="00045E46"/>
    <w:rsid w:val="00051B76"/>
    <w:rsid w:val="00054DA6"/>
    <w:rsid w:val="00061BA7"/>
    <w:rsid w:val="00063D06"/>
    <w:rsid w:val="000663A9"/>
    <w:rsid w:val="00070DC4"/>
    <w:rsid w:val="00071469"/>
    <w:rsid w:val="000754C5"/>
    <w:rsid w:val="00081E91"/>
    <w:rsid w:val="000835CB"/>
    <w:rsid w:val="000849E3"/>
    <w:rsid w:val="00094A29"/>
    <w:rsid w:val="0009760F"/>
    <w:rsid w:val="000A56FF"/>
    <w:rsid w:val="000A75C7"/>
    <w:rsid w:val="000B3526"/>
    <w:rsid w:val="000C2459"/>
    <w:rsid w:val="000C3410"/>
    <w:rsid w:val="000C67BF"/>
    <w:rsid w:val="000C6DF9"/>
    <w:rsid w:val="000C7EA0"/>
    <w:rsid w:val="000D0124"/>
    <w:rsid w:val="000D0B41"/>
    <w:rsid w:val="000D17CC"/>
    <w:rsid w:val="000D327B"/>
    <w:rsid w:val="000D3813"/>
    <w:rsid w:val="000D3D9B"/>
    <w:rsid w:val="000D6270"/>
    <w:rsid w:val="000D62F3"/>
    <w:rsid w:val="000E1168"/>
    <w:rsid w:val="000F1707"/>
    <w:rsid w:val="000F33A9"/>
    <w:rsid w:val="000F3901"/>
    <w:rsid w:val="00103541"/>
    <w:rsid w:val="0010677F"/>
    <w:rsid w:val="0011335B"/>
    <w:rsid w:val="001150E3"/>
    <w:rsid w:val="00117111"/>
    <w:rsid w:val="00122743"/>
    <w:rsid w:val="00123189"/>
    <w:rsid w:val="0012325A"/>
    <w:rsid w:val="001265D8"/>
    <w:rsid w:val="00126B09"/>
    <w:rsid w:val="00130193"/>
    <w:rsid w:val="00130695"/>
    <w:rsid w:val="0013367A"/>
    <w:rsid w:val="00134225"/>
    <w:rsid w:val="001369C0"/>
    <w:rsid w:val="0013759B"/>
    <w:rsid w:val="00143BB8"/>
    <w:rsid w:val="00146755"/>
    <w:rsid w:val="001502A6"/>
    <w:rsid w:val="0016032F"/>
    <w:rsid w:val="00165271"/>
    <w:rsid w:val="001658CA"/>
    <w:rsid w:val="00165CB2"/>
    <w:rsid w:val="00167567"/>
    <w:rsid w:val="001679BB"/>
    <w:rsid w:val="00167BD6"/>
    <w:rsid w:val="00174A51"/>
    <w:rsid w:val="00180347"/>
    <w:rsid w:val="00183A23"/>
    <w:rsid w:val="001841FC"/>
    <w:rsid w:val="00186FEB"/>
    <w:rsid w:val="001879F6"/>
    <w:rsid w:val="001A0F79"/>
    <w:rsid w:val="001A110F"/>
    <w:rsid w:val="001A1C06"/>
    <w:rsid w:val="001A54EF"/>
    <w:rsid w:val="001A6790"/>
    <w:rsid w:val="001A7EF5"/>
    <w:rsid w:val="001B54FF"/>
    <w:rsid w:val="001C0148"/>
    <w:rsid w:val="001C482C"/>
    <w:rsid w:val="001C4F61"/>
    <w:rsid w:val="001C5506"/>
    <w:rsid w:val="001C5870"/>
    <w:rsid w:val="001C757E"/>
    <w:rsid w:val="001D3100"/>
    <w:rsid w:val="001D4B77"/>
    <w:rsid w:val="001D691F"/>
    <w:rsid w:val="001D7F92"/>
    <w:rsid w:val="001E4BD2"/>
    <w:rsid w:val="001F0DF6"/>
    <w:rsid w:val="001F3AF4"/>
    <w:rsid w:val="001F46F1"/>
    <w:rsid w:val="001F5B30"/>
    <w:rsid w:val="00202C7D"/>
    <w:rsid w:val="00203762"/>
    <w:rsid w:val="0020390F"/>
    <w:rsid w:val="00206BE3"/>
    <w:rsid w:val="002104C2"/>
    <w:rsid w:val="00210B2C"/>
    <w:rsid w:val="00215495"/>
    <w:rsid w:val="00217725"/>
    <w:rsid w:val="002209B5"/>
    <w:rsid w:val="00224174"/>
    <w:rsid w:val="0022652E"/>
    <w:rsid w:val="0023404D"/>
    <w:rsid w:val="0023600F"/>
    <w:rsid w:val="002378F1"/>
    <w:rsid w:val="00241ADF"/>
    <w:rsid w:val="00241B09"/>
    <w:rsid w:val="0024591E"/>
    <w:rsid w:val="00246AC8"/>
    <w:rsid w:val="00254730"/>
    <w:rsid w:val="00256331"/>
    <w:rsid w:val="0026065F"/>
    <w:rsid w:val="00264926"/>
    <w:rsid w:val="00264A6D"/>
    <w:rsid w:val="0026518B"/>
    <w:rsid w:val="002672E1"/>
    <w:rsid w:val="0027179E"/>
    <w:rsid w:val="002743C4"/>
    <w:rsid w:val="00274940"/>
    <w:rsid w:val="00274ABA"/>
    <w:rsid w:val="00277736"/>
    <w:rsid w:val="00277B6F"/>
    <w:rsid w:val="002801D1"/>
    <w:rsid w:val="00291E5C"/>
    <w:rsid w:val="00293F88"/>
    <w:rsid w:val="0029639F"/>
    <w:rsid w:val="002972C8"/>
    <w:rsid w:val="00297672"/>
    <w:rsid w:val="002A0CEB"/>
    <w:rsid w:val="002A1EFE"/>
    <w:rsid w:val="002A32BC"/>
    <w:rsid w:val="002A3DFC"/>
    <w:rsid w:val="002A4727"/>
    <w:rsid w:val="002A4875"/>
    <w:rsid w:val="002B5AF6"/>
    <w:rsid w:val="002B69F4"/>
    <w:rsid w:val="002B6B7C"/>
    <w:rsid w:val="002B7C27"/>
    <w:rsid w:val="002C2C6F"/>
    <w:rsid w:val="002D141D"/>
    <w:rsid w:val="002D1F2B"/>
    <w:rsid w:val="002D340D"/>
    <w:rsid w:val="002D3F7D"/>
    <w:rsid w:val="002D4311"/>
    <w:rsid w:val="002D58EC"/>
    <w:rsid w:val="002D7A89"/>
    <w:rsid w:val="002E0C7C"/>
    <w:rsid w:val="002F0415"/>
    <w:rsid w:val="002F0C78"/>
    <w:rsid w:val="002F1358"/>
    <w:rsid w:val="002F2E28"/>
    <w:rsid w:val="002F41B4"/>
    <w:rsid w:val="003047E7"/>
    <w:rsid w:val="00311D1C"/>
    <w:rsid w:val="00322E39"/>
    <w:rsid w:val="0032507D"/>
    <w:rsid w:val="00325DBE"/>
    <w:rsid w:val="00331854"/>
    <w:rsid w:val="0033245C"/>
    <w:rsid w:val="003449E1"/>
    <w:rsid w:val="003519DA"/>
    <w:rsid w:val="00353210"/>
    <w:rsid w:val="003546D3"/>
    <w:rsid w:val="003646B3"/>
    <w:rsid w:val="00367292"/>
    <w:rsid w:val="00371B38"/>
    <w:rsid w:val="00373D07"/>
    <w:rsid w:val="0037528C"/>
    <w:rsid w:val="0037562D"/>
    <w:rsid w:val="003767F4"/>
    <w:rsid w:val="00377F5F"/>
    <w:rsid w:val="00380274"/>
    <w:rsid w:val="00383617"/>
    <w:rsid w:val="00385F58"/>
    <w:rsid w:val="00387637"/>
    <w:rsid w:val="0039307F"/>
    <w:rsid w:val="00395E05"/>
    <w:rsid w:val="003A41FA"/>
    <w:rsid w:val="003A7B78"/>
    <w:rsid w:val="003B1DD8"/>
    <w:rsid w:val="003B2372"/>
    <w:rsid w:val="003B5084"/>
    <w:rsid w:val="003B683F"/>
    <w:rsid w:val="003B7E6C"/>
    <w:rsid w:val="003C7D6C"/>
    <w:rsid w:val="003D0BEF"/>
    <w:rsid w:val="003D1582"/>
    <w:rsid w:val="003D1AB2"/>
    <w:rsid w:val="003D21C3"/>
    <w:rsid w:val="003D2283"/>
    <w:rsid w:val="003D339E"/>
    <w:rsid w:val="003D6B2E"/>
    <w:rsid w:val="003D7339"/>
    <w:rsid w:val="003D7E4C"/>
    <w:rsid w:val="003E41C2"/>
    <w:rsid w:val="003E73FF"/>
    <w:rsid w:val="003F11D7"/>
    <w:rsid w:val="003F478A"/>
    <w:rsid w:val="003F7377"/>
    <w:rsid w:val="00400FEE"/>
    <w:rsid w:val="0040486C"/>
    <w:rsid w:val="004050BC"/>
    <w:rsid w:val="00407398"/>
    <w:rsid w:val="00411D24"/>
    <w:rsid w:val="00412C21"/>
    <w:rsid w:val="00422D64"/>
    <w:rsid w:val="0042642D"/>
    <w:rsid w:val="004268A7"/>
    <w:rsid w:val="00427D1D"/>
    <w:rsid w:val="00432390"/>
    <w:rsid w:val="004326C1"/>
    <w:rsid w:val="004343FF"/>
    <w:rsid w:val="004378E0"/>
    <w:rsid w:val="00443A36"/>
    <w:rsid w:val="00445FDE"/>
    <w:rsid w:val="0044703C"/>
    <w:rsid w:val="004505B7"/>
    <w:rsid w:val="0045061C"/>
    <w:rsid w:val="00450C94"/>
    <w:rsid w:val="004551AB"/>
    <w:rsid w:val="00461273"/>
    <w:rsid w:val="00463D28"/>
    <w:rsid w:val="00466163"/>
    <w:rsid w:val="004707B5"/>
    <w:rsid w:val="004710BE"/>
    <w:rsid w:val="0047138D"/>
    <w:rsid w:val="0047718F"/>
    <w:rsid w:val="00480214"/>
    <w:rsid w:val="00487296"/>
    <w:rsid w:val="00493B63"/>
    <w:rsid w:val="0049772C"/>
    <w:rsid w:val="00497AB1"/>
    <w:rsid w:val="004A0013"/>
    <w:rsid w:val="004A06BD"/>
    <w:rsid w:val="004A14FD"/>
    <w:rsid w:val="004A2F7E"/>
    <w:rsid w:val="004B3A2A"/>
    <w:rsid w:val="004B4041"/>
    <w:rsid w:val="004B53E1"/>
    <w:rsid w:val="004B574B"/>
    <w:rsid w:val="004B748E"/>
    <w:rsid w:val="004D14BD"/>
    <w:rsid w:val="004D7ABE"/>
    <w:rsid w:val="004E4311"/>
    <w:rsid w:val="004E5E9D"/>
    <w:rsid w:val="004E73D5"/>
    <w:rsid w:val="004E742B"/>
    <w:rsid w:val="004F2E3C"/>
    <w:rsid w:val="004F5913"/>
    <w:rsid w:val="0050022D"/>
    <w:rsid w:val="00500871"/>
    <w:rsid w:val="00506231"/>
    <w:rsid w:val="00514AAD"/>
    <w:rsid w:val="00516BD2"/>
    <w:rsid w:val="00517076"/>
    <w:rsid w:val="0052240C"/>
    <w:rsid w:val="005236E4"/>
    <w:rsid w:val="00524E46"/>
    <w:rsid w:val="00532362"/>
    <w:rsid w:val="005329A8"/>
    <w:rsid w:val="005439F6"/>
    <w:rsid w:val="00544D11"/>
    <w:rsid w:val="005478EF"/>
    <w:rsid w:val="00550AC9"/>
    <w:rsid w:val="00551ADE"/>
    <w:rsid w:val="00552EEB"/>
    <w:rsid w:val="00553B0C"/>
    <w:rsid w:val="00554245"/>
    <w:rsid w:val="00555EDE"/>
    <w:rsid w:val="005611AE"/>
    <w:rsid w:val="00561B04"/>
    <w:rsid w:val="00563CD0"/>
    <w:rsid w:val="00565054"/>
    <w:rsid w:val="00565478"/>
    <w:rsid w:val="005726C3"/>
    <w:rsid w:val="00577BF7"/>
    <w:rsid w:val="00582590"/>
    <w:rsid w:val="00583390"/>
    <w:rsid w:val="005933B9"/>
    <w:rsid w:val="00597185"/>
    <w:rsid w:val="005A34C2"/>
    <w:rsid w:val="005B0009"/>
    <w:rsid w:val="005B5BA7"/>
    <w:rsid w:val="005B62E4"/>
    <w:rsid w:val="005B63E0"/>
    <w:rsid w:val="005B6DB9"/>
    <w:rsid w:val="005C02B5"/>
    <w:rsid w:val="005D1885"/>
    <w:rsid w:val="005D28A3"/>
    <w:rsid w:val="005D3BF2"/>
    <w:rsid w:val="005D42D2"/>
    <w:rsid w:val="005E6F12"/>
    <w:rsid w:val="005E7C88"/>
    <w:rsid w:val="005F4248"/>
    <w:rsid w:val="00601E6F"/>
    <w:rsid w:val="006035D2"/>
    <w:rsid w:val="00603F09"/>
    <w:rsid w:val="00614448"/>
    <w:rsid w:val="0061482E"/>
    <w:rsid w:val="00616524"/>
    <w:rsid w:val="006166BA"/>
    <w:rsid w:val="00623A96"/>
    <w:rsid w:val="006248E9"/>
    <w:rsid w:val="00624CF9"/>
    <w:rsid w:val="00624D8E"/>
    <w:rsid w:val="00625756"/>
    <w:rsid w:val="00625907"/>
    <w:rsid w:val="00627DEB"/>
    <w:rsid w:val="00630C4F"/>
    <w:rsid w:val="00635345"/>
    <w:rsid w:val="0063578D"/>
    <w:rsid w:val="00635ECF"/>
    <w:rsid w:val="006369E6"/>
    <w:rsid w:val="00640503"/>
    <w:rsid w:val="006416B4"/>
    <w:rsid w:val="00645896"/>
    <w:rsid w:val="00647EBC"/>
    <w:rsid w:val="0065130A"/>
    <w:rsid w:val="006662B7"/>
    <w:rsid w:val="00673AEC"/>
    <w:rsid w:val="00673C62"/>
    <w:rsid w:val="006758E0"/>
    <w:rsid w:val="006803DC"/>
    <w:rsid w:val="006811B3"/>
    <w:rsid w:val="00682374"/>
    <w:rsid w:val="00682B99"/>
    <w:rsid w:val="006850DC"/>
    <w:rsid w:val="00692717"/>
    <w:rsid w:val="00694431"/>
    <w:rsid w:val="006953BA"/>
    <w:rsid w:val="00695919"/>
    <w:rsid w:val="0069776D"/>
    <w:rsid w:val="00697DAE"/>
    <w:rsid w:val="006A0519"/>
    <w:rsid w:val="006A05C5"/>
    <w:rsid w:val="006A3C7A"/>
    <w:rsid w:val="006A6582"/>
    <w:rsid w:val="006A69BF"/>
    <w:rsid w:val="006A7CD0"/>
    <w:rsid w:val="006B3577"/>
    <w:rsid w:val="006B3AE7"/>
    <w:rsid w:val="006B4488"/>
    <w:rsid w:val="006B59F2"/>
    <w:rsid w:val="006B66F8"/>
    <w:rsid w:val="006B697D"/>
    <w:rsid w:val="006B7ABB"/>
    <w:rsid w:val="006C0042"/>
    <w:rsid w:val="006C015F"/>
    <w:rsid w:val="006C12D2"/>
    <w:rsid w:val="006C27A4"/>
    <w:rsid w:val="006C6482"/>
    <w:rsid w:val="006C7B44"/>
    <w:rsid w:val="006D367B"/>
    <w:rsid w:val="006D7C4C"/>
    <w:rsid w:val="00702D67"/>
    <w:rsid w:val="0070567E"/>
    <w:rsid w:val="00707656"/>
    <w:rsid w:val="007078AF"/>
    <w:rsid w:val="007105FA"/>
    <w:rsid w:val="00711DF4"/>
    <w:rsid w:val="0071771B"/>
    <w:rsid w:val="0071774B"/>
    <w:rsid w:val="00717831"/>
    <w:rsid w:val="00722B7B"/>
    <w:rsid w:val="00723455"/>
    <w:rsid w:val="00723AF5"/>
    <w:rsid w:val="007253EA"/>
    <w:rsid w:val="00732625"/>
    <w:rsid w:val="007370F6"/>
    <w:rsid w:val="00741C44"/>
    <w:rsid w:val="00741C94"/>
    <w:rsid w:val="0074335E"/>
    <w:rsid w:val="0074347E"/>
    <w:rsid w:val="00743F92"/>
    <w:rsid w:val="00744E57"/>
    <w:rsid w:val="007456E4"/>
    <w:rsid w:val="00745E68"/>
    <w:rsid w:val="007479F6"/>
    <w:rsid w:val="00752967"/>
    <w:rsid w:val="00754954"/>
    <w:rsid w:val="007604B4"/>
    <w:rsid w:val="00761A57"/>
    <w:rsid w:val="00763971"/>
    <w:rsid w:val="00772E00"/>
    <w:rsid w:val="00774939"/>
    <w:rsid w:val="00776748"/>
    <w:rsid w:val="00776B0B"/>
    <w:rsid w:val="00781B20"/>
    <w:rsid w:val="00783349"/>
    <w:rsid w:val="00783B12"/>
    <w:rsid w:val="0078637B"/>
    <w:rsid w:val="0078664B"/>
    <w:rsid w:val="00786941"/>
    <w:rsid w:val="00794171"/>
    <w:rsid w:val="007A177E"/>
    <w:rsid w:val="007A17B0"/>
    <w:rsid w:val="007A2683"/>
    <w:rsid w:val="007A363D"/>
    <w:rsid w:val="007B2364"/>
    <w:rsid w:val="007C01FD"/>
    <w:rsid w:val="007C148A"/>
    <w:rsid w:val="007C360A"/>
    <w:rsid w:val="007C6E61"/>
    <w:rsid w:val="007D3C66"/>
    <w:rsid w:val="007D70A1"/>
    <w:rsid w:val="007F27A5"/>
    <w:rsid w:val="007F4D6A"/>
    <w:rsid w:val="007F4F14"/>
    <w:rsid w:val="007F5B25"/>
    <w:rsid w:val="007F7945"/>
    <w:rsid w:val="00802035"/>
    <w:rsid w:val="0080320F"/>
    <w:rsid w:val="008106D9"/>
    <w:rsid w:val="008132E8"/>
    <w:rsid w:val="00816095"/>
    <w:rsid w:val="0082225C"/>
    <w:rsid w:val="00823407"/>
    <w:rsid w:val="00825A0E"/>
    <w:rsid w:val="008260DA"/>
    <w:rsid w:val="0082686F"/>
    <w:rsid w:val="008309EE"/>
    <w:rsid w:val="00832A95"/>
    <w:rsid w:val="00833058"/>
    <w:rsid w:val="008337F1"/>
    <w:rsid w:val="008378C1"/>
    <w:rsid w:val="00844B15"/>
    <w:rsid w:val="00845616"/>
    <w:rsid w:val="0084776C"/>
    <w:rsid w:val="00852F03"/>
    <w:rsid w:val="0085466B"/>
    <w:rsid w:val="0085734F"/>
    <w:rsid w:val="00861CCE"/>
    <w:rsid w:val="008643CD"/>
    <w:rsid w:val="00864DA3"/>
    <w:rsid w:val="008653BC"/>
    <w:rsid w:val="00865669"/>
    <w:rsid w:val="00867114"/>
    <w:rsid w:val="00871569"/>
    <w:rsid w:val="00871E6D"/>
    <w:rsid w:val="00880C95"/>
    <w:rsid w:val="00884DDA"/>
    <w:rsid w:val="00895E7D"/>
    <w:rsid w:val="008A0FFB"/>
    <w:rsid w:val="008A3D47"/>
    <w:rsid w:val="008A731F"/>
    <w:rsid w:val="008B0184"/>
    <w:rsid w:val="008B2207"/>
    <w:rsid w:val="008B6B2F"/>
    <w:rsid w:val="008C1645"/>
    <w:rsid w:val="008C213E"/>
    <w:rsid w:val="008C2482"/>
    <w:rsid w:val="008C5D02"/>
    <w:rsid w:val="008C6CC0"/>
    <w:rsid w:val="008C6E8D"/>
    <w:rsid w:val="008C7043"/>
    <w:rsid w:val="008C7AA1"/>
    <w:rsid w:val="008D2649"/>
    <w:rsid w:val="008D5DC2"/>
    <w:rsid w:val="008E4A94"/>
    <w:rsid w:val="008E6385"/>
    <w:rsid w:val="008F29F7"/>
    <w:rsid w:val="008F428E"/>
    <w:rsid w:val="00900837"/>
    <w:rsid w:val="009015D6"/>
    <w:rsid w:val="00902055"/>
    <w:rsid w:val="009032FD"/>
    <w:rsid w:val="0090568D"/>
    <w:rsid w:val="00910C11"/>
    <w:rsid w:val="00911E82"/>
    <w:rsid w:val="009125C9"/>
    <w:rsid w:val="00912E9C"/>
    <w:rsid w:val="0091376D"/>
    <w:rsid w:val="00913879"/>
    <w:rsid w:val="00914791"/>
    <w:rsid w:val="00917661"/>
    <w:rsid w:val="00921E0E"/>
    <w:rsid w:val="00924232"/>
    <w:rsid w:val="009248F1"/>
    <w:rsid w:val="00930C2F"/>
    <w:rsid w:val="00934777"/>
    <w:rsid w:val="00935BC4"/>
    <w:rsid w:val="00937074"/>
    <w:rsid w:val="00940EB4"/>
    <w:rsid w:val="009414CC"/>
    <w:rsid w:val="009421E3"/>
    <w:rsid w:val="00943BB6"/>
    <w:rsid w:val="00947D14"/>
    <w:rsid w:val="00952C8D"/>
    <w:rsid w:val="00955BB6"/>
    <w:rsid w:val="00957D01"/>
    <w:rsid w:val="00970E5D"/>
    <w:rsid w:val="00973CB4"/>
    <w:rsid w:val="0097701C"/>
    <w:rsid w:val="00980A65"/>
    <w:rsid w:val="00993B80"/>
    <w:rsid w:val="00993CE2"/>
    <w:rsid w:val="009964BF"/>
    <w:rsid w:val="009A274E"/>
    <w:rsid w:val="009A3211"/>
    <w:rsid w:val="009A3331"/>
    <w:rsid w:val="009B2FE6"/>
    <w:rsid w:val="009B3098"/>
    <w:rsid w:val="009B689A"/>
    <w:rsid w:val="009C307E"/>
    <w:rsid w:val="009C4061"/>
    <w:rsid w:val="009C52C7"/>
    <w:rsid w:val="009C782A"/>
    <w:rsid w:val="009C7C87"/>
    <w:rsid w:val="009D1B8B"/>
    <w:rsid w:val="009E0E7D"/>
    <w:rsid w:val="009E18DE"/>
    <w:rsid w:val="009E26BC"/>
    <w:rsid w:val="009E602D"/>
    <w:rsid w:val="009E6E03"/>
    <w:rsid w:val="009F2AD7"/>
    <w:rsid w:val="009F65D7"/>
    <w:rsid w:val="009F7A74"/>
    <w:rsid w:val="00A015EF"/>
    <w:rsid w:val="00A054B4"/>
    <w:rsid w:val="00A05EF5"/>
    <w:rsid w:val="00A067C2"/>
    <w:rsid w:val="00A0740A"/>
    <w:rsid w:val="00A230A9"/>
    <w:rsid w:val="00A25E70"/>
    <w:rsid w:val="00A27E61"/>
    <w:rsid w:val="00A32CA4"/>
    <w:rsid w:val="00A33765"/>
    <w:rsid w:val="00A33D3D"/>
    <w:rsid w:val="00A3795A"/>
    <w:rsid w:val="00A410E7"/>
    <w:rsid w:val="00A436A9"/>
    <w:rsid w:val="00A4479F"/>
    <w:rsid w:val="00A456E7"/>
    <w:rsid w:val="00A53266"/>
    <w:rsid w:val="00A54ADA"/>
    <w:rsid w:val="00A574A3"/>
    <w:rsid w:val="00A6046A"/>
    <w:rsid w:val="00A6049D"/>
    <w:rsid w:val="00A63269"/>
    <w:rsid w:val="00A661A8"/>
    <w:rsid w:val="00A66454"/>
    <w:rsid w:val="00A673D6"/>
    <w:rsid w:val="00A70525"/>
    <w:rsid w:val="00A74090"/>
    <w:rsid w:val="00A81C79"/>
    <w:rsid w:val="00A8243F"/>
    <w:rsid w:val="00A84B3F"/>
    <w:rsid w:val="00A86A79"/>
    <w:rsid w:val="00A912FE"/>
    <w:rsid w:val="00A91C81"/>
    <w:rsid w:val="00A92377"/>
    <w:rsid w:val="00A952A5"/>
    <w:rsid w:val="00A96242"/>
    <w:rsid w:val="00AA156C"/>
    <w:rsid w:val="00AA1F3B"/>
    <w:rsid w:val="00AA3DF3"/>
    <w:rsid w:val="00AA6506"/>
    <w:rsid w:val="00AA6668"/>
    <w:rsid w:val="00AA6857"/>
    <w:rsid w:val="00AB1A80"/>
    <w:rsid w:val="00AB29ED"/>
    <w:rsid w:val="00AB30BB"/>
    <w:rsid w:val="00AB4ACB"/>
    <w:rsid w:val="00AB67D2"/>
    <w:rsid w:val="00AC1EC5"/>
    <w:rsid w:val="00AD3D88"/>
    <w:rsid w:val="00AD4289"/>
    <w:rsid w:val="00AD68BD"/>
    <w:rsid w:val="00AD7DE8"/>
    <w:rsid w:val="00AE34FC"/>
    <w:rsid w:val="00AE362E"/>
    <w:rsid w:val="00AE3653"/>
    <w:rsid w:val="00AE434B"/>
    <w:rsid w:val="00AE4BD8"/>
    <w:rsid w:val="00AE5D2B"/>
    <w:rsid w:val="00AF156A"/>
    <w:rsid w:val="00AF7995"/>
    <w:rsid w:val="00B00BF7"/>
    <w:rsid w:val="00B04621"/>
    <w:rsid w:val="00B07116"/>
    <w:rsid w:val="00B14E34"/>
    <w:rsid w:val="00B161EB"/>
    <w:rsid w:val="00B27A88"/>
    <w:rsid w:val="00B27B6B"/>
    <w:rsid w:val="00B31ADE"/>
    <w:rsid w:val="00B31F3C"/>
    <w:rsid w:val="00B34BAB"/>
    <w:rsid w:val="00B34CFD"/>
    <w:rsid w:val="00B35966"/>
    <w:rsid w:val="00B35E73"/>
    <w:rsid w:val="00B36DD8"/>
    <w:rsid w:val="00B37768"/>
    <w:rsid w:val="00B423AA"/>
    <w:rsid w:val="00B4388F"/>
    <w:rsid w:val="00B44B0F"/>
    <w:rsid w:val="00B47825"/>
    <w:rsid w:val="00B5159B"/>
    <w:rsid w:val="00B52933"/>
    <w:rsid w:val="00B54FA7"/>
    <w:rsid w:val="00B55EFE"/>
    <w:rsid w:val="00B56996"/>
    <w:rsid w:val="00B57C24"/>
    <w:rsid w:val="00B610B4"/>
    <w:rsid w:val="00B63237"/>
    <w:rsid w:val="00B639C5"/>
    <w:rsid w:val="00B6514F"/>
    <w:rsid w:val="00B707F3"/>
    <w:rsid w:val="00B738BF"/>
    <w:rsid w:val="00B75200"/>
    <w:rsid w:val="00B83855"/>
    <w:rsid w:val="00B852D3"/>
    <w:rsid w:val="00B87943"/>
    <w:rsid w:val="00B923DE"/>
    <w:rsid w:val="00B92B0B"/>
    <w:rsid w:val="00B950C7"/>
    <w:rsid w:val="00B95AA8"/>
    <w:rsid w:val="00B95B4D"/>
    <w:rsid w:val="00BA3071"/>
    <w:rsid w:val="00BB286A"/>
    <w:rsid w:val="00BB42B1"/>
    <w:rsid w:val="00BC0A0D"/>
    <w:rsid w:val="00BC7116"/>
    <w:rsid w:val="00BD65BA"/>
    <w:rsid w:val="00BD7509"/>
    <w:rsid w:val="00BD7A70"/>
    <w:rsid w:val="00BE04C0"/>
    <w:rsid w:val="00BE0E83"/>
    <w:rsid w:val="00BE6782"/>
    <w:rsid w:val="00BF338A"/>
    <w:rsid w:val="00BF545F"/>
    <w:rsid w:val="00BF5670"/>
    <w:rsid w:val="00C01087"/>
    <w:rsid w:val="00C06501"/>
    <w:rsid w:val="00C07B62"/>
    <w:rsid w:val="00C1097D"/>
    <w:rsid w:val="00C138C5"/>
    <w:rsid w:val="00C1409F"/>
    <w:rsid w:val="00C165E4"/>
    <w:rsid w:val="00C22767"/>
    <w:rsid w:val="00C41E3D"/>
    <w:rsid w:val="00C41ED2"/>
    <w:rsid w:val="00C41FE9"/>
    <w:rsid w:val="00C4384C"/>
    <w:rsid w:val="00C45BA8"/>
    <w:rsid w:val="00C46A57"/>
    <w:rsid w:val="00C5296D"/>
    <w:rsid w:val="00C55E7A"/>
    <w:rsid w:val="00C60490"/>
    <w:rsid w:val="00C66653"/>
    <w:rsid w:val="00C66C69"/>
    <w:rsid w:val="00C742F6"/>
    <w:rsid w:val="00C75FC7"/>
    <w:rsid w:val="00C82DF5"/>
    <w:rsid w:val="00C860F1"/>
    <w:rsid w:val="00C869AD"/>
    <w:rsid w:val="00C87774"/>
    <w:rsid w:val="00C921C7"/>
    <w:rsid w:val="00C94857"/>
    <w:rsid w:val="00C960DC"/>
    <w:rsid w:val="00CA11F3"/>
    <w:rsid w:val="00CB02B3"/>
    <w:rsid w:val="00CB064D"/>
    <w:rsid w:val="00CB3535"/>
    <w:rsid w:val="00CC0CB7"/>
    <w:rsid w:val="00CD0DFC"/>
    <w:rsid w:val="00CD0FF8"/>
    <w:rsid w:val="00CD1319"/>
    <w:rsid w:val="00CD6151"/>
    <w:rsid w:val="00CE166D"/>
    <w:rsid w:val="00CE40F4"/>
    <w:rsid w:val="00CE4741"/>
    <w:rsid w:val="00CF28A2"/>
    <w:rsid w:val="00CF2D57"/>
    <w:rsid w:val="00CF4242"/>
    <w:rsid w:val="00D01292"/>
    <w:rsid w:val="00D02C75"/>
    <w:rsid w:val="00D10E22"/>
    <w:rsid w:val="00D13D2C"/>
    <w:rsid w:val="00D15154"/>
    <w:rsid w:val="00D17FD3"/>
    <w:rsid w:val="00D210A6"/>
    <w:rsid w:val="00D210D6"/>
    <w:rsid w:val="00D23199"/>
    <w:rsid w:val="00D2439C"/>
    <w:rsid w:val="00D26E30"/>
    <w:rsid w:val="00D34076"/>
    <w:rsid w:val="00D4198A"/>
    <w:rsid w:val="00D459E1"/>
    <w:rsid w:val="00D45CD4"/>
    <w:rsid w:val="00D52881"/>
    <w:rsid w:val="00D5498C"/>
    <w:rsid w:val="00D555B8"/>
    <w:rsid w:val="00D57746"/>
    <w:rsid w:val="00D6029A"/>
    <w:rsid w:val="00D60424"/>
    <w:rsid w:val="00D630E4"/>
    <w:rsid w:val="00D664ED"/>
    <w:rsid w:val="00D720F9"/>
    <w:rsid w:val="00D72C2C"/>
    <w:rsid w:val="00D74BEF"/>
    <w:rsid w:val="00D756F0"/>
    <w:rsid w:val="00D76C90"/>
    <w:rsid w:val="00D77B9F"/>
    <w:rsid w:val="00D83F96"/>
    <w:rsid w:val="00D86C2D"/>
    <w:rsid w:val="00D91685"/>
    <w:rsid w:val="00D96509"/>
    <w:rsid w:val="00DA10DD"/>
    <w:rsid w:val="00DA1763"/>
    <w:rsid w:val="00DA2620"/>
    <w:rsid w:val="00DA3CE1"/>
    <w:rsid w:val="00DA423D"/>
    <w:rsid w:val="00DA6F21"/>
    <w:rsid w:val="00DB0664"/>
    <w:rsid w:val="00DB18F0"/>
    <w:rsid w:val="00DB3EDD"/>
    <w:rsid w:val="00DB5FA8"/>
    <w:rsid w:val="00DC2F94"/>
    <w:rsid w:val="00DC3C8E"/>
    <w:rsid w:val="00DD2B52"/>
    <w:rsid w:val="00DD3D9E"/>
    <w:rsid w:val="00DD45A0"/>
    <w:rsid w:val="00DD5200"/>
    <w:rsid w:val="00DD7908"/>
    <w:rsid w:val="00DE08C1"/>
    <w:rsid w:val="00DE307D"/>
    <w:rsid w:val="00DF1322"/>
    <w:rsid w:val="00E11908"/>
    <w:rsid w:val="00E138B0"/>
    <w:rsid w:val="00E1524F"/>
    <w:rsid w:val="00E1560C"/>
    <w:rsid w:val="00E21B49"/>
    <w:rsid w:val="00E22B6F"/>
    <w:rsid w:val="00E2389F"/>
    <w:rsid w:val="00E25751"/>
    <w:rsid w:val="00E26E92"/>
    <w:rsid w:val="00E30B20"/>
    <w:rsid w:val="00E32428"/>
    <w:rsid w:val="00E45F9B"/>
    <w:rsid w:val="00E46AEF"/>
    <w:rsid w:val="00E515A0"/>
    <w:rsid w:val="00E6005F"/>
    <w:rsid w:val="00E61F63"/>
    <w:rsid w:val="00E63CF9"/>
    <w:rsid w:val="00E71AC9"/>
    <w:rsid w:val="00E762CB"/>
    <w:rsid w:val="00E768B6"/>
    <w:rsid w:val="00E7712A"/>
    <w:rsid w:val="00E775C1"/>
    <w:rsid w:val="00E82297"/>
    <w:rsid w:val="00E83A01"/>
    <w:rsid w:val="00E864A6"/>
    <w:rsid w:val="00E91080"/>
    <w:rsid w:val="00E94B2D"/>
    <w:rsid w:val="00E9594D"/>
    <w:rsid w:val="00E97ECA"/>
    <w:rsid w:val="00EA6B23"/>
    <w:rsid w:val="00EA723F"/>
    <w:rsid w:val="00EB16A9"/>
    <w:rsid w:val="00EB1E9A"/>
    <w:rsid w:val="00EB4B9D"/>
    <w:rsid w:val="00EB7F96"/>
    <w:rsid w:val="00EC020E"/>
    <w:rsid w:val="00EC0DD6"/>
    <w:rsid w:val="00EC3679"/>
    <w:rsid w:val="00EC5040"/>
    <w:rsid w:val="00ED0A44"/>
    <w:rsid w:val="00ED1BEB"/>
    <w:rsid w:val="00ED703A"/>
    <w:rsid w:val="00ED73C0"/>
    <w:rsid w:val="00ED75D1"/>
    <w:rsid w:val="00EE55C6"/>
    <w:rsid w:val="00EF1F44"/>
    <w:rsid w:val="00EF39FD"/>
    <w:rsid w:val="00EF61B7"/>
    <w:rsid w:val="00F00EAE"/>
    <w:rsid w:val="00F0164A"/>
    <w:rsid w:val="00F045AA"/>
    <w:rsid w:val="00F058AB"/>
    <w:rsid w:val="00F06842"/>
    <w:rsid w:val="00F06DE0"/>
    <w:rsid w:val="00F107FD"/>
    <w:rsid w:val="00F12212"/>
    <w:rsid w:val="00F13705"/>
    <w:rsid w:val="00F144F9"/>
    <w:rsid w:val="00F20D8F"/>
    <w:rsid w:val="00F22267"/>
    <w:rsid w:val="00F228B2"/>
    <w:rsid w:val="00F24422"/>
    <w:rsid w:val="00F24A27"/>
    <w:rsid w:val="00F2746A"/>
    <w:rsid w:val="00F351D3"/>
    <w:rsid w:val="00F35A21"/>
    <w:rsid w:val="00F36327"/>
    <w:rsid w:val="00F37FF4"/>
    <w:rsid w:val="00F410DD"/>
    <w:rsid w:val="00F4112C"/>
    <w:rsid w:val="00F41DA2"/>
    <w:rsid w:val="00F477B1"/>
    <w:rsid w:val="00F513C0"/>
    <w:rsid w:val="00F545D9"/>
    <w:rsid w:val="00F563F7"/>
    <w:rsid w:val="00F6148D"/>
    <w:rsid w:val="00F6776B"/>
    <w:rsid w:val="00F71932"/>
    <w:rsid w:val="00F73164"/>
    <w:rsid w:val="00F74839"/>
    <w:rsid w:val="00F76FBD"/>
    <w:rsid w:val="00F77088"/>
    <w:rsid w:val="00F80141"/>
    <w:rsid w:val="00F8061B"/>
    <w:rsid w:val="00F823EB"/>
    <w:rsid w:val="00F82C61"/>
    <w:rsid w:val="00F835BB"/>
    <w:rsid w:val="00F838A0"/>
    <w:rsid w:val="00F91949"/>
    <w:rsid w:val="00F92021"/>
    <w:rsid w:val="00F9248B"/>
    <w:rsid w:val="00F9364B"/>
    <w:rsid w:val="00F975B0"/>
    <w:rsid w:val="00FA19C3"/>
    <w:rsid w:val="00FA2C07"/>
    <w:rsid w:val="00FA2DC4"/>
    <w:rsid w:val="00FA4373"/>
    <w:rsid w:val="00FA499A"/>
    <w:rsid w:val="00FA4DAE"/>
    <w:rsid w:val="00FA6588"/>
    <w:rsid w:val="00FA7760"/>
    <w:rsid w:val="00FB0F73"/>
    <w:rsid w:val="00FB1193"/>
    <w:rsid w:val="00FB64A8"/>
    <w:rsid w:val="00FC2240"/>
    <w:rsid w:val="00FC3279"/>
    <w:rsid w:val="00FC4E30"/>
    <w:rsid w:val="00FC710E"/>
    <w:rsid w:val="00FC74B4"/>
    <w:rsid w:val="00FD1958"/>
    <w:rsid w:val="00FD2A4B"/>
    <w:rsid w:val="00FD4263"/>
    <w:rsid w:val="00FD6DCA"/>
    <w:rsid w:val="00FE0D13"/>
    <w:rsid w:val="00FE1FE3"/>
    <w:rsid w:val="00FE5920"/>
    <w:rsid w:val="00FF0772"/>
    <w:rsid w:val="00FF1418"/>
    <w:rsid w:val="00FF2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link w:val="Els-1storder-headCar"/>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ar"/>
    <w:rsid w:val="008B0184"/>
    <w:pPr>
      <w:jc w:val="both"/>
    </w:pPr>
    <w:rPr>
      <w:lang w:val="en-US" w:eastAsia="en-US"/>
    </w:rPr>
  </w:style>
  <w:style w:type="paragraph" w:customStyle="1" w:styleId="Els-2ndorder-head">
    <w:name w:val="Els-2ndorder-head"/>
    <w:basedOn w:val="Els-body-text"/>
    <w:next w:val="Els-body-text"/>
    <w:link w:val="Els-2ndorder-headCar"/>
    <w:rsid w:val="008B0184"/>
    <w:pPr>
      <w:keepNext/>
      <w:numPr>
        <w:ilvl w:val="2"/>
        <w:numId w:val="17"/>
      </w:numPr>
      <w:suppressAutoHyphens/>
      <w:spacing w:before="80"/>
    </w:pPr>
    <w:rPr>
      <w:i/>
    </w:rPr>
  </w:style>
  <w:style w:type="paragraph" w:customStyle="1" w:styleId="Els-3rdorder-head">
    <w:name w:val="Els-3rdorder-head"/>
    <w:basedOn w:val="Els-body-text"/>
    <w:next w:val="Els-body-text"/>
    <w:link w:val="Els-3rdorder-headCar"/>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rsid w:val="008B0184"/>
    <w:rPr>
      <w:color w:val="0000FF"/>
      <w:u w:val="single"/>
    </w:rPr>
  </w:style>
  <w:style w:type="character" w:customStyle="1" w:styleId="MTEquationSection">
    <w:name w:val="MTEquationSection"/>
    <w:basedOn w:val="Fuentedeprrafopredeter"/>
    <w:rsid w:val="008B0184"/>
    <w:rPr>
      <w:vanish w:val="0"/>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semiHidden/>
    <w:rsid w:val="008B0184"/>
    <w:rPr>
      <w:sz w:val="16"/>
      <w:szCs w:val="16"/>
    </w:rPr>
  </w:style>
  <w:style w:type="paragraph" w:styleId="Textocomentario">
    <w:name w:val="annotation text"/>
    <w:basedOn w:val="Normal"/>
    <w:semiHidden/>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NormalWeb">
    <w:name w:val="Normal (Web)"/>
    <w:basedOn w:val="Normal"/>
    <w:uiPriority w:val="99"/>
    <w:semiHidden/>
    <w:unhideWhenUsed/>
    <w:rsid w:val="00FF2BF8"/>
    <w:pPr>
      <w:spacing w:before="100" w:beforeAutospacing="1" w:after="100" w:afterAutospacing="1"/>
    </w:pPr>
    <w:rPr>
      <w:sz w:val="24"/>
      <w:szCs w:val="24"/>
      <w:lang w:val="es-ES" w:eastAsia="es-ES"/>
    </w:rPr>
  </w:style>
  <w:style w:type="paragraph" w:customStyle="1" w:styleId="Estilo1">
    <w:name w:val="Estilo1"/>
    <w:basedOn w:val="Els-1storder-head"/>
    <w:link w:val="Estilo1Car"/>
    <w:qFormat/>
    <w:rsid w:val="008B2207"/>
  </w:style>
  <w:style w:type="character" w:customStyle="1" w:styleId="Els-body-textCar">
    <w:name w:val="Els-body-text Car"/>
    <w:basedOn w:val="Fuentedeprrafopredeter"/>
    <w:link w:val="Els-body-text"/>
    <w:rsid w:val="008B2207"/>
    <w:rPr>
      <w:lang w:val="en-US" w:eastAsia="en-US"/>
    </w:rPr>
  </w:style>
  <w:style w:type="character" w:customStyle="1" w:styleId="Els-1storder-headCar">
    <w:name w:val="Els-1storder-head Car"/>
    <w:basedOn w:val="Els-body-textCar"/>
    <w:link w:val="Els-1storder-head"/>
    <w:rsid w:val="008B2207"/>
    <w:rPr>
      <w:b/>
      <w:sz w:val="22"/>
      <w:lang w:val="en-US" w:eastAsia="en-US"/>
    </w:rPr>
  </w:style>
  <w:style w:type="character" w:customStyle="1" w:styleId="Estilo1Car">
    <w:name w:val="Estilo1 Car"/>
    <w:basedOn w:val="Els-1storder-headCar"/>
    <w:link w:val="Estilo1"/>
    <w:rsid w:val="008B2207"/>
    <w:rPr>
      <w:b/>
      <w:sz w:val="22"/>
      <w:lang w:val="en-US" w:eastAsia="en-US"/>
    </w:rPr>
  </w:style>
  <w:style w:type="paragraph" w:customStyle="1" w:styleId="Estilo2">
    <w:name w:val="Estilo2"/>
    <w:basedOn w:val="Els-2ndorder-head"/>
    <w:link w:val="Estilo2Car"/>
    <w:qFormat/>
    <w:rsid w:val="008B2207"/>
  </w:style>
  <w:style w:type="character" w:customStyle="1" w:styleId="Els-2ndorder-headCar">
    <w:name w:val="Els-2ndorder-head Car"/>
    <w:basedOn w:val="Els-body-textCar"/>
    <w:link w:val="Els-2ndorder-head"/>
    <w:rsid w:val="008B2207"/>
    <w:rPr>
      <w:i/>
      <w:lang w:val="en-US" w:eastAsia="en-US"/>
    </w:rPr>
  </w:style>
  <w:style w:type="character" w:customStyle="1" w:styleId="Estilo2Car">
    <w:name w:val="Estilo2 Car"/>
    <w:basedOn w:val="Els-2ndorder-headCar"/>
    <w:link w:val="Estilo2"/>
    <w:rsid w:val="008B2207"/>
    <w:rPr>
      <w:i/>
      <w:lang w:val="en-US" w:eastAsia="en-US"/>
    </w:rPr>
  </w:style>
  <w:style w:type="paragraph" w:customStyle="1" w:styleId="Estilo3">
    <w:name w:val="Estilo3"/>
    <w:basedOn w:val="Els-3rdorder-head"/>
    <w:link w:val="Estilo3Car"/>
    <w:qFormat/>
    <w:rsid w:val="00741C44"/>
  </w:style>
  <w:style w:type="character" w:customStyle="1" w:styleId="Els-3rdorder-headCar">
    <w:name w:val="Els-3rdorder-head Car"/>
    <w:basedOn w:val="Els-body-textCar"/>
    <w:link w:val="Els-3rdorder-head"/>
    <w:rsid w:val="00741C44"/>
    <w:rPr>
      <w:i/>
      <w:lang w:val="en-US" w:eastAsia="en-US"/>
    </w:rPr>
  </w:style>
  <w:style w:type="character" w:customStyle="1" w:styleId="Estilo3Car">
    <w:name w:val="Estilo3 Car"/>
    <w:basedOn w:val="Els-3rdorder-headCar"/>
    <w:link w:val="Estilo3"/>
    <w:rsid w:val="00741C44"/>
    <w:rPr>
      <w:i/>
      <w:lang w:val="en-US" w:eastAsia="en-US"/>
    </w:rPr>
  </w:style>
  <w:style w:type="character" w:styleId="Mencinsinresolver">
    <w:name w:val="Unresolved Mention"/>
    <w:basedOn w:val="Fuentedeprrafopredeter"/>
    <w:uiPriority w:val="99"/>
    <w:semiHidden/>
    <w:unhideWhenUsed/>
    <w:rsid w:val="007105FA"/>
    <w:rPr>
      <w:color w:val="605E5C"/>
      <w:shd w:val="clear" w:color="auto" w:fill="E1DFDD"/>
    </w:rPr>
  </w:style>
  <w:style w:type="paragraph" w:customStyle="1" w:styleId="MTDisplayEquation">
    <w:name w:val="MTDisplayEquation"/>
    <w:basedOn w:val="Normal"/>
    <w:next w:val="Normal"/>
    <w:link w:val="MTDisplayEquationCar"/>
    <w:rsid w:val="00165CB2"/>
    <w:pPr>
      <w:tabs>
        <w:tab w:val="center" w:pos="3540"/>
        <w:tab w:val="right" w:pos="7080"/>
      </w:tabs>
      <w:autoSpaceDE w:val="0"/>
      <w:autoSpaceDN w:val="0"/>
      <w:adjustRightInd w:val="0"/>
    </w:pPr>
    <w:rPr>
      <w:rFonts w:ascii="Calibri" w:hAnsi="Calibri" w:cs="Calibri"/>
      <w:sz w:val="24"/>
      <w:szCs w:val="24"/>
      <w:lang w:val="en-US" w:eastAsia="en-GB"/>
    </w:rPr>
  </w:style>
  <w:style w:type="character" w:customStyle="1" w:styleId="MTDisplayEquationCar">
    <w:name w:val="MTDisplayEquation Car"/>
    <w:basedOn w:val="Fuentedeprrafopredeter"/>
    <w:link w:val="MTDisplayEquation"/>
    <w:rsid w:val="00165CB2"/>
    <w:rPr>
      <w:rFonts w:ascii="Calibri" w:hAnsi="Calibri" w:cs="Calibri"/>
      <w:sz w:val="24"/>
      <w:szCs w:val="24"/>
      <w:lang w:val="en-US"/>
    </w:rPr>
  </w:style>
  <w:style w:type="character" w:styleId="Textodelmarcadordeposicin">
    <w:name w:val="Placeholder Text"/>
    <w:basedOn w:val="Fuentedeprrafopredeter"/>
    <w:uiPriority w:val="99"/>
    <w:semiHidden/>
    <w:rsid w:val="00C41ED2"/>
    <w:rPr>
      <w:color w:val="666666"/>
    </w:rPr>
  </w:style>
  <w:style w:type="character" w:customStyle="1" w:styleId="MTConvertedEquation">
    <w:name w:val="MTConvertedEquation"/>
    <w:basedOn w:val="Fuentedeprrafopredeter"/>
    <w:rsid w:val="00682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1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hyperlink" Target="https://ecoinvent.org" TargetMode="Externa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png"/><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6.png"/><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0</TotalTime>
  <Pages>6</Pages>
  <Words>2537</Words>
  <Characters>16656</Characters>
  <Application>Microsoft Office Word</Application>
  <DocSecurity>0</DocSecurity>
  <Lines>138</Lines>
  <Paragraphs>38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RAQUEL SALCEDO DIAZ</cp:lastModifiedBy>
  <cp:revision>2</cp:revision>
  <cp:lastPrinted>2023-11-28T12:19:00Z</cp:lastPrinted>
  <dcterms:created xsi:type="dcterms:W3CDTF">2023-12-20T12:52:00Z</dcterms:created>
  <dcterms:modified xsi:type="dcterms:W3CDTF">2023-12-20T12:52:00Z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TEquationSection">
    <vt:lpwstr>1</vt:lpwstr>
  </property>
  <property fmtid="{D5CDD505-2E9C-101B-9397-08002B2CF9AE}" pid="11" name="MTEquationNumber2">
    <vt:lpwstr>(#E1)</vt:lpwstr>
  </property>
  <property fmtid="{D5CDD505-2E9C-101B-9397-08002B2CF9AE}" pid="12" name="MTEqnNumsOnRight">
    <vt:bool>true</vt:bool>
  </property>
  <property fmtid="{D5CDD505-2E9C-101B-9397-08002B2CF9AE}" pid="13" name="MTWinEqns">
    <vt:bool>true</vt:bool>
  </property>
</Properties>
</file>