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DE67F" w14:textId="774D0687" w:rsidR="00DD3D9E" w:rsidRPr="00B4388F" w:rsidRDefault="00A74750">
      <w:pPr>
        <w:pStyle w:val="Els-Title"/>
        <w:rPr>
          <w:color w:val="000000" w:themeColor="text1"/>
        </w:rPr>
      </w:pPr>
      <w:r>
        <w:rPr>
          <w:lang w:val="en-GB"/>
        </w:rPr>
        <w:t>Transferable mini-blender performance impact on continuous direct compaction tablets using a modified Kushner-Moore approach.</w:t>
      </w:r>
    </w:p>
    <w:p w14:paraId="144DE680" w14:textId="297C4BFA" w:rsidR="00DD3D9E" w:rsidRDefault="00A74750">
      <w:pPr>
        <w:pStyle w:val="Els-Author"/>
      </w:pPr>
      <w:r>
        <w:t>Hikaru G. Jolliffe</w:t>
      </w:r>
      <w:r w:rsidR="00DB3683">
        <w:rPr>
          <w:vertAlign w:val="superscript"/>
        </w:rPr>
        <w:t>a</w:t>
      </w:r>
      <w:r w:rsidR="001919C8">
        <w:rPr>
          <w:vertAlign w:val="superscript"/>
        </w:rPr>
        <w:t>*</w:t>
      </w:r>
      <w:r>
        <w:t>, Colette Tierney</w:t>
      </w:r>
      <w:r w:rsidR="00DB3683">
        <w:rPr>
          <w:vertAlign w:val="superscript"/>
        </w:rPr>
        <w:t>a</w:t>
      </w:r>
      <w:r w:rsidRPr="00164D73">
        <w:t xml:space="preserve">, </w:t>
      </w:r>
      <w:r>
        <w:t>Ecaterina Bordos</w:t>
      </w:r>
      <w:r w:rsidR="00DB3683">
        <w:rPr>
          <w:vertAlign w:val="superscript"/>
        </w:rPr>
        <w:t>a</w:t>
      </w:r>
      <w:r w:rsidRPr="00781CB0">
        <w:t xml:space="preserve">, </w:t>
      </w:r>
      <w:r>
        <w:t>Carlota Mendez Torrecillas</w:t>
      </w:r>
      <w:r w:rsidR="00DB3683">
        <w:rPr>
          <w:vertAlign w:val="superscript"/>
        </w:rPr>
        <w:t>a</w:t>
      </w:r>
      <w:r w:rsidRPr="00134322">
        <w:t xml:space="preserve">, </w:t>
      </w:r>
      <w:r>
        <w:t>Martin Prostredny</w:t>
      </w:r>
      <w:r w:rsidR="00DB3683">
        <w:rPr>
          <w:vertAlign w:val="superscript"/>
        </w:rPr>
        <w:t>a</w:t>
      </w:r>
      <w:r>
        <w:t>,</w:t>
      </w:r>
      <w:r w:rsidRPr="00134322">
        <w:t xml:space="preserve"> </w:t>
      </w:r>
      <w:r w:rsidRPr="00164D73">
        <w:t>Ebenez</w:t>
      </w:r>
      <w:r>
        <w:t xml:space="preserve">er Ojo, </w:t>
      </w:r>
      <w:r w:rsidRPr="00421A58">
        <w:t>Richard Elkes</w:t>
      </w:r>
      <w:r w:rsidR="00DB3683">
        <w:rPr>
          <w:vertAlign w:val="superscript"/>
        </w:rPr>
        <w:t>b</w:t>
      </w:r>
      <w:r w:rsidRPr="00CA5311">
        <w:t>,</w:t>
      </w:r>
      <w:r>
        <w:t xml:space="preserve"> </w:t>
      </w:r>
      <w:r w:rsidRPr="00421A58">
        <w:t>and John Robertson</w:t>
      </w:r>
      <w:r w:rsidR="00DB3683">
        <w:rPr>
          <w:vertAlign w:val="superscript"/>
        </w:rPr>
        <w:t>a</w:t>
      </w:r>
      <w:r w:rsidRPr="00134322">
        <w:t>.</w:t>
      </w:r>
    </w:p>
    <w:p w14:paraId="60A4A2DE" w14:textId="0DC7CAFB" w:rsidR="00DB3683" w:rsidRDefault="00A74750">
      <w:pPr>
        <w:pStyle w:val="Els-Affiliation"/>
      </w:pPr>
      <w:r>
        <w:rPr>
          <w:vertAlign w:val="superscript"/>
        </w:rPr>
        <w:t>a</w:t>
      </w:r>
      <w:r w:rsidRPr="001278F3">
        <w:t>CMAC, 99 George Street, Glasgow, G1 1RD, UK.</w:t>
      </w:r>
    </w:p>
    <w:p w14:paraId="4D299114" w14:textId="7E5DB744" w:rsidR="00A74750" w:rsidRDefault="0090504F">
      <w:pPr>
        <w:pStyle w:val="Els-Affiliation"/>
      </w:pPr>
      <w:r>
        <w:rPr>
          <w:vertAlign w:val="superscript"/>
        </w:rPr>
        <w:t>b</w:t>
      </w:r>
      <w:r w:rsidRPr="00F24DAA">
        <w:rPr>
          <w:bCs/>
        </w:rPr>
        <w:t>GSK Ware R&amp;D, Harris’s Lane, Ware, Hertfordshire, SG12 0GX</w:t>
      </w:r>
      <w:r w:rsidRPr="00F24DAA">
        <w:t>,</w:t>
      </w:r>
      <w:r w:rsidRPr="001278F3">
        <w:t xml:space="preserve"> UK.</w:t>
      </w:r>
    </w:p>
    <w:p w14:paraId="144DE683" w14:textId="3FCB2B81" w:rsidR="008D2649" w:rsidRPr="00A94774" w:rsidRDefault="00A74750" w:rsidP="008D2649">
      <w:pPr>
        <w:pStyle w:val="Els-Affiliation"/>
        <w:spacing w:after="120"/>
      </w:pPr>
      <w:r>
        <w:rPr>
          <w:szCs w:val="24"/>
        </w:rPr>
        <w:t>hikaru.jolliffe@strath.ac.uk</w:t>
      </w:r>
    </w:p>
    <w:p w14:paraId="144DE684" w14:textId="77777777" w:rsidR="008D2649" w:rsidRDefault="008D2649" w:rsidP="008D2649">
      <w:pPr>
        <w:pStyle w:val="Els-Abstract"/>
      </w:pPr>
      <w:r>
        <w:t>Abstract</w:t>
      </w:r>
    </w:p>
    <w:p w14:paraId="144DE686" w14:textId="60A19E8F" w:rsidR="008D2649" w:rsidRDefault="00ED15A6" w:rsidP="008D2649">
      <w:pPr>
        <w:pStyle w:val="Els-body-text"/>
        <w:spacing w:after="120"/>
        <w:rPr>
          <w:lang w:val="en-GB"/>
        </w:rPr>
      </w:pPr>
      <w:r>
        <w:rPr>
          <w:lang w:val="en-GB"/>
        </w:rPr>
        <w:t>Small-scale blenders capable of operating in batch mode are a key tool for many pharmaceutical R&amp;D programs and production processes. In current times there is a strong drive to increase efficiency and reduce waste</w:t>
      </w:r>
      <w:r w:rsidR="00577693">
        <w:rPr>
          <w:lang w:val="en-GB"/>
        </w:rPr>
        <w:t xml:space="preserve"> and development time</w:t>
      </w:r>
      <w:r>
        <w:rPr>
          <w:lang w:val="en-GB"/>
        </w:rPr>
        <w:t xml:space="preserve">, and there is high utility in transferable modelling approaches that allow the use of one blender to determine the performance in another. In the present work a modified Kushner-Moore approach is used to model the sensitivity to lubrication for tablets produced by Direct Compaction. A model formulation has been mixed in a Gericke </w:t>
      </w:r>
      <w:r w:rsidRPr="00ED15A6">
        <w:rPr>
          <w:lang w:val="en-GB"/>
        </w:rPr>
        <w:t xml:space="preserve">GBM 10 P Mini Blender </w:t>
      </w:r>
      <w:r>
        <w:rPr>
          <w:lang w:val="en-GB"/>
        </w:rPr>
        <w:t xml:space="preserve">at intensities inaccessible to most batch blenders, with the blends then used to produce tablets, the properties of which have been analysed. The modified Kushner-Moore approach presented here shows a lubrication sensitivity trend that is also applicable in a </w:t>
      </w:r>
      <w:proofErr w:type="spellStart"/>
      <w:r>
        <w:rPr>
          <w:lang w:val="en-GB"/>
        </w:rPr>
        <w:t>Pharmatech</w:t>
      </w:r>
      <w:proofErr w:type="spellEnd"/>
      <w:r>
        <w:rPr>
          <w:lang w:val="en-GB"/>
        </w:rPr>
        <w:t xml:space="preserve"> bin blender, allowing transferability between mixing regimes that </w:t>
      </w:r>
      <w:r w:rsidR="00577693">
        <w:rPr>
          <w:lang w:val="en-GB"/>
        </w:rPr>
        <w:t>have significantly</w:t>
      </w:r>
      <w:r>
        <w:rPr>
          <w:lang w:val="en-GB"/>
        </w:rPr>
        <w:t xml:space="preserve"> low intensity (Froude number </w:t>
      </w:r>
      <w:r>
        <w:rPr>
          <w:i/>
          <w:lang w:val="en-GB"/>
        </w:rPr>
        <w:t>Fr</w:t>
      </w:r>
      <w:r>
        <w:rPr>
          <w:lang w:val="en-GB"/>
        </w:rPr>
        <w:t xml:space="preserve"> &lt; 0.4) and high intensity (</w:t>
      </w:r>
      <w:r w:rsidRPr="00781CB0">
        <w:rPr>
          <w:i/>
          <w:lang w:val="en-GB"/>
        </w:rPr>
        <w:t>Fr</w:t>
      </w:r>
      <w:r>
        <w:rPr>
          <w:lang w:val="en-GB"/>
        </w:rPr>
        <w:t xml:space="preserve"> &gt;&gt; 1), as well as equipment types</w:t>
      </w:r>
      <w:r w:rsidR="008D2649">
        <w:rPr>
          <w:lang w:val="en-GB"/>
        </w:rPr>
        <w:t>.</w:t>
      </w:r>
    </w:p>
    <w:p w14:paraId="144DE687" w14:textId="3DDD3474" w:rsidR="008D2649" w:rsidRDefault="008D2649" w:rsidP="008D2649">
      <w:pPr>
        <w:pStyle w:val="Els-body-text"/>
        <w:spacing w:after="120"/>
        <w:rPr>
          <w:lang w:val="en-GB"/>
        </w:rPr>
      </w:pPr>
      <w:r>
        <w:rPr>
          <w:b/>
          <w:bCs/>
          <w:lang w:val="en-GB"/>
        </w:rPr>
        <w:t>Keywords</w:t>
      </w:r>
      <w:r>
        <w:rPr>
          <w:lang w:val="en-GB"/>
        </w:rPr>
        <w:t xml:space="preserve">: </w:t>
      </w:r>
      <w:r w:rsidR="00ED15A6">
        <w:rPr>
          <w:lang w:val="en-GB"/>
        </w:rPr>
        <w:t>modelling, powder, blending, lubrication, compaction</w:t>
      </w:r>
      <w:r>
        <w:rPr>
          <w:lang w:val="en-GB"/>
        </w:rPr>
        <w:t>.</w:t>
      </w:r>
    </w:p>
    <w:p w14:paraId="144DE689" w14:textId="6BD57596" w:rsidR="008D2649" w:rsidRDefault="00A74750" w:rsidP="008D2649">
      <w:pPr>
        <w:pStyle w:val="Els-1storder-head"/>
      </w:pPr>
      <w:r>
        <w:t>Introduction</w:t>
      </w:r>
    </w:p>
    <w:p w14:paraId="144DE68A" w14:textId="394DE315" w:rsidR="008D2649" w:rsidRDefault="00F06CEB" w:rsidP="008D2649">
      <w:pPr>
        <w:pStyle w:val="Els-body-text"/>
      </w:pPr>
      <w:r>
        <w:t xml:space="preserve">Increasing R&amp;D costs and a drive to improve efficiency and product quality have led to significant research interests in alternative production methods for pharmaceutical products </w:t>
      </w:r>
      <w:r w:rsidR="00AC61DF">
        <w:fldChar w:fldCharType="begin"/>
      </w:r>
      <w:r w:rsidR="007B497A">
        <w:instrText xml:space="preserve"> ADDIN ZOTERO_ITEM CSL_CITATION {"citationID":"2dtxDD2I","properties":{"formattedCitation":"(Cervera-Padrell et al., 2011; Gerogiorgis and Barton, 2009; Lee et al., 2015; Plumb, 2005)","plainCitation":"(Cervera-Padrell et al., 2011; Gerogiorgis and Barton, 2009; Lee et al., 2015; Plumb, 2005)","noteIndex":0},"citationItems":[{"id":480,"uris":["http://zotero.org/users/1322096/items/UAJR8TFM"],"itemData":{"id":480,"type":"article-journal","abstract":"The Food and Drug Administration (FDA) regulates pharmaceutical drug products to ensure a continuous supply of high-quality drugs in the USA. Continuous processing has a great deal of potential to address issues of agility, flexibility, cost, and robustness in the development of pharmaceutical manufacturing processes. Over the past decade, there have been significant advancements in science and engineering to support the implementation of continuous pharmaceutical manufacturing. These investments along with the adoption of the quality-by-design (QbD) paradigm for pharmaceutical development and the advancement of process analytical technology (PAT) for designing, analyzing, and controlling manufacturing have progressed the scientific and regulatory readiness for continuous manufacturing. The FDA supports the implementation of continuous manufacturing using science- and risk-based approaches.","container-title":"Journal of Pharmaceutical Innovation","DOI":"10.1007/s12247-015-9215-8","ISSN":"1872-5120, 1939-8042","journalAbbreviation":"J Pharm Innov","language":"en","page":"1-9","source":"link.springer.com","title":"Modernizing Pharmaceutical Manufacturing: from Batch to Continuous Production","title-short":"Modernizing Pharmaceutical Manufacturing","author":[{"family":"Lee","given":"Sau L."},{"family":"O’Connor","given":"Thomas F."},{"family":"Yang","given":"Xiaochuan"},{"family":"Cruz","given":"Celia N."},{"family":"Chatterjee","given":"Sharmista"},{"family":"Madurawe","given":"Rapti D."},{"family":"Moore","given":"Christine M. V."},{"family":"Yu","given":"Lawrence X."},{"family":"Woodcock","given":"Janet"}],"issued":{"date-parts":[["2015",3,19]]}}},{"id":173,"uris":["http://zotero.org/users/1322096/items/EBTG34Q5"],"itemData":{"id":173,"type":"article-journal","abstract":"The pharmaceutical industry is a highly regulated industry and all production must be carried out in accordance with good manufacturing practice. Traditionally, virtually all manufacturing operations have been carried out batch wise in spite of cost disadvantages and the fact that in many cases continuous processing could lead to the manufacture of purer products. The regulatory environment tends to stifle any attempts to change the process once the development stage is over and the product and process have been licensed. This has created a mind set amongst the industry's professionals that batch processes are the only acceptable way forward. However; the regulatory authorities, particularly the Food and Drug Administration in America, have recognized that continuous processing has the potential to improve product quality and are encouraging the industry to reconsider their ideas. This paper examines how chemical engineers can use the opportunity that arises from this changed regulatory environment to revisit their own ideas and drive a change of mind set within the industry.","container-title":"Chemical Engineering Research &amp; Design","DOI":"10.1205/cherd.04359","ISSN":"0263-8762","issue":"A6","journalAbbreviation":"Chem. Eng. Res. Des.","language":"English","note":"WOS:000230614300023","page":"730-738","source":"ISI Web of Knowledge","title":"Continuous processing in the pharmaceutical industry - Changing the mind set","volume":"83","author":[{"family":"Plumb","given":"K."}],"issued":{"date-parts":[["2005",6]]}}},{"id":484,"uris":["http://zotero.org/users/1322096/items/2P9GAJMC"],"itemData":{"id":484,"type":"paper-conference","collection-title":"Computer-Aided Chemical Engineering","container-title":"21st European Symposium on Computer Aided Process Engineering","event-place":"AMSTERDAM","ISBN":"0-444-53895-X","page":"271-275","publisher":"Elsevier","publisher-place":"AMSTERDAM","title":"A systematic methodology for the design of continuous active pharmaceutical ingredient production processes","volume":"29","author":[{"family":"Cervera-Padrell","given":"Albert E."},{"family":"Gani","given":"Rafiqul"},{"family":"Kiil","given":"Soren"},{"family":"Skovby","given":"Tommy"},{"family":"Gernaey","given":"Krist V."}],"issued":{"date-parts":[["2011"]]}}},{"id":492,"uris":["http://zotero.org/users/1322096/items/2HIQN3KP"],"itemData":{"id":492,"type":"chapter","abstract":"Continuous Pharmaceutical Manufacturing can foster the production of key molecules, because it has a strong potential to improve product quality and suppress operating cost. Novel pharmaceutical production lines are thus ideal for exploring this paradigm shift, by introducing systematic process design, modern analytics and advanced control. Microreactor and microseparator engineering appears particularly advantageous in this high-value and low-capacity context, both at a pilot-plant and a full-production scale, and it can be combined with a plethora of proven continuous downstream technologies, facilitating the reduction of total organic waste emission and environmental footprint. The present paper focuses on flowsheet synthesis and optimization of an upstream process which is targeted at the production of a novel active pharmaceutical ingredient. The process flowsheet comprises four organic synthesis reactions and three separations, considering microsystems (microreactors and microseparators) for the respective steps. Conceptual synthesis allows for efficient separation and solvent integration, and indeed improves process economics, in contrast to wasteful batch pharmaceutical processing. Steady-state mass balances have been determined for the desired throughput and purity.","collection-title":"10th International Symposium on Process Systems Engineering: Part A","container-title":"Computer Aided Chemical Engineering","ISBN":"1570-7946","page":"927-932","publisher":"Elsevier","source":"ScienceDirect","title":"Steady-State Optimization of a Continuous Pharmaceutical Process","URL":"http://www.sciencedirect.com/science/article/pii/S157079460970375X","volume":"Volume 27","author":[{"family":"Gerogiorgis","given":"Dimitrios I."},{"family":"Barton","given":"Paul I."}],"editor":[{"family":"Rita Maria de Brito Alves","given":"Caludio Augusto Oller do Nascimento and Evaristo Chalbaud Biscaia"}],"accessed":{"date-parts":[["2014",9,29]]},"issued":{"date-parts":[["2009"]]}}}],"schema":"https://github.com/citation-style-language/schema/raw/master/csl-citation.json"} </w:instrText>
      </w:r>
      <w:r w:rsidR="00AC61DF">
        <w:fldChar w:fldCharType="separate"/>
      </w:r>
      <w:r w:rsidR="007B497A" w:rsidRPr="007B497A">
        <w:t>(Cervera-Padrell et al., 2011; Gerogiorgis and Barton, 2009; Lee et al., 2015; Plumb, 2005)</w:t>
      </w:r>
      <w:r w:rsidR="00AC61DF">
        <w:fldChar w:fldCharType="end"/>
      </w:r>
      <w:r w:rsidR="00AC61DF">
        <w:t>. In particular, Continuous Direct Compaction (CDC</w:t>
      </w:r>
      <w:r w:rsidR="00577693">
        <w:t>)</w:t>
      </w:r>
      <w:r w:rsidR="00AC61DF">
        <w:t xml:space="preserve"> is attractive as a way to reduce material use </w:t>
      </w:r>
      <w:r w:rsidR="00577693">
        <w:t xml:space="preserve">and development time </w:t>
      </w:r>
      <w:r w:rsidR="00AC61DF">
        <w:t>during the p</w:t>
      </w:r>
      <w:r w:rsidR="00AD0D97">
        <w:t>roduction of solid dosage forms</w:t>
      </w:r>
      <w:r w:rsidR="00577693">
        <w:t>, from key benefits of a simple manufacturing route and a reduction in scale</w:t>
      </w:r>
      <w:r w:rsidR="0082225F">
        <w:t>-up needs</w:t>
      </w:r>
      <w:r w:rsidR="00AD0D97">
        <w:t xml:space="preserve"> </w:t>
      </w:r>
      <w:r w:rsidR="00AD0D97">
        <w:fldChar w:fldCharType="begin"/>
      </w:r>
      <w:r w:rsidR="007B497A">
        <w:instrText xml:space="preserve"> ADDIN ZOTERO_ITEM CSL_CITATION {"citationID":"emOzGDQp","properties":{"formattedCitation":"(Ierapetritou et al., 2016; Vanarase and Muzzio, 2011)","plainCitation":"(Ierapetritou et al., 2016; Vanarase and Muzzio, 2011)","noteIndex":0},"citationItems":[{"id":87,"uris":["http://zotero.org/users/1322096/items/N99HEM4C"],"itemData":{"id":87,"type":"article-journal","container-title":"AIChE Journal","DOI":"10.1002/aic.15210","ISSN":"1547-5905","issue":"6","journalAbbreviation":"AIChE J.","language":"en","page":"1846-1862","source":"Wiley Online Library","title":"Perspectives on the continuous manufacturing of powder-based pharmaceutical processes","volume":"62","author":[{"family":"Ierapetritou","given":"Marianthi"},{"family":"Muzzio","given":"Fernando"},{"family":"Reklaitis","given":"Gintaras"}],"issued":{"date-parts":[["2016",6,1]]}}},{"id":1780,"uris":["http://zotero.org/users/1322096/items/P4SX8BSX"],"itemData":{"id":1780,"type":"article-journal","abstract":"An experimental investigation was carried out to study the mixing performance and flow behavior in a continuous powder mixer for a typical pharmaceutical mixture. Blender performance, characterized by the relative standard deviation (RSD) of composition of blend samples taken at the blender discharge and by the variance reduction ratio (VRR) of the blender, was measured as a function of impeller rotation rate, flow rate and blade configuration. The flow behavior in the continuous mixer was characterized using the residence time distribution (RTD) and powder hold-up measurements. To quantify the strain applied to the powder in the blender, the number of blade passes experienced by the powder in the blender was calculated using the residence time measurements. The relationship between different experimental parameters and mean residence time and mean centered variance was examined. The mixing performance was largely dominated by the material properties of the mixture, which had a larger effect than the ingredient flow rate variability contributed by the feeders. Holdup was strongly dependent on impeller rotation rate; as impeller rotation rate increased, holdup (and therefore, residence time) decreased sharply. As a result, intermediate rotation rates showed the best mixing performance. Blade configuration affected performance as well; blade patterns where some of the blades push the powder backwards improved the mixing performance.","container-title":"Powder Technology","DOI":"10.1016/j.powtec.2010.11.038","ISSN":"0032-5910","issue":"1","journalAbbreviation":"Powder Technology","language":"en","page":"26-36","source":"ScienceDirect","title":"Effect of operating conditions and design parameters in a continuous powder mixer","volume":"208","author":[{"family":"Vanarase","given":"Aditya U."},{"family":"Muzzio","given":"Fernando J."}],"issued":{"date-parts":[["2011",3,10]]}}}],"schema":"https://github.com/citation-style-language/schema/raw/master/csl-citation.json"} </w:instrText>
      </w:r>
      <w:r w:rsidR="00AD0D97">
        <w:fldChar w:fldCharType="separate"/>
      </w:r>
      <w:r w:rsidR="001C2CBB" w:rsidRPr="001C2CBB">
        <w:t>(Ierapetritou et al., 2016; Vanarase and Muzzio, 2011)</w:t>
      </w:r>
      <w:r w:rsidR="00AD0D97">
        <w:fldChar w:fldCharType="end"/>
      </w:r>
      <w:r w:rsidR="00AD0D97">
        <w:t>. Understanding powder mixing phenomena becomes key, and models that are trans</w:t>
      </w:r>
      <w:r w:rsidR="0082225F">
        <w:t xml:space="preserve">ferable across mixing durations, </w:t>
      </w:r>
      <w:r w:rsidR="00AD0D97">
        <w:t>intensities</w:t>
      </w:r>
      <w:r w:rsidR="0082225F">
        <w:t xml:space="preserve"> and scales</w:t>
      </w:r>
      <w:r w:rsidR="00AD0D97">
        <w:t xml:space="preserve"> have high utility </w:t>
      </w:r>
      <w:r w:rsidR="00AD0D97">
        <w:fldChar w:fldCharType="begin"/>
      </w:r>
      <w:r w:rsidR="007B497A">
        <w:instrText xml:space="preserve"> ADDIN ZOTERO_ITEM CSL_CITATION {"citationID":"9yu3v5GJ","properties":{"formattedCitation":"(Gao et al., 2013; Moghtadernejad et al., 2018)","plainCitation":"(Gao et al., 2013; Moghtadernejad et al., 2018)","noteIndex":0},"citationItems":[{"id":375,"uris":["http://zotero.org/users/1322096/items/MCPXYR8G"],"itemData":{"id":375,"type":"article-journal","abstract":"Continuous powder mixing has attracted a lot of interest within the pharmaceutical industry. Much work has been done recently that targets the characterization of continuous powder mixing. In this paper, a quantitative scaling up strategy is introduced that allows the transition from lab to industrial scale. The proposed methodology is based on the variance spectrum analysis, and the residence time distribution, which are key indexes in capturing scale-up of the batch-like mixing, and scale-up of the axial mixing and motion, respectively. Our simulation results are used as preliminary guidance for scaling up different powder mixing cases.","container-title":"Powder Technology","DOI":"10.1016/j.powtec.2012.09.036","ISSN":"0032-5910","journalAbbreviation":"Powder Technology","page":"55-69","source":"ScienceDirect","title":"Scale-up strategy for continuous powder blending process","volume":"235","author":[{"family":"Gao","given":"Yijie"},{"family":"Muzzio","given":"Fernando J."},{"family":"Ierapetritou","given":"Marianthi G."}],"issued":{"date-parts":[["2013",2,1]]}}},{"id":1804,"uris":["http://zotero.org/users/1322096/items/M8NDG932"],"itemData":{"id":1804,"type":"article-journal","abstract":"As the pharmaceutical industry increasingly adopts continuous manufacturing technology, significant attention must be paid to process analytical technology (PAT), process integration, and process control. Published information is no substitute for hands-on comprehensive training, which is critical to implementing and operating continuous pharmaceutical manufacturing systems effectively and efficiently. In this article, an intensive hands-on training course has been developed and implemented at the Engineering Research Center for Structured Organic Particulate Systems (C-SOPS) based on 15 years of experience and several implemented systems. Here, we brought the details of the four integral components in a continuous direct compression manufacturing process: (1) unit operations, (2) PAT, (3) modeling and process controls, and (4) material characterization. Each section built-in classroom lectures with a brief overview on the theoretical aspects of each topic, followed by a hands-on session covering the classroom theory. The training program is described here in sufficient detail to enable creation of similar programs at other institutions.","container-title":"Journal of Pharmaceutical Innovation","DOI":"10.1007/s12247-018-9313-5","ISSN":"1939-8042","issue":"2","journalAbbreviation":"J Pharm Innov","language":"en","page":"155-187","source":"Springer Link","title":"A Training on: Continuous Manufacturing (Direct Compaction) of Solid Dose Pharmaceutical Products","title-short":"A Training on","volume":"13","author":[{"family":"Moghtadernejad","given":"Sara"},{"family":"Escotet-Espinoza","given":"M. Sebastian"},{"family":"Oka","given":"Sarang"},{"family":"Singh","given":"Ravendra"},{"family":"Liu","given":"Zhanjie"},{"family":"Román-Ospino","given":"Andrés D."},{"family":"Li","given":"Tianyi"},{"family":"Razavi","given":"Sonia"},{"family":"Panikar","given":"Savitha"},{"family":"Scicolone","given":"James"},{"family":"Callegari","given":"Gerardo"},{"family":"Hausner","given":"Douglas"},{"family":"Muzzio","given":"Fernando"}],"issued":{"date-parts":[["2018",6,1]]}}}],"schema":"https://github.com/citation-style-language/schema/raw/master/csl-citation.json"} </w:instrText>
      </w:r>
      <w:r w:rsidR="00AD0D97">
        <w:fldChar w:fldCharType="separate"/>
      </w:r>
      <w:r w:rsidR="001C2CBB" w:rsidRPr="001C2CBB">
        <w:t>(Gao et al., 2013; Moghtadernejad et al., 2018)</w:t>
      </w:r>
      <w:r w:rsidR="00AD0D97">
        <w:fldChar w:fldCharType="end"/>
      </w:r>
      <w:r w:rsidR="0082225F">
        <w:t>.</w:t>
      </w:r>
    </w:p>
    <w:p w14:paraId="144DE68B" w14:textId="77777777" w:rsidR="008D2649" w:rsidRDefault="008D2649" w:rsidP="008D2649">
      <w:pPr>
        <w:pStyle w:val="Els-body-text"/>
      </w:pPr>
    </w:p>
    <w:p w14:paraId="3D00DD62" w14:textId="6F7CDA24" w:rsidR="00057E66" w:rsidRDefault="00977B9C" w:rsidP="008D2649">
      <w:pPr>
        <w:pStyle w:val="Els-body-text"/>
      </w:pPr>
      <w:r>
        <w:t xml:space="preserve">In the literature, various batch blenders have been characterized and their operation </w:t>
      </w:r>
      <w:r w:rsidR="008F07AF">
        <w:t xml:space="preserve">in terms of </w:t>
      </w:r>
      <w:r w:rsidR="00E54B26">
        <w:t xml:space="preserve">impact on tablet </w:t>
      </w:r>
      <w:r w:rsidR="008F07AF">
        <w:t xml:space="preserve">tensile strength at solid fraction of 0.85 </w:t>
      </w:r>
      <w:r w:rsidR="00E54B26">
        <w:t>(</w:t>
      </w:r>
      <w:proofErr w:type="spellStart"/>
      <w:r w:rsidR="008F07AF" w:rsidRPr="008F07AF">
        <w:rPr>
          <w:rFonts w:ascii="Cambria Math" w:hAnsi="Cambria Math"/>
          <w:i/>
        </w:rPr>
        <w:t>σ</w:t>
      </w:r>
      <w:r w:rsidR="008F07AF">
        <w:rPr>
          <w:vertAlign w:val="subscript"/>
        </w:rPr>
        <w:t>SF</w:t>
      </w:r>
      <w:proofErr w:type="spellEnd"/>
      <w:r w:rsidR="008F07AF">
        <w:rPr>
          <w:vertAlign w:val="subscript"/>
        </w:rPr>
        <w:t>=0.85</w:t>
      </w:r>
      <w:r w:rsidR="008F07AF">
        <w:t>)</w:t>
      </w:r>
      <w:r w:rsidR="00534113">
        <w:t xml:space="preserve"> </w:t>
      </w:r>
      <w:r w:rsidR="00E54B26">
        <w:t xml:space="preserve">can be generalized by the following equation </w:t>
      </w:r>
      <w:r w:rsidR="00534113">
        <w:fldChar w:fldCharType="begin"/>
      </w:r>
      <w:r w:rsidR="007B497A">
        <w:instrText xml:space="preserve"> ADDIN ZOTERO_ITEM CSL_CITATION {"citationID":"aWmidmcl","properties":{"formattedCitation":"(Kushner and Moore, 2010)","plainCitation":"(Kushner and Moore, 2010)","noteIndex":0},"citationItems":[{"id":366,"uris":["http://zotero.org/users/1322096/items/4QX66V8Y"],"itemData":{"id":366,"type":"article-journal","abstract":"Lubrication of 2:1 and 1:1 blends of microcrystalline cellulose and spray-dried lactose or dibasic calcium phosphate (DCP) with 0.33% or 1% magnesium stearate, as model free-flowing pharmaceutical formulations, was performed in rotary drum blenders. Blender process parameters examined in this study included type (Bin, V, and Turbula), volume (0.75-Quart to 200-L), fraction of headspace in the blender after the blend is loaded (30–70%), speed (6–202rpm), and time (up to 225min). Based on analysis of the experimental data, the following model for the impact of the lubrication process on tablet tensile strength at 0.85 solid fraction, TSSF=0.85, was obtained, TSSF=0.85=TSSF=0.85,0β exp−γ×V1/3×Fheadspace×r+1−β, where V is blender volume, Fheadspace is the headspace fraction, r is the number of revolutions (i.e. speed×time), TSSF=0.85,0 is the initial tensile strength of the blend, β is the sensitivity of the blend to lubrication, and γ is the lubrication rate constant of the formulation. This model can be used to maintain tensile strength during scale-up, by ensuring that (V1/3Fheadspacer)1=(V1/3Fheadspacer)2. The model also suggests that formulations with DCP are less sensitive to lubrication and more slowly lubricated than formulations with spray-dried lactose (i.e. smaller β and γ values).","container-title":"International Journal of Pharmaceutics","DOI":"10.1016/j.ijpharm.2010.07.033","ISSN":"0378-5173","issue":"1","journalAbbreviation":"International Journal of Pharmaceutics","language":"en","page":"19-30","source":"ScienceDirect","title":"Scale-up model describing the impact of lubrication on tablet tensile strength","volume":"399","author":[{"family":"Kushner","given":"Joseph"},{"family":"Moore","given":"Francis"}],"issued":{"date-parts":[["2010",10,31]]}}}],"schema":"https://github.com/citation-style-language/schema/raw/master/csl-citation.json"} </w:instrText>
      </w:r>
      <w:r w:rsidR="00534113">
        <w:fldChar w:fldCharType="separate"/>
      </w:r>
      <w:r w:rsidR="001C2CBB" w:rsidRPr="001C2CBB">
        <w:t>(Kushner and Moore, 2010)</w:t>
      </w:r>
      <w:r w:rsidR="00534113">
        <w:fldChar w:fldCharType="end"/>
      </w: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82"/>
        <w:gridCol w:w="816"/>
        <w:gridCol w:w="116"/>
        <w:gridCol w:w="72"/>
      </w:tblGrid>
      <w:tr w:rsidR="00977B9C" w:rsidRPr="00D37B63" w14:paraId="709549A6" w14:textId="77777777" w:rsidTr="0012434C">
        <w:trPr>
          <w:trHeight w:val="284"/>
        </w:trPr>
        <w:tc>
          <w:tcPr>
            <w:tcW w:w="6082" w:type="dxa"/>
            <w:vAlign w:val="center"/>
          </w:tcPr>
          <w:p w14:paraId="31BBFDF7" w14:textId="3F6E6FA4" w:rsidR="00977B9C" w:rsidRPr="00977B9C" w:rsidRDefault="00EB3808" w:rsidP="00977B9C">
            <w:pPr>
              <w:spacing w:before="120" w:after="120"/>
            </w:pPr>
            <m:oMathPara>
              <m:oMathParaPr>
                <m:jc m:val="left"/>
              </m:oMathParaPr>
              <m:oMath>
                <m:sSub>
                  <m:sSubPr>
                    <m:ctrlPr>
                      <w:rPr>
                        <w:rFonts w:ascii="Cambria Math" w:eastAsia="Times New Roman" w:hAnsi="Cambria Math"/>
                        <w:i/>
                        <w:sz w:val="20"/>
                      </w:rPr>
                    </m:ctrlPr>
                  </m:sSubPr>
                  <m:e>
                    <m:r>
                      <w:rPr>
                        <w:rFonts w:ascii="Cambria Math" w:eastAsia="Times New Roman" w:hAnsi="Cambria Math"/>
                        <w:sz w:val="20"/>
                      </w:rPr>
                      <m:t>σ</m:t>
                    </m:r>
                  </m:e>
                  <m:sub>
                    <m:r>
                      <m:rPr>
                        <m:sty m:val="p"/>
                      </m:rPr>
                      <w:rPr>
                        <w:rFonts w:ascii="Cambria Math" w:eastAsia="Times New Roman" w:hAnsi="Cambria Math"/>
                        <w:sz w:val="20"/>
                      </w:rPr>
                      <m:t>SF</m:t>
                    </m:r>
                    <m:r>
                      <w:rPr>
                        <w:rFonts w:ascii="Cambria Math" w:eastAsia="Times New Roman" w:hAnsi="Cambria Math"/>
                        <w:sz w:val="20"/>
                      </w:rPr>
                      <m:t>=0.85</m:t>
                    </m:r>
                  </m:sub>
                </m:sSub>
                <m:r>
                  <m:rPr>
                    <m:sty m:val="p"/>
                  </m:rPr>
                  <w:rPr>
                    <w:rFonts w:ascii="Cambria Math" w:hAnsi="Cambria Math"/>
                    <w:sz w:val="20"/>
                  </w:rPr>
                  <m:t>=</m:t>
                </m:r>
                <m:sSub>
                  <m:sSubPr>
                    <m:ctrlPr>
                      <w:rPr>
                        <w:rFonts w:ascii="Cambria Math" w:eastAsia="Times New Roman" w:hAnsi="Cambria Math"/>
                        <w:i/>
                        <w:sz w:val="20"/>
                      </w:rPr>
                    </m:ctrlPr>
                  </m:sSubPr>
                  <m:e>
                    <m:r>
                      <w:rPr>
                        <w:rFonts w:ascii="Cambria Math" w:eastAsia="Times New Roman" w:hAnsi="Cambria Math"/>
                        <w:sz w:val="20"/>
                      </w:rPr>
                      <m:t>σ</m:t>
                    </m:r>
                  </m:e>
                  <m:sub>
                    <m:r>
                      <m:rPr>
                        <m:sty m:val="p"/>
                      </m:rPr>
                      <w:rPr>
                        <w:rFonts w:ascii="Cambria Math" w:eastAsia="Times New Roman" w:hAnsi="Cambria Math"/>
                        <w:sz w:val="20"/>
                      </w:rPr>
                      <m:t>SF</m:t>
                    </m:r>
                    <m:r>
                      <w:rPr>
                        <w:rFonts w:ascii="Cambria Math" w:eastAsia="Times New Roman" w:hAnsi="Cambria Math"/>
                        <w:sz w:val="20"/>
                      </w:rPr>
                      <m:t>=0.85,</m:t>
                    </m:r>
                    <m:r>
                      <m:rPr>
                        <m:sty m:val="p"/>
                      </m:rPr>
                      <w:rPr>
                        <w:rFonts w:ascii="Cambria Math" w:eastAsia="Times New Roman" w:hAnsi="Cambria Math"/>
                        <w:sz w:val="20"/>
                      </w:rPr>
                      <m:t>min</m:t>
                    </m:r>
                  </m:sub>
                </m:sSub>
                <m:r>
                  <w:rPr>
                    <w:rFonts w:ascii="Cambria Math" w:eastAsia="Times New Roman" w:hAnsi="Cambria Math"/>
                    <w:sz w:val="20"/>
                  </w:rPr>
                  <m:t>-</m:t>
                </m:r>
                <m:sSup>
                  <m:sSupPr>
                    <m:ctrlPr>
                      <w:rPr>
                        <w:rFonts w:ascii="Cambria Math" w:hAnsi="Cambria Math"/>
                        <w:sz w:val="20"/>
                      </w:rPr>
                    </m:ctrlPr>
                  </m:sSupPr>
                  <m:e>
                    <m:d>
                      <m:dPr>
                        <m:ctrlPr>
                          <w:rPr>
                            <w:rFonts w:ascii="Cambria Math" w:hAnsi="Cambria Math"/>
                            <w:sz w:val="20"/>
                          </w:rPr>
                        </m:ctrlPr>
                      </m:dPr>
                      <m:e>
                        <m:sSub>
                          <m:sSubPr>
                            <m:ctrlPr>
                              <w:rPr>
                                <w:rFonts w:ascii="Cambria Math" w:eastAsia="Times New Roman" w:hAnsi="Cambria Math"/>
                                <w:i/>
                                <w:sz w:val="20"/>
                              </w:rPr>
                            </m:ctrlPr>
                          </m:sSubPr>
                          <m:e>
                            <m:r>
                              <w:rPr>
                                <w:rFonts w:ascii="Cambria Math" w:eastAsia="Times New Roman" w:hAnsi="Cambria Math"/>
                                <w:sz w:val="20"/>
                              </w:rPr>
                              <m:t>σ</m:t>
                            </m:r>
                          </m:e>
                          <m:sub>
                            <m:r>
                              <m:rPr>
                                <m:sty m:val="p"/>
                              </m:rPr>
                              <w:rPr>
                                <w:rFonts w:ascii="Cambria Math" w:eastAsia="Times New Roman" w:hAnsi="Cambria Math"/>
                                <w:sz w:val="20"/>
                              </w:rPr>
                              <m:t>SF</m:t>
                            </m:r>
                            <m:r>
                              <w:rPr>
                                <w:rFonts w:ascii="Cambria Math" w:eastAsia="Times New Roman" w:hAnsi="Cambria Math"/>
                                <w:sz w:val="20"/>
                              </w:rPr>
                              <m:t>=0.85,</m:t>
                            </m:r>
                            <m:r>
                              <m:rPr>
                                <m:sty m:val="p"/>
                              </m:rPr>
                              <w:rPr>
                                <w:rFonts w:ascii="Cambria Math" w:eastAsia="Times New Roman" w:hAnsi="Cambria Math"/>
                                <w:sz w:val="20"/>
                              </w:rPr>
                              <m:t>max</m:t>
                            </m:r>
                          </m:sub>
                        </m:sSub>
                        <m:r>
                          <w:rPr>
                            <w:rFonts w:ascii="Cambria Math" w:eastAsia="Times New Roman" w:hAnsi="Cambria Math"/>
                            <w:sz w:val="20"/>
                          </w:rPr>
                          <m:t>-</m:t>
                        </m:r>
                        <m:sSub>
                          <m:sSubPr>
                            <m:ctrlPr>
                              <w:rPr>
                                <w:rFonts w:ascii="Cambria Math" w:eastAsia="Times New Roman" w:hAnsi="Cambria Math"/>
                                <w:i/>
                                <w:sz w:val="20"/>
                              </w:rPr>
                            </m:ctrlPr>
                          </m:sSubPr>
                          <m:e>
                            <m:r>
                              <w:rPr>
                                <w:rFonts w:ascii="Cambria Math" w:eastAsia="Times New Roman" w:hAnsi="Cambria Math"/>
                                <w:sz w:val="20"/>
                              </w:rPr>
                              <m:t>σ</m:t>
                            </m:r>
                          </m:e>
                          <m:sub>
                            <m:r>
                              <m:rPr>
                                <m:sty m:val="p"/>
                              </m:rPr>
                              <w:rPr>
                                <w:rFonts w:ascii="Cambria Math" w:eastAsia="Times New Roman" w:hAnsi="Cambria Math"/>
                                <w:sz w:val="20"/>
                              </w:rPr>
                              <m:t>SF</m:t>
                            </m:r>
                            <m:r>
                              <w:rPr>
                                <w:rFonts w:ascii="Cambria Math" w:eastAsia="Times New Roman" w:hAnsi="Cambria Math"/>
                                <w:sz w:val="20"/>
                              </w:rPr>
                              <m:t>=0.85,</m:t>
                            </m:r>
                            <m:r>
                              <m:rPr>
                                <m:sty m:val="p"/>
                              </m:rPr>
                              <w:rPr>
                                <w:rFonts w:ascii="Cambria Math" w:eastAsia="Times New Roman" w:hAnsi="Cambria Math"/>
                                <w:sz w:val="20"/>
                              </w:rPr>
                              <m:t>min</m:t>
                            </m:r>
                          </m:sub>
                        </m:sSub>
                      </m:e>
                    </m:d>
                    <m:r>
                      <m:rPr>
                        <m:sty m:val="p"/>
                      </m:rPr>
                      <w:rPr>
                        <w:rFonts w:ascii="Cambria Math" w:hAnsi="Cambria Math"/>
                        <w:sz w:val="20"/>
                      </w:rPr>
                      <m:t>e</m:t>
                    </m:r>
                  </m:e>
                  <m:sup>
                    <m:r>
                      <w:rPr>
                        <w:rFonts w:ascii="Cambria Math" w:hAnsi="Cambria Math"/>
                        <w:sz w:val="20"/>
                      </w:rPr>
                      <m:t>-</m:t>
                    </m:r>
                    <m:r>
                      <w:rPr>
                        <w:rFonts w:ascii="Cambria Math" w:hAnsi="Cambria Math"/>
                        <w:sz w:val="20"/>
                      </w:rPr>
                      <m:t>γ</m:t>
                    </m:r>
                    <m:sSup>
                      <m:sSupPr>
                        <m:ctrlPr>
                          <w:rPr>
                            <w:rFonts w:ascii="Cambria Math" w:hAnsi="Cambria Math"/>
                            <w:i/>
                            <w:sz w:val="20"/>
                          </w:rPr>
                        </m:ctrlPr>
                      </m:sSupPr>
                      <m:e>
                        <m:r>
                          <w:rPr>
                            <w:rFonts w:ascii="Cambria Math" w:hAnsi="Cambria Math"/>
                            <w:sz w:val="20"/>
                          </w:rPr>
                          <m:t>V</m:t>
                        </m:r>
                      </m:e>
                      <m:sup>
                        <m:r>
                          <w:rPr>
                            <w:rFonts w:ascii="Cambria Math" w:hAnsi="Cambria Math"/>
                            <w:sz w:val="20"/>
                          </w:rPr>
                          <m:t>1/3</m:t>
                        </m:r>
                      </m:sup>
                    </m:sSup>
                    <m:r>
                      <w:rPr>
                        <w:rFonts w:ascii="Cambria Math" w:hAnsi="Cambria Math"/>
                        <w:sz w:val="20"/>
                      </w:rPr>
                      <m:t>FR</m:t>
                    </m:r>
                  </m:sup>
                </m:sSup>
              </m:oMath>
            </m:oMathPara>
          </w:p>
        </w:tc>
        <w:tc>
          <w:tcPr>
            <w:tcW w:w="816" w:type="dxa"/>
            <w:vAlign w:val="center"/>
          </w:tcPr>
          <w:p w14:paraId="140AB9AF" w14:textId="77777777" w:rsidR="00977B9C" w:rsidRPr="00D37B63" w:rsidRDefault="00977B9C" w:rsidP="0012434C">
            <w:pPr>
              <w:spacing w:before="120" w:after="120"/>
              <w:jc w:val="right"/>
              <w:rPr>
                <w:rFonts w:ascii="Times New Roman" w:eastAsiaTheme="minorEastAsia" w:hAnsi="Times New Roman" w:cs="Times New Roman"/>
                <w:sz w:val="20"/>
              </w:rPr>
            </w:pPr>
            <w:r w:rsidRPr="00D37B63">
              <w:rPr>
                <w:rFonts w:ascii="Times New Roman" w:eastAsiaTheme="minorEastAsia" w:hAnsi="Times New Roman" w:cs="Times New Roman"/>
                <w:sz w:val="20"/>
              </w:rPr>
              <w:t>(</w:t>
            </w:r>
          </w:p>
        </w:tc>
        <w:tc>
          <w:tcPr>
            <w:tcW w:w="116" w:type="dxa"/>
            <w:vAlign w:val="center"/>
          </w:tcPr>
          <w:p w14:paraId="7A8236F4" w14:textId="5B11F5A1" w:rsidR="00977B9C" w:rsidRPr="00D37B63" w:rsidRDefault="00977B9C" w:rsidP="0012434C">
            <w:pPr>
              <w:spacing w:before="120" w:after="120"/>
              <w:jc w:val="center"/>
              <w:rPr>
                <w:rFonts w:ascii="Times New Roman" w:hAnsi="Times New Roman" w:cs="Times New Roman"/>
                <w:sz w:val="20"/>
              </w:rPr>
            </w:pPr>
            <w:r w:rsidRPr="00D37B63">
              <w:fldChar w:fldCharType="begin"/>
            </w:r>
            <w:r w:rsidRPr="00D37B63">
              <w:rPr>
                <w:rFonts w:ascii="Times New Roman" w:hAnsi="Times New Roman" w:cs="Times New Roman"/>
                <w:sz w:val="20"/>
              </w:rPr>
              <w:instrText xml:space="preserve"> SEQ Equation \* ARABIC </w:instrText>
            </w:r>
            <w:r w:rsidRPr="00D37B63">
              <w:fldChar w:fldCharType="separate"/>
            </w:r>
            <w:bookmarkStart w:id="0" w:name="_Ref149837087"/>
            <w:r w:rsidR="00B10B92">
              <w:rPr>
                <w:rFonts w:ascii="Times New Roman" w:hAnsi="Times New Roman" w:cs="Times New Roman"/>
                <w:noProof/>
                <w:sz w:val="20"/>
              </w:rPr>
              <w:t>1</w:t>
            </w:r>
            <w:bookmarkEnd w:id="0"/>
            <w:r w:rsidRPr="00D37B63">
              <w:rPr>
                <w:noProof/>
              </w:rPr>
              <w:fldChar w:fldCharType="end"/>
            </w:r>
          </w:p>
        </w:tc>
        <w:tc>
          <w:tcPr>
            <w:tcW w:w="72" w:type="dxa"/>
            <w:vAlign w:val="center"/>
          </w:tcPr>
          <w:p w14:paraId="70831A4F" w14:textId="77777777" w:rsidR="00977B9C" w:rsidRPr="00D37B63" w:rsidRDefault="00977B9C" w:rsidP="0012434C">
            <w:pPr>
              <w:spacing w:before="120" w:after="120"/>
              <w:rPr>
                <w:rFonts w:ascii="Times New Roman" w:hAnsi="Times New Roman" w:cs="Times New Roman"/>
                <w:sz w:val="20"/>
              </w:rPr>
            </w:pPr>
            <w:r w:rsidRPr="00D37B63">
              <w:rPr>
                <w:rFonts w:ascii="Times New Roman" w:hAnsi="Times New Roman" w:cs="Times New Roman"/>
                <w:sz w:val="20"/>
              </w:rPr>
              <w:t>)</w:t>
            </w:r>
          </w:p>
        </w:tc>
      </w:tr>
    </w:tbl>
    <w:p w14:paraId="144DE694" w14:textId="7EB82DF8" w:rsidR="008D2649" w:rsidRDefault="00977B9C" w:rsidP="008D2649">
      <w:pPr>
        <w:pStyle w:val="Els-body-text"/>
      </w:pPr>
      <w:r>
        <w:lastRenderedPageBreak/>
        <w:t>Where</w:t>
      </w:r>
      <w:r w:rsidR="00A94E3C">
        <w:t xml:space="preserve"> there are three formulation-dependent fitting parameters</w:t>
      </w:r>
      <w:r>
        <w:t xml:space="preserve"> </w:t>
      </w:r>
      <w:r w:rsidR="00A94E3C">
        <w:t>(</w:t>
      </w:r>
      <w:proofErr w:type="spellStart"/>
      <w:r w:rsidRPr="00930BD3">
        <w:rPr>
          <w:rFonts w:cs="Arial"/>
          <w:i/>
          <w:iCs/>
        </w:rPr>
        <w:t>σ</w:t>
      </w:r>
      <w:r>
        <w:rPr>
          <w:vertAlign w:val="subscript"/>
        </w:rPr>
        <w:t>SF</w:t>
      </w:r>
      <w:proofErr w:type="spellEnd"/>
      <w:r>
        <w:rPr>
          <w:vertAlign w:val="subscript"/>
        </w:rPr>
        <w:t>=0.85</w:t>
      </w:r>
      <w:proofErr w:type="gramStart"/>
      <w:r>
        <w:rPr>
          <w:vertAlign w:val="subscript"/>
        </w:rPr>
        <w:t>,min</w:t>
      </w:r>
      <w:proofErr w:type="gramEnd"/>
      <w:r w:rsidR="00A94E3C">
        <w:t xml:space="preserve">, </w:t>
      </w:r>
      <w:r>
        <w:t xml:space="preserve">lowest </w:t>
      </w:r>
      <w:r w:rsidR="00A94E3C">
        <w:t xml:space="preserve">achievable </w:t>
      </w:r>
      <w:r>
        <w:t>tensile strength</w:t>
      </w:r>
      <w:r w:rsidR="00A94E3C">
        <w:t>;</w:t>
      </w:r>
      <w:r>
        <w:t xml:space="preserve"> </w:t>
      </w:r>
      <w:proofErr w:type="spellStart"/>
      <w:r w:rsidRPr="00930BD3">
        <w:rPr>
          <w:rFonts w:cs="Arial"/>
          <w:i/>
          <w:iCs/>
        </w:rPr>
        <w:t>σ</w:t>
      </w:r>
      <w:r>
        <w:rPr>
          <w:vertAlign w:val="subscript"/>
        </w:rPr>
        <w:t>SF</w:t>
      </w:r>
      <w:proofErr w:type="spellEnd"/>
      <w:r>
        <w:rPr>
          <w:vertAlign w:val="subscript"/>
        </w:rPr>
        <w:t>=0.85,max</w:t>
      </w:r>
      <w:r w:rsidR="00A94E3C">
        <w:t xml:space="preserve">, </w:t>
      </w:r>
      <w:r>
        <w:t xml:space="preserve">theoretical tensile strength </w:t>
      </w:r>
      <w:r w:rsidR="00A94E3C">
        <w:t>of an unblended mixture;</w:t>
      </w:r>
      <w:r>
        <w:t xml:space="preserve"> </w:t>
      </w:r>
      <w:r>
        <w:rPr>
          <w:rFonts w:cs="Arial"/>
          <w:i/>
          <w:iCs/>
        </w:rPr>
        <w:t>γ</w:t>
      </w:r>
      <w:r w:rsidR="00A94E3C">
        <w:t xml:space="preserve">, </w:t>
      </w:r>
      <w:r>
        <w:t>a rate constant</w:t>
      </w:r>
      <w:r w:rsidR="00A94E3C">
        <w:t>) and three process-dependent variables (</w:t>
      </w:r>
      <w:r w:rsidR="00A94E3C" w:rsidRPr="00A94E3C">
        <w:rPr>
          <w:i/>
        </w:rPr>
        <w:t>V</w:t>
      </w:r>
      <w:r w:rsidR="00A94E3C" w:rsidRPr="00A94E3C">
        <w:rPr>
          <w:vertAlign w:val="superscript"/>
        </w:rPr>
        <w:t>1/3</w:t>
      </w:r>
      <w:r w:rsidR="00A94E3C">
        <w:t>, cube root of volume and a measure of mixing leng</w:t>
      </w:r>
      <w:r w:rsidR="00534113">
        <w:t xml:space="preserve">th scale; </w:t>
      </w:r>
      <w:r w:rsidR="00534113">
        <w:rPr>
          <w:i/>
        </w:rPr>
        <w:t>F</w:t>
      </w:r>
      <w:r w:rsidR="00534113">
        <w:t xml:space="preserve">, headspace fraction; </w:t>
      </w:r>
      <w:r w:rsidR="00534113">
        <w:rPr>
          <w:i/>
        </w:rPr>
        <w:t>R</w:t>
      </w:r>
      <w:r w:rsidR="00534113">
        <w:t xml:space="preserve">, number of revolutions and the product of blending time and speed </w:t>
      </w:r>
      <w:r w:rsidR="00534113">
        <w:rPr>
          <w:i/>
        </w:rPr>
        <w:t>i.e.</w:t>
      </w:r>
      <w:r w:rsidR="00534113">
        <w:t xml:space="preserve"> rotation rate). Batch blenders to which Eq. (</w:t>
      </w:r>
      <w:r w:rsidR="00534113">
        <w:fldChar w:fldCharType="begin"/>
      </w:r>
      <w:r w:rsidR="00534113">
        <w:instrText xml:space="preserve"> REF _Ref149837087 \h </w:instrText>
      </w:r>
      <w:r w:rsidR="00534113">
        <w:fldChar w:fldCharType="separate"/>
      </w:r>
      <w:r w:rsidR="00B10B92">
        <w:rPr>
          <w:noProof/>
        </w:rPr>
        <w:t>1</w:t>
      </w:r>
      <w:r w:rsidR="00534113">
        <w:fldChar w:fldCharType="end"/>
      </w:r>
      <w:r w:rsidR="00534113">
        <w:t xml:space="preserve">) applies are restricted to </w:t>
      </w:r>
      <w:r w:rsidR="003F3687">
        <w:t xml:space="preserve">mixing speeds that result in a Froude number </w:t>
      </w:r>
      <w:r w:rsidR="003F3687">
        <w:rPr>
          <w:i/>
        </w:rPr>
        <w:t>Fr</w:t>
      </w:r>
      <w:r w:rsidR="003F3687">
        <w:t xml:space="preserve"> value below 0.4</w:t>
      </w:r>
      <w:r w:rsidR="00C23B03">
        <w:t xml:space="preserve"> due to centrifugal forces </w:t>
      </w:r>
      <w:r w:rsidR="00C23B03">
        <w:fldChar w:fldCharType="begin"/>
      </w:r>
      <w:r w:rsidR="007B497A">
        <w:instrText xml:space="preserve"> ADDIN ZOTERO_ITEM CSL_CITATION {"citationID":"345v4Loo","properties":{"formattedCitation":"(Brone et al., 1998)","plainCitation":"(Brone et al., 1998)","noteIndex":0},"citationItems":[{"id":1795,"uris":["http://zotero.org/users/1322096/items/P3F92BDT"],"itemData":{"id":1795,"type":"article-journal","abstract":"Experiments were conducted to determine the effect of rotation rate, fill level, and total number of revolutions on the mixing performance of a V-blender. The experiments were performed using 66-μm red and green glass beads. Mixture uniformity was quantified after each experiment by infiltrating the mixtures with a binder, and using image analysis to examine slices of the solidfied mixture. The mixing rate (as a function of total revolutions) was not affected by changing the rotation rate between 8 and 24 rpm. The mixing rate increased significantly as the fill percentage was decreased from 60% to 40% of the total vessel volume. In a symmetric blender such as a V-blender, the rate of mixing is limited by the rate of mass transfer across the vessel plane of symmetry orthogonal to the axis of rotation. A one-parameter model based on the amount of material that crossed the plane of symmetry per revolution displayed good agreement with the experimental data.","container-title":"AIChE Journal","DOI":"10.1002/aic.690440206","ISSN":"1547-5905","issue":"2","language":"en","license":"Copyright © 1998 American Institute of Chemical Engineers (AIChE)","note":"_eprint: https://onlinelibrary.wiley.com/doi/pdf/10.1002/aic.690440206","page":"271-278","source":"Wiley Online Library","title":"Quantitative characterization of mixing of dry powders in V-blenders","volume":"44","author":[{"family":"Brone","given":"Dean"},{"family":"Alexander","given":"Albert"},{"family":"Muzzio","given":"F. J."}],"issued":{"date-parts":[["1998"]]}}}],"schema":"https://github.com/citation-style-language/schema/raw/master/csl-citation.json"} </w:instrText>
      </w:r>
      <w:r w:rsidR="00C23B03">
        <w:fldChar w:fldCharType="separate"/>
      </w:r>
      <w:r w:rsidR="001C2CBB" w:rsidRPr="001C2CBB">
        <w:t>(Brone et al., 1998)</w:t>
      </w:r>
      <w:r w:rsidR="00C23B03">
        <w:fldChar w:fldCharType="end"/>
      </w:r>
      <w:r w:rsidR="003F3687">
        <w:t>; Froude number (dimensionless) is the ratio of gravitational forces to inertial forces: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82"/>
        <w:gridCol w:w="816"/>
        <w:gridCol w:w="116"/>
        <w:gridCol w:w="72"/>
      </w:tblGrid>
      <w:tr w:rsidR="003F3687" w:rsidRPr="00D37B63" w14:paraId="776B62FD" w14:textId="77777777" w:rsidTr="0012434C">
        <w:trPr>
          <w:trHeight w:val="284"/>
        </w:trPr>
        <w:tc>
          <w:tcPr>
            <w:tcW w:w="6082" w:type="dxa"/>
            <w:vAlign w:val="center"/>
          </w:tcPr>
          <w:p w14:paraId="0D407447" w14:textId="77358ABB" w:rsidR="003F3687" w:rsidRPr="00594A9D" w:rsidRDefault="003F3687" w:rsidP="00594A9D">
            <w:pPr>
              <w:spacing w:before="120" w:after="120"/>
              <w:rPr>
                <w:sz w:val="20"/>
                <w:szCs w:val="20"/>
              </w:rPr>
            </w:pPr>
            <m:oMathPara>
              <m:oMathParaPr>
                <m:jc m:val="left"/>
              </m:oMathParaPr>
              <m:oMath>
                <m:r>
                  <w:rPr>
                    <w:rFonts w:ascii="Cambria Math" w:eastAsia="Times New Roman" w:hAnsi="Cambria Math"/>
                    <w:sz w:val="20"/>
                    <w:szCs w:val="20"/>
                  </w:rPr>
                  <m:t>Fr=</m:t>
                </m:r>
                <m:f>
                  <m:fPr>
                    <m:ctrlPr>
                      <w:rPr>
                        <w:rFonts w:ascii="Cambria Math" w:eastAsia="Times New Roman" w:hAnsi="Cambria Math"/>
                        <w:i/>
                        <w:sz w:val="20"/>
                        <w:szCs w:val="20"/>
                      </w:rPr>
                    </m:ctrlPr>
                  </m:fPr>
                  <m:num>
                    <m:sSup>
                      <m:sSupPr>
                        <m:ctrlPr>
                          <w:rPr>
                            <w:rFonts w:ascii="Cambria Math" w:eastAsia="Times New Roman" w:hAnsi="Cambria Math"/>
                            <w:i/>
                            <w:sz w:val="20"/>
                            <w:szCs w:val="20"/>
                          </w:rPr>
                        </m:ctrlPr>
                      </m:sSupPr>
                      <m:e>
                        <m:r>
                          <w:rPr>
                            <w:rFonts w:ascii="Cambria Math" w:eastAsia="Times New Roman" w:hAnsi="Cambria Math"/>
                            <w:sz w:val="20"/>
                            <w:szCs w:val="20"/>
                          </w:rPr>
                          <m:t>v</m:t>
                        </m:r>
                      </m:e>
                      <m:sup>
                        <m:r>
                          <w:rPr>
                            <w:rFonts w:ascii="Cambria Math" w:eastAsia="Times New Roman" w:hAnsi="Cambria Math"/>
                            <w:sz w:val="20"/>
                            <w:szCs w:val="20"/>
                          </w:rPr>
                          <m:t>2</m:t>
                        </m:r>
                      </m:sup>
                    </m:sSup>
                    <m:r>
                      <w:rPr>
                        <w:rFonts w:ascii="Cambria Math" w:eastAsia="Times New Roman" w:hAnsi="Cambria Math"/>
                        <w:sz w:val="20"/>
                        <w:szCs w:val="20"/>
                      </w:rPr>
                      <m:t>r</m:t>
                    </m:r>
                  </m:num>
                  <m:den>
                    <m:r>
                      <w:rPr>
                        <w:rFonts w:ascii="Cambria Math" w:eastAsia="Times New Roman" w:hAnsi="Cambria Math"/>
                        <w:sz w:val="20"/>
                        <w:szCs w:val="20"/>
                      </w:rPr>
                      <m:t>g</m:t>
                    </m:r>
                  </m:den>
                </m:f>
              </m:oMath>
            </m:oMathPara>
          </w:p>
        </w:tc>
        <w:tc>
          <w:tcPr>
            <w:tcW w:w="816" w:type="dxa"/>
            <w:vAlign w:val="center"/>
          </w:tcPr>
          <w:p w14:paraId="7CB97DE3" w14:textId="77777777" w:rsidR="003F3687" w:rsidRPr="00D37B63" w:rsidRDefault="003F3687" w:rsidP="0012434C">
            <w:pPr>
              <w:spacing w:before="120" w:after="120"/>
              <w:jc w:val="right"/>
              <w:rPr>
                <w:rFonts w:ascii="Times New Roman" w:eastAsiaTheme="minorEastAsia" w:hAnsi="Times New Roman" w:cs="Times New Roman"/>
                <w:sz w:val="20"/>
              </w:rPr>
            </w:pPr>
            <w:r w:rsidRPr="00D37B63">
              <w:rPr>
                <w:rFonts w:ascii="Times New Roman" w:eastAsiaTheme="minorEastAsia" w:hAnsi="Times New Roman" w:cs="Times New Roman"/>
                <w:sz w:val="20"/>
              </w:rPr>
              <w:t>(</w:t>
            </w:r>
          </w:p>
        </w:tc>
        <w:tc>
          <w:tcPr>
            <w:tcW w:w="116" w:type="dxa"/>
            <w:vAlign w:val="center"/>
          </w:tcPr>
          <w:p w14:paraId="731F7336" w14:textId="77C92AD8" w:rsidR="003F3687" w:rsidRPr="00D37B63" w:rsidRDefault="003F3687" w:rsidP="0012434C">
            <w:pPr>
              <w:spacing w:before="120" w:after="120"/>
              <w:jc w:val="center"/>
              <w:rPr>
                <w:rFonts w:ascii="Times New Roman" w:hAnsi="Times New Roman" w:cs="Times New Roman"/>
                <w:sz w:val="20"/>
              </w:rPr>
            </w:pPr>
            <w:r w:rsidRPr="00D37B63">
              <w:fldChar w:fldCharType="begin"/>
            </w:r>
            <w:r w:rsidRPr="00D37B63">
              <w:rPr>
                <w:rFonts w:ascii="Times New Roman" w:hAnsi="Times New Roman" w:cs="Times New Roman"/>
                <w:sz w:val="20"/>
              </w:rPr>
              <w:instrText xml:space="preserve"> SEQ Equation \* ARABIC </w:instrText>
            </w:r>
            <w:r w:rsidRPr="00D37B63">
              <w:fldChar w:fldCharType="separate"/>
            </w:r>
            <w:r w:rsidR="00B10B92">
              <w:rPr>
                <w:rFonts w:ascii="Times New Roman" w:hAnsi="Times New Roman" w:cs="Times New Roman"/>
                <w:noProof/>
                <w:sz w:val="20"/>
              </w:rPr>
              <w:t>2</w:t>
            </w:r>
            <w:r w:rsidRPr="00D37B63">
              <w:rPr>
                <w:noProof/>
              </w:rPr>
              <w:fldChar w:fldCharType="end"/>
            </w:r>
          </w:p>
        </w:tc>
        <w:tc>
          <w:tcPr>
            <w:tcW w:w="72" w:type="dxa"/>
            <w:vAlign w:val="center"/>
          </w:tcPr>
          <w:p w14:paraId="1893C14D" w14:textId="77777777" w:rsidR="003F3687" w:rsidRPr="00D37B63" w:rsidRDefault="003F3687" w:rsidP="0012434C">
            <w:pPr>
              <w:spacing w:before="120" w:after="120"/>
              <w:rPr>
                <w:rFonts w:ascii="Times New Roman" w:hAnsi="Times New Roman" w:cs="Times New Roman"/>
                <w:sz w:val="20"/>
              </w:rPr>
            </w:pPr>
            <w:r w:rsidRPr="00D37B63">
              <w:rPr>
                <w:rFonts w:ascii="Times New Roman" w:hAnsi="Times New Roman" w:cs="Times New Roman"/>
                <w:sz w:val="20"/>
              </w:rPr>
              <w:t>)</w:t>
            </w:r>
          </w:p>
        </w:tc>
      </w:tr>
    </w:tbl>
    <w:p w14:paraId="55770D1E" w14:textId="18E80387" w:rsidR="003F3687" w:rsidRDefault="003F3687" w:rsidP="008D2649">
      <w:pPr>
        <w:pStyle w:val="Els-body-text"/>
      </w:pPr>
      <w:r>
        <w:t xml:space="preserve">Where </w:t>
      </w:r>
      <w:r w:rsidRPr="003F3687">
        <w:rPr>
          <w:i/>
        </w:rPr>
        <w:t>v</w:t>
      </w:r>
      <w:r>
        <w:t xml:space="preserve"> is rotation rate, </w:t>
      </w:r>
      <w:r>
        <w:rPr>
          <w:i/>
        </w:rPr>
        <w:t>r</w:t>
      </w:r>
      <w:r w:rsidR="008F07AF">
        <w:t xml:space="preserve"> is radius of mixing</w:t>
      </w:r>
      <w:r w:rsidR="00C23B03">
        <w:t xml:space="preserve">, and </w:t>
      </w:r>
      <w:r w:rsidR="00C23B03">
        <w:rPr>
          <w:i/>
        </w:rPr>
        <w:t>g</w:t>
      </w:r>
      <w:r w:rsidR="00C23B03">
        <w:t xml:space="preserve"> is the gravitational constant.</w:t>
      </w:r>
    </w:p>
    <w:p w14:paraId="67CCDD08" w14:textId="3948634F" w:rsidR="008F07AF" w:rsidRDefault="008F07AF" w:rsidP="008D2649">
      <w:pPr>
        <w:pStyle w:val="Els-body-text"/>
      </w:pPr>
    </w:p>
    <w:tbl>
      <w:tblPr>
        <w:tblStyle w:val="TableGrid"/>
        <w:tblW w:w="7089" w:type="dxa"/>
        <w:jc w:val="center"/>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907"/>
        <w:gridCol w:w="1245"/>
        <w:gridCol w:w="850"/>
        <w:gridCol w:w="232"/>
        <w:gridCol w:w="425"/>
        <w:gridCol w:w="907"/>
        <w:gridCol w:w="1247"/>
        <w:gridCol w:w="850"/>
      </w:tblGrid>
      <w:tr w:rsidR="0090504F" w:rsidRPr="00B4511B" w14:paraId="069CCF9C" w14:textId="77777777" w:rsidTr="0012434C">
        <w:trPr>
          <w:trHeight w:val="227"/>
          <w:jc w:val="center"/>
        </w:trPr>
        <w:tc>
          <w:tcPr>
            <w:tcW w:w="7089" w:type="dxa"/>
            <w:gridSpan w:val="9"/>
            <w:tcBorders>
              <w:bottom w:val="nil"/>
            </w:tcBorders>
          </w:tcPr>
          <w:p w14:paraId="5B592993" w14:textId="77777777" w:rsidR="0090504F" w:rsidRPr="00056F47" w:rsidRDefault="0090504F" w:rsidP="00F5185A">
            <w:pPr>
              <w:framePr w:w="7088" w:h="255" w:wrap="notBeside" w:hAnchor="margin" w:xAlign="center" w:yAlign="bottom"/>
              <w:jc w:val="both"/>
              <w:rPr>
                <w:b/>
                <w:bCs/>
                <w:sz w:val="16"/>
                <w:szCs w:val="16"/>
              </w:rPr>
            </w:pPr>
            <w:bookmarkStart w:id="1" w:name="_Ref139985785"/>
            <w:r w:rsidRPr="00056F47">
              <w:rPr>
                <w:rFonts w:ascii="Times New Roman" w:hAnsi="Times New Roman" w:cs="Times New Roman"/>
                <w:b/>
                <w:bCs/>
                <w:sz w:val="16"/>
                <w:szCs w:val="16"/>
              </w:rPr>
              <w:t xml:space="preserve">Table </w:t>
            </w:r>
            <w:r w:rsidRPr="00056F47">
              <w:rPr>
                <w:b/>
                <w:bCs/>
                <w:sz w:val="16"/>
                <w:szCs w:val="16"/>
              </w:rPr>
              <w:fldChar w:fldCharType="begin"/>
            </w:r>
            <w:r w:rsidRPr="00056F47">
              <w:rPr>
                <w:rFonts w:ascii="Times New Roman" w:hAnsi="Times New Roman" w:cs="Times New Roman"/>
                <w:b/>
                <w:bCs/>
                <w:sz w:val="16"/>
                <w:szCs w:val="16"/>
              </w:rPr>
              <w:instrText xml:space="preserve"> SEQ Table \* ARABIC </w:instrText>
            </w:r>
            <w:r w:rsidRPr="00056F47">
              <w:rPr>
                <w:b/>
                <w:bCs/>
                <w:sz w:val="16"/>
                <w:szCs w:val="16"/>
              </w:rPr>
              <w:fldChar w:fldCharType="separate"/>
            </w:r>
            <w:r w:rsidRPr="00056F47">
              <w:rPr>
                <w:rFonts w:ascii="Times New Roman" w:hAnsi="Times New Roman" w:cs="Times New Roman"/>
                <w:b/>
                <w:bCs/>
                <w:noProof/>
                <w:sz w:val="16"/>
                <w:szCs w:val="16"/>
              </w:rPr>
              <w:t>1</w:t>
            </w:r>
            <w:r w:rsidRPr="00056F47">
              <w:rPr>
                <w:b/>
                <w:bCs/>
                <w:sz w:val="16"/>
                <w:szCs w:val="16"/>
              </w:rPr>
              <w:fldChar w:fldCharType="end"/>
            </w:r>
            <w:bookmarkEnd w:id="1"/>
            <w:r w:rsidRPr="00056F47">
              <w:rPr>
                <w:rFonts w:ascii="Times New Roman" w:hAnsi="Times New Roman" w:cs="Times New Roman"/>
                <w:b/>
                <w:bCs/>
                <w:sz w:val="16"/>
                <w:szCs w:val="16"/>
              </w:rPr>
              <w:t>.</w:t>
            </w:r>
            <w:r w:rsidRPr="00056F47">
              <w:rPr>
                <w:rFonts w:ascii="Times New Roman" w:hAnsi="Times New Roman" w:cs="Times New Roman"/>
                <w:sz w:val="16"/>
                <w:szCs w:val="16"/>
              </w:rPr>
              <w:t xml:space="preserve"> Mini blender run conditions. a: standard conditions in mini-blender (66 % MCC, 33 % lactose, 1 % </w:t>
            </w:r>
            <w:proofErr w:type="spellStart"/>
            <w:r w:rsidRPr="00056F47">
              <w:rPr>
                <w:rFonts w:ascii="Times New Roman" w:hAnsi="Times New Roman" w:cs="Times New Roman"/>
                <w:sz w:val="16"/>
                <w:szCs w:val="16"/>
              </w:rPr>
              <w:t>MgSt</w:t>
            </w:r>
            <w:proofErr w:type="spellEnd"/>
            <w:r w:rsidRPr="00056F47">
              <w:rPr>
                <w:rFonts w:ascii="Times New Roman" w:hAnsi="Times New Roman" w:cs="Times New Roman"/>
                <w:sz w:val="16"/>
                <w:szCs w:val="16"/>
              </w:rPr>
              <w:t>). b: bin blender runs. Bulk density of the formulation was measured at 0.42 g/cm</w:t>
            </w:r>
            <w:r w:rsidRPr="00056F47">
              <w:rPr>
                <w:rFonts w:ascii="Times New Roman" w:hAnsi="Times New Roman" w:cs="Times New Roman"/>
                <w:sz w:val="16"/>
                <w:szCs w:val="16"/>
                <w:vertAlign w:val="superscript"/>
              </w:rPr>
              <w:t>3</w:t>
            </w:r>
            <w:r w:rsidRPr="00056F47">
              <w:rPr>
                <w:rFonts w:ascii="Times New Roman" w:hAnsi="Times New Roman" w:cs="Times New Roman"/>
                <w:sz w:val="16"/>
                <w:szCs w:val="16"/>
              </w:rPr>
              <w:t>, giving headspace fraction values of 0.38 for the mini-blender and 0.29 for the bin-blender.</w:t>
            </w:r>
          </w:p>
        </w:tc>
      </w:tr>
      <w:tr w:rsidR="0090504F" w:rsidRPr="00FF2728" w14:paraId="149E4A2F" w14:textId="77777777" w:rsidTr="0012434C">
        <w:trPr>
          <w:trHeight w:val="227"/>
          <w:jc w:val="center"/>
        </w:trPr>
        <w:tc>
          <w:tcPr>
            <w:tcW w:w="426" w:type="dxa"/>
            <w:tcBorders>
              <w:top w:val="nil"/>
              <w:bottom w:val="single" w:sz="4" w:space="0" w:color="auto"/>
            </w:tcBorders>
          </w:tcPr>
          <w:p w14:paraId="48D55A08" w14:textId="77777777" w:rsidR="0090504F" w:rsidRPr="00FF2728" w:rsidRDefault="0090504F" w:rsidP="00F5185A">
            <w:pPr>
              <w:framePr w:w="7088" w:h="255" w:wrap="notBeside" w:hAnchor="margin" w:xAlign="center" w:yAlign="bottom"/>
              <w:jc w:val="center"/>
              <w:rPr>
                <w:bCs/>
                <w:sz w:val="16"/>
                <w:szCs w:val="16"/>
              </w:rPr>
            </w:pPr>
          </w:p>
        </w:tc>
        <w:tc>
          <w:tcPr>
            <w:tcW w:w="907" w:type="dxa"/>
            <w:tcBorders>
              <w:top w:val="nil"/>
              <w:bottom w:val="single" w:sz="4" w:space="0" w:color="auto"/>
            </w:tcBorders>
          </w:tcPr>
          <w:p w14:paraId="3BEBADE3" w14:textId="77777777" w:rsidR="0090504F" w:rsidRPr="00FF2728" w:rsidRDefault="0090504F" w:rsidP="00F5185A">
            <w:pPr>
              <w:framePr w:w="7088" w:h="255" w:wrap="notBeside" w:hAnchor="margin" w:xAlign="center" w:yAlign="bottom"/>
              <w:jc w:val="center"/>
              <w:rPr>
                <w:bCs/>
                <w:sz w:val="16"/>
                <w:szCs w:val="16"/>
              </w:rPr>
            </w:pPr>
          </w:p>
        </w:tc>
        <w:tc>
          <w:tcPr>
            <w:tcW w:w="1245" w:type="dxa"/>
            <w:tcBorders>
              <w:top w:val="nil"/>
              <w:bottom w:val="single" w:sz="4" w:space="0" w:color="auto"/>
            </w:tcBorders>
          </w:tcPr>
          <w:p w14:paraId="5B7AB428" w14:textId="77777777" w:rsidR="0090504F" w:rsidRPr="00FF2728" w:rsidRDefault="0090504F" w:rsidP="00F5185A">
            <w:pPr>
              <w:framePr w:w="7088" w:h="255" w:wrap="notBeside" w:hAnchor="margin" w:xAlign="center" w:yAlign="bottom"/>
              <w:jc w:val="center"/>
              <w:rPr>
                <w:bCs/>
                <w:sz w:val="16"/>
                <w:szCs w:val="16"/>
              </w:rPr>
            </w:pPr>
          </w:p>
        </w:tc>
        <w:tc>
          <w:tcPr>
            <w:tcW w:w="850" w:type="dxa"/>
            <w:tcBorders>
              <w:top w:val="nil"/>
              <w:bottom w:val="single" w:sz="4" w:space="0" w:color="auto"/>
            </w:tcBorders>
          </w:tcPr>
          <w:p w14:paraId="0D5E4271" w14:textId="77777777" w:rsidR="0090504F" w:rsidRPr="00FF2728" w:rsidRDefault="0090504F" w:rsidP="00F5185A">
            <w:pPr>
              <w:framePr w:w="7088" w:h="255" w:wrap="notBeside" w:hAnchor="margin" w:xAlign="center" w:yAlign="bottom"/>
              <w:jc w:val="center"/>
              <w:rPr>
                <w:bCs/>
                <w:sz w:val="16"/>
                <w:szCs w:val="16"/>
              </w:rPr>
            </w:pPr>
          </w:p>
        </w:tc>
        <w:tc>
          <w:tcPr>
            <w:tcW w:w="232" w:type="dxa"/>
            <w:tcBorders>
              <w:top w:val="nil"/>
              <w:bottom w:val="single" w:sz="4" w:space="0" w:color="auto"/>
            </w:tcBorders>
          </w:tcPr>
          <w:p w14:paraId="7427AFB5" w14:textId="77777777" w:rsidR="0090504F" w:rsidRPr="00FF2728" w:rsidRDefault="0090504F" w:rsidP="00F5185A">
            <w:pPr>
              <w:framePr w:w="7088" w:h="255" w:wrap="notBeside" w:hAnchor="margin" w:xAlign="center" w:yAlign="bottom"/>
              <w:jc w:val="center"/>
              <w:rPr>
                <w:bCs/>
                <w:sz w:val="16"/>
                <w:szCs w:val="16"/>
              </w:rPr>
            </w:pPr>
          </w:p>
        </w:tc>
        <w:tc>
          <w:tcPr>
            <w:tcW w:w="425" w:type="dxa"/>
            <w:tcBorders>
              <w:top w:val="nil"/>
              <w:bottom w:val="single" w:sz="4" w:space="0" w:color="auto"/>
            </w:tcBorders>
          </w:tcPr>
          <w:p w14:paraId="318C979C" w14:textId="77777777" w:rsidR="0090504F" w:rsidRPr="00FF2728" w:rsidRDefault="0090504F" w:rsidP="00F5185A">
            <w:pPr>
              <w:framePr w:w="7088" w:h="255" w:wrap="notBeside" w:hAnchor="margin" w:xAlign="center" w:yAlign="bottom"/>
              <w:jc w:val="center"/>
              <w:rPr>
                <w:bCs/>
                <w:sz w:val="16"/>
                <w:szCs w:val="16"/>
              </w:rPr>
            </w:pPr>
          </w:p>
        </w:tc>
        <w:tc>
          <w:tcPr>
            <w:tcW w:w="907" w:type="dxa"/>
            <w:tcBorders>
              <w:top w:val="nil"/>
              <w:bottom w:val="single" w:sz="4" w:space="0" w:color="auto"/>
            </w:tcBorders>
          </w:tcPr>
          <w:p w14:paraId="79A10207" w14:textId="77777777" w:rsidR="0090504F" w:rsidRPr="00FF2728" w:rsidRDefault="0090504F" w:rsidP="00F5185A">
            <w:pPr>
              <w:framePr w:w="7088" w:h="255" w:wrap="notBeside" w:hAnchor="margin" w:xAlign="center" w:yAlign="bottom"/>
              <w:jc w:val="center"/>
              <w:rPr>
                <w:bCs/>
                <w:sz w:val="16"/>
                <w:szCs w:val="16"/>
              </w:rPr>
            </w:pPr>
          </w:p>
        </w:tc>
        <w:tc>
          <w:tcPr>
            <w:tcW w:w="1247" w:type="dxa"/>
            <w:tcBorders>
              <w:top w:val="nil"/>
              <w:bottom w:val="single" w:sz="4" w:space="0" w:color="auto"/>
            </w:tcBorders>
          </w:tcPr>
          <w:p w14:paraId="30D7B5E3" w14:textId="77777777" w:rsidR="0090504F" w:rsidRPr="00FF2728" w:rsidRDefault="0090504F" w:rsidP="00F5185A">
            <w:pPr>
              <w:framePr w:w="7088" w:h="255" w:wrap="notBeside" w:hAnchor="margin" w:xAlign="center" w:yAlign="bottom"/>
              <w:jc w:val="center"/>
              <w:rPr>
                <w:bCs/>
                <w:sz w:val="16"/>
                <w:szCs w:val="16"/>
              </w:rPr>
            </w:pPr>
          </w:p>
        </w:tc>
        <w:tc>
          <w:tcPr>
            <w:tcW w:w="850" w:type="dxa"/>
            <w:tcBorders>
              <w:top w:val="nil"/>
              <w:bottom w:val="single" w:sz="4" w:space="0" w:color="auto"/>
            </w:tcBorders>
          </w:tcPr>
          <w:p w14:paraId="5E699C4E" w14:textId="77777777" w:rsidR="0090504F" w:rsidRPr="00FF2728" w:rsidRDefault="0090504F" w:rsidP="00F5185A">
            <w:pPr>
              <w:framePr w:w="7088" w:h="255" w:wrap="notBeside" w:hAnchor="margin" w:xAlign="center" w:yAlign="bottom"/>
              <w:jc w:val="center"/>
              <w:rPr>
                <w:bCs/>
                <w:sz w:val="16"/>
                <w:szCs w:val="16"/>
              </w:rPr>
            </w:pPr>
          </w:p>
        </w:tc>
      </w:tr>
      <w:tr w:rsidR="0090504F" w:rsidRPr="00B4511B" w14:paraId="373FCEAD" w14:textId="77777777" w:rsidTr="0012434C">
        <w:trPr>
          <w:trHeight w:val="227"/>
          <w:jc w:val="center"/>
        </w:trPr>
        <w:tc>
          <w:tcPr>
            <w:tcW w:w="426" w:type="dxa"/>
            <w:tcBorders>
              <w:top w:val="nil"/>
              <w:bottom w:val="single" w:sz="4" w:space="0" w:color="auto"/>
            </w:tcBorders>
          </w:tcPr>
          <w:p w14:paraId="1790AB7E"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b/>
                <w:bCs/>
                <w:sz w:val="16"/>
                <w:szCs w:val="16"/>
              </w:rPr>
              <w:t>Run</w:t>
            </w:r>
          </w:p>
        </w:tc>
        <w:tc>
          <w:tcPr>
            <w:tcW w:w="907" w:type="dxa"/>
            <w:tcBorders>
              <w:top w:val="nil"/>
              <w:bottom w:val="single" w:sz="4" w:space="0" w:color="auto"/>
            </w:tcBorders>
          </w:tcPr>
          <w:p w14:paraId="240FC004"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b/>
                <w:bCs/>
                <w:sz w:val="16"/>
                <w:szCs w:val="16"/>
              </w:rPr>
              <w:t>Blend time</w:t>
            </w:r>
            <w:r w:rsidRPr="000C746C">
              <w:rPr>
                <w:rFonts w:ascii="Times New Roman" w:eastAsia="Times New Roman" w:hAnsi="Times New Roman" w:cs="Times New Roman"/>
                <w:b/>
                <w:bCs/>
                <w:sz w:val="16"/>
                <w:szCs w:val="16"/>
              </w:rPr>
              <w:t xml:space="preserve"> (s)</w:t>
            </w:r>
          </w:p>
        </w:tc>
        <w:tc>
          <w:tcPr>
            <w:tcW w:w="1245" w:type="dxa"/>
            <w:tcBorders>
              <w:top w:val="nil"/>
              <w:bottom w:val="single" w:sz="4" w:space="0" w:color="auto"/>
            </w:tcBorders>
          </w:tcPr>
          <w:p w14:paraId="0B46189F"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b/>
                <w:bCs/>
                <w:sz w:val="16"/>
                <w:szCs w:val="16"/>
              </w:rPr>
              <w:t>Blend speed</w:t>
            </w:r>
            <w:r w:rsidRPr="000C746C">
              <w:rPr>
                <w:rFonts w:ascii="Times New Roman" w:eastAsia="Times New Roman" w:hAnsi="Times New Roman" w:cs="Times New Roman"/>
                <w:b/>
                <w:bCs/>
                <w:sz w:val="16"/>
                <w:szCs w:val="16"/>
              </w:rPr>
              <w:t xml:space="preserve"> (RPM)</w:t>
            </w:r>
          </w:p>
        </w:tc>
        <w:tc>
          <w:tcPr>
            <w:tcW w:w="850" w:type="dxa"/>
            <w:tcBorders>
              <w:top w:val="nil"/>
              <w:bottom w:val="single" w:sz="4" w:space="0" w:color="auto"/>
            </w:tcBorders>
          </w:tcPr>
          <w:p w14:paraId="1B2B43F6"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b/>
                <w:bCs/>
                <w:sz w:val="16"/>
                <w:szCs w:val="16"/>
              </w:rPr>
              <w:t>Blend mass</w:t>
            </w:r>
            <w:r w:rsidRPr="000C746C">
              <w:rPr>
                <w:rFonts w:ascii="Times New Roman" w:eastAsia="Times New Roman" w:hAnsi="Times New Roman" w:cs="Times New Roman"/>
                <w:b/>
                <w:bCs/>
                <w:sz w:val="16"/>
                <w:szCs w:val="16"/>
              </w:rPr>
              <w:t xml:space="preserve"> (kg)</w:t>
            </w:r>
          </w:p>
        </w:tc>
        <w:tc>
          <w:tcPr>
            <w:tcW w:w="232" w:type="dxa"/>
            <w:tcBorders>
              <w:top w:val="nil"/>
              <w:bottom w:val="single" w:sz="4" w:space="0" w:color="auto"/>
            </w:tcBorders>
          </w:tcPr>
          <w:p w14:paraId="65DAF0AF"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p>
        </w:tc>
        <w:tc>
          <w:tcPr>
            <w:tcW w:w="425" w:type="dxa"/>
            <w:tcBorders>
              <w:top w:val="nil"/>
              <w:bottom w:val="single" w:sz="4" w:space="0" w:color="auto"/>
            </w:tcBorders>
          </w:tcPr>
          <w:p w14:paraId="1B504BE2"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b/>
                <w:bCs/>
                <w:sz w:val="16"/>
                <w:szCs w:val="16"/>
              </w:rPr>
              <w:t>Run</w:t>
            </w:r>
          </w:p>
        </w:tc>
        <w:tc>
          <w:tcPr>
            <w:tcW w:w="907" w:type="dxa"/>
            <w:tcBorders>
              <w:top w:val="nil"/>
              <w:bottom w:val="single" w:sz="4" w:space="0" w:color="auto"/>
            </w:tcBorders>
          </w:tcPr>
          <w:p w14:paraId="727BDC90"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b/>
                <w:bCs/>
                <w:sz w:val="16"/>
                <w:szCs w:val="16"/>
              </w:rPr>
              <w:t>Blend time</w:t>
            </w:r>
            <w:r w:rsidRPr="000C746C">
              <w:rPr>
                <w:rFonts w:ascii="Times New Roman" w:eastAsia="Times New Roman" w:hAnsi="Times New Roman" w:cs="Times New Roman"/>
                <w:b/>
                <w:bCs/>
                <w:sz w:val="16"/>
                <w:szCs w:val="16"/>
              </w:rPr>
              <w:t xml:space="preserve"> (s)</w:t>
            </w:r>
          </w:p>
        </w:tc>
        <w:tc>
          <w:tcPr>
            <w:tcW w:w="1247" w:type="dxa"/>
            <w:tcBorders>
              <w:top w:val="nil"/>
              <w:bottom w:val="single" w:sz="4" w:space="0" w:color="auto"/>
            </w:tcBorders>
          </w:tcPr>
          <w:p w14:paraId="14C97AC0"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b/>
                <w:bCs/>
                <w:sz w:val="16"/>
                <w:szCs w:val="16"/>
              </w:rPr>
              <w:t>Blend speed</w:t>
            </w:r>
            <w:r w:rsidRPr="000C746C">
              <w:rPr>
                <w:rFonts w:ascii="Times New Roman" w:eastAsia="Times New Roman" w:hAnsi="Times New Roman" w:cs="Times New Roman"/>
                <w:b/>
                <w:bCs/>
                <w:sz w:val="16"/>
                <w:szCs w:val="16"/>
              </w:rPr>
              <w:t xml:space="preserve"> (RPM)</w:t>
            </w:r>
          </w:p>
        </w:tc>
        <w:tc>
          <w:tcPr>
            <w:tcW w:w="850" w:type="dxa"/>
            <w:tcBorders>
              <w:top w:val="nil"/>
              <w:bottom w:val="single" w:sz="4" w:space="0" w:color="auto"/>
            </w:tcBorders>
          </w:tcPr>
          <w:p w14:paraId="1076C3BC"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b/>
                <w:bCs/>
                <w:sz w:val="16"/>
                <w:szCs w:val="16"/>
              </w:rPr>
              <w:t>Blend mass</w:t>
            </w:r>
            <w:r w:rsidRPr="000C746C">
              <w:rPr>
                <w:rFonts w:ascii="Times New Roman" w:eastAsia="Times New Roman" w:hAnsi="Times New Roman" w:cs="Times New Roman"/>
                <w:b/>
                <w:bCs/>
                <w:sz w:val="16"/>
                <w:szCs w:val="16"/>
              </w:rPr>
              <w:t xml:space="preserve"> (kg)</w:t>
            </w:r>
          </w:p>
        </w:tc>
      </w:tr>
      <w:tr w:rsidR="0090504F" w:rsidRPr="00B4511B" w14:paraId="6F6FF460" w14:textId="77777777" w:rsidTr="0012434C">
        <w:trPr>
          <w:trHeight w:val="227"/>
          <w:jc w:val="center"/>
        </w:trPr>
        <w:tc>
          <w:tcPr>
            <w:tcW w:w="426" w:type="dxa"/>
            <w:tcBorders>
              <w:top w:val="single" w:sz="4" w:space="0" w:color="auto"/>
            </w:tcBorders>
            <w:vAlign w:val="center"/>
          </w:tcPr>
          <w:p w14:paraId="25E89259"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01</w:t>
            </w:r>
            <w:r w:rsidRPr="009C3412">
              <w:rPr>
                <w:rFonts w:ascii="Times New Roman" w:eastAsia="Times New Roman" w:hAnsi="Times New Roman" w:cs="Times New Roman"/>
                <w:sz w:val="16"/>
                <w:szCs w:val="16"/>
                <w:vertAlign w:val="superscript"/>
              </w:rPr>
              <w:t>a</w:t>
            </w:r>
          </w:p>
        </w:tc>
        <w:tc>
          <w:tcPr>
            <w:tcW w:w="907" w:type="dxa"/>
            <w:tcBorders>
              <w:top w:val="single" w:sz="4" w:space="0" w:color="auto"/>
            </w:tcBorders>
            <w:vAlign w:val="center"/>
          </w:tcPr>
          <w:p w14:paraId="66432F74"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5</w:t>
            </w:r>
          </w:p>
        </w:tc>
        <w:tc>
          <w:tcPr>
            <w:tcW w:w="1245" w:type="dxa"/>
            <w:tcBorders>
              <w:top w:val="single" w:sz="4" w:space="0" w:color="auto"/>
            </w:tcBorders>
            <w:vAlign w:val="center"/>
          </w:tcPr>
          <w:p w14:paraId="3A806E27"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100</w:t>
            </w:r>
          </w:p>
        </w:tc>
        <w:tc>
          <w:tcPr>
            <w:tcW w:w="850" w:type="dxa"/>
            <w:tcBorders>
              <w:top w:val="single" w:sz="4" w:space="0" w:color="auto"/>
            </w:tcBorders>
            <w:vAlign w:val="center"/>
          </w:tcPr>
          <w:p w14:paraId="6C0E8F0E"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3</w:t>
            </w:r>
            <w:r>
              <w:rPr>
                <w:rFonts w:ascii="Times New Roman" w:eastAsia="Times New Roman" w:hAnsi="Times New Roman" w:cs="Times New Roman"/>
                <w:sz w:val="16"/>
                <w:szCs w:val="16"/>
              </w:rPr>
              <w:t>.00</w:t>
            </w:r>
          </w:p>
        </w:tc>
        <w:tc>
          <w:tcPr>
            <w:tcW w:w="232" w:type="dxa"/>
            <w:tcBorders>
              <w:top w:val="single" w:sz="4" w:space="0" w:color="auto"/>
            </w:tcBorders>
            <w:vAlign w:val="center"/>
          </w:tcPr>
          <w:p w14:paraId="0592F178"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p>
        </w:tc>
        <w:tc>
          <w:tcPr>
            <w:tcW w:w="425" w:type="dxa"/>
            <w:tcBorders>
              <w:top w:val="single" w:sz="4" w:space="0" w:color="auto"/>
            </w:tcBorders>
            <w:vAlign w:val="center"/>
          </w:tcPr>
          <w:p w14:paraId="714632ED"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16</w:t>
            </w:r>
            <w:r w:rsidRPr="009C3412">
              <w:rPr>
                <w:rFonts w:ascii="Times New Roman" w:eastAsia="Times New Roman" w:hAnsi="Times New Roman" w:cs="Times New Roman"/>
                <w:sz w:val="16"/>
                <w:szCs w:val="16"/>
                <w:vertAlign w:val="superscript"/>
              </w:rPr>
              <w:t>a</w:t>
            </w:r>
          </w:p>
        </w:tc>
        <w:tc>
          <w:tcPr>
            <w:tcW w:w="907" w:type="dxa"/>
            <w:tcBorders>
              <w:top w:val="single" w:sz="4" w:space="0" w:color="auto"/>
            </w:tcBorders>
            <w:vAlign w:val="center"/>
          </w:tcPr>
          <w:p w14:paraId="2D1C9FFD"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112</w:t>
            </w:r>
          </w:p>
        </w:tc>
        <w:tc>
          <w:tcPr>
            <w:tcW w:w="1247" w:type="dxa"/>
            <w:tcBorders>
              <w:top w:val="single" w:sz="4" w:space="0" w:color="auto"/>
            </w:tcBorders>
            <w:vAlign w:val="center"/>
          </w:tcPr>
          <w:p w14:paraId="3E328A59"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200</w:t>
            </w:r>
          </w:p>
        </w:tc>
        <w:tc>
          <w:tcPr>
            <w:tcW w:w="850" w:type="dxa"/>
            <w:tcBorders>
              <w:top w:val="single" w:sz="4" w:space="0" w:color="auto"/>
            </w:tcBorders>
            <w:vAlign w:val="center"/>
          </w:tcPr>
          <w:p w14:paraId="33F23F37"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r>
      <w:tr w:rsidR="0090504F" w:rsidRPr="00B4511B" w14:paraId="047CDD6D" w14:textId="77777777" w:rsidTr="0012434C">
        <w:trPr>
          <w:trHeight w:val="227"/>
          <w:jc w:val="center"/>
        </w:trPr>
        <w:tc>
          <w:tcPr>
            <w:tcW w:w="426" w:type="dxa"/>
            <w:vAlign w:val="center"/>
          </w:tcPr>
          <w:p w14:paraId="34FEE715"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02</w:t>
            </w:r>
            <w:r w:rsidRPr="009C3412">
              <w:rPr>
                <w:rFonts w:ascii="Times New Roman" w:eastAsia="Times New Roman" w:hAnsi="Times New Roman" w:cs="Times New Roman"/>
                <w:sz w:val="16"/>
                <w:szCs w:val="16"/>
                <w:vertAlign w:val="superscript"/>
              </w:rPr>
              <w:t>a</w:t>
            </w:r>
          </w:p>
        </w:tc>
        <w:tc>
          <w:tcPr>
            <w:tcW w:w="907" w:type="dxa"/>
            <w:vAlign w:val="center"/>
          </w:tcPr>
          <w:p w14:paraId="31F3F329"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10</w:t>
            </w:r>
          </w:p>
        </w:tc>
        <w:tc>
          <w:tcPr>
            <w:tcW w:w="1245" w:type="dxa"/>
            <w:vAlign w:val="center"/>
          </w:tcPr>
          <w:p w14:paraId="76C44043"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100</w:t>
            </w:r>
          </w:p>
        </w:tc>
        <w:tc>
          <w:tcPr>
            <w:tcW w:w="850" w:type="dxa"/>
            <w:vAlign w:val="center"/>
          </w:tcPr>
          <w:p w14:paraId="61E23868"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3</w:t>
            </w:r>
            <w:r>
              <w:rPr>
                <w:rFonts w:ascii="Times New Roman" w:eastAsia="Times New Roman" w:hAnsi="Times New Roman" w:cs="Times New Roman"/>
                <w:sz w:val="16"/>
                <w:szCs w:val="16"/>
              </w:rPr>
              <w:t>.00</w:t>
            </w:r>
          </w:p>
        </w:tc>
        <w:tc>
          <w:tcPr>
            <w:tcW w:w="232" w:type="dxa"/>
            <w:vAlign w:val="center"/>
          </w:tcPr>
          <w:p w14:paraId="3E9AE78A"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p>
        </w:tc>
        <w:tc>
          <w:tcPr>
            <w:tcW w:w="425" w:type="dxa"/>
            <w:vAlign w:val="center"/>
          </w:tcPr>
          <w:p w14:paraId="57B17957"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17</w:t>
            </w:r>
            <w:r w:rsidRPr="009C3412">
              <w:rPr>
                <w:rFonts w:ascii="Times New Roman" w:eastAsia="Times New Roman" w:hAnsi="Times New Roman" w:cs="Times New Roman"/>
                <w:sz w:val="16"/>
                <w:szCs w:val="16"/>
                <w:vertAlign w:val="superscript"/>
              </w:rPr>
              <w:t>a</w:t>
            </w:r>
          </w:p>
        </w:tc>
        <w:tc>
          <w:tcPr>
            <w:tcW w:w="907" w:type="dxa"/>
            <w:vAlign w:val="center"/>
          </w:tcPr>
          <w:p w14:paraId="4E88E123"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50</w:t>
            </w:r>
          </w:p>
        </w:tc>
        <w:tc>
          <w:tcPr>
            <w:tcW w:w="1247" w:type="dxa"/>
            <w:vAlign w:val="center"/>
          </w:tcPr>
          <w:p w14:paraId="7431D015"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300</w:t>
            </w:r>
          </w:p>
        </w:tc>
        <w:tc>
          <w:tcPr>
            <w:tcW w:w="850" w:type="dxa"/>
            <w:vAlign w:val="center"/>
          </w:tcPr>
          <w:p w14:paraId="3608A3B3"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r>
      <w:tr w:rsidR="0090504F" w:rsidRPr="00B4511B" w14:paraId="12B8945E" w14:textId="77777777" w:rsidTr="0012434C">
        <w:trPr>
          <w:trHeight w:val="227"/>
          <w:jc w:val="center"/>
        </w:trPr>
        <w:tc>
          <w:tcPr>
            <w:tcW w:w="426" w:type="dxa"/>
            <w:vAlign w:val="center"/>
          </w:tcPr>
          <w:p w14:paraId="45475871"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03</w:t>
            </w:r>
            <w:r w:rsidRPr="009C3412">
              <w:rPr>
                <w:rFonts w:ascii="Times New Roman" w:eastAsia="Times New Roman" w:hAnsi="Times New Roman" w:cs="Times New Roman"/>
                <w:sz w:val="16"/>
                <w:szCs w:val="16"/>
                <w:vertAlign w:val="superscript"/>
              </w:rPr>
              <w:t>a</w:t>
            </w:r>
          </w:p>
        </w:tc>
        <w:tc>
          <w:tcPr>
            <w:tcW w:w="907" w:type="dxa"/>
            <w:vAlign w:val="center"/>
          </w:tcPr>
          <w:p w14:paraId="5D18C994"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30</w:t>
            </w:r>
          </w:p>
        </w:tc>
        <w:tc>
          <w:tcPr>
            <w:tcW w:w="1245" w:type="dxa"/>
            <w:vAlign w:val="center"/>
          </w:tcPr>
          <w:p w14:paraId="1AFA2D80"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100</w:t>
            </w:r>
          </w:p>
        </w:tc>
        <w:tc>
          <w:tcPr>
            <w:tcW w:w="850" w:type="dxa"/>
            <w:vAlign w:val="center"/>
          </w:tcPr>
          <w:p w14:paraId="0AB04F36"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3</w:t>
            </w:r>
            <w:r>
              <w:rPr>
                <w:rFonts w:ascii="Times New Roman" w:eastAsia="Times New Roman" w:hAnsi="Times New Roman" w:cs="Times New Roman"/>
                <w:sz w:val="16"/>
                <w:szCs w:val="16"/>
              </w:rPr>
              <w:t>.00</w:t>
            </w:r>
          </w:p>
        </w:tc>
        <w:tc>
          <w:tcPr>
            <w:tcW w:w="232" w:type="dxa"/>
            <w:vAlign w:val="center"/>
          </w:tcPr>
          <w:p w14:paraId="28DB7793"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p>
        </w:tc>
        <w:tc>
          <w:tcPr>
            <w:tcW w:w="425" w:type="dxa"/>
            <w:vAlign w:val="center"/>
          </w:tcPr>
          <w:p w14:paraId="06871BA5"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18</w:t>
            </w:r>
            <w:r w:rsidRPr="009C3412">
              <w:rPr>
                <w:rFonts w:ascii="Times New Roman" w:eastAsia="Times New Roman" w:hAnsi="Times New Roman" w:cs="Times New Roman"/>
                <w:sz w:val="16"/>
                <w:szCs w:val="16"/>
                <w:vertAlign w:val="superscript"/>
              </w:rPr>
              <w:t>a</w:t>
            </w:r>
          </w:p>
        </w:tc>
        <w:tc>
          <w:tcPr>
            <w:tcW w:w="907" w:type="dxa"/>
            <w:vAlign w:val="center"/>
          </w:tcPr>
          <w:p w14:paraId="083C493C"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659</w:t>
            </w:r>
          </w:p>
        </w:tc>
        <w:tc>
          <w:tcPr>
            <w:tcW w:w="1247" w:type="dxa"/>
            <w:vAlign w:val="center"/>
          </w:tcPr>
          <w:p w14:paraId="0BD2306F"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50</w:t>
            </w:r>
          </w:p>
        </w:tc>
        <w:tc>
          <w:tcPr>
            <w:tcW w:w="850" w:type="dxa"/>
            <w:vAlign w:val="center"/>
          </w:tcPr>
          <w:p w14:paraId="1998B731"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r>
      <w:tr w:rsidR="0090504F" w:rsidRPr="00B4511B" w14:paraId="76A7FFFB" w14:textId="77777777" w:rsidTr="0012434C">
        <w:trPr>
          <w:trHeight w:val="227"/>
          <w:jc w:val="center"/>
        </w:trPr>
        <w:tc>
          <w:tcPr>
            <w:tcW w:w="426" w:type="dxa"/>
            <w:vAlign w:val="center"/>
          </w:tcPr>
          <w:p w14:paraId="4E208B27"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04</w:t>
            </w:r>
            <w:r w:rsidRPr="009C3412">
              <w:rPr>
                <w:rFonts w:ascii="Times New Roman" w:eastAsia="Times New Roman" w:hAnsi="Times New Roman" w:cs="Times New Roman"/>
                <w:sz w:val="16"/>
                <w:szCs w:val="16"/>
                <w:vertAlign w:val="superscript"/>
              </w:rPr>
              <w:t>a</w:t>
            </w:r>
          </w:p>
        </w:tc>
        <w:tc>
          <w:tcPr>
            <w:tcW w:w="907" w:type="dxa"/>
            <w:vAlign w:val="center"/>
          </w:tcPr>
          <w:p w14:paraId="51872910"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120</w:t>
            </w:r>
          </w:p>
        </w:tc>
        <w:tc>
          <w:tcPr>
            <w:tcW w:w="1245" w:type="dxa"/>
            <w:vAlign w:val="center"/>
          </w:tcPr>
          <w:p w14:paraId="493F391B"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100</w:t>
            </w:r>
          </w:p>
        </w:tc>
        <w:tc>
          <w:tcPr>
            <w:tcW w:w="850" w:type="dxa"/>
            <w:vAlign w:val="center"/>
          </w:tcPr>
          <w:p w14:paraId="197EA909"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3</w:t>
            </w:r>
            <w:r>
              <w:rPr>
                <w:rFonts w:ascii="Times New Roman" w:eastAsia="Times New Roman" w:hAnsi="Times New Roman" w:cs="Times New Roman"/>
                <w:sz w:val="16"/>
                <w:szCs w:val="16"/>
              </w:rPr>
              <w:t>.00</w:t>
            </w:r>
          </w:p>
        </w:tc>
        <w:tc>
          <w:tcPr>
            <w:tcW w:w="232" w:type="dxa"/>
            <w:vAlign w:val="center"/>
          </w:tcPr>
          <w:p w14:paraId="2B278B26" w14:textId="77777777" w:rsidR="0090504F" w:rsidRPr="004A570C" w:rsidRDefault="0090504F" w:rsidP="00F5185A">
            <w:pPr>
              <w:framePr w:w="7088" w:h="255" w:wrap="notBeside" w:hAnchor="margin" w:xAlign="center" w:yAlign="bottom"/>
              <w:jc w:val="center"/>
              <w:rPr>
                <w:rFonts w:ascii="Times New Roman" w:hAnsi="Times New Roman" w:cs="Times New Roman"/>
                <w:b/>
                <w:bCs/>
                <w:sz w:val="16"/>
                <w:szCs w:val="16"/>
              </w:rPr>
            </w:pPr>
          </w:p>
        </w:tc>
        <w:tc>
          <w:tcPr>
            <w:tcW w:w="425" w:type="dxa"/>
            <w:vAlign w:val="center"/>
          </w:tcPr>
          <w:p w14:paraId="2711F238"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19</w:t>
            </w:r>
            <w:r w:rsidRPr="009C3412">
              <w:rPr>
                <w:rFonts w:ascii="Times New Roman" w:eastAsia="Times New Roman" w:hAnsi="Times New Roman" w:cs="Times New Roman"/>
                <w:sz w:val="16"/>
                <w:szCs w:val="16"/>
                <w:vertAlign w:val="superscript"/>
              </w:rPr>
              <w:t>a</w:t>
            </w:r>
          </w:p>
        </w:tc>
        <w:tc>
          <w:tcPr>
            <w:tcW w:w="907" w:type="dxa"/>
            <w:vAlign w:val="center"/>
          </w:tcPr>
          <w:p w14:paraId="768617C5"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1198</w:t>
            </w:r>
          </w:p>
        </w:tc>
        <w:tc>
          <w:tcPr>
            <w:tcW w:w="1247" w:type="dxa"/>
            <w:vAlign w:val="center"/>
          </w:tcPr>
          <w:p w14:paraId="114AE112"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50</w:t>
            </w:r>
          </w:p>
        </w:tc>
        <w:tc>
          <w:tcPr>
            <w:tcW w:w="850" w:type="dxa"/>
            <w:vAlign w:val="center"/>
          </w:tcPr>
          <w:p w14:paraId="00A936CD"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r>
      <w:tr w:rsidR="0090504F" w:rsidRPr="00B4511B" w14:paraId="0F926CAE" w14:textId="77777777" w:rsidTr="0012434C">
        <w:trPr>
          <w:trHeight w:val="227"/>
          <w:jc w:val="center"/>
        </w:trPr>
        <w:tc>
          <w:tcPr>
            <w:tcW w:w="426" w:type="dxa"/>
            <w:vAlign w:val="center"/>
          </w:tcPr>
          <w:p w14:paraId="26143227"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05</w:t>
            </w:r>
            <w:r w:rsidRPr="009C3412">
              <w:rPr>
                <w:rFonts w:ascii="Times New Roman" w:eastAsia="Times New Roman" w:hAnsi="Times New Roman" w:cs="Times New Roman"/>
                <w:sz w:val="16"/>
                <w:szCs w:val="16"/>
                <w:vertAlign w:val="superscript"/>
              </w:rPr>
              <w:t>a</w:t>
            </w:r>
          </w:p>
        </w:tc>
        <w:tc>
          <w:tcPr>
            <w:tcW w:w="907" w:type="dxa"/>
            <w:vAlign w:val="center"/>
          </w:tcPr>
          <w:p w14:paraId="6FD4CBD2"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60</w:t>
            </w:r>
          </w:p>
        </w:tc>
        <w:tc>
          <w:tcPr>
            <w:tcW w:w="1245" w:type="dxa"/>
            <w:vAlign w:val="center"/>
          </w:tcPr>
          <w:p w14:paraId="519C2655"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100</w:t>
            </w:r>
          </w:p>
        </w:tc>
        <w:tc>
          <w:tcPr>
            <w:tcW w:w="850" w:type="dxa"/>
            <w:vAlign w:val="center"/>
          </w:tcPr>
          <w:p w14:paraId="6E776C35"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c>
          <w:tcPr>
            <w:tcW w:w="232" w:type="dxa"/>
            <w:vAlign w:val="center"/>
          </w:tcPr>
          <w:p w14:paraId="767F2B94" w14:textId="77777777" w:rsidR="0090504F" w:rsidRPr="004A570C" w:rsidRDefault="0090504F" w:rsidP="00F5185A">
            <w:pPr>
              <w:framePr w:w="7088" w:h="255" w:wrap="notBeside" w:hAnchor="margin" w:xAlign="center" w:yAlign="bottom"/>
              <w:jc w:val="center"/>
              <w:rPr>
                <w:rFonts w:ascii="Times New Roman" w:hAnsi="Times New Roman" w:cs="Times New Roman"/>
                <w:b/>
                <w:bCs/>
                <w:sz w:val="16"/>
                <w:szCs w:val="16"/>
              </w:rPr>
            </w:pPr>
          </w:p>
        </w:tc>
        <w:tc>
          <w:tcPr>
            <w:tcW w:w="425" w:type="dxa"/>
            <w:vAlign w:val="center"/>
          </w:tcPr>
          <w:p w14:paraId="07B7D690"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20</w:t>
            </w:r>
            <w:r w:rsidRPr="009C3412">
              <w:rPr>
                <w:rFonts w:ascii="Times New Roman" w:eastAsia="Times New Roman" w:hAnsi="Times New Roman" w:cs="Times New Roman"/>
                <w:sz w:val="16"/>
                <w:szCs w:val="16"/>
                <w:vertAlign w:val="superscript"/>
              </w:rPr>
              <w:t>a</w:t>
            </w:r>
          </w:p>
        </w:tc>
        <w:tc>
          <w:tcPr>
            <w:tcW w:w="907" w:type="dxa"/>
            <w:vAlign w:val="center"/>
          </w:tcPr>
          <w:p w14:paraId="32AF074A"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1797</w:t>
            </w:r>
          </w:p>
        </w:tc>
        <w:tc>
          <w:tcPr>
            <w:tcW w:w="1247" w:type="dxa"/>
            <w:vAlign w:val="center"/>
          </w:tcPr>
          <w:p w14:paraId="7FB76577"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50</w:t>
            </w:r>
          </w:p>
        </w:tc>
        <w:tc>
          <w:tcPr>
            <w:tcW w:w="850" w:type="dxa"/>
            <w:vAlign w:val="center"/>
          </w:tcPr>
          <w:p w14:paraId="39BC804A"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r>
      <w:tr w:rsidR="0090504F" w:rsidRPr="00B4511B" w14:paraId="04928E20" w14:textId="77777777" w:rsidTr="0012434C">
        <w:trPr>
          <w:trHeight w:val="227"/>
          <w:jc w:val="center"/>
        </w:trPr>
        <w:tc>
          <w:tcPr>
            <w:tcW w:w="426" w:type="dxa"/>
            <w:vAlign w:val="center"/>
          </w:tcPr>
          <w:p w14:paraId="7F6001DC"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0</w:t>
            </w:r>
            <w:r>
              <w:rPr>
                <w:rFonts w:ascii="Times New Roman" w:eastAsia="Times New Roman" w:hAnsi="Times New Roman" w:cs="Times New Roman"/>
                <w:sz w:val="16"/>
                <w:szCs w:val="16"/>
              </w:rPr>
              <w:t>6</w:t>
            </w:r>
            <w:r w:rsidRPr="009C3412">
              <w:rPr>
                <w:rFonts w:ascii="Times New Roman" w:eastAsia="Times New Roman" w:hAnsi="Times New Roman" w:cs="Times New Roman"/>
                <w:sz w:val="16"/>
                <w:szCs w:val="16"/>
                <w:vertAlign w:val="superscript"/>
              </w:rPr>
              <w:t>a</w:t>
            </w:r>
          </w:p>
        </w:tc>
        <w:tc>
          <w:tcPr>
            <w:tcW w:w="907" w:type="dxa"/>
            <w:vAlign w:val="center"/>
          </w:tcPr>
          <w:p w14:paraId="21344D09"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60</w:t>
            </w:r>
          </w:p>
        </w:tc>
        <w:tc>
          <w:tcPr>
            <w:tcW w:w="1245" w:type="dxa"/>
            <w:vAlign w:val="center"/>
          </w:tcPr>
          <w:p w14:paraId="6E7C0C56"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200</w:t>
            </w:r>
          </w:p>
        </w:tc>
        <w:tc>
          <w:tcPr>
            <w:tcW w:w="850" w:type="dxa"/>
            <w:vAlign w:val="center"/>
          </w:tcPr>
          <w:p w14:paraId="27F236AE"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c>
          <w:tcPr>
            <w:tcW w:w="232" w:type="dxa"/>
            <w:vAlign w:val="center"/>
          </w:tcPr>
          <w:p w14:paraId="1228795F" w14:textId="77777777" w:rsidR="0090504F" w:rsidRPr="004A570C" w:rsidRDefault="0090504F" w:rsidP="00F5185A">
            <w:pPr>
              <w:framePr w:w="7088" w:h="255" w:wrap="notBeside" w:hAnchor="margin" w:xAlign="center" w:yAlign="bottom"/>
              <w:jc w:val="center"/>
              <w:rPr>
                <w:rFonts w:ascii="Times New Roman" w:hAnsi="Times New Roman" w:cs="Times New Roman"/>
                <w:b/>
                <w:bCs/>
                <w:sz w:val="16"/>
                <w:szCs w:val="16"/>
              </w:rPr>
            </w:pPr>
          </w:p>
        </w:tc>
        <w:tc>
          <w:tcPr>
            <w:tcW w:w="425" w:type="dxa"/>
            <w:vAlign w:val="center"/>
          </w:tcPr>
          <w:p w14:paraId="35C4E1EB"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21</w:t>
            </w:r>
            <w:r w:rsidRPr="009C3412">
              <w:rPr>
                <w:rFonts w:ascii="Times New Roman" w:eastAsia="Times New Roman" w:hAnsi="Times New Roman" w:cs="Times New Roman"/>
                <w:sz w:val="16"/>
                <w:szCs w:val="16"/>
                <w:vertAlign w:val="superscript"/>
              </w:rPr>
              <w:t>a</w:t>
            </w:r>
          </w:p>
        </w:tc>
        <w:tc>
          <w:tcPr>
            <w:tcW w:w="907" w:type="dxa"/>
            <w:vAlign w:val="center"/>
          </w:tcPr>
          <w:p w14:paraId="5D1BB4E2"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2396</w:t>
            </w:r>
          </w:p>
        </w:tc>
        <w:tc>
          <w:tcPr>
            <w:tcW w:w="1247" w:type="dxa"/>
            <w:vAlign w:val="center"/>
          </w:tcPr>
          <w:p w14:paraId="0AF72B01"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50</w:t>
            </w:r>
          </w:p>
        </w:tc>
        <w:tc>
          <w:tcPr>
            <w:tcW w:w="850" w:type="dxa"/>
            <w:vAlign w:val="center"/>
          </w:tcPr>
          <w:p w14:paraId="4739843A"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r>
      <w:tr w:rsidR="0090504F" w:rsidRPr="00B4511B" w14:paraId="08B11416" w14:textId="77777777" w:rsidTr="0012434C">
        <w:trPr>
          <w:trHeight w:val="227"/>
          <w:jc w:val="center"/>
        </w:trPr>
        <w:tc>
          <w:tcPr>
            <w:tcW w:w="426" w:type="dxa"/>
            <w:vAlign w:val="center"/>
          </w:tcPr>
          <w:p w14:paraId="05630811"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0</w:t>
            </w:r>
            <w:r>
              <w:rPr>
                <w:rFonts w:ascii="Times New Roman" w:eastAsia="Times New Roman" w:hAnsi="Times New Roman" w:cs="Times New Roman"/>
                <w:sz w:val="16"/>
                <w:szCs w:val="16"/>
              </w:rPr>
              <w:t>7</w:t>
            </w:r>
            <w:r w:rsidRPr="009C3412">
              <w:rPr>
                <w:rFonts w:ascii="Times New Roman" w:eastAsia="Times New Roman" w:hAnsi="Times New Roman" w:cs="Times New Roman"/>
                <w:sz w:val="16"/>
                <w:szCs w:val="16"/>
                <w:vertAlign w:val="superscript"/>
              </w:rPr>
              <w:t>a</w:t>
            </w:r>
          </w:p>
        </w:tc>
        <w:tc>
          <w:tcPr>
            <w:tcW w:w="907" w:type="dxa"/>
            <w:vAlign w:val="center"/>
          </w:tcPr>
          <w:p w14:paraId="43392E9F"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60</w:t>
            </w:r>
          </w:p>
        </w:tc>
        <w:tc>
          <w:tcPr>
            <w:tcW w:w="1245" w:type="dxa"/>
            <w:vAlign w:val="center"/>
          </w:tcPr>
          <w:p w14:paraId="03BE5751"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300</w:t>
            </w:r>
          </w:p>
        </w:tc>
        <w:tc>
          <w:tcPr>
            <w:tcW w:w="850" w:type="dxa"/>
            <w:vAlign w:val="center"/>
          </w:tcPr>
          <w:p w14:paraId="382871D4"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c>
          <w:tcPr>
            <w:tcW w:w="232" w:type="dxa"/>
            <w:vAlign w:val="center"/>
          </w:tcPr>
          <w:p w14:paraId="02A39CB9" w14:textId="77777777" w:rsidR="0090504F" w:rsidRPr="004A570C" w:rsidRDefault="0090504F" w:rsidP="00F5185A">
            <w:pPr>
              <w:framePr w:w="7088" w:h="255" w:wrap="notBeside" w:hAnchor="margin" w:xAlign="center" w:yAlign="bottom"/>
              <w:jc w:val="center"/>
              <w:rPr>
                <w:rFonts w:ascii="Times New Roman" w:hAnsi="Times New Roman" w:cs="Times New Roman"/>
                <w:b/>
                <w:bCs/>
                <w:sz w:val="16"/>
                <w:szCs w:val="16"/>
              </w:rPr>
            </w:pPr>
          </w:p>
        </w:tc>
        <w:tc>
          <w:tcPr>
            <w:tcW w:w="425" w:type="dxa"/>
            <w:vAlign w:val="center"/>
          </w:tcPr>
          <w:p w14:paraId="59C01C5A"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2</w:t>
            </w:r>
            <w:r>
              <w:rPr>
                <w:rFonts w:ascii="Times New Roman" w:eastAsia="Times New Roman" w:hAnsi="Times New Roman" w:cs="Times New Roman"/>
                <w:sz w:val="16"/>
                <w:szCs w:val="16"/>
              </w:rPr>
              <w:t>2</w:t>
            </w:r>
            <w:r w:rsidRPr="009C3412">
              <w:rPr>
                <w:rFonts w:ascii="Times New Roman" w:eastAsia="Times New Roman" w:hAnsi="Times New Roman" w:cs="Times New Roman"/>
                <w:sz w:val="16"/>
                <w:szCs w:val="16"/>
                <w:vertAlign w:val="superscript"/>
              </w:rPr>
              <w:t>a</w:t>
            </w:r>
          </w:p>
        </w:tc>
        <w:tc>
          <w:tcPr>
            <w:tcW w:w="907" w:type="dxa"/>
            <w:vAlign w:val="center"/>
          </w:tcPr>
          <w:p w14:paraId="3A0C9CEA"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2995</w:t>
            </w:r>
          </w:p>
        </w:tc>
        <w:tc>
          <w:tcPr>
            <w:tcW w:w="1247" w:type="dxa"/>
            <w:vAlign w:val="center"/>
          </w:tcPr>
          <w:p w14:paraId="10EC7CED"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50</w:t>
            </w:r>
          </w:p>
        </w:tc>
        <w:tc>
          <w:tcPr>
            <w:tcW w:w="850" w:type="dxa"/>
            <w:vAlign w:val="center"/>
          </w:tcPr>
          <w:p w14:paraId="5B814140"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r>
      <w:tr w:rsidR="0090504F" w:rsidRPr="00B4511B" w14:paraId="0B2A20BF" w14:textId="77777777" w:rsidTr="0012434C">
        <w:trPr>
          <w:trHeight w:val="227"/>
          <w:jc w:val="center"/>
        </w:trPr>
        <w:tc>
          <w:tcPr>
            <w:tcW w:w="426" w:type="dxa"/>
            <w:vAlign w:val="center"/>
          </w:tcPr>
          <w:p w14:paraId="0C5C4FAF"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08</w:t>
            </w:r>
            <w:r w:rsidRPr="009C3412">
              <w:rPr>
                <w:rFonts w:ascii="Times New Roman" w:eastAsia="Times New Roman" w:hAnsi="Times New Roman" w:cs="Times New Roman"/>
                <w:sz w:val="16"/>
                <w:szCs w:val="16"/>
                <w:vertAlign w:val="superscript"/>
              </w:rPr>
              <w:t>a</w:t>
            </w:r>
          </w:p>
        </w:tc>
        <w:tc>
          <w:tcPr>
            <w:tcW w:w="907" w:type="dxa"/>
            <w:vAlign w:val="center"/>
          </w:tcPr>
          <w:p w14:paraId="4C69AF2F"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600</w:t>
            </w:r>
          </w:p>
        </w:tc>
        <w:tc>
          <w:tcPr>
            <w:tcW w:w="1245" w:type="dxa"/>
            <w:vAlign w:val="center"/>
          </w:tcPr>
          <w:p w14:paraId="0D728A46"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100</w:t>
            </w:r>
          </w:p>
        </w:tc>
        <w:tc>
          <w:tcPr>
            <w:tcW w:w="850" w:type="dxa"/>
            <w:vAlign w:val="center"/>
          </w:tcPr>
          <w:p w14:paraId="7E2F5DFE"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c>
          <w:tcPr>
            <w:tcW w:w="232" w:type="dxa"/>
            <w:vAlign w:val="center"/>
          </w:tcPr>
          <w:p w14:paraId="7A35CCCF" w14:textId="77777777" w:rsidR="0090504F" w:rsidRPr="004A570C" w:rsidRDefault="0090504F" w:rsidP="00F5185A">
            <w:pPr>
              <w:framePr w:w="7088" w:h="255" w:wrap="notBeside" w:hAnchor="margin" w:xAlign="center" w:yAlign="bottom"/>
              <w:jc w:val="center"/>
              <w:rPr>
                <w:rFonts w:ascii="Times New Roman" w:hAnsi="Times New Roman" w:cs="Times New Roman"/>
                <w:b/>
                <w:bCs/>
                <w:sz w:val="16"/>
                <w:szCs w:val="16"/>
              </w:rPr>
            </w:pPr>
          </w:p>
        </w:tc>
        <w:tc>
          <w:tcPr>
            <w:tcW w:w="425" w:type="dxa"/>
            <w:vAlign w:val="center"/>
          </w:tcPr>
          <w:p w14:paraId="7CFF24FF"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23</w:t>
            </w:r>
            <w:r w:rsidRPr="009C3412">
              <w:rPr>
                <w:rFonts w:ascii="Times New Roman" w:eastAsia="Times New Roman" w:hAnsi="Times New Roman" w:cs="Times New Roman"/>
                <w:sz w:val="16"/>
                <w:szCs w:val="16"/>
                <w:vertAlign w:val="superscript"/>
              </w:rPr>
              <w:t>a</w:t>
            </w:r>
          </w:p>
        </w:tc>
        <w:tc>
          <w:tcPr>
            <w:tcW w:w="907" w:type="dxa"/>
            <w:vAlign w:val="center"/>
          </w:tcPr>
          <w:p w14:paraId="633B37F5"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187</w:t>
            </w:r>
          </w:p>
        </w:tc>
        <w:tc>
          <w:tcPr>
            <w:tcW w:w="1247" w:type="dxa"/>
            <w:vAlign w:val="center"/>
          </w:tcPr>
          <w:p w14:paraId="71DE8C71"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200</w:t>
            </w:r>
          </w:p>
        </w:tc>
        <w:tc>
          <w:tcPr>
            <w:tcW w:w="850" w:type="dxa"/>
            <w:vAlign w:val="center"/>
          </w:tcPr>
          <w:p w14:paraId="01BEAE1C"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r>
      <w:tr w:rsidR="0090504F" w:rsidRPr="00B4511B" w14:paraId="1631C613" w14:textId="77777777" w:rsidTr="0012434C">
        <w:trPr>
          <w:trHeight w:val="227"/>
          <w:jc w:val="center"/>
        </w:trPr>
        <w:tc>
          <w:tcPr>
            <w:tcW w:w="426" w:type="dxa"/>
            <w:vAlign w:val="center"/>
          </w:tcPr>
          <w:p w14:paraId="6A36F82F"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09</w:t>
            </w:r>
            <w:r w:rsidRPr="009C3412">
              <w:rPr>
                <w:rFonts w:ascii="Times New Roman" w:eastAsia="Times New Roman" w:hAnsi="Times New Roman" w:cs="Times New Roman"/>
                <w:sz w:val="16"/>
                <w:szCs w:val="16"/>
                <w:vertAlign w:val="superscript"/>
              </w:rPr>
              <w:t>a</w:t>
            </w:r>
          </w:p>
        </w:tc>
        <w:tc>
          <w:tcPr>
            <w:tcW w:w="907" w:type="dxa"/>
            <w:vAlign w:val="center"/>
          </w:tcPr>
          <w:p w14:paraId="59DC07C4"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1200</w:t>
            </w:r>
          </w:p>
        </w:tc>
        <w:tc>
          <w:tcPr>
            <w:tcW w:w="1245" w:type="dxa"/>
            <w:vAlign w:val="center"/>
          </w:tcPr>
          <w:p w14:paraId="6922DFEA"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100</w:t>
            </w:r>
          </w:p>
        </w:tc>
        <w:tc>
          <w:tcPr>
            <w:tcW w:w="850" w:type="dxa"/>
            <w:vAlign w:val="center"/>
          </w:tcPr>
          <w:p w14:paraId="79F4FB8E"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c>
          <w:tcPr>
            <w:tcW w:w="232" w:type="dxa"/>
            <w:vAlign w:val="center"/>
          </w:tcPr>
          <w:p w14:paraId="466377D6" w14:textId="77777777" w:rsidR="0090504F" w:rsidRPr="004A570C" w:rsidRDefault="0090504F" w:rsidP="00F5185A">
            <w:pPr>
              <w:framePr w:w="7088" w:h="255" w:wrap="notBeside" w:hAnchor="margin" w:xAlign="center" w:yAlign="bottom"/>
              <w:jc w:val="center"/>
              <w:rPr>
                <w:rFonts w:ascii="Times New Roman" w:hAnsi="Times New Roman" w:cs="Times New Roman"/>
                <w:b/>
                <w:bCs/>
                <w:sz w:val="16"/>
                <w:szCs w:val="16"/>
              </w:rPr>
            </w:pPr>
          </w:p>
        </w:tc>
        <w:tc>
          <w:tcPr>
            <w:tcW w:w="425" w:type="dxa"/>
            <w:vAlign w:val="center"/>
          </w:tcPr>
          <w:p w14:paraId="70F93351"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24</w:t>
            </w:r>
            <w:r w:rsidRPr="009C3412">
              <w:rPr>
                <w:rFonts w:ascii="Times New Roman" w:eastAsia="Times New Roman" w:hAnsi="Times New Roman" w:cs="Times New Roman"/>
                <w:sz w:val="16"/>
                <w:szCs w:val="16"/>
                <w:vertAlign w:val="superscript"/>
              </w:rPr>
              <w:t>a</w:t>
            </w:r>
          </w:p>
        </w:tc>
        <w:tc>
          <w:tcPr>
            <w:tcW w:w="907" w:type="dxa"/>
            <w:vAlign w:val="center"/>
          </w:tcPr>
          <w:p w14:paraId="23329DD1"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83</w:t>
            </w:r>
          </w:p>
        </w:tc>
        <w:tc>
          <w:tcPr>
            <w:tcW w:w="1247" w:type="dxa"/>
            <w:vAlign w:val="center"/>
          </w:tcPr>
          <w:p w14:paraId="67DD2A46"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300</w:t>
            </w:r>
          </w:p>
        </w:tc>
        <w:tc>
          <w:tcPr>
            <w:tcW w:w="850" w:type="dxa"/>
            <w:vAlign w:val="center"/>
          </w:tcPr>
          <w:p w14:paraId="2AABA6FB"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r>
      <w:tr w:rsidR="0090504F" w:rsidRPr="00B4511B" w14:paraId="159161D8" w14:textId="77777777" w:rsidTr="0012434C">
        <w:trPr>
          <w:trHeight w:val="227"/>
          <w:jc w:val="center"/>
        </w:trPr>
        <w:tc>
          <w:tcPr>
            <w:tcW w:w="426" w:type="dxa"/>
            <w:vAlign w:val="center"/>
          </w:tcPr>
          <w:p w14:paraId="0E88870B"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10</w:t>
            </w:r>
            <w:r w:rsidRPr="009C3412">
              <w:rPr>
                <w:rFonts w:ascii="Times New Roman" w:eastAsia="Times New Roman" w:hAnsi="Times New Roman" w:cs="Times New Roman"/>
                <w:sz w:val="16"/>
                <w:szCs w:val="16"/>
                <w:vertAlign w:val="superscript"/>
              </w:rPr>
              <w:t>a</w:t>
            </w:r>
          </w:p>
        </w:tc>
        <w:tc>
          <w:tcPr>
            <w:tcW w:w="907" w:type="dxa"/>
            <w:vAlign w:val="center"/>
          </w:tcPr>
          <w:p w14:paraId="26B1770E"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600</w:t>
            </w:r>
          </w:p>
        </w:tc>
        <w:tc>
          <w:tcPr>
            <w:tcW w:w="1245" w:type="dxa"/>
            <w:vAlign w:val="center"/>
          </w:tcPr>
          <w:p w14:paraId="0131278F"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300</w:t>
            </w:r>
          </w:p>
        </w:tc>
        <w:tc>
          <w:tcPr>
            <w:tcW w:w="850" w:type="dxa"/>
            <w:vAlign w:val="center"/>
          </w:tcPr>
          <w:p w14:paraId="55C759C3"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c>
          <w:tcPr>
            <w:tcW w:w="232" w:type="dxa"/>
            <w:vAlign w:val="center"/>
          </w:tcPr>
          <w:p w14:paraId="5BCB6C40" w14:textId="77777777" w:rsidR="0090504F" w:rsidRPr="004A570C" w:rsidRDefault="0090504F" w:rsidP="00F5185A">
            <w:pPr>
              <w:framePr w:w="7088" w:h="255" w:wrap="notBeside" w:hAnchor="margin" w:xAlign="center" w:yAlign="bottom"/>
              <w:jc w:val="center"/>
              <w:rPr>
                <w:rFonts w:ascii="Times New Roman" w:hAnsi="Times New Roman" w:cs="Times New Roman"/>
                <w:b/>
                <w:bCs/>
                <w:sz w:val="16"/>
                <w:szCs w:val="16"/>
              </w:rPr>
            </w:pPr>
          </w:p>
        </w:tc>
        <w:tc>
          <w:tcPr>
            <w:tcW w:w="425" w:type="dxa"/>
            <w:vAlign w:val="center"/>
          </w:tcPr>
          <w:p w14:paraId="2604B376"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hAnsi="Times New Roman" w:cs="Times New Roman"/>
                <w:bCs/>
                <w:sz w:val="16"/>
                <w:szCs w:val="16"/>
              </w:rPr>
              <w:t>25</w:t>
            </w:r>
            <w:r>
              <w:rPr>
                <w:rFonts w:ascii="Times New Roman" w:hAnsi="Times New Roman" w:cs="Times New Roman"/>
                <w:bCs/>
                <w:sz w:val="16"/>
                <w:szCs w:val="16"/>
                <w:vertAlign w:val="superscript"/>
              </w:rPr>
              <w:t>b</w:t>
            </w:r>
          </w:p>
        </w:tc>
        <w:tc>
          <w:tcPr>
            <w:tcW w:w="907" w:type="dxa"/>
            <w:vAlign w:val="center"/>
          </w:tcPr>
          <w:p w14:paraId="1D657209"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4A570C">
              <w:rPr>
                <w:rFonts w:ascii="Times New Roman" w:eastAsia="Times New Roman" w:hAnsi="Times New Roman" w:cs="Times New Roman"/>
                <w:sz w:val="16"/>
                <w:szCs w:val="16"/>
              </w:rPr>
              <w:t>180</w:t>
            </w:r>
          </w:p>
        </w:tc>
        <w:tc>
          <w:tcPr>
            <w:tcW w:w="1247" w:type="dxa"/>
            <w:vAlign w:val="center"/>
          </w:tcPr>
          <w:p w14:paraId="57D497A3"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4A570C">
              <w:rPr>
                <w:rFonts w:ascii="Times New Roman" w:eastAsia="Times New Roman" w:hAnsi="Times New Roman" w:cs="Times New Roman"/>
                <w:sz w:val="16"/>
                <w:szCs w:val="16"/>
              </w:rPr>
              <w:t>20</w:t>
            </w:r>
          </w:p>
        </w:tc>
        <w:tc>
          <w:tcPr>
            <w:tcW w:w="850" w:type="dxa"/>
            <w:vAlign w:val="center"/>
          </w:tcPr>
          <w:p w14:paraId="11CA364A"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4A570C">
              <w:rPr>
                <w:rFonts w:ascii="Times New Roman" w:eastAsia="Times New Roman" w:hAnsi="Times New Roman" w:cs="Times New Roman"/>
                <w:sz w:val="16"/>
                <w:szCs w:val="16"/>
              </w:rPr>
              <w:t>1.5</w:t>
            </w:r>
            <w:r>
              <w:rPr>
                <w:rFonts w:ascii="Times New Roman" w:eastAsia="Times New Roman" w:hAnsi="Times New Roman" w:cs="Times New Roman"/>
                <w:sz w:val="16"/>
                <w:szCs w:val="16"/>
              </w:rPr>
              <w:t>0</w:t>
            </w:r>
          </w:p>
        </w:tc>
      </w:tr>
      <w:tr w:rsidR="0090504F" w:rsidRPr="00B4511B" w14:paraId="23832D0A" w14:textId="77777777" w:rsidTr="0012434C">
        <w:trPr>
          <w:trHeight w:val="227"/>
          <w:jc w:val="center"/>
        </w:trPr>
        <w:tc>
          <w:tcPr>
            <w:tcW w:w="426" w:type="dxa"/>
            <w:vAlign w:val="center"/>
          </w:tcPr>
          <w:p w14:paraId="05634E59"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1</w:t>
            </w:r>
            <w:r>
              <w:rPr>
                <w:rFonts w:ascii="Times New Roman" w:eastAsia="Times New Roman" w:hAnsi="Times New Roman" w:cs="Times New Roman"/>
                <w:sz w:val="16"/>
                <w:szCs w:val="16"/>
              </w:rPr>
              <w:t>1</w:t>
            </w:r>
            <w:r w:rsidRPr="009C3412">
              <w:rPr>
                <w:rFonts w:ascii="Times New Roman" w:eastAsia="Times New Roman" w:hAnsi="Times New Roman" w:cs="Times New Roman"/>
                <w:sz w:val="16"/>
                <w:szCs w:val="16"/>
                <w:vertAlign w:val="superscript"/>
              </w:rPr>
              <w:t>a</w:t>
            </w:r>
          </w:p>
        </w:tc>
        <w:tc>
          <w:tcPr>
            <w:tcW w:w="907" w:type="dxa"/>
            <w:vAlign w:val="center"/>
          </w:tcPr>
          <w:p w14:paraId="4DC16C9F"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600</w:t>
            </w:r>
          </w:p>
        </w:tc>
        <w:tc>
          <w:tcPr>
            <w:tcW w:w="1245" w:type="dxa"/>
            <w:vAlign w:val="center"/>
          </w:tcPr>
          <w:p w14:paraId="1070E3C2"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200</w:t>
            </w:r>
          </w:p>
        </w:tc>
        <w:tc>
          <w:tcPr>
            <w:tcW w:w="850" w:type="dxa"/>
            <w:vAlign w:val="center"/>
          </w:tcPr>
          <w:p w14:paraId="55DE54B4"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c>
          <w:tcPr>
            <w:tcW w:w="232" w:type="dxa"/>
            <w:vAlign w:val="center"/>
          </w:tcPr>
          <w:p w14:paraId="4D646551" w14:textId="77777777" w:rsidR="0090504F" w:rsidRPr="004A570C" w:rsidRDefault="0090504F" w:rsidP="00F5185A">
            <w:pPr>
              <w:framePr w:w="7088" w:h="255" w:wrap="notBeside" w:hAnchor="margin" w:xAlign="center" w:yAlign="bottom"/>
              <w:jc w:val="center"/>
              <w:rPr>
                <w:rFonts w:ascii="Times New Roman" w:hAnsi="Times New Roman" w:cs="Times New Roman"/>
                <w:b/>
                <w:bCs/>
                <w:sz w:val="16"/>
                <w:szCs w:val="16"/>
              </w:rPr>
            </w:pPr>
          </w:p>
        </w:tc>
        <w:tc>
          <w:tcPr>
            <w:tcW w:w="425" w:type="dxa"/>
            <w:vAlign w:val="center"/>
          </w:tcPr>
          <w:p w14:paraId="1F8FABCB"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hAnsi="Times New Roman" w:cs="Times New Roman"/>
                <w:bCs/>
                <w:sz w:val="16"/>
                <w:szCs w:val="16"/>
              </w:rPr>
              <w:t>26</w:t>
            </w:r>
            <w:r>
              <w:rPr>
                <w:rFonts w:ascii="Times New Roman" w:hAnsi="Times New Roman" w:cs="Times New Roman"/>
                <w:bCs/>
                <w:sz w:val="16"/>
                <w:szCs w:val="16"/>
                <w:vertAlign w:val="superscript"/>
              </w:rPr>
              <w:t>b</w:t>
            </w:r>
          </w:p>
        </w:tc>
        <w:tc>
          <w:tcPr>
            <w:tcW w:w="907" w:type="dxa"/>
            <w:vAlign w:val="center"/>
          </w:tcPr>
          <w:p w14:paraId="65BE5CA4"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4A570C">
              <w:rPr>
                <w:rFonts w:ascii="Times New Roman" w:eastAsia="Times New Roman" w:hAnsi="Times New Roman" w:cs="Times New Roman"/>
                <w:sz w:val="16"/>
                <w:szCs w:val="16"/>
              </w:rPr>
              <w:t>300</w:t>
            </w:r>
          </w:p>
        </w:tc>
        <w:tc>
          <w:tcPr>
            <w:tcW w:w="1247" w:type="dxa"/>
            <w:vAlign w:val="center"/>
          </w:tcPr>
          <w:p w14:paraId="52F4EDDF"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4A570C">
              <w:rPr>
                <w:rFonts w:ascii="Times New Roman" w:eastAsia="Times New Roman" w:hAnsi="Times New Roman" w:cs="Times New Roman"/>
                <w:sz w:val="16"/>
                <w:szCs w:val="16"/>
              </w:rPr>
              <w:t>20</w:t>
            </w:r>
          </w:p>
        </w:tc>
        <w:tc>
          <w:tcPr>
            <w:tcW w:w="850" w:type="dxa"/>
            <w:vAlign w:val="center"/>
          </w:tcPr>
          <w:p w14:paraId="19566C3D"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4A570C">
              <w:rPr>
                <w:rFonts w:ascii="Times New Roman" w:eastAsia="Times New Roman" w:hAnsi="Times New Roman" w:cs="Times New Roman"/>
                <w:sz w:val="16"/>
                <w:szCs w:val="16"/>
              </w:rPr>
              <w:t>1.5</w:t>
            </w:r>
            <w:r>
              <w:rPr>
                <w:rFonts w:ascii="Times New Roman" w:eastAsia="Times New Roman" w:hAnsi="Times New Roman" w:cs="Times New Roman"/>
                <w:sz w:val="16"/>
                <w:szCs w:val="16"/>
              </w:rPr>
              <w:t>0</w:t>
            </w:r>
          </w:p>
        </w:tc>
      </w:tr>
      <w:tr w:rsidR="0090504F" w:rsidRPr="00B4511B" w14:paraId="6FD0EEC5" w14:textId="77777777" w:rsidTr="0012434C">
        <w:trPr>
          <w:trHeight w:val="227"/>
          <w:jc w:val="center"/>
        </w:trPr>
        <w:tc>
          <w:tcPr>
            <w:tcW w:w="426" w:type="dxa"/>
            <w:vAlign w:val="center"/>
          </w:tcPr>
          <w:p w14:paraId="7A639A0B"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1</w:t>
            </w:r>
            <w:r>
              <w:rPr>
                <w:rFonts w:ascii="Times New Roman" w:eastAsia="Times New Roman" w:hAnsi="Times New Roman" w:cs="Times New Roman"/>
                <w:sz w:val="16"/>
                <w:szCs w:val="16"/>
              </w:rPr>
              <w:t>2</w:t>
            </w:r>
            <w:r w:rsidRPr="009C3412">
              <w:rPr>
                <w:rFonts w:ascii="Times New Roman" w:eastAsia="Times New Roman" w:hAnsi="Times New Roman" w:cs="Times New Roman"/>
                <w:sz w:val="16"/>
                <w:szCs w:val="16"/>
                <w:vertAlign w:val="superscript"/>
              </w:rPr>
              <w:t>a</w:t>
            </w:r>
          </w:p>
        </w:tc>
        <w:tc>
          <w:tcPr>
            <w:tcW w:w="907" w:type="dxa"/>
            <w:vAlign w:val="center"/>
          </w:tcPr>
          <w:p w14:paraId="5A1987CA"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41</w:t>
            </w:r>
          </w:p>
        </w:tc>
        <w:tc>
          <w:tcPr>
            <w:tcW w:w="1245" w:type="dxa"/>
            <w:vAlign w:val="center"/>
          </w:tcPr>
          <w:p w14:paraId="207B2A86"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200</w:t>
            </w:r>
          </w:p>
        </w:tc>
        <w:tc>
          <w:tcPr>
            <w:tcW w:w="850" w:type="dxa"/>
            <w:vAlign w:val="center"/>
          </w:tcPr>
          <w:p w14:paraId="301B1DDD"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c>
          <w:tcPr>
            <w:tcW w:w="232" w:type="dxa"/>
            <w:vAlign w:val="center"/>
          </w:tcPr>
          <w:p w14:paraId="1B557031" w14:textId="77777777" w:rsidR="0090504F" w:rsidRPr="004A570C" w:rsidRDefault="0090504F" w:rsidP="00F5185A">
            <w:pPr>
              <w:framePr w:w="7088" w:h="255" w:wrap="notBeside" w:hAnchor="margin" w:xAlign="center" w:yAlign="bottom"/>
              <w:jc w:val="center"/>
              <w:rPr>
                <w:rFonts w:ascii="Times New Roman" w:hAnsi="Times New Roman" w:cs="Times New Roman"/>
                <w:b/>
                <w:bCs/>
                <w:sz w:val="16"/>
                <w:szCs w:val="16"/>
              </w:rPr>
            </w:pPr>
          </w:p>
        </w:tc>
        <w:tc>
          <w:tcPr>
            <w:tcW w:w="425" w:type="dxa"/>
            <w:vAlign w:val="center"/>
          </w:tcPr>
          <w:p w14:paraId="37BDD786"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hAnsi="Times New Roman" w:cs="Times New Roman"/>
                <w:bCs/>
                <w:sz w:val="16"/>
                <w:szCs w:val="16"/>
              </w:rPr>
              <w:t>27</w:t>
            </w:r>
            <w:r>
              <w:rPr>
                <w:rFonts w:ascii="Times New Roman" w:hAnsi="Times New Roman" w:cs="Times New Roman"/>
                <w:bCs/>
                <w:sz w:val="16"/>
                <w:szCs w:val="16"/>
                <w:vertAlign w:val="superscript"/>
              </w:rPr>
              <w:t>b</w:t>
            </w:r>
          </w:p>
        </w:tc>
        <w:tc>
          <w:tcPr>
            <w:tcW w:w="907" w:type="dxa"/>
            <w:vAlign w:val="center"/>
          </w:tcPr>
          <w:p w14:paraId="090213B6"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4A570C">
              <w:rPr>
                <w:rFonts w:ascii="Times New Roman" w:eastAsia="Times New Roman" w:hAnsi="Times New Roman" w:cs="Times New Roman"/>
                <w:sz w:val="16"/>
                <w:szCs w:val="16"/>
              </w:rPr>
              <w:t>1800</w:t>
            </w:r>
          </w:p>
        </w:tc>
        <w:tc>
          <w:tcPr>
            <w:tcW w:w="1247" w:type="dxa"/>
            <w:vAlign w:val="center"/>
          </w:tcPr>
          <w:p w14:paraId="2FBAF367"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4A570C">
              <w:rPr>
                <w:rFonts w:ascii="Times New Roman" w:eastAsia="Times New Roman" w:hAnsi="Times New Roman" w:cs="Times New Roman"/>
                <w:sz w:val="16"/>
                <w:szCs w:val="16"/>
              </w:rPr>
              <w:t>20</w:t>
            </w:r>
          </w:p>
        </w:tc>
        <w:tc>
          <w:tcPr>
            <w:tcW w:w="850" w:type="dxa"/>
            <w:vAlign w:val="center"/>
          </w:tcPr>
          <w:p w14:paraId="3218786E"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4A570C">
              <w:rPr>
                <w:rFonts w:ascii="Times New Roman" w:eastAsia="Times New Roman" w:hAnsi="Times New Roman" w:cs="Times New Roman"/>
                <w:sz w:val="16"/>
                <w:szCs w:val="16"/>
              </w:rPr>
              <w:t>1.5</w:t>
            </w:r>
            <w:r>
              <w:rPr>
                <w:rFonts w:ascii="Times New Roman" w:eastAsia="Times New Roman" w:hAnsi="Times New Roman" w:cs="Times New Roman"/>
                <w:sz w:val="16"/>
                <w:szCs w:val="16"/>
              </w:rPr>
              <w:t>0</w:t>
            </w:r>
          </w:p>
        </w:tc>
      </w:tr>
      <w:tr w:rsidR="0090504F" w:rsidRPr="00B4511B" w14:paraId="5DBED5CB" w14:textId="77777777" w:rsidTr="0012434C">
        <w:trPr>
          <w:trHeight w:val="227"/>
          <w:jc w:val="center"/>
        </w:trPr>
        <w:tc>
          <w:tcPr>
            <w:tcW w:w="426" w:type="dxa"/>
            <w:vAlign w:val="center"/>
          </w:tcPr>
          <w:p w14:paraId="3D650177"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13</w:t>
            </w:r>
            <w:r w:rsidRPr="009C3412">
              <w:rPr>
                <w:rFonts w:ascii="Times New Roman" w:eastAsia="Times New Roman" w:hAnsi="Times New Roman" w:cs="Times New Roman"/>
                <w:sz w:val="16"/>
                <w:szCs w:val="16"/>
                <w:vertAlign w:val="superscript"/>
              </w:rPr>
              <w:t>a</w:t>
            </w:r>
          </w:p>
        </w:tc>
        <w:tc>
          <w:tcPr>
            <w:tcW w:w="907" w:type="dxa"/>
            <w:vAlign w:val="center"/>
          </w:tcPr>
          <w:p w14:paraId="66F5FC7B"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18</w:t>
            </w:r>
          </w:p>
        </w:tc>
        <w:tc>
          <w:tcPr>
            <w:tcW w:w="1245" w:type="dxa"/>
            <w:vAlign w:val="center"/>
          </w:tcPr>
          <w:p w14:paraId="05E3FB1D"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300</w:t>
            </w:r>
          </w:p>
        </w:tc>
        <w:tc>
          <w:tcPr>
            <w:tcW w:w="850" w:type="dxa"/>
            <w:vAlign w:val="center"/>
          </w:tcPr>
          <w:p w14:paraId="162547C0"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c>
          <w:tcPr>
            <w:tcW w:w="232" w:type="dxa"/>
            <w:vAlign w:val="center"/>
          </w:tcPr>
          <w:p w14:paraId="2F3E5DC7" w14:textId="77777777" w:rsidR="0090504F" w:rsidRPr="004A570C" w:rsidRDefault="0090504F" w:rsidP="00F5185A">
            <w:pPr>
              <w:framePr w:w="7088" w:h="255" w:wrap="notBeside" w:hAnchor="margin" w:xAlign="center" w:yAlign="bottom"/>
              <w:jc w:val="center"/>
              <w:rPr>
                <w:rFonts w:ascii="Times New Roman" w:hAnsi="Times New Roman" w:cs="Times New Roman"/>
                <w:b/>
                <w:bCs/>
                <w:sz w:val="16"/>
                <w:szCs w:val="16"/>
              </w:rPr>
            </w:pPr>
          </w:p>
        </w:tc>
        <w:tc>
          <w:tcPr>
            <w:tcW w:w="425" w:type="dxa"/>
            <w:vAlign w:val="center"/>
          </w:tcPr>
          <w:p w14:paraId="06A06AA5" w14:textId="77777777" w:rsidR="0090504F" w:rsidRPr="004A570C" w:rsidRDefault="0090504F" w:rsidP="00F5185A">
            <w:pPr>
              <w:framePr w:w="7088" w:h="255" w:wrap="notBeside" w:hAnchor="margin" w:xAlign="center" w:yAlign="bottom"/>
              <w:jc w:val="center"/>
              <w:rPr>
                <w:rFonts w:ascii="Times New Roman" w:hAnsi="Times New Roman" w:cs="Times New Roman"/>
                <w:bCs/>
                <w:sz w:val="16"/>
                <w:szCs w:val="16"/>
              </w:rPr>
            </w:pPr>
            <w:r>
              <w:rPr>
                <w:rFonts w:ascii="Times New Roman" w:hAnsi="Times New Roman" w:cs="Times New Roman"/>
                <w:sz w:val="16"/>
                <w:szCs w:val="16"/>
              </w:rPr>
              <w:t>28</w:t>
            </w:r>
            <w:r>
              <w:rPr>
                <w:rFonts w:ascii="Times New Roman" w:hAnsi="Times New Roman" w:cs="Times New Roman"/>
                <w:bCs/>
                <w:sz w:val="16"/>
                <w:szCs w:val="16"/>
                <w:vertAlign w:val="superscript"/>
              </w:rPr>
              <w:t>b</w:t>
            </w:r>
          </w:p>
        </w:tc>
        <w:tc>
          <w:tcPr>
            <w:tcW w:w="907" w:type="dxa"/>
            <w:vAlign w:val="center"/>
          </w:tcPr>
          <w:p w14:paraId="5327FD21" w14:textId="77777777" w:rsidR="0090504F" w:rsidRPr="004A570C" w:rsidRDefault="0090504F" w:rsidP="00F5185A">
            <w:pPr>
              <w:framePr w:w="7088" w:h="255" w:wrap="notBeside" w:hAnchor="margin" w:xAlign="center" w:yAlign="bottom"/>
              <w:jc w:val="center"/>
              <w:rPr>
                <w:rFonts w:ascii="Times New Roman" w:hAnsi="Times New Roman" w:cs="Times New Roman"/>
                <w:b/>
                <w:bCs/>
                <w:sz w:val="16"/>
                <w:szCs w:val="16"/>
              </w:rPr>
            </w:pPr>
            <w:r w:rsidRPr="004A570C">
              <w:rPr>
                <w:rFonts w:ascii="Times New Roman" w:eastAsia="Times New Roman" w:hAnsi="Times New Roman" w:cs="Times New Roman"/>
                <w:sz w:val="16"/>
                <w:szCs w:val="16"/>
              </w:rPr>
              <w:t>3600</w:t>
            </w:r>
          </w:p>
        </w:tc>
        <w:tc>
          <w:tcPr>
            <w:tcW w:w="1247" w:type="dxa"/>
            <w:vAlign w:val="center"/>
          </w:tcPr>
          <w:p w14:paraId="4026B5E0" w14:textId="77777777" w:rsidR="0090504F" w:rsidRPr="004A570C" w:rsidRDefault="0090504F" w:rsidP="00F5185A">
            <w:pPr>
              <w:framePr w:w="7088" w:h="255" w:wrap="notBeside" w:hAnchor="margin" w:xAlign="center" w:yAlign="bottom"/>
              <w:jc w:val="center"/>
              <w:rPr>
                <w:rFonts w:ascii="Times New Roman" w:hAnsi="Times New Roman" w:cs="Times New Roman"/>
                <w:b/>
                <w:bCs/>
                <w:sz w:val="16"/>
                <w:szCs w:val="16"/>
              </w:rPr>
            </w:pPr>
            <w:r w:rsidRPr="004A570C">
              <w:rPr>
                <w:rFonts w:ascii="Times New Roman" w:eastAsia="Times New Roman" w:hAnsi="Times New Roman" w:cs="Times New Roman"/>
                <w:sz w:val="16"/>
                <w:szCs w:val="16"/>
              </w:rPr>
              <w:t>20</w:t>
            </w:r>
          </w:p>
        </w:tc>
        <w:tc>
          <w:tcPr>
            <w:tcW w:w="850" w:type="dxa"/>
            <w:vAlign w:val="center"/>
          </w:tcPr>
          <w:p w14:paraId="281C38E1" w14:textId="77777777" w:rsidR="0090504F" w:rsidRPr="004A570C" w:rsidRDefault="0090504F" w:rsidP="00F5185A">
            <w:pPr>
              <w:framePr w:w="7088" w:h="255" w:wrap="notBeside" w:hAnchor="margin" w:xAlign="center" w:yAlign="bottom"/>
              <w:jc w:val="center"/>
              <w:rPr>
                <w:rFonts w:ascii="Times New Roman" w:hAnsi="Times New Roman" w:cs="Times New Roman"/>
                <w:b/>
                <w:bCs/>
                <w:sz w:val="16"/>
                <w:szCs w:val="16"/>
              </w:rPr>
            </w:pPr>
            <w:r w:rsidRPr="004A570C">
              <w:rPr>
                <w:rFonts w:ascii="Times New Roman" w:eastAsia="Times New Roman" w:hAnsi="Times New Roman" w:cs="Times New Roman"/>
                <w:sz w:val="16"/>
                <w:szCs w:val="16"/>
              </w:rPr>
              <w:t>1.5</w:t>
            </w:r>
            <w:r>
              <w:rPr>
                <w:rFonts w:ascii="Times New Roman" w:eastAsia="Times New Roman" w:hAnsi="Times New Roman" w:cs="Times New Roman"/>
                <w:sz w:val="16"/>
                <w:szCs w:val="16"/>
              </w:rPr>
              <w:t>0</w:t>
            </w:r>
          </w:p>
        </w:tc>
      </w:tr>
      <w:tr w:rsidR="0090504F" w:rsidRPr="00B4511B" w14:paraId="6B919F69" w14:textId="77777777" w:rsidTr="0012434C">
        <w:trPr>
          <w:trHeight w:val="227"/>
          <w:jc w:val="center"/>
        </w:trPr>
        <w:tc>
          <w:tcPr>
            <w:tcW w:w="426" w:type="dxa"/>
            <w:vAlign w:val="center"/>
          </w:tcPr>
          <w:p w14:paraId="7D1CC693"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14</w:t>
            </w:r>
            <w:r w:rsidRPr="009C3412">
              <w:rPr>
                <w:rFonts w:ascii="Times New Roman" w:eastAsia="Times New Roman" w:hAnsi="Times New Roman" w:cs="Times New Roman"/>
                <w:sz w:val="16"/>
                <w:szCs w:val="16"/>
                <w:vertAlign w:val="superscript"/>
              </w:rPr>
              <w:t>a</w:t>
            </w:r>
          </w:p>
        </w:tc>
        <w:tc>
          <w:tcPr>
            <w:tcW w:w="907" w:type="dxa"/>
            <w:vAlign w:val="center"/>
          </w:tcPr>
          <w:p w14:paraId="53FB02F1"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75</w:t>
            </w:r>
          </w:p>
        </w:tc>
        <w:tc>
          <w:tcPr>
            <w:tcW w:w="1245" w:type="dxa"/>
            <w:vAlign w:val="center"/>
          </w:tcPr>
          <w:p w14:paraId="5FACB609"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200</w:t>
            </w:r>
          </w:p>
        </w:tc>
        <w:tc>
          <w:tcPr>
            <w:tcW w:w="850" w:type="dxa"/>
            <w:vAlign w:val="center"/>
          </w:tcPr>
          <w:p w14:paraId="7FD052FA"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c>
          <w:tcPr>
            <w:tcW w:w="232" w:type="dxa"/>
            <w:vAlign w:val="center"/>
          </w:tcPr>
          <w:p w14:paraId="760C4D9C" w14:textId="77777777" w:rsidR="0090504F" w:rsidRPr="004A570C" w:rsidRDefault="0090504F" w:rsidP="00F5185A">
            <w:pPr>
              <w:framePr w:w="7088" w:h="255" w:wrap="notBeside" w:hAnchor="margin" w:xAlign="center" w:yAlign="bottom"/>
              <w:jc w:val="center"/>
              <w:rPr>
                <w:rFonts w:ascii="Times New Roman" w:hAnsi="Times New Roman" w:cs="Times New Roman"/>
                <w:bCs/>
                <w:sz w:val="16"/>
                <w:szCs w:val="16"/>
              </w:rPr>
            </w:pPr>
          </w:p>
        </w:tc>
        <w:tc>
          <w:tcPr>
            <w:tcW w:w="425" w:type="dxa"/>
            <w:vAlign w:val="center"/>
          </w:tcPr>
          <w:p w14:paraId="510A3F33" w14:textId="77777777" w:rsidR="0090504F" w:rsidRPr="004A570C" w:rsidRDefault="0090504F" w:rsidP="00F5185A">
            <w:pPr>
              <w:framePr w:w="7088" w:h="255" w:wrap="notBeside" w:hAnchor="margin" w:xAlign="center" w:yAlign="bottom"/>
              <w:jc w:val="center"/>
              <w:rPr>
                <w:rFonts w:ascii="Times New Roman" w:hAnsi="Times New Roman" w:cs="Times New Roman"/>
                <w:bCs/>
                <w:sz w:val="16"/>
                <w:szCs w:val="16"/>
              </w:rPr>
            </w:pPr>
            <w:r>
              <w:rPr>
                <w:rFonts w:ascii="Times New Roman" w:hAnsi="Times New Roman" w:cs="Times New Roman"/>
                <w:sz w:val="16"/>
                <w:szCs w:val="16"/>
              </w:rPr>
              <w:t>29</w:t>
            </w:r>
            <w:r>
              <w:rPr>
                <w:rFonts w:ascii="Times New Roman" w:hAnsi="Times New Roman" w:cs="Times New Roman"/>
                <w:bCs/>
                <w:sz w:val="16"/>
                <w:szCs w:val="16"/>
                <w:vertAlign w:val="superscript"/>
              </w:rPr>
              <w:t>b</w:t>
            </w:r>
          </w:p>
        </w:tc>
        <w:tc>
          <w:tcPr>
            <w:tcW w:w="907" w:type="dxa"/>
            <w:vAlign w:val="center"/>
          </w:tcPr>
          <w:p w14:paraId="1127662A" w14:textId="77777777" w:rsidR="0090504F" w:rsidRPr="004A570C" w:rsidRDefault="0090504F" w:rsidP="00F5185A">
            <w:pPr>
              <w:framePr w:w="7088" w:h="255" w:wrap="notBeside" w:hAnchor="margin" w:xAlign="center" w:yAlign="bottom"/>
              <w:jc w:val="center"/>
              <w:rPr>
                <w:rFonts w:ascii="Times New Roman" w:hAnsi="Times New Roman" w:cs="Times New Roman"/>
                <w:b/>
                <w:bCs/>
                <w:sz w:val="16"/>
                <w:szCs w:val="16"/>
              </w:rPr>
            </w:pPr>
            <w:r w:rsidRPr="004A570C">
              <w:rPr>
                <w:rFonts w:ascii="Times New Roman" w:eastAsia="Times New Roman" w:hAnsi="Times New Roman" w:cs="Times New Roman"/>
                <w:sz w:val="16"/>
                <w:szCs w:val="16"/>
              </w:rPr>
              <w:t>8400</w:t>
            </w:r>
          </w:p>
        </w:tc>
        <w:tc>
          <w:tcPr>
            <w:tcW w:w="1247" w:type="dxa"/>
            <w:vAlign w:val="center"/>
          </w:tcPr>
          <w:p w14:paraId="2F871C8B" w14:textId="77777777" w:rsidR="0090504F" w:rsidRPr="004A570C" w:rsidRDefault="0090504F" w:rsidP="00F5185A">
            <w:pPr>
              <w:framePr w:w="7088" w:h="255" w:wrap="notBeside" w:hAnchor="margin" w:xAlign="center" w:yAlign="bottom"/>
              <w:jc w:val="center"/>
              <w:rPr>
                <w:rFonts w:ascii="Times New Roman" w:hAnsi="Times New Roman" w:cs="Times New Roman"/>
                <w:b/>
                <w:bCs/>
                <w:sz w:val="16"/>
                <w:szCs w:val="16"/>
              </w:rPr>
            </w:pPr>
            <w:r w:rsidRPr="004A570C">
              <w:rPr>
                <w:rFonts w:ascii="Times New Roman" w:eastAsia="Times New Roman" w:hAnsi="Times New Roman" w:cs="Times New Roman"/>
                <w:sz w:val="16"/>
                <w:szCs w:val="16"/>
              </w:rPr>
              <w:t>20</w:t>
            </w:r>
          </w:p>
        </w:tc>
        <w:tc>
          <w:tcPr>
            <w:tcW w:w="850" w:type="dxa"/>
            <w:vAlign w:val="center"/>
          </w:tcPr>
          <w:p w14:paraId="6D5EDEAE" w14:textId="77777777" w:rsidR="0090504F" w:rsidRPr="004A570C" w:rsidRDefault="0090504F" w:rsidP="00F5185A">
            <w:pPr>
              <w:framePr w:w="7088" w:h="255" w:wrap="notBeside" w:hAnchor="margin" w:xAlign="center" w:yAlign="bottom"/>
              <w:jc w:val="center"/>
              <w:rPr>
                <w:rFonts w:ascii="Times New Roman" w:hAnsi="Times New Roman" w:cs="Times New Roman"/>
                <w:b/>
                <w:bCs/>
                <w:sz w:val="16"/>
                <w:szCs w:val="16"/>
              </w:rPr>
            </w:pPr>
            <w:r w:rsidRPr="004A570C">
              <w:rPr>
                <w:rFonts w:ascii="Times New Roman" w:eastAsia="Times New Roman" w:hAnsi="Times New Roman" w:cs="Times New Roman"/>
                <w:sz w:val="16"/>
                <w:szCs w:val="16"/>
              </w:rPr>
              <w:t>1.5</w:t>
            </w:r>
            <w:r>
              <w:rPr>
                <w:rFonts w:ascii="Times New Roman" w:eastAsia="Times New Roman" w:hAnsi="Times New Roman" w:cs="Times New Roman"/>
                <w:sz w:val="16"/>
                <w:szCs w:val="16"/>
              </w:rPr>
              <w:t>0</w:t>
            </w:r>
          </w:p>
        </w:tc>
      </w:tr>
      <w:tr w:rsidR="0090504F" w:rsidRPr="00B4511B" w14:paraId="211B35FB" w14:textId="77777777" w:rsidTr="0012434C">
        <w:trPr>
          <w:trHeight w:val="227"/>
          <w:jc w:val="center"/>
        </w:trPr>
        <w:tc>
          <w:tcPr>
            <w:tcW w:w="426" w:type="dxa"/>
            <w:vAlign w:val="center"/>
          </w:tcPr>
          <w:p w14:paraId="4C9D760E"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15</w:t>
            </w:r>
            <w:r w:rsidRPr="009C3412">
              <w:rPr>
                <w:rFonts w:ascii="Times New Roman" w:eastAsia="Times New Roman" w:hAnsi="Times New Roman" w:cs="Times New Roman"/>
                <w:sz w:val="16"/>
                <w:szCs w:val="16"/>
                <w:vertAlign w:val="superscript"/>
              </w:rPr>
              <w:t>a</w:t>
            </w:r>
          </w:p>
        </w:tc>
        <w:tc>
          <w:tcPr>
            <w:tcW w:w="907" w:type="dxa"/>
            <w:vAlign w:val="center"/>
          </w:tcPr>
          <w:p w14:paraId="4FC6DB1D"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33</w:t>
            </w:r>
          </w:p>
        </w:tc>
        <w:tc>
          <w:tcPr>
            <w:tcW w:w="1245" w:type="dxa"/>
            <w:vAlign w:val="center"/>
          </w:tcPr>
          <w:p w14:paraId="1AD0D42F"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sidRPr="000C746C">
              <w:rPr>
                <w:rFonts w:ascii="Times New Roman" w:eastAsia="Times New Roman" w:hAnsi="Times New Roman" w:cs="Times New Roman"/>
                <w:sz w:val="16"/>
                <w:szCs w:val="16"/>
              </w:rPr>
              <w:t>300</w:t>
            </w:r>
          </w:p>
        </w:tc>
        <w:tc>
          <w:tcPr>
            <w:tcW w:w="850" w:type="dxa"/>
            <w:vAlign w:val="center"/>
          </w:tcPr>
          <w:p w14:paraId="5868D116" w14:textId="77777777" w:rsidR="0090504F" w:rsidRPr="000C746C" w:rsidRDefault="0090504F" w:rsidP="00F5185A">
            <w:pPr>
              <w:framePr w:w="7088" w:h="255" w:wrap="notBeside" w:hAnchor="margin" w:xAlign="center" w:yAlign="bottom"/>
              <w:jc w:val="center"/>
              <w:rPr>
                <w:rFonts w:ascii="Times New Roman" w:hAnsi="Times New Roman" w:cs="Times New Roman"/>
                <w:b/>
                <w:bCs/>
                <w:sz w:val="16"/>
                <w:szCs w:val="16"/>
              </w:rPr>
            </w:pPr>
            <w:r>
              <w:rPr>
                <w:rFonts w:ascii="Times New Roman" w:eastAsia="Times New Roman" w:hAnsi="Times New Roman" w:cs="Times New Roman"/>
                <w:sz w:val="16"/>
                <w:szCs w:val="16"/>
              </w:rPr>
              <w:t>3.00</w:t>
            </w:r>
          </w:p>
        </w:tc>
        <w:tc>
          <w:tcPr>
            <w:tcW w:w="232" w:type="dxa"/>
            <w:vAlign w:val="center"/>
          </w:tcPr>
          <w:p w14:paraId="482A13CE" w14:textId="77777777" w:rsidR="0090504F" w:rsidRPr="004A570C" w:rsidRDefault="0090504F" w:rsidP="00F5185A">
            <w:pPr>
              <w:framePr w:w="7088" w:h="255" w:wrap="notBeside" w:hAnchor="margin" w:xAlign="center" w:yAlign="bottom"/>
              <w:jc w:val="center"/>
              <w:rPr>
                <w:rFonts w:ascii="Times New Roman" w:hAnsi="Times New Roman" w:cs="Times New Roman"/>
                <w:bCs/>
                <w:sz w:val="16"/>
                <w:szCs w:val="16"/>
              </w:rPr>
            </w:pPr>
          </w:p>
        </w:tc>
        <w:tc>
          <w:tcPr>
            <w:tcW w:w="425" w:type="dxa"/>
            <w:vAlign w:val="center"/>
          </w:tcPr>
          <w:p w14:paraId="1146A55F" w14:textId="77777777" w:rsidR="0090504F" w:rsidRPr="004A570C" w:rsidRDefault="0090504F" w:rsidP="00F5185A">
            <w:pPr>
              <w:framePr w:w="7088" w:h="255" w:wrap="notBeside" w:hAnchor="margin" w:xAlign="center" w:yAlign="bottom"/>
              <w:jc w:val="center"/>
              <w:rPr>
                <w:rFonts w:ascii="Times New Roman" w:hAnsi="Times New Roman" w:cs="Times New Roman"/>
                <w:bCs/>
                <w:sz w:val="16"/>
                <w:szCs w:val="16"/>
              </w:rPr>
            </w:pPr>
            <w:r>
              <w:rPr>
                <w:rFonts w:ascii="Times New Roman" w:hAnsi="Times New Roman" w:cs="Times New Roman"/>
                <w:sz w:val="16"/>
                <w:szCs w:val="16"/>
              </w:rPr>
              <w:t>30</w:t>
            </w:r>
            <w:r>
              <w:rPr>
                <w:rFonts w:ascii="Times New Roman" w:hAnsi="Times New Roman" w:cs="Times New Roman"/>
                <w:bCs/>
                <w:sz w:val="16"/>
                <w:szCs w:val="16"/>
                <w:vertAlign w:val="superscript"/>
              </w:rPr>
              <w:t>b</w:t>
            </w:r>
          </w:p>
        </w:tc>
        <w:tc>
          <w:tcPr>
            <w:tcW w:w="907" w:type="dxa"/>
            <w:vAlign w:val="center"/>
          </w:tcPr>
          <w:p w14:paraId="5E42F7B0" w14:textId="77777777" w:rsidR="0090504F" w:rsidRPr="004A570C" w:rsidRDefault="0090504F" w:rsidP="00F5185A">
            <w:pPr>
              <w:framePr w:w="7088" w:h="255" w:wrap="notBeside" w:hAnchor="margin" w:xAlign="center" w:yAlign="bottom"/>
              <w:jc w:val="center"/>
              <w:rPr>
                <w:rFonts w:ascii="Times New Roman" w:hAnsi="Times New Roman" w:cs="Times New Roman"/>
                <w:b/>
                <w:bCs/>
                <w:sz w:val="16"/>
                <w:szCs w:val="16"/>
              </w:rPr>
            </w:pPr>
            <w:r w:rsidRPr="004A570C">
              <w:rPr>
                <w:rFonts w:ascii="Times New Roman" w:eastAsia="Times New Roman" w:hAnsi="Times New Roman" w:cs="Times New Roman"/>
                <w:sz w:val="16"/>
                <w:szCs w:val="16"/>
              </w:rPr>
              <w:t>26400</w:t>
            </w:r>
          </w:p>
        </w:tc>
        <w:tc>
          <w:tcPr>
            <w:tcW w:w="1247" w:type="dxa"/>
            <w:vAlign w:val="center"/>
          </w:tcPr>
          <w:p w14:paraId="4A251465" w14:textId="77777777" w:rsidR="0090504F" w:rsidRPr="004A570C" w:rsidRDefault="0090504F" w:rsidP="00F5185A">
            <w:pPr>
              <w:framePr w:w="7088" w:h="255" w:wrap="notBeside" w:hAnchor="margin" w:xAlign="center" w:yAlign="bottom"/>
              <w:jc w:val="center"/>
              <w:rPr>
                <w:rFonts w:ascii="Times New Roman" w:hAnsi="Times New Roman" w:cs="Times New Roman"/>
                <w:b/>
                <w:bCs/>
                <w:sz w:val="16"/>
                <w:szCs w:val="16"/>
              </w:rPr>
            </w:pPr>
            <w:r w:rsidRPr="004A570C">
              <w:rPr>
                <w:rFonts w:ascii="Times New Roman" w:eastAsia="Times New Roman" w:hAnsi="Times New Roman" w:cs="Times New Roman"/>
                <w:sz w:val="16"/>
                <w:szCs w:val="16"/>
              </w:rPr>
              <w:t>20</w:t>
            </w:r>
          </w:p>
        </w:tc>
        <w:tc>
          <w:tcPr>
            <w:tcW w:w="850" w:type="dxa"/>
            <w:vAlign w:val="center"/>
          </w:tcPr>
          <w:p w14:paraId="0B8C5165" w14:textId="77777777" w:rsidR="0090504F" w:rsidRPr="004A570C" w:rsidRDefault="0090504F" w:rsidP="00F5185A">
            <w:pPr>
              <w:framePr w:w="7088" w:h="255" w:wrap="notBeside" w:hAnchor="margin" w:xAlign="center" w:yAlign="bottom"/>
              <w:jc w:val="center"/>
              <w:rPr>
                <w:rFonts w:ascii="Times New Roman" w:hAnsi="Times New Roman" w:cs="Times New Roman"/>
                <w:b/>
                <w:bCs/>
                <w:sz w:val="16"/>
                <w:szCs w:val="16"/>
              </w:rPr>
            </w:pPr>
            <w:r w:rsidRPr="004A570C">
              <w:rPr>
                <w:rFonts w:ascii="Times New Roman" w:eastAsia="Times New Roman" w:hAnsi="Times New Roman" w:cs="Times New Roman"/>
                <w:sz w:val="16"/>
                <w:szCs w:val="16"/>
              </w:rPr>
              <w:t>1.5</w:t>
            </w:r>
            <w:r>
              <w:rPr>
                <w:rFonts w:ascii="Times New Roman" w:eastAsia="Times New Roman" w:hAnsi="Times New Roman" w:cs="Times New Roman"/>
                <w:sz w:val="16"/>
                <w:szCs w:val="16"/>
              </w:rPr>
              <w:t>0</w:t>
            </w:r>
          </w:p>
        </w:tc>
      </w:tr>
    </w:tbl>
    <w:p w14:paraId="57DB25A8" w14:textId="3683A6FF" w:rsidR="003F3687" w:rsidRPr="003F3687" w:rsidRDefault="008F07AF" w:rsidP="008D2649">
      <w:pPr>
        <w:pStyle w:val="Els-body-text"/>
      </w:pPr>
      <w:r>
        <w:t xml:space="preserve">In the present work the impact on lubrication extent of mini-blender is evaluated. A mini-blender is a horizontal cylinder with blades about a mixing shaft that can be operated semi-continuously as well as in batch mode. As mixing is imparted by rotating blades and not rotation of the vessel itself, significantly higher Froude numbers (in practice meaning higher mixing speeds) can be used </w:t>
      </w:r>
      <w:r>
        <w:fldChar w:fldCharType="begin"/>
      </w:r>
      <w:r w:rsidR="007B497A">
        <w:instrText xml:space="preserve"> ADDIN ZOTERO_ITEM CSL_CITATION {"citationID":"wytv4bFA","properties":{"formattedCitation":"(Jaspers et al., 2023)","plainCitation":"(Jaspers et al., 2023)","noteIndex":0},"citationItems":[{"id":1801,"uris":["http://zotero.org/users/1322096/items/A48TGINV"],"itemData":{"id":1801,"type":"article-journal","abstract":"The production of pharmaceutical tablets is shifting towards continuous manufacturing. Therefore, individual unit operations such as powder blending need to be re-designed. Continuous powder blending has been implemented successfully, but for low-dose formulations this is challenging due to difficulties with continuously dosing small amounts of powder. To overcome such challenges, a semi-continuous mini-blending operation combined with batch-wise dosing can be introduced in a continuous process. The objective of this study is to investigate key factors that affect blending performance of a novel, semi-continuous mini-blending process. A design of experiments is performed, varying both process settings and blend formulations. This reveals that blending performance of the mini-blending process is largely controlled by process settings. These results show that the mini-blender design, with high mixing intensity and short mixing times, supports process intensification of powder blending. The results obtained can be used for Quality by Design-based formulation development for continuous direct compression.","container-title":"Powder Technology","DOI":"10.1016/j.powtec.2023.118844","ISSN":"0032-5910","journalAbbreviation":"Powder Technology","page":"118844","source":"ScienceDirect","title":"Process intensification using a semi-continuous mini-blender to support continuous direct compression processing","volume":"428","author":[{"family":"Jaspers","given":"Maarten"},{"family":"Roelofs","given":"Timo P."},{"family":"Lohrmann","given":"Alexandra"},{"family":"Tegel","given":"Florian"},{"family":"Maqsood","given":"Muhammad Khalid"},{"family":"Song","given":"Yunfei Li"},{"family":"Meir","given":"Bernhard"},{"family":"Elkes","given":"Richard"},{"family":"Dickhoff","given":"Bastiaan H. J."}],"issued":{"date-parts":[["2023",10,1]]}}}],"schema":"https://github.com/citation-style-language/schema/raw/master/csl-citation.json"} </w:instrText>
      </w:r>
      <w:r>
        <w:fldChar w:fldCharType="separate"/>
      </w:r>
      <w:r w:rsidR="001C2CBB" w:rsidRPr="001C2CBB">
        <w:t>(Jaspers et al., 2023)</w:t>
      </w:r>
      <w:r>
        <w:fldChar w:fldCharType="end"/>
      </w:r>
      <w:r>
        <w:t>. The present work evaluates how applicable Eq. (</w:t>
      </w:r>
      <w:r>
        <w:fldChar w:fldCharType="begin"/>
      </w:r>
      <w:r>
        <w:instrText xml:space="preserve"> REF _Ref149837087 \h </w:instrText>
      </w:r>
      <w:r>
        <w:fldChar w:fldCharType="separate"/>
      </w:r>
      <w:r w:rsidR="00B10B92">
        <w:rPr>
          <w:noProof/>
        </w:rPr>
        <w:t>1</w:t>
      </w:r>
      <w:r>
        <w:fldChar w:fldCharType="end"/>
      </w:r>
      <w:r>
        <w:t>) is to a mini-blender, and if any modifications are required.</w:t>
      </w:r>
    </w:p>
    <w:p w14:paraId="144DE699" w14:textId="7AB84A16" w:rsidR="008D2649" w:rsidRDefault="00A74750" w:rsidP="008D2649">
      <w:pPr>
        <w:pStyle w:val="Els-1storder-head"/>
      </w:pPr>
      <w:r w:rsidRPr="002E2CE0">
        <w:t>Materials and Methods</w:t>
      </w:r>
    </w:p>
    <w:p w14:paraId="144DE69A" w14:textId="0CE462AD" w:rsidR="008D2649" w:rsidRDefault="00A74750" w:rsidP="008D2649">
      <w:pPr>
        <w:pStyle w:val="Els-2ndorder-head"/>
      </w:pPr>
      <w:bookmarkStart w:id="2" w:name="_Ref99974409"/>
      <w:r w:rsidRPr="00B7163B">
        <w:rPr>
          <w:rFonts w:eastAsiaTheme="minorHAnsi"/>
        </w:rPr>
        <w:t>Materials</w:t>
      </w:r>
      <w:bookmarkEnd w:id="2"/>
      <w:r>
        <w:rPr>
          <w:rFonts w:eastAsiaTheme="minorHAnsi"/>
        </w:rPr>
        <w:t xml:space="preserve"> </w:t>
      </w:r>
      <w:r w:rsidRPr="00986A36">
        <w:rPr>
          <w:rFonts w:eastAsiaTheme="minorHAnsi"/>
        </w:rPr>
        <w:t>and</w:t>
      </w:r>
      <w:r>
        <w:rPr>
          <w:rFonts w:eastAsiaTheme="minorHAnsi"/>
        </w:rPr>
        <w:t xml:space="preserve"> equipment</w:t>
      </w:r>
    </w:p>
    <w:p w14:paraId="2CBB58FC" w14:textId="703B1D4D" w:rsidR="000C746C" w:rsidRDefault="00F4118A" w:rsidP="000C746C">
      <w:pPr>
        <w:pStyle w:val="Els-body-text"/>
      </w:pPr>
      <w:r>
        <w:t>The formulation is based on a literature composition of 2:1 microcrystalline cellulose (Pharmacel</w:t>
      </w:r>
      <w:r w:rsidR="001378BE">
        <w:t>®</w:t>
      </w:r>
      <w:r>
        <w:t xml:space="preserve"> 102, DFE) to lactose monohydrate</w:t>
      </w:r>
      <w:r w:rsidR="002C0D39">
        <w:t xml:space="preserve"> (SuperTab</w:t>
      </w:r>
      <w:r w:rsidR="001378BE">
        <w:t>®</w:t>
      </w:r>
      <w:r w:rsidR="002C0D39">
        <w:t xml:space="preserve"> 11 SD) adding up to </w:t>
      </w:r>
      <w:r>
        <w:t>99 weight % of the blend and 1 weight % magnesium stearate</w:t>
      </w:r>
      <w:r w:rsidR="002C0D39">
        <w:t xml:space="preserve"> (Ligamed</w:t>
      </w:r>
      <w:r w:rsidR="001378BE">
        <w:t>®</w:t>
      </w:r>
      <w:r w:rsidR="002C0D39">
        <w:t xml:space="preserve"> MF-2-V, Peter </w:t>
      </w:r>
      <w:proofErr w:type="spellStart"/>
      <w:r w:rsidR="002C0D39">
        <w:t>Greven</w:t>
      </w:r>
      <w:proofErr w:type="spellEnd"/>
      <w:r w:rsidR="002C0D39">
        <w:t>)</w:t>
      </w:r>
      <w:r>
        <w:t>. Fixed composition allows exploration of blending effects on lubrication extent.</w:t>
      </w:r>
      <w:r w:rsidR="002C0D39">
        <w:t xml:space="preserve"> </w:t>
      </w:r>
      <w:r>
        <w:t>The blenders used are a</w:t>
      </w:r>
      <w:r w:rsidR="000C746C">
        <w:t xml:space="preserve"> 10 L horizontal, single-shaft</w:t>
      </w:r>
      <w:r>
        <w:t xml:space="preserve"> </w:t>
      </w:r>
      <w:r w:rsidR="000C746C">
        <w:t>GBM 10 P Mini Blender (</w:t>
      </w:r>
      <w:r>
        <w:t>Gericke AG Switzerland) and a 5 L bin blender</w:t>
      </w:r>
      <w:r w:rsidR="000C746C">
        <w:t xml:space="preserve"> (</w:t>
      </w:r>
      <w:proofErr w:type="spellStart"/>
      <w:r w:rsidR="000C746C">
        <w:t>Pharmatech</w:t>
      </w:r>
      <w:proofErr w:type="spellEnd"/>
      <w:r w:rsidR="000C746C">
        <w:t>)</w:t>
      </w:r>
      <w:r>
        <w:t xml:space="preserve">. </w:t>
      </w:r>
      <w:r w:rsidR="000C746C">
        <w:t>A KORSCH XP 1 single-punch tablet press was used for tablet compaction</w:t>
      </w:r>
      <w:r>
        <w:t>.</w:t>
      </w:r>
    </w:p>
    <w:p w14:paraId="144DE69D" w14:textId="67C5DCFA" w:rsidR="008D2649" w:rsidRDefault="00A74750" w:rsidP="008D2649">
      <w:pPr>
        <w:pStyle w:val="Els-2ndorder-head"/>
      </w:pPr>
      <w:r>
        <w:lastRenderedPageBreak/>
        <w:t>Mini-blender operation</w:t>
      </w:r>
      <w:r w:rsidR="008D2649">
        <w:t xml:space="preserve"> </w:t>
      </w:r>
    </w:p>
    <w:p w14:paraId="144DE69F" w14:textId="56CF749D" w:rsidR="008D2649" w:rsidRDefault="00240903" w:rsidP="00240903">
      <w:pPr>
        <w:pStyle w:val="Els-body-text"/>
      </w:pPr>
      <w:r>
        <w:t>Blending speed</w:t>
      </w:r>
      <w:r w:rsidR="00D307B3">
        <w:t xml:space="preserve"> and</w:t>
      </w:r>
      <w:r>
        <w:t xml:space="preserve"> time were varied (</w:t>
      </w:r>
      <w:r w:rsidRPr="00240903">
        <w:fldChar w:fldCharType="begin"/>
      </w:r>
      <w:r w:rsidRPr="00240903">
        <w:instrText xml:space="preserve"> REF _Ref139985785 \h  \* MERGEFORMAT </w:instrText>
      </w:r>
      <w:r w:rsidRPr="00240903">
        <w:fldChar w:fldCharType="separate"/>
      </w:r>
      <w:r w:rsidR="00B10B92" w:rsidRPr="00B10B92">
        <w:rPr>
          <w:bCs/>
        </w:rPr>
        <w:t xml:space="preserve">Table </w:t>
      </w:r>
      <w:r w:rsidR="00B10B92" w:rsidRPr="00B10B92">
        <w:rPr>
          <w:bCs/>
          <w:noProof/>
        </w:rPr>
        <w:t>1</w:t>
      </w:r>
      <w:r w:rsidRPr="00240903">
        <w:fldChar w:fldCharType="end"/>
      </w:r>
      <w:r w:rsidRPr="00240903">
        <w:t>)</w:t>
      </w:r>
      <w:r>
        <w:t xml:space="preserve"> to explore degrees of mixing covering all potential regimes (Jaspers et al., 2023). For all experiments, a fixed routine of blend material addition </w:t>
      </w:r>
      <w:r w:rsidR="00115378">
        <w:t>and experiment execution is followed</w:t>
      </w:r>
      <w:r>
        <w:t>: 1) stationary blades and open inlet</w:t>
      </w:r>
      <w:r w:rsidR="002D4D90">
        <w:t>;</w:t>
      </w:r>
      <w:r>
        <w:t xml:space="preserve"> 2) add Pharmacel</w:t>
      </w:r>
      <w:r w:rsidR="001378BE">
        <w:t>®</w:t>
      </w:r>
      <w:r>
        <w:t xml:space="preserve"> 102</w:t>
      </w:r>
      <w:r w:rsidR="00115378">
        <w:t xml:space="preserve"> followed by</w:t>
      </w:r>
      <w:r>
        <w:t xml:space="preserve"> SuperTab</w:t>
      </w:r>
      <w:r w:rsidR="001378BE">
        <w:t>®</w:t>
      </w:r>
      <w:r>
        <w:t xml:space="preserve"> 11 SD</w:t>
      </w:r>
      <w:r w:rsidR="00115378">
        <w:t xml:space="preserve"> </w:t>
      </w:r>
      <w:r w:rsidR="00D307B3">
        <w:t>(</w:t>
      </w:r>
      <w:r w:rsidR="00115378">
        <w:t>2:1 ratio</w:t>
      </w:r>
      <w:r w:rsidR="00D307B3">
        <w:t>, total mass 3.0 kg</w:t>
      </w:r>
      <w:r w:rsidR="002D4D90">
        <w:t xml:space="preserve">) set blade </w:t>
      </w:r>
      <w:r>
        <w:t xml:space="preserve">speed to 10 RPM for 1 s </w:t>
      </w:r>
      <w:r w:rsidR="002D4D90">
        <w:t xml:space="preserve">(complete equipment filling stage with minimal mixing; </w:t>
      </w:r>
      <w:r w:rsidR="00115378">
        <w:t>4</w:t>
      </w:r>
      <w:r w:rsidR="002D4D90">
        <w:t>) pre-blend major components</w:t>
      </w:r>
      <w:r>
        <w:t xml:space="preserve"> </w:t>
      </w:r>
      <w:r w:rsidR="002D4D90">
        <w:t xml:space="preserve">at 100 RPM for 60; </w:t>
      </w:r>
      <w:r w:rsidR="00115378">
        <w:t>5</w:t>
      </w:r>
      <w:r w:rsidR="002D4D90">
        <w:t xml:space="preserve">) stationary blades and open inlet; </w:t>
      </w:r>
      <w:r w:rsidR="00115378">
        <w:t>6</w:t>
      </w:r>
      <w:r w:rsidR="002D4D90">
        <w:t>) add Ligamed</w:t>
      </w:r>
      <w:r w:rsidR="001378BE">
        <w:t>®</w:t>
      </w:r>
      <w:r w:rsidR="002D4D90">
        <w:t xml:space="preserve"> MF-2-V; </w:t>
      </w:r>
      <w:r w:rsidR="00115378">
        <w:t>7</w:t>
      </w:r>
      <w:r w:rsidR="002D4D90">
        <w:t xml:space="preserve">) set blade speed to 10 RPM for 1 s; </w:t>
      </w:r>
      <w:r w:rsidR="00115378">
        <w:t xml:space="preserve">8) blend time and speed according to </w:t>
      </w:r>
      <w:r w:rsidR="00115378" w:rsidRPr="00240903">
        <w:fldChar w:fldCharType="begin"/>
      </w:r>
      <w:r w:rsidR="00115378" w:rsidRPr="00240903">
        <w:instrText xml:space="preserve"> REF _Ref139985785 \h  \* MERGEFORMAT </w:instrText>
      </w:r>
      <w:r w:rsidR="00115378" w:rsidRPr="00240903">
        <w:fldChar w:fldCharType="separate"/>
      </w:r>
      <w:r w:rsidR="00B10B92" w:rsidRPr="00B10B92">
        <w:rPr>
          <w:bCs/>
        </w:rPr>
        <w:t xml:space="preserve">Table </w:t>
      </w:r>
      <w:r w:rsidR="00B10B92" w:rsidRPr="00B10B92">
        <w:rPr>
          <w:bCs/>
          <w:noProof/>
        </w:rPr>
        <w:t>1</w:t>
      </w:r>
      <w:r w:rsidR="00115378" w:rsidRPr="00240903">
        <w:fldChar w:fldCharType="end"/>
      </w:r>
      <w:r w:rsidR="00115378">
        <w:t xml:space="preserve">; 9) </w:t>
      </w:r>
      <w:r>
        <w:t xml:space="preserve">discharge </w:t>
      </w:r>
      <w:r w:rsidR="00115378">
        <w:t>at</w:t>
      </w:r>
      <w:r w:rsidR="0012434C">
        <w:t xml:space="preserve"> </w:t>
      </w:r>
      <w:r>
        <w:t xml:space="preserve">10 RPM for 1200 s to allow </w:t>
      </w:r>
      <w:r w:rsidR="00115378">
        <w:t>complete discharge.</w:t>
      </w:r>
    </w:p>
    <w:p w14:paraId="77390939" w14:textId="4D72C7D6" w:rsidR="00A74750" w:rsidRDefault="00A74750" w:rsidP="006F23E7">
      <w:pPr>
        <w:pStyle w:val="Els-2ndorder-head"/>
      </w:pPr>
      <w:bookmarkStart w:id="3" w:name="_Toc125369473"/>
      <w:r w:rsidRPr="00A12100">
        <w:t xml:space="preserve">Bin blender </w:t>
      </w:r>
      <w:bookmarkEnd w:id="3"/>
      <w:r>
        <w:t xml:space="preserve">operation </w:t>
      </w:r>
    </w:p>
    <w:p w14:paraId="42026F80" w14:textId="48AF634B" w:rsidR="00A74750" w:rsidRDefault="00FF2728" w:rsidP="00A74750">
      <w:pPr>
        <w:pStyle w:val="Els-body-text"/>
      </w:pPr>
      <w:r>
        <w:rPr>
          <w:rFonts w:cs="Arial"/>
        </w:rPr>
        <w:t>Bin blends</w:t>
      </w:r>
      <w:r w:rsidRPr="000F7207">
        <w:rPr>
          <w:rFonts w:cs="Arial"/>
        </w:rPr>
        <w:t xml:space="preserve"> were prepared with a </w:t>
      </w:r>
      <w:proofErr w:type="spellStart"/>
      <w:r w:rsidRPr="000F7207">
        <w:rPr>
          <w:rFonts w:cs="Arial"/>
        </w:rPr>
        <w:t>Pharmatech</w:t>
      </w:r>
      <w:proofErr w:type="spellEnd"/>
      <w:r w:rsidRPr="000F7207">
        <w:rPr>
          <w:rFonts w:cs="Arial"/>
        </w:rPr>
        <w:t xml:space="preserve"> bin blender </w:t>
      </w:r>
      <w:r>
        <w:rPr>
          <w:rFonts w:cs="Arial"/>
        </w:rPr>
        <w:t>(</w:t>
      </w:r>
      <w:r w:rsidRPr="000F7207">
        <w:rPr>
          <w:rFonts w:cs="Arial"/>
        </w:rPr>
        <w:t>5</w:t>
      </w:r>
      <w:r>
        <w:rPr>
          <w:rFonts w:cs="Arial"/>
        </w:rPr>
        <w:t xml:space="preserve"> </w:t>
      </w:r>
      <w:r w:rsidRPr="000F7207">
        <w:rPr>
          <w:rFonts w:cs="Arial"/>
        </w:rPr>
        <w:t>L vessel</w:t>
      </w:r>
      <w:r>
        <w:rPr>
          <w:rFonts w:cs="Arial"/>
        </w:rPr>
        <w:t>, internal agitator present but not used during experiments)</w:t>
      </w:r>
      <w:r w:rsidRPr="000F7207">
        <w:rPr>
          <w:rFonts w:cs="Arial"/>
        </w:rPr>
        <w:t>. Pharmacel</w:t>
      </w:r>
      <w:r w:rsidR="00F5185A">
        <w:rPr>
          <w:rFonts w:cs="Arial"/>
        </w:rPr>
        <w:t>®</w:t>
      </w:r>
      <w:r w:rsidRPr="000F7207">
        <w:rPr>
          <w:rFonts w:cs="Arial"/>
        </w:rPr>
        <w:t xml:space="preserve"> 102</w:t>
      </w:r>
      <w:r>
        <w:rPr>
          <w:rFonts w:cs="Arial"/>
        </w:rPr>
        <w:t xml:space="preserve"> added first</w:t>
      </w:r>
      <w:r w:rsidRPr="000F7207">
        <w:rPr>
          <w:rFonts w:cs="Arial"/>
        </w:rPr>
        <w:t xml:space="preserve"> followed by SuperTab</w:t>
      </w:r>
      <w:r w:rsidR="00F5185A">
        <w:rPr>
          <w:rFonts w:cs="Arial"/>
        </w:rPr>
        <w:t>®</w:t>
      </w:r>
      <w:r w:rsidRPr="000F7207">
        <w:rPr>
          <w:rFonts w:cs="Arial"/>
        </w:rPr>
        <w:t xml:space="preserve"> 11SD</w:t>
      </w:r>
      <w:r>
        <w:rPr>
          <w:rFonts w:cs="Arial"/>
        </w:rPr>
        <w:t xml:space="preserve"> </w:t>
      </w:r>
      <w:r w:rsidR="00F53194">
        <w:rPr>
          <w:rFonts w:cs="Arial"/>
        </w:rPr>
        <w:t xml:space="preserve">(2:1 ratio, total mass of 1.5 kg) </w:t>
      </w:r>
      <w:r>
        <w:rPr>
          <w:rFonts w:cs="Arial"/>
        </w:rPr>
        <w:t>with pre-blending o</w:t>
      </w:r>
      <w:r w:rsidRPr="000F7207">
        <w:rPr>
          <w:rFonts w:cs="Arial"/>
        </w:rPr>
        <w:t xml:space="preserve">f </w:t>
      </w:r>
      <w:r>
        <w:rPr>
          <w:rFonts w:cs="Arial"/>
        </w:rPr>
        <w:t>600 s</w:t>
      </w:r>
      <w:r w:rsidRPr="000F7207">
        <w:rPr>
          <w:rFonts w:cs="Arial"/>
        </w:rPr>
        <w:t xml:space="preserve"> at 20 </w:t>
      </w:r>
      <w:r>
        <w:rPr>
          <w:rFonts w:cs="Arial"/>
        </w:rPr>
        <w:t>RPM</w:t>
      </w:r>
      <w:r w:rsidRPr="000F7207">
        <w:rPr>
          <w:rFonts w:cs="Arial"/>
        </w:rPr>
        <w:t xml:space="preserve">. For the lubricant addition a fixed speed of 20 </w:t>
      </w:r>
      <w:r w:rsidR="00F53194">
        <w:rPr>
          <w:rFonts w:cs="Arial"/>
        </w:rPr>
        <w:t>RPM</w:t>
      </w:r>
      <w:r w:rsidRPr="000F7207">
        <w:rPr>
          <w:rFonts w:cs="Arial"/>
        </w:rPr>
        <w:t xml:space="preserve"> was used and blending time was varied as described </w:t>
      </w:r>
      <w:r w:rsidRPr="00F53194">
        <w:rPr>
          <w:rFonts w:cs="Arial"/>
        </w:rPr>
        <w:t xml:space="preserve">in </w:t>
      </w:r>
      <w:r w:rsidR="00F53194" w:rsidRPr="00F53194">
        <w:rPr>
          <w:rFonts w:cs="Arial"/>
        </w:rPr>
        <w:fldChar w:fldCharType="begin"/>
      </w:r>
      <w:r w:rsidR="00F53194" w:rsidRPr="00F53194">
        <w:rPr>
          <w:rFonts w:cs="Arial"/>
        </w:rPr>
        <w:instrText xml:space="preserve"> REF _Ref139985785 \h  \* MERGEFORMAT </w:instrText>
      </w:r>
      <w:r w:rsidR="00F53194" w:rsidRPr="00F53194">
        <w:rPr>
          <w:rFonts w:cs="Arial"/>
        </w:rPr>
      </w:r>
      <w:r w:rsidR="00F53194" w:rsidRPr="00F53194">
        <w:rPr>
          <w:rFonts w:cs="Arial"/>
        </w:rPr>
        <w:fldChar w:fldCharType="separate"/>
      </w:r>
      <w:r w:rsidR="00B10B92" w:rsidRPr="00B10B92">
        <w:rPr>
          <w:bCs/>
        </w:rPr>
        <w:t xml:space="preserve">Table </w:t>
      </w:r>
      <w:r w:rsidR="00B10B92" w:rsidRPr="00B10B92">
        <w:rPr>
          <w:bCs/>
          <w:noProof/>
        </w:rPr>
        <w:t>1</w:t>
      </w:r>
      <w:r w:rsidR="00F53194" w:rsidRPr="00F53194">
        <w:rPr>
          <w:rFonts w:cs="Arial"/>
        </w:rPr>
        <w:fldChar w:fldCharType="end"/>
      </w:r>
      <w:r w:rsidRPr="00F53194">
        <w:rPr>
          <w:rFonts w:cs="Arial"/>
        </w:rPr>
        <w:t>.</w:t>
      </w:r>
      <w:bookmarkStart w:id="4" w:name="_GoBack"/>
      <w:bookmarkEnd w:id="4"/>
    </w:p>
    <w:p w14:paraId="6881E28C" w14:textId="526A3A6A" w:rsidR="00A74750" w:rsidRDefault="00A74750" w:rsidP="00A74750">
      <w:pPr>
        <w:pStyle w:val="Els-2ndorder-head"/>
      </w:pPr>
      <w:r>
        <w:t>Tablet compaction</w:t>
      </w:r>
      <w:r w:rsidR="00F53194">
        <w:t xml:space="preserve"> and analysis</w:t>
      </w:r>
    </w:p>
    <w:p w14:paraId="205F0D1B" w14:textId="42169824" w:rsidR="00F53194" w:rsidRDefault="00F53194" w:rsidP="00F53194">
      <w:pPr>
        <w:pStyle w:val="Els-body-text"/>
      </w:pPr>
      <w:r>
        <w:t xml:space="preserve">Tableting was performed with a KORSCH XP1 tablet press equipped (9 mm round flat faced punches, 20 strokes per minute). Target tablet mass of 200 mg. Tablets were compressed at 8 upper main compression forces (UMCF) from 1–36 </w:t>
      </w:r>
      <w:proofErr w:type="spellStart"/>
      <w:r>
        <w:t>kN.</w:t>
      </w:r>
      <w:proofErr w:type="spellEnd"/>
      <w:r>
        <w:t xml:space="preserve"> A total of 100 tablets were prepared for each compression point. From these 10 were used for hardness/ tensile strength determination</w:t>
      </w:r>
      <w:r w:rsidR="00D37B63">
        <w:t>, with thickness measured;</w:t>
      </w:r>
      <w:r>
        <w:t xml:space="preserve"> remaining ones wer</w:t>
      </w:r>
      <w:r w:rsidR="00D37B63">
        <w:t>e retained for further analysis</w:t>
      </w:r>
      <w:r>
        <w:t>.</w:t>
      </w:r>
      <w:r w:rsidR="00D37B63">
        <w:t xml:space="preserve"> </w:t>
      </w:r>
      <w:r>
        <w:t xml:space="preserve">Tablet weight was measured with a 5DP analytical balance. Tablet </w:t>
      </w:r>
      <w:r w:rsidR="00D37B63">
        <w:t>thickness</w:t>
      </w:r>
      <w:r>
        <w:t xml:space="preserve"> and hardness were measured using a calibrated hard</w:t>
      </w:r>
      <w:r w:rsidR="00D37B63">
        <w:t xml:space="preserve">ness tester (Kraemer </w:t>
      </w:r>
      <w:proofErr w:type="spellStart"/>
      <w:r w:rsidR="00D37B63">
        <w:t>Elektronik</w:t>
      </w:r>
      <w:proofErr w:type="spellEnd"/>
      <w:r w:rsidR="00D37B63">
        <w:t>) with two</w:t>
      </w:r>
      <w:r>
        <w:t xml:space="preserve"> different load cells: 0</w:t>
      </w:r>
      <w:r w:rsidR="00D37B63">
        <w:t>–</w:t>
      </w:r>
      <w:r>
        <w:t>50 N or 50</w:t>
      </w:r>
      <w:r w:rsidR="00D37B63">
        <w:t>–</w:t>
      </w:r>
      <w:r>
        <w:t>500 N crushing force according to the expected tablet hardness.</w:t>
      </w:r>
      <w:r w:rsidR="00D37B63">
        <w:t xml:space="preserve"> </w:t>
      </w:r>
      <w:r w:rsidR="00056F47">
        <w:t>T</w:t>
      </w:r>
      <w:r>
        <w:t xml:space="preserve">ensile and porosity </w:t>
      </w:r>
      <w:r w:rsidR="00056F47">
        <w:t xml:space="preserve">data </w:t>
      </w:r>
      <w:r>
        <w:t xml:space="preserve">have been used to regress </w:t>
      </w:r>
      <w:proofErr w:type="spellStart"/>
      <w:r>
        <w:t>Ryshkewitch</w:t>
      </w:r>
      <w:proofErr w:type="spellEnd"/>
      <w:r>
        <w:t xml:space="preserve">-Duckworth equation </w:t>
      </w:r>
      <w:r w:rsidR="00056F47">
        <w:t xml:space="preserve">parameters </w:t>
      </w:r>
      <w:r w:rsidR="00E54B26">
        <w:fldChar w:fldCharType="begin"/>
      </w:r>
      <w:r w:rsidR="007B497A">
        <w:instrText xml:space="preserve"> ADDIN ZOTERO_ITEM CSL_CITATION {"citationID":"mp2vYQ2e","properties":{"formattedCitation":"(Duckworth, 1953; Ryshkewitch, 1953)","plainCitation":"(Duckworth, 1953; Ryshkewitch, 1953)","noteIndex":0},"citationItems":[{"id":1722,"uris":["http://zotero.org/users/1322096/items/ZEGT3E82"],"itemData":{"id":1722,"type":"article-journal","abstract":"Semantic Scholar extracted view of &amp;quot;Discussion of Ryshkewitch Paper&amp;quot; by W. Duckworth","container-title":"Journal of the American Ceramic Society","issue":"68","language":"en","source":"www.semanticscholar.org","title":"Discussion of Ryshkewitch Paper","URL":"https://www.semanticscholar.org/paper/Discussion-of-Ryshkewitch-Paper-Duckworth/21841b678477247c58cac95eab7d116d1043c513","volume":"36","author":[{"family":"Duckworth","given":"W."}],"accessed":{"date-parts":[["2022",2,18]]},"issued":{"date-parts":[["1953"]]}}},{"id":1723,"uris":["http://zotero.org/users/1322096/items/H5GRZDVY"],"itemData":{"id":1723,"type":"article-journal","abstract":"The influence of controlled porosity on the compression strength of sintered pure alumina and of partly magnesia-stabilized zirconia was investigated. Bodies with porosities ranging from approximately 3 to 60% by volume were prepared utilizing hydrogen peroxide to induce pore formation. Cubes of approximately 1.2-cm, unit length were used in testing for compression strength at room temperature. The spatial arrangement of pores in sintered alumina was found to exert an influence, inasmuch as bodies with pores lined parallel to the pressure direction revealed a higher strength than bodies of the same porosity but with pores lined mainly perpendicular to this direction. It was found that an increase of porosity by 10 volume % decreased the strength of both sintered alumina and sintered zirconia by half of their initial respective values.","container-title":"Journal of the American Ceramic Society","DOI":"10.1111/j.1151-2916.1953.tb12837.x","ISSN":"1551-2916","issue":"2","language":"en","note":"_eprint: https://onlinelibrary.wiley.com/doi/pdf/10.1111/j.1151-2916.1953.tb12837.x","page":"65-68","source":"Wiley Online Library","title":"Compression Strength of Porous Sintered Alumina and Zirconia","volume":"36","author":[{"family":"Ryshkewitch","given":"Eugene"}],"issued":{"date-parts":[["1953"]]}}}],"schema":"https://github.com/citation-style-language/schema/raw/master/csl-citation.json"} </w:instrText>
      </w:r>
      <w:r w:rsidR="00E54B26">
        <w:fldChar w:fldCharType="separate"/>
      </w:r>
      <w:r w:rsidR="001C2CBB" w:rsidRPr="001C2CBB">
        <w:t>(Duckworth, 1953; Ryshkewitch, 1953)</w:t>
      </w:r>
      <w:r w:rsidR="00E54B26">
        <w:fldChar w:fldCharType="end"/>
      </w: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82"/>
        <w:gridCol w:w="816"/>
        <w:gridCol w:w="116"/>
        <w:gridCol w:w="72"/>
      </w:tblGrid>
      <w:tr w:rsidR="00D37B63" w:rsidRPr="00D37B63" w14:paraId="02325C49" w14:textId="77777777" w:rsidTr="00D37B63">
        <w:trPr>
          <w:trHeight w:val="284"/>
        </w:trPr>
        <w:tc>
          <w:tcPr>
            <w:tcW w:w="6082" w:type="dxa"/>
            <w:vAlign w:val="center"/>
          </w:tcPr>
          <w:p w14:paraId="404D4F33" w14:textId="77777777" w:rsidR="00D37B63" w:rsidRPr="001E76D9" w:rsidRDefault="00D37B63" w:rsidP="00D37B63">
            <w:pPr>
              <w:spacing w:before="120" w:after="120"/>
            </w:pPr>
            <m:oMathPara>
              <m:oMath>
                <m:r>
                  <w:rPr>
                    <w:rFonts w:ascii="Cambria Math" w:eastAsia="Times New Roman" w:hAnsi="Cambria Math"/>
                    <w:sz w:val="20"/>
                  </w:rPr>
                  <m:t>σ</m:t>
                </m:r>
                <m:r>
                  <m:rPr>
                    <m:sty m:val="p"/>
                  </m:rPr>
                  <w:rPr>
                    <w:rFonts w:ascii="Cambria Math" w:hAnsi="Cambria Math"/>
                    <w:sz w:val="20"/>
                  </w:rPr>
                  <m:t>=</m:t>
                </m:r>
                <m:sSub>
                  <m:sSubPr>
                    <m:ctrlPr>
                      <w:rPr>
                        <w:rFonts w:ascii="Cambria Math" w:eastAsia="Times New Roman" w:hAnsi="Cambria Math"/>
                        <w:i/>
                        <w:sz w:val="20"/>
                      </w:rPr>
                    </m:ctrlPr>
                  </m:sSubPr>
                  <m:e>
                    <m:r>
                      <w:rPr>
                        <w:rFonts w:ascii="Cambria Math" w:eastAsia="Times New Roman" w:hAnsi="Cambria Math"/>
                        <w:sz w:val="20"/>
                      </w:rPr>
                      <m:t>σ</m:t>
                    </m:r>
                  </m:e>
                  <m:sub>
                    <m:r>
                      <m:rPr>
                        <m:sty m:val="p"/>
                      </m:rPr>
                      <w:rPr>
                        <w:rFonts w:ascii="Cambria Math" w:eastAsia="Times New Roman" w:hAnsi="Cambria Math"/>
                        <w:sz w:val="20"/>
                      </w:rPr>
                      <m:t>0</m:t>
                    </m:r>
                  </m:sub>
                </m:sSub>
                <m:sSup>
                  <m:sSupPr>
                    <m:ctrlPr>
                      <w:rPr>
                        <w:rFonts w:ascii="Cambria Math" w:hAnsi="Cambria Math"/>
                        <w:sz w:val="20"/>
                      </w:rPr>
                    </m:ctrlPr>
                  </m:sSupPr>
                  <m:e>
                    <m:r>
                      <m:rPr>
                        <m:sty m:val="p"/>
                      </m:rPr>
                      <w:rPr>
                        <w:rFonts w:ascii="Cambria Math" w:hAnsi="Cambria Math"/>
                        <w:sz w:val="20"/>
                      </w:rPr>
                      <m:t>e</m:t>
                    </m:r>
                  </m:e>
                  <m:sup>
                    <m:r>
                      <w:rPr>
                        <w:rFonts w:ascii="Cambria Math" w:hAnsi="Cambria Math"/>
                        <w:sz w:val="20"/>
                      </w:rPr>
                      <m:t>-</m:t>
                    </m:r>
                    <m:sSub>
                      <m:sSubPr>
                        <m:ctrlPr>
                          <w:rPr>
                            <w:rFonts w:ascii="Cambria Math" w:hAnsi="Cambria Math"/>
                            <w:i/>
                            <w:sz w:val="20"/>
                          </w:rPr>
                        </m:ctrlPr>
                      </m:sSubPr>
                      <m:e>
                        <m:r>
                          <w:rPr>
                            <w:rFonts w:ascii="Cambria Math" w:hAnsi="Cambria Math"/>
                            <w:sz w:val="20"/>
                          </w:rPr>
                          <m:t>k</m:t>
                        </m:r>
                      </m:e>
                      <m:sub>
                        <m:r>
                          <w:rPr>
                            <w:rFonts w:ascii="Cambria Math" w:hAnsi="Cambria Math"/>
                            <w:sz w:val="20"/>
                          </w:rPr>
                          <m:t>b</m:t>
                        </m:r>
                      </m:sub>
                    </m:sSub>
                    <m:r>
                      <w:rPr>
                        <w:rFonts w:ascii="Cambria Math" w:hAnsi="Cambria Math"/>
                        <w:sz w:val="20"/>
                      </w:rPr>
                      <m:t>ε</m:t>
                    </m:r>
                  </m:sup>
                </m:sSup>
              </m:oMath>
            </m:oMathPara>
          </w:p>
        </w:tc>
        <w:tc>
          <w:tcPr>
            <w:tcW w:w="816" w:type="dxa"/>
            <w:vAlign w:val="center"/>
          </w:tcPr>
          <w:p w14:paraId="70E42932" w14:textId="77777777" w:rsidR="00D37B63" w:rsidRPr="00D37B63" w:rsidRDefault="00D37B63" w:rsidP="00D37B63">
            <w:pPr>
              <w:spacing w:before="120" w:after="120"/>
              <w:jc w:val="right"/>
              <w:rPr>
                <w:rFonts w:ascii="Times New Roman" w:eastAsiaTheme="minorEastAsia" w:hAnsi="Times New Roman" w:cs="Times New Roman"/>
                <w:sz w:val="20"/>
              </w:rPr>
            </w:pPr>
            <w:r w:rsidRPr="00D37B63">
              <w:rPr>
                <w:rFonts w:ascii="Times New Roman" w:eastAsiaTheme="minorEastAsia" w:hAnsi="Times New Roman" w:cs="Times New Roman"/>
                <w:sz w:val="20"/>
              </w:rPr>
              <w:t>(</w:t>
            </w:r>
          </w:p>
        </w:tc>
        <w:bookmarkStart w:id="5" w:name="_Ref96090899"/>
        <w:tc>
          <w:tcPr>
            <w:tcW w:w="116" w:type="dxa"/>
            <w:vAlign w:val="center"/>
          </w:tcPr>
          <w:p w14:paraId="7C0D62EA" w14:textId="615397FF" w:rsidR="00D37B63" w:rsidRPr="00D37B63" w:rsidRDefault="00D37B63" w:rsidP="00D37B63">
            <w:pPr>
              <w:spacing w:before="120" w:after="120"/>
              <w:jc w:val="center"/>
              <w:rPr>
                <w:rFonts w:ascii="Times New Roman" w:hAnsi="Times New Roman" w:cs="Times New Roman"/>
                <w:sz w:val="20"/>
              </w:rPr>
            </w:pPr>
            <w:r w:rsidRPr="00D37B63">
              <w:fldChar w:fldCharType="begin"/>
            </w:r>
            <w:r w:rsidRPr="00D37B63">
              <w:rPr>
                <w:rFonts w:ascii="Times New Roman" w:hAnsi="Times New Roman" w:cs="Times New Roman"/>
                <w:sz w:val="20"/>
              </w:rPr>
              <w:instrText xml:space="preserve"> SEQ Equation \* ARABIC </w:instrText>
            </w:r>
            <w:r w:rsidRPr="00D37B63">
              <w:fldChar w:fldCharType="separate"/>
            </w:r>
            <w:bookmarkStart w:id="6" w:name="_Ref149904664"/>
            <w:r w:rsidR="00B10B92">
              <w:rPr>
                <w:rFonts w:ascii="Times New Roman" w:hAnsi="Times New Roman" w:cs="Times New Roman"/>
                <w:noProof/>
                <w:sz w:val="20"/>
              </w:rPr>
              <w:t>3</w:t>
            </w:r>
            <w:bookmarkEnd w:id="6"/>
            <w:r w:rsidRPr="00D37B63">
              <w:rPr>
                <w:noProof/>
              </w:rPr>
              <w:fldChar w:fldCharType="end"/>
            </w:r>
            <w:bookmarkEnd w:id="5"/>
          </w:p>
        </w:tc>
        <w:tc>
          <w:tcPr>
            <w:tcW w:w="72" w:type="dxa"/>
            <w:vAlign w:val="center"/>
          </w:tcPr>
          <w:p w14:paraId="28989FAC" w14:textId="77777777" w:rsidR="00D37B63" w:rsidRPr="00D37B63" w:rsidRDefault="00D37B63" w:rsidP="00D37B63">
            <w:pPr>
              <w:spacing w:before="120" w:after="120"/>
              <w:rPr>
                <w:rFonts w:ascii="Times New Roman" w:hAnsi="Times New Roman" w:cs="Times New Roman"/>
                <w:sz w:val="20"/>
              </w:rPr>
            </w:pPr>
            <w:r w:rsidRPr="00D37B63">
              <w:rPr>
                <w:rFonts w:ascii="Times New Roman" w:hAnsi="Times New Roman" w:cs="Times New Roman"/>
                <w:sz w:val="20"/>
              </w:rPr>
              <w:t>)</w:t>
            </w:r>
          </w:p>
        </w:tc>
      </w:tr>
    </w:tbl>
    <w:p w14:paraId="5D9254BC" w14:textId="582EA2DB" w:rsidR="00F53194" w:rsidRDefault="00F53194" w:rsidP="00F53194">
      <w:pPr>
        <w:pStyle w:val="Els-body-text"/>
      </w:pPr>
      <w:r>
        <w:t xml:space="preserve">Where </w:t>
      </w:r>
      <w:r w:rsidRPr="00F022F7">
        <w:rPr>
          <w:i/>
        </w:rPr>
        <w:t>σ</w:t>
      </w:r>
      <w:r>
        <w:t xml:space="preserve"> is tensile strength, </w:t>
      </w:r>
      <w:r w:rsidR="00F022F7">
        <w:t>fitting parameters are tensile strength at zero porosity</w:t>
      </w:r>
      <w:r w:rsidR="00F022F7" w:rsidRPr="00F022F7">
        <w:rPr>
          <w:i/>
        </w:rPr>
        <w:t xml:space="preserve"> </w:t>
      </w:r>
      <w:r w:rsidRPr="00F022F7">
        <w:rPr>
          <w:i/>
        </w:rPr>
        <w:t>σ</w:t>
      </w:r>
      <w:r w:rsidRPr="00F022F7">
        <w:rPr>
          <w:vertAlign w:val="subscript"/>
        </w:rPr>
        <w:t>0</w:t>
      </w:r>
      <w:r>
        <w:t xml:space="preserve"> </w:t>
      </w:r>
      <w:r w:rsidR="00F022F7">
        <w:t>and bonding capacity</w:t>
      </w:r>
      <w:r>
        <w:t xml:space="preserve"> </w:t>
      </w:r>
      <w:r w:rsidR="00F022F7">
        <w:t>and</w:t>
      </w:r>
      <w:r>
        <w:t xml:space="preserve"> </w:t>
      </w:r>
      <w:r w:rsidRPr="00F022F7">
        <w:rPr>
          <w:i/>
        </w:rPr>
        <w:t>k</w:t>
      </w:r>
      <w:r w:rsidRPr="00F022F7">
        <w:rPr>
          <w:i/>
          <w:vertAlign w:val="subscript"/>
        </w:rPr>
        <w:t>b</w:t>
      </w:r>
      <w:r>
        <w:t xml:space="preserve">, and </w:t>
      </w:r>
      <w:r w:rsidRPr="00857699">
        <w:rPr>
          <w:i/>
        </w:rPr>
        <w:t>ε</w:t>
      </w:r>
      <w:r>
        <w:t xml:space="preserve"> is porosity</w:t>
      </w:r>
      <w:r w:rsidR="00857699">
        <w:t xml:space="preserve"> (1 – solid fraction)</w:t>
      </w:r>
      <w:r>
        <w:t xml:space="preserve">. </w:t>
      </w:r>
      <w:r w:rsidR="00857699">
        <w:t>Regression</w:t>
      </w:r>
      <w:r>
        <w:t xml:space="preserve"> has been done in </w:t>
      </w:r>
      <w:r w:rsidR="00857699">
        <w:t>Matlab with error bars included in weighting</w:t>
      </w:r>
      <w:r>
        <w:t>.</w:t>
      </w:r>
      <w:r w:rsidR="00F022F7">
        <w:t xml:space="preserve"> </w:t>
      </w:r>
      <w:r>
        <w:t>For further analysis values of tensile strength at 0.85, 0.80 and 0.75 solid fraction have been used</w:t>
      </w:r>
      <w:r w:rsidR="00857699">
        <w:t xml:space="preserve"> (typical range for tablets of target tensile strength 1.5 – 2.5 MPa, </w:t>
      </w:r>
      <w:r w:rsidR="00E54B26">
        <w:fldChar w:fldCharType="begin"/>
      </w:r>
      <w:r w:rsidR="007B497A">
        <w:instrText xml:space="preserve"> ADDIN ZOTERO_ITEM CSL_CITATION {"citationID":"0LpUDpwJ","properties":{"formattedCitation":"(Nassar et al., 2021)","plainCitation":"(Nassar et al., 2021)","noteIndex":0},"citationItems":[{"id":348,"uris":["http://zotero.org/users/1322096/items/SR6TBAF5"],"itemData":{"id":348,"type":"article-journal","abstract":"A new approach is proposed to support prediction of tablet tensile strength as a function of both solid fraction (and/or compression pressure) and extent of lubrication by using empirical data to parameterise the model. This is a pre-requisite for simulation of the compaction unit operation where a linkage from tablet press operating parameters and formulation material properties to output tensile strength is required. The approach extends the previously published Kushner and Moore model to allow calculation across a range of solid fractions. The applicability of the approach is supported by testing using formulations with different commonly used pharmaceutical excipients.","container-title":"International Journal of Pharmaceutics","DOI":"10.1016/j.ijpharm.2020.119980","ISSN":"0378-5173","journalAbbreviation":"International Journal of Pharmaceutics","language":"en","page":"119980","source":"ScienceDirect","title":"Lubrication empirical model to predict tensile strength of directly compressed powder blends","volume":"592","author":[{"family":"Nassar","given":"Joelle"},{"family":"Williams","given":"Ben"},{"family":"Davies","given":"Conrad"},{"family":"Lief","given":"Kevin"},{"family":"Elkes","given":"Richard"}],"issued":{"date-parts":[["2021",1,5]]}}}],"schema":"https://github.com/citation-style-language/schema/raw/master/csl-citation.json"} </w:instrText>
      </w:r>
      <w:r w:rsidR="00E54B26">
        <w:fldChar w:fldCharType="separate"/>
      </w:r>
      <w:r w:rsidR="001C2CBB" w:rsidRPr="001C2CBB">
        <w:t>(Nassar et al., 2021)</w:t>
      </w:r>
      <w:r w:rsidR="00E54B26">
        <w:fldChar w:fldCharType="end"/>
      </w:r>
      <w:r w:rsidR="00857699">
        <w:t>.</w:t>
      </w:r>
    </w:p>
    <w:p w14:paraId="144DE6A1" w14:textId="4472AF32" w:rsidR="008D2649" w:rsidRPr="00A94774" w:rsidRDefault="00A74750" w:rsidP="008D2649">
      <w:pPr>
        <w:pStyle w:val="Els-1storder-head"/>
        <w:spacing w:after="120"/>
        <w:rPr>
          <w:lang w:val="en-GB"/>
        </w:rPr>
      </w:pPr>
      <w:r>
        <w:t>Results and discussion</w:t>
      </w:r>
    </w:p>
    <w:p w14:paraId="126188EE" w14:textId="785965D2" w:rsidR="00FF507E" w:rsidRPr="002E4628" w:rsidRDefault="002E4628" w:rsidP="006F23E7">
      <w:pPr>
        <w:pStyle w:val="Els-body-text"/>
      </w:pPr>
      <w:r>
        <w:t>Interpolating for tensile strength values at 0.85 solid fraction using Eq. (</w:t>
      </w:r>
      <w:r>
        <w:fldChar w:fldCharType="begin"/>
      </w:r>
      <w:r>
        <w:instrText xml:space="preserve"> REF _Ref149904664 \h </w:instrText>
      </w:r>
      <w:r w:rsidR="006F23E7">
        <w:instrText xml:space="preserve"> \* MERGEFORMAT </w:instrText>
      </w:r>
      <w:r>
        <w:fldChar w:fldCharType="separate"/>
      </w:r>
      <w:r w:rsidR="00B10B92">
        <w:t>3</w:t>
      </w:r>
      <w:r>
        <w:fldChar w:fldCharType="end"/>
      </w:r>
      <w:r>
        <w:t>) and plotting (</w:t>
      </w:r>
      <w:r w:rsidRPr="002E4628">
        <w:fldChar w:fldCharType="begin"/>
      </w:r>
      <w:r w:rsidRPr="002E4628">
        <w:instrText xml:space="preserve"> REF _Ref139992638 \h  \* MERGEFORMAT </w:instrText>
      </w:r>
      <w:r w:rsidRPr="002E4628">
        <w:fldChar w:fldCharType="separate"/>
      </w:r>
      <w:r w:rsidR="00B10B92" w:rsidRPr="00B10B92">
        <w:t>Figure 3</w:t>
      </w:r>
      <w:r w:rsidRPr="002E4628">
        <w:fldChar w:fldCharType="end"/>
      </w:r>
      <w:r>
        <w:t>) mini-blender data according to Eq. (</w:t>
      </w:r>
      <w:r>
        <w:fldChar w:fldCharType="begin"/>
      </w:r>
      <w:r>
        <w:instrText xml:space="preserve"> REF _Ref149837087 \h </w:instrText>
      </w:r>
      <w:r w:rsidR="006F23E7">
        <w:instrText xml:space="preserve"> \* MERGEFORMAT </w:instrText>
      </w:r>
      <w:r>
        <w:fldChar w:fldCharType="separate"/>
      </w:r>
      <w:r w:rsidR="00B10B92">
        <w:t>1</w:t>
      </w:r>
      <w:r>
        <w:fldChar w:fldCharType="end"/>
      </w:r>
      <w:r>
        <w:t>) shows that while there are common maximum (</w:t>
      </w:r>
      <w:proofErr w:type="spellStart"/>
      <w:r w:rsidRPr="006F23E7">
        <w:rPr>
          <w:i/>
          <w:iCs/>
        </w:rPr>
        <w:t>σ</w:t>
      </w:r>
      <w:r w:rsidRPr="006F23E7">
        <w:rPr>
          <w:vertAlign w:val="subscript"/>
        </w:rPr>
        <w:t>SF</w:t>
      </w:r>
      <w:proofErr w:type="spellEnd"/>
      <w:r w:rsidRPr="006F23E7">
        <w:rPr>
          <w:vertAlign w:val="subscript"/>
        </w:rPr>
        <w:t>=0.85,max</w:t>
      </w:r>
      <w:r w:rsidRPr="002E4628">
        <w:t>)</w:t>
      </w:r>
      <w:r>
        <w:t xml:space="preserve"> and minimum (</w:t>
      </w:r>
      <w:proofErr w:type="spellStart"/>
      <w:r w:rsidRPr="006F23E7">
        <w:rPr>
          <w:i/>
          <w:iCs/>
        </w:rPr>
        <w:t>σ</w:t>
      </w:r>
      <w:r w:rsidRPr="006F23E7">
        <w:rPr>
          <w:vertAlign w:val="subscript"/>
        </w:rPr>
        <w:t>SF</w:t>
      </w:r>
      <w:proofErr w:type="spellEnd"/>
      <w:r w:rsidRPr="006F23E7">
        <w:rPr>
          <w:vertAlign w:val="subscript"/>
        </w:rPr>
        <w:t>=0.85,min</w:t>
      </w:r>
      <w:r w:rsidRPr="002E4628">
        <w:t>)</w:t>
      </w:r>
      <w:r>
        <w:t xml:space="preserve"> tensile strength parameters in across the four </w:t>
      </w:r>
      <w:r w:rsidR="007B497A">
        <w:t>Froude number datasets</w:t>
      </w:r>
      <w:r>
        <w:t xml:space="preserve">, multiple rate constants </w:t>
      </w:r>
      <w:r w:rsidRPr="00056F47">
        <w:rPr>
          <w:i/>
        </w:rPr>
        <w:t>γ</w:t>
      </w:r>
      <w:r>
        <w:t xml:space="preserve"> are required which </w:t>
      </w:r>
      <w:r w:rsidR="007B497A">
        <w:t>should not</w:t>
      </w:r>
      <w:r>
        <w:t xml:space="preserve"> be the case as </w:t>
      </w:r>
      <w:r w:rsidR="00926CDC">
        <w:t>these should be</w:t>
      </w:r>
      <w:r>
        <w:t xml:space="preserve"> process-dependent parameters </w:t>
      </w:r>
      <w:r>
        <w:fldChar w:fldCharType="begin"/>
      </w:r>
      <w:r w:rsidR="007B497A">
        <w:instrText xml:space="preserve"> ADDIN ZOTERO_ITEM CSL_CITATION {"citationID":"vWnD0Q3u","properties":{"formattedCitation":"(Kushner and Moore, 2010)","plainCitation":"(Kushner and Moore, 2010)","noteIndex":0},"citationItems":[{"id":366,"uris":["http://zotero.org/users/1322096/items/4QX66V8Y"],"itemData":{"id":366,"type":"article-journal","abstract":"Lubrication of 2:1 and 1:1 blends of microcrystalline cellulose and spray-dried lactose or dibasic calcium phosphate (DCP) with 0.33% or 1% magnesium stearate, as model free-flowing pharmaceutical formulations, was performed in rotary drum blenders. Blender process parameters examined in this study included type (Bin, V, and Turbula), volume (0.75-Quart to 200-L), fraction of headspace in the blender after the blend is loaded (30–70%), speed (6–202rpm), and time (up to 225min). Based on analysis of the experimental data, the following model for the impact of the lubrication process on tablet tensile strength at 0.85 solid fraction, TSSF=0.85, was obtained, TSSF=0.85=TSSF=0.85,0β exp−γ×V1/3×Fheadspace×r+1−β, where V is blender volume, Fheadspace is the headspace fraction, r is the number of revolutions (i.e. speed×time), TSSF=0.85,0 is the initial tensile strength of the blend, β is the sensitivity of the blend to lubrication, and γ is the lubrication rate constant of the formulation. This model can be used to maintain tensile strength during scale-up, by ensuring that (V1/3Fheadspacer)1=(V1/3Fheadspacer)2. The model also suggests that formulations with DCP are less sensitive to lubrication and more slowly lubricated than formulations with spray-dried lactose (i.e. smaller β and γ values).","container-title":"International Journal of Pharmaceutics","DOI":"10.1016/j.ijpharm.2010.07.033","ISSN":"0378-5173","issue":"1","journalAbbreviation":"International Journal of Pharmaceutics","language":"en","page":"19-30","source":"ScienceDirect","title":"Scale-up model describing the impact of lubrication on tablet tensile strength","volume":"399","author":[{"family":"Kushner","given":"Joseph"},{"family":"Moore","given":"Francis"}],"issued":{"date-parts":[["2010",10,31]]}}}],"schema":"https://github.com/citation-style-language/schema/raw/master/csl-citation.json"} </w:instrText>
      </w:r>
      <w:r>
        <w:fldChar w:fldCharType="separate"/>
      </w:r>
      <w:r w:rsidR="001C2CBB" w:rsidRPr="001C2CBB">
        <w:t>(Kushner and Moore, 2010)</w:t>
      </w:r>
      <w:r>
        <w:fldChar w:fldCharType="end"/>
      </w:r>
      <w:r>
        <w:t>.</w:t>
      </w:r>
    </w:p>
    <w:p w14:paraId="700B58E4" w14:textId="77777777" w:rsidR="001B2674" w:rsidRDefault="001B2674" w:rsidP="006F23E7">
      <w:pPr>
        <w:pStyle w:val="Els-body-text"/>
      </w:pPr>
    </w:p>
    <w:p w14:paraId="58A051E0" w14:textId="1150272C" w:rsidR="001B2674" w:rsidRDefault="006F23E7" w:rsidP="006F23E7">
      <w:pPr>
        <w:pStyle w:val="Els-body-text"/>
      </w:pPr>
      <w:r>
        <w:t>As stated previously, Eq. (</w:t>
      </w:r>
      <w:r>
        <w:fldChar w:fldCharType="begin"/>
      </w:r>
      <w:r>
        <w:instrText xml:space="preserve"> REF _Ref149837087 \h  \* MERGEFORMAT </w:instrText>
      </w:r>
      <w:r>
        <w:fldChar w:fldCharType="separate"/>
      </w:r>
      <w:r w:rsidR="00B10B92">
        <w:t>1</w:t>
      </w:r>
      <w:r>
        <w:fldChar w:fldCharType="end"/>
      </w:r>
      <w:r>
        <w:t xml:space="preserve">) was developed using batch blenders that are restricted to low Froude numbers due to mixing otherwise being prevented by centrifugal forces </w:t>
      </w:r>
      <w:r>
        <w:fldChar w:fldCharType="begin"/>
      </w:r>
      <w:r w:rsidR="007B497A">
        <w:instrText xml:space="preserve"> ADDIN ZOTERO_ITEM CSL_CITATION {"citationID":"OEq1gUHD","properties":{"formattedCitation":"(Brone et al., 1998; Kushner and Moore, 2010)","plainCitation":"(Brone et al., 1998; Kushner and Moore, 2010)","noteIndex":0},"citationItems":[{"id":366,"uris":["http://zotero.org/users/1322096/items/4QX66V8Y"],"itemData":{"id":366,"type":"article-journal","abstract":"Lubrication of 2:1 and 1:1 blends of microcrystalline cellulose and spray-dried lactose or dibasic calcium phosphate (DCP) with 0.33% or 1% magnesium stearate, as model free-flowing pharmaceutical formulations, was performed in rotary drum blenders. Blender process parameters examined in this study included type (Bin, V, and Turbula), volume (0.75-Quart to 200-L), fraction of headspace in the blender after the blend is loaded (30–70%), speed (6–202rpm), and time (up to 225min). Based on analysis of the experimental data, the following model for the impact of the lubrication process on tablet tensile strength at 0.85 solid fraction, TSSF=0.85, was obtained, TSSF=0.85=TSSF=0.85,0β exp−γ×V1/3×Fheadspace×r+1−β, where V is blender volume, Fheadspace is the headspace fraction, r is the number of revolutions (i.e. speed×time), TSSF=0.85,0 is the initial tensile strength of the blend, β is the sensitivity of the blend to lubrication, and γ is the lubrication rate constant of the formulation. This model can be used to maintain tensile strength during scale-up, by ensuring that (V1/3Fheadspacer)1=(V1/3Fheadspacer)2. The model also suggests that formulations with DCP are less sensitive to lubrication and more slowly lubricated than formulations with spray-dried lactose (i.e. smaller β and γ values).","container-title":"International Journal of Pharmaceutics","DOI":"10.1016/j.ijpharm.2010.07.033","ISSN":"0378-5173","issue":"1","journalAbbreviation":"International Journal of Pharmaceutics","language":"en","page":"19-30","source":"ScienceDirect","title":"Scale-up model describing the impact of lubrication on tablet tensile strength","volume":"399","author":[{"family":"Kushner","given":"Joseph"},{"family":"Moore","given":"Francis"}],"issued":{"date-parts":[["2010",10,31]]}},"label":"page"},{"id":1795,"uris":["http://zotero.org/users/1322096/items/P3F92BDT"],"itemData":{"id":1795,"type":"article-journal","abstract":"Experiments were conducted to determine the effect of rotation rate, fill level, and total number of revolutions on the mixing performance of a V-blender. The experiments were performed using 66-μm red and green glass beads. Mixture uniformity was quantified after each experiment by infiltrating the mixtures with a binder, and using image analysis to examine slices of the solidfied mixture. The mixing rate (as a function of total revolutions) was not affected by changing the rotation rate between 8 and 24 rpm. The mixing rate increased significantly as the fill percentage was decreased from 60% to 40% of the total vessel volume. In a symmetric blender such as a V-blender, the rate of mixing is limited by the rate of mass transfer across the vessel plane of symmetry orthogonal to the axis of rotation. A one-parameter model based on the amount of material that crossed the plane of symmetry per revolution displayed good agreement with the experimental data.","container-title":"AIChE Journal","DOI":"10.1002/aic.690440206","ISSN":"1547-5905","issue":"2","language":"en","license":"Copyright © 1998 American Institute of Chemical Engineers (AIChE)","note":"_eprint: https://onlinelibrary.wiley.com/doi/pdf/10.1002/aic.690440206","page":"271-278","source":"Wiley Online Library","title":"Quantitative characterization of mixing of dry powders in V-blenders","volume":"44","author":[{"family":"Brone","given":"Dean"},{"family":"Alexander","given":"Albert"},{"family":"Muzzio","given":"F. J."}],"issued":{"date-parts":[["1998"]]}},"label":"page"}],"schema":"https://github.com/citation-style-language/schema/raw/master/csl-citation.json"} </w:instrText>
      </w:r>
      <w:r>
        <w:fldChar w:fldCharType="separate"/>
      </w:r>
      <w:r w:rsidR="001C2CBB" w:rsidRPr="001C2CBB">
        <w:t>(Brone et al., 1998; Kushner and Moore, 2010)</w:t>
      </w:r>
      <w:r>
        <w:fldChar w:fldCharType="end"/>
      </w:r>
      <w:r>
        <w:t xml:space="preserve">. Given that </w:t>
      </w:r>
      <w:r w:rsidRPr="002E4628">
        <w:fldChar w:fldCharType="begin"/>
      </w:r>
      <w:r w:rsidRPr="002E4628">
        <w:instrText xml:space="preserve"> REF _Ref139992638 \h  \* MERGEFORMAT </w:instrText>
      </w:r>
      <w:r w:rsidRPr="002E4628">
        <w:fldChar w:fldCharType="separate"/>
      </w:r>
      <w:r w:rsidR="00B10B92" w:rsidRPr="00B10B92">
        <w:t>Figure 3</w:t>
      </w:r>
      <w:r w:rsidRPr="002E4628">
        <w:fldChar w:fldCharType="end"/>
      </w:r>
      <w:r>
        <w:t>A shows clear differences in data trends between datapoints with different Froude numbers, modifications to Eq. (</w:t>
      </w:r>
      <w:r>
        <w:fldChar w:fldCharType="begin"/>
      </w:r>
      <w:r>
        <w:instrText xml:space="preserve"> REF _Ref149837087 \h  \* MERGEFORMAT </w:instrText>
      </w:r>
      <w:r>
        <w:fldChar w:fldCharType="separate"/>
      </w:r>
      <w:r w:rsidR="00B10B92">
        <w:t>1</w:t>
      </w:r>
      <w:r>
        <w:fldChar w:fldCharType="end"/>
      </w:r>
      <w:r>
        <w:t xml:space="preserve">) that incorporate an </w:t>
      </w:r>
      <w:r>
        <w:rPr>
          <w:i/>
          <w:iCs/>
        </w:rPr>
        <w:t>Fr</w:t>
      </w:r>
      <w:r>
        <w:t xml:space="preserve"> term i</w:t>
      </w:r>
      <w:r w:rsidR="0012434C">
        <w:t>n some form have been explored.</w:t>
      </w:r>
    </w:p>
    <w:p w14:paraId="13E0738D" w14:textId="77777777" w:rsidR="00F5185A" w:rsidRDefault="00F5185A" w:rsidP="006F23E7">
      <w:pPr>
        <w:pStyle w:val="Els-body-text"/>
      </w:pPr>
    </w:p>
    <w:p w14:paraId="1ED328C5" w14:textId="289868C9" w:rsidR="00137204" w:rsidRPr="00D96467" w:rsidRDefault="0069297A" w:rsidP="006F23E7">
      <w:pPr>
        <w:pStyle w:val="Els-body-text"/>
      </w:pPr>
      <w:r>
        <w:lastRenderedPageBreak/>
        <w:t xml:space="preserve">The approach which showed promise is to include the </w:t>
      </w:r>
      <w:r w:rsidR="000C7F2E">
        <w:t xml:space="preserve">root of </w:t>
      </w:r>
      <w:r w:rsidR="000C7F2E">
        <w:rPr>
          <w:i/>
          <w:iCs/>
        </w:rPr>
        <w:t>Fr</w:t>
      </w:r>
      <w:r w:rsidR="000C7F2E">
        <w:t xml:space="preserve"> but only for conditions where </w:t>
      </w:r>
      <w:r w:rsidR="000C7F2E">
        <w:rPr>
          <w:i/>
          <w:iCs/>
        </w:rPr>
        <w:t>Fr</w:t>
      </w:r>
      <w:r w:rsidR="000C7F2E">
        <w:t xml:space="preserve"> is above 1</w:t>
      </w:r>
      <w:r w:rsidR="00D96467">
        <w:t xml:space="preserve"> – the hypothesis being that below this value it is number of revolutions </w:t>
      </w:r>
      <w:r w:rsidR="00D96467">
        <w:rPr>
          <w:i/>
          <w:iCs/>
        </w:rPr>
        <w:t>R</w:t>
      </w:r>
      <w:r w:rsidR="00D96467">
        <w:t xml:space="preserve"> experienced that matters, and that above it is both the number of revolutions experienced and the intensity </w:t>
      </w:r>
      <w:r w:rsidR="00D96467" w:rsidRPr="00D96467">
        <w:t>at</w:t>
      </w:r>
      <w:r w:rsidR="00D96467">
        <w:t xml:space="preserve"> which they are experienced (represented by Froude number) which matters. Whilst </w:t>
      </w:r>
      <w:r w:rsidR="00D96467">
        <w:rPr>
          <w:i/>
          <w:iCs/>
        </w:rPr>
        <w:t>Fr</w:t>
      </w:r>
      <w:r w:rsidR="00D96467">
        <w:t xml:space="preserve"> values below 2.5 are described as one regime of mixing in the literature </w:t>
      </w:r>
      <w:r w:rsidR="00D96467">
        <w:fldChar w:fldCharType="begin"/>
      </w:r>
      <w:r w:rsidR="007B497A">
        <w:instrText xml:space="preserve"> ADDIN ZOTERO_ITEM CSL_CITATION {"citationID":"SxHO05yk","properties":{"formattedCitation":"(Nassar et al., 2021)","plainCitation":"(Nassar et al., 2021)","noteIndex":0},"citationItems":[{"id":348,"uris":["http://zotero.org/users/1322096/items/SR6TBAF5"],"itemData":{"id":348,"type":"article-journal","abstract":"A new approach is proposed to support prediction of tablet tensile strength as a function of both solid fraction (and/or compression pressure) and extent of lubrication by using empirical data to parameterise the model. This is a pre-requisite for simulation of the compaction unit operation where a linkage from tablet press operating parameters and formulation material properties to output tensile strength is required. The approach extends the previously published Kushner and Moore model to allow calculation across a range of solid fractions. The applicability of the approach is supported by testing using formulations with different commonly used pharmaceutical excipients.","container-title":"International Journal of Pharmaceutics","DOI":"10.1016/j.ijpharm.2020.119980","ISSN":"0378-5173","journalAbbreviation":"International Journal of Pharmaceutics","language":"en","page":"119980","source":"ScienceDirect","title":"Lubrication empirical model to predict tensile strength of directly compressed powder blends","volume":"592","author":[{"family":"Nassar","given":"Joelle"},{"family":"Williams","given":"Ben"},{"family":"Davies","given":"Conrad"},{"family":"Lief","given":"Kevin"},{"family":"Elkes","given":"Richard"}],"issued":{"date-parts":[["2021",1,5]]}}}],"schema":"https://github.com/citation-style-language/schema/raw/master/csl-citation.json"} </w:instrText>
      </w:r>
      <w:r w:rsidR="00D96467">
        <w:fldChar w:fldCharType="separate"/>
      </w:r>
      <w:r w:rsidR="001C2CBB" w:rsidRPr="001C2CBB">
        <w:t>(Nassar et al., 2021)</w:t>
      </w:r>
      <w:r w:rsidR="00D96467">
        <w:fldChar w:fldCharType="end"/>
      </w:r>
      <w:r w:rsidR="00D96467">
        <w:t xml:space="preserve"> there is a clear difference in data between </w:t>
      </w:r>
      <w:r w:rsidR="00D96467">
        <w:rPr>
          <w:i/>
          <w:iCs/>
        </w:rPr>
        <w:t>Fr</w:t>
      </w:r>
      <w:r w:rsidR="00D96467">
        <w:t xml:space="preserve"> values of 0.33 and 1.33 (</w:t>
      </w:r>
      <w:r w:rsidR="003D7372" w:rsidRPr="002E4628">
        <w:fldChar w:fldCharType="begin"/>
      </w:r>
      <w:r w:rsidR="003D7372" w:rsidRPr="002E4628">
        <w:instrText xml:space="preserve"> REF _Ref139992638 \h  \* MERGEFORMAT </w:instrText>
      </w:r>
      <w:r w:rsidR="003D7372" w:rsidRPr="002E4628">
        <w:fldChar w:fldCharType="separate"/>
      </w:r>
      <w:r w:rsidR="00B10B92" w:rsidRPr="00B10B92">
        <w:t>Figure 3</w:t>
      </w:r>
      <w:r w:rsidR="003D7372" w:rsidRPr="002E4628">
        <w:fldChar w:fldCharType="end"/>
      </w:r>
      <w:r w:rsidR="00D96467">
        <w:t xml:space="preserve">). In summary, the modified equation approach </w:t>
      </w:r>
      <w:r w:rsidR="0012434C">
        <w:t>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82"/>
        <w:gridCol w:w="816"/>
        <w:gridCol w:w="116"/>
        <w:gridCol w:w="72"/>
      </w:tblGrid>
      <w:tr w:rsidR="00D96467" w:rsidRPr="00D37B63" w14:paraId="22724182" w14:textId="77777777" w:rsidTr="0012434C">
        <w:trPr>
          <w:trHeight w:val="284"/>
        </w:trPr>
        <w:tc>
          <w:tcPr>
            <w:tcW w:w="6082" w:type="dxa"/>
            <w:vAlign w:val="center"/>
          </w:tcPr>
          <w:p w14:paraId="6C17522E" w14:textId="60B67743" w:rsidR="00D96467" w:rsidRPr="00D96467" w:rsidRDefault="00EB3808" w:rsidP="0012434C">
            <w:pPr>
              <w:spacing w:before="120" w:after="120"/>
              <w:rPr>
                <w:rFonts w:ascii="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σ</m:t>
                    </m:r>
                  </m:e>
                  <m:sub>
                    <m:r>
                      <m:rPr>
                        <m:sty m:val="p"/>
                      </m:rPr>
                      <w:rPr>
                        <w:rFonts w:ascii="Cambria Math" w:eastAsia="Times New Roman" w:hAnsi="Cambria Math" w:cs="Times New Roman"/>
                        <w:sz w:val="20"/>
                        <w:szCs w:val="20"/>
                      </w:rPr>
                      <m:t>SF</m:t>
                    </m:r>
                    <m:r>
                      <w:rPr>
                        <w:rFonts w:ascii="Cambria Math" w:eastAsia="Times New Roman" w:hAnsi="Cambria Math" w:cs="Times New Roman"/>
                        <w:sz w:val="20"/>
                        <w:szCs w:val="20"/>
                      </w:rPr>
                      <m:t>=0.85</m:t>
                    </m:r>
                  </m:sub>
                </m:sSub>
                <m:r>
                  <m:rPr>
                    <m:sty m:val="p"/>
                  </m:rPr>
                  <w:rPr>
                    <w:rFonts w:ascii="Cambria Math"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σ</m:t>
                    </m:r>
                  </m:e>
                  <m:sub>
                    <m:r>
                      <m:rPr>
                        <m:sty m:val="p"/>
                      </m:rPr>
                      <w:rPr>
                        <w:rFonts w:ascii="Cambria Math" w:eastAsia="Times New Roman" w:hAnsi="Cambria Math" w:cs="Times New Roman"/>
                        <w:sz w:val="20"/>
                        <w:szCs w:val="20"/>
                      </w:rPr>
                      <m:t>SF</m:t>
                    </m:r>
                    <m:r>
                      <w:rPr>
                        <w:rFonts w:ascii="Cambria Math" w:eastAsia="Times New Roman" w:hAnsi="Cambria Math" w:cs="Times New Roman"/>
                        <w:sz w:val="20"/>
                        <w:szCs w:val="20"/>
                      </w:rPr>
                      <m:t>=0.85,</m:t>
                    </m:r>
                    <m:r>
                      <m:rPr>
                        <m:sty m:val="p"/>
                      </m:rPr>
                      <w:rPr>
                        <w:rFonts w:ascii="Cambria Math" w:eastAsia="Times New Roman" w:hAnsi="Cambria Math" w:cs="Times New Roman"/>
                        <w:sz w:val="20"/>
                        <w:szCs w:val="20"/>
                      </w:rPr>
                      <m:t>max</m:t>
                    </m:r>
                  </m:sub>
                </m:sSub>
                <m:r>
                  <w:rPr>
                    <w:rFonts w:ascii="Cambria Math" w:eastAsia="Times New Roman" w:hAnsi="Cambria Math" w:cs="Times New Roman"/>
                    <w:sz w:val="20"/>
                    <w:szCs w:val="20"/>
                  </w:rPr>
                  <m:t>-</m:t>
                </m:r>
                <m:sSup>
                  <m:sSupPr>
                    <m:ctrlPr>
                      <w:rPr>
                        <w:rFonts w:ascii="Cambria Math" w:hAnsi="Cambria Math" w:cs="Times New Roman"/>
                        <w:sz w:val="20"/>
                        <w:szCs w:val="20"/>
                      </w:rPr>
                    </m:ctrlPr>
                  </m:sSupPr>
                  <m:e>
                    <m:d>
                      <m:dPr>
                        <m:ctrlPr>
                          <w:rPr>
                            <w:rFonts w:ascii="Cambria Math" w:hAnsi="Cambria Math" w:cs="Times New Roman"/>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σ</m:t>
                            </m:r>
                          </m:e>
                          <m:sub>
                            <m:r>
                              <m:rPr>
                                <m:sty m:val="p"/>
                              </m:rPr>
                              <w:rPr>
                                <w:rFonts w:ascii="Cambria Math" w:eastAsia="Times New Roman" w:hAnsi="Cambria Math" w:cs="Times New Roman"/>
                                <w:sz w:val="20"/>
                                <w:szCs w:val="20"/>
                              </w:rPr>
                              <m:t>SF</m:t>
                            </m:r>
                            <m:r>
                              <w:rPr>
                                <w:rFonts w:ascii="Cambria Math" w:eastAsia="Times New Roman" w:hAnsi="Cambria Math" w:cs="Times New Roman"/>
                                <w:sz w:val="20"/>
                                <w:szCs w:val="20"/>
                              </w:rPr>
                              <m:t>=0.85,</m:t>
                            </m:r>
                            <m:r>
                              <m:rPr>
                                <m:sty m:val="p"/>
                              </m:rPr>
                              <w:rPr>
                                <w:rFonts w:ascii="Cambria Math" w:eastAsia="Times New Roman" w:hAnsi="Cambria Math" w:cs="Times New Roman"/>
                                <w:sz w:val="20"/>
                                <w:szCs w:val="20"/>
                              </w:rPr>
                              <m:t>max</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σ</m:t>
                            </m:r>
                          </m:e>
                          <m:sub>
                            <m:r>
                              <m:rPr>
                                <m:sty m:val="p"/>
                              </m:rPr>
                              <w:rPr>
                                <w:rFonts w:ascii="Cambria Math" w:eastAsia="Times New Roman" w:hAnsi="Cambria Math" w:cs="Times New Roman"/>
                                <w:sz w:val="20"/>
                                <w:szCs w:val="20"/>
                              </w:rPr>
                              <m:t>SF</m:t>
                            </m:r>
                            <m:r>
                              <w:rPr>
                                <w:rFonts w:ascii="Cambria Math" w:eastAsia="Times New Roman" w:hAnsi="Cambria Math" w:cs="Times New Roman"/>
                                <w:sz w:val="20"/>
                                <w:szCs w:val="20"/>
                              </w:rPr>
                              <m:t>=0.85,</m:t>
                            </m:r>
                            <m:r>
                              <m:rPr>
                                <m:sty m:val="p"/>
                              </m:rPr>
                              <w:rPr>
                                <w:rFonts w:ascii="Cambria Math" w:eastAsia="Times New Roman" w:hAnsi="Cambria Math" w:cs="Times New Roman"/>
                                <w:sz w:val="20"/>
                                <w:szCs w:val="20"/>
                              </w:rPr>
                              <m:t>min</m:t>
                            </m:r>
                          </m:sub>
                        </m:sSub>
                      </m:e>
                    </m:d>
                    <m:r>
                      <m:rPr>
                        <m:sty m:val="p"/>
                      </m:rPr>
                      <w:rPr>
                        <w:rFonts w:ascii="Cambria Math" w:hAnsi="Cambria Math" w:cs="Times New Roman"/>
                        <w:sz w:val="20"/>
                        <w:szCs w:val="20"/>
                      </w:rPr>
                      <m:t>e</m:t>
                    </m:r>
                  </m:e>
                  <m:sup>
                    <m:r>
                      <w:rPr>
                        <w:rFonts w:ascii="Cambria Math" w:hAnsi="Cambria Math" w:cs="Times New Roman"/>
                        <w:sz w:val="20"/>
                        <w:szCs w:val="20"/>
                      </w:rPr>
                      <m:t>-</m:t>
                    </m:r>
                    <m:r>
                      <w:rPr>
                        <w:rFonts w:ascii="Cambria Math" w:hAnsi="Cambria Math" w:cs="Times New Roman"/>
                        <w:sz w:val="20"/>
                        <w:szCs w:val="20"/>
                      </w:rPr>
                      <m:t>γ</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V</m:t>
                        </m:r>
                      </m:e>
                      <m:sup>
                        <m:f>
                          <m:fPr>
                            <m:type m:val="lin"/>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1</m:t>
                            </m:r>
                          </m:num>
                          <m:den>
                            <m:r>
                              <w:rPr>
                                <w:rFonts w:ascii="Cambria Math" w:eastAsia="Times New Roman" w:hAnsi="Cambria Math" w:cs="Times New Roman"/>
                                <w:sz w:val="20"/>
                                <w:szCs w:val="20"/>
                              </w:rPr>
                              <m:t>3</m:t>
                            </m:r>
                          </m:den>
                        </m:f>
                      </m:sup>
                    </m:sSup>
                    <m:r>
                      <w:rPr>
                        <w:rFonts w:ascii="Cambria Math" w:eastAsia="Times New Roman" w:hAnsi="Cambria Math" w:cs="Times New Roman"/>
                        <w:sz w:val="20"/>
                        <w:szCs w:val="20"/>
                      </w:rPr>
                      <m:t>FR</m:t>
                    </m:r>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Fr</m:t>
                            </m:r>
                          </m:e>
                        </m:d>
                      </m:e>
                      <m:sup>
                        <m:r>
                          <w:rPr>
                            <w:rFonts w:ascii="Cambria Math" w:eastAsia="Times New Roman" w:hAnsi="Cambria Math" w:cs="Times New Roman"/>
                            <w:sz w:val="20"/>
                            <w:szCs w:val="20"/>
                          </w:rPr>
                          <m:t>n</m:t>
                        </m:r>
                      </m:sup>
                    </m:sSup>
                  </m:sup>
                </m:sSup>
                <m:r>
                  <w:rPr>
                    <w:rFonts w:ascii="Cambria Math" w:eastAsia="Times New Roman" w:hAnsi="Cambria Math" w:cs="Times New Roman"/>
                    <w:sz w:val="20"/>
                    <w:szCs w:val="20"/>
                  </w:rPr>
                  <m:t xml:space="preserve">,  </m:t>
                </m:r>
                <m:r>
                  <w:rPr>
                    <w:rFonts w:ascii="Cambria Math" w:eastAsia="Times New Roman" w:hAnsi="Cambria Math" w:cs="Times New Roman"/>
                    <w:sz w:val="20"/>
                    <w:szCs w:val="20"/>
                  </w:rPr>
                  <m:t>n</m:t>
                </m:r>
                <m:r>
                  <w:rPr>
                    <w:rFonts w:ascii="Cambria Math" w:eastAsia="Times New Roman" w:hAnsi="Cambria Math" w:cs="Times New Roman"/>
                    <w:sz w:val="20"/>
                    <w:szCs w:val="20"/>
                  </w:rPr>
                  <m:t>=</m:t>
                </m:r>
                <m:d>
                  <m:dPr>
                    <m:begChr m:val="{"/>
                    <m:endChr m:val=""/>
                    <m:ctrlPr>
                      <w:rPr>
                        <w:rFonts w:ascii="Cambria Math" w:eastAsia="Times New Roman" w:hAnsi="Cambria Math" w:cs="Times New Roman"/>
                        <w:i/>
                        <w:sz w:val="20"/>
                        <w:szCs w:val="20"/>
                      </w:rPr>
                    </m:ctrlPr>
                  </m:dPr>
                  <m:e>
                    <m:m>
                      <m:mPr>
                        <m:mcs>
                          <m:mc>
                            <m:mcPr>
                              <m:count m:val="3"/>
                              <m:mcJc m:val="center"/>
                            </m:mcPr>
                          </m:mc>
                        </m:mcs>
                        <m:ctrlPr>
                          <w:rPr>
                            <w:rFonts w:ascii="Cambria Math" w:eastAsia="Times New Roman" w:hAnsi="Cambria Math" w:cs="Times New Roman"/>
                            <w:i/>
                            <w:sz w:val="20"/>
                            <w:szCs w:val="20"/>
                          </w:rPr>
                        </m:ctrlPr>
                      </m:mPr>
                      <m:mr>
                        <m:e>
                          <m:r>
                            <w:rPr>
                              <w:rFonts w:ascii="Cambria Math" w:eastAsia="Times New Roman" w:hAnsi="Cambria Math" w:cs="Times New Roman"/>
                              <w:sz w:val="20"/>
                              <w:szCs w:val="20"/>
                            </w:rPr>
                            <m:t>0</m:t>
                          </m:r>
                        </m:e>
                        <m:e>
                          <m:r>
                            <m:rPr>
                              <m:sty m:val="p"/>
                            </m:rPr>
                            <w:rPr>
                              <w:rFonts w:ascii="Cambria Math" w:eastAsia="Times New Roman" w:hAnsi="Cambria Math" w:cs="Times New Roman"/>
                              <w:sz w:val="20"/>
                              <w:szCs w:val="20"/>
                            </w:rPr>
                            <m:t>if</m:t>
                          </m:r>
                        </m:e>
                        <m:e>
                          <m:r>
                            <w:rPr>
                              <w:rFonts w:ascii="Cambria Math" w:eastAsia="Times New Roman" w:hAnsi="Cambria Math" w:cs="Times New Roman"/>
                              <w:sz w:val="20"/>
                              <w:szCs w:val="20"/>
                            </w:rPr>
                            <m:t>Fr</m:t>
                          </m:r>
                          <m:r>
                            <w:rPr>
                              <w:rFonts w:ascii="Cambria Math" w:eastAsia="Times New Roman" w:hAnsi="Cambria Math" w:cs="Times New Roman"/>
                              <w:sz w:val="20"/>
                              <w:szCs w:val="20"/>
                            </w:rPr>
                            <m:t>&lt;1</m:t>
                          </m:r>
                        </m:e>
                      </m:mr>
                      <m:mr>
                        <m:e>
                          <m:box>
                            <m:boxPr>
                              <m:ctrlPr>
                                <w:rPr>
                                  <w:rFonts w:ascii="Cambria Math" w:eastAsia="Times New Roman" w:hAnsi="Cambria Math" w:cs="Times New Roman"/>
                                  <w:i/>
                                  <w:sz w:val="20"/>
                                  <w:szCs w:val="20"/>
                                </w:rPr>
                              </m:ctrlPr>
                            </m:boxPr>
                            <m:e>
                              <m:argPr>
                                <m:argSz m:val="-1"/>
                              </m:argPr>
                              <m:f>
                                <m:fPr>
                                  <m:type m:val="skw"/>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1</m:t>
                                  </m:r>
                                </m:num>
                                <m:den>
                                  <m:r>
                                    <w:rPr>
                                      <w:rFonts w:ascii="Cambria Math" w:eastAsia="Times New Roman" w:hAnsi="Cambria Math" w:cs="Times New Roman"/>
                                      <w:sz w:val="20"/>
                                      <w:szCs w:val="20"/>
                                    </w:rPr>
                                    <m:t>2</m:t>
                                  </m:r>
                                </m:den>
                              </m:f>
                            </m:e>
                          </m:box>
                        </m:e>
                        <m:e>
                          <m:r>
                            <m:rPr>
                              <m:sty m:val="p"/>
                            </m:rPr>
                            <w:rPr>
                              <w:rFonts w:ascii="Cambria Math" w:eastAsia="Times New Roman" w:hAnsi="Cambria Math" w:cs="Times New Roman"/>
                              <w:sz w:val="20"/>
                              <w:szCs w:val="20"/>
                            </w:rPr>
                            <m:t>if</m:t>
                          </m:r>
                        </m:e>
                        <m:e>
                          <m:r>
                            <w:rPr>
                              <w:rFonts w:ascii="Cambria Math" w:eastAsia="Times New Roman" w:hAnsi="Cambria Math" w:cs="Times New Roman"/>
                              <w:sz w:val="20"/>
                              <w:szCs w:val="20"/>
                            </w:rPr>
                            <m:t>Fr</m:t>
                          </m:r>
                          <m:r>
                            <w:rPr>
                              <w:rFonts w:ascii="Cambria Math" w:eastAsia="Times New Roman" w:hAnsi="Cambria Math" w:cs="Times New Roman"/>
                              <w:sz w:val="20"/>
                              <w:szCs w:val="20"/>
                            </w:rPr>
                            <m:t>&gt;1</m:t>
                          </m:r>
                        </m:e>
                      </m:mr>
                    </m:m>
                  </m:e>
                </m:d>
              </m:oMath>
            </m:oMathPara>
          </w:p>
        </w:tc>
        <w:tc>
          <w:tcPr>
            <w:tcW w:w="816" w:type="dxa"/>
            <w:vAlign w:val="center"/>
          </w:tcPr>
          <w:p w14:paraId="55B8AD30" w14:textId="77777777" w:rsidR="00D96467" w:rsidRPr="00D37B63" w:rsidRDefault="00D96467" w:rsidP="0012434C">
            <w:pPr>
              <w:spacing w:before="120" w:after="120"/>
              <w:jc w:val="right"/>
              <w:rPr>
                <w:rFonts w:ascii="Times New Roman" w:eastAsiaTheme="minorEastAsia" w:hAnsi="Times New Roman" w:cs="Times New Roman"/>
                <w:sz w:val="20"/>
              </w:rPr>
            </w:pPr>
            <w:r w:rsidRPr="00D37B63">
              <w:rPr>
                <w:rFonts w:ascii="Times New Roman" w:eastAsiaTheme="minorEastAsia" w:hAnsi="Times New Roman" w:cs="Times New Roman"/>
                <w:sz w:val="20"/>
              </w:rPr>
              <w:t>(</w:t>
            </w:r>
          </w:p>
        </w:tc>
        <w:tc>
          <w:tcPr>
            <w:tcW w:w="116" w:type="dxa"/>
            <w:vAlign w:val="center"/>
          </w:tcPr>
          <w:p w14:paraId="28D8FBA8" w14:textId="527C1F18" w:rsidR="00D96467" w:rsidRPr="00D37B63" w:rsidRDefault="00D96467" w:rsidP="0012434C">
            <w:pPr>
              <w:spacing w:before="120" w:after="120"/>
              <w:jc w:val="center"/>
              <w:rPr>
                <w:rFonts w:ascii="Times New Roman" w:hAnsi="Times New Roman" w:cs="Times New Roman"/>
                <w:sz w:val="20"/>
              </w:rPr>
            </w:pPr>
            <w:r w:rsidRPr="00D37B63">
              <w:fldChar w:fldCharType="begin"/>
            </w:r>
            <w:r w:rsidRPr="00D37B63">
              <w:rPr>
                <w:rFonts w:ascii="Times New Roman" w:hAnsi="Times New Roman" w:cs="Times New Roman"/>
                <w:sz w:val="20"/>
              </w:rPr>
              <w:instrText xml:space="preserve"> SEQ Equation \* ARABIC </w:instrText>
            </w:r>
            <w:r w:rsidRPr="00D37B63">
              <w:fldChar w:fldCharType="separate"/>
            </w:r>
            <w:bookmarkStart w:id="7" w:name="_Ref149907650"/>
            <w:r w:rsidR="00B10B92">
              <w:rPr>
                <w:rFonts w:ascii="Times New Roman" w:hAnsi="Times New Roman" w:cs="Times New Roman"/>
                <w:noProof/>
                <w:sz w:val="20"/>
              </w:rPr>
              <w:t>4</w:t>
            </w:r>
            <w:bookmarkEnd w:id="7"/>
            <w:r w:rsidRPr="00D37B63">
              <w:rPr>
                <w:noProof/>
              </w:rPr>
              <w:fldChar w:fldCharType="end"/>
            </w:r>
          </w:p>
        </w:tc>
        <w:tc>
          <w:tcPr>
            <w:tcW w:w="72" w:type="dxa"/>
            <w:vAlign w:val="center"/>
          </w:tcPr>
          <w:p w14:paraId="273B211E" w14:textId="77777777" w:rsidR="00D96467" w:rsidRPr="00D37B63" w:rsidRDefault="00D96467" w:rsidP="0012434C">
            <w:pPr>
              <w:spacing w:before="120" w:after="120"/>
              <w:rPr>
                <w:rFonts w:ascii="Times New Roman" w:hAnsi="Times New Roman" w:cs="Times New Roman"/>
                <w:sz w:val="20"/>
              </w:rPr>
            </w:pPr>
            <w:r w:rsidRPr="00D37B63">
              <w:rPr>
                <w:rFonts w:ascii="Times New Roman" w:hAnsi="Times New Roman" w:cs="Times New Roman"/>
                <w:sz w:val="20"/>
              </w:rPr>
              <w:t>)</w:t>
            </w:r>
          </w:p>
        </w:tc>
      </w:tr>
    </w:tbl>
    <w:tbl>
      <w:tblPr>
        <w:tblStyle w:val="TableGrid"/>
        <w:tblW w:w="7088" w:type="dxa"/>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88"/>
      </w:tblGrid>
      <w:tr w:rsidR="00F315C4" w14:paraId="43D787AD" w14:textId="77777777" w:rsidTr="00D96467">
        <w:tc>
          <w:tcPr>
            <w:tcW w:w="7088" w:type="dxa"/>
            <w:tcBorders>
              <w:top w:val="single" w:sz="4" w:space="0" w:color="auto"/>
              <w:bottom w:val="single" w:sz="4" w:space="0" w:color="auto"/>
            </w:tcBorders>
          </w:tcPr>
          <w:p w14:paraId="35421976" w14:textId="77777777" w:rsidR="00F315C4" w:rsidRPr="000110DE" w:rsidRDefault="00F315C4" w:rsidP="00F5185A">
            <w:pPr>
              <w:pStyle w:val="Caption"/>
              <w:framePr w:w="7088" w:wrap="notBeside" w:vAnchor="page" w:hAnchor="page" w:x="2433" w:y="9101"/>
              <w:jc w:val="center"/>
            </w:pPr>
            <w:r w:rsidRPr="00137204">
              <w:rPr>
                <w:noProof/>
                <w:lang w:val="en-GB" w:eastAsia="en-GB"/>
              </w:rPr>
              <w:drawing>
                <wp:inline distT="0" distB="0" distL="0" distR="0" wp14:anchorId="69B7E82C" wp14:editId="52AF3102">
                  <wp:extent cx="3960000" cy="2377789"/>
                  <wp:effectExtent l="0" t="0" r="2540" b="3810"/>
                  <wp:docPr id="445335841" name="Picture 44533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0000" cy="2377789"/>
                          </a:xfrm>
                          <a:prstGeom prst="rect">
                            <a:avLst/>
                          </a:prstGeom>
                          <a:noFill/>
                          <a:ln>
                            <a:noFill/>
                          </a:ln>
                        </pic:spPr>
                      </pic:pic>
                    </a:graphicData>
                  </a:graphic>
                </wp:inline>
              </w:drawing>
            </w:r>
          </w:p>
        </w:tc>
      </w:tr>
      <w:tr w:rsidR="00F315C4" w14:paraId="57BB6522" w14:textId="77777777" w:rsidTr="00D96467">
        <w:tc>
          <w:tcPr>
            <w:tcW w:w="7088" w:type="dxa"/>
            <w:tcBorders>
              <w:top w:val="single" w:sz="4" w:space="0" w:color="auto"/>
              <w:bottom w:val="single" w:sz="4" w:space="0" w:color="auto"/>
            </w:tcBorders>
          </w:tcPr>
          <w:p w14:paraId="3E7CE073" w14:textId="77777777" w:rsidR="00F315C4" w:rsidRPr="00137204" w:rsidRDefault="00F315C4" w:rsidP="00F5185A">
            <w:pPr>
              <w:pStyle w:val="Caption"/>
              <w:framePr w:w="7088" w:wrap="notBeside" w:vAnchor="page" w:hAnchor="page" w:x="2433" w:y="9101"/>
              <w:jc w:val="both"/>
              <w:rPr>
                <w:rFonts w:ascii="Times New Roman" w:hAnsi="Times New Roman" w:cs="Times New Roman"/>
                <w:noProof/>
              </w:rPr>
            </w:pPr>
            <w:r w:rsidRPr="00137204">
              <w:rPr>
                <w:rFonts w:ascii="Times New Roman" w:hAnsi="Times New Roman" w:cs="Times New Roman"/>
                <w:b/>
                <w:bCs/>
              </w:rPr>
              <w:t xml:space="preserve">Figure </w:t>
            </w:r>
            <w:r w:rsidRPr="00137204">
              <w:rPr>
                <w:b/>
                <w:bCs/>
              </w:rPr>
              <w:fldChar w:fldCharType="begin"/>
            </w:r>
            <w:r w:rsidRPr="00137204">
              <w:rPr>
                <w:rFonts w:ascii="Times New Roman" w:hAnsi="Times New Roman" w:cs="Times New Roman"/>
                <w:b/>
                <w:bCs/>
              </w:rPr>
              <w:instrText xml:space="preserve"> SEQ Figure \* ARABIC </w:instrText>
            </w:r>
            <w:r w:rsidRPr="00137204">
              <w:rPr>
                <w:b/>
                <w:bCs/>
              </w:rPr>
              <w:fldChar w:fldCharType="separate"/>
            </w:r>
            <w:r>
              <w:rPr>
                <w:rFonts w:ascii="Times New Roman" w:hAnsi="Times New Roman" w:cs="Times New Roman"/>
                <w:b/>
                <w:bCs/>
                <w:noProof/>
              </w:rPr>
              <w:t>1</w:t>
            </w:r>
            <w:r w:rsidRPr="00137204">
              <w:rPr>
                <w:b/>
                <w:bCs/>
              </w:rPr>
              <w:fldChar w:fldCharType="end"/>
            </w:r>
            <w:r w:rsidRPr="00137204">
              <w:rPr>
                <w:rFonts w:ascii="Times New Roman" w:hAnsi="Times New Roman" w:cs="Times New Roman"/>
                <w:b/>
                <w:bCs/>
              </w:rPr>
              <w:t>.</w:t>
            </w:r>
            <w:r w:rsidRPr="00137204">
              <w:rPr>
                <w:rFonts w:ascii="Times New Roman" w:hAnsi="Times New Roman" w:cs="Times New Roman"/>
              </w:rPr>
              <w:t xml:space="preserve"> Compaction data for </w:t>
            </w:r>
            <w:r>
              <w:rPr>
                <w:rFonts w:ascii="Times New Roman" w:hAnsi="Times New Roman" w:cs="Times New Roman"/>
              </w:rPr>
              <w:t xml:space="preserve">varying with blending speed and </w:t>
            </w:r>
            <w:r w:rsidRPr="0069297A">
              <w:rPr>
                <w:rFonts w:ascii="Times New Roman" w:hAnsi="Times New Roman" w:cs="Times New Roman"/>
                <w:szCs w:val="18"/>
              </w:rPr>
              <w:t xml:space="preserve">time </w:t>
            </w:r>
            <w:r>
              <w:rPr>
                <w:rFonts w:ascii="Times New Roman" w:hAnsi="Times New Roman" w:cs="Times New Roman"/>
                <w:szCs w:val="18"/>
              </w:rPr>
              <w:t>(</w:t>
            </w:r>
            <w:r w:rsidRPr="0069297A">
              <w:rPr>
                <w:szCs w:val="18"/>
              </w:rPr>
              <w:fldChar w:fldCharType="begin"/>
            </w:r>
            <w:r w:rsidRPr="0069297A">
              <w:rPr>
                <w:rFonts w:ascii="Times New Roman" w:hAnsi="Times New Roman" w:cs="Times New Roman"/>
                <w:szCs w:val="18"/>
              </w:rPr>
              <w:instrText xml:space="preserve"> REF _Ref139985785 \h  \* MERGEFORMAT </w:instrText>
            </w:r>
            <w:r w:rsidRPr="0069297A">
              <w:rPr>
                <w:szCs w:val="18"/>
              </w:rPr>
            </w:r>
            <w:r w:rsidRPr="0069297A">
              <w:rPr>
                <w:szCs w:val="18"/>
              </w:rPr>
              <w:fldChar w:fldCharType="separate"/>
            </w:r>
            <w:r w:rsidRPr="00B10B92">
              <w:rPr>
                <w:rFonts w:ascii="Times New Roman" w:hAnsi="Times New Roman" w:cs="Times New Roman"/>
                <w:szCs w:val="18"/>
              </w:rPr>
              <w:t xml:space="preserve">Table </w:t>
            </w:r>
            <w:r w:rsidRPr="00B10B92">
              <w:rPr>
                <w:rFonts w:ascii="Times New Roman" w:hAnsi="Times New Roman" w:cs="Times New Roman"/>
                <w:noProof/>
                <w:szCs w:val="18"/>
              </w:rPr>
              <w:t>1</w:t>
            </w:r>
            <w:r w:rsidRPr="0069297A">
              <w:rPr>
                <w:szCs w:val="18"/>
              </w:rPr>
              <w:fldChar w:fldCharType="end"/>
            </w:r>
            <w:r>
              <w:rPr>
                <w:rFonts w:ascii="Times New Roman" w:hAnsi="Times New Roman" w:cs="Times New Roman"/>
                <w:szCs w:val="18"/>
              </w:rPr>
              <w:t>)</w:t>
            </w:r>
            <w:r w:rsidRPr="0069297A">
              <w:rPr>
                <w:rFonts w:ascii="Times New Roman" w:hAnsi="Times New Roman" w:cs="Times New Roman"/>
                <w:szCs w:val="18"/>
              </w:rPr>
              <w:t xml:space="preserve">. </w:t>
            </w:r>
            <w:r>
              <w:rPr>
                <w:rFonts w:ascii="Times New Roman" w:hAnsi="Times New Roman" w:cs="Times New Roman"/>
                <w:szCs w:val="18"/>
              </w:rPr>
              <w:t xml:space="preserve">Speeds of </w:t>
            </w:r>
            <w:r w:rsidRPr="0069297A">
              <w:rPr>
                <w:rFonts w:ascii="Times New Roman" w:hAnsi="Times New Roman" w:cs="Times New Roman"/>
                <w:szCs w:val="18"/>
              </w:rPr>
              <w:t xml:space="preserve">50, 100, 200 and 300 </w:t>
            </w:r>
            <w:r>
              <w:rPr>
                <w:rFonts w:ascii="Times New Roman" w:hAnsi="Times New Roman" w:cs="Times New Roman"/>
                <w:szCs w:val="18"/>
              </w:rPr>
              <w:t xml:space="preserve">RPM correspond to </w:t>
            </w:r>
            <w:r w:rsidRPr="0069297A">
              <w:rPr>
                <w:rFonts w:ascii="Times New Roman" w:hAnsi="Times New Roman" w:cs="Times New Roman"/>
                <w:szCs w:val="18"/>
              </w:rPr>
              <w:t xml:space="preserve">Froude number </w:t>
            </w:r>
            <w:r w:rsidRPr="0069297A">
              <w:rPr>
                <w:rFonts w:ascii="Times New Roman" w:hAnsi="Times New Roman" w:cs="Times New Roman"/>
                <w:i/>
                <w:iCs/>
                <w:szCs w:val="18"/>
              </w:rPr>
              <w:t>Fr</w:t>
            </w:r>
            <w:r w:rsidRPr="0069297A">
              <w:rPr>
                <w:rFonts w:ascii="Times New Roman" w:hAnsi="Times New Roman" w:cs="Times New Roman"/>
                <w:szCs w:val="18"/>
              </w:rPr>
              <w:t xml:space="preserve"> values</w:t>
            </w:r>
            <w:r>
              <w:rPr>
                <w:rFonts w:ascii="Times New Roman" w:hAnsi="Times New Roman" w:cs="Times New Roman"/>
                <w:szCs w:val="18"/>
              </w:rPr>
              <w:t xml:space="preserve"> of</w:t>
            </w:r>
            <w:r w:rsidRPr="0069297A">
              <w:rPr>
                <w:rFonts w:ascii="Times New Roman" w:hAnsi="Times New Roman" w:cs="Times New Roman"/>
                <w:szCs w:val="18"/>
              </w:rPr>
              <w:t xml:space="preserve"> 0.33, 1.33, 5.32, and 11.97</w:t>
            </w:r>
            <w:r>
              <w:rPr>
                <w:rFonts w:ascii="Times New Roman" w:hAnsi="Times New Roman" w:cs="Times New Roman"/>
                <w:szCs w:val="18"/>
              </w:rPr>
              <w:t>.</w:t>
            </w:r>
            <w:r w:rsidRPr="0069297A">
              <w:rPr>
                <w:rFonts w:ascii="Times New Roman" w:hAnsi="Times New Roman" w:cs="Times New Roman"/>
                <w:szCs w:val="18"/>
              </w:rPr>
              <w:t xml:space="preserve"> </w:t>
            </w:r>
            <w:r>
              <w:rPr>
                <w:rFonts w:ascii="Times New Roman" w:hAnsi="Times New Roman" w:cs="Times New Roman"/>
                <w:szCs w:val="18"/>
              </w:rPr>
              <w:t xml:space="preserve">Mini-blender data </w:t>
            </w:r>
            <w:r w:rsidRPr="0069297A">
              <w:rPr>
                <w:rFonts w:ascii="Times New Roman" w:hAnsi="Times New Roman" w:cs="Times New Roman"/>
                <w:szCs w:val="18"/>
              </w:rPr>
              <w:t xml:space="preserve">(runs 01–24, </w:t>
            </w:r>
            <w:r w:rsidRPr="0069297A">
              <w:rPr>
                <w:szCs w:val="18"/>
              </w:rPr>
              <w:fldChar w:fldCharType="begin"/>
            </w:r>
            <w:r w:rsidRPr="0069297A">
              <w:rPr>
                <w:rFonts w:ascii="Times New Roman" w:hAnsi="Times New Roman" w:cs="Times New Roman"/>
                <w:szCs w:val="18"/>
              </w:rPr>
              <w:instrText xml:space="preserve"> REF _Ref139985785 \h  \* MERGEFORMAT </w:instrText>
            </w:r>
            <w:r w:rsidRPr="0069297A">
              <w:rPr>
                <w:szCs w:val="18"/>
              </w:rPr>
            </w:r>
            <w:r w:rsidRPr="0069297A">
              <w:rPr>
                <w:szCs w:val="18"/>
              </w:rPr>
              <w:fldChar w:fldCharType="separate"/>
            </w:r>
            <w:r w:rsidRPr="00B10B92">
              <w:rPr>
                <w:rFonts w:ascii="Times New Roman" w:hAnsi="Times New Roman" w:cs="Times New Roman"/>
                <w:szCs w:val="18"/>
              </w:rPr>
              <w:t xml:space="preserve">Table </w:t>
            </w:r>
            <w:r w:rsidRPr="00B10B92">
              <w:rPr>
                <w:rFonts w:ascii="Times New Roman" w:hAnsi="Times New Roman" w:cs="Times New Roman"/>
                <w:noProof/>
                <w:szCs w:val="18"/>
              </w:rPr>
              <w:t>1</w:t>
            </w:r>
            <w:r w:rsidRPr="0069297A">
              <w:rPr>
                <w:szCs w:val="18"/>
              </w:rPr>
              <w:fldChar w:fldCharType="end"/>
            </w:r>
            <w:r w:rsidRPr="0069297A">
              <w:rPr>
                <w:rFonts w:ascii="Times New Roman" w:hAnsi="Times New Roman" w:cs="Times New Roman"/>
                <w:szCs w:val="18"/>
              </w:rPr>
              <w:t xml:space="preserve">) </w:t>
            </w:r>
            <w:r>
              <w:rPr>
                <w:rFonts w:ascii="Times New Roman" w:hAnsi="Times New Roman" w:cs="Times New Roman"/>
                <w:szCs w:val="18"/>
              </w:rPr>
              <w:t xml:space="preserve">plotted </w:t>
            </w:r>
            <w:r w:rsidRPr="0069297A">
              <w:rPr>
                <w:rFonts w:ascii="Times New Roman" w:hAnsi="Times New Roman" w:cs="Times New Roman"/>
                <w:szCs w:val="18"/>
              </w:rPr>
              <w:t>according to Eq. (</w:t>
            </w:r>
            <w:r w:rsidRPr="0069297A">
              <w:rPr>
                <w:szCs w:val="18"/>
              </w:rPr>
              <w:fldChar w:fldCharType="begin"/>
            </w:r>
            <w:r w:rsidRPr="0069297A">
              <w:rPr>
                <w:rFonts w:ascii="Times New Roman" w:hAnsi="Times New Roman" w:cs="Times New Roman"/>
                <w:szCs w:val="18"/>
              </w:rPr>
              <w:instrText xml:space="preserve"> REF _Ref149837087 \h  \* MERGEFORMAT </w:instrText>
            </w:r>
            <w:r w:rsidRPr="0069297A">
              <w:rPr>
                <w:szCs w:val="18"/>
              </w:rPr>
            </w:r>
            <w:r w:rsidRPr="0069297A">
              <w:rPr>
                <w:szCs w:val="18"/>
              </w:rPr>
              <w:fldChar w:fldCharType="separate"/>
            </w:r>
            <w:r w:rsidRPr="00B10B92">
              <w:rPr>
                <w:rFonts w:ascii="Times New Roman" w:hAnsi="Times New Roman" w:cs="Times New Roman"/>
                <w:noProof/>
                <w:szCs w:val="18"/>
              </w:rPr>
              <w:t>1</w:t>
            </w:r>
            <w:r w:rsidRPr="0069297A">
              <w:rPr>
                <w:szCs w:val="18"/>
              </w:rPr>
              <w:fldChar w:fldCharType="end"/>
            </w:r>
            <w:r w:rsidRPr="0069297A">
              <w:rPr>
                <w:rFonts w:ascii="Times New Roman" w:hAnsi="Times New Roman" w:cs="Times New Roman"/>
                <w:szCs w:val="18"/>
              </w:rPr>
              <w:t>)</w:t>
            </w:r>
            <w:r>
              <w:rPr>
                <w:rFonts w:ascii="Times New Roman" w:hAnsi="Times New Roman" w:cs="Times New Roman"/>
                <w:szCs w:val="18"/>
              </w:rPr>
              <w:t>;</w:t>
            </w:r>
            <w:r w:rsidRPr="0069297A">
              <w:rPr>
                <w:rFonts w:ascii="Times New Roman" w:hAnsi="Times New Roman" w:cs="Times New Roman"/>
                <w:szCs w:val="18"/>
              </w:rPr>
              <w:t xml:space="preserve"> regressed parameters in </w:t>
            </w:r>
            <w:r w:rsidRPr="0069297A">
              <w:rPr>
                <w:szCs w:val="18"/>
              </w:rPr>
              <w:fldChar w:fldCharType="begin"/>
            </w:r>
            <w:r w:rsidRPr="0069297A">
              <w:rPr>
                <w:rFonts w:ascii="Times New Roman" w:hAnsi="Times New Roman" w:cs="Times New Roman"/>
                <w:szCs w:val="18"/>
              </w:rPr>
              <w:instrText xml:space="preserve"> REF _Ref140162215 \h  \* MERGEFORMAT </w:instrText>
            </w:r>
            <w:r w:rsidRPr="0069297A">
              <w:rPr>
                <w:szCs w:val="18"/>
              </w:rPr>
            </w:r>
            <w:r w:rsidRPr="0069297A">
              <w:rPr>
                <w:szCs w:val="18"/>
              </w:rPr>
              <w:fldChar w:fldCharType="separate"/>
            </w:r>
            <w:r w:rsidRPr="00B10B92">
              <w:rPr>
                <w:rFonts w:ascii="Times New Roman" w:hAnsi="Times New Roman" w:cs="Times New Roman"/>
                <w:szCs w:val="18"/>
              </w:rPr>
              <w:t xml:space="preserve">Table </w:t>
            </w:r>
            <w:r w:rsidRPr="00B10B92">
              <w:rPr>
                <w:rFonts w:ascii="Times New Roman" w:hAnsi="Times New Roman" w:cs="Times New Roman"/>
                <w:noProof/>
                <w:szCs w:val="18"/>
              </w:rPr>
              <w:t>2</w:t>
            </w:r>
            <w:r w:rsidRPr="0069297A">
              <w:rPr>
                <w:szCs w:val="18"/>
              </w:rPr>
              <w:fldChar w:fldCharType="end"/>
            </w:r>
            <w:r w:rsidRPr="0069297A">
              <w:rPr>
                <w:rFonts w:ascii="Times New Roman" w:hAnsi="Times New Roman" w:cs="Times New Roman"/>
                <w:szCs w:val="18"/>
              </w:rPr>
              <w:t>).</w:t>
            </w:r>
          </w:p>
        </w:tc>
      </w:tr>
    </w:tbl>
    <w:tbl>
      <w:tblPr>
        <w:tblStyle w:val="TableGrid"/>
        <w:tblW w:w="5000" w:type="pct"/>
        <w:jc w:val="center"/>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5"/>
        <w:gridCol w:w="1418"/>
        <w:gridCol w:w="1417"/>
        <w:gridCol w:w="1418"/>
        <w:gridCol w:w="1418"/>
      </w:tblGrid>
      <w:tr w:rsidR="00F5185A" w:rsidRPr="002E4628" w14:paraId="4648D7FE" w14:textId="77777777" w:rsidTr="0012434C">
        <w:trPr>
          <w:trHeight w:val="454"/>
          <w:jc w:val="center"/>
        </w:trPr>
        <w:tc>
          <w:tcPr>
            <w:tcW w:w="5907" w:type="dxa"/>
            <w:gridSpan w:val="5"/>
            <w:tcBorders>
              <w:top w:val="single" w:sz="4" w:space="0" w:color="auto"/>
              <w:bottom w:val="nil"/>
            </w:tcBorders>
          </w:tcPr>
          <w:p w14:paraId="63CCE3B7" w14:textId="77777777" w:rsidR="00F5185A" w:rsidRPr="0012434C" w:rsidRDefault="00F5185A" w:rsidP="00F5185A">
            <w:pPr>
              <w:framePr w:w="7088" w:h="255" w:wrap="notBeside" w:vAnchor="page" w:hAnchor="page" w:x="2416" w:y="2371"/>
              <w:jc w:val="both"/>
              <w:rPr>
                <w:b/>
                <w:bCs/>
                <w:i/>
                <w:iCs/>
                <w:sz w:val="16"/>
                <w:szCs w:val="16"/>
              </w:rPr>
            </w:pPr>
            <w:bookmarkStart w:id="8" w:name="_Ref140162215"/>
            <w:r w:rsidRPr="0012434C">
              <w:rPr>
                <w:rFonts w:ascii="Times New Roman" w:hAnsi="Times New Roman" w:cs="Times New Roman"/>
                <w:b/>
                <w:bCs/>
                <w:sz w:val="16"/>
                <w:szCs w:val="16"/>
              </w:rPr>
              <w:t xml:space="preserve">Table </w:t>
            </w:r>
            <w:r w:rsidRPr="0012434C">
              <w:rPr>
                <w:b/>
                <w:bCs/>
                <w:sz w:val="16"/>
                <w:szCs w:val="16"/>
              </w:rPr>
              <w:fldChar w:fldCharType="begin"/>
            </w:r>
            <w:r w:rsidRPr="0012434C">
              <w:rPr>
                <w:rFonts w:ascii="Times New Roman" w:hAnsi="Times New Roman" w:cs="Times New Roman"/>
                <w:b/>
                <w:bCs/>
                <w:sz w:val="16"/>
                <w:szCs w:val="16"/>
              </w:rPr>
              <w:instrText xml:space="preserve"> SEQ Table \* ARABIC </w:instrText>
            </w:r>
            <w:r w:rsidRPr="0012434C">
              <w:rPr>
                <w:b/>
                <w:bCs/>
                <w:sz w:val="16"/>
                <w:szCs w:val="16"/>
              </w:rPr>
              <w:fldChar w:fldCharType="separate"/>
            </w:r>
            <w:r w:rsidRPr="0012434C">
              <w:rPr>
                <w:rFonts w:ascii="Times New Roman" w:hAnsi="Times New Roman" w:cs="Times New Roman"/>
                <w:b/>
                <w:bCs/>
                <w:noProof/>
                <w:sz w:val="16"/>
                <w:szCs w:val="16"/>
              </w:rPr>
              <w:t>2</w:t>
            </w:r>
            <w:r w:rsidRPr="0012434C">
              <w:rPr>
                <w:b/>
                <w:bCs/>
                <w:sz w:val="16"/>
                <w:szCs w:val="16"/>
              </w:rPr>
              <w:fldChar w:fldCharType="end"/>
            </w:r>
            <w:bookmarkEnd w:id="8"/>
            <w:r w:rsidRPr="0012434C">
              <w:rPr>
                <w:rFonts w:ascii="Times New Roman" w:hAnsi="Times New Roman" w:cs="Times New Roman"/>
                <w:b/>
                <w:bCs/>
                <w:sz w:val="16"/>
                <w:szCs w:val="16"/>
              </w:rPr>
              <w:t>.</w:t>
            </w:r>
            <w:r w:rsidRPr="0012434C">
              <w:rPr>
                <w:rFonts w:ascii="Times New Roman" w:hAnsi="Times New Roman" w:cs="Times New Roman"/>
                <w:sz w:val="16"/>
                <w:szCs w:val="16"/>
              </w:rPr>
              <w:t xml:space="preserve"> Regressed parameters of Eq. (</w:t>
            </w:r>
            <w:r w:rsidRPr="0012434C">
              <w:rPr>
                <w:sz w:val="16"/>
                <w:szCs w:val="16"/>
              </w:rPr>
              <w:fldChar w:fldCharType="begin"/>
            </w:r>
            <w:r w:rsidRPr="0012434C">
              <w:rPr>
                <w:rFonts w:ascii="Times New Roman" w:hAnsi="Times New Roman" w:cs="Times New Roman"/>
                <w:sz w:val="16"/>
                <w:szCs w:val="16"/>
              </w:rPr>
              <w:instrText xml:space="preserve"> REF _Ref149837087 \h </w:instrText>
            </w:r>
            <w:r>
              <w:rPr>
                <w:sz w:val="16"/>
                <w:szCs w:val="16"/>
              </w:rPr>
              <w:instrText xml:space="preserve"> \* MERGEFORMAT </w:instrText>
            </w:r>
            <w:r w:rsidRPr="0012434C">
              <w:rPr>
                <w:sz w:val="16"/>
                <w:szCs w:val="16"/>
              </w:rPr>
            </w:r>
            <w:r w:rsidRPr="0012434C">
              <w:rPr>
                <w:sz w:val="16"/>
                <w:szCs w:val="16"/>
              </w:rPr>
              <w:fldChar w:fldCharType="separate"/>
            </w:r>
            <w:r w:rsidRPr="0012434C">
              <w:rPr>
                <w:rFonts w:ascii="Times New Roman" w:hAnsi="Times New Roman" w:cs="Times New Roman"/>
                <w:noProof/>
                <w:sz w:val="16"/>
                <w:szCs w:val="16"/>
              </w:rPr>
              <w:t>1</w:t>
            </w:r>
            <w:r w:rsidRPr="0012434C">
              <w:rPr>
                <w:sz w:val="16"/>
                <w:szCs w:val="16"/>
              </w:rPr>
              <w:fldChar w:fldCharType="end"/>
            </w:r>
            <w:r w:rsidRPr="0012434C">
              <w:rPr>
                <w:rFonts w:ascii="Times New Roman" w:hAnsi="Times New Roman" w:cs="Times New Roman"/>
                <w:sz w:val="16"/>
                <w:szCs w:val="16"/>
              </w:rPr>
              <w:t>), regressed under assumption that datasets share a common maximum and minimum (</w:t>
            </w:r>
            <w:proofErr w:type="spellStart"/>
            <w:r w:rsidRPr="0012434C">
              <w:rPr>
                <w:rFonts w:ascii="Times New Roman" w:eastAsia="Times New Roman" w:hAnsi="Times New Roman" w:cs="Times New Roman"/>
                <w:i/>
                <w:iCs/>
                <w:sz w:val="16"/>
                <w:szCs w:val="16"/>
              </w:rPr>
              <w:t>σ</w:t>
            </w:r>
            <w:r w:rsidRPr="0012434C">
              <w:rPr>
                <w:rFonts w:ascii="Times New Roman" w:eastAsia="Times New Roman" w:hAnsi="Times New Roman" w:cs="Times New Roman"/>
                <w:sz w:val="16"/>
                <w:szCs w:val="16"/>
                <w:vertAlign w:val="subscript"/>
              </w:rPr>
              <w:t>SF</w:t>
            </w:r>
            <w:proofErr w:type="spellEnd"/>
            <w:r w:rsidRPr="0012434C">
              <w:rPr>
                <w:rFonts w:ascii="Times New Roman" w:eastAsia="Times New Roman" w:hAnsi="Times New Roman" w:cs="Times New Roman"/>
                <w:sz w:val="16"/>
                <w:szCs w:val="16"/>
                <w:vertAlign w:val="subscript"/>
              </w:rPr>
              <w:t>=0.85</w:t>
            </w:r>
            <w:proofErr w:type="gramStart"/>
            <w:r w:rsidRPr="0012434C">
              <w:rPr>
                <w:rFonts w:ascii="Times New Roman" w:eastAsia="Times New Roman" w:hAnsi="Times New Roman" w:cs="Times New Roman"/>
                <w:sz w:val="16"/>
                <w:szCs w:val="16"/>
                <w:vertAlign w:val="subscript"/>
              </w:rPr>
              <w:t>,max</w:t>
            </w:r>
            <w:proofErr w:type="gramEnd"/>
            <w:r w:rsidRPr="0012434C">
              <w:rPr>
                <w:rFonts w:ascii="Times New Roman" w:eastAsia="Times New Roman" w:hAnsi="Times New Roman" w:cs="Times New Roman"/>
                <w:sz w:val="16"/>
                <w:szCs w:val="16"/>
              </w:rPr>
              <w:t xml:space="preserve"> and</w:t>
            </w:r>
            <w:r w:rsidRPr="0012434C">
              <w:rPr>
                <w:rFonts w:ascii="Times New Roman" w:eastAsia="Times New Roman" w:hAnsi="Times New Roman" w:cs="Times New Roman"/>
                <w:i/>
                <w:iCs/>
                <w:sz w:val="16"/>
                <w:szCs w:val="16"/>
              </w:rPr>
              <w:t xml:space="preserve"> </w:t>
            </w:r>
            <w:proofErr w:type="spellStart"/>
            <w:r w:rsidRPr="0012434C">
              <w:rPr>
                <w:rFonts w:ascii="Times New Roman" w:eastAsia="Times New Roman" w:hAnsi="Times New Roman" w:cs="Times New Roman"/>
                <w:i/>
                <w:iCs/>
                <w:sz w:val="16"/>
                <w:szCs w:val="16"/>
              </w:rPr>
              <w:t>σ</w:t>
            </w:r>
            <w:r w:rsidRPr="0012434C">
              <w:rPr>
                <w:rFonts w:ascii="Times New Roman" w:eastAsia="Times New Roman" w:hAnsi="Times New Roman" w:cs="Times New Roman"/>
                <w:sz w:val="16"/>
                <w:szCs w:val="16"/>
                <w:vertAlign w:val="subscript"/>
              </w:rPr>
              <w:t>SF</w:t>
            </w:r>
            <w:proofErr w:type="spellEnd"/>
            <w:r w:rsidRPr="0012434C">
              <w:rPr>
                <w:rFonts w:ascii="Times New Roman" w:eastAsia="Times New Roman" w:hAnsi="Times New Roman" w:cs="Times New Roman"/>
                <w:sz w:val="16"/>
                <w:szCs w:val="16"/>
                <w:vertAlign w:val="subscript"/>
              </w:rPr>
              <w:t>=0.85,min</w:t>
            </w:r>
            <w:r w:rsidRPr="0012434C">
              <w:rPr>
                <w:rFonts w:ascii="Times New Roman" w:eastAsia="Times New Roman" w:hAnsi="Times New Roman" w:cs="Times New Roman"/>
                <w:sz w:val="16"/>
                <w:szCs w:val="16"/>
              </w:rPr>
              <w:t>, respectively).</w:t>
            </w:r>
          </w:p>
        </w:tc>
      </w:tr>
      <w:tr w:rsidR="00F5185A" w:rsidRPr="002E4628" w14:paraId="70C82D54" w14:textId="77777777" w:rsidTr="0012434C">
        <w:trPr>
          <w:trHeight w:val="454"/>
          <w:jc w:val="center"/>
        </w:trPr>
        <w:tc>
          <w:tcPr>
            <w:tcW w:w="1180" w:type="dxa"/>
            <w:tcBorders>
              <w:top w:val="nil"/>
              <w:bottom w:val="single" w:sz="4" w:space="0" w:color="auto"/>
            </w:tcBorders>
          </w:tcPr>
          <w:p w14:paraId="7393166B"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sz w:val="16"/>
                <w:szCs w:val="16"/>
              </w:rPr>
            </w:pPr>
            <w:r w:rsidRPr="0012434C">
              <w:rPr>
                <w:rFonts w:ascii="Times New Roman" w:eastAsia="Times New Roman" w:hAnsi="Times New Roman" w:cs="Times New Roman"/>
                <w:b/>
                <w:bCs/>
                <w:i/>
                <w:iCs/>
                <w:sz w:val="16"/>
                <w:szCs w:val="16"/>
              </w:rPr>
              <w:t>ν</w:t>
            </w:r>
            <w:r w:rsidRPr="0012434C">
              <w:rPr>
                <w:rFonts w:ascii="Times New Roman" w:eastAsia="Times New Roman" w:hAnsi="Times New Roman" w:cs="Times New Roman"/>
                <w:b/>
                <w:bCs/>
                <w:i/>
                <w:iCs/>
                <w:sz w:val="16"/>
                <w:szCs w:val="16"/>
              </w:rPr>
              <w:br/>
            </w:r>
            <w:r w:rsidRPr="0012434C">
              <w:rPr>
                <w:rFonts w:ascii="Times New Roman" w:eastAsia="Times New Roman" w:hAnsi="Times New Roman" w:cs="Times New Roman"/>
                <w:b/>
                <w:bCs/>
                <w:sz w:val="16"/>
                <w:szCs w:val="16"/>
              </w:rPr>
              <w:t>(RPM)</w:t>
            </w:r>
          </w:p>
        </w:tc>
        <w:tc>
          <w:tcPr>
            <w:tcW w:w="1182" w:type="dxa"/>
            <w:tcBorders>
              <w:top w:val="nil"/>
              <w:bottom w:val="single" w:sz="4" w:space="0" w:color="auto"/>
            </w:tcBorders>
          </w:tcPr>
          <w:p w14:paraId="6CCFFD55" w14:textId="77777777" w:rsidR="00F5185A" w:rsidRPr="0012434C" w:rsidRDefault="00F5185A" w:rsidP="00F5185A">
            <w:pPr>
              <w:framePr w:w="7088" w:h="255" w:wrap="notBeside" w:vAnchor="page" w:hAnchor="page" w:x="2416" w:y="2371"/>
              <w:jc w:val="center"/>
              <w:rPr>
                <w:rFonts w:ascii="Times New Roman" w:hAnsi="Times New Roman" w:cs="Times New Roman"/>
                <w:sz w:val="16"/>
                <w:szCs w:val="16"/>
              </w:rPr>
            </w:pPr>
            <w:r w:rsidRPr="0012434C">
              <w:rPr>
                <w:rFonts w:ascii="Times New Roman" w:eastAsia="Times New Roman" w:hAnsi="Times New Roman" w:cs="Times New Roman"/>
                <w:b/>
                <w:bCs/>
                <w:i/>
                <w:iCs/>
                <w:sz w:val="16"/>
                <w:szCs w:val="16"/>
              </w:rPr>
              <w:t>Fr</w:t>
            </w:r>
            <w:r w:rsidRPr="0012434C">
              <w:rPr>
                <w:rFonts w:ascii="Times New Roman" w:eastAsia="Times New Roman" w:hAnsi="Times New Roman" w:cs="Times New Roman"/>
                <w:b/>
                <w:bCs/>
                <w:sz w:val="16"/>
                <w:szCs w:val="16"/>
              </w:rPr>
              <w:br/>
              <w:t>(-)</w:t>
            </w:r>
          </w:p>
        </w:tc>
        <w:tc>
          <w:tcPr>
            <w:tcW w:w="1181" w:type="dxa"/>
            <w:tcBorders>
              <w:top w:val="nil"/>
              <w:bottom w:val="single" w:sz="4" w:space="0" w:color="auto"/>
            </w:tcBorders>
          </w:tcPr>
          <w:p w14:paraId="02368677" w14:textId="77777777" w:rsidR="00F5185A" w:rsidRPr="0012434C" w:rsidRDefault="00F5185A" w:rsidP="00F5185A">
            <w:pPr>
              <w:framePr w:w="7088" w:h="255" w:wrap="notBeside" w:vAnchor="page" w:hAnchor="page" w:x="2416" w:y="2371"/>
              <w:jc w:val="center"/>
              <w:rPr>
                <w:rFonts w:ascii="Times New Roman" w:hAnsi="Times New Roman" w:cs="Times New Roman"/>
                <w:sz w:val="16"/>
                <w:szCs w:val="16"/>
              </w:rPr>
            </w:pPr>
            <w:proofErr w:type="spellStart"/>
            <w:r w:rsidRPr="0012434C">
              <w:rPr>
                <w:rFonts w:ascii="Times New Roman" w:eastAsia="Times New Roman" w:hAnsi="Times New Roman" w:cs="Times New Roman"/>
                <w:b/>
                <w:bCs/>
                <w:i/>
                <w:iCs/>
                <w:sz w:val="16"/>
                <w:szCs w:val="16"/>
              </w:rPr>
              <w:t>σ</w:t>
            </w:r>
            <w:r w:rsidRPr="0012434C">
              <w:rPr>
                <w:rFonts w:ascii="Times New Roman" w:eastAsia="Times New Roman" w:hAnsi="Times New Roman" w:cs="Times New Roman"/>
                <w:b/>
                <w:bCs/>
                <w:sz w:val="16"/>
                <w:szCs w:val="16"/>
                <w:vertAlign w:val="subscript"/>
              </w:rPr>
              <w:t>SF</w:t>
            </w:r>
            <w:proofErr w:type="spellEnd"/>
            <w:r w:rsidRPr="0012434C">
              <w:rPr>
                <w:rFonts w:ascii="Times New Roman" w:eastAsia="Times New Roman" w:hAnsi="Times New Roman" w:cs="Times New Roman"/>
                <w:b/>
                <w:bCs/>
                <w:sz w:val="16"/>
                <w:szCs w:val="16"/>
                <w:vertAlign w:val="subscript"/>
              </w:rPr>
              <w:t>=0.85,max</w:t>
            </w:r>
            <w:r w:rsidRPr="0012434C">
              <w:rPr>
                <w:rFonts w:ascii="Times New Roman" w:eastAsia="Times New Roman" w:hAnsi="Times New Roman" w:cs="Times New Roman"/>
                <w:b/>
                <w:bCs/>
                <w:sz w:val="16"/>
                <w:szCs w:val="16"/>
                <w:vertAlign w:val="subscript"/>
              </w:rPr>
              <w:br/>
            </w:r>
            <w:r w:rsidRPr="0012434C">
              <w:rPr>
                <w:rFonts w:ascii="Times New Roman" w:eastAsia="Times New Roman" w:hAnsi="Times New Roman" w:cs="Times New Roman"/>
                <w:b/>
                <w:bCs/>
                <w:sz w:val="16"/>
                <w:szCs w:val="16"/>
              </w:rPr>
              <w:t>(MPa)</w:t>
            </w:r>
          </w:p>
        </w:tc>
        <w:tc>
          <w:tcPr>
            <w:tcW w:w="1182" w:type="dxa"/>
            <w:tcBorders>
              <w:top w:val="nil"/>
              <w:bottom w:val="single" w:sz="4" w:space="0" w:color="auto"/>
            </w:tcBorders>
          </w:tcPr>
          <w:p w14:paraId="00D13BF5" w14:textId="77777777" w:rsidR="00F5185A" w:rsidRPr="0012434C" w:rsidRDefault="00F5185A" w:rsidP="00F5185A">
            <w:pPr>
              <w:framePr w:w="7088" w:h="255" w:wrap="notBeside" w:vAnchor="page" w:hAnchor="page" w:x="2416" w:y="2371"/>
              <w:jc w:val="center"/>
              <w:rPr>
                <w:rFonts w:ascii="Times New Roman" w:hAnsi="Times New Roman" w:cs="Times New Roman"/>
                <w:sz w:val="16"/>
                <w:szCs w:val="16"/>
              </w:rPr>
            </w:pPr>
            <w:proofErr w:type="spellStart"/>
            <w:r w:rsidRPr="0012434C">
              <w:rPr>
                <w:rFonts w:ascii="Times New Roman" w:eastAsia="Times New Roman" w:hAnsi="Times New Roman" w:cs="Times New Roman"/>
                <w:b/>
                <w:bCs/>
                <w:i/>
                <w:iCs/>
                <w:sz w:val="16"/>
                <w:szCs w:val="16"/>
              </w:rPr>
              <w:t>σ</w:t>
            </w:r>
            <w:r w:rsidRPr="0012434C">
              <w:rPr>
                <w:rFonts w:ascii="Times New Roman" w:eastAsia="Times New Roman" w:hAnsi="Times New Roman" w:cs="Times New Roman"/>
                <w:b/>
                <w:bCs/>
                <w:sz w:val="16"/>
                <w:szCs w:val="16"/>
                <w:vertAlign w:val="subscript"/>
              </w:rPr>
              <w:t>SF</w:t>
            </w:r>
            <w:proofErr w:type="spellEnd"/>
            <w:r w:rsidRPr="0012434C">
              <w:rPr>
                <w:rFonts w:ascii="Times New Roman" w:eastAsia="Times New Roman" w:hAnsi="Times New Roman" w:cs="Times New Roman"/>
                <w:b/>
                <w:bCs/>
                <w:sz w:val="16"/>
                <w:szCs w:val="16"/>
                <w:vertAlign w:val="subscript"/>
              </w:rPr>
              <w:t>=0.85,min</w:t>
            </w:r>
            <w:r w:rsidRPr="0012434C">
              <w:rPr>
                <w:rFonts w:ascii="Times New Roman" w:eastAsia="Times New Roman" w:hAnsi="Times New Roman" w:cs="Times New Roman"/>
                <w:b/>
                <w:bCs/>
                <w:sz w:val="16"/>
                <w:szCs w:val="16"/>
                <w:vertAlign w:val="subscript"/>
              </w:rPr>
              <w:br/>
            </w:r>
            <w:r w:rsidRPr="0012434C">
              <w:rPr>
                <w:rFonts w:ascii="Times New Roman" w:eastAsia="Times New Roman" w:hAnsi="Times New Roman" w:cs="Times New Roman"/>
                <w:b/>
                <w:bCs/>
                <w:sz w:val="16"/>
                <w:szCs w:val="16"/>
              </w:rPr>
              <w:t>(MPa)</w:t>
            </w:r>
          </w:p>
        </w:tc>
        <w:tc>
          <w:tcPr>
            <w:tcW w:w="1182" w:type="dxa"/>
            <w:tcBorders>
              <w:top w:val="nil"/>
              <w:bottom w:val="single" w:sz="4" w:space="0" w:color="auto"/>
            </w:tcBorders>
          </w:tcPr>
          <w:p w14:paraId="75F5C65F" w14:textId="77777777" w:rsidR="00F5185A" w:rsidRPr="0012434C" w:rsidRDefault="00F5185A" w:rsidP="00F5185A">
            <w:pPr>
              <w:framePr w:w="7088" w:h="255" w:wrap="notBeside" w:vAnchor="page" w:hAnchor="page" w:x="2416" w:y="2371"/>
              <w:jc w:val="center"/>
              <w:rPr>
                <w:rFonts w:ascii="Times New Roman" w:hAnsi="Times New Roman" w:cs="Times New Roman"/>
                <w:sz w:val="16"/>
                <w:szCs w:val="16"/>
              </w:rPr>
            </w:pPr>
            <w:r w:rsidRPr="0012434C">
              <w:rPr>
                <w:rFonts w:ascii="Times New Roman" w:eastAsia="Times New Roman" w:hAnsi="Times New Roman" w:cs="Times New Roman"/>
                <w:b/>
                <w:bCs/>
                <w:i/>
                <w:iCs/>
                <w:sz w:val="16"/>
                <w:szCs w:val="16"/>
              </w:rPr>
              <w:t>γ</w:t>
            </w:r>
            <w:r w:rsidRPr="0012434C">
              <w:rPr>
                <w:rFonts w:ascii="Times New Roman" w:eastAsia="Times New Roman" w:hAnsi="Times New Roman" w:cs="Times New Roman"/>
                <w:b/>
                <w:bCs/>
                <w:sz w:val="16"/>
                <w:szCs w:val="16"/>
              </w:rPr>
              <w:br/>
              <w:t>(-)</w:t>
            </w:r>
          </w:p>
        </w:tc>
      </w:tr>
      <w:tr w:rsidR="00F5185A" w:rsidRPr="002E4628" w14:paraId="0FA1CE90" w14:textId="77777777" w:rsidTr="0012434C">
        <w:trPr>
          <w:trHeight w:val="227"/>
          <w:jc w:val="center"/>
        </w:trPr>
        <w:tc>
          <w:tcPr>
            <w:tcW w:w="1180" w:type="dxa"/>
            <w:tcBorders>
              <w:top w:val="single" w:sz="4" w:space="0" w:color="auto"/>
            </w:tcBorders>
            <w:vAlign w:val="center"/>
          </w:tcPr>
          <w:p w14:paraId="4A7FE23B"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b/>
                <w:bCs/>
                <w:i/>
                <w:iCs/>
                <w:sz w:val="16"/>
                <w:szCs w:val="16"/>
              </w:rPr>
            </w:pPr>
            <w:r w:rsidRPr="0012434C">
              <w:rPr>
                <w:rFonts w:ascii="Times New Roman" w:eastAsia="Times New Roman" w:hAnsi="Times New Roman" w:cs="Times New Roman"/>
                <w:sz w:val="16"/>
                <w:szCs w:val="16"/>
              </w:rPr>
              <w:t>50</w:t>
            </w:r>
          </w:p>
        </w:tc>
        <w:tc>
          <w:tcPr>
            <w:tcW w:w="1182" w:type="dxa"/>
            <w:tcBorders>
              <w:top w:val="single" w:sz="4" w:space="0" w:color="auto"/>
            </w:tcBorders>
            <w:vAlign w:val="center"/>
          </w:tcPr>
          <w:p w14:paraId="2716CEDF"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b/>
                <w:bCs/>
                <w:i/>
                <w:iCs/>
                <w:sz w:val="16"/>
                <w:szCs w:val="16"/>
              </w:rPr>
            </w:pPr>
            <w:r w:rsidRPr="0012434C">
              <w:rPr>
                <w:rFonts w:ascii="Times New Roman" w:eastAsia="Times New Roman" w:hAnsi="Times New Roman" w:cs="Times New Roman"/>
                <w:sz w:val="16"/>
                <w:szCs w:val="16"/>
              </w:rPr>
              <w:t>0.33</w:t>
            </w:r>
          </w:p>
        </w:tc>
        <w:tc>
          <w:tcPr>
            <w:tcW w:w="1181" w:type="dxa"/>
            <w:tcBorders>
              <w:top w:val="single" w:sz="4" w:space="0" w:color="auto"/>
            </w:tcBorders>
            <w:vAlign w:val="center"/>
          </w:tcPr>
          <w:p w14:paraId="310B07E5"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b/>
                <w:bCs/>
                <w:i/>
                <w:iCs/>
                <w:sz w:val="16"/>
                <w:szCs w:val="16"/>
              </w:rPr>
            </w:pPr>
            <w:r w:rsidRPr="0012434C">
              <w:rPr>
                <w:rFonts w:ascii="Times New Roman" w:eastAsia="Times New Roman" w:hAnsi="Times New Roman" w:cs="Times New Roman"/>
                <w:sz w:val="16"/>
                <w:szCs w:val="16"/>
              </w:rPr>
              <w:t>5.299</w:t>
            </w:r>
          </w:p>
        </w:tc>
        <w:tc>
          <w:tcPr>
            <w:tcW w:w="1182" w:type="dxa"/>
            <w:tcBorders>
              <w:top w:val="single" w:sz="4" w:space="0" w:color="auto"/>
            </w:tcBorders>
            <w:vAlign w:val="center"/>
          </w:tcPr>
          <w:p w14:paraId="0F3AAF97"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b/>
                <w:bCs/>
                <w:i/>
                <w:iCs/>
                <w:sz w:val="16"/>
                <w:szCs w:val="16"/>
              </w:rPr>
            </w:pPr>
            <w:r w:rsidRPr="0012434C">
              <w:rPr>
                <w:rFonts w:ascii="Times New Roman" w:eastAsia="Times New Roman" w:hAnsi="Times New Roman" w:cs="Times New Roman"/>
                <w:sz w:val="16"/>
                <w:szCs w:val="16"/>
              </w:rPr>
              <w:t>1.266</w:t>
            </w:r>
          </w:p>
        </w:tc>
        <w:tc>
          <w:tcPr>
            <w:tcW w:w="1182" w:type="dxa"/>
            <w:tcBorders>
              <w:top w:val="single" w:sz="4" w:space="0" w:color="auto"/>
            </w:tcBorders>
            <w:vAlign w:val="center"/>
          </w:tcPr>
          <w:p w14:paraId="596EEDB3"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b/>
                <w:bCs/>
                <w:i/>
                <w:iCs/>
                <w:sz w:val="16"/>
                <w:szCs w:val="16"/>
              </w:rPr>
            </w:pPr>
            <w:r w:rsidRPr="0012434C">
              <w:rPr>
                <w:rFonts w:ascii="Times New Roman" w:eastAsia="Times New Roman" w:hAnsi="Times New Roman" w:cs="Times New Roman"/>
                <w:sz w:val="16"/>
                <w:szCs w:val="16"/>
              </w:rPr>
              <w:t>0.0023</w:t>
            </w:r>
          </w:p>
        </w:tc>
      </w:tr>
      <w:tr w:rsidR="00F5185A" w:rsidRPr="002E4628" w14:paraId="1D20CCFF" w14:textId="77777777" w:rsidTr="0012434C">
        <w:trPr>
          <w:trHeight w:val="227"/>
          <w:jc w:val="center"/>
        </w:trPr>
        <w:tc>
          <w:tcPr>
            <w:tcW w:w="1180" w:type="dxa"/>
            <w:vAlign w:val="center"/>
          </w:tcPr>
          <w:p w14:paraId="4D7E1851"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sz w:val="16"/>
                <w:szCs w:val="16"/>
              </w:rPr>
            </w:pPr>
            <w:r w:rsidRPr="0012434C">
              <w:rPr>
                <w:rFonts w:ascii="Times New Roman" w:eastAsia="Times New Roman" w:hAnsi="Times New Roman" w:cs="Times New Roman"/>
                <w:sz w:val="16"/>
                <w:szCs w:val="16"/>
              </w:rPr>
              <w:t>100</w:t>
            </w:r>
          </w:p>
        </w:tc>
        <w:tc>
          <w:tcPr>
            <w:tcW w:w="1182" w:type="dxa"/>
            <w:vAlign w:val="center"/>
          </w:tcPr>
          <w:p w14:paraId="7977C97E"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sz w:val="16"/>
                <w:szCs w:val="16"/>
              </w:rPr>
            </w:pPr>
            <w:r w:rsidRPr="0012434C">
              <w:rPr>
                <w:rFonts w:ascii="Times New Roman" w:eastAsia="Times New Roman" w:hAnsi="Times New Roman" w:cs="Times New Roman"/>
                <w:sz w:val="16"/>
                <w:szCs w:val="16"/>
              </w:rPr>
              <w:t>1.33</w:t>
            </w:r>
          </w:p>
        </w:tc>
        <w:tc>
          <w:tcPr>
            <w:tcW w:w="1181" w:type="dxa"/>
            <w:vAlign w:val="center"/>
          </w:tcPr>
          <w:p w14:paraId="0379E076"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sz w:val="16"/>
                <w:szCs w:val="16"/>
              </w:rPr>
            </w:pPr>
            <w:r w:rsidRPr="0012434C">
              <w:rPr>
                <w:rFonts w:ascii="Times New Roman" w:eastAsia="Times New Roman" w:hAnsi="Times New Roman" w:cs="Times New Roman"/>
                <w:sz w:val="16"/>
                <w:szCs w:val="16"/>
              </w:rPr>
              <w:t>5.299</w:t>
            </w:r>
          </w:p>
        </w:tc>
        <w:tc>
          <w:tcPr>
            <w:tcW w:w="1182" w:type="dxa"/>
            <w:vAlign w:val="center"/>
          </w:tcPr>
          <w:p w14:paraId="75A4C1BE"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sz w:val="16"/>
                <w:szCs w:val="16"/>
              </w:rPr>
            </w:pPr>
            <w:r w:rsidRPr="0012434C">
              <w:rPr>
                <w:rFonts w:ascii="Times New Roman" w:eastAsia="Times New Roman" w:hAnsi="Times New Roman" w:cs="Times New Roman"/>
                <w:sz w:val="16"/>
                <w:szCs w:val="16"/>
              </w:rPr>
              <w:t>1.266</w:t>
            </w:r>
          </w:p>
        </w:tc>
        <w:tc>
          <w:tcPr>
            <w:tcW w:w="1182" w:type="dxa"/>
            <w:vAlign w:val="center"/>
          </w:tcPr>
          <w:p w14:paraId="4CA97CAD"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sz w:val="16"/>
                <w:szCs w:val="16"/>
              </w:rPr>
            </w:pPr>
            <w:r w:rsidRPr="0012434C">
              <w:rPr>
                <w:rFonts w:ascii="Times New Roman" w:eastAsia="Times New Roman" w:hAnsi="Times New Roman" w:cs="Times New Roman"/>
                <w:sz w:val="16"/>
                <w:szCs w:val="16"/>
              </w:rPr>
              <w:t>0.0037</w:t>
            </w:r>
          </w:p>
        </w:tc>
      </w:tr>
      <w:tr w:rsidR="00F5185A" w:rsidRPr="002E4628" w14:paraId="5A806F90" w14:textId="77777777" w:rsidTr="0012434C">
        <w:trPr>
          <w:trHeight w:val="227"/>
          <w:jc w:val="center"/>
        </w:trPr>
        <w:tc>
          <w:tcPr>
            <w:tcW w:w="1180" w:type="dxa"/>
            <w:vAlign w:val="center"/>
          </w:tcPr>
          <w:p w14:paraId="0E650571"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sz w:val="16"/>
                <w:szCs w:val="16"/>
              </w:rPr>
            </w:pPr>
            <w:r w:rsidRPr="0012434C">
              <w:rPr>
                <w:rFonts w:ascii="Times New Roman" w:eastAsia="Times New Roman" w:hAnsi="Times New Roman" w:cs="Times New Roman"/>
                <w:sz w:val="16"/>
                <w:szCs w:val="16"/>
              </w:rPr>
              <w:t>200</w:t>
            </w:r>
          </w:p>
        </w:tc>
        <w:tc>
          <w:tcPr>
            <w:tcW w:w="1182" w:type="dxa"/>
            <w:vAlign w:val="center"/>
          </w:tcPr>
          <w:p w14:paraId="548E795F"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sz w:val="16"/>
                <w:szCs w:val="16"/>
              </w:rPr>
            </w:pPr>
            <w:r w:rsidRPr="0012434C">
              <w:rPr>
                <w:rFonts w:ascii="Times New Roman" w:eastAsia="Times New Roman" w:hAnsi="Times New Roman" w:cs="Times New Roman"/>
                <w:sz w:val="16"/>
                <w:szCs w:val="16"/>
              </w:rPr>
              <w:t>5.32</w:t>
            </w:r>
          </w:p>
        </w:tc>
        <w:tc>
          <w:tcPr>
            <w:tcW w:w="1181" w:type="dxa"/>
            <w:vAlign w:val="center"/>
          </w:tcPr>
          <w:p w14:paraId="78D309A0"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sz w:val="16"/>
                <w:szCs w:val="16"/>
              </w:rPr>
            </w:pPr>
            <w:r w:rsidRPr="0012434C">
              <w:rPr>
                <w:rFonts w:ascii="Times New Roman" w:eastAsia="Times New Roman" w:hAnsi="Times New Roman" w:cs="Times New Roman"/>
                <w:sz w:val="16"/>
                <w:szCs w:val="16"/>
              </w:rPr>
              <w:t>5.299</w:t>
            </w:r>
          </w:p>
        </w:tc>
        <w:tc>
          <w:tcPr>
            <w:tcW w:w="1182" w:type="dxa"/>
            <w:vAlign w:val="center"/>
          </w:tcPr>
          <w:p w14:paraId="53253057"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sz w:val="16"/>
                <w:szCs w:val="16"/>
              </w:rPr>
            </w:pPr>
            <w:r w:rsidRPr="0012434C">
              <w:rPr>
                <w:rFonts w:ascii="Times New Roman" w:eastAsia="Times New Roman" w:hAnsi="Times New Roman" w:cs="Times New Roman"/>
                <w:sz w:val="16"/>
                <w:szCs w:val="16"/>
              </w:rPr>
              <w:t>1.266</w:t>
            </w:r>
          </w:p>
        </w:tc>
        <w:tc>
          <w:tcPr>
            <w:tcW w:w="1182" w:type="dxa"/>
            <w:vAlign w:val="center"/>
          </w:tcPr>
          <w:p w14:paraId="54BC6520"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sz w:val="16"/>
                <w:szCs w:val="16"/>
              </w:rPr>
            </w:pPr>
            <w:r w:rsidRPr="0012434C">
              <w:rPr>
                <w:rFonts w:ascii="Times New Roman" w:eastAsia="Times New Roman" w:hAnsi="Times New Roman" w:cs="Times New Roman"/>
                <w:sz w:val="16"/>
                <w:szCs w:val="16"/>
              </w:rPr>
              <w:t>0.0061</w:t>
            </w:r>
          </w:p>
        </w:tc>
      </w:tr>
      <w:tr w:rsidR="00F5185A" w:rsidRPr="002E4628" w14:paraId="18969D9D" w14:textId="77777777" w:rsidTr="0012434C">
        <w:trPr>
          <w:trHeight w:val="227"/>
          <w:jc w:val="center"/>
        </w:trPr>
        <w:tc>
          <w:tcPr>
            <w:tcW w:w="1180" w:type="dxa"/>
            <w:vAlign w:val="center"/>
          </w:tcPr>
          <w:p w14:paraId="0C44D995"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sz w:val="16"/>
                <w:szCs w:val="16"/>
              </w:rPr>
            </w:pPr>
            <w:r w:rsidRPr="0012434C">
              <w:rPr>
                <w:rFonts w:ascii="Times New Roman" w:eastAsia="Times New Roman" w:hAnsi="Times New Roman" w:cs="Times New Roman"/>
                <w:sz w:val="16"/>
                <w:szCs w:val="16"/>
              </w:rPr>
              <w:t>300</w:t>
            </w:r>
          </w:p>
        </w:tc>
        <w:tc>
          <w:tcPr>
            <w:tcW w:w="1182" w:type="dxa"/>
            <w:vAlign w:val="center"/>
          </w:tcPr>
          <w:p w14:paraId="485BDCAE"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sz w:val="16"/>
                <w:szCs w:val="16"/>
              </w:rPr>
            </w:pPr>
            <w:r w:rsidRPr="0012434C">
              <w:rPr>
                <w:rFonts w:ascii="Times New Roman" w:eastAsia="Times New Roman" w:hAnsi="Times New Roman" w:cs="Times New Roman"/>
                <w:sz w:val="16"/>
                <w:szCs w:val="16"/>
              </w:rPr>
              <w:t>11.97</w:t>
            </w:r>
          </w:p>
        </w:tc>
        <w:tc>
          <w:tcPr>
            <w:tcW w:w="1181" w:type="dxa"/>
            <w:vAlign w:val="center"/>
          </w:tcPr>
          <w:p w14:paraId="072DD7DB"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sz w:val="16"/>
                <w:szCs w:val="16"/>
              </w:rPr>
            </w:pPr>
            <w:r w:rsidRPr="0012434C">
              <w:rPr>
                <w:rFonts w:ascii="Times New Roman" w:eastAsia="Times New Roman" w:hAnsi="Times New Roman" w:cs="Times New Roman"/>
                <w:sz w:val="16"/>
                <w:szCs w:val="16"/>
              </w:rPr>
              <w:t>5.299</w:t>
            </w:r>
          </w:p>
        </w:tc>
        <w:tc>
          <w:tcPr>
            <w:tcW w:w="1182" w:type="dxa"/>
            <w:vAlign w:val="center"/>
          </w:tcPr>
          <w:p w14:paraId="04BE9B78"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sz w:val="16"/>
                <w:szCs w:val="16"/>
              </w:rPr>
            </w:pPr>
            <w:r w:rsidRPr="0012434C">
              <w:rPr>
                <w:rFonts w:ascii="Times New Roman" w:eastAsia="Times New Roman" w:hAnsi="Times New Roman" w:cs="Times New Roman"/>
                <w:sz w:val="16"/>
                <w:szCs w:val="16"/>
              </w:rPr>
              <w:t>1.266</w:t>
            </w:r>
          </w:p>
        </w:tc>
        <w:tc>
          <w:tcPr>
            <w:tcW w:w="1182" w:type="dxa"/>
            <w:vAlign w:val="center"/>
          </w:tcPr>
          <w:p w14:paraId="1F5EF2D5" w14:textId="77777777" w:rsidR="00F5185A" w:rsidRPr="0012434C" w:rsidRDefault="00F5185A" w:rsidP="00F5185A">
            <w:pPr>
              <w:framePr w:w="7088" w:h="255" w:wrap="notBeside" w:vAnchor="page" w:hAnchor="page" w:x="2416" w:y="2371"/>
              <w:jc w:val="center"/>
              <w:rPr>
                <w:rFonts w:ascii="Times New Roman" w:eastAsia="Times New Roman" w:hAnsi="Times New Roman" w:cs="Times New Roman"/>
                <w:sz w:val="16"/>
                <w:szCs w:val="16"/>
              </w:rPr>
            </w:pPr>
            <w:r w:rsidRPr="0012434C">
              <w:rPr>
                <w:rFonts w:ascii="Times New Roman" w:eastAsia="Times New Roman" w:hAnsi="Times New Roman" w:cs="Times New Roman"/>
                <w:sz w:val="16"/>
                <w:szCs w:val="16"/>
              </w:rPr>
              <w:t>0.0132</w:t>
            </w:r>
          </w:p>
        </w:tc>
      </w:tr>
    </w:tbl>
    <w:p w14:paraId="46A24560" w14:textId="51072AB1" w:rsidR="001C5562" w:rsidRPr="001C5562" w:rsidRDefault="00D96467" w:rsidP="003D7372">
      <w:pPr>
        <w:pStyle w:val="Els-body-text"/>
      </w:pPr>
      <w:r>
        <w:t xml:space="preserve">Plotting the data in this manner results in a collapse of all datapoints into one overall trend </w:t>
      </w:r>
      <w:r w:rsidRPr="001B2674">
        <w:t>(</w:t>
      </w:r>
      <w:r w:rsidR="001B2674" w:rsidRPr="001B2674">
        <w:fldChar w:fldCharType="begin"/>
      </w:r>
      <w:r w:rsidR="001B2674" w:rsidRPr="001B2674">
        <w:instrText xml:space="preserve"> REF _Ref139992638 \h  \* MERGEFORMAT </w:instrText>
      </w:r>
      <w:r w:rsidR="001B2674" w:rsidRPr="001B2674">
        <w:fldChar w:fldCharType="separate"/>
      </w:r>
      <w:r w:rsidR="00B10B92" w:rsidRPr="00B10B92">
        <w:t xml:space="preserve">Figure </w:t>
      </w:r>
      <w:r w:rsidR="00B10B92" w:rsidRPr="00B10B92">
        <w:rPr>
          <w:noProof/>
        </w:rPr>
        <w:t>3</w:t>
      </w:r>
      <w:r w:rsidR="001B2674" w:rsidRPr="001B2674">
        <w:fldChar w:fldCharType="end"/>
      </w:r>
      <w:r w:rsidRPr="001B2674">
        <w:t xml:space="preserve">), </w:t>
      </w:r>
      <w:r w:rsidR="007C1165">
        <w:t xml:space="preserve">with regressed parameters </w:t>
      </w:r>
      <w:proofErr w:type="spellStart"/>
      <w:r w:rsidR="007C1165" w:rsidRPr="002E4628">
        <w:rPr>
          <w:i/>
          <w:iCs/>
        </w:rPr>
        <w:t>σ</w:t>
      </w:r>
      <w:r w:rsidR="007C1165" w:rsidRPr="002E4628">
        <w:rPr>
          <w:vertAlign w:val="subscript"/>
        </w:rPr>
        <w:t>SF</w:t>
      </w:r>
      <w:proofErr w:type="spellEnd"/>
      <w:r w:rsidR="007C1165" w:rsidRPr="002E4628">
        <w:rPr>
          <w:vertAlign w:val="subscript"/>
        </w:rPr>
        <w:t>=0.85</w:t>
      </w:r>
      <w:proofErr w:type="gramStart"/>
      <w:r w:rsidR="007C1165" w:rsidRPr="002E4628">
        <w:rPr>
          <w:vertAlign w:val="subscript"/>
        </w:rPr>
        <w:t>,max</w:t>
      </w:r>
      <w:proofErr w:type="gramEnd"/>
      <w:r w:rsidR="007C1165" w:rsidRPr="007C1165">
        <w:t xml:space="preserve"> = </w:t>
      </w:r>
      <w:r w:rsidR="003D7372" w:rsidRPr="003D7372">
        <w:t>4.761</w:t>
      </w:r>
      <w:r w:rsidR="007C1165">
        <w:t xml:space="preserve"> MPa, </w:t>
      </w:r>
      <w:proofErr w:type="spellStart"/>
      <w:r w:rsidR="007C1165" w:rsidRPr="002E4628">
        <w:rPr>
          <w:i/>
          <w:iCs/>
        </w:rPr>
        <w:t>σ</w:t>
      </w:r>
      <w:r w:rsidR="007C1165" w:rsidRPr="002E4628">
        <w:rPr>
          <w:vertAlign w:val="subscript"/>
        </w:rPr>
        <w:t>SF</w:t>
      </w:r>
      <w:proofErr w:type="spellEnd"/>
      <w:r w:rsidR="007C1165" w:rsidRPr="002E4628">
        <w:rPr>
          <w:vertAlign w:val="subscript"/>
        </w:rPr>
        <w:t>=0.85,</w:t>
      </w:r>
      <w:r w:rsidR="007C1165">
        <w:rPr>
          <w:vertAlign w:val="subscript"/>
        </w:rPr>
        <w:t>min</w:t>
      </w:r>
      <w:r w:rsidR="007C1165" w:rsidRPr="007C1165">
        <w:t xml:space="preserve"> =</w:t>
      </w:r>
      <w:r w:rsidR="007C1165">
        <w:t xml:space="preserve"> </w:t>
      </w:r>
      <w:r w:rsidR="007C1165" w:rsidRPr="007C1165">
        <w:t>1.36</w:t>
      </w:r>
      <w:r w:rsidR="003D7372">
        <w:t>9</w:t>
      </w:r>
      <w:r w:rsidR="007C1165">
        <w:t xml:space="preserve"> MPa, </w:t>
      </w:r>
      <w:r w:rsidR="007C1165" w:rsidRPr="007C1165">
        <w:rPr>
          <w:i/>
          <w:iCs/>
        </w:rPr>
        <w:t>γ</w:t>
      </w:r>
      <w:r w:rsidR="007C1165">
        <w:t xml:space="preserve"> = </w:t>
      </w:r>
      <w:r w:rsidR="007C1165" w:rsidRPr="007C1165">
        <w:t>0.0027</w:t>
      </w:r>
      <w:r w:rsidR="007C1165">
        <w:t>.</w:t>
      </w:r>
      <w:r w:rsidR="003D7372">
        <w:t xml:space="preserve"> </w:t>
      </w:r>
      <w:r w:rsidR="001C5562">
        <w:t xml:space="preserve">The approach also holds for other pharmaceutically relevant </w:t>
      </w:r>
      <w:r w:rsidR="001C5562">
        <w:fldChar w:fldCharType="begin"/>
      </w:r>
      <w:r w:rsidR="007B497A">
        <w:instrText xml:space="preserve"> ADDIN ZOTERO_ITEM CSL_CITATION {"citationID":"gvl5haXv","properties":{"formattedCitation":"(Nassar et al., 2021)","plainCitation":"(Nassar et al., 2021)","noteIndex":0},"citationItems":[{"id":348,"uris":["http://zotero.org/users/1322096/items/SR6TBAF5"],"itemData":{"id":348,"type":"article-journal","abstract":"A new approach is proposed to support prediction of tablet tensile strength as a function of both solid fraction (and/or compression pressure) and extent of lubrication by using empirical data to parameterise the model. This is a pre-requisite for simulation of the compaction unit operation where a linkage from tablet press operating parameters and formulation material properties to output tensile strength is required. The approach extends the previously published Kushner and Moore model to allow calculation across a range of solid fractions. The applicability of the approach is supported by testing using formulations with different commonly used pharmaceutical excipients.","container-title":"International Journal of Pharmaceutics","DOI":"10.1016/j.ijpharm.2020.119980","ISSN":"0378-5173","journalAbbreviation":"International Journal of Pharmaceutics","language":"en","page":"119980","source":"ScienceDirect","title":"Lubrication empirical model to predict tensile strength of directly compressed powder blends","volume":"592","author":[{"family":"Nassar","given":"Joelle"},{"family":"Williams","given":"Ben"},{"family":"Davies","given":"Conrad"},{"family":"Lief","given":"Kevin"},{"family":"Elkes","given":"Richard"}],"issued":{"date-parts":[["2021",1,5]]}}}],"schema":"https://github.com/citation-style-language/schema/raw/master/csl-citation.json"} </w:instrText>
      </w:r>
      <w:r w:rsidR="001C5562">
        <w:fldChar w:fldCharType="separate"/>
      </w:r>
      <w:r w:rsidR="001C2CBB" w:rsidRPr="001C2CBB">
        <w:t>(Nassar et al., 2021)</w:t>
      </w:r>
      <w:r w:rsidR="001C5562">
        <w:fldChar w:fldCharType="end"/>
      </w:r>
      <w:r w:rsidR="001C5562">
        <w:t xml:space="preserve"> solid fractions of 0.85, 0.80 and 0.75 (</w:t>
      </w:r>
      <w:r w:rsidR="001C5562" w:rsidRPr="001C5562">
        <w:fldChar w:fldCharType="begin"/>
      </w:r>
      <w:r w:rsidR="001C5562" w:rsidRPr="001C5562">
        <w:instrText xml:space="preserve"> REF _Ref139992638 \h  \* MERGEFORMAT </w:instrText>
      </w:r>
      <w:r w:rsidR="001C5562" w:rsidRPr="001C5562">
        <w:fldChar w:fldCharType="separate"/>
      </w:r>
      <w:r w:rsidR="00B10B92" w:rsidRPr="00B10B92">
        <w:t xml:space="preserve">Figure </w:t>
      </w:r>
      <w:r w:rsidR="00B10B92" w:rsidRPr="00B10B92">
        <w:rPr>
          <w:noProof/>
        </w:rPr>
        <w:t>3</w:t>
      </w:r>
      <w:r w:rsidR="001C5562" w:rsidRPr="001C5562">
        <w:fldChar w:fldCharType="end"/>
      </w:r>
      <w:r w:rsidR="001C5562">
        <w:t>).</w:t>
      </w:r>
    </w:p>
    <w:p w14:paraId="269B59C5" w14:textId="77777777" w:rsidR="00056F47" w:rsidRDefault="00056F47" w:rsidP="003D7372">
      <w:pPr>
        <w:pStyle w:val="Els-body-text"/>
      </w:pPr>
    </w:p>
    <w:p w14:paraId="0E84A316" w14:textId="4E883EB8" w:rsidR="00137204" w:rsidRDefault="003D7372" w:rsidP="003D7372">
      <w:pPr>
        <w:pStyle w:val="Els-body-text"/>
      </w:pPr>
      <w:r>
        <w:t>The overall trend represented by Eq. (</w:t>
      </w:r>
      <w:r>
        <w:fldChar w:fldCharType="begin"/>
      </w:r>
      <w:r>
        <w:instrText xml:space="preserve"> REF _Ref149907650 \h  \* MERGEFORMAT </w:instrText>
      </w:r>
      <w:r>
        <w:fldChar w:fldCharType="separate"/>
      </w:r>
      <w:r w:rsidR="00B10B92">
        <w:rPr>
          <w:noProof/>
        </w:rPr>
        <w:t>4</w:t>
      </w:r>
      <w:r>
        <w:fldChar w:fldCharType="end"/>
      </w:r>
      <w:r>
        <w:t xml:space="preserve">) could, for a given formulation, allow </w:t>
      </w:r>
      <w:r w:rsidR="007B497A">
        <w:t xml:space="preserve">use of </w:t>
      </w:r>
      <w:r>
        <w:t>experiments conducted at one RPM (</w:t>
      </w:r>
      <w:r>
        <w:rPr>
          <w:i/>
          <w:iCs/>
        </w:rPr>
        <w:t>i.e.</w:t>
      </w:r>
      <w:r>
        <w:t xml:space="preserve"> Froude number) </w:t>
      </w:r>
      <w:r w:rsidR="007B497A">
        <w:t>for predicting</w:t>
      </w:r>
      <w:r>
        <w:t xml:space="preserve"> performance at any RPM, or alternatively, runs across several RPMs (but few in each specific RPM) to be used to predict said performance.</w:t>
      </w:r>
      <w:r w:rsidR="001C5562">
        <w:t xml:space="preserve"> Whilst the present work has been developed on one </w:t>
      </w:r>
      <w:r w:rsidR="001C5562">
        <w:lastRenderedPageBreak/>
        <w:t>scale of equipment, the fact that bin blender data is overlaid with mini-blender data when Eq. (</w:t>
      </w:r>
      <w:r w:rsidR="001C5562">
        <w:fldChar w:fldCharType="begin"/>
      </w:r>
      <w:r w:rsidR="001C5562">
        <w:instrText xml:space="preserve"> REF _Ref149907650 \h </w:instrText>
      </w:r>
      <w:r w:rsidR="001C5562">
        <w:fldChar w:fldCharType="separate"/>
      </w:r>
      <w:r w:rsidR="00B10B92">
        <w:rPr>
          <w:noProof/>
        </w:rPr>
        <w:t>4</w:t>
      </w:r>
      <w:r w:rsidR="001C5562">
        <w:fldChar w:fldCharType="end"/>
      </w:r>
      <w:r w:rsidR="00C2163F">
        <w:t xml:space="preserve">) is used </w:t>
      </w:r>
      <w:r w:rsidR="001C5562">
        <w:t>suggests that the approach shows promise</w:t>
      </w:r>
      <w:r w:rsidR="001C2CBB">
        <w:t xml:space="preserve"> </w:t>
      </w:r>
      <w:r w:rsidR="001C2CBB" w:rsidRPr="001C5562">
        <w:t>(</w:t>
      </w:r>
      <w:r w:rsidR="001C2CBB" w:rsidRPr="001C5562">
        <w:fldChar w:fldCharType="begin"/>
      </w:r>
      <w:r w:rsidR="001C2CBB" w:rsidRPr="001C5562">
        <w:instrText xml:space="preserve"> REF _Ref139992638 \h  \* MERGEFORMAT </w:instrText>
      </w:r>
      <w:r w:rsidR="001C2CBB" w:rsidRPr="001C5562">
        <w:fldChar w:fldCharType="separate"/>
      </w:r>
      <w:r w:rsidR="00B10B92" w:rsidRPr="00B10B92">
        <w:t xml:space="preserve">Figure </w:t>
      </w:r>
      <w:r w:rsidR="00B10B92" w:rsidRPr="00B10B92">
        <w:rPr>
          <w:noProof/>
        </w:rPr>
        <w:t>3</w:t>
      </w:r>
      <w:r w:rsidR="001C2CBB" w:rsidRPr="001C5562">
        <w:fldChar w:fldCharType="end"/>
      </w:r>
      <w:r w:rsidR="001C2CBB" w:rsidRPr="001C5562">
        <w:t>)</w:t>
      </w:r>
      <w:r w:rsidR="001C2CBB">
        <w:t xml:space="preserve">, especially as the literature shows that there is a commonality of performance across many batch blenders </w:t>
      </w:r>
      <w:r w:rsidR="001C2CBB">
        <w:fldChar w:fldCharType="begin"/>
      </w:r>
      <w:r w:rsidR="007B497A">
        <w:instrText xml:space="preserve"> ADDIN ZOTERO_ITEM CSL_CITATION {"citationID":"5nUFIcEf","properties":{"formattedCitation":"(Kushner, 2012; Kushner and Moore, 2010; Kushner and Schlack, 2014)","plainCitation":"(Kushner, 2012; Kushner and Moore, 2010; Kushner and Schlack, 2014)","noteIndex":0},"citationItems":[{"id":366,"uris":["http://zotero.org/users/1322096/items/4QX66V8Y"],"itemData":{"id":366,"type":"article-journal","abstract":"Lubrication of 2:1 and 1:1 blends of microcrystalline cellulose and spray-dried lactose or dibasic calcium phosphate (DCP) with 0.33% or 1% magnesium stearate, as model free-flowing pharmaceutical formulations, was performed in rotary drum blenders. Blender process parameters examined in this study included type (Bin, V, and Turbula), volume (0.75-Quart to 200-L), fraction of headspace in the blender after the blend is loaded (30–70%), speed (6–202rpm), and time (up to 225min). Based on analysis of the experimental data, the following model for the impact of the lubrication process on tablet tensile strength at 0.85 solid fraction, TSSF=0.85, was obtained, TSSF=0.85=TSSF=0.85,0β exp−γ×V1/3×Fheadspace×r+1−β, where V is blender volume, Fheadspace is the headspace fraction, r is the number of revolutions (i.e. speed×time), TSSF=0.85,0 is the initial tensile strength of the blend, β is the sensitivity of the blend to lubrication, and γ is the lubrication rate constant of the formulation. This model can be used to maintain tensile strength during scale-up, by ensuring that (V1/3Fheadspacer)1=(V1/3Fheadspacer)2. The model also suggests that formulations with DCP are less sensitive to lubrication and more slowly lubricated than formulations with spray-dried lactose (i.e. smaller β and γ values).","container-title":"International Journal of Pharmaceutics","DOI":"10.1016/j.ijpharm.2010.07.033","ISSN":"0378-5173","issue":"1","journalAbbreviation":"International Journal of Pharmaceutics","language":"en","page":"19-30","source":"ScienceDirect","title":"Scale-up model describing the impact of lubrication on tablet tensile strength","volume":"399","author":[{"family":"Kushner","given":"Joseph"},{"family":"Moore","given":"Francis"}],"issued":{"date-parts":[["2010",10,31]]}},"label":"page"},{"id":373,"uris":["http://zotero.org/users/1322096/items/N7ZEQQA8"],"itemData":{"id":373,"type":"article-journal","abstract":"Turbula bottle blenders are often used in lab-scale experiments during early-stage pharmaceutical product development. Unfortunately, applying knowledge gained with these blenders to larger-sized diffusion mixers is limited by the lack of blending models that include Turbula mixers. To address this need for lubrication blending scale-up, 2:1 blends of microcrystalline cellulose and spray-dried lactose or dibasic calcium phosphate were mixed with 1% magnesium stearate using Turbula bottle blenders, varying bottle volume, V (30–1250mL); bottle headspace fraction, Fheadspace (30–70%); and the number of blending cycles, r (24 to </w:instrText>
      </w:r>
      <w:r w:rsidR="007B497A">
        <w:rPr>
          <w:rFonts w:ascii="Cambria Math" w:hAnsi="Cambria Math" w:cs="Cambria Math"/>
        </w:rPr>
        <w:instrText>∼</w:instrText>
      </w:r>
      <w:r w:rsidR="007B497A">
        <w:instrText xml:space="preserve">190,000 cycles). The impact of lubrication blending on tensile strength and bulk specific volume quality attributes, QA, was modeled by:QAQA0=(1−β)+β exp(−γ×L×Fheadspace×r),where QA0 is initial QA value, β is sensitivity of QA to lubrication, γ is formulation-specific lubrication rate constant, and L is characteristic mixing length scale (i.e. 1.5V1/3 for Turbula blenders, V1/3 for simple diffusion mixers). The factor of 1.5 captures the bottle dimensions and the more complex mixing dynamics of the Turbula blender. This lubrication blending process model is valid for scale-up from 30-mL to 200-L blenders. Assessing bulk specific volume may provide a simpler, more material-sparing means for determining γ than tensile strength, since these QAs exhibited similar γ values.","container-title":"International Journal of Pharmaceutics","DOI":"10.1016/j.ijpharm.2012.02.040","ISSN":"0378-5173","issue":"1","journalAbbreviation":"International Journal of Pharmaceutics","page":"1-11","source":"ScienceDirect","title":"Incorporating Turbula mixers into a blending scale-up model for evaluating the effect of magnesium stearate on tablet tensile strength and bulk specific volume","volume":"429","author":[{"family":"Kushner","given":"Joseph"}],"issued":{"date-parts":[["2012",6,15]]}},"label":"page"},{"id":1796,"uris":["http://zotero.org/users/1322096/items/49G22ZK2"],"itemData":{"id":1796,"type":"article-journal","abstract":"An experimental study was conducted to verify that lubrication mixing in commercial-scale bin blenders can be described by a previously-reported lubrication blending process scale-up model. Specifically, the mixing of two placebo formulations (2:1 MCC:lactose, and 2:1 MCC:DCP) with 1% magnesium stearate in 100, 400, and 2000L bin blenders at 30% and 70% blend fill levels for several extents of lubricant mixing was examined. The lubricated powder blends were assessed for bulk/tapped density and powder flow, as measured by Hausner’s ratio. The blends were then compressed into tablets and evaluated for tensile strength, friability, and disintegration. It was observed that the lubrication rate constant, γ, for tablet tensile strength and for bulk specific volume were similar. Furthermore, powder flow, as measured by Hausner’s ratio, improved with increased extent of lubrication. Tablet disintegration and tablet friability were both minimally affected as a result of extended lubrication for the placebos blends evaluated in this study. The results of this study confirm that the lubrication mixing model can be applied to scale-up the lubrication blending process from batches made in 30mL bottle blenders to batches made in 2000L bin blenders, which is a range of nearly five orders of magnitude.","container-title":"International Journal of Pharmaceutics","DOI":"10.1016/j.ijpharm.2014.08.036","ISSN":"0378-5173","issue":"1","journalAbbreviation":"International Journal of Pharmaceutics","language":"en","page":"147-155","source":"ScienceDirect","title":"Commercial scale validation of a process scale-up model for lubricant blending of pharmaceutical powders","volume":"475","author":[{"family":"Kushner","given":"Joseph"},{"family":"Schlack","given":"Holger"}],"issued":{"date-parts":[["2014",11,20]]}},"label":"page"}],"schema":"https://github.com/citation-style-language/schema/raw/master/csl-citation.json"} </w:instrText>
      </w:r>
      <w:r w:rsidR="001C2CBB">
        <w:fldChar w:fldCharType="separate"/>
      </w:r>
      <w:r w:rsidR="001C2CBB" w:rsidRPr="001C2CBB">
        <w:t>(Kushner, 2012; Kushner and Moore, 2010; Kushner and Schlack, 2014)</w:t>
      </w:r>
      <w:r w:rsidR="001C2CBB">
        <w:fldChar w:fldCharType="end"/>
      </w:r>
      <w:r w:rsidR="001C5562">
        <w:t>.</w:t>
      </w:r>
    </w:p>
    <w:tbl>
      <w:tblPr>
        <w:tblStyle w:val="TableGrid"/>
        <w:tblW w:w="7088" w:type="dxa"/>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88"/>
      </w:tblGrid>
      <w:tr w:rsidR="00B17199" w14:paraId="3B3A146A" w14:textId="77777777" w:rsidTr="0012434C">
        <w:tc>
          <w:tcPr>
            <w:tcW w:w="7088" w:type="dxa"/>
            <w:tcBorders>
              <w:top w:val="single" w:sz="4" w:space="0" w:color="auto"/>
              <w:bottom w:val="single" w:sz="4" w:space="0" w:color="auto"/>
            </w:tcBorders>
          </w:tcPr>
          <w:p w14:paraId="5AC7BA11" w14:textId="77777777" w:rsidR="00B17199" w:rsidRPr="00BB3CCB" w:rsidRDefault="00B17199" w:rsidP="00B17199">
            <w:pPr>
              <w:pStyle w:val="Caption"/>
              <w:framePr w:w="7088" w:wrap="notBeside" w:vAnchor="page" w:hAnchor="page" w:x="2478" w:y="2374"/>
              <w:jc w:val="center"/>
              <w:rPr>
                <w:b/>
                <w:bCs/>
              </w:rPr>
            </w:pPr>
            <w:r w:rsidRPr="00137204">
              <w:rPr>
                <w:b/>
                <w:bCs/>
                <w:noProof/>
                <w:lang w:val="en-GB" w:eastAsia="en-GB"/>
              </w:rPr>
              <w:drawing>
                <wp:inline distT="0" distB="0" distL="0" distR="0" wp14:anchorId="03876E27" wp14:editId="77F90530">
                  <wp:extent cx="3960000" cy="2387294"/>
                  <wp:effectExtent l="0" t="0" r="2540" b="0"/>
                  <wp:docPr id="1136836533" name="Picture 113683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000" cy="2387294"/>
                          </a:xfrm>
                          <a:prstGeom prst="rect">
                            <a:avLst/>
                          </a:prstGeom>
                          <a:noFill/>
                          <a:ln>
                            <a:noFill/>
                          </a:ln>
                        </pic:spPr>
                      </pic:pic>
                    </a:graphicData>
                  </a:graphic>
                </wp:inline>
              </w:drawing>
            </w:r>
          </w:p>
        </w:tc>
      </w:tr>
      <w:tr w:rsidR="00B17199" w14:paraId="03AE0094" w14:textId="77777777" w:rsidTr="0012434C">
        <w:tc>
          <w:tcPr>
            <w:tcW w:w="7088" w:type="dxa"/>
            <w:tcBorders>
              <w:top w:val="single" w:sz="4" w:space="0" w:color="auto"/>
              <w:bottom w:val="single" w:sz="4" w:space="0" w:color="auto"/>
            </w:tcBorders>
          </w:tcPr>
          <w:p w14:paraId="3E2DF21C" w14:textId="77777777" w:rsidR="00B17199" w:rsidRPr="001B2674" w:rsidRDefault="00B17199" w:rsidP="00B17199">
            <w:pPr>
              <w:pStyle w:val="Caption"/>
              <w:framePr w:w="7088" w:wrap="notBeside" w:vAnchor="page" w:hAnchor="page" w:x="2478" w:y="2374"/>
              <w:jc w:val="both"/>
              <w:rPr>
                <w:rFonts w:ascii="Times New Roman" w:hAnsi="Times New Roman" w:cs="Times New Roman"/>
                <w:szCs w:val="18"/>
              </w:rPr>
            </w:pPr>
            <w:r w:rsidRPr="00137204">
              <w:rPr>
                <w:rFonts w:ascii="Times New Roman" w:hAnsi="Times New Roman" w:cs="Times New Roman"/>
                <w:b/>
                <w:bCs/>
              </w:rPr>
              <w:t xml:space="preserve">Figure </w:t>
            </w:r>
            <w:r w:rsidRPr="00137204">
              <w:rPr>
                <w:b/>
                <w:bCs/>
              </w:rPr>
              <w:fldChar w:fldCharType="begin"/>
            </w:r>
            <w:r w:rsidRPr="00137204">
              <w:rPr>
                <w:rFonts w:ascii="Times New Roman" w:hAnsi="Times New Roman" w:cs="Times New Roman"/>
                <w:b/>
                <w:bCs/>
              </w:rPr>
              <w:instrText xml:space="preserve"> SEQ Figure \* ARABIC </w:instrText>
            </w:r>
            <w:r w:rsidRPr="00137204">
              <w:rPr>
                <w:b/>
                <w:bCs/>
              </w:rPr>
              <w:fldChar w:fldCharType="separate"/>
            </w:r>
            <w:r>
              <w:rPr>
                <w:rFonts w:ascii="Times New Roman" w:hAnsi="Times New Roman" w:cs="Times New Roman"/>
                <w:b/>
                <w:bCs/>
                <w:noProof/>
              </w:rPr>
              <w:t>2</w:t>
            </w:r>
            <w:r w:rsidRPr="00137204">
              <w:rPr>
                <w:b/>
                <w:bCs/>
              </w:rPr>
              <w:fldChar w:fldCharType="end"/>
            </w:r>
            <w:r w:rsidRPr="00137204">
              <w:rPr>
                <w:rFonts w:ascii="Times New Roman" w:hAnsi="Times New Roman" w:cs="Times New Roman"/>
                <w:b/>
                <w:bCs/>
              </w:rPr>
              <w:t>.</w:t>
            </w:r>
            <w:r w:rsidRPr="00137204">
              <w:rPr>
                <w:rFonts w:ascii="Times New Roman" w:hAnsi="Times New Roman" w:cs="Times New Roman"/>
              </w:rPr>
              <w:t xml:space="preserve"> Compaction data for </w:t>
            </w:r>
            <w:r>
              <w:rPr>
                <w:rFonts w:ascii="Times New Roman" w:hAnsi="Times New Roman" w:cs="Times New Roman"/>
              </w:rPr>
              <w:t xml:space="preserve">varying with blending speed and </w:t>
            </w:r>
            <w:r w:rsidRPr="0069297A">
              <w:rPr>
                <w:rFonts w:ascii="Times New Roman" w:hAnsi="Times New Roman" w:cs="Times New Roman"/>
                <w:szCs w:val="18"/>
              </w:rPr>
              <w:t xml:space="preserve">time </w:t>
            </w:r>
            <w:r>
              <w:rPr>
                <w:rFonts w:ascii="Times New Roman" w:hAnsi="Times New Roman" w:cs="Times New Roman"/>
                <w:szCs w:val="18"/>
              </w:rPr>
              <w:t>(</w:t>
            </w:r>
            <w:r w:rsidRPr="0069297A">
              <w:rPr>
                <w:szCs w:val="18"/>
              </w:rPr>
              <w:fldChar w:fldCharType="begin"/>
            </w:r>
            <w:r w:rsidRPr="0069297A">
              <w:rPr>
                <w:rFonts w:ascii="Times New Roman" w:hAnsi="Times New Roman" w:cs="Times New Roman"/>
                <w:szCs w:val="18"/>
              </w:rPr>
              <w:instrText xml:space="preserve"> REF _Ref139985785 \h  \* MERGEFORMAT </w:instrText>
            </w:r>
            <w:r w:rsidRPr="0069297A">
              <w:rPr>
                <w:szCs w:val="18"/>
              </w:rPr>
            </w:r>
            <w:r w:rsidRPr="0069297A">
              <w:rPr>
                <w:szCs w:val="18"/>
              </w:rPr>
              <w:fldChar w:fldCharType="separate"/>
            </w:r>
            <w:r w:rsidRPr="00B10B92">
              <w:rPr>
                <w:rFonts w:ascii="Times New Roman" w:hAnsi="Times New Roman" w:cs="Times New Roman"/>
                <w:szCs w:val="18"/>
              </w:rPr>
              <w:t xml:space="preserve">Table </w:t>
            </w:r>
            <w:r w:rsidRPr="00B10B92">
              <w:rPr>
                <w:rFonts w:ascii="Times New Roman" w:hAnsi="Times New Roman" w:cs="Times New Roman"/>
                <w:noProof/>
                <w:szCs w:val="18"/>
              </w:rPr>
              <w:t>1</w:t>
            </w:r>
            <w:r w:rsidRPr="0069297A">
              <w:rPr>
                <w:szCs w:val="18"/>
              </w:rPr>
              <w:fldChar w:fldCharType="end"/>
            </w:r>
            <w:r>
              <w:rPr>
                <w:rFonts w:ascii="Times New Roman" w:hAnsi="Times New Roman" w:cs="Times New Roman"/>
                <w:szCs w:val="18"/>
              </w:rPr>
              <w:t>)</w:t>
            </w:r>
            <w:r w:rsidRPr="0069297A">
              <w:rPr>
                <w:rFonts w:ascii="Times New Roman" w:hAnsi="Times New Roman" w:cs="Times New Roman"/>
                <w:szCs w:val="18"/>
              </w:rPr>
              <w:t xml:space="preserve">. </w:t>
            </w:r>
            <w:r>
              <w:rPr>
                <w:rFonts w:ascii="Times New Roman" w:hAnsi="Times New Roman" w:cs="Times New Roman"/>
                <w:szCs w:val="18"/>
              </w:rPr>
              <w:t xml:space="preserve">Speeds of </w:t>
            </w:r>
            <w:r w:rsidRPr="0069297A">
              <w:rPr>
                <w:rFonts w:ascii="Times New Roman" w:hAnsi="Times New Roman" w:cs="Times New Roman"/>
                <w:szCs w:val="18"/>
              </w:rPr>
              <w:t xml:space="preserve">50, 100, 200 and 300 </w:t>
            </w:r>
            <w:r>
              <w:rPr>
                <w:rFonts w:ascii="Times New Roman" w:hAnsi="Times New Roman" w:cs="Times New Roman"/>
                <w:szCs w:val="18"/>
              </w:rPr>
              <w:t xml:space="preserve">RPM correspond to </w:t>
            </w:r>
            <w:r w:rsidRPr="0069297A">
              <w:rPr>
                <w:rFonts w:ascii="Times New Roman" w:hAnsi="Times New Roman" w:cs="Times New Roman"/>
                <w:i/>
                <w:iCs/>
                <w:szCs w:val="18"/>
              </w:rPr>
              <w:t>Fr</w:t>
            </w:r>
            <w:r w:rsidRPr="0069297A">
              <w:rPr>
                <w:rFonts w:ascii="Times New Roman" w:hAnsi="Times New Roman" w:cs="Times New Roman"/>
                <w:szCs w:val="18"/>
              </w:rPr>
              <w:t xml:space="preserve"> values</w:t>
            </w:r>
            <w:r>
              <w:rPr>
                <w:rFonts w:ascii="Times New Roman" w:hAnsi="Times New Roman" w:cs="Times New Roman"/>
                <w:szCs w:val="18"/>
              </w:rPr>
              <w:t xml:space="preserve"> of</w:t>
            </w:r>
            <w:r w:rsidRPr="0069297A">
              <w:rPr>
                <w:rFonts w:ascii="Times New Roman" w:hAnsi="Times New Roman" w:cs="Times New Roman"/>
                <w:szCs w:val="18"/>
              </w:rPr>
              <w:t xml:space="preserve"> 0.33, 1.33, 5.32, and 11.97</w:t>
            </w:r>
            <w:r>
              <w:rPr>
                <w:rFonts w:ascii="Times New Roman" w:hAnsi="Times New Roman" w:cs="Times New Roman"/>
                <w:szCs w:val="18"/>
              </w:rPr>
              <w:t>.</w:t>
            </w:r>
            <w:r w:rsidRPr="0069297A">
              <w:rPr>
                <w:rFonts w:ascii="Times New Roman" w:hAnsi="Times New Roman" w:cs="Times New Roman"/>
                <w:szCs w:val="18"/>
              </w:rPr>
              <w:t xml:space="preserve"> </w:t>
            </w:r>
            <w:r>
              <w:rPr>
                <w:rFonts w:ascii="Times New Roman" w:hAnsi="Times New Roman" w:cs="Times New Roman"/>
                <w:szCs w:val="18"/>
              </w:rPr>
              <w:t xml:space="preserve">Mini-blender data </w:t>
            </w:r>
            <w:r w:rsidRPr="0069297A">
              <w:rPr>
                <w:rFonts w:ascii="Times New Roman" w:hAnsi="Times New Roman" w:cs="Times New Roman"/>
                <w:szCs w:val="18"/>
              </w:rPr>
              <w:t xml:space="preserve">(runs 01–24, </w:t>
            </w:r>
            <w:r w:rsidRPr="0069297A">
              <w:rPr>
                <w:szCs w:val="18"/>
              </w:rPr>
              <w:fldChar w:fldCharType="begin"/>
            </w:r>
            <w:r w:rsidRPr="0069297A">
              <w:rPr>
                <w:rFonts w:ascii="Times New Roman" w:hAnsi="Times New Roman" w:cs="Times New Roman"/>
                <w:szCs w:val="18"/>
              </w:rPr>
              <w:instrText xml:space="preserve"> REF _Ref139985785 \h  \* MERGEFORMAT </w:instrText>
            </w:r>
            <w:r w:rsidRPr="0069297A">
              <w:rPr>
                <w:szCs w:val="18"/>
              </w:rPr>
            </w:r>
            <w:r w:rsidRPr="0069297A">
              <w:rPr>
                <w:szCs w:val="18"/>
              </w:rPr>
              <w:fldChar w:fldCharType="separate"/>
            </w:r>
            <w:r w:rsidRPr="00B10B92">
              <w:rPr>
                <w:rFonts w:ascii="Times New Roman" w:hAnsi="Times New Roman" w:cs="Times New Roman"/>
                <w:szCs w:val="18"/>
              </w:rPr>
              <w:t xml:space="preserve">Table </w:t>
            </w:r>
            <w:r w:rsidRPr="00B10B92">
              <w:rPr>
                <w:rFonts w:ascii="Times New Roman" w:hAnsi="Times New Roman" w:cs="Times New Roman"/>
                <w:noProof/>
                <w:szCs w:val="18"/>
              </w:rPr>
              <w:t>1</w:t>
            </w:r>
            <w:r w:rsidRPr="0069297A">
              <w:rPr>
                <w:szCs w:val="18"/>
              </w:rPr>
              <w:fldChar w:fldCharType="end"/>
            </w:r>
            <w:r>
              <w:rPr>
                <w:rFonts w:ascii="Times New Roman" w:hAnsi="Times New Roman" w:cs="Times New Roman"/>
                <w:szCs w:val="18"/>
              </w:rPr>
              <w:t>) plotted alongside bin-blender data (runs 24</w:t>
            </w:r>
            <w:r w:rsidRPr="0069297A">
              <w:rPr>
                <w:rFonts w:ascii="Times New Roman" w:hAnsi="Times New Roman" w:cs="Times New Roman"/>
                <w:szCs w:val="18"/>
              </w:rPr>
              <w:t>–</w:t>
            </w:r>
            <w:r>
              <w:rPr>
                <w:rFonts w:ascii="Times New Roman" w:hAnsi="Times New Roman" w:cs="Times New Roman"/>
                <w:szCs w:val="18"/>
              </w:rPr>
              <w:t xml:space="preserve">30, </w:t>
            </w:r>
            <w:r w:rsidRPr="0069297A">
              <w:rPr>
                <w:szCs w:val="18"/>
              </w:rPr>
              <w:fldChar w:fldCharType="begin"/>
            </w:r>
            <w:r w:rsidRPr="0069297A">
              <w:rPr>
                <w:rFonts w:ascii="Times New Roman" w:hAnsi="Times New Roman" w:cs="Times New Roman"/>
                <w:szCs w:val="18"/>
              </w:rPr>
              <w:instrText xml:space="preserve"> REF _Ref139985785 \h  \* MERGEFORMAT </w:instrText>
            </w:r>
            <w:r w:rsidRPr="0069297A">
              <w:rPr>
                <w:szCs w:val="18"/>
              </w:rPr>
            </w:r>
            <w:r w:rsidRPr="0069297A">
              <w:rPr>
                <w:szCs w:val="18"/>
              </w:rPr>
              <w:fldChar w:fldCharType="separate"/>
            </w:r>
            <w:r w:rsidRPr="00B10B92">
              <w:rPr>
                <w:rFonts w:ascii="Times New Roman" w:hAnsi="Times New Roman" w:cs="Times New Roman"/>
                <w:szCs w:val="18"/>
              </w:rPr>
              <w:t xml:space="preserve">Table </w:t>
            </w:r>
            <w:r w:rsidRPr="00B10B92">
              <w:rPr>
                <w:rFonts w:ascii="Times New Roman" w:hAnsi="Times New Roman" w:cs="Times New Roman"/>
                <w:noProof/>
                <w:szCs w:val="18"/>
              </w:rPr>
              <w:t>1</w:t>
            </w:r>
            <w:r w:rsidRPr="0069297A">
              <w:rPr>
                <w:szCs w:val="18"/>
              </w:rPr>
              <w:fldChar w:fldCharType="end"/>
            </w:r>
            <w:r>
              <w:rPr>
                <w:rFonts w:ascii="Times New Roman" w:hAnsi="Times New Roman" w:cs="Times New Roman"/>
                <w:szCs w:val="18"/>
              </w:rPr>
              <w:t xml:space="preserve">) </w:t>
            </w:r>
            <w:r w:rsidRPr="0069297A">
              <w:rPr>
                <w:rFonts w:ascii="Times New Roman" w:hAnsi="Times New Roman" w:cs="Times New Roman"/>
                <w:szCs w:val="18"/>
              </w:rPr>
              <w:t>according to Eq. (</w:t>
            </w:r>
            <w:r>
              <w:rPr>
                <w:szCs w:val="18"/>
              </w:rPr>
              <w:fldChar w:fldCharType="begin"/>
            </w:r>
            <w:r>
              <w:rPr>
                <w:rFonts w:ascii="Times New Roman" w:hAnsi="Times New Roman" w:cs="Times New Roman"/>
                <w:szCs w:val="18"/>
              </w:rPr>
              <w:instrText xml:space="preserve"> REF _Ref149907650 \h </w:instrText>
            </w:r>
            <w:r>
              <w:rPr>
                <w:szCs w:val="18"/>
              </w:rPr>
            </w:r>
            <w:r>
              <w:rPr>
                <w:szCs w:val="18"/>
              </w:rPr>
              <w:fldChar w:fldCharType="separate"/>
            </w:r>
            <w:r>
              <w:rPr>
                <w:rFonts w:ascii="Times New Roman" w:hAnsi="Times New Roman" w:cs="Times New Roman"/>
                <w:noProof/>
                <w:sz w:val="20"/>
              </w:rPr>
              <w:t>4</w:t>
            </w:r>
            <w:r>
              <w:rPr>
                <w:szCs w:val="18"/>
              </w:rPr>
              <w:fldChar w:fldCharType="end"/>
            </w:r>
            <w:r w:rsidRPr="0069297A">
              <w:rPr>
                <w:rFonts w:ascii="Times New Roman" w:hAnsi="Times New Roman" w:cs="Times New Roman"/>
                <w:szCs w:val="18"/>
              </w:rPr>
              <w:t>).</w:t>
            </w:r>
          </w:p>
        </w:tc>
      </w:tr>
    </w:tbl>
    <w:tbl>
      <w:tblPr>
        <w:tblStyle w:val="TableGrid"/>
        <w:tblW w:w="7088" w:type="dxa"/>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88"/>
      </w:tblGrid>
      <w:tr w:rsidR="00FF2D33" w14:paraId="6636EEE6" w14:textId="77777777" w:rsidTr="0012434C">
        <w:tc>
          <w:tcPr>
            <w:tcW w:w="7088" w:type="dxa"/>
            <w:tcBorders>
              <w:top w:val="single" w:sz="4" w:space="0" w:color="auto"/>
              <w:bottom w:val="single" w:sz="4" w:space="0" w:color="auto"/>
            </w:tcBorders>
          </w:tcPr>
          <w:p w14:paraId="0217CD98" w14:textId="77777777" w:rsidR="00FF2D33" w:rsidRPr="00BB3CCB" w:rsidRDefault="00FF2D33" w:rsidP="00FF2D33">
            <w:pPr>
              <w:pStyle w:val="Caption"/>
              <w:framePr w:w="7088" w:wrap="notBeside" w:vAnchor="page" w:hAnchor="page" w:x="2421" w:y="9044"/>
              <w:jc w:val="center"/>
              <w:rPr>
                <w:b/>
                <w:bCs/>
              </w:rPr>
            </w:pPr>
            <w:r w:rsidRPr="007C1165">
              <w:rPr>
                <w:b/>
                <w:bCs/>
                <w:noProof/>
                <w:lang w:val="en-GB" w:eastAsia="en-GB"/>
              </w:rPr>
              <w:drawing>
                <wp:inline distT="0" distB="0" distL="0" distR="0" wp14:anchorId="153C8971" wp14:editId="4E717769">
                  <wp:extent cx="3960000" cy="2408464"/>
                  <wp:effectExtent l="0" t="0" r="2540" b="0"/>
                  <wp:docPr id="9496937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0000" cy="2408464"/>
                          </a:xfrm>
                          <a:prstGeom prst="rect">
                            <a:avLst/>
                          </a:prstGeom>
                          <a:noFill/>
                          <a:ln>
                            <a:noFill/>
                          </a:ln>
                        </pic:spPr>
                      </pic:pic>
                    </a:graphicData>
                  </a:graphic>
                </wp:inline>
              </w:drawing>
            </w:r>
          </w:p>
        </w:tc>
      </w:tr>
      <w:tr w:rsidR="00FF2D33" w14:paraId="6317EBA1" w14:textId="77777777" w:rsidTr="0012434C">
        <w:tc>
          <w:tcPr>
            <w:tcW w:w="7088" w:type="dxa"/>
            <w:tcBorders>
              <w:top w:val="single" w:sz="4" w:space="0" w:color="auto"/>
              <w:bottom w:val="single" w:sz="4" w:space="0" w:color="auto"/>
            </w:tcBorders>
          </w:tcPr>
          <w:p w14:paraId="6477CD9D" w14:textId="77777777" w:rsidR="00FF2D33" w:rsidRPr="001B2674" w:rsidRDefault="00FF2D33" w:rsidP="00FF2D33">
            <w:pPr>
              <w:pStyle w:val="Caption"/>
              <w:framePr w:w="7088" w:wrap="notBeside" w:vAnchor="page" w:hAnchor="page" w:x="2421" w:y="9044"/>
              <w:jc w:val="both"/>
              <w:rPr>
                <w:rFonts w:ascii="Times New Roman" w:hAnsi="Times New Roman" w:cs="Times New Roman"/>
                <w:szCs w:val="18"/>
              </w:rPr>
            </w:pPr>
            <w:bookmarkStart w:id="9" w:name="_Ref139992638"/>
            <w:r w:rsidRPr="00137204">
              <w:rPr>
                <w:rFonts w:ascii="Times New Roman" w:hAnsi="Times New Roman" w:cs="Times New Roman"/>
                <w:b/>
                <w:bCs/>
              </w:rPr>
              <w:t xml:space="preserve">Figure </w:t>
            </w:r>
            <w:r w:rsidRPr="00137204">
              <w:rPr>
                <w:b/>
                <w:bCs/>
              </w:rPr>
              <w:fldChar w:fldCharType="begin"/>
            </w:r>
            <w:r w:rsidRPr="00137204">
              <w:rPr>
                <w:rFonts w:ascii="Times New Roman" w:hAnsi="Times New Roman" w:cs="Times New Roman"/>
                <w:b/>
                <w:bCs/>
              </w:rPr>
              <w:instrText xml:space="preserve"> SEQ Figure \* ARABIC </w:instrText>
            </w:r>
            <w:r w:rsidRPr="00137204">
              <w:rPr>
                <w:b/>
                <w:bCs/>
              </w:rPr>
              <w:fldChar w:fldCharType="separate"/>
            </w:r>
            <w:r>
              <w:rPr>
                <w:rFonts w:ascii="Times New Roman" w:hAnsi="Times New Roman" w:cs="Times New Roman"/>
                <w:b/>
                <w:bCs/>
                <w:noProof/>
              </w:rPr>
              <w:t>3</w:t>
            </w:r>
            <w:r w:rsidRPr="00137204">
              <w:rPr>
                <w:b/>
                <w:bCs/>
              </w:rPr>
              <w:fldChar w:fldCharType="end"/>
            </w:r>
            <w:bookmarkEnd w:id="9"/>
            <w:r w:rsidRPr="00137204">
              <w:rPr>
                <w:rFonts w:ascii="Times New Roman" w:hAnsi="Times New Roman" w:cs="Times New Roman"/>
                <w:b/>
                <w:bCs/>
              </w:rPr>
              <w:t>.</w:t>
            </w:r>
            <w:r w:rsidRPr="00137204">
              <w:rPr>
                <w:rFonts w:ascii="Times New Roman" w:hAnsi="Times New Roman" w:cs="Times New Roman"/>
              </w:rPr>
              <w:t xml:space="preserve"> Compaction data for </w:t>
            </w:r>
            <w:r>
              <w:rPr>
                <w:rFonts w:ascii="Times New Roman" w:hAnsi="Times New Roman" w:cs="Times New Roman"/>
              </w:rPr>
              <w:t xml:space="preserve">varying with blending speed and </w:t>
            </w:r>
            <w:r w:rsidRPr="0069297A">
              <w:rPr>
                <w:rFonts w:ascii="Times New Roman" w:hAnsi="Times New Roman" w:cs="Times New Roman"/>
                <w:szCs w:val="18"/>
              </w:rPr>
              <w:t xml:space="preserve">time </w:t>
            </w:r>
            <w:r>
              <w:rPr>
                <w:rFonts w:ascii="Times New Roman" w:hAnsi="Times New Roman" w:cs="Times New Roman"/>
                <w:szCs w:val="18"/>
              </w:rPr>
              <w:t>(</w:t>
            </w:r>
            <w:r w:rsidRPr="0069297A">
              <w:rPr>
                <w:szCs w:val="18"/>
              </w:rPr>
              <w:fldChar w:fldCharType="begin"/>
            </w:r>
            <w:r w:rsidRPr="0069297A">
              <w:rPr>
                <w:rFonts w:ascii="Times New Roman" w:hAnsi="Times New Roman" w:cs="Times New Roman"/>
                <w:szCs w:val="18"/>
              </w:rPr>
              <w:instrText xml:space="preserve"> REF _Ref139985785 \h  \* MERGEFORMAT </w:instrText>
            </w:r>
            <w:r w:rsidRPr="0069297A">
              <w:rPr>
                <w:szCs w:val="18"/>
              </w:rPr>
            </w:r>
            <w:r w:rsidRPr="0069297A">
              <w:rPr>
                <w:szCs w:val="18"/>
              </w:rPr>
              <w:fldChar w:fldCharType="separate"/>
            </w:r>
            <w:r w:rsidRPr="00B10B92">
              <w:rPr>
                <w:rFonts w:ascii="Times New Roman" w:hAnsi="Times New Roman" w:cs="Times New Roman"/>
                <w:szCs w:val="18"/>
              </w:rPr>
              <w:t xml:space="preserve">Table </w:t>
            </w:r>
            <w:r w:rsidRPr="00B10B92">
              <w:rPr>
                <w:rFonts w:ascii="Times New Roman" w:hAnsi="Times New Roman" w:cs="Times New Roman"/>
                <w:noProof/>
                <w:szCs w:val="18"/>
              </w:rPr>
              <w:t>1</w:t>
            </w:r>
            <w:r w:rsidRPr="0069297A">
              <w:rPr>
                <w:szCs w:val="18"/>
              </w:rPr>
              <w:fldChar w:fldCharType="end"/>
            </w:r>
            <w:r>
              <w:rPr>
                <w:rFonts w:ascii="Times New Roman" w:hAnsi="Times New Roman" w:cs="Times New Roman"/>
                <w:szCs w:val="18"/>
              </w:rPr>
              <w:t>)</w:t>
            </w:r>
            <w:r w:rsidRPr="0069297A">
              <w:rPr>
                <w:rFonts w:ascii="Times New Roman" w:hAnsi="Times New Roman" w:cs="Times New Roman"/>
                <w:szCs w:val="18"/>
              </w:rPr>
              <w:t xml:space="preserve">. </w:t>
            </w:r>
            <w:r>
              <w:rPr>
                <w:rFonts w:ascii="Times New Roman" w:hAnsi="Times New Roman" w:cs="Times New Roman"/>
                <w:szCs w:val="18"/>
              </w:rPr>
              <w:t xml:space="preserve">Speeds of </w:t>
            </w:r>
            <w:r w:rsidRPr="0069297A">
              <w:rPr>
                <w:rFonts w:ascii="Times New Roman" w:hAnsi="Times New Roman" w:cs="Times New Roman"/>
                <w:szCs w:val="18"/>
              </w:rPr>
              <w:t xml:space="preserve">50, 100, 200 and 300 </w:t>
            </w:r>
            <w:r>
              <w:rPr>
                <w:rFonts w:ascii="Times New Roman" w:hAnsi="Times New Roman" w:cs="Times New Roman"/>
                <w:szCs w:val="18"/>
              </w:rPr>
              <w:t xml:space="preserve">RPM correspond to </w:t>
            </w:r>
            <w:r w:rsidRPr="0069297A">
              <w:rPr>
                <w:rFonts w:ascii="Times New Roman" w:hAnsi="Times New Roman" w:cs="Times New Roman"/>
                <w:i/>
                <w:iCs/>
                <w:szCs w:val="18"/>
              </w:rPr>
              <w:t>Fr</w:t>
            </w:r>
            <w:r w:rsidRPr="0069297A">
              <w:rPr>
                <w:rFonts w:ascii="Times New Roman" w:hAnsi="Times New Roman" w:cs="Times New Roman"/>
                <w:szCs w:val="18"/>
              </w:rPr>
              <w:t xml:space="preserve"> values</w:t>
            </w:r>
            <w:r>
              <w:rPr>
                <w:rFonts w:ascii="Times New Roman" w:hAnsi="Times New Roman" w:cs="Times New Roman"/>
                <w:szCs w:val="18"/>
              </w:rPr>
              <w:t xml:space="preserve"> of</w:t>
            </w:r>
            <w:r w:rsidRPr="0069297A">
              <w:rPr>
                <w:rFonts w:ascii="Times New Roman" w:hAnsi="Times New Roman" w:cs="Times New Roman"/>
                <w:szCs w:val="18"/>
              </w:rPr>
              <w:t xml:space="preserve"> 0.33, 1.33, 5.32, and 11.97</w:t>
            </w:r>
            <w:r>
              <w:rPr>
                <w:rFonts w:ascii="Times New Roman" w:hAnsi="Times New Roman" w:cs="Times New Roman"/>
                <w:szCs w:val="18"/>
              </w:rPr>
              <w:t>.</w:t>
            </w:r>
            <w:r w:rsidRPr="0069297A">
              <w:rPr>
                <w:rFonts w:ascii="Times New Roman" w:hAnsi="Times New Roman" w:cs="Times New Roman"/>
                <w:szCs w:val="18"/>
              </w:rPr>
              <w:t xml:space="preserve"> </w:t>
            </w:r>
            <w:r>
              <w:rPr>
                <w:rFonts w:ascii="Times New Roman" w:hAnsi="Times New Roman" w:cs="Times New Roman"/>
                <w:szCs w:val="18"/>
              </w:rPr>
              <w:t xml:space="preserve">Mini-blender data </w:t>
            </w:r>
            <w:r w:rsidRPr="0069297A">
              <w:rPr>
                <w:rFonts w:ascii="Times New Roman" w:hAnsi="Times New Roman" w:cs="Times New Roman"/>
                <w:szCs w:val="18"/>
              </w:rPr>
              <w:t xml:space="preserve">(runs 01–24, </w:t>
            </w:r>
            <w:r w:rsidRPr="0069297A">
              <w:rPr>
                <w:szCs w:val="18"/>
              </w:rPr>
              <w:fldChar w:fldCharType="begin"/>
            </w:r>
            <w:r w:rsidRPr="0069297A">
              <w:rPr>
                <w:rFonts w:ascii="Times New Roman" w:hAnsi="Times New Roman" w:cs="Times New Roman"/>
                <w:szCs w:val="18"/>
              </w:rPr>
              <w:instrText xml:space="preserve"> REF _Ref139985785 \h  \* MERGEFORMAT </w:instrText>
            </w:r>
            <w:r w:rsidRPr="0069297A">
              <w:rPr>
                <w:szCs w:val="18"/>
              </w:rPr>
            </w:r>
            <w:r w:rsidRPr="0069297A">
              <w:rPr>
                <w:szCs w:val="18"/>
              </w:rPr>
              <w:fldChar w:fldCharType="separate"/>
            </w:r>
            <w:r w:rsidRPr="00B10B92">
              <w:rPr>
                <w:rFonts w:ascii="Times New Roman" w:hAnsi="Times New Roman" w:cs="Times New Roman"/>
                <w:szCs w:val="18"/>
              </w:rPr>
              <w:t xml:space="preserve">Table </w:t>
            </w:r>
            <w:r w:rsidRPr="00B10B92">
              <w:rPr>
                <w:rFonts w:ascii="Times New Roman" w:hAnsi="Times New Roman" w:cs="Times New Roman"/>
                <w:noProof/>
                <w:szCs w:val="18"/>
              </w:rPr>
              <w:t>1</w:t>
            </w:r>
            <w:r w:rsidRPr="0069297A">
              <w:rPr>
                <w:szCs w:val="18"/>
              </w:rPr>
              <w:fldChar w:fldCharType="end"/>
            </w:r>
            <w:r>
              <w:rPr>
                <w:rFonts w:ascii="Times New Roman" w:hAnsi="Times New Roman" w:cs="Times New Roman"/>
                <w:szCs w:val="18"/>
              </w:rPr>
              <w:t xml:space="preserve">) </w:t>
            </w:r>
            <w:r w:rsidRPr="0069297A">
              <w:rPr>
                <w:rFonts w:ascii="Times New Roman" w:hAnsi="Times New Roman" w:cs="Times New Roman"/>
                <w:szCs w:val="18"/>
              </w:rPr>
              <w:t>according to Eq. (</w:t>
            </w:r>
            <w:r>
              <w:rPr>
                <w:szCs w:val="18"/>
              </w:rPr>
              <w:fldChar w:fldCharType="begin"/>
            </w:r>
            <w:r>
              <w:rPr>
                <w:rFonts w:ascii="Times New Roman" w:hAnsi="Times New Roman" w:cs="Times New Roman"/>
                <w:szCs w:val="18"/>
              </w:rPr>
              <w:instrText xml:space="preserve"> REF _Ref149907650 \h </w:instrText>
            </w:r>
            <w:r>
              <w:rPr>
                <w:szCs w:val="18"/>
              </w:rPr>
            </w:r>
            <w:r>
              <w:rPr>
                <w:szCs w:val="18"/>
              </w:rPr>
              <w:fldChar w:fldCharType="separate"/>
            </w:r>
            <w:r>
              <w:rPr>
                <w:rFonts w:ascii="Times New Roman" w:hAnsi="Times New Roman" w:cs="Times New Roman"/>
                <w:noProof/>
                <w:sz w:val="20"/>
              </w:rPr>
              <w:t>4</w:t>
            </w:r>
            <w:r>
              <w:rPr>
                <w:szCs w:val="18"/>
              </w:rPr>
              <w:fldChar w:fldCharType="end"/>
            </w:r>
            <w:r w:rsidRPr="0069297A">
              <w:rPr>
                <w:rFonts w:ascii="Times New Roman" w:hAnsi="Times New Roman" w:cs="Times New Roman"/>
                <w:szCs w:val="18"/>
              </w:rPr>
              <w:t>)</w:t>
            </w:r>
            <w:r>
              <w:rPr>
                <w:rFonts w:ascii="Times New Roman" w:hAnsi="Times New Roman" w:cs="Times New Roman"/>
                <w:szCs w:val="18"/>
              </w:rPr>
              <w:t xml:space="preserve"> for solid fraction (SF) of 0.85, 0.80, and 0.75</w:t>
            </w:r>
            <w:r w:rsidRPr="0069297A">
              <w:rPr>
                <w:rFonts w:ascii="Times New Roman" w:hAnsi="Times New Roman" w:cs="Times New Roman"/>
                <w:szCs w:val="18"/>
              </w:rPr>
              <w:t>.</w:t>
            </w:r>
          </w:p>
        </w:tc>
      </w:tr>
    </w:tbl>
    <w:p w14:paraId="5BDAF7C7" w14:textId="7A606C73" w:rsidR="00B17199" w:rsidRDefault="00B17199" w:rsidP="003D7372">
      <w:pPr>
        <w:pStyle w:val="Els-body-text"/>
      </w:pPr>
    </w:p>
    <w:p w14:paraId="144DE6BA" w14:textId="686EF606" w:rsidR="008D2649" w:rsidRDefault="008D2649" w:rsidP="008D2649">
      <w:pPr>
        <w:pStyle w:val="Els-1storder-head"/>
        <w:spacing w:after="120"/>
        <w:rPr>
          <w:lang w:val="en-GB"/>
        </w:rPr>
      </w:pPr>
      <w:r w:rsidRPr="00A94774">
        <w:rPr>
          <w:lang w:val="en-GB"/>
        </w:rPr>
        <w:lastRenderedPageBreak/>
        <w:t>Conclusions</w:t>
      </w:r>
    </w:p>
    <w:p w14:paraId="03E13D1E" w14:textId="54727950" w:rsidR="006F3D61" w:rsidRDefault="001C5562" w:rsidP="006F3D61">
      <w:pPr>
        <w:pStyle w:val="Els-body-text"/>
        <w:rPr>
          <w:lang w:val="en-GB"/>
        </w:rPr>
      </w:pPr>
      <w:r>
        <w:rPr>
          <w:lang w:val="en-GB"/>
        </w:rPr>
        <w:t>There is significant research interest in novel pharmaceutical production methods, and this is the case for dry powder blending</w:t>
      </w:r>
      <w:r w:rsidR="001C2CBB">
        <w:rPr>
          <w:lang w:val="en-GB"/>
        </w:rPr>
        <w:t>, relevant for Continuous Direct Compaction</w:t>
      </w:r>
      <w:r>
        <w:rPr>
          <w:lang w:val="en-GB"/>
        </w:rPr>
        <w:t xml:space="preserve">. Evaluations of existing approaches in literature for modelling the impact that batch blender operation has on lubrication extent (assessed via tablet tensile strength) suggests that modifications are required to extend the model to devices such as a mini-blender (that can operate at substantially higher blending speeds). Results show that modifying the existing approach to include a new term based on the root of the Froude number </w:t>
      </w:r>
      <w:r w:rsidR="001C2CBB">
        <w:rPr>
          <w:lang w:val="en-GB"/>
        </w:rPr>
        <w:t>shows promise, with this modification resulting in one overall trend across different blending speeds. Moreover, the approach appears to work for batch blender data as well.</w:t>
      </w:r>
    </w:p>
    <w:p w14:paraId="3B9F498C" w14:textId="77777777" w:rsidR="0012434C" w:rsidRDefault="0012434C" w:rsidP="0012434C">
      <w:pPr>
        <w:pStyle w:val="Els-reference-head"/>
      </w:pPr>
      <w:r>
        <w:t>Acknowledgements</w:t>
      </w:r>
    </w:p>
    <w:p w14:paraId="46A4CED3" w14:textId="35C986AE" w:rsidR="0012434C" w:rsidRPr="001C5562" w:rsidRDefault="0012434C" w:rsidP="0012434C">
      <w:pPr>
        <w:pStyle w:val="Els-body-text"/>
        <w:spacing w:after="120"/>
        <w:rPr>
          <w:lang w:val="en-GB"/>
        </w:rPr>
      </w:pPr>
      <w:r>
        <w:t>This work has been funded by the Medicines Manufacturing Innovation Centre project (MMIC), UK (project ownership: Centre for Process Innovation, CPI). Funding has come from Innovate UK and Scottish Enterprise. Founding industry partners with significant financial and technical support are AstraZeneca and GlaxoSmithKline. The University of Strathclyde (via CMAC) is the founding academic partner. Pfizer are project partners and have provided key technical input and data. Project partners DFE Pharma have provided materials and technical input, and project partners Gericke AG have provided technical equipment support and advice. Project partners Siemens and Applied Materials have provided key software and software/IT expertise.</w:t>
      </w:r>
    </w:p>
    <w:p w14:paraId="144DE6BF" w14:textId="608D0AD6" w:rsidR="008D2649" w:rsidRDefault="008D2649" w:rsidP="008D2649">
      <w:pPr>
        <w:pStyle w:val="Els-reference-head"/>
      </w:pPr>
      <w:r>
        <w:t>References</w:t>
      </w:r>
    </w:p>
    <w:p w14:paraId="6534B4CF" w14:textId="624D4625" w:rsidR="007B497A" w:rsidRPr="007B497A" w:rsidRDefault="00E54B26" w:rsidP="007B497A">
      <w:pPr>
        <w:pStyle w:val="Bibliography"/>
        <w:rPr>
          <w:sz w:val="18"/>
        </w:rPr>
      </w:pPr>
      <w:r>
        <w:rPr>
          <w:lang w:val="en-US"/>
        </w:rPr>
        <w:fldChar w:fldCharType="begin"/>
      </w:r>
      <w:r w:rsidR="001C2CBB">
        <w:rPr>
          <w:lang w:val="en-US"/>
        </w:rPr>
        <w:instrText xml:space="preserve"> ADDIN ZOTERO_BIBL {"uncited":[],"omitted":[],"custom":[]} CSL_BIBLIOGRAPHY </w:instrText>
      </w:r>
      <w:r>
        <w:rPr>
          <w:lang w:val="en-US"/>
        </w:rPr>
        <w:fldChar w:fldCharType="separate"/>
      </w:r>
      <w:r w:rsidR="007B497A" w:rsidRPr="007B497A">
        <w:rPr>
          <w:sz w:val="18"/>
        </w:rPr>
        <w:t xml:space="preserve">Brone, D., Alexander, A., Muzzio, F.J., 1998. </w:t>
      </w:r>
      <w:r w:rsidR="007B497A">
        <w:rPr>
          <w:sz w:val="18"/>
        </w:rPr>
        <w:t>AIChE J. 44, 271–278.</w:t>
      </w:r>
    </w:p>
    <w:p w14:paraId="320945D0" w14:textId="5484E81B" w:rsidR="007B497A" w:rsidRPr="007B497A" w:rsidRDefault="007B497A" w:rsidP="007B497A">
      <w:pPr>
        <w:pStyle w:val="Bibliography"/>
        <w:rPr>
          <w:sz w:val="18"/>
        </w:rPr>
      </w:pPr>
      <w:r w:rsidRPr="007B497A">
        <w:rPr>
          <w:sz w:val="18"/>
        </w:rPr>
        <w:t xml:space="preserve">Cervera-Padrell, A.E., Gani, R., Kiil, S., Skovby, T., Gernaey, K.V., 2011. </w:t>
      </w:r>
      <w:r w:rsidR="00E3399C">
        <w:rPr>
          <w:sz w:val="18"/>
        </w:rPr>
        <w:t>I</w:t>
      </w:r>
      <w:r w:rsidRPr="007B497A">
        <w:rPr>
          <w:sz w:val="18"/>
        </w:rPr>
        <w:t>n: 21st European Symposium on Computer Aided Process Engineering, Computer-Aided Chemical Engineering. Elsevier, AMSTERDAM, pp. 271–275.</w:t>
      </w:r>
    </w:p>
    <w:p w14:paraId="28C80385" w14:textId="77777777" w:rsidR="007B497A" w:rsidRPr="007B497A" w:rsidRDefault="007B497A" w:rsidP="007B497A">
      <w:pPr>
        <w:pStyle w:val="Bibliography"/>
        <w:rPr>
          <w:sz w:val="18"/>
        </w:rPr>
      </w:pPr>
      <w:r w:rsidRPr="007B497A">
        <w:rPr>
          <w:sz w:val="18"/>
        </w:rPr>
        <w:t>Duckworth, W., 1953. Discussion of Ryshkewitch Paper. J. Am. Ceram. Soc. 36.</w:t>
      </w:r>
    </w:p>
    <w:p w14:paraId="1C3BDFAF" w14:textId="09C940C2" w:rsidR="007B497A" w:rsidRPr="007B497A" w:rsidRDefault="007B497A" w:rsidP="007B497A">
      <w:pPr>
        <w:pStyle w:val="Bibliography"/>
        <w:rPr>
          <w:sz w:val="18"/>
        </w:rPr>
      </w:pPr>
      <w:r w:rsidRPr="007B497A">
        <w:rPr>
          <w:sz w:val="18"/>
        </w:rPr>
        <w:t>Gao, Y., Muzzio, F.J., Ierapetritou, M.G., 2013. Powder Technol. 235, 55–69. https://doi.org/10.1016/j.powtec.2012.09.036</w:t>
      </w:r>
    </w:p>
    <w:p w14:paraId="4000F24C" w14:textId="307A6C55" w:rsidR="007B497A" w:rsidRPr="007B497A" w:rsidRDefault="007B497A" w:rsidP="007B497A">
      <w:pPr>
        <w:pStyle w:val="Bibliography"/>
        <w:rPr>
          <w:sz w:val="18"/>
        </w:rPr>
      </w:pPr>
      <w:r w:rsidRPr="007B497A">
        <w:rPr>
          <w:sz w:val="18"/>
        </w:rPr>
        <w:t xml:space="preserve">Gerogiorgis, D.I., Barton, P.I., 2009. </w:t>
      </w:r>
      <w:r w:rsidR="00E3399C">
        <w:rPr>
          <w:sz w:val="18"/>
        </w:rPr>
        <w:t>I</w:t>
      </w:r>
      <w:r w:rsidRPr="007B497A">
        <w:rPr>
          <w:sz w:val="18"/>
        </w:rPr>
        <w:t>n: Rita Maria de Brito Alves, C.A.O. do N. and E.C.B. (Ed.), Computer Aided Chemical Engineering, 10th International Symposium on Process Systems Engineering: Part A. Elsevier, pp. 927–932.</w:t>
      </w:r>
    </w:p>
    <w:p w14:paraId="7F5C3083" w14:textId="32FCE8B8" w:rsidR="007B497A" w:rsidRPr="007B497A" w:rsidRDefault="007B497A" w:rsidP="007B497A">
      <w:pPr>
        <w:pStyle w:val="Bibliography"/>
        <w:rPr>
          <w:sz w:val="18"/>
        </w:rPr>
      </w:pPr>
      <w:r w:rsidRPr="007B497A">
        <w:rPr>
          <w:sz w:val="18"/>
        </w:rPr>
        <w:t>Ierapetritou, M., Muzzio, F., Reklaitis, G., 2016. AIChE J. 62, 1846–1862. h</w:t>
      </w:r>
    </w:p>
    <w:p w14:paraId="0EBE08CE" w14:textId="11537046" w:rsidR="007B497A" w:rsidRPr="007B497A" w:rsidRDefault="007B497A" w:rsidP="007B497A">
      <w:pPr>
        <w:pStyle w:val="Bibliography"/>
        <w:rPr>
          <w:sz w:val="18"/>
        </w:rPr>
      </w:pPr>
      <w:r w:rsidRPr="007B497A">
        <w:rPr>
          <w:sz w:val="18"/>
        </w:rPr>
        <w:t>Jaspers, M., Roelofs, T.P., Lohrmann, A., Tegel, F., Maqsood, M.K., Song, Y.L., Meir, B., Elkes, R., Dickhoff, B.H.J., 2023.</w:t>
      </w:r>
      <w:r w:rsidR="00E3399C">
        <w:rPr>
          <w:sz w:val="18"/>
        </w:rPr>
        <w:t xml:space="preserve"> Powder Technol. 428,</w:t>
      </w:r>
    </w:p>
    <w:p w14:paraId="2B647A03" w14:textId="089032C1" w:rsidR="007B497A" w:rsidRPr="007B497A" w:rsidRDefault="007B497A" w:rsidP="007B497A">
      <w:pPr>
        <w:pStyle w:val="Bibliography"/>
        <w:rPr>
          <w:sz w:val="18"/>
        </w:rPr>
      </w:pPr>
      <w:r w:rsidRPr="007B497A">
        <w:rPr>
          <w:sz w:val="18"/>
        </w:rPr>
        <w:t>Kushner, J., 2012.</w:t>
      </w:r>
      <w:r w:rsidR="00E3399C">
        <w:rPr>
          <w:sz w:val="18"/>
        </w:rPr>
        <w:t xml:space="preserve"> Int. J. Pharm. 429, 1–11.</w:t>
      </w:r>
      <w:r w:rsidRPr="007B497A">
        <w:rPr>
          <w:sz w:val="18"/>
        </w:rPr>
        <w:t>0</w:t>
      </w:r>
    </w:p>
    <w:p w14:paraId="48A9A140" w14:textId="29D6B7AD" w:rsidR="007B497A" w:rsidRPr="007B497A" w:rsidRDefault="007B497A" w:rsidP="007B497A">
      <w:pPr>
        <w:pStyle w:val="Bibliography"/>
        <w:rPr>
          <w:sz w:val="18"/>
        </w:rPr>
      </w:pPr>
      <w:r w:rsidRPr="007B497A">
        <w:rPr>
          <w:sz w:val="18"/>
        </w:rPr>
        <w:t>Kushner, J., Moore, F., 2010.</w:t>
      </w:r>
      <w:r w:rsidR="00E3399C">
        <w:rPr>
          <w:sz w:val="18"/>
        </w:rPr>
        <w:t xml:space="preserve"> Int. J. Pharm. 399, 19–30.</w:t>
      </w:r>
    </w:p>
    <w:p w14:paraId="2E9BFE20" w14:textId="44E2384B" w:rsidR="007B497A" w:rsidRPr="007B497A" w:rsidRDefault="007B497A" w:rsidP="007B497A">
      <w:pPr>
        <w:pStyle w:val="Bibliography"/>
        <w:rPr>
          <w:sz w:val="18"/>
        </w:rPr>
      </w:pPr>
      <w:r w:rsidRPr="007B497A">
        <w:rPr>
          <w:sz w:val="18"/>
        </w:rPr>
        <w:t xml:space="preserve">Kushner, J., Schlack, H., 2014. </w:t>
      </w:r>
      <w:r w:rsidR="00E3399C">
        <w:rPr>
          <w:sz w:val="18"/>
        </w:rPr>
        <w:t>Int. J. Pharm. 475, 147–155.</w:t>
      </w:r>
    </w:p>
    <w:p w14:paraId="3170DE5A" w14:textId="0F4D80AB" w:rsidR="007B497A" w:rsidRPr="007B497A" w:rsidRDefault="007B497A" w:rsidP="007B497A">
      <w:pPr>
        <w:pStyle w:val="Bibliography"/>
        <w:rPr>
          <w:sz w:val="18"/>
        </w:rPr>
      </w:pPr>
      <w:r w:rsidRPr="007B497A">
        <w:rPr>
          <w:sz w:val="18"/>
        </w:rPr>
        <w:t>Lee, S.L., O’Connor, T.F., Yang, X., Cruz, C.N., Chatterjee, S., Madurawe, R.D., Moore, C.M.V., Yu, L.X., Woodcock, J., 2015.</w:t>
      </w:r>
      <w:r w:rsidR="00E3399C">
        <w:rPr>
          <w:sz w:val="18"/>
        </w:rPr>
        <w:t xml:space="preserve"> J. Pharm. Innov. 1–9.</w:t>
      </w:r>
    </w:p>
    <w:p w14:paraId="520EFC89" w14:textId="3C846EFE" w:rsidR="007B497A" w:rsidRPr="007B497A" w:rsidRDefault="007B497A" w:rsidP="007B497A">
      <w:pPr>
        <w:pStyle w:val="Bibliography"/>
        <w:rPr>
          <w:sz w:val="18"/>
        </w:rPr>
      </w:pPr>
      <w:r w:rsidRPr="007B497A">
        <w:rPr>
          <w:sz w:val="18"/>
        </w:rPr>
        <w:t xml:space="preserve">Moghtadernejad, S., Escotet-Espinoza, M.S., Oka, S., Singh, R., Liu, Z., Román-Ospino, A.D., Li, T., Razavi, S., Panikar, S., Scicolone, J., Callegari, G., Hausner, D., Muzzio, F., 2018. </w:t>
      </w:r>
      <w:r w:rsidR="00E3399C">
        <w:rPr>
          <w:sz w:val="18"/>
        </w:rPr>
        <w:t>Pharm. Innov. 13, 155–187.</w:t>
      </w:r>
    </w:p>
    <w:p w14:paraId="23FAE572" w14:textId="63C209A2" w:rsidR="007B497A" w:rsidRPr="007B497A" w:rsidRDefault="007B497A" w:rsidP="007B497A">
      <w:pPr>
        <w:pStyle w:val="Bibliography"/>
        <w:rPr>
          <w:sz w:val="18"/>
        </w:rPr>
      </w:pPr>
      <w:r w:rsidRPr="007B497A">
        <w:rPr>
          <w:sz w:val="18"/>
        </w:rPr>
        <w:t xml:space="preserve">Nassar, J., Williams, B., Davies, C., Lief, K., Elkes, R., 2021. Int. J. Pharm. 592, 119980. </w:t>
      </w:r>
    </w:p>
    <w:p w14:paraId="6B40F970" w14:textId="49145E78" w:rsidR="007B497A" w:rsidRPr="007B497A" w:rsidRDefault="007B497A" w:rsidP="007B497A">
      <w:pPr>
        <w:pStyle w:val="Bibliography"/>
        <w:rPr>
          <w:sz w:val="18"/>
        </w:rPr>
      </w:pPr>
      <w:r w:rsidRPr="007B497A">
        <w:rPr>
          <w:sz w:val="18"/>
        </w:rPr>
        <w:t>Plumb, K., 2005. C</w:t>
      </w:r>
      <w:r w:rsidR="00E3399C">
        <w:rPr>
          <w:sz w:val="18"/>
        </w:rPr>
        <w:t>hem. Eng. Res. Des. 83, 730–738.</w:t>
      </w:r>
    </w:p>
    <w:p w14:paraId="36AE3247" w14:textId="5F253F5E" w:rsidR="007B497A" w:rsidRPr="007B497A" w:rsidRDefault="007B497A" w:rsidP="007B497A">
      <w:pPr>
        <w:pStyle w:val="Bibliography"/>
        <w:rPr>
          <w:sz w:val="18"/>
        </w:rPr>
      </w:pPr>
      <w:r w:rsidRPr="007B497A">
        <w:rPr>
          <w:sz w:val="18"/>
        </w:rPr>
        <w:t>Ryshkewitch, E., 1953. J. Am. Ceram. Soc. 36, 65–68.</w:t>
      </w:r>
    </w:p>
    <w:p w14:paraId="53CB998B" w14:textId="75B889BF" w:rsidR="007B497A" w:rsidRPr="007B497A" w:rsidRDefault="007B497A" w:rsidP="007B497A">
      <w:pPr>
        <w:pStyle w:val="Bibliography"/>
        <w:rPr>
          <w:sz w:val="18"/>
        </w:rPr>
      </w:pPr>
      <w:r w:rsidRPr="007B497A">
        <w:rPr>
          <w:sz w:val="18"/>
        </w:rPr>
        <w:t>Vana</w:t>
      </w:r>
      <w:r w:rsidR="00E3399C">
        <w:rPr>
          <w:sz w:val="18"/>
        </w:rPr>
        <w:t>rase, A.U., Muzzio, F.J., 2011.Powder Technol. 208, 26–36.</w:t>
      </w:r>
    </w:p>
    <w:p w14:paraId="144DE6C3" w14:textId="44CE5BD6" w:rsidR="008D2649" w:rsidRDefault="00E54B26" w:rsidP="008D2649">
      <w:pPr>
        <w:pStyle w:val="Els-referenceno-number"/>
        <w:rPr>
          <w:lang w:val="en-US"/>
        </w:rPr>
      </w:pPr>
      <w:r>
        <w:rPr>
          <w:lang w:val="en-US"/>
        </w:rPr>
        <w:fldChar w:fldCharType="end"/>
      </w:r>
    </w:p>
    <w:sectPr w:rsidR="008D2649" w:rsidSect="008B0184">
      <w:headerReference w:type="even" r:id="rId11"/>
      <w:headerReference w:type="default" r:id="rId12"/>
      <w:headerReference w:type="first" r:id="rId13"/>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FBF8D" w14:textId="77777777" w:rsidR="00EB3808" w:rsidRDefault="00EB3808">
      <w:r>
        <w:separator/>
      </w:r>
    </w:p>
  </w:endnote>
  <w:endnote w:type="continuationSeparator" w:id="0">
    <w:p w14:paraId="2A66A2F9" w14:textId="77777777" w:rsidR="00EB3808" w:rsidRDefault="00EB3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91A92" w14:textId="77777777" w:rsidR="00EB3808" w:rsidRDefault="00EB3808">
      <w:r>
        <w:separator/>
      </w:r>
    </w:p>
  </w:footnote>
  <w:footnote w:type="continuationSeparator" w:id="0">
    <w:p w14:paraId="31535E0A" w14:textId="77777777" w:rsidR="00EB3808" w:rsidRDefault="00EB3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DE6C9" w14:textId="313CFE44" w:rsidR="00577693" w:rsidRDefault="00577693">
    <w:pPr>
      <w:pStyle w:val="Header"/>
      <w:tabs>
        <w:tab w:val="clear" w:pos="7200"/>
        <w:tab w:val="right" w:pos="7088"/>
      </w:tabs>
    </w:pPr>
    <w:r>
      <w:rPr>
        <w:rStyle w:val="PageNumber"/>
      </w:rPr>
      <w:tab/>
    </w:r>
    <w:r>
      <w:rPr>
        <w:rStyle w:val="PageNumber"/>
        <w:i/>
      </w:rPr>
      <w:tab/>
    </w:r>
    <w:r>
      <w:rPr>
        <w:i/>
      </w:rPr>
      <w:t>H. G. Jolliffe et 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DE6CA" w14:textId="6DBBD974" w:rsidR="00577693" w:rsidRDefault="00577693" w:rsidP="006F3D61">
    <w:pPr>
      <w:pStyle w:val="Header"/>
      <w:tabs>
        <w:tab w:val="clear" w:pos="7200"/>
        <w:tab w:val="right" w:pos="7088"/>
      </w:tabs>
      <w:jc w:val="center"/>
      <w:rPr>
        <w:sz w:val="24"/>
      </w:rPr>
    </w:pPr>
    <w:r w:rsidRPr="006F3D61">
      <w:rPr>
        <w:i/>
      </w:rPr>
      <w:t>Transferable mini-blender performance impact on continuous direct compaction tablets using a modified Kushner-Moore approach.</w:t>
    </w:r>
    <w:r>
      <w:rPr>
        <w:rStyle w:val="PageNumber"/>
        <w:i/>
        <w:sz w:val="24"/>
      </w:rPr>
      <w:tab/>
    </w:r>
    <w:r>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DE6CB" w14:textId="77777777" w:rsidR="00577693" w:rsidRPr="003B50B5" w:rsidRDefault="00577693"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577693" w:rsidRDefault="00577693"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1E77EBA"/>
    <w:multiLevelType w:val="multilevel"/>
    <w:tmpl w:val="7B366C76"/>
    <w:lvl w:ilvl="0">
      <w:start w:val="1"/>
      <w:numFmt w:val="decimal"/>
      <w:lvlText w:val="%1."/>
      <w:lvlJc w:val="left"/>
      <w:pPr>
        <w:ind w:left="785" w:hanging="360"/>
      </w:pPr>
    </w:lvl>
    <w:lvl w:ilvl="1">
      <w:start w:val="1"/>
      <w:numFmt w:val="decimal"/>
      <w:lvlText w:val="%1.%2"/>
      <w:lvlJc w:val="left"/>
      <w:pPr>
        <w:ind w:left="576" w:hanging="576"/>
      </w:pPr>
    </w:lvl>
    <w:lvl w:ilvl="2">
      <w:start w:val="1"/>
      <w:numFmt w:val="decimal"/>
      <w:lvlText w:val="%1.%2.%3"/>
      <w:lvlJc w:val="left"/>
      <w:pPr>
        <w:ind w:left="256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4"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6"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7"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2"/>
  </w:num>
  <w:num w:numId="3">
    <w:abstractNumId w:val="12"/>
  </w:num>
  <w:num w:numId="4">
    <w:abstractNumId w:val="12"/>
  </w:num>
  <w:num w:numId="5">
    <w:abstractNumId w:val="0"/>
  </w:num>
  <w:num w:numId="6">
    <w:abstractNumId w:val="7"/>
  </w:num>
  <w:num w:numId="7">
    <w:abstractNumId w:val="13"/>
  </w:num>
  <w:num w:numId="8">
    <w:abstractNumId w:val="2"/>
  </w:num>
  <w:num w:numId="9">
    <w:abstractNumId w:val="11"/>
  </w:num>
  <w:num w:numId="10">
    <w:abstractNumId w:val="15"/>
  </w:num>
  <w:num w:numId="11">
    <w:abstractNumId w:val="14"/>
  </w:num>
  <w:num w:numId="12">
    <w:abstractNumId w:val="6"/>
  </w:num>
  <w:num w:numId="13">
    <w:abstractNumId w:val="9"/>
  </w:num>
  <w:num w:numId="14">
    <w:abstractNumId w:val="3"/>
  </w:num>
  <w:num w:numId="15">
    <w:abstractNumId w:val="8"/>
  </w:num>
  <w:num w:numId="16">
    <w:abstractNumId w:val="4"/>
  </w:num>
  <w:num w:numId="17">
    <w:abstractNumId w:val="5"/>
  </w:num>
  <w:num w:numId="18">
    <w:abstractNumId w:val="10"/>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237"/>
    <w:rsid w:val="0005278B"/>
    <w:rsid w:val="00056F47"/>
    <w:rsid w:val="00057E66"/>
    <w:rsid w:val="000C746C"/>
    <w:rsid w:val="000C7F2E"/>
    <w:rsid w:val="000D3D9B"/>
    <w:rsid w:val="00115378"/>
    <w:rsid w:val="0012434C"/>
    <w:rsid w:val="00137204"/>
    <w:rsid w:val="001378BE"/>
    <w:rsid w:val="0016032F"/>
    <w:rsid w:val="001879F6"/>
    <w:rsid w:val="001919C8"/>
    <w:rsid w:val="001B2674"/>
    <w:rsid w:val="001B7D93"/>
    <w:rsid w:val="001C0148"/>
    <w:rsid w:val="001C2CBB"/>
    <w:rsid w:val="001C5562"/>
    <w:rsid w:val="001C757E"/>
    <w:rsid w:val="0020390F"/>
    <w:rsid w:val="00240903"/>
    <w:rsid w:val="00264926"/>
    <w:rsid w:val="002C0D39"/>
    <w:rsid w:val="002D4D90"/>
    <w:rsid w:val="002E4628"/>
    <w:rsid w:val="00303E35"/>
    <w:rsid w:val="003D1582"/>
    <w:rsid w:val="003D7372"/>
    <w:rsid w:val="003D7E4C"/>
    <w:rsid w:val="003E41C2"/>
    <w:rsid w:val="003F3687"/>
    <w:rsid w:val="0049772C"/>
    <w:rsid w:val="004A570C"/>
    <w:rsid w:val="00534113"/>
    <w:rsid w:val="00552EEB"/>
    <w:rsid w:val="00577693"/>
    <w:rsid w:val="00594A9D"/>
    <w:rsid w:val="005B1763"/>
    <w:rsid w:val="005E7231"/>
    <w:rsid w:val="00662109"/>
    <w:rsid w:val="0069297A"/>
    <w:rsid w:val="006A69BF"/>
    <w:rsid w:val="006F23E7"/>
    <w:rsid w:val="006F3D61"/>
    <w:rsid w:val="006F46BC"/>
    <w:rsid w:val="00701D5C"/>
    <w:rsid w:val="00711DF4"/>
    <w:rsid w:val="0076046C"/>
    <w:rsid w:val="007630FE"/>
    <w:rsid w:val="00770192"/>
    <w:rsid w:val="00781051"/>
    <w:rsid w:val="007B497A"/>
    <w:rsid w:val="007C1165"/>
    <w:rsid w:val="007D70A1"/>
    <w:rsid w:val="008132E8"/>
    <w:rsid w:val="0082225F"/>
    <w:rsid w:val="00823407"/>
    <w:rsid w:val="00857699"/>
    <w:rsid w:val="008B0184"/>
    <w:rsid w:val="008C50C0"/>
    <w:rsid w:val="008C5D02"/>
    <w:rsid w:val="008D1D87"/>
    <w:rsid w:val="008D23E8"/>
    <w:rsid w:val="008D2649"/>
    <w:rsid w:val="008F07AF"/>
    <w:rsid w:val="0090504F"/>
    <w:rsid w:val="0090568D"/>
    <w:rsid w:val="009125C9"/>
    <w:rsid w:val="00913879"/>
    <w:rsid w:val="00917661"/>
    <w:rsid w:val="00926CDC"/>
    <w:rsid w:val="00970E5D"/>
    <w:rsid w:val="0097701C"/>
    <w:rsid w:val="00977B9C"/>
    <w:rsid w:val="00980A65"/>
    <w:rsid w:val="009B21A7"/>
    <w:rsid w:val="009C3412"/>
    <w:rsid w:val="00A24C87"/>
    <w:rsid w:val="00A25E70"/>
    <w:rsid w:val="00A33765"/>
    <w:rsid w:val="00A62D07"/>
    <w:rsid w:val="00A63269"/>
    <w:rsid w:val="00A74750"/>
    <w:rsid w:val="00A92377"/>
    <w:rsid w:val="00A94E3C"/>
    <w:rsid w:val="00AB29ED"/>
    <w:rsid w:val="00AC61DF"/>
    <w:rsid w:val="00AD0D97"/>
    <w:rsid w:val="00AE4BD8"/>
    <w:rsid w:val="00B10B92"/>
    <w:rsid w:val="00B17199"/>
    <w:rsid w:val="00B4388F"/>
    <w:rsid w:val="00B44FCC"/>
    <w:rsid w:val="00B63237"/>
    <w:rsid w:val="00C2163F"/>
    <w:rsid w:val="00C23B03"/>
    <w:rsid w:val="00C960DC"/>
    <w:rsid w:val="00CD467F"/>
    <w:rsid w:val="00CD7AAD"/>
    <w:rsid w:val="00D02C75"/>
    <w:rsid w:val="00D10E22"/>
    <w:rsid w:val="00D13D2C"/>
    <w:rsid w:val="00D307B3"/>
    <w:rsid w:val="00D37B63"/>
    <w:rsid w:val="00D96467"/>
    <w:rsid w:val="00DB3683"/>
    <w:rsid w:val="00DC2F94"/>
    <w:rsid w:val="00DD3D9E"/>
    <w:rsid w:val="00DD7908"/>
    <w:rsid w:val="00E3399C"/>
    <w:rsid w:val="00E54B26"/>
    <w:rsid w:val="00E82297"/>
    <w:rsid w:val="00EB3808"/>
    <w:rsid w:val="00ED15A6"/>
    <w:rsid w:val="00EF39FD"/>
    <w:rsid w:val="00F022F7"/>
    <w:rsid w:val="00F06842"/>
    <w:rsid w:val="00F06CEB"/>
    <w:rsid w:val="00F107FD"/>
    <w:rsid w:val="00F315C4"/>
    <w:rsid w:val="00F40D60"/>
    <w:rsid w:val="00F4118A"/>
    <w:rsid w:val="00F5185A"/>
    <w:rsid w:val="00F53194"/>
    <w:rsid w:val="00FB64A8"/>
    <w:rsid w:val="00FF2728"/>
    <w:rsid w:val="00FF2D33"/>
    <w:rsid w:val="00FF5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687"/>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link w:val="CaptionChar"/>
    <w:uiPriority w:val="35"/>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link w:val="FooterChar"/>
    <w:uiPriority w:val="99"/>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uiPriority w:val="99"/>
    <w:semiHidden/>
    <w:rsid w:val="008B0184"/>
    <w:rPr>
      <w:sz w:val="16"/>
      <w:szCs w:val="16"/>
    </w:rPr>
  </w:style>
  <w:style w:type="paragraph" w:styleId="CommentText">
    <w:name w:val="annotation text"/>
    <w:basedOn w:val="Normal"/>
    <w:link w:val="CommentTextChar"/>
    <w:uiPriority w:val="99"/>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table" w:styleId="TableGrid">
    <w:name w:val="Table Grid"/>
    <w:basedOn w:val="TableNormal"/>
    <w:uiPriority w:val="59"/>
    <w:rsid w:val="000C74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977B9C"/>
    <w:rPr>
      <w:lang w:eastAsia="en-US"/>
    </w:rPr>
  </w:style>
  <w:style w:type="paragraph" w:styleId="Bibliography">
    <w:name w:val="Bibliography"/>
    <w:basedOn w:val="Normal"/>
    <w:next w:val="Normal"/>
    <w:uiPriority w:val="37"/>
    <w:unhideWhenUsed/>
    <w:rsid w:val="00E54B26"/>
    <w:pPr>
      <w:ind w:left="720" w:hanging="720"/>
    </w:pPr>
  </w:style>
  <w:style w:type="character" w:customStyle="1" w:styleId="FooterChar">
    <w:name w:val="Footer Char"/>
    <w:basedOn w:val="DefaultParagraphFont"/>
    <w:link w:val="Footer"/>
    <w:uiPriority w:val="99"/>
    <w:rsid w:val="00137204"/>
    <w:rPr>
      <w:noProof/>
      <w:lang w:eastAsia="en-US"/>
    </w:rPr>
  </w:style>
  <w:style w:type="character" w:customStyle="1" w:styleId="CaptionChar">
    <w:name w:val="Caption Char"/>
    <w:basedOn w:val="DefaultParagraphFont"/>
    <w:link w:val="Caption"/>
    <w:uiPriority w:val="35"/>
    <w:rsid w:val="00137204"/>
    <w:rPr>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5A0BB-437F-428F-86A5-B4ED6CA2A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980</TotalTime>
  <Pages>6</Pages>
  <Words>8407</Words>
  <Characters>47926</Characters>
  <Application>Microsoft Office Word</Application>
  <DocSecurity>0</DocSecurity>
  <Lines>399</Lines>
  <Paragraphs>112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56221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Hikaru Jolliffe</cp:lastModifiedBy>
  <cp:revision>35</cp:revision>
  <cp:lastPrinted>2023-11-03T14:51:00Z</cp:lastPrinted>
  <dcterms:created xsi:type="dcterms:W3CDTF">2023-10-02T07:50:00Z</dcterms:created>
  <dcterms:modified xsi:type="dcterms:W3CDTF">2023-12-07T16:04:00Z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ZOTERO_PREF_1">
    <vt:lpwstr>&lt;data data-version="3" zotero-version="6.0.30"&gt;&lt;session id="vSh8PPQ5"/&gt;&lt;style id="http://www.zotero.org/styles/elsevier-harvard" hasBibliography="1" bibliographyStyleHasBeenSet="1"/&gt;&lt;prefs&gt;&lt;pref name="fieldType" value="Field"/&gt;&lt;pref name="automaticJournal</vt:lpwstr>
  </property>
  <property fmtid="{D5CDD505-2E9C-101B-9397-08002B2CF9AE}" pid="11" name="ZOTERO_PREF_2">
    <vt:lpwstr>Abbreviations" value="true"/&gt;&lt;/prefs&gt;&lt;/data&gt;</vt:lpwstr>
  </property>
</Properties>
</file>