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DE67F" w14:textId="28CE1A28" w:rsidR="00DD3D9E" w:rsidRPr="00B4388F" w:rsidRDefault="00AF0F64">
      <w:pPr>
        <w:pStyle w:val="Els-Title"/>
        <w:rPr>
          <w:color w:val="000000" w:themeColor="text1"/>
        </w:rPr>
      </w:pPr>
      <w:bookmarkStart w:id="0" w:name="_Hlk151822603"/>
      <w:r>
        <w:rPr>
          <w:color w:val="000000" w:themeColor="text1"/>
        </w:rPr>
        <w:t>B</w:t>
      </w:r>
      <w:r w:rsidR="007B2958">
        <w:rPr>
          <w:color w:val="000000" w:themeColor="text1"/>
        </w:rPr>
        <w:t>oosted</w:t>
      </w:r>
      <w:r>
        <w:rPr>
          <w:color w:val="000000" w:themeColor="text1"/>
        </w:rPr>
        <w:t xml:space="preserve"> E</w:t>
      </w:r>
      <w:r w:rsidR="007B2958">
        <w:rPr>
          <w:color w:val="000000" w:themeColor="text1"/>
        </w:rPr>
        <w:t>nsemble</w:t>
      </w:r>
      <w:r>
        <w:rPr>
          <w:color w:val="000000" w:themeColor="text1"/>
        </w:rPr>
        <w:t xml:space="preserve"> L</w:t>
      </w:r>
      <w:r w:rsidR="007B2958">
        <w:rPr>
          <w:color w:val="000000" w:themeColor="text1"/>
        </w:rPr>
        <w:t>earning</w:t>
      </w:r>
      <w:r>
        <w:rPr>
          <w:color w:val="000000" w:themeColor="text1"/>
        </w:rPr>
        <w:t xml:space="preserve"> </w:t>
      </w:r>
      <w:r w:rsidR="007B2958">
        <w:rPr>
          <w:color w:val="000000" w:themeColor="text1"/>
        </w:rPr>
        <w:t>for</w:t>
      </w:r>
      <w:r>
        <w:rPr>
          <w:color w:val="000000" w:themeColor="text1"/>
        </w:rPr>
        <w:t xml:space="preserve"> M</w:t>
      </w:r>
      <w:r w:rsidR="007B2958">
        <w:rPr>
          <w:color w:val="000000" w:themeColor="text1"/>
        </w:rPr>
        <w:t>odel</w:t>
      </w:r>
      <w:r>
        <w:rPr>
          <w:color w:val="000000" w:themeColor="text1"/>
        </w:rPr>
        <w:t xml:space="preserve"> P</w:t>
      </w:r>
      <w:r w:rsidR="007B2958">
        <w:rPr>
          <w:color w:val="000000" w:themeColor="text1"/>
        </w:rPr>
        <w:t>redictive Control</w:t>
      </w:r>
      <w:r>
        <w:rPr>
          <w:color w:val="000000" w:themeColor="text1"/>
        </w:rPr>
        <w:t xml:space="preserve"> </w:t>
      </w:r>
      <w:r w:rsidR="00AF22C9">
        <w:rPr>
          <w:color w:val="000000" w:themeColor="text1"/>
        </w:rPr>
        <w:t>with</w:t>
      </w:r>
      <w:r>
        <w:rPr>
          <w:color w:val="000000" w:themeColor="text1"/>
        </w:rPr>
        <w:t xml:space="preserve"> R</w:t>
      </w:r>
      <w:r w:rsidR="007B2958">
        <w:rPr>
          <w:color w:val="000000" w:themeColor="text1"/>
        </w:rPr>
        <w:t>econfiguration</w:t>
      </w:r>
      <w:r>
        <w:rPr>
          <w:color w:val="000000" w:themeColor="text1"/>
        </w:rPr>
        <w:t xml:space="preserve"> </w:t>
      </w:r>
      <w:r w:rsidR="007B2958">
        <w:rPr>
          <w:color w:val="000000" w:themeColor="text1"/>
        </w:rPr>
        <w:t>of</w:t>
      </w:r>
      <w:r>
        <w:rPr>
          <w:color w:val="000000" w:themeColor="text1"/>
        </w:rPr>
        <w:t xml:space="preserve"> M</w:t>
      </w:r>
      <w:r w:rsidR="007B2958">
        <w:rPr>
          <w:color w:val="000000" w:themeColor="text1"/>
        </w:rPr>
        <w:t>odular</w:t>
      </w:r>
      <w:r>
        <w:rPr>
          <w:color w:val="000000" w:themeColor="text1"/>
        </w:rPr>
        <w:t xml:space="preserve"> F</w:t>
      </w:r>
      <w:r w:rsidR="007B2958">
        <w:rPr>
          <w:color w:val="000000" w:themeColor="text1"/>
        </w:rPr>
        <w:t>acilities</w:t>
      </w:r>
    </w:p>
    <w:bookmarkEnd w:id="0"/>
    <w:p w14:paraId="144DE680" w14:textId="4A8CA32E" w:rsidR="00DD3D9E" w:rsidRDefault="00AF0F64">
      <w:pPr>
        <w:pStyle w:val="Els-Author"/>
      </w:pPr>
      <w:r>
        <w:t>Yi Dai</w:t>
      </w:r>
      <w:r>
        <w:rPr>
          <w:vertAlign w:val="superscript"/>
        </w:rPr>
        <w:t>a</w:t>
      </w:r>
      <w:r>
        <w:t xml:space="preserve"> </w:t>
      </w:r>
      <w:r w:rsidR="000D3207">
        <w:t xml:space="preserve">and </w:t>
      </w:r>
      <w:r>
        <w:t>Andrew Allman</w:t>
      </w:r>
      <w:r>
        <w:rPr>
          <w:vertAlign w:val="superscript"/>
        </w:rPr>
        <w:t>a</w:t>
      </w:r>
      <w:r w:rsidR="000521E3">
        <w:rPr>
          <w:vertAlign w:val="superscript"/>
        </w:rPr>
        <w:t>*</w:t>
      </w:r>
    </w:p>
    <w:p w14:paraId="144DE681" w14:textId="38AD1AD6" w:rsidR="00DD3D9E" w:rsidRDefault="00AF0F64">
      <w:pPr>
        <w:pStyle w:val="Els-Affiliation"/>
      </w:pPr>
      <w:r>
        <w:rPr>
          <w:vertAlign w:val="superscript"/>
        </w:rPr>
        <w:t>a</w:t>
      </w:r>
      <w:r>
        <w:t xml:space="preserve">University of Michigan, </w:t>
      </w:r>
      <w:r w:rsidRPr="00AF0F64">
        <w:t>500 S. State Street, Ann Arbor, MI 48109 USA</w:t>
      </w:r>
    </w:p>
    <w:p w14:paraId="144DE682" w14:textId="0394B413" w:rsidR="00DD3D9E" w:rsidRDefault="000B26F1">
      <w:pPr>
        <w:pStyle w:val="Els-Affiliation"/>
      </w:pPr>
      <w:r>
        <w:t>*</w:t>
      </w:r>
      <w:r w:rsidR="00AA12D8">
        <w:t xml:space="preserve">Corresponding Author: </w:t>
      </w:r>
      <w:r w:rsidR="00AF0F64">
        <w:t>allmanaa@umich.edu</w:t>
      </w:r>
    </w:p>
    <w:p w14:paraId="144DE684" w14:textId="77777777" w:rsidR="008D2649" w:rsidRDefault="008D2649" w:rsidP="008D2649">
      <w:pPr>
        <w:pStyle w:val="Els-Abstract"/>
      </w:pPr>
      <w:r>
        <w:t>Abstract</w:t>
      </w:r>
    </w:p>
    <w:p w14:paraId="0C50B677" w14:textId="3861CD5E" w:rsidR="00453D54" w:rsidRPr="00453D54" w:rsidRDefault="00453D54" w:rsidP="00453D54">
      <w:pPr>
        <w:pStyle w:val="Els-body-text"/>
        <w:spacing w:after="120"/>
        <w:rPr>
          <w:lang w:val="en-GB"/>
        </w:rPr>
      </w:pPr>
      <w:r w:rsidRPr="00453D54">
        <w:rPr>
          <w:lang w:val="en-GB"/>
        </w:rPr>
        <w:t>The presence of discrete decisions in mixed-integer model predictive control</w:t>
      </w:r>
      <w:r w:rsidR="00631B14">
        <w:rPr>
          <w:lang w:val="en-GB"/>
        </w:rPr>
        <w:t xml:space="preserve"> (MPC)</w:t>
      </w:r>
      <w:r w:rsidRPr="00453D54">
        <w:rPr>
          <w:lang w:val="en-GB"/>
        </w:rPr>
        <w:t xml:space="preserve"> renders the optimization problem more significantly difficult to solve than a traditional continuous </w:t>
      </w:r>
      <w:r w:rsidR="000B26F1">
        <w:rPr>
          <w:lang w:val="en-GB"/>
        </w:rPr>
        <w:t>MPC problem</w:t>
      </w:r>
      <w:r w:rsidRPr="00453D54">
        <w:rPr>
          <w:lang w:val="en-GB"/>
        </w:rPr>
        <w:t xml:space="preserve">. </w:t>
      </w:r>
      <w:r>
        <w:rPr>
          <w:lang w:val="en-GB"/>
        </w:rPr>
        <w:t>A solution is the use of data-driven model</w:t>
      </w:r>
      <w:r w:rsidR="009267B0">
        <w:rPr>
          <w:lang w:val="en-GB"/>
        </w:rPr>
        <w:t xml:space="preserve">s </w:t>
      </w:r>
      <w:r w:rsidR="007F1CC2">
        <w:rPr>
          <w:lang w:val="en-GB"/>
        </w:rPr>
        <w:t xml:space="preserve">which </w:t>
      </w:r>
      <w:r w:rsidR="009267B0">
        <w:rPr>
          <w:lang w:val="en-GB"/>
        </w:rPr>
        <w:t xml:space="preserve">help </w:t>
      </w:r>
      <w:r w:rsidR="007F1CC2">
        <w:rPr>
          <w:lang w:val="en-GB"/>
        </w:rPr>
        <w:t>decouple the integer decisions from optimization</w:t>
      </w:r>
      <w:r>
        <w:rPr>
          <w:lang w:val="en-GB"/>
        </w:rPr>
        <w:t xml:space="preserve"> </w:t>
      </w:r>
      <w:r w:rsidR="007F1CC2">
        <w:rPr>
          <w:lang w:val="en-GB"/>
        </w:rPr>
        <w:t xml:space="preserve">and enable solution of control problem online. </w:t>
      </w:r>
      <w:r w:rsidR="009267B0">
        <w:rPr>
          <w:lang w:val="en-GB"/>
        </w:rPr>
        <w:t xml:space="preserve">However, </w:t>
      </w:r>
      <w:r w:rsidR="00DC7F0E">
        <w:rPr>
          <w:lang w:val="en-GB"/>
        </w:rPr>
        <w:t xml:space="preserve">when </w:t>
      </w:r>
      <w:r w:rsidR="00714AB0">
        <w:rPr>
          <w:lang w:val="en-GB"/>
        </w:rPr>
        <w:t>considering the</w:t>
      </w:r>
      <w:r w:rsidR="009267B0">
        <w:rPr>
          <w:lang w:val="en-GB"/>
        </w:rPr>
        <w:t xml:space="preserve"> dynamic reconfiguration problem of modular facilities, there is a trade-off between the </w:t>
      </w:r>
      <w:r w:rsidR="00DC7F0E">
        <w:rPr>
          <w:lang w:val="en-GB"/>
        </w:rPr>
        <w:t xml:space="preserve">prediction </w:t>
      </w:r>
      <w:r w:rsidR="009267B0">
        <w:rPr>
          <w:lang w:val="en-GB"/>
        </w:rPr>
        <w:t xml:space="preserve">accuracy and the magnitude of error in the incorrect predictions.  </w:t>
      </w:r>
      <w:r>
        <w:rPr>
          <w:lang w:val="en-GB"/>
        </w:rPr>
        <w:t xml:space="preserve">In this work, we </w:t>
      </w:r>
      <w:r w:rsidRPr="00453D54">
        <w:rPr>
          <w:lang w:val="en-GB"/>
        </w:rPr>
        <w:t xml:space="preserve">present an approach to determine integer control decisions </w:t>
      </w:r>
      <w:r w:rsidRPr="00003D89">
        <w:rPr>
          <w:i/>
          <w:iCs/>
          <w:lang w:val="en-GB"/>
        </w:rPr>
        <w:t>a</w:t>
      </w:r>
      <w:r w:rsidRPr="00453D54">
        <w:rPr>
          <w:lang w:val="en-GB"/>
        </w:rPr>
        <w:t xml:space="preserve"> </w:t>
      </w:r>
      <w:r w:rsidRPr="00453D54">
        <w:rPr>
          <w:i/>
          <w:iCs/>
          <w:lang w:val="en-GB"/>
        </w:rPr>
        <w:t>priori</w:t>
      </w:r>
      <w:r w:rsidRPr="00453D54">
        <w:rPr>
          <w:lang w:val="en-GB"/>
        </w:rPr>
        <w:t xml:space="preserve"> to solving the</w:t>
      </w:r>
      <w:r>
        <w:rPr>
          <w:lang w:val="en-GB"/>
        </w:rPr>
        <w:t xml:space="preserve"> </w:t>
      </w:r>
      <w:r w:rsidRPr="00453D54">
        <w:rPr>
          <w:lang w:val="en-GB"/>
        </w:rPr>
        <w:t xml:space="preserve">MPC problem using </w:t>
      </w:r>
      <w:r>
        <w:rPr>
          <w:lang w:val="en-GB"/>
        </w:rPr>
        <w:t xml:space="preserve">the ensemble method that </w:t>
      </w:r>
      <w:r w:rsidR="009267B0">
        <w:rPr>
          <w:lang w:val="en-GB"/>
        </w:rPr>
        <w:t>takes advantages of several member classifiers trained by simulation data</w:t>
      </w:r>
      <w:r w:rsidRPr="00453D54">
        <w:rPr>
          <w:lang w:val="en-GB"/>
        </w:rPr>
        <w:t>.</w:t>
      </w:r>
      <w:r w:rsidR="009267B0">
        <w:rPr>
          <w:lang w:val="en-GB"/>
        </w:rPr>
        <w:t xml:space="preserve"> </w:t>
      </w:r>
      <w:r w:rsidR="009B51FF">
        <w:rPr>
          <w:lang w:val="en-GB"/>
        </w:rPr>
        <w:t>Results demonstrate that the ensemble method achieve</w:t>
      </w:r>
      <w:r w:rsidR="0089079A">
        <w:rPr>
          <w:lang w:val="en-GB"/>
        </w:rPr>
        <w:t>s</w:t>
      </w:r>
      <w:r w:rsidR="009B51FF">
        <w:rPr>
          <w:lang w:val="en-GB"/>
        </w:rPr>
        <w:t xml:space="preserve"> a breakthrough in the trade-off between classification accuracy and the magnitude of error in the incorrect predictions</w:t>
      </w:r>
      <w:r w:rsidR="009B51FF" w:rsidRPr="009B51FF">
        <w:rPr>
          <w:lang w:val="en-GB"/>
        </w:rPr>
        <w:t>.</w:t>
      </w:r>
      <w:r w:rsidR="009B51FF">
        <w:rPr>
          <w:lang w:val="en-GB"/>
        </w:rPr>
        <w:t xml:space="preserve"> A setpoint tracking case study </w:t>
      </w:r>
      <w:r w:rsidR="0089079A">
        <w:rPr>
          <w:lang w:val="en-GB"/>
        </w:rPr>
        <w:t>demonstrates the MPC with ensemble method generally chooses configurations that give quicker set point recovery than the other member classifiers.</w:t>
      </w:r>
    </w:p>
    <w:p w14:paraId="144DE687" w14:textId="5B03BA45" w:rsidR="008D2649" w:rsidRDefault="008D2649" w:rsidP="008D2649">
      <w:pPr>
        <w:pStyle w:val="Els-body-text"/>
        <w:spacing w:after="120"/>
        <w:rPr>
          <w:lang w:val="en-GB"/>
        </w:rPr>
      </w:pPr>
      <w:r>
        <w:rPr>
          <w:b/>
          <w:bCs/>
          <w:lang w:val="en-GB"/>
        </w:rPr>
        <w:t>Keywords</w:t>
      </w:r>
      <w:r>
        <w:rPr>
          <w:lang w:val="en-GB"/>
        </w:rPr>
        <w:t xml:space="preserve">: </w:t>
      </w:r>
      <w:r w:rsidR="007638E6">
        <w:rPr>
          <w:lang w:val="en-GB"/>
        </w:rPr>
        <w:t xml:space="preserve">Ensemble learning, </w:t>
      </w:r>
      <w:r w:rsidR="00C13D21">
        <w:rPr>
          <w:lang w:val="en-GB"/>
        </w:rPr>
        <w:t xml:space="preserve">Machine learning, </w:t>
      </w:r>
      <w:r w:rsidR="007638E6">
        <w:rPr>
          <w:lang w:val="en-GB"/>
        </w:rPr>
        <w:t>Network reconfiguration, Modular manufacturing, Model predictive control</w:t>
      </w:r>
    </w:p>
    <w:p w14:paraId="144DE689" w14:textId="4E106F3D" w:rsidR="008D2649" w:rsidRDefault="000521E3" w:rsidP="008D2649">
      <w:pPr>
        <w:pStyle w:val="Els-1storder-head"/>
      </w:pPr>
      <w:r>
        <w:t>Introduction</w:t>
      </w:r>
    </w:p>
    <w:p w14:paraId="44B63536" w14:textId="16482BCB" w:rsidR="009551DB" w:rsidRDefault="00FF1E46" w:rsidP="009551DB">
      <w:pPr>
        <w:pStyle w:val="Els-body-text"/>
        <w:spacing w:after="120"/>
      </w:pPr>
      <w:r>
        <w:t xml:space="preserve">In recent years, it </w:t>
      </w:r>
      <w:r w:rsidR="00970C2F">
        <w:t>has become</w:t>
      </w:r>
      <w:r>
        <w:t xml:space="preserve"> clear that worldwide issues such as pandemics, climate change, </w:t>
      </w:r>
      <w:r w:rsidR="00AA12D8">
        <w:t xml:space="preserve">and political conflict </w:t>
      </w:r>
      <w:r>
        <w:t>highlight the need for sustainable infrastructure to produce critical chemicals such as fuels and fertilizers</w:t>
      </w:r>
      <w:r w:rsidR="00EA351E" w:rsidRPr="00262B7B">
        <w:t xml:space="preserve">. A promising approach to further enabling </w:t>
      </w:r>
      <w:r w:rsidR="00262B89">
        <w:t xml:space="preserve">sustainability </w:t>
      </w:r>
      <w:r w:rsidR="00EA351E" w:rsidRPr="00262B7B">
        <w:t xml:space="preserve">is to </w:t>
      </w:r>
      <w:r w:rsidR="00262B89">
        <w:t>implement</w:t>
      </w:r>
      <w:r>
        <w:t xml:space="preserve"> </w:t>
      </w:r>
      <w:r w:rsidR="00D11657">
        <w:t>modular production units</w:t>
      </w:r>
      <w:r w:rsidR="00262B89">
        <w:t xml:space="preserve"> which </w:t>
      </w:r>
      <w:r w:rsidR="00EA351E" w:rsidRPr="00262B7B">
        <w:t>are small-scale, standardized units that can perform traditional or intensified chemical unit operations (</w:t>
      </w:r>
      <w:proofErr w:type="spellStart"/>
      <w:r w:rsidR="00EA351E" w:rsidRPr="00262B7B">
        <w:t>Baldea</w:t>
      </w:r>
      <w:proofErr w:type="spellEnd"/>
      <w:r w:rsidR="00EA351E" w:rsidRPr="00262B7B">
        <w:t xml:space="preserve"> et al., 2017; Shao and Zavala, 2020).</w:t>
      </w:r>
      <w:r>
        <w:t xml:space="preserve"> </w:t>
      </w:r>
      <w:r w:rsidR="00E26232">
        <w:t xml:space="preserve">When considering a numbered-up modular facility to achieve desired throughput, the opportunity exists to dynamically transition </w:t>
      </w:r>
      <w:r w:rsidR="00AA12D8">
        <w:t xml:space="preserve">between modular configurations, </w:t>
      </w:r>
      <w:proofErr w:type="gramStart"/>
      <w:r w:rsidR="00AA12D8">
        <w:t>i.e.</w:t>
      </w:r>
      <w:proofErr w:type="gramEnd"/>
      <w:r w:rsidR="00AA12D8">
        <w:t xml:space="preserve"> switching from operating modules in parallel to in series, as dictated by intermittent economic conditions</w:t>
      </w:r>
      <w:r w:rsidR="00EA351E">
        <w:t xml:space="preserve">. </w:t>
      </w:r>
      <w:r w:rsidR="00B37350">
        <w:t>Our recent work (</w:t>
      </w:r>
      <w:r w:rsidR="0084012D">
        <w:t>Dai</w:t>
      </w:r>
      <w:r w:rsidR="00B37350">
        <w:t xml:space="preserve"> et al.</w:t>
      </w:r>
      <w:r w:rsidR="00641526">
        <w:t>,</w:t>
      </w:r>
      <w:r w:rsidR="00B37350">
        <w:t xml:space="preserve"> 2023) </w:t>
      </w:r>
      <w:r w:rsidR="00883EDC">
        <w:t>demonstrates</w:t>
      </w:r>
      <w:r w:rsidR="00B37350">
        <w:t xml:space="preserve"> that</w:t>
      </w:r>
      <w:r w:rsidR="00EA351E">
        <w:t xml:space="preserve"> </w:t>
      </w:r>
      <w:r w:rsidR="00FD183C" w:rsidRPr="00FD183C">
        <w:t xml:space="preserve">operational conditions </w:t>
      </w:r>
      <w:r w:rsidR="00AA12D8">
        <w:t>will often affect which</w:t>
      </w:r>
      <w:r w:rsidR="00FD183C" w:rsidRPr="00FD183C">
        <w:t xml:space="preserve"> configuration of </w:t>
      </w:r>
      <w:r w:rsidR="00AA12D8">
        <w:t xml:space="preserve">the </w:t>
      </w:r>
      <w:r w:rsidR="00FD183C" w:rsidRPr="00FD183C">
        <w:t>numbered-up modular system</w:t>
      </w:r>
      <w:r w:rsidR="00AA12D8">
        <w:t xml:space="preserve"> most effectively controls the system,</w:t>
      </w:r>
      <w:r w:rsidR="00FD183C" w:rsidRPr="00FD183C">
        <w:t xml:space="preserve"> </w:t>
      </w:r>
      <w:r w:rsidR="00AA12D8">
        <w:t>and that</w:t>
      </w:r>
      <w:r w:rsidR="00FD183C">
        <w:t xml:space="preserve"> </w:t>
      </w:r>
      <w:r w:rsidR="00883EDC" w:rsidRPr="00883EDC">
        <w:t xml:space="preserve">switching module configurations </w:t>
      </w:r>
      <w:r w:rsidR="00AA12D8">
        <w:t>can</w:t>
      </w:r>
      <w:r w:rsidR="00883EDC" w:rsidRPr="00883EDC">
        <w:t xml:space="preserve"> be </w:t>
      </w:r>
      <w:r w:rsidR="002A5EE5">
        <w:t xml:space="preserve">an </w:t>
      </w:r>
      <w:r w:rsidR="00883EDC" w:rsidRPr="00883EDC">
        <w:t>effective way of tracking large changes in set points or rejecting large disturbances.</w:t>
      </w:r>
      <w:r w:rsidR="00883EDC">
        <w:t xml:space="preserve"> </w:t>
      </w:r>
    </w:p>
    <w:p w14:paraId="60AA3A50" w14:textId="5DD1A919" w:rsidR="009551DB" w:rsidRDefault="00EA351E" w:rsidP="009551DB">
      <w:pPr>
        <w:pStyle w:val="Els-body-text"/>
        <w:spacing w:after="120"/>
      </w:pPr>
      <w:r>
        <w:t xml:space="preserve">Modern chemical process control of complex systems is often performed using model predictive control (MPC), whereby an optimization problem is repeatedly solved in a moving horizon fashion </w:t>
      </w:r>
      <w:proofErr w:type="gramStart"/>
      <w:r>
        <w:t>in order to</w:t>
      </w:r>
      <w:proofErr w:type="gramEnd"/>
      <w:r>
        <w:t xml:space="preserve"> determine control actions. Introducing the action of reconfiguration to the optimal control problem adds integer variables</w:t>
      </w:r>
      <w:r w:rsidR="00641526">
        <w:t xml:space="preserve"> that </w:t>
      </w:r>
      <w:r>
        <w:t xml:space="preserve">correspond to the module connectivity, resulting in a mixed integer nonlinear program (MINLP) </w:t>
      </w:r>
      <w:r w:rsidR="002113C3">
        <w:rPr>
          <w:rFonts w:hint="eastAsia"/>
          <w:lang w:eastAsia="zh-CN"/>
        </w:rPr>
        <w:t>whi</w:t>
      </w:r>
      <w:r w:rsidR="002113C3">
        <w:t>ch is</w:t>
      </w:r>
      <w:r w:rsidR="00641526">
        <w:t xml:space="preserve"> extremely challenging </w:t>
      </w:r>
      <w:r w:rsidR="000B26F1">
        <w:t>to solve online in a time scale relevant for control</w:t>
      </w:r>
      <w:r w:rsidR="00641526">
        <w:t xml:space="preserve">. </w:t>
      </w:r>
      <w:r w:rsidR="00E40D19">
        <w:t xml:space="preserve">Our previous work </w:t>
      </w:r>
      <w:r w:rsidR="00A73E28">
        <w:t xml:space="preserve">(Dai and Allman, 2023) </w:t>
      </w:r>
      <w:r w:rsidR="00E40D19">
        <w:t xml:space="preserve">built a data-driven model embedded MPC which creates </w:t>
      </w:r>
      <w:r w:rsidR="00E40D19">
        <w:lastRenderedPageBreak/>
        <w:t xml:space="preserve">mathematical models for classifying the optimal operation configuration, decoupling the integer configuration decision from </w:t>
      </w:r>
      <w:r w:rsidR="00031381">
        <w:t>optimization,</w:t>
      </w:r>
      <w:r w:rsidR="00E40D19">
        <w:t xml:space="preserve"> and enabling solution of the mixed integer nonlinear control problem online</w:t>
      </w:r>
      <w:r w:rsidR="00031381">
        <w:t xml:space="preserve">. </w:t>
      </w:r>
      <w:r w:rsidR="00E40D19">
        <w:t xml:space="preserve">However, it indicates that there is a trade-off between the classification accuracy and the magnitude of error in the incorrect </w:t>
      </w:r>
      <w:r w:rsidR="009551DB">
        <w:t>predictions,</w:t>
      </w:r>
      <w:r w:rsidR="00E40D19">
        <w:t xml:space="preserve"> the latter of which can lead to severely degraded controller performance. </w:t>
      </w:r>
    </w:p>
    <w:p w14:paraId="686A9CAD" w14:textId="214C022A" w:rsidR="00641526" w:rsidRDefault="00E40D19" w:rsidP="009551DB">
      <w:pPr>
        <w:pStyle w:val="Els-body-text"/>
        <w:spacing w:after="120"/>
      </w:pPr>
      <w:r>
        <w:t xml:space="preserve">A promising way to address this issue is the ensemble method which </w:t>
      </w:r>
      <w:r w:rsidR="00737B4E">
        <w:t xml:space="preserve">aggregates multiple weighted models to obtain a combined model that </w:t>
      </w:r>
      <w:r w:rsidR="000B26F1">
        <w:t>captures the best behaviors of its constituent models</w:t>
      </w:r>
      <w:r>
        <w:t>.</w:t>
      </w:r>
      <w:r w:rsidR="00F92B9B">
        <w:t xml:space="preserve"> </w:t>
      </w:r>
      <w:r w:rsidR="00224A3E">
        <w:t>The</w:t>
      </w:r>
      <w:r w:rsidR="00F92B9B">
        <w:t xml:space="preserve"> success of ensembles </w:t>
      </w:r>
      <w:r w:rsidR="00224A3E">
        <w:t xml:space="preserve">has been explained </w:t>
      </w:r>
      <w:r w:rsidR="00F92B9B">
        <w:t xml:space="preserve">from </w:t>
      </w:r>
      <w:r w:rsidR="00E609EE">
        <w:t>statistical, computational, and representational aspects (Dietterich, 2000)</w:t>
      </w:r>
      <w:r w:rsidR="00224A3E">
        <w:t>, bias-variance decomposition</w:t>
      </w:r>
      <w:r w:rsidR="00F77B0B">
        <w:t xml:space="preserve"> (</w:t>
      </w:r>
      <w:proofErr w:type="spellStart"/>
      <w:r w:rsidR="00F77B0B">
        <w:t>Kohavi</w:t>
      </w:r>
      <w:proofErr w:type="spellEnd"/>
      <w:r w:rsidR="00F77B0B">
        <w:t xml:space="preserve"> and Wolpert, 1996)</w:t>
      </w:r>
      <w:r w:rsidR="00224A3E">
        <w:t>, and strength correlation</w:t>
      </w:r>
      <w:r w:rsidR="00F77B0B">
        <w:t xml:space="preserve"> (</w:t>
      </w:r>
      <w:proofErr w:type="spellStart"/>
      <w:r w:rsidR="00F77B0B">
        <w:t>Breiman</w:t>
      </w:r>
      <w:proofErr w:type="spellEnd"/>
      <w:r w:rsidR="00F77B0B">
        <w:t>, 2001)</w:t>
      </w:r>
      <w:r w:rsidR="00E609EE">
        <w:t>.</w:t>
      </w:r>
      <w:r w:rsidR="00F92B9B">
        <w:t xml:space="preserve"> </w:t>
      </w:r>
      <w:r w:rsidR="003C1214">
        <w:t xml:space="preserve">Ensembles can be built by dependent frameworks </w:t>
      </w:r>
      <w:r w:rsidR="00214481">
        <w:t xml:space="preserve">which </w:t>
      </w:r>
      <w:r w:rsidR="000F3F85">
        <w:t>take advantage of knowledge generated in previous iterations by base classifiers to guide the learning in the next iterations.</w:t>
      </w:r>
      <w:r w:rsidR="00DA2933">
        <w:t xml:space="preserve"> </w:t>
      </w:r>
      <w:r w:rsidR="00E45A25">
        <w:t>The most well</w:t>
      </w:r>
      <w:r w:rsidR="00DA2933">
        <w:t>-</w:t>
      </w:r>
      <w:r w:rsidR="00E45A25">
        <w:t>known dependent</w:t>
      </w:r>
      <w:r>
        <w:t xml:space="preserve"> ensemble method, boosting</w:t>
      </w:r>
      <w:r w:rsidR="00DA2933">
        <w:t xml:space="preserve">, is a general method for </w:t>
      </w:r>
      <w:r w:rsidR="00BB1ED5">
        <w:t>constructing a single composite strong classifier combined by weak classifiers to achieve improvement on</w:t>
      </w:r>
      <w:r w:rsidR="00DA2933">
        <w:t xml:space="preserve"> the performance of </w:t>
      </w:r>
      <w:r w:rsidR="00BB1ED5">
        <w:t xml:space="preserve">weak learners. </w:t>
      </w:r>
      <w:r>
        <w:t xml:space="preserve">One of the most popular boosting algorithms is </w:t>
      </w:r>
      <w:r w:rsidR="00CF1BC7">
        <w:t>AdaBoost</w:t>
      </w:r>
      <w:r w:rsidR="00A579CC">
        <w:t xml:space="preserve"> (Adaptive Bo</w:t>
      </w:r>
      <w:r w:rsidR="006B71CA">
        <w:t>osting</w:t>
      </w:r>
      <w:r w:rsidR="00A579CC">
        <w:t>)</w:t>
      </w:r>
      <w:r w:rsidR="00683225">
        <w:t xml:space="preserve"> </w:t>
      </w:r>
      <w:r w:rsidR="00CB7F37">
        <w:t xml:space="preserve">whose main idea is to pay more attention </w:t>
      </w:r>
      <w:r w:rsidR="00185067">
        <w:t>to</w:t>
      </w:r>
      <w:r w:rsidR="00CB7F37">
        <w:t xml:space="preserve"> patterns that are harder to classify</w:t>
      </w:r>
      <w:r w:rsidR="00A579CC">
        <w:t xml:space="preserve"> (Freund and </w:t>
      </w:r>
      <w:proofErr w:type="spellStart"/>
      <w:r w:rsidR="00A579CC">
        <w:t>Schapire</w:t>
      </w:r>
      <w:proofErr w:type="spellEnd"/>
      <w:r w:rsidR="00A579CC">
        <w:t>, 1996)</w:t>
      </w:r>
      <w:r w:rsidR="00E1483F">
        <w:t>.</w:t>
      </w:r>
      <w:r w:rsidR="00185067">
        <w:t xml:space="preserve"> </w:t>
      </w:r>
      <w:r w:rsidR="00814065">
        <w:t xml:space="preserve">Researchers have applied </w:t>
      </w:r>
      <w:r w:rsidR="00CF1BC7">
        <w:t>AdaBoost</w:t>
      </w:r>
      <w:r w:rsidR="00814065">
        <w:t xml:space="preserve"> in a wide range of applications, such as</w:t>
      </w:r>
      <w:r w:rsidR="006D2273">
        <w:t xml:space="preserve"> supervisory building control rules (</w:t>
      </w:r>
      <w:r w:rsidR="006D2273" w:rsidRPr="006D2273">
        <w:t>May-</w:t>
      </w:r>
      <w:proofErr w:type="spellStart"/>
      <w:r w:rsidR="006D2273" w:rsidRPr="006D2273">
        <w:t>Ostendorp</w:t>
      </w:r>
      <w:proofErr w:type="spellEnd"/>
      <w:r w:rsidR="006D2273">
        <w:t>, 2012),</w:t>
      </w:r>
      <w:r w:rsidR="00814065">
        <w:t xml:space="preserve"> i</w:t>
      </w:r>
      <w:r w:rsidR="006470C6">
        <w:t>dentify</w:t>
      </w:r>
      <w:r w:rsidR="00814065">
        <w:t>ing</w:t>
      </w:r>
      <w:r w:rsidR="006470C6">
        <w:t xml:space="preserve"> key parameters and steps for semiconductor manufacturing</w:t>
      </w:r>
      <w:r w:rsidR="00814065">
        <w:t xml:space="preserve"> (San et al., 2016), </w:t>
      </w:r>
      <w:r w:rsidR="006D2D96">
        <w:t>life prediction for LEDs</w:t>
      </w:r>
      <w:r w:rsidR="00814065">
        <w:t xml:space="preserve"> (Lu et al., 2017), </w:t>
      </w:r>
      <w:r w:rsidR="00714AB0">
        <w:t xml:space="preserve">and </w:t>
      </w:r>
      <w:r w:rsidR="00814065">
        <w:t>recognizing the coupling faults of complex industrial process</w:t>
      </w:r>
      <w:r w:rsidR="006D2D96">
        <w:t xml:space="preserve"> </w:t>
      </w:r>
      <w:r w:rsidR="00814065">
        <w:t>(</w:t>
      </w:r>
      <w:r w:rsidR="006470C6">
        <w:t>Xu et al.</w:t>
      </w:r>
      <w:r w:rsidR="00814065">
        <w:t xml:space="preserve">, </w:t>
      </w:r>
      <w:r w:rsidR="006470C6">
        <w:t>2021)</w:t>
      </w:r>
      <w:r w:rsidR="00814065">
        <w:t xml:space="preserve">, </w:t>
      </w:r>
      <w:r w:rsidR="00714AB0">
        <w:t>to name a few examples</w:t>
      </w:r>
      <w:r w:rsidR="00814065">
        <w:t>.</w:t>
      </w:r>
      <w:r w:rsidR="006470C6">
        <w:t xml:space="preserve"> </w:t>
      </w:r>
      <w:r w:rsidR="00E3432E">
        <w:t xml:space="preserve"> </w:t>
      </w:r>
    </w:p>
    <w:p w14:paraId="72E035A1" w14:textId="278DDFFB" w:rsidR="00EA351E" w:rsidRDefault="00EA351E" w:rsidP="00E23D14">
      <w:pPr>
        <w:spacing w:after="120"/>
        <w:jc w:val="both"/>
      </w:pPr>
      <w:r>
        <w:t xml:space="preserve">This work provides </w:t>
      </w:r>
      <w:r w:rsidR="00003D89">
        <w:t xml:space="preserve">an approach to </w:t>
      </w:r>
      <w:r w:rsidR="00DF751F">
        <w:t xml:space="preserve">pre-establish integer control decisions by implementing </w:t>
      </w:r>
      <w:r w:rsidR="00CF1BC7">
        <w:t>AdaBoost</w:t>
      </w:r>
      <w:r w:rsidR="00DF751F">
        <w:t xml:space="preserve"> algorithms </w:t>
      </w:r>
      <w:r w:rsidR="007424DD">
        <w:t>in MPC problem solving</w:t>
      </w:r>
      <w:r>
        <w:t>.</w:t>
      </w:r>
      <w:r w:rsidRPr="003A7B00">
        <w:t xml:space="preserve"> The </w:t>
      </w:r>
      <w:r>
        <w:t xml:space="preserve">remainder of the </w:t>
      </w:r>
      <w:r w:rsidRPr="003A7B00">
        <w:t xml:space="preserve">paper is structured as follows. </w:t>
      </w:r>
      <w:r w:rsidR="00111C49">
        <w:t>The</w:t>
      </w:r>
      <w:r w:rsidR="00EA5B00">
        <w:t xml:space="preserve"> following section </w:t>
      </w:r>
      <w:r w:rsidR="00111C49">
        <w:t>presents the optimal model predictive control problem and case studied in this work</w:t>
      </w:r>
      <w:r w:rsidR="00111C49" w:rsidRPr="003A7B00">
        <w:t>.</w:t>
      </w:r>
      <w:r w:rsidR="00EA5B00">
        <w:t xml:space="preserve"> </w:t>
      </w:r>
      <w:r w:rsidR="00714AB0">
        <w:t xml:space="preserve">Then, we introduce the multi-class AdaBoost algorithms with additional information from the training data. </w:t>
      </w:r>
      <w:r w:rsidR="00EA5B00">
        <w:t xml:space="preserve">Furthermore, </w:t>
      </w:r>
      <w:r>
        <w:t xml:space="preserve">we present the </w:t>
      </w:r>
      <w:r w:rsidR="00CF1BC7">
        <w:t>AdaBoost</w:t>
      </w:r>
      <w:r w:rsidR="00415AD5">
        <w:t xml:space="preserve"> classifiers</w:t>
      </w:r>
      <w:r w:rsidR="003F0F85">
        <w:t>’</w:t>
      </w:r>
      <w:r w:rsidR="00415AD5">
        <w:t xml:space="preserve"> performance and analyze a set point tracking case study of the MPC with new classifiers</w:t>
      </w:r>
      <w:r>
        <w:t xml:space="preserve">. Finally, we conclude by summarizing </w:t>
      </w:r>
      <w:r w:rsidRPr="003A7B00">
        <w:t>this work and suggest</w:t>
      </w:r>
      <w:r>
        <w:t>ing</w:t>
      </w:r>
      <w:r w:rsidRPr="003A7B00">
        <w:t xml:space="preserve"> some potential ideas for future development.</w:t>
      </w:r>
    </w:p>
    <w:p w14:paraId="6C2305BB" w14:textId="77777777" w:rsidR="00224A3E" w:rsidRDefault="00224A3E" w:rsidP="00224A3E">
      <w:pPr>
        <w:pStyle w:val="Els-1storder-head"/>
      </w:pPr>
      <w:r>
        <w:t>Problem Statement and Case Study</w:t>
      </w:r>
    </w:p>
    <w:p w14:paraId="086CE0BF" w14:textId="30638769" w:rsidR="00224A3E" w:rsidRDefault="00224A3E" w:rsidP="00E23D14">
      <w:pPr>
        <w:spacing w:after="120"/>
        <w:jc w:val="both"/>
      </w:pPr>
      <w:r>
        <w:t>In this work, we</w:t>
      </w:r>
      <w:r w:rsidRPr="00C53469">
        <w:t xml:space="preserve"> develop an online configuration switching approach according to the dynamic system condition in the MPC of numbered-up modular </w:t>
      </w:r>
      <w:r w:rsidR="00AA12D8">
        <w:t xml:space="preserve">systems. </w:t>
      </w:r>
      <w:r>
        <w:t xml:space="preserve">In this control feedback loop, </w:t>
      </w:r>
      <w:r w:rsidR="008F50AA">
        <w:t>as</w:t>
      </w:r>
      <w:r w:rsidR="00714AB0">
        <w:t xml:space="preserve"> the left part of</w:t>
      </w:r>
      <w:r w:rsidR="008F50AA">
        <w:t xml:space="preserve"> Fig</w:t>
      </w:r>
      <w:r w:rsidR="008F50AA">
        <w:rPr>
          <w:rFonts w:hint="eastAsia"/>
          <w:lang w:eastAsia="zh-CN"/>
        </w:rPr>
        <w:t>ure</w:t>
      </w:r>
      <w:r w:rsidR="008F50AA">
        <w:t xml:space="preserve"> 1 show</w:t>
      </w:r>
      <w:r w:rsidR="00714AB0">
        <w:t>s</w:t>
      </w:r>
      <w:r w:rsidR="008F50AA">
        <w:t xml:space="preserve">, </w:t>
      </w:r>
      <w:r>
        <w:t xml:space="preserve">the current operational conditions, such as set point, measured disturbance, and state measurements, are imported into the classifiers trained offline by machine learning algorithms. After dealing with the control condition information, classifiers tell the MPC which configuration the system should use for </w:t>
      </w:r>
      <w:proofErr w:type="gramStart"/>
      <w:r>
        <w:t>next</w:t>
      </w:r>
      <w:proofErr w:type="gramEnd"/>
      <w:r>
        <w:t xml:space="preserve"> time step. Then the MPC </w:t>
      </w:r>
      <w:proofErr w:type="gramStart"/>
      <w:r>
        <w:t>takes action</w:t>
      </w:r>
      <w:proofErr w:type="gramEnd"/>
      <w:r>
        <w:t xml:space="preserve"> on the process system by manipulating </w:t>
      </w:r>
      <w:r w:rsidR="000B26F1">
        <w:t>process inputs (</w:t>
      </w:r>
      <w:r>
        <w:t>flow rates and heating rates</w:t>
      </w:r>
      <w:r w:rsidR="000B26F1">
        <w:t>)</w:t>
      </w:r>
      <w:r>
        <w:t xml:space="preserve">, switching configurations if necessary, and all of which lead the system to a new state for the next loop. </w:t>
      </w:r>
    </w:p>
    <w:p w14:paraId="65A967F1" w14:textId="49F3C486" w:rsidR="00EA351E" w:rsidRDefault="000B26F1" w:rsidP="00E23D14">
      <w:pPr>
        <w:spacing w:after="120"/>
        <w:jc w:val="both"/>
      </w:pPr>
      <w:r>
        <w:t>F</w:t>
      </w:r>
      <w:r w:rsidR="00EA351E">
        <w:t xml:space="preserve">or the case study analyzed here, we consider a </w:t>
      </w:r>
      <w:r w:rsidR="00AA12D8">
        <w:t xml:space="preserve">benchmark </w:t>
      </w:r>
      <w:r w:rsidR="00EA351E">
        <w:t xml:space="preserve">three module </w:t>
      </w:r>
      <w:r w:rsidR="00AA12D8">
        <w:t xml:space="preserve">reactor </w:t>
      </w:r>
      <w:r w:rsidR="00EA351E">
        <w:t>system</w:t>
      </w:r>
      <w:r w:rsidR="00AA12D8">
        <w:t xml:space="preserve"> consisting of three </w:t>
      </w:r>
      <w:proofErr w:type="spellStart"/>
      <w:r w:rsidR="00AA12D8">
        <w:t>nonisothermal</w:t>
      </w:r>
      <w:proofErr w:type="spellEnd"/>
      <w:r w:rsidR="00AA12D8">
        <w:t xml:space="preserve"> CSTR’s with models adapted from Liu et al., 2009. We assume that these modules </w:t>
      </w:r>
      <w:r w:rsidR="00EA351E">
        <w:t xml:space="preserve">can operate in any of the configurations specified in Figure </w:t>
      </w:r>
      <w:r w:rsidR="00214481">
        <w:t>1 right</w:t>
      </w:r>
      <w:r w:rsidR="00EA351E">
        <w:t xml:space="preserve">. </w:t>
      </w:r>
      <w:proofErr w:type="gramStart"/>
      <w:r w:rsidR="00EA351E">
        <w:t>In particular, a</w:t>
      </w:r>
      <w:proofErr w:type="gramEnd"/>
      <w:r w:rsidR="00EA351E">
        <w:t xml:space="preserve"> parallel configuration (a), a configuration with mixing (b), a hybrid series-parallel configuration (c), and a series configuration (d) are considered. </w:t>
      </w:r>
      <w:r w:rsidR="00AA12D8">
        <w:t>Additional d</w:t>
      </w:r>
      <w:r w:rsidR="006767B4">
        <w:t xml:space="preserve">etails on the benchmark </w:t>
      </w:r>
      <w:r w:rsidR="00AA12D8">
        <w:t xml:space="preserve">modular </w:t>
      </w:r>
      <w:r w:rsidR="006767B4">
        <w:t>system are the same as we introduced in our recent work (Dai et al., 2023).</w:t>
      </w:r>
      <w:r>
        <w:t xml:space="preserve"> </w:t>
      </w:r>
    </w:p>
    <w:tbl>
      <w:tblPr>
        <w:tblStyle w:val="TableGrid"/>
        <w:tblW w:w="500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6"/>
        <w:gridCol w:w="3637"/>
      </w:tblGrid>
      <w:tr w:rsidR="000B26F1" w14:paraId="2809E9D8" w14:textId="77777777" w:rsidTr="000B26F1">
        <w:tc>
          <w:tcPr>
            <w:tcW w:w="3484" w:type="dxa"/>
          </w:tcPr>
          <w:p w14:paraId="591D4CC9" w14:textId="77777777" w:rsidR="000B26F1" w:rsidRDefault="000B26F1" w:rsidP="008B015C">
            <w:pPr>
              <w:spacing w:after="120"/>
              <w:jc w:val="center"/>
            </w:pPr>
            <w:r w:rsidRPr="004F3D35">
              <w:rPr>
                <w:noProof/>
              </w:rPr>
              <w:lastRenderedPageBreak/>
              <w:drawing>
                <wp:inline distT="0" distB="0" distL="0" distR="0" wp14:anchorId="1F5CD871" wp14:editId="47E819C7">
                  <wp:extent cx="2086764" cy="851667"/>
                  <wp:effectExtent l="0" t="0" r="8890" b="5715"/>
                  <wp:docPr id="5" name="Picture 4" descr="A diagram of a device&#10;&#10;Description automatically generated">
                    <a:extLst xmlns:a="http://schemas.openxmlformats.org/drawingml/2006/main">
                      <a:ext uri="{FF2B5EF4-FFF2-40B4-BE49-F238E27FC236}">
                        <a16:creationId xmlns:a16="http://schemas.microsoft.com/office/drawing/2014/main" id="{3D5FD6A3-7260-C06F-82BA-BE7BA0EBCC8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A diagram of a device&#10;&#10;Description automatically generated">
                            <a:extLst>
                              <a:ext uri="{FF2B5EF4-FFF2-40B4-BE49-F238E27FC236}">
                                <a16:creationId xmlns:a16="http://schemas.microsoft.com/office/drawing/2014/main" id="{3D5FD6A3-7260-C06F-82BA-BE7BA0EBCC8C}"/>
                              </a:ext>
                            </a:extLst>
                          </pic:cNvPr>
                          <pic:cNvPicPr>
                            <a:picLocks noChangeAspect="1"/>
                          </pic:cNvPicPr>
                        </pic:nvPicPr>
                        <pic:blipFill>
                          <a:blip r:embed="rId8"/>
                          <a:stretch>
                            <a:fillRect/>
                          </a:stretch>
                        </pic:blipFill>
                        <pic:spPr>
                          <a:xfrm>
                            <a:off x="0" y="0"/>
                            <a:ext cx="2135440" cy="871533"/>
                          </a:xfrm>
                          <a:prstGeom prst="rect">
                            <a:avLst/>
                          </a:prstGeom>
                        </pic:spPr>
                      </pic:pic>
                    </a:graphicData>
                  </a:graphic>
                </wp:inline>
              </w:drawing>
            </w:r>
          </w:p>
        </w:tc>
        <w:tc>
          <w:tcPr>
            <w:tcW w:w="3603" w:type="dxa"/>
            <w:vAlign w:val="center"/>
          </w:tcPr>
          <w:p w14:paraId="54179708" w14:textId="77777777" w:rsidR="000B26F1" w:rsidRDefault="000B26F1" w:rsidP="008B015C">
            <w:pPr>
              <w:spacing w:after="120"/>
              <w:jc w:val="center"/>
            </w:pPr>
            <w:r>
              <w:rPr>
                <w:noProof/>
              </w:rPr>
              <w:drawing>
                <wp:inline distT="0" distB="0" distL="0" distR="0" wp14:anchorId="2E31C002" wp14:editId="5652F7B8">
                  <wp:extent cx="2172664" cy="663389"/>
                  <wp:effectExtent l="0" t="0" r="0" b="3810"/>
                  <wp:docPr id="3"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7" r="-431"/>
                          <a:stretch/>
                        </pic:blipFill>
                        <pic:spPr bwMode="auto">
                          <a:xfrm>
                            <a:off x="0" y="0"/>
                            <a:ext cx="2272511" cy="693876"/>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0A46CC6E" w14:textId="1A3E3F4B" w:rsidR="000B26F1" w:rsidRDefault="000B26F1" w:rsidP="00E23D14">
      <w:pPr>
        <w:spacing w:after="120"/>
        <w:jc w:val="both"/>
      </w:pPr>
      <w:r w:rsidRPr="0083545E">
        <w:rPr>
          <w:rFonts w:ascii="Times" w:eastAsiaTheme="minorEastAsia" w:hAnsi="Times"/>
          <w:i/>
          <w:sz w:val="18"/>
          <w:szCs w:val="18"/>
        </w:rPr>
        <w:t xml:space="preserve">Figure </w:t>
      </w:r>
      <w:r>
        <w:rPr>
          <w:rFonts w:ascii="Times" w:eastAsiaTheme="minorEastAsia" w:hAnsi="Times"/>
          <w:i/>
          <w:sz w:val="18"/>
          <w:szCs w:val="18"/>
        </w:rPr>
        <w:t>1</w:t>
      </w:r>
      <w:r w:rsidRPr="0083545E">
        <w:rPr>
          <w:rFonts w:ascii="Times" w:eastAsiaTheme="minorEastAsia" w:hAnsi="Times"/>
          <w:i/>
          <w:sz w:val="18"/>
          <w:szCs w:val="18"/>
        </w:rPr>
        <w:t xml:space="preserve">. (Left) MPC/ML classifier feedback loop schematic; (Right) All configurations considered for the </w:t>
      </w:r>
      <w:proofErr w:type="gramStart"/>
      <w:r w:rsidRPr="0083545E">
        <w:rPr>
          <w:rFonts w:ascii="Times" w:eastAsiaTheme="minorEastAsia" w:hAnsi="Times"/>
          <w:i/>
          <w:sz w:val="18"/>
          <w:szCs w:val="18"/>
        </w:rPr>
        <w:t>3 module</w:t>
      </w:r>
      <w:proofErr w:type="gramEnd"/>
      <w:r w:rsidRPr="0083545E">
        <w:rPr>
          <w:rFonts w:ascii="Times" w:eastAsiaTheme="minorEastAsia" w:hAnsi="Times"/>
          <w:i/>
          <w:sz w:val="18"/>
          <w:szCs w:val="18"/>
        </w:rPr>
        <w:t xml:space="preserve"> system.</w:t>
      </w:r>
    </w:p>
    <w:p w14:paraId="11A5D6F8" w14:textId="77777777" w:rsidR="00714AB0" w:rsidRDefault="00714AB0" w:rsidP="00E23D14">
      <w:pPr>
        <w:pStyle w:val="Els-1storder-head"/>
      </w:pPr>
      <w:r>
        <w:t>Multi-class Adaptive Boosting Algorithms</w:t>
      </w:r>
    </w:p>
    <w:p w14:paraId="2234A3F7" w14:textId="77777777" w:rsidR="00714AB0" w:rsidRDefault="00714AB0" w:rsidP="00E23D14">
      <w:pPr>
        <w:spacing w:after="120"/>
        <w:jc w:val="both"/>
      </w:pPr>
      <w:r>
        <w:t xml:space="preserve">Boosting has been a very successful technique for solving the binary classification problem. However, the ways to extend AdaBoost from two-class to multi-class depend on the interpretation or view of the success of AdaBoost in binary classification, which </w:t>
      </w:r>
      <w:proofErr w:type="gramStart"/>
      <w:r>
        <w:t>still remains</w:t>
      </w:r>
      <w:proofErr w:type="gramEnd"/>
      <w:r>
        <w:t xml:space="preserve"> controversial. Here we choose a widely used multi-class AdaBoost algorithm (</w:t>
      </w:r>
      <w:r>
        <w:rPr>
          <w:color w:val="000000"/>
        </w:rPr>
        <w:t>Hastie</w:t>
      </w:r>
      <w:r>
        <w:t xml:space="preserve"> et al., 2009) which directly extends to the multi-class problem without reducing it to multiple two-class problems. </w:t>
      </w:r>
    </w:p>
    <w:p w14:paraId="5882F33A" w14:textId="51BBBA95" w:rsidR="00714AB0" w:rsidRDefault="00714AB0" w:rsidP="00E23D14">
      <w:pPr>
        <w:spacing w:after="120"/>
        <w:jc w:val="both"/>
      </w:pPr>
      <w:r>
        <w:t xml:space="preserve">In order to better quantify the </w:t>
      </w:r>
      <w:r w:rsidR="003F0F85">
        <w:t>performance of a classifier prediction</w:t>
      </w:r>
      <w:r>
        <w:t xml:space="preserve">, we propose </w:t>
      </w:r>
      <w:proofErr w:type="gramStart"/>
      <w:r>
        <w:t xml:space="preserve">a </w:t>
      </w:r>
      <w:r w:rsidR="003F0F85">
        <w:t>the</w:t>
      </w:r>
      <w:proofErr w:type="gramEnd"/>
      <w:r w:rsidR="003F0F85">
        <w:t xml:space="preserve"> following score metric which is zero when the best configuration is chosen, and gets gradually larger if a configuration is chosen that gives worse performance.</w:t>
      </w:r>
    </w:p>
    <w:tbl>
      <w:tblPr>
        <w:tblW w:w="7087" w:type="dxa"/>
        <w:tblLook w:val="04A0" w:firstRow="1" w:lastRow="0" w:firstColumn="1" w:lastColumn="0" w:noHBand="0" w:noVBand="1"/>
      </w:tblPr>
      <w:tblGrid>
        <w:gridCol w:w="6126"/>
        <w:gridCol w:w="961"/>
      </w:tblGrid>
      <w:tr w:rsidR="00714AB0" w:rsidRPr="00A94774" w14:paraId="097D4839" w14:textId="77777777" w:rsidTr="00213CD7">
        <w:tc>
          <w:tcPr>
            <w:tcW w:w="6126" w:type="dxa"/>
            <w:shd w:val="clear" w:color="auto" w:fill="auto"/>
            <w:vAlign w:val="center"/>
          </w:tcPr>
          <w:p w14:paraId="32B9D043" w14:textId="060A9028" w:rsidR="00714AB0" w:rsidRPr="00A94774" w:rsidRDefault="00714AB0" w:rsidP="00213CD7">
            <w:pPr>
              <w:pStyle w:val="Els-body-text"/>
              <w:spacing w:before="120" w:after="120" w:line="264" w:lineRule="auto"/>
              <w:jc w:val="left"/>
              <w:rPr>
                <w:lang w:val="en-GB"/>
              </w:rPr>
            </w:pPr>
            <m:oMath>
              <m:r>
                <w:rPr>
                  <w:rFonts w:ascii="Cambria Math" w:eastAsia="Times New Roman" w:hAnsi="Cambria Math"/>
                  <w:lang w:val="es-AR"/>
                </w:rPr>
                <m:t>Score</m:t>
              </m:r>
              <m:r>
                <w:rPr>
                  <w:rFonts w:ascii="Cambria Math" w:eastAsia="Times New Roman"/>
                  <w:lang w:val="es-AR"/>
                </w:rPr>
                <m:t>=</m:t>
              </m:r>
              <m:f>
                <m:fPr>
                  <m:ctrlPr>
                    <w:rPr>
                      <w:rFonts w:ascii="Cambria Math" w:eastAsia="Times New Roman" w:hAnsi="Times"/>
                      <w:i/>
                      <w:lang w:val="es-AR"/>
                    </w:rPr>
                  </m:ctrlPr>
                </m:fPr>
                <m:num>
                  <w:bookmarkStart w:id="1" w:name="_Hlk152057586"/>
                  <m:sSub>
                    <m:sSubPr>
                      <m:ctrlPr>
                        <w:rPr>
                          <w:rFonts w:ascii="Cambria Math" w:eastAsia="Times New Roman" w:hAnsi="Times"/>
                          <w:i/>
                          <w:lang w:val="es-AR"/>
                        </w:rPr>
                      </m:ctrlPr>
                    </m:sSubPr>
                    <m:e>
                      <m:r>
                        <w:rPr>
                          <w:rFonts w:ascii="Cambria Math" w:eastAsia="Times New Roman"/>
                          <w:lang w:val="es-AR"/>
                        </w:rPr>
                        <m:t>PI</m:t>
                      </m:r>
                    </m:e>
                    <m:sub>
                      <m:r>
                        <w:rPr>
                          <w:rFonts w:ascii="Cambria Math" w:eastAsia="Times New Roman"/>
                          <w:lang w:val="es-AR"/>
                        </w:rPr>
                        <m:t>predicted</m:t>
                      </m:r>
                    </m:sub>
                  </m:sSub>
                  <w:bookmarkEnd w:id="1"/>
                  <m:r>
                    <w:rPr>
                      <w:rFonts w:ascii="Cambria Math" w:eastAsia="Times New Roman"/>
                      <w:lang w:val="es-AR"/>
                    </w:rPr>
                    <m:t>-</m:t>
                  </m:r>
                  <m:sSub>
                    <m:sSubPr>
                      <m:ctrlPr>
                        <w:rPr>
                          <w:rFonts w:ascii="Cambria Math" w:eastAsia="Times New Roman" w:hAnsi="Cambria Math"/>
                          <w:i/>
                          <w:lang w:val="es-AR"/>
                        </w:rPr>
                      </m:ctrlPr>
                    </m:sSubPr>
                    <m:e>
                      <m:r>
                        <w:rPr>
                          <w:rFonts w:ascii="Cambria Math" w:eastAsia="Times New Roman" w:hAnsi="Cambria Math"/>
                          <w:lang w:val="es-AR"/>
                        </w:rPr>
                        <m:t>PI</m:t>
                      </m:r>
                    </m:e>
                    <m:sub>
                      <m:r>
                        <w:rPr>
                          <w:rFonts w:ascii="Cambria Math" w:eastAsia="Times New Roman" w:hAnsi="Cambria Math"/>
                          <w:lang w:val="es-AR"/>
                        </w:rPr>
                        <m:t>best</m:t>
                      </m:r>
                    </m:sub>
                  </m:sSub>
                </m:num>
                <m:den>
                  <m:sSub>
                    <m:sSubPr>
                      <m:ctrlPr>
                        <w:rPr>
                          <w:rFonts w:ascii="Cambria Math" w:eastAsia="Times New Roman" w:hAnsi="Times"/>
                          <w:i/>
                          <w:lang w:val="es-AR"/>
                        </w:rPr>
                      </m:ctrlPr>
                    </m:sSubPr>
                    <m:e>
                      <m:r>
                        <w:rPr>
                          <w:rFonts w:ascii="Cambria Math" w:eastAsia="Times New Roman"/>
                          <w:lang w:val="es-AR"/>
                        </w:rPr>
                        <m:t>PI</m:t>
                      </m:r>
                    </m:e>
                    <m:sub>
                      <m:r>
                        <w:rPr>
                          <w:rFonts w:ascii="Cambria Math" w:eastAsia="Times New Roman"/>
                          <w:lang w:val="es-AR"/>
                        </w:rPr>
                        <m:t>best</m:t>
                      </m:r>
                    </m:sub>
                  </m:sSub>
                </m:den>
              </m:f>
            </m:oMath>
            <w:r w:rsidR="00213CD7">
              <w:rPr>
                <w:lang w:val="es-AR"/>
              </w:rPr>
              <w:t xml:space="preserve"> </w:t>
            </w:r>
          </w:p>
        </w:tc>
        <w:tc>
          <w:tcPr>
            <w:tcW w:w="961" w:type="dxa"/>
            <w:shd w:val="clear" w:color="auto" w:fill="auto"/>
            <w:vAlign w:val="center"/>
          </w:tcPr>
          <w:p w14:paraId="1D776C2A" w14:textId="77777777" w:rsidR="00714AB0" w:rsidRPr="00A94774" w:rsidRDefault="00714AB0" w:rsidP="00213CD7">
            <w:pPr>
              <w:pStyle w:val="Els-body-text"/>
              <w:spacing w:before="120" w:after="120" w:line="264" w:lineRule="auto"/>
              <w:jc w:val="right"/>
              <w:rPr>
                <w:lang w:val="en-GB"/>
              </w:rPr>
            </w:pPr>
            <w:r w:rsidRPr="00A94774">
              <w:rPr>
                <w:lang w:val="en-GB"/>
              </w:rPr>
              <w:t>(1)</w:t>
            </w:r>
          </w:p>
        </w:tc>
      </w:tr>
    </w:tbl>
    <w:p w14:paraId="264878B1" w14:textId="04156B4B" w:rsidR="00714AB0" w:rsidRDefault="00714AB0" w:rsidP="00E23D14">
      <w:pPr>
        <w:spacing w:after="120"/>
        <w:jc w:val="both"/>
      </w:pPr>
      <w:r>
        <w:t xml:space="preserve">Where </w:t>
      </w:r>
      <m:oMath>
        <m:sSub>
          <m:sSubPr>
            <m:ctrlPr>
              <w:rPr>
                <w:rFonts w:ascii="Cambria Math" w:hAnsi="Cambria Math"/>
                <w:i/>
              </w:rPr>
            </m:ctrlPr>
          </m:sSubPr>
          <m:e>
            <m:r>
              <w:rPr>
                <w:rFonts w:ascii="Cambria Math" w:hAnsi="Cambria Math"/>
              </w:rPr>
              <m:t>PI</m:t>
            </m:r>
          </m:e>
          <m:sub>
            <m:r>
              <w:rPr>
                <w:rFonts w:ascii="Cambria Math" w:hAnsi="Cambria Math"/>
              </w:rPr>
              <m:t>predicted</m:t>
            </m:r>
          </m:sub>
        </m:sSub>
      </m:oMath>
      <w:r>
        <w:t xml:space="preserve"> represents the </w:t>
      </w:r>
      <w:r w:rsidR="003F0F85">
        <w:t xml:space="preserve">controller </w:t>
      </w:r>
      <w:r>
        <w:t xml:space="preserve">performance index (PI) </w:t>
      </w:r>
      <w:r w:rsidR="003F0F85">
        <w:t>using MPC based on the configuration chosen by the classifier</w:t>
      </w:r>
      <w:r>
        <w:t xml:space="preserve">, and </w:t>
      </w:r>
      <m:oMath>
        <m:sSub>
          <m:sSubPr>
            <m:ctrlPr>
              <w:rPr>
                <w:rFonts w:ascii="Cambria Math" w:hAnsi="Cambria Math"/>
                <w:i/>
              </w:rPr>
            </m:ctrlPr>
          </m:sSubPr>
          <m:e>
            <m:r>
              <w:rPr>
                <w:rFonts w:ascii="Cambria Math" w:hAnsi="Cambria Math"/>
              </w:rPr>
              <m:t>PI</m:t>
            </m:r>
          </m:e>
          <m:sub>
            <m:r>
              <w:rPr>
                <w:rFonts w:ascii="Cambria Math" w:hAnsi="Cambria Math"/>
              </w:rPr>
              <m:t>best</m:t>
            </m:r>
          </m:sub>
        </m:sSub>
      </m:oMath>
      <w:r>
        <w:t xml:space="preserve"> represents the PI </w:t>
      </w:r>
      <w:r w:rsidR="003F0F85">
        <w:t xml:space="preserve">using the best performing configuration. </w:t>
      </w:r>
      <w:r>
        <w:t xml:space="preserve">When the </w:t>
      </w:r>
      <m:oMath>
        <m:sSub>
          <m:sSubPr>
            <m:ctrlPr>
              <w:rPr>
                <w:rFonts w:ascii="Cambria Math" w:hAnsi="Cambria Math"/>
                <w:i/>
              </w:rPr>
            </m:ctrlPr>
          </m:sSubPr>
          <m:e>
            <m:r>
              <w:rPr>
                <w:rFonts w:ascii="Cambria Math" w:hAnsi="Cambria Math"/>
              </w:rPr>
              <m:t>PI</m:t>
            </m:r>
          </m:e>
          <m:sub>
            <m:r>
              <w:rPr>
                <w:rFonts w:ascii="Cambria Math" w:hAnsi="Cambria Math"/>
              </w:rPr>
              <m:t>predicted</m:t>
            </m:r>
          </m:sub>
        </m:sSub>
        <m:r>
          <w:rPr>
            <w:rFonts w:ascii="Cambria Math" w:hAnsi="Cambria Math"/>
          </w:rPr>
          <m:t>=</m:t>
        </m:r>
        <m:sSub>
          <m:sSubPr>
            <m:ctrlPr>
              <w:rPr>
                <w:rFonts w:ascii="Cambria Math" w:hAnsi="Cambria Math"/>
                <w:i/>
              </w:rPr>
            </m:ctrlPr>
          </m:sSubPr>
          <m:e>
            <m:r>
              <w:rPr>
                <w:rFonts w:ascii="Cambria Math" w:hAnsi="Cambria Math"/>
              </w:rPr>
              <m:t>PI</m:t>
            </m:r>
          </m:e>
          <m:sub>
            <m:r>
              <w:rPr>
                <w:rFonts w:ascii="Cambria Math" w:hAnsi="Cambria Math"/>
              </w:rPr>
              <m:t>best</m:t>
            </m:r>
          </m:sub>
        </m:sSub>
      </m:oMath>
      <w:r>
        <w:t xml:space="preserve">, it indicates that the predicted configuration is the optimal configuration, and the corresponding </w:t>
      </w:r>
      <m:oMath>
        <m:r>
          <w:rPr>
            <w:rFonts w:ascii="Cambria Math" w:hAnsi="Cambria Math"/>
          </w:rPr>
          <m:t>Score</m:t>
        </m:r>
      </m:oMath>
      <w:r>
        <w:t xml:space="preserve">=0. When </w:t>
      </w:r>
      <m:oMath>
        <m:sSub>
          <m:sSubPr>
            <m:ctrlPr>
              <w:rPr>
                <w:rFonts w:ascii="Cambria Math" w:hAnsi="Cambria Math"/>
                <w:i/>
              </w:rPr>
            </m:ctrlPr>
          </m:sSubPr>
          <m:e>
            <m:r>
              <w:rPr>
                <w:rFonts w:ascii="Cambria Math" w:hAnsi="Cambria Math"/>
              </w:rPr>
              <m:t>PI</m:t>
            </m:r>
          </m:e>
          <m:sub>
            <m:r>
              <w:rPr>
                <w:rFonts w:ascii="Cambria Math" w:hAnsi="Cambria Math"/>
              </w:rPr>
              <m:t>predicted</m:t>
            </m:r>
          </m:sub>
        </m:sSub>
        <m:r>
          <w:rPr>
            <w:rFonts w:ascii="Cambria Math" w:hAnsi="Cambria Math"/>
          </w:rPr>
          <m:t>&gt;</m:t>
        </m:r>
        <m:sSub>
          <m:sSubPr>
            <m:ctrlPr>
              <w:rPr>
                <w:rFonts w:ascii="Cambria Math" w:hAnsi="Cambria Math"/>
                <w:i/>
              </w:rPr>
            </m:ctrlPr>
          </m:sSubPr>
          <m:e>
            <m:r>
              <w:rPr>
                <w:rFonts w:ascii="Cambria Math" w:hAnsi="Cambria Math"/>
              </w:rPr>
              <m:t>PI</m:t>
            </m:r>
          </m:e>
          <m:sub>
            <m:r>
              <w:rPr>
                <w:rFonts w:ascii="Cambria Math" w:hAnsi="Cambria Math"/>
              </w:rPr>
              <m:t>best</m:t>
            </m:r>
          </m:sub>
        </m:sSub>
      </m:oMath>
      <w:r>
        <w:t>,</w:t>
      </w:r>
      <w:r w:rsidR="003F0F85">
        <w:t xml:space="preserve"> the classifier is inaccurate in choosing the best configuration and</w:t>
      </w:r>
      <w:r>
        <w:t xml:space="preserve"> the </w:t>
      </w:r>
      <m:oMath>
        <m:r>
          <w:rPr>
            <w:rFonts w:ascii="Cambria Math" w:hAnsi="Cambria Math"/>
          </w:rPr>
          <m:t>Score&gt;0</m:t>
        </m:r>
      </m:oMath>
      <w:r>
        <w:t xml:space="preserve">. It is apparent that </w:t>
      </w:r>
      <m:oMath>
        <m:r>
          <w:rPr>
            <w:rFonts w:ascii="Cambria Math" w:hAnsi="Cambria Math"/>
          </w:rPr>
          <m:t xml:space="preserve">Score </m:t>
        </m:r>
      </m:oMath>
      <w:r>
        <w:t>c</w:t>
      </w:r>
      <w:r w:rsidR="003F0F85">
        <w:t>an be quite large in magnitude</w:t>
      </w:r>
      <w:r>
        <w:t xml:space="preserve"> when the </w:t>
      </w:r>
      <w:r w:rsidR="003F0F85">
        <w:t>degradation in controller performance</w:t>
      </w:r>
      <w:r>
        <w:t xml:space="preserve"> is large, which </w:t>
      </w:r>
      <w:r w:rsidR="003F0F85">
        <w:t>could happen if the</w:t>
      </w:r>
      <w:r w:rsidR="000B26F1">
        <w:t xml:space="preserve"> controller is</w:t>
      </w:r>
      <w:r w:rsidR="003F0F85">
        <w:t xml:space="preserve"> unable to stabilize the system or reach the desired set point</w:t>
      </w:r>
      <w:r w:rsidR="000B26F1">
        <w:t xml:space="preserve"> in the given configuration.</w:t>
      </w:r>
    </w:p>
    <w:p w14:paraId="454AEACD" w14:textId="337945C2" w:rsidR="00714AB0" w:rsidRDefault="00714AB0" w:rsidP="00E23D14">
      <w:pPr>
        <w:spacing w:after="120"/>
        <w:jc w:val="both"/>
      </w:pPr>
      <w:r>
        <w:t xml:space="preserve">To </w:t>
      </w:r>
      <w:r w:rsidR="003F0F85">
        <w:t xml:space="preserve">encourage </w:t>
      </w:r>
      <w:r>
        <w:t xml:space="preserve">the trained classifier </w:t>
      </w:r>
      <w:r w:rsidR="003F0F85">
        <w:t xml:space="preserve">to avoid inaccurate decisions with high </w:t>
      </w:r>
      <m:oMath>
        <m:r>
          <w:rPr>
            <w:rFonts w:ascii="Cambria Math" w:hAnsi="Cambria Math"/>
          </w:rPr>
          <m:t>Score</m:t>
        </m:r>
      </m:oMath>
      <w:r w:rsidR="003F0F85">
        <w:t xml:space="preserve"> values </w:t>
      </w:r>
      <w:r>
        <w:t xml:space="preserve">we modify the multi-class AdaBoost algorithm with the aforementioned </w:t>
      </w:r>
      <m:oMath>
        <m:r>
          <w:rPr>
            <w:rFonts w:ascii="Cambria Math" w:hAnsi="Cambria Math"/>
          </w:rPr>
          <m:t>Score</m:t>
        </m:r>
      </m:oMath>
      <w:r w:rsidR="00AA12D8">
        <w:t>.</w:t>
      </w:r>
      <w:r>
        <w:t xml:space="preserve"> </w:t>
      </w:r>
      <w:r w:rsidR="00AA12D8">
        <w:t>We call the resulting algorithm</w:t>
      </w:r>
      <w:r>
        <w:t xml:space="preserve"> S-AdaBoost, which proceeds as </w:t>
      </w:r>
      <w:r w:rsidR="00AA12D8">
        <w:t>shown in Algorithm 1:</w:t>
      </w:r>
    </w:p>
    <w:p w14:paraId="661EA5C5" w14:textId="79305D5B" w:rsidR="00714AB0" w:rsidRDefault="00714AB0" w:rsidP="00714AB0">
      <w:r>
        <w:rPr>
          <w:b/>
          <w:bCs/>
        </w:rPr>
        <w:t>Algorithm</w:t>
      </w:r>
      <w:r w:rsidR="003F0F85">
        <w:rPr>
          <w:b/>
          <w:bCs/>
        </w:rPr>
        <w:t xml:space="preserve"> 1</w:t>
      </w:r>
      <w:r>
        <w:rPr>
          <w:b/>
          <w:bCs/>
        </w:rPr>
        <w:t xml:space="preserve">. </w:t>
      </w:r>
      <w:r w:rsidRPr="002E5C78">
        <w:rPr>
          <w:i/>
          <w:iCs/>
        </w:rPr>
        <w:t>S-</w:t>
      </w:r>
      <w:r>
        <w:rPr>
          <w:i/>
          <w:iCs/>
        </w:rPr>
        <w:t>AdaBoost</w:t>
      </w:r>
      <w:r>
        <w:t xml:space="preserve"> </w:t>
      </w:r>
    </w:p>
    <w:p w14:paraId="40CA549A" w14:textId="77777777" w:rsidR="00714AB0" w:rsidRPr="00BE1767" w:rsidRDefault="00714AB0" w:rsidP="00714AB0">
      <w:pPr>
        <w:pStyle w:val="ListParagraph"/>
        <w:numPr>
          <w:ilvl w:val="0"/>
          <w:numId w:val="20"/>
        </w:numPr>
        <w:rPr>
          <w:i/>
          <w:iCs/>
        </w:rPr>
      </w:pPr>
      <w:r w:rsidRPr="00BE1767">
        <w:rPr>
          <w:i/>
          <w:iCs/>
        </w:rPr>
        <w:t xml:space="preserve">Initialize the observation weights </w:t>
      </w:r>
      <m:oMath>
        <m:sSub>
          <m:sSubPr>
            <m:ctrlPr>
              <w:rPr>
                <w:rFonts w:ascii="Cambria Math" w:hAnsi="Cambria Math"/>
                <w:i/>
                <w:iCs/>
              </w:rPr>
            </m:ctrlPr>
          </m:sSubPr>
          <m:e>
            <m:r>
              <w:rPr>
                <w:rFonts w:ascii="Cambria Math" w:hAnsi="Cambria Math"/>
              </w:rPr>
              <m:t>w</m:t>
            </m:r>
          </m:e>
          <m:sub>
            <m:r>
              <w:rPr>
                <w:rFonts w:ascii="Cambria Math" w:hAnsi="Cambria Math"/>
              </w:rPr>
              <m:t>i</m:t>
            </m:r>
          </m:sub>
        </m:sSub>
        <m:r>
          <w:rPr>
            <w:rFonts w:ascii="Cambria Math" w:hAnsi="Cambria Math"/>
          </w:rPr>
          <m:t>=</m:t>
        </m:r>
        <m:f>
          <m:fPr>
            <m:ctrlPr>
              <w:rPr>
                <w:rFonts w:ascii="Cambria Math" w:hAnsi="Cambria Math"/>
                <w:i/>
                <w:iCs/>
              </w:rPr>
            </m:ctrlPr>
          </m:fPr>
          <m:num>
            <m:r>
              <w:rPr>
                <w:rFonts w:ascii="Cambria Math" w:hAnsi="Cambria Math"/>
              </w:rPr>
              <m:t>1</m:t>
            </m:r>
          </m:num>
          <m:den>
            <m:r>
              <w:rPr>
                <w:rFonts w:ascii="Cambria Math" w:hAnsi="Cambria Math"/>
              </w:rPr>
              <m:t>n</m:t>
            </m:r>
          </m:den>
        </m:f>
        <m:r>
          <w:rPr>
            <w:rFonts w:ascii="Cambria Math" w:hAnsi="Cambria Math"/>
          </w:rPr>
          <m:t>, i=1,2,…,N</m:t>
        </m:r>
      </m:oMath>
      <w:r w:rsidRPr="00BE1767">
        <w:rPr>
          <w:i/>
          <w:iCs/>
        </w:rPr>
        <w:t>.</w:t>
      </w:r>
    </w:p>
    <w:p w14:paraId="2D1C7036" w14:textId="77777777" w:rsidR="00714AB0" w:rsidRPr="00BE1767" w:rsidRDefault="00714AB0" w:rsidP="00714AB0">
      <w:pPr>
        <w:pStyle w:val="ListParagraph"/>
        <w:numPr>
          <w:ilvl w:val="0"/>
          <w:numId w:val="20"/>
        </w:numPr>
        <w:rPr>
          <w:i/>
          <w:iCs/>
        </w:rPr>
      </w:pPr>
      <w:bookmarkStart w:id="2" w:name="_Hlk152060140"/>
      <w:r w:rsidRPr="00BE1767">
        <w:rPr>
          <w:i/>
          <w:iCs/>
        </w:rPr>
        <w:t xml:space="preserve">For </w:t>
      </w:r>
      <m:oMath>
        <m:r>
          <w:rPr>
            <w:rFonts w:ascii="Cambria Math" w:hAnsi="Cambria Math"/>
          </w:rPr>
          <m:t>m=1 to M:</m:t>
        </m:r>
      </m:oMath>
    </w:p>
    <w:p w14:paraId="3709A068" w14:textId="77777777" w:rsidR="00714AB0" w:rsidRPr="00BE1767" w:rsidRDefault="00714AB0" w:rsidP="00714AB0">
      <w:pPr>
        <w:pStyle w:val="ListParagraph"/>
        <w:numPr>
          <w:ilvl w:val="0"/>
          <w:numId w:val="21"/>
        </w:numPr>
        <w:rPr>
          <w:i/>
          <w:iCs/>
        </w:rPr>
      </w:pPr>
      <w:r w:rsidRPr="00BE1767">
        <w:rPr>
          <w:i/>
          <w:iCs/>
        </w:rPr>
        <w:t xml:space="preserve">Fit a classifier </w:t>
      </w:r>
      <m:oMath>
        <m:sSubSup>
          <m:sSubSupPr>
            <m:ctrlPr>
              <w:rPr>
                <w:rFonts w:ascii="Cambria Math" w:hAnsi="Cambria Math"/>
                <w:i/>
                <w:iCs/>
              </w:rPr>
            </m:ctrlPr>
          </m:sSubSupPr>
          <m:e>
            <m:r>
              <w:rPr>
                <w:rFonts w:ascii="Cambria Math" w:hAnsi="Cambria Math"/>
              </w:rPr>
              <m:t>T</m:t>
            </m:r>
          </m:e>
          <m:sub/>
          <m:sup>
            <m:d>
              <m:dPr>
                <m:ctrlPr>
                  <w:rPr>
                    <w:rFonts w:ascii="Cambria Math" w:hAnsi="Cambria Math"/>
                    <w:i/>
                    <w:iCs/>
                  </w:rPr>
                </m:ctrlPr>
              </m:dPr>
              <m:e>
                <m:r>
                  <w:rPr>
                    <w:rFonts w:ascii="Cambria Math" w:hAnsi="Cambria Math"/>
                  </w:rPr>
                  <m:t>m</m:t>
                </m:r>
              </m:e>
            </m:d>
          </m:sup>
        </m:sSubSup>
        <m:r>
          <w:rPr>
            <w:rFonts w:ascii="Cambria Math" w:hAnsi="Cambria Math"/>
          </w:rPr>
          <m:t>(</m:t>
        </m:r>
        <m:r>
          <m:rPr>
            <m:sty m:val="bi"/>
          </m:rPr>
          <w:rPr>
            <w:rFonts w:ascii="Cambria Math" w:hAnsi="Cambria Math"/>
          </w:rPr>
          <m:t>x</m:t>
        </m:r>
        <m:r>
          <w:rPr>
            <w:rFonts w:ascii="Cambria Math" w:hAnsi="Cambria Math"/>
          </w:rPr>
          <m:t>)</m:t>
        </m:r>
      </m:oMath>
      <w:r w:rsidRPr="00BE1767">
        <w:rPr>
          <w:i/>
          <w:iCs/>
        </w:rPr>
        <w:t xml:space="preserve"> to the training data using weights </w:t>
      </w:r>
      <m:oMath>
        <m:sSub>
          <m:sSubPr>
            <m:ctrlPr>
              <w:rPr>
                <w:rFonts w:ascii="Cambria Math" w:hAnsi="Cambria Math"/>
                <w:i/>
                <w:iCs/>
              </w:rPr>
            </m:ctrlPr>
          </m:sSubPr>
          <m:e>
            <m:r>
              <w:rPr>
                <w:rFonts w:ascii="Cambria Math" w:hAnsi="Cambria Math"/>
              </w:rPr>
              <m:t>w</m:t>
            </m:r>
          </m:e>
          <m:sub>
            <m:r>
              <w:rPr>
                <w:rFonts w:ascii="Cambria Math" w:hAnsi="Cambria Math"/>
              </w:rPr>
              <m:t>i</m:t>
            </m:r>
          </m:sub>
        </m:sSub>
      </m:oMath>
      <w:r w:rsidRPr="00BE1767">
        <w:rPr>
          <w:i/>
          <w:iCs/>
        </w:rPr>
        <w:t>.</w:t>
      </w:r>
    </w:p>
    <w:p w14:paraId="075B98FD" w14:textId="77777777" w:rsidR="00714AB0" w:rsidRDefault="00714AB0" w:rsidP="00714AB0">
      <w:pPr>
        <w:pStyle w:val="ListParagraph"/>
        <w:numPr>
          <w:ilvl w:val="0"/>
          <w:numId w:val="21"/>
        </w:numPr>
        <w:rPr>
          <w:i/>
          <w:iCs/>
        </w:rPr>
      </w:pPr>
      <w:r w:rsidRPr="00BE1767">
        <w:rPr>
          <w:i/>
          <w:iCs/>
        </w:rPr>
        <w:t xml:space="preserve"> </w:t>
      </w:r>
      <m:oMath>
        <m:sSup>
          <m:sSupPr>
            <m:ctrlPr>
              <w:rPr>
                <w:rFonts w:ascii="Cambria Math" w:hAnsi="Cambria Math"/>
                <w:i/>
                <w:iCs/>
              </w:rPr>
            </m:ctrlPr>
          </m:sSupPr>
          <m:e>
            <m:r>
              <w:rPr>
                <w:rFonts w:ascii="Cambria Math" w:hAnsi="Cambria Math"/>
              </w:rPr>
              <m:t>err</m:t>
            </m:r>
          </m:e>
          <m:sup>
            <m:r>
              <w:rPr>
                <w:rFonts w:ascii="Cambria Math" w:hAnsi="Cambria Math"/>
              </w:rPr>
              <m:t>(m)</m:t>
            </m:r>
          </m:sup>
        </m:sSup>
        <m:r>
          <w:rPr>
            <w:rFonts w:ascii="Cambria Math" w:hAnsi="Cambria Math"/>
          </w:rPr>
          <m:t>=</m:t>
        </m:r>
        <m:nary>
          <m:naryPr>
            <m:chr m:val="∑"/>
            <m:limLoc m:val="undOvr"/>
            <m:ctrlPr>
              <w:rPr>
                <w:rFonts w:ascii="Cambria Math" w:hAnsi="Cambria Math"/>
                <w:i/>
                <w:iCs/>
              </w:rPr>
            </m:ctrlPr>
          </m:naryPr>
          <m:sub>
            <m:r>
              <w:rPr>
                <w:rFonts w:ascii="Cambria Math" w:hAnsi="Cambria Math"/>
              </w:rPr>
              <m:t>i=1</m:t>
            </m:r>
          </m:sub>
          <m:sup>
            <m:r>
              <w:rPr>
                <w:rFonts w:ascii="Cambria Math" w:hAnsi="Cambria Math"/>
              </w:rPr>
              <m:t>N</m:t>
            </m:r>
          </m:sup>
          <m:e>
            <m:sSub>
              <m:sSubPr>
                <m:ctrlPr>
                  <w:rPr>
                    <w:rFonts w:ascii="Cambria Math" w:hAnsi="Cambria Math"/>
                    <w:i/>
                    <w:iCs/>
                  </w:rPr>
                </m:ctrlPr>
              </m:sSubPr>
              <m:e>
                <m:r>
                  <w:rPr>
                    <w:rFonts w:ascii="Cambria Math" w:hAnsi="Cambria Math"/>
                  </w:rPr>
                  <m:t>w</m:t>
                </m:r>
              </m:e>
              <m:sub>
                <m:r>
                  <w:rPr>
                    <w:rFonts w:ascii="Cambria Math" w:hAnsi="Cambria Math"/>
                  </w:rPr>
                  <m:t>i</m:t>
                </m:r>
              </m:sub>
            </m:sSub>
            <m:r>
              <w:rPr>
                <w:rFonts w:ascii="Cambria Math" w:hAnsi="Cambria Math"/>
              </w:rPr>
              <m:t>∙</m:t>
            </m:r>
            <m:sSub>
              <m:sSubPr>
                <m:ctrlPr>
                  <w:rPr>
                    <w:rFonts w:ascii="Cambria Math" w:hAnsi="Cambria Math"/>
                    <w:i/>
                    <w:iCs/>
                  </w:rPr>
                </m:ctrlPr>
              </m:sSubPr>
              <m:e>
                <m:r>
                  <w:rPr>
                    <w:rFonts w:ascii="Cambria Math" w:hAnsi="Cambria Math"/>
                  </w:rPr>
                  <m:t>s</m:t>
                </m:r>
              </m:e>
              <m:sub>
                <m:r>
                  <w:rPr>
                    <w:rFonts w:ascii="Cambria Math" w:hAnsi="Cambria Math"/>
                  </w:rPr>
                  <m:t>i</m:t>
                </m:r>
              </m:sub>
            </m:sSub>
            <m:r>
              <m:rPr>
                <m:scr m:val="double-struck"/>
              </m:rPr>
              <w:rPr>
                <w:rFonts w:ascii="Cambria Math" w:hAnsi="Cambria Math"/>
              </w:rPr>
              <m:t>1(</m:t>
            </m:r>
            <m:sSub>
              <m:sSubPr>
                <m:ctrlPr>
                  <w:rPr>
                    <w:rFonts w:ascii="Cambria Math" w:hAnsi="Cambria Math"/>
                    <w:i/>
                    <w:iCs/>
                  </w:rPr>
                </m:ctrlPr>
              </m:sSubPr>
              <m:e>
                <m:r>
                  <w:rPr>
                    <w:rFonts w:ascii="Cambria Math" w:hAnsi="Cambria Math"/>
                  </w:rPr>
                  <m:t>c</m:t>
                </m:r>
              </m:e>
              <m:sub>
                <m:r>
                  <w:rPr>
                    <w:rFonts w:ascii="Cambria Math" w:hAnsi="Cambria Math"/>
                  </w:rPr>
                  <m:t>i</m:t>
                </m:r>
              </m:sub>
            </m:sSub>
            <m:r>
              <w:rPr>
                <w:rFonts w:ascii="Cambria Math" w:hAnsi="Cambria Math"/>
              </w:rPr>
              <m:t>≠</m:t>
            </m:r>
            <m:sSubSup>
              <m:sSubSupPr>
                <m:ctrlPr>
                  <w:rPr>
                    <w:rFonts w:ascii="Cambria Math" w:hAnsi="Cambria Math"/>
                    <w:i/>
                    <w:iCs/>
                  </w:rPr>
                </m:ctrlPr>
              </m:sSubSupPr>
              <m:e>
                <m:r>
                  <w:rPr>
                    <w:rFonts w:ascii="Cambria Math" w:hAnsi="Cambria Math"/>
                  </w:rPr>
                  <m:t>T</m:t>
                </m:r>
              </m:e>
              <m:sub/>
              <m:sup>
                <m:d>
                  <m:dPr>
                    <m:ctrlPr>
                      <w:rPr>
                        <w:rFonts w:ascii="Cambria Math" w:hAnsi="Cambria Math"/>
                        <w:i/>
                        <w:iCs/>
                      </w:rPr>
                    </m:ctrlPr>
                  </m:dPr>
                  <m:e>
                    <m:r>
                      <w:rPr>
                        <w:rFonts w:ascii="Cambria Math" w:hAnsi="Cambria Math"/>
                      </w:rPr>
                      <m:t>m</m:t>
                    </m:r>
                  </m:e>
                </m:d>
              </m:sup>
            </m:sSubSup>
            <m:r>
              <w:rPr>
                <w:rFonts w:ascii="Cambria Math" w:hAnsi="Cambria Math"/>
              </w:rPr>
              <m:t>(</m:t>
            </m:r>
            <m:sSub>
              <m:sSubPr>
                <m:ctrlPr>
                  <w:rPr>
                    <w:rFonts w:ascii="Cambria Math" w:hAnsi="Cambria Math"/>
                    <w:i/>
                    <w:iCs/>
                  </w:rPr>
                </m:ctrlPr>
              </m:sSubPr>
              <m:e>
                <m:r>
                  <w:rPr>
                    <w:rFonts w:ascii="Cambria Math" w:hAnsi="Cambria Math"/>
                  </w:rPr>
                  <m:t>x</m:t>
                </m:r>
              </m:e>
              <m:sub>
                <m:r>
                  <w:rPr>
                    <w:rFonts w:ascii="Cambria Math" w:hAnsi="Cambria Math"/>
                  </w:rPr>
                  <m:t>i</m:t>
                </m:r>
              </m:sub>
            </m:sSub>
            <m:r>
              <w:rPr>
                <w:rFonts w:ascii="Cambria Math" w:hAnsi="Cambria Math"/>
              </w:rPr>
              <m:t>))/</m:t>
            </m:r>
            <m:nary>
              <m:naryPr>
                <m:chr m:val="∑"/>
                <m:limLoc m:val="undOvr"/>
                <m:ctrlPr>
                  <w:rPr>
                    <w:rFonts w:ascii="Cambria Math" w:hAnsi="Cambria Math"/>
                    <w:i/>
                    <w:iCs/>
                  </w:rPr>
                </m:ctrlPr>
              </m:naryPr>
              <m:sub>
                <m:r>
                  <w:rPr>
                    <w:rFonts w:ascii="Cambria Math" w:hAnsi="Cambria Math"/>
                  </w:rPr>
                  <m:t>i=1</m:t>
                </m:r>
              </m:sub>
              <m:sup>
                <m:r>
                  <w:rPr>
                    <w:rFonts w:ascii="Cambria Math" w:hAnsi="Cambria Math"/>
                  </w:rPr>
                  <m:t>N</m:t>
                </m:r>
              </m:sup>
              <m:e>
                <m:sSub>
                  <m:sSubPr>
                    <m:ctrlPr>
                      <w:rPr>
                        <w:rFonts w:ascii="Cambria Math" w:hAnsi="Cambria Math"/>
                        <w:i/>
                        <w:iCs/>
                      </w:rPr>
                    </m:ctrlPr>
                  </m:sSubPr>
                  <m:e>
                    <m:r>
                      <w:rPr>
                        <w:rFonts w:ascii="Cambria Math" w:hAnsi="Cambria Math"/>
                      </w:rPr>
                      <m:t>w</m:t>
                    </m:r>
                  </m:e>
                  <m:sub>
                    <m:r>
                      <w:rPr>
                        <w:rFonts w:ascii="Cambria Math" w:hAnsi="Cambria Math"/>
                      </w:rPr>
                      <m:t>i</m:t>
                    </m:r>
                  </m:sub>
                </m:sSub>
              </m:e>
            </m:nary>
            <m:r>
              <w:rPr>
                <w:rFonts w:ascii="Cambria Math" w:hAnsi="Cambria Math"/>
              </w:rPr>
              <m:t>.</m:t>
            </m:r>
          </m:e>
        </m:nary>
      </m:oMath>
    </w:p>
    <w:p w14:paraId="6008E844" w14:textId="77777777" w:rsidR="00714AB0" w:rsidRDefault="00714AB0" w:rsidP="00714AB0">
      <w:pPr>
        <w:pStyle w:val="ListParagraph"/>
        <w:numPr>
          <w:ilvl w:val="0"/>
          <w:numId w:val="21"/>
        </w:numPr>
        <w:rPr>
          <w:i/>
          <w:iCs/>
        </w:rPr>
      </w:pPr>
      <w:r w:rsidRPr="00BE1767">
        <w:rPr>
          <w:i/>
          <w:iCs/>
        </w:rPr>
        <w:t xml:space="preserve"> </w:t>
      </w:r>
      <m:oMath>
        <m:sSup>
          <m:sSupPr>
            <m:ctrlPr>
              <w:rPr>
                <w:rFonts w:ascii="Cambria Math" w:hAnsi="Cambria Math"/>
                <w:i/>
                <w:iCs/>
              </w:rPr>
            </m:ctrlPr>
          </m:sSupPr>
          <m:e>
            <m:r>
              <w:rPr>
                <w:rFonts w:ascii="Cambria Math" w:hAnsi="Cambria Math"/>
              </w:rPr>
              <m:t>α</m:t>
            </m:r>
          </m:e>
          <m:sup>
            <m:r>
              <w:rPr>
                <w:rFonts w:ascii="Cambria Math" w:hAnsi="Cambria Math"/>
              </w:rPr>
              <m:t>(m)</m:t>
            </m:r>
          </m:sup>
        </m:sSup>
        <m:r>
          <w:rPr>
            <w:rFonts w:ascii="Cambria Math" w:hAnsi="Cambria Math"/>
          </w:rPr>
          <m:t>=</m:t>
        </m:r>
        <m:func>
          <m:funcPr>
            <m:ctrlPr>
              <w:rPr>
                <w:rFonts w:ascii="Cambria Math" w:hAnsi="Cambria Math"/>
                <w:i/>
                <w:iCs/>
              </w:rPr>
            </m:ctrlPr>
          </m:funcPr>
          <m:fName>
            <m:r>
              <m:rPr>
                <m:sty m:val="p"/>
              </m:rPr>
              <w:rPr>
                <w:rFonts w:ascii="Cambria Math" w:hAnsi="Cambria Math"/>
              </w:rPr>
              <m:t>log</m:t>
            </m:r>
          </m:fName>
          <m:e>
            <m:f>
              <m:fPr>
                <m:ctrlPr>
                  <w:rPr>
                    <w:rFonts w:ascii="Cambria Math" w:hAnsi="Cambria Math"/>
                    <w:i/>
                    <w:iCs/>
                  </w:rPr>
                </m:ctrlPr>
              </m:fPr>
              <m:num>
                <m:r>
                  <w:rPr>
                    <w:rFonts w:ascii="Cambria Math" w:hAnsi="Cambria Math"/>
                  </w:rPr>
                  <m:t>1-</m:t>
                </m:r>
                <m:sSup>
                  <m:sSupPr>
                    <m:ctrlPr>
                      <w:rPr>
                        <w:rFonts w:ascii="Cambria Math" w:hAnsi="Cambria Math"/>
                        <w:i/>
                        <w:iCs/>
                      </w:rPr>
                    </m:ctrlPr>
                  </m:sSupPr>
                  <m:e>
                    <m:r>
                      <w:rPr>
                        <w:rFonts w:ascii="Cambria Math" w:hAnsi="Cambria Math"/>
                      </w:rPr>
                      <m:t>err</m:t>
                    </m:r>
                  </m:e>
                  <m:sup>
                    <m:r>
                      <w:rPr>
                        <w:rFonts w:ascii="Cambria Math" w:hAnsi="Cambria Math"/>
                      </w:rPr>
                      <m:t>(m)</m:t>
                    </m:r>
                  </m:sup>
                </m:sSup>
              </m:num>
              <m:den>
                <m:sSup>
                  <m:sSupPr>
                    <m:ctrlPr>
                      <w:rPr>
                        <w:rFonts w:ascii="Cambria Math" w:hAnsi="Cambria Math"/>
                        <w:i/>
                        <w:iCs/>
                      </w:rPr>
                    </m:ctrlPr>
                  </m:sSupPr>
                  <m:e>
                    <m:r>
                      <w:rPr>
                        <w:rFonts w:ascii="Cambria Math" w:hAnsi="Cambria Math"/>
                      </w:rPr>
                      <m:t>err</m:t>
                    </m:r>
                  </m:e>
                  <m:sup>
                    <m:r>
                      <w:rPr>
                        <w:rFonts w:ascii="Cambria Math" w:hAnsi="Cambria Math"/>
                      </w:rPr>
                      <m:t>(m)</m:t>
                    </m:r>
                  </m:sup>
                </m:sSup>
              </m:den>
            </m:f>
          </m:e>
        </m:func>
        <m:r>
          <w:rPr>
            <w:rFonts w:ascii="Cambria Math" w:hAnsi="Cambria Math"/>
          </w:rPr>
          <m:t>+</m:t>
        </m:r>
        <m:func>
          <m:funcPr>
            <m:ctrlPr>
              <w:rPr>
                <w:rFonts w:ascii="Cambria Math" w:hAnsi="Cambria Math"/>
                <w:i/>
                <w:iCs/>
              </w:rPr>
            </m:ctrlPr>
          </m:funcPr>
          <m:fName>
            <m:r>
              <m:rPr>
                <m:sty m:val="p"/>
              </m:rPr>
              <w:rPr>
                <w:rFonts w:ascii="Cambria Math" w:hAnsi="Cambria Math"/>
              </w:rPr>
              <m:t>log</m:t>
            </m:r>
          </m:fName>
          <m:e>
            <m:r>
              <w:rPr>
                <w:rFonts w:ascii="Cambria Math" w:hAnsi="Cambria Math"/>
              </w:rPr>
              <m:t>(K-1)</m:t>
            </m:r>
          </m:e>
        </m:func>
      </m:oMath>
      <w:r w:rsidRPr="00BE1767">
        <w:rPr>
          <w:i/>
          <w:iCs/>
        </w:rPr>
        <w:t>.</w:t>
      </w:r>
    </w:p>
    <w:p w14:paraId="50C3680C" w14:textId="77777777" w:rsidR="00714AB0" w:rsidRPr="00D35999" w:rsidRDefault="00714AB0" w:rsidP="00714AB0">
      <w:pPr>
        <w:pStyle w:val="ListParagraph"/>
        <w:numPr>
          <w:ilvl w:val="0"/>
          <w:numId w:val="21"/>
        </w:numPr>
        <w:rPr>
          <w:i/>
          <w:iCs/>
        </w:rPr>
      </w:pPr>
      <w:r w:rsidRPr="00D35999">
        <w:rPr>
          <w:b/>
          <w:bCs/>
        </w:rPr>
        <w:t>if</w:t>
      </w:r>
      <w:r>
        <w:rPr>
          <w:b/>
          <w:bCs/>
          <w:i/>
          <w:iCs/>
        </w:rPr>
        <w:t xml:space="preserve"> </w:t>
      </w:r>
      <m:oMath>
        <m:sSup>
          <m:sSupPr>
            <m:ctrlPr>
              <w:rPr>
                <w:rFonts w:ascii="Cambria Math" w:hAnsi="Cambria Math"/>
                <w:i/>
                <w:iCs/>
              </w:rPr>
            </m:ctrlPr>
          </m:sSupPr>
          <m:e>
            <m:r>
              <w:rPr>
                <w:rFonts w:ascii="Cambria Math" w:hAnsi="Cambria Math"/>
              </w:rPr>
              <m:t>α</m:t>
            </m:r>
          </m:e>
          <m:sup>
            <m:r>
              <w:rPr>
                <w:rFonts w:ascii="Cambria Math" w:hAnsi="Cambria Math"/>
              </w:rPr>
              <m:t>(m)</m:t>
            </m:r>
          </m:sup>
        </m:sSup>
        <m:r>
          <w:rPr>
            <w:rFonts w:ascii="Cambria Math" w:hAnsi="Cambria Math"/>
          </w:rPr>
          <m:t>&lt;0</m:t>
        </m:r>
      </m:oMath>
      <w:r>
        <w:rPr>
          <w:i/>
          <w:iCs/>
        </w:rPr>
        <w:t xml:space="preserve"> </w:t>
      </w:r>
      <w:r>
        <w:rPr>
          <w:b/>
          <w:bCs/>
        </w:rPr>
        <w:t>then</w:t>
      </w:r>
    </w:p>
    <w:p w14:paraId="737B6B0C" w14:textId="77777777" w:rsidR="00714AB0" w:rsidRDefault="00714AB0" w:rsidP="00714AB0">
      <w:pPr>
        <w:pStyle w:val="ListParagraph"/>
        <w:ind w:left="1080" w:firstLine="360"/>
        <w:rPr>
          <w:i/>
          <w:iCs/>
        </w:rPr>
      </w:pPr>
      <m:oMath>
        <m:r>
          <w:rPr>
            <w:rFonts w:ascii="Cambria Math" w:hAnsi="Cambria Math"/>
          </w:rPr>
          <m:t>m←m+1</m:t>
        </m:r>
      </m:oMath>
      <w:r>
        <w:rPr>
          <w:i/>
          <w:iCs/>
        </w:rPr>
        <w:t xml:space="preserve"> </w:t>
      </w:r>
    </w:p>
    <w:p w14:paraId="60C6B1A1" w14:textId="77777777" w:rsidR="00714AB0" w:rsidRDefault="00714AB0" w:rsidP="00714AB0">
      <w:pPr>
        <w:pStyle w:val="ListParagraph"/>
        <w:ind w:left="1080" w:firstLine="360"/>
        <w:rPr>
          <w:i/>
          <w:iCs/>
        </w:rPr>
      </w:pPr>
      <w:r>
        <w:rPr>
          <w:i/>
          <w:iCs/>
        </w:rPr>
        <w:t xml:space="preserve">exit </w:t>
      </w:r>
      <w:proofErr w:type="gramStart"/>
      <w:r>
        <w:rPr>
          <w:i/>
          <w:iCs/>
        </w:rPr>
        <w:t>loop</w:t>
      </w:r>
      <w:proofErr w:type="gramEnd"/>
    </w:p>
    <w:p w14:paraId="41995A82" w14:textId="77777777" w:rsidR="00714AB0" w:rsidRPr="00D35999" w:rsidRDefault="00714AB0" w:rsidP="00714AB0">
      <w:pPr>
        <w:rPr>
          <w:b/>
          <w:bCs/>
        </w:rPr>
      </w:pPr>
      <w:r>
        <w:rPr>
          <w:i/>
          <w:iCs/>
        </w:rPr>
        <w:tab/>
        <w:t xml:space="preserve">       </w:t>
      </w:r>
      <w:r w:rsidRPr="00D35999">
        <w:rPr>
          <w:b/>
          <w:bCs/>
        </w:rPr>
        <w:t>end if</w:t>
      </w:r>
    </w:p>
    <w:p w14:paraId="33321215" w14:textId="77777777" w:rsidR="00714AB0" w:rsidRPr="00BE1767" w:rsidRDefault="00714AB0" w:rsidP="00714AB0">
      <w:pPr>
        <w:pStyle w:val="ListParagraph"/>
        <w:numPr>
          <w:ilvl w:val="0"/>
          <w:numId w:val="21"/>
        </w:numPr>
        <w:rPr>
          <w:i/>
          <w:iCs/>
        </w:rPr>
      </w:pPr>
      <w:r w:rsidRPr="00BE1767">
        <w:rPr>
          <w:i/>
          <w:iCs/>
        </w:rPr>
        <w:t xml:space="preserve"> </w:t>
      </w:r>
      <m:oMath>
        <m:sSub>
          <m:sSubPr>
            <m:ctrlPr>
              <w:rPr>
                <w:rFonts w:ascii="Cambria Math" w:hAnsi="Cambria Math"/>
                <w:i/>
                <w:iCs/>
              </w:rPr>
            </m:ctrlPr>
          </m:sSubPr>
          <m:e>
            <m:r>
              <w:rPr>
                <w:rFonts w:ascii="Cambria Math" w:hAnsi="Cambria Math"/>
              </w:rPr>
              <m:t>w</m:t>
            </m:r>
          </m:e>
          <m:sub>
            <m:r>
              <w:rPr>
                <w:rFonts w:ascii="Cambria Math" w:hAnsi="Cambria Math"/>
              </w:rPr>
              <m:t>i</m:t>
            </m:r>
          </m:sub>
        </m:sSub>
        <m:r>
          <w:rPr>
            <w:rFonts w:ascii="Cambria Math" w:hAnsi="Cambria Math"/>
          </w:rPr>
          <m:t xml:space="preserve">≔ </m:t>
        </m:r>
        <m:sSub>
          <m:sSubPr>
            <m:ctrlPr>
              <w:rPr>
                <w:rFonts w:ascii="Cambria Math" w:hAnsi="Cambria Math"/>
                <w:i/>
                <w:iCs/>
              </w:rPr>
            </m:ctrlPr>
          </m:sSubPr>
          <m:e>
            <m:r>
              <w:rPr>
                <w:rFonts w:ascii="Cambria Math" w:hAnsi="Cambria Math"/>
              </w:rPr>
              <m:t>w</m:t>
            </m:r>
          </m:e>
          <m:sub>
            <m:r>
              <w:rPr>
                <w:rFonts w:ascii="Cambria Math" w:hAnsi="Cambria Math"/>
              </w:rPr>
              <m:t>i</m:t>
            </m:r>
          </m:sub>
        </m:sSub>
        <m:r>
          <w:rPr>
            <w:rFonts w:ascii="Cambria Math" w:hAnsi="Cambria Math"/>
          </w:rPr>
          <m:t>∙</m:t>
        </m:r>
        <m:r>
          <m:rPr>
            <m:sty m:val="p"/>
          </m:rPr>
          <w:rPr>
            <w:rFonts w:ascii="Cambria Math" w:hAnsi="Cambria Math"/>
          </w:rPr>
          <m:t>exp</m:t>
        </m:r>
        <m:r>
          <w:rPr>
            <w:rFonts w:ascii="Cambria Math" w:hAnsi="Cambria Math"/>
          </w:rPr>
          <m:t>⁡(</m:t>
        </m:r>
        <m:sSup>
          <m:sSupPr>
            <m:ctrlPr>
              <w:rPr>
                <w:rFonts w:ascii="Cambria Math" w:hAnsi="Cambria Math"/>
                <w:i/>
                <w:iCs/>
              </w:rPr>
            </m:ctrlPr>
          </m:sSupPr>
          <m:e>
            <m:r>
              <w:rPr>
                <w:rFonts w:ascii="Cambria Math" w:hAnsi="Cambria Math"/>
              </w:rPr>
              <m:t>α</m:t>
            </m:r>
          </m:e>
          <m:sup>
            <m:r>
              <w:rPr>
                <w:rFonts w:ascii="Cambria Math" w:hAnsi="Cambria Math"/>
              </w:rPr>
              <m:t>(m)</m:t>
            </m:r>
          </m:sup>
        </m:sSup>
        <m:r>
          <m:rPr>
            <m:scr m:val="double-struck"/>
          </m:rPr>
          <w:rPr>
            <w:rFonts w:ascii="Cambria Math" w:hAnsi="Cambria Math"/>
          </w:rPr>
          <m:t>∙1(</m:t>
        </m:r>
        <m:sSub>
          <m:sSubPr>
            <m:ctrlPr>
              <w:rPr>
                <w:rFonts w:ascii="Cambria Math" w:hAnsi="Cambria Math"/>
                <w:i/>
                <w:iCs/>
              </w:rPr>
            </m:ctrlPr>
          </m:sSubPr>
          <m:e>
            <m:r>
              <w:rPr>
                <w:rFonts w:ascii="Cambria Math" w:hAnsi="Cambria Math"/>
              </w:rPr>
              <m:t>c</m:t>
            </m:r>
          </m:e>
          <m:sub>
            <m:r>
              <w:rPr>
                <w:rFonts w:ascii="Cambria Math" w:hAnsi="Cambria Math"/>
              </w:rPr>
              <m:t>i</m:t>
            </m:r>
          </m:sub>
        </m:sSub>
        <m:r>
          <w:rPr>
            <w:rFonts w:ascii="Cambria Math" w:hAnsi="Cambria Math"/>
          </w:rPr>
          <m:t>≠</m:t>
        </m:r>
        <m:sSubSup>
          <m:sSubSupPr>
            <m:ctrlPr>
              <w:rPr>
                <w:rFonts w:ascii="Cambria Math" w:hAnsi="Cambria Math"/>
                <w:i/>
                <w:iCs/>
              </w:rPr>
            </m:ctrlPr>
          </m:sSubSupPr>
          <m:e>
            <m:r>
              <w:rPr>
                <w:rFonts w:ascii="Cambria Math" w:hAnsi="Cambria Math"/>
              </w:rPr>
              <m:t>T</m:t>
            </m:r>
          </m:e>
          <m:sub/>
          <m:sup>
            <m:d>
              <m:dPr>
                <m:ctrlPr>
                  <w:rPr>
                    <w:rFonts w:ascii="Cambria Math" w:hAnsi="Cambria Math"/>
                    <w:i/>
                    <w:iCs/>
                  </w:rPr>
                </m:ctrlPr>
              </m:dPr>
              <m:e>
                <m:r>
                  <w:rPr>
                    <w:rFonts w:ascii="Cambria Math" w:hAnsi="Cambria Math"/>
                  </w:rPr>
                  <m:t>m</m:t>
                </m:r>
              </m:e>
            </m:d>
          </m:sup>
        </m:sSubSup>
        <m:r>
          <w:rPr>
            <w:rFonts w:ascii="Cambria Math" w:hAnsi="Cambria Math"/>
          </w:rPr>
          <m:t>(</m:t>
        </m:r>
        <m:sSub>
          <m:sSubPr>
            <m:ctrlPr>
              <w:rPr>
                <w:rFonts w:ascii="Cambria Math" w:hAnsi="Cambria Math"/>
                <w:i/>
                <w:iCs/>
              </w:rPr>
            </m:ctrlPr>
          </m:sSubPr>
          <m:e>
            <m:r>
              <w:rPr>
                <w:rFonts w:ascii="Cambria Math" w:hAnsi="Cambria Math"/>
              </w:rPr>
              <m:t>x</m:t>
            </m:r>
          </m:e>
          <m:sub>
            <m:r>
              <w:rPr>
                <w:rFonts w:ascii="Cambria Math" w:hAnsi="Cambria Math"/>
              </w:rPr>
              <m:t>i</m:t>
            </m:r>
          </m:sub>
        </m:sSub>
        <m:r>
          <w:rPr>
            <w:rFonts w:ascii="Cambria Math" w:hAnsi="Cambria Math"/>
          </w:rPr>
          <m:t>)))</m:t>
        </m:r>
      </m:oMath>
      <w:r w:rsidRPr="00BE1767">
        <w:rPr>
          <w:i/>
          <w:iCs/>
        </w:rPr>
        <w:t xml:space="preserve">, for </w:t>
      </w:r>
      <m:oMath>
        <m:r>
          <w:rPr>
            <w:rFonts w:ascii="Cambria Math" w:hAnsi="Cambria Math"/>
          </w:rPr>
          <m:t>i = 1,2,…N</m:t>
        </m:r>
      </m:oMath>
    </w:p>
    <w:p w14:paraId="22EC75D7" w14:textId="77777777" w:rsidR="00714AB0" w:rsidRPr="00BE1767" w:rsidRDefault="00714AB0" w:rsidP="00714AB0">
      <w:pPr>
        <w:pStyle w:val="ListParagraph"/>
        <w:numPr>
          <w:ilvl w:val="0"/>
          <w:numId w:val="21"/>
        </w:numPr>
        <w:spacing w:after="120"/>
        <w:rPr>
          <w:i/>
          <w:iCs/>
        </w:rPr>
      </w:pPr>
      <w:r w:rsidRPr="00BE1767">
        <w:rPr>
          <w:i/>
          <w:iCs/>
        </w:rPr>
        <w:t xml:space="preserve">Re-normalize </w:t>
      </w:r>
      <m:oMath>
        <m:sSub>
          <m:sSubPr>
            <m:ctrlPr>
              <w:rPr>
                <w:rFonts w:ascii="Cambria Math" w:hAnsi="Cambria Math"/>
                <w:i/>
                <w:iCs/>
              </w:rPr>
            </m:ctrlPr>
          </m:sSubPr>
          <m:e>
            <m:r>
              <w:rPr>
                <w:rFonts w:ascii="Cambria Math" w:hAnsi="Cambria Math"/>
              </w:rPr>
              <m:t>w</m:t>
            </m:r>
          </m:e>
          <m:sub>
            <m:r>
              <w:rPr>
                <w:rFonts w:ascii="Cambria Math" w:hAnsi="Cambria Math"/>
              </w:rPr>
              <m:t>i</m:t>
            </m:r>
          </m:sub>
        </m:sSub>
      </m:oMath>
    </w:p>
    <w:p w14:paraId="64717426" w14:textId="77777777" w:rsidR="00714AB0" w:rsidRPr="00BE1767" w:rsidRDefault="00714AB0" w:rsidP="00714AB0">
      <w:pPr>
        <w:pStyle w:val="ListParagraph"/>
        <w:numPr>
          <w:ilvl w:val="0"/>
          <w:numId w:val="20"/>
        </w:numPr>
        <w:spacing w:after="120"/>
        <w:rPr>
          <w:i/>
          <w:iCs/>
        </w:rPr>
      </w:pPr>
      <w:r w:rsidRPr="00BE1767">
        <w:rPr>
          <w:i/>
          <w:iCs/>
        </w:rPr>
        <w:lastRenderedPageBreak/>
        <w:t>Output</w:t>
      </w:r>
      <w:bookmarkEnd w:id="2"/>
    </w:p>
    <w:p w14:paraId="6F81B4BC" w14:textId="77777777" w:rsidR="00714AB0" w:rsidRPr="00BE1767" w:rsidRDefault="00714AB0" w:rsidP="00714AB0">
      <w:pPr>
        <w:pStyle w:val="ListParagraph"/>
        <w:spacing w:after="120"/>
        <w:rPr>
          <w:i/>
          <w:iCs/>
        </w:rPr>
      </w:pPr>
      <m:oMathPara>
        <m:oMath>
          <m:r>
            <w:rPr>
              <w:rFonts w:ascii="Cambria Math" w:hAnsi="Cambria Math"/>
            </w:rPr>
            <m:t>C</m:t>
          </m:r>
          <m:d>
            <m:dPr>
              <m:ctrlPr>
                <w:rPr>
                  <w:rFonts w:ascii="Cambria Math" w:hAnsi="Cambria Math"/>
                  <w:i/>
                  <w:iCs/>
                </w:rPr>
              </m:ctrlPr>
            </m:dPr>
            <m:e>
              <m:r>
                <m:rPr>
                  <m:sty m:val="bi"/>
                </m:rPr>
                <w:rPr>
                  <w:rFonts w:ascii="Cambria Math" w:hAnsi="Cambria Math"/>
                </w:rPr>
                <m:t>x</m:t>
              </m:r>
            </m:e>
          </m:d>
          <m:r>
            <w:rPr>
              <w:rFonts w:ascii="Cambria Math" w:hAnsi="Cambria Math"/>
            </w:rPr>
            <m:t>=</m:t>
          </m:r>
          <m:func>
            <m:funcPr>
              <m:ctrlPr>
                <w:rPr>
                  <w:rFonts w:ascii="Cambria Math" w:hAnsi="Cambria Math"/>
                  <w:i/>
                  <w:iCs/>
                </w:rPr>
              </m:ctrlPr>
            </m:funcPr>
            <m:fName>
              <m:limLow>
                <m:limLowPr>
                  <m:ctrlPr>
                    <w:rPr>
                      <w:rFonts w:ascii="Cambria Math" w:hAnsi="Cambria Math"/>
                      <w:i/>
                      <w:iCs/>
                    </w:rPr>
                  </m:ctrlPr>
                </m:limLowPr>
                <m:e>
                  <m:r>
                    <m:rPr>
                      <m:sty m:val="p"/>
                    </m:rPr>
                    <w:rPr>
                      <w:rFonts w:ascii="Cambria Math" w:hAnsi="Cambria Math"/>
                    </w:rPr>
                    <m:t>max</m:t>
                  </m:r>
                </m:e>
                <m:lim>
                  <m:r>
                    <w:rPr>
                      <w:rFonts w:ascii="Cambria Math" w:hAnsi="Cambria Math"/>
                    </w:rPr>
                    <m:t>k</m:t>
                  </m:r>
                </m:lim>
              </m:limLow>
            </m:fName>
            <m:e>
              <m:nary>
                <m:naryPr>
                  <m:chr m:val="∑"/>
                  <m:limLoc m:val="undOvr"/>
                  <m:ctrlPr>
                    <w:rPr>
                      <w:rFonts w:ascii="Cambria Math" w:hAnsi="Cambria Math"/>
                      <w:i/>
                      <w:iCs/>
                    </w:rPr>
                  </m:ctrlPr>
                </m:naryPr>
                <m:sub>
                  <m:r>
                    <w:rPr>
                      <w:rFonts w:ascii="Cambria Math" w:hAnsi="Cambria Math"/>
                    </w:rPr>
                    <m:t>m=1</m:t>
                  </m:r>
                </m:sub>
                <m:sup>
                  <m:r>
                    <w:rPr>
                      <w:rFonts w:ascii="Cambria Math" w:hAnsi="Cambria Math"/>
                    </w:rPr>
                    <m:t>M</m:t>
                  </m:r>
                </m:sup>
                <m:e>
                  <m:sSup>
                    <m:sSupPr>
                      <m:ctrlPr>
                        <w:rPr>
                          <w:rFonts w:ascii="Cambria Math" w:hAnsi="Cambria Math"/>
                          <w:i/>
                          <w:iCs/>
                        </w:rPr>
                      </m:ctrlPr>
                    </m:sSupPr>
                    <m:e>
                      <m:r>
                        <w:rPr>
                          <w:rFonts w:ascii="Cambria Math" w:hAnsi="Cambria Math"/>
                        </w:rPr>
                        <m:t>α</m:t>
                      </m:r>
                    </m:e>
                    <m:sup>
                      <m:r>
                        <w:rPr>
                          <w:rFonts w:ascii="Cambria Math" w:hAnsi="Cambria Math"/>
                        </w:rPr>
                        <m:t>(m)</m:t>
                      </m:r>
                    </m:sup>
                  </m:sSup>
                  <m:r>
                    <m:rPr>
                      <m:scr m:val="double-struck"/>
                    </m:rPr>
                    <w:rPr>
                      <w:rFonts w:ascii="Cambria Math" w:hAnsi="Cambria Math"/>
                    </w:rPr>
                    <m:t>∙1(</m:t>
                  </m:r>
                  <m:sSubSup>
                    <m:sSubSupPr>
                      <m:ctrlPr>
                        <w:rPr>
                          <w:rFonts w:ascii="Cambria Math" w:hAnsi="Cambria Math"/>
                          <w:i/>
                          <w:iCs/>
                        </w:rPr>
                      </m:ctrlPr>
                    </m:sSubSupPr>
                    <m:e>
                      <m:r>
                        <w:rPr>
                          <w:rFonts w:ascii="Cambria Math" w:hAnsi="Cambria Math"/>
                        </w:rPr>
                        <m:t>T</m:t>
                      </m:r>
                    </m:e>
                    <m:sub/>
                    <m:sup>
                      <m:d>
                        <m:dPr>
                          <m:ctrlPr>
                            <w:rPr>
                              <w:rFonts w:ascii="Cambria Math" w:hAnsi="Cambria Math"/>
                              <w:i/>
                              <w:iCs/>
                            </w:rPr>
                          </m:ctrlPr>
                        </m:dPr>
                        <m:e>
                          <m:r>
                            <w:rPr>
                              <w:rFonts w:ascii="Cambria Math" w:hAnsi="Cambria Math"/>
                            </w:rPr>
                            <m:t>m</m:t>
                          </m:r>
                        </m:e>
                      </m:d>
                    </m:sup>
                  </m:sSubSup>
                  <m:d>
                    <m:dPr>
                      <m:ctrlPr>
                        <w:rPr>
                          <w:rFonts w:ascii="Cambria Math" w:hAnsi="Cambria Math"/>
                          <w:i/>
                          <w:iCs/>
                        </w:rPr>
                      </m:ctrlPr>
                    </m:dPr>
                    <m:e>
                      <m:r>
                        <m:rPr>
                          <m:sty m:val="bi"/>
                        </m:rPr>
                        <w:rPr>
                          <w:rFonts w:ascii="Cambria Math" w:hAnsi="Cambria Math"/>
                        </w:rPr>
                        <m:t>x</m:t>
                      </m:r>
                    </m:e>
                  </m:d>
                  <m:r>
                    <w:rPr>
                      <w:rFonts w:ascii="Cambria Math" w:hAnsi="Cambria Math"/>
                    </w:rPr>
                    <m:t>=k)</m:t>
                  </m:r>
                </m:e>
              </m:nary>
            </m:e>
          </m:func>
        </m:oMath>
      </m:oMathPara>
    </w:p>
    <w:p w14:paraId="4743DDEE" w14:textId="365DDA17" w:rsidR="00714AB0" w:rsidRDefault="00714AB0" w:rsidP="00E23D14">
      <w:pPr>
        <w:spacing w:after="120"/>
        <w:jc w:val="both"/>
      </w:pPr>
      <w:r>
        <w:t xml:space="preserve">Where </w:t>
      </w:r>
      <m:oMath>
        <m:r>
          <w:rPr>
            <w:rFonts w:ascii="Cambria Math" w:hAnsi="Cambria Math"/>
          </w:rPr>
          <m:t>N</m:t>
        </m:r>
      </m:oMath>
      <w:r>
        <w:t xml:space="preserve"> represents the number of all training data points, </w:t>
      </w:r>
      <m:oMath>
        <m:r>
          <w:rPr>
            <w:rFonts w:ascii="Cambria Math" w:hAnsi="Cambria Math"/>
          </w:rPr>
          <m:t>M</m:t>
        </m:r>
      </m:oMath>
      <w:r>
        <w:t xml:space="preserve"> represents the number of member classifiers, </w:t>
      </w:r>
      <m:oMath>
        <m:r>
          <w:rPr>
            <w:rFonts w:ascii="Cambria Math" w:hAnsi="Cambria Math"/>
          </w:rPr>
          <m:t>K</m:t>
        </m:r>
      </m:oMath>
      <w:r>
        <w:t xml:space="preserve"> represents the number of all possible classifications, </w:t>
      </w:r>
      <m:oMath>
        <m:r>
          <m:rPr>
            <m:sty m:val="bi"/>
          </m:rPr>
          <w:rPr>
            <w:rFonts w:ascii="Cambria Math" w:hAnsi="Cambria Math"/>
          </w:rPr>
          <m:t>x</m:t>
        </m:r>
      </m:oMath>
      <w:r>
        <w:rPr>
          <w:b/>
          <w:bCs/>
        </w:rPr>
        <w:t xml:space="preserve"> </w:t>
      </w:r>
      <w:r>
        <w:t xml:space="preserve">represents the feature matrix of all training data points, </w:t>
      </w:r>
      <m:oMath>
        <m:sSub>
          <m:sSubPr>
            <m:ctrlPr>
              <w:rPr>
                <w:rFonts w:ascii="Cambria Math" w:hAnsi="Cambria Math"/>
                <w:i/>
              </w:rPr>
            </m:ctrlPr>
          </m:sSubPr>
          <m:e>
            <m:r>
              <w:rPr>
                <w:rFonts w:ascii="Cambria Math" w:hAnsi="Cambria Math"/>
              </w:rPr>
              <m:t>s</m:t>
            </m:r>
          </m:e>
          <m:sub>
            <m:r>
              <w:rPr>
                <w:rFonts w:ascii="Cambria Math" w:hAnsi="Cambria Math"/>
              </w:rPr>
              <m:t>i</m:t>
            </m:r>
          </m:sub>
        </m:sSub>
      </m:oMath>
      <w:r>
        <w:t xml:space="preserve"> represents the score and </w:t>
      </w:r>
      <m:oMath>
        <m:sSub>
          <m:sSubPr>
            <m:ctrlPr>
              <w:rPr>
                <w:rFonts w:ascii="Cambria Math" w:hAnsi="Cambria Math"/>
                <w:i/>
              </w:rPr>
            </m:ctrlPr>
          </m:sSubPr>
          <m:e>
            <m:r>
              <w:rPr>
                <w:rFonts w:ascii="Cambria Math" w:hAnsi="Cambria Math"/>
              </w:rPr>
              <m:t>c</m:t>
            </m:r>
          </m:e>
          <m:sub>
            <m:r>
              <w:rPr>
                <w:rFonts w:ascii="Cambria Math" w:hAnsi="Cambria Math"/>
              </w:rPr>
              <m:t>i</m:t>
            </m:r>
          </m:sub>
        </m:sSub>
      </m:oMath>
      <w:r>
        <w:t xml:space="preserve">  represents the target of the </w:t>
      </w:r>
      <m:oMath>
        <m:r>
          <w:rPr>
            <w:rFonts w:ascii="Cambria Math" w:hAnsi="Cambria Math"/>
          </w:rPr>
          <m:t>i</m:t>
        </m:r>
      </m:oMath>
      <w:r>
        <w:t xml:space="preserve">th data point, and </w:t>
      </w:r>
      <m:oMath>
        <m:r>
          <w:rPr>
            <w:rFonts w:ascii="Cambria Math" w:hAnsi="Cambria Math"/>
          </w:rPr>
          <m:t>C</m:t>
        </m:r>
        <m:d>
          <m:dPr>
            <m:ctrlPr>
              <w:rPr>
                <w:rFonts w:ascii="Cambria Math" w:hAnsi="Cambria Math"/>
                <w:i/>
              </w:rPr>
            </m:ctrlPr>
          </m:dPr>
          <m:e>
            <m:r>
              <m:rPr>
                <m:sty m:val="bi"/>
              </m:rPr>
              <w:rPr>
                <w:rFonts w:ascii="Cambria Math" w:hAnsi="Cambria Math"/>
              </w:rPr>
              <m:t>x</m:t>
            </m:r>
          </m:e>
        </m:d>
      </m:oMath>
      <w:r>
        <w:t xml:space="preserve"> represents the classification results of all training data. </w:t>
      </w:r>
      <m:oMath>
        <m:sSup>
          <m:sSupPr>
            <m:ctrlPr>
              <w:rPr>
                <w:rFonts w:ascii="Cambria Math" w:hAnsi="Cambria Math"/>
                <w:i/>
              </w:rPr>
            </m:ctrlPr>
          </m:sSupPr>
          <m:e>
            <m:r>
              <w:rPr>
                <w:rFonts w:ascii="Cambria Math" w:hAnsi="Cambria Math"/>
              </w:rPr>
              <m:t>α</m:t>
            </m:r>
          </m:e>
          <m:sup>
            <m:r>
              <w:rPr>
                <w:rFonts w:ascii="Cambria Math" w:hAnsi="Cambria Math"/>
              </w:rPr>
              <m:t>(m)</m:t>
            </m:r>
          </m:sup>
        </m:sSup>
      </m:oMath>
      <w:r>
        <w:t xml:space="preserve"> is the weight of output of weak classifiers to build </w:t>
      </w:r>
      <w:r w:rsidRPr="002E5C78">
        <w:rPr>
          <w:i/>
          <w:iCs/>
        </w:rPr>
        <w:t>S-</w:t>
      </w:r>
      <w:r>
        <w:rPr>
          <w:i/>
          <w:iCs/>
        </w:rPr>
        <w:t xml:space="preserve">AdaBoost. </w:t>
      </w:r>
      <w:r>
        <w:t xml:space="preserve">Note that the only difference between S-AdaBoost and multi-class AdaBoost is the existence of </w:t>
      </w:r>
      <m:oMath>
        <m:sSub>
          <m:sSubPr>
            <m:ctrlPr>
              <w:rPr>
                <w:rFonts w:ascii="Cambria Math" w:hAnsi="Cambria Math"/>
                <w:i/>
              </w:rPr>
            </m:ctrlPr>
          </m:sSubPr>
          <m:e>
            <m:r>
              <w:rPr>
                <w:rFonts w:ascii="Cambria Math" w:hAnsi="Cambria Math"/>
              </w:rPr>
              <m:t>s</m:t>
            </m:r>
          </m:e>
          <m:sub>
            <m:r>
              <w:rPr>
                <w:rFonts w:ascii="Cambria Math" w:hAnsi="Cambria Math"/>
              </w:rPr>
              <m:t>i</m:t>
            </m:r>
          </m:sub>
        </m:sSub>
        <m:r>
          <w:rPr>
            <w:rFonts w:ascii="Cambria Math" w:hAnsi="Cambria Math"/>
          </w:rPr>
          <m:t xml:space="preserve"> </m:t>
        </m:r>
      </m:oMath>
      <w:r>
        <w:t xml:space="preserve">in 2(b), in which </w:t>
      </w:r>
      <m:oMath>
        <m:sSub>
          <m:sSubPr>
            <m:ctrlPr>
              <w:rPr>
                <w:rFonts w:ascii="Cambria Math" w:hAnsi="Cambria Math"/>
                <w:i/>
              </w:rPr>
            </m:ctrlPr>
          </m:sSubPr>
          <m:e>
            <m:r>
              <w:rPr>
                <w:rFonts w:ascii="Cambria Math" w:hAnsi="Cambria Math"/>
              </w:rPr>
              <m:t>s</m:t>
            </m:r>
          </m:e>
          <m:sub>
            <m:r>
              <w:rPr>
                <w:rFonts w:ascii="Cambria Math" w:hAnsi="Cambria Math"/>
              </w:rPr>
              <m:t>i</m:t>
            </m:r>
          </m:sub>
        </m:sSub>
      </m:oMath>
      <w:r>
        <w:t xml:space="preserve"> increases the weights of misclassified instances in terms of the magnitude of incorrectness from PI. Instead of only focusing on prediction accuracy</w:t>
      </w:r>
      <w:r w:rsidR="003F0F85">
        <w:t>, this modification helps the classifier</w:t>
      </w:r>
      <w:r>
        <w:t xml:space="preserve"> avoid configurations that may cause severe degradation in controller performance and </w:t>
      </w:r>
      <w:r w:rsidR="003F0F85">
        <w:t>increases</w:t>
      </w:r>
      <w:r>
        <w:t xml:space="preserve"> </w:t>
      </w:r>
      <w:r w:rsidR="003F0F85">
        <w:t xml:space="preserve">the </w:t>
      </w:r>
      <w:r>
        <w:t xml:space="preserve">tolerance for </w:t>
      </w:r>
      <w:r w:rsidR="003F0F85">
        <w:t>inaccurate predictions</w:t>
      </w:r>
      <w:r>
        <w:t xml:space="preserve"> wh</w:t>
      </w:r>
      <w:r w:rsidR="003F0F85">
        <w:t>ere there is little degradation in</w:t>
      </w:r>
      <w:r>
        <w:t xml:space="preserve"> </w:t>
      </w:r>
      <w:r w:rsidR="003F0F85">
        <w:t>PI compared to the best configuration.</w:t>
      </w:r>
    </w:p>
    <w:p w14:paraId="144DE6A5" w14:textId="63F77706" w:rsidR="008D2649" w:rsidRPr="00A94774" w:rsidRDefault="00AF22C9" w:rsidP="00E23D14">
      <w:pPr>
        <w:pStyle w:val="Els-1storder-head"/>
        <w:spacing w:after="120"/>
        <w:rPr>
          <w:lang w:val="en-GB"/>
        </w:rPr>
      </w:pPr>
      <w:r>
        <w:rPr>
          <w:lang w:val="en-GB"/>
        </w:rPr>
        <w:t>Results and Discussion</w:t>
      </w:r>
    </w:p>
    <w:p w14:paraId="7886CA83" w14:textId="2B86BF33" w:rsidR="00EA351E" w:rsidRDefault="0092035A" w:rsidP="00E23D14">
      <w:pPr>
        <w:spacing w:after="120"/>
        <w:jc w:val="both"/>
      </w:pPr>
      <w:r>
        <w:t xml:space="preserve">Our previous work (Dai et al., 2023) considered control of numbered-up modular systems with fixed configurations, and which demonstrated that operational conditions could affect selection of the optimal configuration of modules. Using the same benchmark modular three reactor system, in this work we collect data on </w:t>
      </w:r>
      <w:r w:rsidR="00E23D14">
        <w:t>the control performance of different modular configurations for v</w:t>
      </w:r>
      <w:r>
        <w:t>arious initial conditions of states, values of disturbances and set points of process outputs</w:t>
      </w:r>
      <w:r w:rsidR="001D359E">
        <w:t xml:space="preserve"> </w:t>
      </w:r>
      <w:r>
        <w:t xml:space="preserve">from a space-filling sampling of the parameter space. </w:t>
      </w:r>
      <w:r w:rsidR="00E23D14">
        <w:t xml:space="preserve">We run </w:t>
      </w:r>
      <w:r>
        <w:t xml:space="preserve">8641 different control simulations </w:t>
      </w:r>
      <w:r w:rsidR="00E23D14">
        <w:t>considering</w:t>
      </w:r>
      <w:r>
        <w:t xml:space="preserve"> 4 configuration</w:t>
      </w:r>
      <w:r w:rsidR="00E23D14">
        <w:t>s to</w:t>
      </w:r>
      <w:r>
        <w:t xml:space="preserve"> construct the training and test data set. The simulated ranges of all features are listed in Table</w:t>
      </w:r>
      <w:r w:rsidRPr="00B00B40">
        <w:t xml:space="preserve"> </w:t>
      </w:r>
      <w:r w:rsidR="00B00B40" w:rsidRPr="00B00B40">
        <w:t>1</w:t>
      </w:r>
      <w:r>
        <w:t xml:space="preserve">. </w:t>
      </w:r>
      <w:r w:rsidR="001D359E">
        <w:t>Following data collection</w:t>
      </w:r>
      <w:r>
        <w:t>, various classifier models are trained which fall within three major types: support vector machines (SVM), decision trees</w:t>
      </w:r>
      <w:r w:rsidR="001D359E">
        <w:t xml:space="preserve"> (DT)</w:t>
      </w:r>
      <w:r>
        <w:t xml:space="preserve">, and k-nearest neighbors (KNN). </w:t>
      </w:r>
      <w:proofErr w:type="gramStart"/>
      <w:r w:rsidR="00B7426D">
        <w:t>Output</w:t>
      </w:r>
      <w:proofErr w:type="gramEnd"/>
      <w:r w:rsidR="00B7426D">
        <w:t xml:space="preserve"> of these classifiers </w:t>
      </w:r>
      <w:r w:rsidR="00E23D14">
        <w:t>are used</w:t>
      </w:r>
      <w:r w:rsidR="00B7426D">
        <w:t xml:space="preserve"> to construct</w:t>
      </w:r>
      <w:r w:rsidR="00E23D14">
        <w:t xml:space="preserve"> ensemble</w:t>
      </w:r>
      <w:r w:rsidR="00B7426D">
        <w:t xml:space="preserve"> classifier</w:t>
      </w:r>
      <w:r w:rsidR="00E23D14">
        <w:t>s using both traditional A</w:t>
      </w:r>
      <w:r w:rsidR="00CF1BC7">
        <w:t>daBoost</w:t>
      </w:r>
      <w:r w:rsidR="00B7426D">
        <w:t xml:space="preserve"> and </w:t>
      </w:r>
      <w:r w:rsidR="00E23D14">
        <w:t xml:space="preserve">the </w:t>
      </w:r>
      <w:r w:rsidR="00B7426D">
        <w:t>S-</w:t>
      </w:r>
      <w:r w:rsidR="00CF1BC7">
        <w:t>AdaBoost</w:t>
      </w:r>
      <w:r w:rsidR="00E23D14">
        <w:t xml:space="preserve"> algorithm proposed</w:t>
      </w:r>
      <w:r w:rsidR="00B7426D">
        <w:t xml:space="preserve"> in Section </w:t>
      </w:r>
      <w:r w:rsidR="00E23D14">
        <w:t>3</w:t>
      </w:r>
      <w:r>
        <w:t xml:space="preserve">. </w:t>
      </w:r>
      <w:r w:rsidR="002E7591">
        <w:t xml:space="preserve">All classifiers are trained using LIBSVM v0.8.0, DecisionTree v0.12.3, and </w:t>
      </w:r>
      <w:proofErr w:type="spellStart"/>
      <w:r w:rsidR="002E7591">
        <w:t>NearestNeighborModels</w:t>
      </w:r>
      <w:proofErr w:type="spellEnd"/>
      <w:r w:rsidR="002E7591">
        <w:t xml:space="preserve"> v0.2.3 in the MLJ v0.19.</w:t>
      </w:r>
      <w:r w:rsidR="00B95D88">
        <w:t>5</w:t>
      </w:r>
      <w:r w:rsidR="002E7591">
        <w:t xml:space="preserve"> package</w:t>
      </w:r>
      <w:r w:rsidR="00077D98">
        <w:t xml:space="preserve">. Other details on packages and </w:t>
      </w:r>
      <w:r w:rsidR="0083545E">
        <w:t>computing environments are the same as our recent work (Dai et al., 2023).</w:t>
      </w:r>
    </w:p>
    <w:p w14:paraId="744424A0" w14:textId="67F7E6DA" w:rsidR="009A4DF4" w:rsidRPr="009A4DF4" w:rsidRDefault="009A4DF4" w:rsidP="009A4DF4">
      <w:pPr>
        <w:pStyle w:val="Els-body-text"/>
        <w:spacing w:after="120"/>
        <w:rPr>
          <w:lang w:val="en-GB"/>
        </w:rPr>
      </w:pPr>
      <w:r>
        <w:rPr>
          <w:lang w:val="en-GB"/>
        </w:rPr>
        <w:t xml:space="preserve">The performance of machine learning classifiers has been listed in Table 2. The classifier based on AdaBoost model is limited to KNN classifiers due to its highest prediction accuracy. After applying S-AdaBoost, the magnitude of error in the incorrect prediction significantly decreases without losing too much accuracy on predicting the optimal configuration, with the </w:t>
      </w:r>
      <w:proofErr w:type="gramStart"/>
      <w:r>
        <w:rPr>
          <w:lang w:val="en-GB"/>
        </w:rPr>
        <w:t>worst case</w:t>
      </w:r>
      <w:proofErr w:type="gramEnd"/>
      <w:r>
        <w:rPr>
          <w:lang w:val="en-GB"/>
        </w:rPr>
        <w:t xml:space="preserve"> value of </w:t>
      </w:r>
      <m:oMath>
        <m:r>
          <w:rPr>
            <w:rFonts w:ascii="Cambria Math" w:hAnsi="Cambria Math"/>
          </w:rPr>
          <m:t>Score</m:t>
        </m:r>
      </m:oMath>
      <w:r>
        <w:t xml:space="preserve"> an order of magnitude less than it is in any of the individual classifiers</w:t>
      </w:r>
      <w:r>
        <w:rPr>
          <w:lang w:val="en-GB"/>
        </w:rPr>
        <w:t xml:space="preserve">. This is </w:t>
      </w:r>
      <w:proofErr w:type="gramStart"/>
      <w:r>
        <w:rPr>
          <w:lang w:val="en-GB"/>
        </w:rPr>
        <w:t>due to the fact that</w:t>
      </w:r>
      <w:proofErr w:type="gramEnd"/>
      <w:r>
        <w:rPr>
          <w:lang w:val="en-GB"/>
        </w:rPr>
        <w:t xml:space="preserve"> the S-AdaBoost algorithm specifically takes the </w:t>
      </w:r>
      <m:oMath>
        <m:r>
          <w:rPr>
            <w:rFonts w:ascii="Cambria Math" w:hAnsi="Cambria Math"/>
          </w:rPr>
          <m:t>Score</m:t>
        </m:r>
      </m:oMath>
      <w:r>
        <w:t xml:space="preserve"> into account when choosing the configuration, thus decreasing the likelihood of severe degradation in performance from an incorrect choice in modular configuration and mitigating the risk of a poor control decision.</w:t>
      </w:r>
      <w:r>
        <w:rPr>
          <w:lang w:val="en-GB"/>
        </w:rPr>
        <w:t xml:space="preserve"> </w:t>
      </w:r>
    </w:p>
    <w:p w14:paraId="5A3659F5" w14:textId="4A48523B" w:rsidR="004A5660" w:rsidRDefault="004A5660" w:rsidP="00213CD7">
      <w:pPr>
        <w:pStyle w:val="TableCaption"/>
        <w:spacing w:before="60" w:after="60"/>
        <w:jc w:val="left"/>
      </w:pPr>
      <w:r>
        <w:t xml:space="preserve">Table </w:t>
      </w:r>
      <w:r w:rsidR="00B00B40">
        <w:t>1</w:t>
      </w:r>
      <w:r>
        <w:t xml:space="preserve">. Range of features that have been used </w:t>
      </w:r>
      <w:r w:rsidR="00E23D14">
        <w:t>for generating training data.</w:t>
      </w:r>
    </w:p>
    <w:tbl>
      <w:tblPr>
        <w:tblW w:w="5000" w:type="pct"/>
        <w:jc w:val="center"/>
        <w:tblCellMar>
          <w:left w:w="70" w:type="dxa"/>
          <w:right w:w="70" w:type="dxa"/>
        </w:tblCellMar>
        <w:tblLook w:val="0000" w:firstRow="0" w:lastRow="0" w:firstColumn="0" w:lastColumn="0" w:noHBand="0" w:noVBand="0"/>
      </w:tblPr>
      <w:tblGrid>
        <w:gridCol w:w="5006"/>
        <w:gridCol w:w="2080"/>
      </w:tblGrid>
      <w:tr w:rsidR="003F0F85" w14:paraId="3576725A" w14:textId="77777777" w:rsidTr="00213CD7">
        <w:trPr>
          <w:jc w:val="center"/>
        </w:trPr>
        <w:tc>
          <w:tcPr>
            <w:tcW w:w="0" w:type="auto"/>
            <w:tcBorders>
              <w:top w:val="single" w:sz="12" w:space="0" w:color="000000"/>
              <w:bottom w:val="single" w:sz="6" w:space="0" w:color="000000"/>
            </w:tcBorders>
            <w:vAlign w:val="center"/>
          </w:tcPr>
          <w:p w14:paraId="7225E517" w14:textId="4EDAD2FD" w:rsidR="003F0F85" w:rsidRPr="0083545E" w:rsidRDefault="003F0F85" w:rsidP="004A5660">
            <w:pPr>
              <w:jc w:val="center"/>
              <w:rPr>
                <w:sz w:val="18"/>
                <w:szCs w:val="18"/>
              </w:rPr>
            </w:pPr>
            <w:r w:rsidRPr="0083545E">
              <w:rPr>
                <w:sz w:val="18"/>
                <w:szCs w:val="18"/>
              </w:rPr>
              <w:t>Features</w:t>
            </w:r>
          </w:p>
        </w:tc>
        <w:tc>
          <w:tcPr>
            <w:tcW w:w="0" w:type="auto"/>
            <w:tcBorders>
              <w:top w:val="single" w:sz="12" w:space="0" w:color="000000"/>
              <w:bottom w:val="single" w:sz="6" w:space="0" w:color="000000"/>
            </w:tcBorders>
            <w:vAlign w:val="center"/>
          </w:tcPr>
          <w:p w14:paraId="254C5A41" w14:textId="5177F5A6" w:rsidR="003F0F85" w:rsidRPr="0083545E" w:rsidRDefault="003F0F85" w:rsidP="004A5660">
            <w:pPr>
              <w:jc w:val="center"/>
              <w:rPr>
                <w:sz w:val="18"/>
                <w:szCs w:val="18"/>
              </w:rPr>
            </w:pPr>
            <w:r w:rsidRPr="0083545E">
              <w:rPr>
                <w:sz w:val="18"/>
                <w:szCs w:val="18"/>
              </w:rPr>
              <w:t>Range</w:t>
            </w:r>
          </w:p>
        </w:tc>
      </w:tr>
      <w:tr w:rsidR="003F0F85" w14:paraId="5EC9D277" w14:textId="77777777" w:rsidTr="00213CD7">
        <w:trPr>
          <w:jc w:val="center"/>
        </w:trPr>
        <w:tc>
          <w:tcPr>
            <w:tcW w:w="0" w:type="auto"/>
            <w:vAlign w:val="center"/>
          </w:tcPr>
          <w:p w14:paraId="1C0DC0E9" w14:textId="76A897A2" w:rsidR="003F0F85" w:rsidRPr="0083545E" w:rsidRDefault="003F0F85" w:rsidP="004A5660">
            <w:pPr>
              <w:ind w:firstLine="284"/>
              <w:jc w:val="center"/>
              <w:rPr>
                <w:rFonts w:eastAsia="DengXian"/>
                <w:sz w:val="18"/>
                <w:szCs w:val="18"/>
              </w:rPr>
            </w:pPr>
            <w:r>
              <w:rPr>
                <w:rFonts w:eastAsia="DengXian"/>
                <w:sz w:val="18"/>
                <w:szCs w:val="18"/>
              </w:rPr>
              <w:t>Feed</w:t>
            </w:r>
            <w:r w:rsidRPr="0083545E">
              <w:rPr>
                <w:rFonts w:eastAsia="DengXian"/>
                <w:sz w:val="18"/>
                <w:szCs w:val="18"/>
              </w:rPr>
              <w:t xml:space="preserve"> temperature</w:t>
            </w:r>
            <w:r>
              <w:rPr>
                <w:rFonts w:eastAsia="DengXian"/>
                <w:sz w:val="18"/>
                <w:szCs w:val="18"/>
              </w:rPr>
              <w:t xml:space="preserve"> (K)</w:t>
            </w:r>
          </w:p>
        </w:tc>
        <w:tc>
          <w:tcPr>
            <w:tcW w:w="0" w:type="auto"/>
            <w:vAlign w:val="center"/>
          </w:tcPr>
          <w:p w14:paraId="151FB27F" w14:textId="1055F38B" w:rsidR="003F0F85" w:rsidRPr="0083545E" w:rsidRDefault="003F0F85" w:rsidP="004A5660">
            <w:pPr>
              <w:ind w:firstLine="284"/>
              <w:jc w:val="center"/>
              <w:rPr>
                <w:sz w:val="18"/>
                <w:szCs w:val="18"/>
              </w:rPr>
            </w:pPr>
            <w:r w:rsidRPr="0083545E">
              <w:rPr>
                <w:sz w:val="18"/>
                <w:szCs w:val="18"/>
              </w:rPr>
              <w:t>300 - 340</w:t>
            </w:r>
          </w:p>
        </w:tc>
      </w:tr>
      <w:tr w:rsidR="003F0F85" w14:paraId="22C15ABF" w14:textId="77777777" w:rsidTr="00213CD7">
        <w:trPr>
          <w:jc w:val="center"/>
        </w:trPr>
        <w:tc>
          <w:tcPr>
            <w:tcW w:w="0" w:type="auto"/>
            <w:vAlign w:val="center"/>
          </w:tcPr>
          <w:p w14:paraId="7F9BFE3C" w14:textId="01A12F67" w:rsidR="003F0F85" w:rsidRPr="0083545E" w:rsidRDefault="003F0F85" w:rsidP="004A5660">
            <w:pPr>
              <w:ind w:firstLine="284"/>
              <w:jc w:val="center"/>
              <w:rPr>
                <w:rFonts w:eastAsia="DengXian"/>
                <w:sz w:val="18"/>
                <w:szCs w:val="18"/>
              </w:rPr>
            </w:pPr>
            <w:r>
              <w:rPr>
                <w:rFonts w:eastAsia="DengXian"/>
                <w:sz w:val="18"/>
                <w:szCs w:val="18"/>
              </w:rPr>
              <w:t>Temperature set point in each reactor (K)</w:t>
            </w:r>
          </w:p>
        </w:tc>
        <w:tc>
          <w:tcPr>
            <w:tcW w:w="0" w:type="auto"/>
            <w:vAlign w:val="center"/>
          </w:tcPr>
          <w:p w14:paraId="7524906E" w14:textId="4E8845DD" w:rsidR="003F0F85" w:rsidRPr="0083545E" w:rsidRDefault="003F0F85" w:rsidP="004A5660">
            <w:pPr>
              <w:ind w:firstLine="284"/>
              <w:jc w:val="center"/>
              <w:rPr>
                <w:sz w:val="18"/>
                <w:szCs w:val="18"/>
              </w:rPr>
            </w:pPr>
            <w:r w:rsidRPr="0083545E">
              <w:rPr>
                <w:sz w:val="18"/>
                <w:szCs w:val="18"/>
              </w:rPr>
              <w:t>388.7 – 438.7</w:t>
            </w:r>
          </w:p>
        </w:tc>
      </w:tr>
      <w:tr w:rsidR="003F0F85" w14:paraId="0003D616" w14:textId="77777777" w:rsidTr="00213CD7">
        <w:trPr>
          <w:jc w:val="center"/>
        </w:trPr>
        <w:tc>
          <w:tcPr>
            <w:tcW w:w="0" w:type="auto"/>
            <w:vAlign w:val="center"/>
          </w:tcPr>
          <w:p w14:paraId="6EC31B6A" w14:textId="0464A6CC" w:rsidR="003F0F85" w:rsidRPr="0083545E" w:rsidRDefault="003F0F85" w:rsidP="004A5660">
            <w:pPr>
              <w:ind w:firstLine="284"/>
              <w:jc w:val="center"/>
              <w:rPr>
                <w:rFonts w:eastAsia="DengXian"/>
                <w:sz w:val="18"/>
                <w:szCs w:val="18"/>
              </w:rPr>
            </w:pPr>
            <w:r>
              <w:rPr>
                <w:sz w:val="18"/>
                <w:szCs w:val="18"/>
              </w:rPr>
              <w:t>Initial mol fraction of B in each reactor</w:t>
            </w:r>
          </w:p>
        </w:tc>
        <w:tc>
          <w:tcPr>
            <w:tcW w:w="0" w:type="auto"/>
            <w:vAlign w:val="center"/>
          </w:tcPr>
          <w:p w14:paraId="3AC954F1" w14:textId="527B73CB" w:rsidR="003F0F85" w:rsidRPr="0083545E" w:rsidRDefault="003F0F85" w:rsidP="004A5660">
            <w:pPr>
              <w:ind w:firstLine="284"/>
              <w:jc w:val="center"/>
              <w:rPr>
                <w:sz w:val="18"/>
                <w:szCs w:val="18"/>
              </w:rPr>
            </w:pPr>
            <w:r w:rsidRPr="0083545E">
              <w:rPr>
                <w:sz w:val="18"/>
                <w:szCs w:val="18"/>
              </w:rPr>
              <w:t>0.11-0.26</w:t>
            </w:r>
          </w:p>
        </w:tc>
      </w:tr>
      <w:tr w:rsidR="003F0F85" w14:paraId="0CB9C560" w14:textId="77777777" w:rsidTr="00213CD7">
        <w:trPr>
          <w:jc w:val="center"/>
        </w:trPr>
        <w:tc>
          <w:tcPr>
            <w:tcW w:w="0" w:type="auto"/>
            <w:tcBorders>
              <w:bottom w:val="single" w:sz="4" w:space="0" w:color="auto"/>
            </w:tcBorders>
            <w:vAlign w:val="center"/>
          </w:tcPr>
          <w:p w14:paraId="2E38BCA5" w14:textId="73179840" w:rsidR="003F0F85" w:rsidRPr="0083545E" w:rsidRDefault="003F0F85" w:rsidP="004A5660">
            <w:pPr>
              <w:ind w:firstLine="284"/>
              <w:jc w:val="center"/>
              <w:rPr>
                <w:rFonts w:eastAsia="DengXian"/>
                <w:sz w:val="18"/>
                <w:szCs w:val="18"/>
              </w:rPr>
            </w:pPr>
            <w:r>
              <w:rPr>
                <w:rFonts w:eastAsia="DengXian"/>
                <w:sz w:val="18"/>
                <w:szCs w:val="18"/>
              </w:rPr>
              <w:t xml:space="preserve">Output mol fraction of B set point </w:t>
            </w:r>
          </w:p>
        </w:tc>
        <w:tc>
          <w:tcPr>
            <w:tcW w:w="0" w:type="auto"/>
            <w:tcBorders>
              <w:bottom w:val="single" w:sz="4" w:space="0" w:color="auto"/>
            </w:tcBorders>
            <w:vAlign w:val="center"/>
          </w:tcPr>
          <w:p w14:paraId="340BC684" w14:textId="65F29278" w:rsidR="003F0F85" w:rsidRPr="0083545E" w:rsidRDefault="003F0F85" w:rsidP="004A5660">
            <w:pPr>
              <w:ind w:firstLine="284"/>
              <w:jc w:val="center"/>
              <w:rPr>
                <w:sz w:val="18"/>
                <w:szCs w:val="18"/>
              </w:rPr>
            </w:pPr>
            <w:r w:rsidRPr="0083545E">
              <w:rPr>
                <w:sz w:val="18"/>
                <w:szCs w:val="18"/>
              </w:rPr>
              <w:t>0.01-0.25</w:t>
            </w:r>
          </w:p>
        </w:tc>
      </w:tr>
    </w:tbl>
    <w:p w14:paraId="74078B96" w14:textId="141BA3F3" w:rsidR="004A7201" w:rsidRDefault="00A750AB" w:rsidP="004101F7">
      <w:pPr>
        <w:pStyle w:val="Els-body-text"/>
        <w:spacing w:after="120"/>
        <w:rPr>
          <w:lang w:val="en-GB"/>
        </w:rPr>
      </w:pPr>
      <w:r>
        <w:rPr>
          <w:lang w:val="en-GB"/>
        </w:rPr>
        <w:lastRenderedPageBreak/>
        <w:t>After implementing MPC with S-</w:t>
      </w:r>
      <w:r w:rsidR="00CF1BC7">
        <w:rPr>
          <w:lang w:val="en-GB"/>
        </w:rPr>
        <w:t>AdaBoost</w:t>
      </w:r>
      <w:r>
        <w:rPr>
          <w:lang w:val="en-GB"/>
        </w:rPr>
        <w:t xml:space="preserve"> classifier, </w:t>
      </w:r>
      <w:r w:rsidR="002C4B4E">
        <w:rPr>
          <w:lang w:val="en-GB"/>
        </w:rPr>
        <w:t xml:space="preserve">for </w:t>
      </w:r>
      <w:r w:rsidR="00E23D14">
        <w:rPr>
          <w:lang w:val="en-GB"/>
        </w:rPr>
        <w:t>most</w:t>
      </w:r>
      <w:r w:rsidR="002C4B4E">
        <w:rPr>
          <w:lang w:val="en-GB"/>
        </w:rPr>
        <w:t xml:space="preserve"> cases, it performs as </w:t>
      </w:r>
      <w:r w:rsidR="00E23D14">
        <w:rPr>
          <w:lang w:val="en-GB"/>
        </w:rPr>
        <w:t xml:space="preserve">well as the most accurate individual classifier KNN. This is demonstrated in </w:t>
      </w:r>
      <w:r w:rsidR="003F3D3E">
        <w:rPr>
          <w:lang w:val="en-GB"/>
        </w:rPr>
        <w:t>Fig</w:t>
      </w:r>
      <w:r w:rsidR="00B00B40">
        <w:rPr>
          <w:rFonts w:hint="eastAsia"/>
          <w:lang w:val="en-GB" w:eastAsia="zh-CN"/>
        </w:rPr>
        <w:t>ure</w:t>
      </w:r>
      <w:r w:rsidR="003F3D3E">
        <w:rPr>
          <w:lang w:val="en-GB"/>
        </w:rPr>
        <w:t xml:space="preserve"> </w:t>
      </w:r>
      <w:r w:rsidR="00B00B40">
        <w:rPr>
          <w:lang w:val="en-GB"/>
        </w:rPr>
        <w:t>3</w:t>
      </w:r>
      <w:r w:rsidR="00E23D14">
        <w:rPr>
          <w:lang w:val="en-GB"/>
        </w:rPr>
        <w:t xml:space="preserve">, which </w:t>
      </w:r>
      <w:r w:rsidR="003F3D3E">
        <w:rPr>
          <w:lang w:val="en-GB"/>
        </w:rPr>
        <w:t>show</w:t>
      </w:r>
      <w:r w:rsidR="004101F7">
        <w:rPr>
          <w:lang w:val="en-GB"/>
        </w:rPr>
        <w:t>s a setpoint tracking case study with different MPCs</w:t>
      </w:r>
      <w:r w:rsidR="0075698D">
        <w:rPr>
          <w:lang w:val="en-GB"/>
        </w:rPr>
        <w:t xml:space="preserve">, in which </w:t>
      </w:r>
      <w:r w:rsidR="00991E6A">
        <w:rPr>
          <w:lang w:val="en-GB"/>
        </w:rPr>
        <w:t xml:space="preserve">the classifier embedded MPC </w:t>
      </w:r>
      <w:proofErr w:type="gramStart"/>
      <w:r w:rsidR="00991E6A">
        <w:rPr>
          <w:lang w:val="en-GB"/>
        </w:rPr>
        <w:t>takes action</w:t>
      </w:r>
      <w:proofErr w:type="gramEnd"/>
      <w:r w:rsidR="00991E6A">
        <w:rPr>
          <w:lang w:val="en-GB"/>
        </w:rPr>
        <w:t xml:space="preserve"> of switching configuration from </w:t>
      </w:r>
      <w:r w:rsidR="00E42688">
        <w:rPr>
          <w:lang w:val="en-GB"/>
        </w:rPr>
        <w:t>(a)</w:t>
      </w:r>
      <w:r w:rsidR="00991E6A">
        <w:rPr>
          <w:lang w:val="en-GB"/>
        </w:rPr>
        <w:t xml:space="preserve"> to </w:t>
      </w:r>
      <w:r w:rsidR="00E42688">
        <w:rPr>
          <w:lang w:val="en-GB"/>
        </w:rPr>
        <w:t>(</w:t>
      </w:r>
      <w:r w:rsidR="004763E9">
        <w:rPr>
          <w:lang w:val="en-GB"/>
        </w:rPr>
        <w:t>b</w:t>
      </w:r>
      <w:r w:rsidR="00E42688">
        <w:rPr>
          <w:lang w:val="en-GB"/>
        </w:rPr>
        <w:t xml:space="preserve">) </w:t>
      </w:r>
      <w:r w:rsidR="004763E9">
        <w:rPr>
          <w:lang w:val="en-GB"/>
        </w:rPr>
        <w:t>in</w:t>
      </w:r>
      <w:r w:rsidR="00E42688">
        <w:rPr>
          <w:lang w:val="en-GB"/>
        </w:rPr>
        <w:t xml:space="preserve"> Figure 1</w:t>
      </w:r>
      <w:r w:rsidR="004763E9">
        <w:rPr>
          <w:lang w:val="en-GB"/>
        </w:rPr>
        <w:t xml:space="preserve"> (right)</w:t>
      </w:r>
      <w:r w:rsidR="003F3D3E">
        <w:rPr>
          <w:lang w:val="en-GB"/>
        </w:rPr>
        <w:t>.</w:t>
      </w:r>
      <w:r w:rsidR="004101F7">
        <w:rPr>
          <w:lang w:val="en-GB"/>
        </w:rPr>
        <w:t xml:space="preserve"> The switch</w:t>
      </w:r>
      <w:r w:rsidR="0075698D">
        <w:rPr>
          <w:lang w:val="en-GB"/>
        </w:rPr>
        <w:t>ed</w:t>
      </w:r>
      <w:r w:rsidR="004101F7">
        <w:rPr>
          <w:lang w:val="en-GB"/>
        </w:rPr>
        <w:t xml:space="preserve"> strategy gives the lowest number on </w:t>
      </w:r>
      <w:r w:rsidR="00631B14">
        <w:rPr>
          <w:lang w:val="en-GB"/>
        </w:rPr>
        <w:t>PI</w:t>
      </w:r>
      <w:r w:rsidR="004101F7">
        <w:rPr>
          <w:lang w:val="en-GB"/>
        </w:rPr>
        <w:t xml:space="preserve"> and the quickest change to the new setpoint, demonstrating that MPC with KNN/S-</w:t>
      </w:r>
      <w:r w:rsidR="00CF1BC7">
        <w:rPr>
          <w:lang w:val="en-GB"/>
        </w:rPr>
        <w:t>AdaBoost</w:t>
      </w:r>
      <w:r w:rsidR="004101F7">
        <w:rPr>
          <w:lang w:val="en-GB"/>
        </w:rPr>
        <w:t xml:space="preserve"> classifier has the best control performance for some setpoint tracking cases. </w:t>
      </w:r>
      <w:r w:rsidR="003D70FB">
        <w:rPr>
          <w:lang w:val="en-GB"/>
        </w:rPr>
        <w:t xml:space="preserve">Note that the </w:t>
      </w:r>
      <w:r w:rsidR="00631B14">
        <w:rPr>
          <w:lang w:val="en-GB"/>
        </w:rPr>
        <w:t>PI</w:t>
      </w:r>
      <w:r w:rsidR="003D70FB">
        <w:rPr>
          <w:lang w:val="en-GB"/>
        </w:rPr>
        <w:t xml:space="preserve"> in </w:t>
      </w:r>
      <w:r w:rsidR="0013563E">
        <w:rPr>
          <w:lang w:val="en-GB"/>
        </w:rPr>
        <w:t>Figures</w:t>
      </w:r>
      <w:r w:rsidR="003D70FB">
        <w:rPr>
          <w:lang w:val="en-GB"/>
        </w:rPr>
        <w:t xml:space="preserve"> 3 and 4 are calculated from the real-time control simulations, while the </w:t>
      </w:r>
      <w:r w:rsidR="00631B14">
        <w:rPr>
          <w:lang w:val="en-GB"/>
        </w:rPr>
        <w:t xml:space="preserve">PI used to generate </w:t>
      </w:r>
      <m:oMath>
        <m:r>
          <w:rPr>
            <w:rFonts w:ascii="Cambria Math" w:hAnsi="Cambria Math"/>
            <w:lang w:val="en-GB"/>
          </w:rPr>
          <m:t>Score</m:t>
        </m:r>
      </m:oMath>
      <w:r w:rsidR="00631B14">
        <w:rPr>
          <w:lang w:val="en-GB"/>
        </w:rPr>
        <w:t xml:space="preserve"> are calculated </w:t>
      </w:r>
      <w:r w:rsidR="007F2786">
        <w:rPr>
          <w:lang w:val="en-GB"/>
        </w:rPr>
        <w:t>by</w:t>
      </w:r>
      <w:r w:rsidR="00631B14">
        <w:rPr>
          <w:lang w:val="en-GB"/>
        </w:rPr>
        <w:t xml:space="preserve"> the MPC optimal solution which </w:t>
      </w:r>
      <w:r w:rsidR="007F2786">
        <w:rPr>
          <w:lang w:val="en-GB"/>
        </w:rPr>
        <w:t>contains the control performance in a forward horizon at the starting point right after setpoint change.</w:t>
      </w:r>
    </w:p>
    <w:p w14:paraId="1BF5B652" w14:textId="45B33422" w:rsidR="009A4DF4" w:rsidRDefault="009A4DF4" w:rsidP="004101F7">
      <w:pPr>
        <w:pStyle w:val="Els-body-text"/>
        <w:spacing w:after="120"/>
        <w:rPr>
          <w:lang w:val="en-GB"/>
        </w:rPr>
      </w:pPr>
      <w:r>
        <w:rPr>
          <w:lang w:val="en-GB"/>
        </w:rPr>
        <w:t xml:space="preserve">Figure 4 shows the set point tracking case that is the worst prediction of KNN classifier, where KNN embedded MPC uses the series configuration (d), and S-AdaBoost one </w:t>
      </w:r>
    </w:p>
    <w:p w14:paraId="3CBF1D09" w14:textId="05502863" w:rsidR="000757F9" w:rsidRDefault="000757F9" w:rsidP="00213CD7">
      <w:pPr>
        <w:pStyle w:val="TableCaption"/>
        <w:spacing w:before="60" w:after="60"/>
        <w:jc w:val="left"/>
      </w:pPr>
      <w:r>
        <w:t xml:space="preserve">Table </w:t>
      </w:r>
      <w:r w:rsidR="00B00B40">
        <w:t>2</w:t>
      </w:r>
      <w:r>
        <w:t xml:space="preserve">. </w:t>
      </w:r>
      <w:r w:rsidR="00F16565">
        <w:t>Machine learning classifiers performance</w:t>
      </w:r>
      <w:r w:rsidR="00827748">
        <w:t xml:space="preserve"> comparison</w:t>
      </w:r>
    </w:p>
    <w:tbl>
      <w:tblPr>
        <w:tblW w:w="4982" w:type="pct"/>
        <w:jc w:val="center"/>
        <w:tblCellMar>
          <w:left w:w="70" w:type="dxa"/>
          <w:right w:w="70" w:type="dxa"/>
        </w:tblCellMar>
        <w:tblLook w:val="0000" w:firstRow="0" w:lastRow="0" w:firstColumn="0" w:lastColumn="0" w:noHBand="0" w:noVBand="0"/>
      </w:tblPr>
      <w:tblGrid>
        <w:gridCol w:w="1200"/>
        <w:gridCol w:w="2446"/>
        <w:gridCol w:w="1719"/>
        <w:gridCol w:w="1695"/>
      </w:tblGrid>
      <w:tr w:rsidR="007801E0" w14:paraId="7E3B401C" w14:textId="7483329A" w:rsidTr="00AA12D8">
        <w:trPr>
          <w:trHeight w:val="526"/>
          <w:jc w:val="center"/>
        </w:trPr>
        <w:tc>
          <w:tcPr>
            <w:tcW w:w="0" w:type="auto"/>
            <w:tcBorders>
              <w:top w:val="single" w:sz="12" w:space="0" w:color="000000"/>
              <w:bottom w:val="single" w:sz="6" w:space="0" w:color="000000"/>
            </w:tcBorders>
            <w:shd w:val="clear" w:color="auto" w:fill="auto"/>
            <w:vAlign w:val="center"/>
          </w:tcPr>
          <w:p w14:paraId="0AC9B91D" w14:textId="057868A3" w:rsidR="00B56A68" w:rsidRPr="0083545E" w:rsidRDefault="00B56A68" w:rsidP="00AA12D8">
            <w:pPr>
              <w:jc w:val="center"/>
              <w:rPr>
                <w:sz w:val="18"/>
                <w:szCs w:val="18"/>
              </w:rPr>
            </w:pPr>
            <w:r w:rsidRPr="0083545E">
              <w:rPr>
                <w:sz w:val="18"/>
                <w:szCs w:val="18"/>
              </w:rPr>
              <w:t>Classifier Model</w:t>
            </w:r>
          </w:p>
        </w:tc>
        <w:tc>
          <w:tcPr>
            <w:tcW w:w="0" w:type="auto"/>
            <w:tcBorders>
              <w:top w:val="single" w:sz="12" w:space="0" w:color="000000"/>
              <w:bottom w:val="single" w:sz="6" w:space="0" w:color="000000"/>
            </w:tcBorders>
            <w:shd w:val="clear" w:color="auto" w:fill="auto"/>
            <w:vAlign w:val="center"/>
          </w:tcPr>
          <w:p w14:paraId="77CF5503" w14:textId="5812BF40" w:rsidR="00B56A68" w:rsidRPr="0083545E" w:rsidRDefault="00B56A68" w:rsidP="00AA12D8">
            <w:pPr>
              <w:jc w:val="center"/>
              <w:rPr>
                <w:sz w:val="18"/>
                <w:szCs w:val="18"/>
              </w:rPr>
            </w:pPr>
            <w:r w:rsidRPr="0083545E">
              <w:rPr>
                <w:sz w:val="18"/>
                <w:szCs w:val="18"/>
              </w:rPr>
              <w:t>% cases selecting the best configuration</w:t>
            </w:r>
          </w:p>
        </w:tc>
        <w:tc>
          <w:tcPr>
            <w:tcW w:w="0" w:type="auto"/>
            <w:tcBorders>
              <w:top w:val="single" w:sz="12" w:space="0" w:color="000000"/>
              <w:bottom w:val="single" w:sz="6" w:space="0" w:color="000000"/>
            </w:tcBorders>
            <w:shd w:val="clear" w:color="auto" w:fill="auto"/>
            <w:vAlign w:val="center"/>
          </w:tcPr>
          <w:p w14:paraId="67FD5F3B" w14:textId="2C9229BD" w:rsidR="00B56A68" w:rsidRPr="0083545E" w:rsidRDefault="00B56A68" w:rsidP="00AA12D8">
            <w:pPr>
              <w:jc w:val="center"/>
              <w:rPr>
                <w:sz w:val="18"/>
                <w:szCs w:val="18"/>
              </w:rPr>
            </w:pPr>
            <w:r w:rsidRPr="0083545E">
              <w:rPr>
                <w:sz w:val="18"/>
                <w:szCs w:val="18"/>
              </w:rPr>
              <w:t xml:space="preserve">% cases when </w:t>
            </w:r>
            <m:oMath>
              <m:r>
                <w:rPr>
                  <w:rFonts w:ascii="Cambria Math" w:hAnsi="Cambria Math"/>
                  <w:sz w:val="18"/>
                  <w:szCs w:val="18"/>
                </w:rPr>
                <m:t>Score&gt;0.1</m:t>
              </m:r>
            </m:oMath>
          </w:p>
        </w:tc>
        <w:tc>
          <w:tcPr>
            <w:tcW w:w="0" w:type="auto"/>
            <w:tcBorders>
              <w:top w:val="single" w:sz="12" w:space="0" w:color="000000"/>
              <w:bottom w:val="single" w:sz="6" w:space="0" w:color="000000"/>
            </w:tcBorders>
            <w:shd w:val="clear" w:color="auto" w:fill="auto"/>
            <w:vAlign w:val="center"/>
          </w:tcPr>
          <w:p w14:paraId="6839463D" w14:textId="03538739" w:rsidR="00B56A68" w:rsidRPr="0083545E" w:rsidRDefault="00B56A68" w:rsidP="00AA12D8">
            <w:pPr>
              <w:jc w:val="center"/>
              <w:rPr>
                <w:sz w:val="18"/>
                <w:szCs w:val="18"/>
              </w:rPr>
            </w:pPr>
            <w:r w:rsidRPr="0083545E">
              <w:rPr>
                <w:sz w:val="18"/>
                <w:szCs w:val="18"/>
              </w:rPr>
              <w:t xml:space="preserve">Worst </w:t>
            </w:r>
            <w:r w:rsidR="004347DC">
              <w:rPr>
                <w:sz w:val="18"/>
                <w:szCs w:val="18"/>
              </w:rPr>
              <w:t xml:space="preserve">case value of </w:t>
            </w:r>
            <m:oMath>
              <m:r>
                <w:rPr>
                  <w:rFonts w:ascii="Cambria Math" w:hAnsi="Cambria Math"/>
                  <w:sz w:val="18"/>
                  <w:szCs w:val="18"/>
                </w:rPr>
                <m:t>Score</m:t>
              </m:r>
            </m:oMath>
          </w:p>
        </w:tc>
      </w:tr>
      <w:tr w:rsidR="007801E0" w14:paraId="53B71226" w14:textId="78487B95" w:rsidTr="00AA12D8">
        <w:trPr>
          <w:trHeight w:val="250"/>
          <w:jc w:val="center"/>
        </w:trPr>
        <w:tc>
          <w:tcPr>
            <w:tcW w:w="0" w:type="auto"/>
            <w:vAlign w:val="center"/>
          </w:tcPr>
          <w:p w14:paraId="42175EAB" w14:textId="6BD7FE4A" w:rsidR="00B56A68" w:rsidRPr="0083545E" w:rsidRDefault="001D359E" w:rsidP="001D359E">
            <w:pPr>
              <w:jc w:val="center"/>
              <w:rPr>
                <w:rFonts w:eastAsia="DengXian"/>
                <w:sz w:val="18"/>
                <w:szCs w:val="18"/>
              </w:rPr>
            </w:pPr>
            <w:r w:rsidRPr="0083545E">
              <w:rPr>
                <w:rFonts w:eastAsia="DengXian"/>
                <w:sz w:val="18"/>
                <w:szCs w:val="18"/>
              </w:rPr>
              <w:t>SVM</w:t>
            </w:r>
          </w:p>
        </w:tc>
        <w:tc>
          <w:tcPr>
            <w:tcW w:w="0" w:type="auto"/>
            <w:vAlign w:val="center"/>
          </w:tcPr>
          <w:p w14:paraId="1597A090" w14:textId="40493840" w:rsidR="00B56A68" w:rsidRPr="0083545E" w:rsidRDefault="00B56A68" w:rsidP="00B96B81">
            <w:pPr>
              <w:ind w:firstLine="284"/>
              <w:jc w:val="center"/>
              <w:rPr>
                <w:sz w:val="18"/>
                <w:szCs w:val="18"/>
              </w:rPr>
            </w:pPr>
            <w:r w:rsidRPr="0083545E">
              <w:rPr>
                <w:sz w:val="18"/>
                <w:szCs w:val="18"/>
              </w:rPr>
              <w:t>81.7</w:t>
            </w:r>
          </w:p>
        </w:tc>
        <w:tc>
          <w:tcPr>
            <w:tcW w:w="0" w:type="auto"/>
            <w:vAlign w:val="center"/>
          </w:tcPr>
          <w:p w14:paraId="74F77100" w14:textId="3C3C9CBA" w:rsidR="00B56A68" w:rsidRPr="0083545E" w:rsidRDefault="002D5EF7" w:rsidP="00B96B81">
            <w:pPr>
              <w:ind w:firstLine="284"/>
              <w:jc w:val="center"/>
              <w:rPr>
                <w:rFonts w:eastAsia="DengXian"/>
                <w:sz w:val="18"/>
                <w:szCs w:val="18"/>
              </w:rPr>
            </w:pPr>
            <w:r w:rsidRPr="0083545E">
              <w:rPr>
                <w:rFonts w:eastAsia="DengXian"/>
                <w:sz w:val="18"/>
                <w:szCs w:val="18"/>
              </w:rPr>
              <w:t>1.48</w:t>
            </w:r>
          </w:p>
        </w:tc>
        <w:tc>
          <w:tcPr>
            <w:tcW w:w="0" w:type="auto"/>
            <w:vAlign w:val="center"/>
          </w:tcPr>
          <w:p w14:paraId="0FB9F2C6" w14:textId="46D9F5F9" w:rsidR="00B56A68" w:rsidRPr="0083545E" w:rsidRDefault="00B56A68" w:rsidP="00B96B81">
            <w:pPr>
              <w:ind w:firstLine="284"/>
              <w:jc w:val="center"/>
              <w:rPr>
                <w:rFonts w:eastAsia="DengXian"/>
                <w:sz w:val="18"/>
                <w:szCs w:val="18"/>
              </w:rPr>
            </w:pPr>
            <w:r w:rsidRPr="0083545E">
              <w:rPr>
                <w:rFonts w:eastAsia="DengXian"/>
                <w:sz w:val="18"/>
                <w:szCs w:val="18"/>
              </w:rPr>
              <w:t>12</w:t>
            </w:r>
            <w:r w:rsidR="007801E0">
              <w:rPr>
                <w:rFonts w:eastAsia="DengXian"/>
                <w:sz w:val="18"/>
                <w:szCs w:val="18"/>
              </w:rPr>
              <w:t>.</w:t>
            </w:r>
            <w:r w:rsidRPr="0083545E">
              <w:rPr>
                <w:rFonts w:eastAsia="DengXian"/>
                <w:sz w:val="18"/>
                <w:szCs w:val="18"/>
              </w:rPr>
              <w:t>10</w:t>
            </w:r>
          </w:p>
        </w:tc>
      </w:tr>
      <w:tr w:rsidR="007801E0" w14:paraId="7859D8B5" w14:textId="6BA36247" w:rsidTr="00AA12D8">
        <w:trPr>
          <w:trHeight w:val="262"/>
          <w:jc w:val="center"/>
        </w:trPr>
        <w:tc>
          <w:tcPr>
            <w:tcW w:w="0" w:type="auto"/>
            <w:vAlign w:val="center"/>
          </w:tcPr>
          <w:p w14:paraId="31400D1A" w14:textId="0F65360B" w:rsidR="00B56A68" w:rsidRPr="0083545E" w:rsidRDefault="001D359E" w:rsidP="001D359E">
            <w:pPr>
              <w:jc w:val="center"/>
              <w:rPr>
                <w:rFonts w:eastAsia="DengXian"/>
                <w:sz w:val="18"/>
                <w:szCs w:val="18"/>
              </w:rPr>
            </w:pPr>
            <w:r w:rsidRPr="0083545E">
              <w:rPr>
                <w:rFonts w:eastAsia="DengXian"/>
                <w:sz w:val="18"/>
                <w:szCs w:val="18"/>
              </w:rPr>
              <w:t>DT</w:t>
            </w:r>
          </w:p>
        </w:tc>
        <w:tc>
          <w:tcPr>
            <w:tcW w:w="0" w:type="auto"/>
            <w:vAlign w:val="center"/>
          </w:tcPr>
          <w:p w14:paraId="01437B5C" w14:textId="4AAD84C1" w:rsidR="00B56A68" w:rsidRPr="0083545E" w:rsidRDefault="00EB3200" w:rsidP="00B96B81">
            <w:pPr>
              <w:ind w:firstLine="284"/>
              <w:jc w:val="center"/>
              <w:rPr>
                <w:sz w:val="18"/>
                <w:szCs w:val="18"/>
              </w:rPr>
            </w:pPr>
            <w:r w:rsidRPr="0083545E">
              <w:rPr>
                <w:sz w:val="18"/>
                <w:szCs w:val="18"/>
              </w:rPr>
              <w:t>85.0</w:t>
            </w:r>
          </w:p>
        </w:tc>
        <w:tc>
          <w:tcPr>
            <w:tcW w:w="0" w:type="auto"/>
            <w:vAlign w:val="center"/>
          </w:tcPr>
          <w:p w14:paraId="14E034E4" w14:textId="1A671870" w:rsidR="00B56A68" w:rsidRPr="0083545E" w:rsidRDefault="002D5EF7" w:rsidP="00B96B81">
            <w:pPr>
              <w:ind w:firstLine="284"/>
              <w:jc w:val="center"/>
              <w:rPr>
                <w:rFonts w:eastAsia="DengXian"/>
                <w:sz w:val="18"/>
                <w:szCs w:val="18"/>
              </w:rPr>
            </w:pPr>
            <w:r w:rsidRPr="0083545E">
              <w:rPr>
                <w:rFonts w:eastAsia="DengXian"/>
                <w:sz w:val="18"/>
                <w:szCs w:val="18"/>
              </w:rPr>
              <w:t>1.03</w:t>
            </w:r>
          </w:p>
        </w:tc>
        <w:tc>
          <w:tcPr>
            <w:tcW w:w="0" w:type="auto"/>
            <w:vAlign w:val="center"/>
          </w:tcPr>
          <w:p w14:paraId="75FE4184" w14:textId="32BE3197" w:rsidR="00B56A68" w:rsidRPr="0083545E" w:rsidRDefault="0099432A" w:rsidP="00B96B81">
            <w:pPr>
              <w:ind w:firstLine="284"/>
              <w:jc w:val="center"/>
              <w:rPr>
                <w:rFonts w:eastAsia="DengXian"/>
                <w:sz w:val="18"/>
                <w:szCs w:val="18"/>
              </w:rPr>
            </w:pPr>
            <w:r w:rsidRPr="0083545E">
              <w:rPr>
                <w:rFonts w:eastAsia="DengXian"/>
                <w:sz w:val="18"/>
                <w:szCs w:val="18"/>
              </w:rPr>
              <w:t>38</w:t>
            </w:r>
            <w:r w:rsidR="007801E0">
              <w:rPr>
                <w:rFonts w:eastAsia="DengXian"/>
                <w:sz w:val="18"/>
                <w:szCs w:val="18"/>
              </w:rPr>
              <w:t>.</w:t>
            </w:r>
            <w:r w:rsidRPr="0083545E">
              <w:rPr>
                <w:rFonts w:eastAsia="DengXian"/>
                <w:sz w:val="18"/>
                <w:szCs w:val="18"/>
              </w:rPr>
              <w:t>59</w:t>
            </w:r>
          </w:p>
        </w:tc>
      </w:tr>
      <w:tr w:rsidR="007801E0" w14:paraId="5FFDDFAF" w14:textId="36244B62" w:rsidTr="00AA12D8">
        <w:trPr>
          <w:trHeight w:val="262"/>
          <w:jc w:val="center"/>
        </w:trPr>
        <w:tc>
          <w:tcPr>
            <w:tcW w:w="0" w:type="auto"/>
            <w:vAlign w:val="center"/>
          </w:tcPr>
          <w:p w14:paraId="64EA9BAF" w14:textId="4CC8FF51" w:rsidR="00B56A68" w:rsidRPr="0083545E" w:rsidRDefault="00B56A68" w:rsidP="001D359E">
            <w:pPr>
              <w:jc w:val="center"/>
              <w:rPr>
                <w:rFonts w:eastAsia="DengXian"/>
                <w:sz w:val="18"/>
                <w:szCs w:val="18"/>
              </w:rPr>
            </w:pPr>
            <w:r w:rsidRPr="0083545E">
              <w:rPr>
                <w:rFonts w:eastAsia="DengXian"/>
                <w:sz w:val="18"/>
                <w:szCs w:val="18"/>
              </w:rPr>
              <w:t>K</w:t>
            </w:r>
            <w:r w:rsidR="00B96B81" w:rsidRPr="0083545E">
              <w:rPr>
                <w:rFonts w:eastAsia="DengXian"/>
                <w:sz w:val="18"/>
                <w:szCs w:val="18"/>
              </w:rPr>
              <w:t>NN</w:t>
            </w:r>
          </w:p>
        </w:tc>
        <w:tc>
          <w:tcPr>
            <w:tcW w:w="0" w:type="auto"/>
            <w:vAlign w:val="center"/>
          </w:tcPr>
          <w:p w14:paraId="176371C7" w14:textId="5A0D7F17" w:rsidR="00B56A68" w:rsidRPr="0083545E" w:rsidRDefault="00B96B81" w:rsidP="00B96B81">
            <w:pPr>
              <w:ind w:firstLine="284"/>
              <w:jc w:val="center"/>
              <w:rPr>
                <w:sz w:val="18"/>
                <w:szCs w:val="18"/>
              </w:rPr>
            </w:pPr>
            <w:r w:rsidRPr="0083545E">
              <w:rPr>
                <w:sz w:val="18"/>
                <w:szCs w:val="18"/>
              </w:rPr>
              <w:t>94.</w:t>
            </w:r>
            <w:r w:rsidR="00CF1F3B">
              <w:rPr>
                <w:sz w:val="18"/>
                <w:szCs w:val="18"/>
              </w:rPr>
              <w:t>4</w:t>
            </w:r>
          </w:p>
        </w:tc>
        <w:tc>
          <w:tcPr>
            <w:tcW w:w="0" w:type="auto"/>
            <w:vAlign w:val="center"/>
          </w:tcPr>
          <w:p w14:paraId="5D1093AB" w14:textId="7A61C5C6" w:rsidR="00B56A68" w:rsidRPr="0083545E" w:rsidRDefault="001A6D56" w:rsidP="00B96B81">
            <w:pPr>
              <w:ind w:firstLine="284"/>
              <w:jc w:val="center"/>
              <w:rPr>
                <w:rFonts w:eastAsia="DengXian"/>
                <w:sz w:val="18"/>
                <w:szCs w:val="18"/>
              </w:rPr>
            </w:pPr>
            <w:r>
              <w:rPr>
                <w:rFonts w:eastAsia="DengXian"/>
                <w:sz w:val="18"/>
                <w:szCs w:val="18"/>
              </w:rPr>
              <w:t>3.87</w:t>
            </w:r>
          </w:p>
        </w:tc>
        <w:tc>
          <w:tcPr>
            <w:tcW w:w="0" w:type="auto"/>
            <w:vAlign w:val="center"/>
          </w:tcPr>
          <w:p w14:paraId="296CADC5" w14:textId="4581496B" w:rsidR="00B56A68" w:rsidRPr="0083545E" w:rsidRDefault="00B96B81" w:rsidP="00B96B81">
            <w:pPr>
              <w:ind w:firstLine="284"/>
              <w:jc w:val="center"/>
              <w:rPr>
                <w:sz w:val="18"/>
                <w:szCs w:val="18"/>
              </w:rPr>
            </w:pPr>
            <w:r w:rsidRPr="0083545E">
              <w:rPr>
                <w:sz w:val="18"/>
                <w:szCs w:val="18"/>
              </w:rPr>
              <w:t>3</w:t>
            </w:r>
            <w:r w:rsidR="00CF1F3B">
              <w:rPr>
                <w:sz w:val="18"/>
                <w:szCs w:val="18"/>
              </w:rPr>
              <w:t>9</w:t>
            </w:r>
            <w:r w:rsidR="007801E0">
              <w:rPr>
                <w:sz w:val="18"/>
                <w:szCs w:val="18"/>
              </w:rPr>
              <w:t>.</w:t>
            </w:r>
            <w:r w:rsidR="00CF1F3B">
              <w:rPr>
                <w:sz w:val="18"/>
                <w:szCs w:val="18"/>
              </w:rPr>
              <w:t>09</w:t>
            </w:r>
          </w:p>
        </w:tc>
      </w:tr>
      <w:tr w:rsidR="007801E0" w14:paraId="19E80232" w14:textId="77777777" w:rsidTr="00AA12D8">
        <w:trPr>
          <w:trHeight w:val="250"/>
          <w:jc w:val="center"/>
        </w:trPr>
        <w:tc>
          <w:tcPr>
            <w:tcW w:w="0" w:type="auto"/>
            <w:vAlign w:val="center"/>
          </w:tcPr>
          <w:p w14:paraId="44FBD042" w14:textId="5A832FF1" w:rsidR="00B96B81" w:rsidRPr="0083545E" w:rsidRDefault="00CF1BC7" w:rsidP="001D359E">
            <w:pPr>
              <w:jc w:val="center"/>
              <w:rPr>
                <w:rFonts w:eastAsia="DengXian"/>
                <w:sz w:val="18"/>
                <w:szCs w:val="18"/>
              </w:rPr>
            </w:pPr>
            <w:r>
              <w:rPr>
                <w:rFonts w:eastAsia="DengXian"/>
                <w:sz w:val="18"/>
                <w:szCs w:val="18"/>
              </w:rPr>
              <w:t>AdaBoost</w:t>
            </w:r>
          </w:p>
        </w:tc>
        <w:tc>
          <w:tcPr>
            <w:tcW w:w="0" w:type="auto"/>
            <w:vAlign w:val="center"/>
          </w:tcPr>
          <w:p w14:paraId="0B714B6C" w14:textId="4AB45F88" w:rsidR="00B96B81" w:rsidRPr="0083545E" w:rsidRDefault="00B96B81" w:rsidP="00B96B81">
            <w:pPr>
              <w:ind w:firstLine="284"/>
              <w:jc w:val="center"/>
              <w:rPr>
                <w:sz w:val="18"/>
                <w:szCs w:val="18"/>
              </w:rPr>
            </w:pPr>
            <w:r w:rsidRPr="0083545E">
              <w:rPr>
                <w:sz w:val="18"/>
                <w:szCs w:val="18"/>
              </w:rPr>
              <w:t>94.</w:t>
            </w:r>
            <w:r w:rsidR="00CF1F3B">
              <w:rPr>
                <w:sz w:val="18"/>
                <w:szCs w:val="18"/>
              </w:rPr>
              <w:t>4</w:t>
            </w:r>
          </w:p>
        </w:tc>
        <w:tc>
          <w:tcPr>
            <w:tcW w:w="0" w:type="auto"/>
            <w:vAlign w:val="center"/>
          </w:tcPr>
          <w:p w14:paraId="146720BD" w14:textId="781AFF94" w:rsidR="00B96B81" w:rsidRPr="0083545E" w:rsidRDefault="001A6D56" w:rsidP="00B96B81">
            <w:pPr>
              <w:ind w:firstLine="284"/>
              <w:jc w:val="center"/>
              <w:rPr>
                <w:rFonts w:eastAsia="DengXian"/>
                <w:sz w:val="18"/>
                <w:szCs w:val="18"/>
                <w:lang w:eastAsia="zh-CN"/>
              </w:rPr>
            </w:pPr>
            <w:r>
              <w:rPr>
                <w:rFonts w:eastAsia="DengXian"/>
                <w:sz w:val="18"/>
                <w:szCs w:val="18"/>
              </w:rPr>
              <w:t>2.78</w:t>
            </w:r>
          </w:p>
        </w:tc>
        <w:tc>
          <w:tcPr>
            <w:tcW w:w="0" w:type="auto"/>
            <w:vAlign w:val="center"/>
          </w:tcPr>
          <w:p w14:paraId="535FB678" w14:textId="0BEA665D" w:rsidR="00B96B81" w:rsidRPr="0083545E" w:rsidRDefault="00EB3200" w:rsidP="00B96B81">
            <w:pPr>
              <w:ind w:firstLine="284"/>
              <w:jc w:val="center"/>
              <w:rPr>
                <w:sz w:val="18"/>
                <w:szCs w:val="18"/>
              </w:rPr>
            </w:pPr>
            <w:r w:rsidRPr="0083545E">
              <w:rPr>
                <w:sz w:val="18"/>
                <w:szCs w:val="18"/>
              </w:rPr>
              <w:t>3</w:t>
            </w:r>
            <w:r w:rsidR="00CF1F3B">
              <w:rPr>
                <w:sz w:val="18"/>
                <w:szCs w:val="18"/>
              </w:rPr>
              <w:t>9</w:t>
            </w:r>
            <w:r w:rsidR="007801E0">
              <w:rPr>
                <w:sz w:val="18"/>
                <w:szCs w:val="18"/>
              </w:rPr>
              <w:t>.</w:t>
            </w:r>
            <w:r w:rsidR="00CF1F3B">
              <w:rPr>
                <w:sz w:val="18"/>
                <w:szCs w:val="18"/>
              </w:rPr>
              <w:t>09</w:t>
            </w:r>
          </w:p>
        </w:tc>
      </w:tr>
      <w:tr w:rsidR="007801E0" w14:paraId="3B064F35" w14:textId="495316C3" w:rsidTr="00AA12D8">
        <w:trPr>
          <w:trHeight w:val="262"/>
          <w:jc w:val="center"/>
        </w:trPr>
        <w:tc>
          <w:tcPr>
            <w:tcW w:w="0" w:type="auto"/>
            <w:tcBorders>
              <w:bottom w:val="single" w:sz="4" w:space="0" w:color="auto"/>
            </w:tcBorders>
            <w:vAlign w:val="center"/>
          </w:tcPr>
          <w:p w14:paraId="761CC3E1" w14:textId="3CCAF9E5" w:rsidR="00B96B81" w:rsidRPr="0083545E" w:rsidRDefault="003A78C7" w:rsidP="001D359E">
            <w:pPr>
              <w:jc w:val="center"/>
              <w:rPr>
                <w:rFonts w:eastAsia="DengXian"/>
                <w:sz w:val="18"/>
                <w:szCs w:val="18"/>
              </w:rPr>
            </w:pPr>
            <w:r w:rsidRPr="0083545E">
              <w:rPr>
                <w:rFonts w:eastAsia="DengXian"/>
                <w:sz w:val="18"/>
                <w:szCs w:val="18"/>
              </w:rPr>
              <w:t>S-</w:t>
            </w:r>
            <w:r w:rsidR="00CF1BC7">
              <w:rPr>
                <w:rFonts w:eastAsia="DengXian"/>
                <w:sz w:val="18"/>
                <w:szCs w:val="18"/>
              </w:rPr>
              <w:t>AdaBoost</w:t>
            </w:r>
          </w:p>
        </w:tc>
        <w:tc>
          <w:tcPr>
            <w:tcW w:w="0" w:type="auto"/>
            <w:tcBorders>
              <w:bottom w:val="single" w:sz="4" w:space="0" w:color="auto"/>
            </w:tcBorders>
            <w:vAlign w:val="center"/>
          </w:tcPr>
          <w:p w14:paraId="48937CF5" w14:textId="4EF9F670" w:rsidR="00B96B81" w:rsidRPr="0083545E" w:rsidRDefault="00541EC7" w:rsidP="00B96B81">
            <w:pPr>
              <w:ind w:firstLine="284"/>
              <w:jc w:val="center"/>
              <w:rPr>
                <w:sz w:val="18"/>
                <w:szCs w:val="18"/>
              </w:rPr>
            </w:pPr>
            <w:r w:rsidRPr="0083545E">
              <w:rPr>
                <w:sz w:val="18"/>
                <w:szCs w:val="18"/>
              </w:rPr>
              <w:t>91.</w:t>
            </w:r>
            <w:r w:rsidR="00F00890" w:rsidRPr="0083545E">
              <w:rPr>
                <w:sz w:val="18"/>
                <w:szCs w:val="18"/>
              </w:rPr>
              <w:t>0</w:t>
            </w:r>
          </w:p>
        </w:tc>
        <w:tc>
          <w:tcPr>
            <w:tcW w:w="0" w:type="auto"/>
            <w:tcBorders>
              <w:bottom w:val="single" w:sz="4" w:space="0" w:color="auto"/>
            </w:tcBorders>
            <w:vAlign w:val="center"/>
          </w:tcPr>
          <w:p w14:paraId="5D2DA456" w14:textId="75A1915E" w:rsidR="00B96B81" w:rsidRPr="0083545E" w:rsidRDefault="008853D5" w:rsidP="00B96B81">
            <w:pPr>
              <w:ind w:firstLine="284"/>
              <w:jc w:val="center"/>
              <w:rPr>
                <w:rFonts w:eastAsia="DengXian"/>
                <w:sz w:val="18"/>
                <w:szCs w:val="18"/>
              </w:rPr>
            </w:pPr>
            <w:r>
              <w:rPr>
                <w:rFonts w:eastAsia="DengXian"/>
                <w:sz w:val="18"/>
                <w:szCs w:val="18"/>
              </w:rPr>
              <w:t>1.71</w:t>
            </w:r>
          </w:p>
        </w:tc>
        <w:tc>
          <w:tcPr>
            <w:tcW w:w="0" w:type="auto"/>
            <w:tcBorders>
              <w:bottom w:val="single" w:sz="4" w:space="0" w:color="auto"/>
            </w:tcBorders>
            <w:vAlign w:val="center"/>
          </w:tcPr>
          <w:p w14:paraId="139D1986" w14:textId="3A65C51E" w:rsidR="00B96B81" w:rsidRPr="0083545E" w:rsidRDefault="00541EC7" w:rsidP="00B96B81">
            <w:pPr>
              <w:ind w:firstLine="284"/>
              <w:jc w:val="center"/>
              <w:rPr>
                <w:sz w:val="18"/>
                <w:szCs w:val="18"/>
              </w:rPr>
            </w:pPr>
            <w:r w:rsidRPr="0083545E">
              <w:rPr>
                <w:sz w:val="18"/>
                <w:szCs w:val="18"/>
              </w:rPr>
              <w:t>3</w:t>
            </w:r>
            <w:r w:rsidR="007801E0">
              <w:rPr>
                <w:sz w:val="18"/>
                <w:szCs w:val="18"/>
              </w:rPr>
              <w:t>.</w:t>
            </w:r>
            <w:r w:rsidRPr="0083545E">
              <w:rPr>
                <w:sz w:val="18"/>
                <w:szCs w:val="18"/>
              </w:rPr>
              <w:t>86</w:t>
            </w:r>
          </w:p>
        </w:tc>
      </w:tr>
    </w:tbl>
    <w:p w14:paraId="40C1300F" w14:textId="448A057A" w:rsidR="00A750AB" w:rsidRDefault="00A750AB" w:rsidP="008D2649">
      <w:pPr>
        <w:pStyle w:val="Els-body-text"/>
        <w:spacing w:after="120"/>
        <w:rPr>
          <w:lang w:val="en-GB"/>
        </w:rPr>
      </w:pPr>
    </w:p>
    <w:tbl>
      <w:tblPr>
        <w:tblStyle w:val="TableGrid"/>
        <w:tblW w:w="7087" w:type="dxa"/>
        <w:tblLook w:val="04A0" w:firstRow="1" w:lastRow="0" w:firstColumn="1" w:lastColumn="0" w:noHBand="0" w:noVBand="1"/>
      </w:tblPr>
      <w:tblGrid>
        <w:gridCol w:w="3508"/>
        <w:gridCol w:w="3579"/>
      </w:tblGrid>
      <w:tr w:rsidR="00B95D88" w14:paraId="20A3B6C3" w14:textId="77777777" w:rsidTr="009A4DF4">
        <w:tc>
          <w:tcPr>
            <w:tcW w:w="3508" w:type="dxa"/>
            <w:tcBorders>
              <w:top w:val="nil"/>
              <w:left w:val="nil"/>
              <w:bottom w:val="nil"/>
              <w:right w:val="nil"/>
            </w:tcBorders>
          </w:tcPr>
          <w:p w14:paraId="6132C743" w14:textId="764F2F48" w:rsidR="00A750AB" w:rsidRDefault="00FC2077" w:rsidP="00230517">
            <w:pPr>
              <w:pStyle w:val="Els-body-text"/>
              <w:spacing w:after="120"/>
              <w:rPr>
                <w:lang w:val="en-GB" w:eastAsia="zh-CN"/>
              </w:rPr>
            </w:pPr>
            <w:r>
              <w:rPr>
                <w:noProof/>
              </w:rPr>
              <w:drawing>
                <wp:inline distT="0" distB="0" distL="0" distR="0" wp14:anchorId="1B026A23" wp14:editId="2266C4B2">
                  <wp:extent cx="2057251" cy="1371791"/>
                  <wp:effectExtent l="0" t="0" r="635" b="0"/>
                  <wp:docPr id="1229151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78672" cy="1386075"/>
                          </a:xfrm>
                          <a:prstGeom prst="rect">
                            <a:avLst/>
                          </a:prstGeom>
                          <a:noFill/>
                          <a:ln>
                            <a:noFill/>
                          </a:ln>
                        </pic:spPr>
                      </pic:pic>
                    </a:graphicData>
                  </a:graphic>
                </wp:inline>
              </w:drawing>
            </w:r>
          </w:p>
        </w:tc>
        <w:tc>
          <w:tcPr>
            <w:tcW w:w="3579" w:type="dxa"/>
            <w:tcBorders>
              <w:top w:val="nil"/>
              <w:left w:val="nil"/>
              <w:bottom w:val="nil"/>
              <w:right w:val="nil"/>
            </w:tcBorders>
          </w:tcPr>
          <w:p w14:paraId="741339F7" w14:textId="193C2D3B" w:rsidR="00A750AB" w:rsidRDefault="00FC2077" w:rsidP="00230517">
            <w:pPr>
              <w:pStyle w:val="Els-body-text"/>
              <w:spacing w:after="120"/>
              <w:rPr>
                <w:lang w:val="en-GB" w:eastAsia="zh-CN"/>
              </w:rPr>
            </w:pPr>
            <w:r>
              <w:rPr>
                <w:noProof/>
              </w:rPr>
              <w:drawing>
                <wp:inline distT="0" distB="0" distL="0" distR="0" wp14:anchorId="5648DE44" wp14:editId="386002AA">
                  <wp:extent cx="2078732" cy="1386115"/>
                  <wp:effectExtent l="0" t="0" r="0" b="5080"/>
                  <wp:docPr id="8260335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06133" cy="1404386"/>
                          </a:xfrm>
                          <a:prstGeom prst="rect">
                            <a:avLst/>
                          </a:prstGeom>
                          <a:noFill/>
                          <a:ln>
                            <a:noFill/>
                          </a:ln>
                        </pic:spPr>
                      </pic:pic>
                    </a:graphicData>
                  </a:graphic>
                </wp:inline>
              </w:drawing>
            </w:r>
          </w:p>
        </w:tc>
      </w:tr>
      <w:tr w:rsidR="00A750AB" w:rsidRPr="00A750AB" w14:paraId="7D45F46F" w14:textId="77777777" w:rsidTr="009A4DF4">
        <w:tc>
          <w:tcPr>
            <w:tcW w:w="7087" w:type="dxa"/>
            <w:gridSpan w:val="2"/>
            <w:tcBorders>
              <w:top w:val="nil"/>
              <w:left w:val="nil"/>
              <w:bottom w:val="nil"/>
              <w:right w:val="nil"/>
            </w:tcBorders>
          </w:tcPr>
          <w:p w14:paraId="43A71E65" w14:textId="57A2A621" w:rsidR="00A750AB" w:rsidRPr="0083545E" w:rsidRDefault="00A750AB" w:rsidP="00230517">
            <w:pPr>
              <w:pStyle w:val="Els-body-text"/>
              <w:spacing w:after="120"/>
              <w:jc w:val="center"/>
              <w:rPr>
                <w:rFonts w:ascii="Times" w:eastAsiaTheme="minorEastAsia" w:hAnsi="Times"/>
                <w:i/>
                <w:sz w:val="18"/>
                <w:szCs w:val="18"/>
              </w:rPr>
            </w:pPr>
            <w:r w:rsidRPr="0083545E">
              <w:rPr>
                <w:rFonts w:ascii="Times" w:eastAsiaTheme="minorEastAsia" w:hAnsi="Times"/>
                <w:i/>
                <w:sz w:val="18"/>
                <w:szCs w:val="18"/>
              </w:rPr>
              <w:t xml:space="preserve">Figure </w:t>
            </w:r>
            <w:r w:rsidR="00B00B40" w:rsidRPr="0083545E">
              <w:rPr>
                <w:rFonts w:ascii="Times" w:eastAsiaTheme="minorEastAsia" w:hAnsi="Times"/>
                <w:i/>
                <w:sz w:val="18"/>
                <w:szCs w:val="18"/>
              </w:rPr>
              <w:t>3</w:t>
            </w:r>
            <w:r w:rsidRPr="0083545E">
              <w:rPr>
                <w:rFonts w:ascii="Times" w:eastAsiaTheme="minorEastAsia" w:hAnsi="Times"/>
                <w:i/>
                <w:sz w:val="18"/>
                <w:szCs w:val="18"/>
              </w:rPr>
              <w:t>.</w:t>
            </w:r>
            <w:r w:rsidR="004101F7" w:rsidRPr="0083545E">
              <w:rPr>
                <w:rFonts w:ascii="Times" w:eastAsiaTheme="minorEastAsia" w:hAnsi="Times"/>
                <w:i/>
                <w:sz w:val="18"/>
                <w:szCs w:val="18"/>
              </w:rPr>
              <w:t xml:space="preserve"> </w:t>
            </w:r>
            <w:r w:rsidR="008C179C" w:rsidRPr="0083545E">
              <w:rPr>
                <w:rFonts w:ascii="Times" w:eastAsiaTheme="minorEastAsia" w:hAnsi="Times"/>
                <w:i/>
                <w:sz w:val="18"/>
                <w:szCs w:val="18"/>
              </w:rPr>
              <w:t>Mole fraction profile</w:t>
            </w:r>
            <w:r w:rsidR="00970C2F">
              <w:rPr>
                <w:rFonts w:ascii="Times" w:eastAsiaTheme="minorEastAsia" w:hAnsi="Times"/>
                <w:i/>
                <w:sz w:val="18"/>
                <w:szCs w:val="18"/>
              </w:rPr>
              <w:t xml:space="preserve"> (l</w:t>
            </w:r>
            <w:r w:rsidR="00970C2F" w:rsidRPr="0083545E">
              <w:rPr>
                <w:rFonts w:ascii="Times" w:eastAsiaTheme="minorEastAsia" w:hAnsi="Times"/>
                <w:i/>
                <w:sz w:val="18"/>
                <w:szCs w:val="18"/>
              </w:rPr>
              <w:t>eft)</w:t>
            </w:r>
            <w:r w:rsidR="00970C2F">
              <w:rPr>
                <w:rFonts w:ascii="Times" w:eastAsiaTheme="minorEastAsia" w:hAnsi="Times"/>
                <w:i/>
                <w:sz w:val="18"/>
                <w:szCs w:val="18"/>
              </w:rPr>
              <w:t xml:space="preserve"> and performance index</w:t>
            </w:r>
            <w:r w:rsidR="008C179C" w:rsidRPr="0083545E">
              <w:rPr>
                <w:rFonts w:ascii="Times" w:eastAsiaTheme="minorEastAsia" w:hAnsi="Times"/>
                <w:i/>
                <w:sz w:val="18"/>
                <w:szCs w:val="18"/>
              </w:rPr>
              <w:t xml:space="preserve"> </w:t>
            </w:r>
            <w:r w:rsidR="00970C2F" w:rsidRPr="0083545E">
              <w:rPr>
                <w:rFonts w:ascii="Times" w:eastAsiaTheme="minorEastAsia" w:hAnsi="Times"/>
                <w:i/>
                <w:sz w:val="18"/>
                <w:szCs w:val="18"/>
              </w:rPr>
              <w:t>(</w:t>
            </w:r>
            <w:r w:rsidR="00970C2F">
              <w:rPr>
                <w:rFonts w:ascii="Times" w:eastAsiaTheme="minorEastAsia" w:hAnsi="Times"/>
                <w:i/>
                <w:sz w:val="18"/>
                <w:szCs w:val="18"/>
              </w:rPr>
              <w:t>r</w:t>
            </w:r>
            <w:r w:rsidR="00970C2F" w:rsidRPr="0083545E">
              <w:rPr>
                <w:rFonts w:ascii="Times" w:eastAsiaTheme="minorEastAsia" w:hAnsi="Times"/>
                <w:i/>
                <w:sz w:val="18"/>
                <w:szCs w:val="18"/>
              </w:rPr>
              <w:t xml:space="preserve">ight) </w:t>
            </w:r>
            <w:r w:rsidR="008C179C" w:rsidRPr="0083545E">
              <w:rPr>
                <w:rFonts w:ascii="Times" w:eastAsiaTheme="minorEastAsia" w:hAnsi="Times"/>
                <w:i/>
                <w:sz w:val="18"/>
                <w:szCs w:val="18"/>
              </w:rPr>
              <w:t>of the desired product B in the final output stream</w:t>
            </w:r>
            <w:r w:rsidR="004101F7" w:rsidRPr="0083545E">
              <w:rPr>
                <w:rFonts w:ascii="Times" w:eastAsiaTheme="minorEastAsia" w:hAnsi="Times"/>
                <w:i/>
                <w:sz w:val="18"/>
                <w:szCs w:val="18"/>
              </w:rPr>
              <w:t xml:space="preserve">. </w:t>
            </w:r>
            <w:r w:rsidR="008C179C" w:rsidRPr="0083545E">
              <w:rPr>
                <w:rFonts w:ascii="Times" w:eastAsiaTheme="minorEastAsia" w:hAnsi="Times"/>
                <w:i/>
                <w:sz w:val="18"/>
                <w:szCs w:val="18"/>
              </w:rPr>
              <w:t>“Switched” represents the profile generated by MPC with machine learning classifiers, including KNN and S-</w:t>
            </w:r>
            <w:r w:rsidR="00CF1BC7">
              <w:rPr>
                <w:rFonts w:ascii="Times" w:eastAsiaTheme="minorEastAsia" w:hAnsi="Times"/>
                <w:i/>
                <w:sz w:val="18"/>
                <w:szCs w:val="18"/>
              </w:rPr>
              <w:t>AdaBoost</w:t>
            </w:r>
            <w:r w:rsidR="008C179C" w:rsidRPr="0083545E">
              <w:rPr>
                <w:rFonts w:ascii="Times" w:eastAsiaTheme="minorEastAsia" w:hAnsi="Times"/>
                <w:i/>
                <w:sz w:val="18"/>
                <w:szCs w:val="18"/>
              </w:rPr>
              <w:t xml:space="preserve"> which have the same performance.</w:t>
            </w:r>
          </w:p>
        </w:tc>
      </w:tr>
      <w:tr w:rsidR="00B95D88" w14:paraId="11BACC78" w14:textId="77777777" w:rsidTr="009A4DF4">
        <w:tc>
          <w:tcPr>
            <w:tcW w:w="3508" w:type="dxa"/>
            <w:tcBorders>
              <w:top w:val="nil"/>
              <w:left w:val="nil"/>
              <w:bottom w:val="nil"/>
              <w:right w:val="nil"/>
            </w:tcBorders>
          </w:tcPr>
          <w:p w14:paraId="2956220F" w14:textId="13370A5B" w:rsidR="00A750AB" w:rsidRDefault="00B95D88" w:rsidP="008D2649">
            <w:pPr>
              <w:pStyle w:val="Els-body-text"/>
              <w:spacing w:after="120"/>
              <w:rPr>
                <w:lang w:val="en-GB" w:eastAsia="zh-CN"/>
              </w:rPr>
            </w:pPr>
            <w:r>
              <w:rPr>
                <w:noProof/>
              </w:rPr>
              <w:drawing>
                <wp:inline distT="0" distB="0" distL="0" distR="0" wp14:anchorId="3086ABF5" wp14:editId="3D7FFD07">
                  <wp:extent cx="2056765" cy="1370307"/>
                  <wp:effectExtent l="0" t="0" r="635" b="1905"/>
                  <wp:docPr id="75264762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63483" cy="1374783"/>
                          </a:xfrm>
                          <a:prstGeom prst="rect">
                            <a:avLst/>
                          </a:prstGeom>
                          <a:noFill/>
                          <a:ln>
                            <a:noFill/>
                          </a:ln>
                        </pic:spPr>
                      </pic:pic>
                    </a:graphicData>
                  </a:graphic>
                </wp:inline>
              </w:drawing>
            </w:r>
          </w:p>
        </w:tc>
        <w:tc>
          <w:tcPr>
            <w:tcW w:w="3579" w:type="dxa"/>
            <w:tcBorders>
              <w:top w:val="nil"/>
              <w:left w:val="nil"/>
              <w:bottom w:val="nil"/>
              <w:right w:val="nil"/>
            </w:tcBorders>
          </w:tcPr>
          <w:p w14:paraId="68654FFF" w14:textId="00566E11" w:rsidR="00A750AB" w:rsidRDefault="00B95D88" w:rsidP="008D2649">
            <w:pPr>
              <w:pStyle w:val="Els-body-text"/>
              <w:spacing w:after="120"/>
              <w:rPr>
                <w:lang w:val="en-GB" w:eastAsia="zh-CN"/>
              </w:rPr>
            </w:pPr>
            <w:r>
              <w:rPr>
                <w:noProof/>
              </w:rPr>
              <w:drawing>
                <wp:inline distT="0" distB="0" distL="0" distR="0" wp14:anchorId="08804ACC" wp14:editId="024BFE1B">
                  <wp:extent cx="2082800" cy="1387651"/>
                  <wp:effectExtent l="0" t="0" r="0" b="3175"/>
                  <wp:docPr id="17587980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08497" cy="1404771"/>
                          </a:xfrm>
                          <a:prstGeom prst="rect">
                            <a:avLst/>
                          </a:prstGeom>
                          <a:noFill/>
                          <a:ln>
                            <a:noFill/>
                          </a:ln>
                        </pic:spPr>
                      </pic:pic>
                    </a:graphicData>
                  </a:graphic>
                </wp:inline>
              </w:drawing>
            </w:r>
          </w:p>
        </w:tc>
      </w:tr>
      <w:tr w:rsidR="00A750AB" w14:paraId="78DDF550" w14:textId="77777777" w:rsidTr="00FC2077">
        <w:tc>
          <w:tcPr>
            <w:tcW w:w="7087" w:type="dxa"/>
            <w:gridSpan w:val="2"/>
            <w:tcBorders>
              <w:top w:val="nil"/>
              <w:left w:val="nil"/>
              <w:bottom w:val="nil"/>
              <w:right w:val="nil"/>
            </w:tcBorders>
          </w:tcPr>
          <w:p w14:paraId="0ED0BC8C" w14:textId="539FD953" w:rsidR="00A750AB" w:rsidRPr="0083545E" w:rsidRDefault="00A750AB" w:rsidP="00A750AB">
            <w:pPr>
              <w:pStyle w:val="Els-body-text"/>
              <w:spacing w:after="120"/>
              <w:jc w:val="center"/>
              <w:rPr>
                <w:rFonts w:ascii="Times" w:eastAsiaTheme="minorEastAsia" w:hAnsi="Times"/>
                <w:i/>
                <w:sz w:val="18"/>
                <w:szCs w:val="18"/>
              </w:rPr>
            </w:pPr>
            <w:r w:rsidRPr="0083545E">
              <w:rPr>
                <w:rFonts w:ascii="Times" w:eastAsiaTheme="minorEastAsia" w:hAnsi="Times"/>
                <w:i/>
                <w:sz w:val="18"/>
                <w:szCs w:val="18"/>
              </w:rPr>
              <w:t xml:space="preserve">Figure </w:t>
            </w:r>
            <w:r w:rsidR="008C3000" w:rsidRPr="0083545E">
              <w:rPr>
                <w:rFonts w:ascii="Times" w:eastAsiaTheme="minorEastAsia" w:hAnsi="Times"/>
                <w:i/>
                <w:sz w:val="18"/>
                <w:szCs w:val="18"/>
              </w:rPr>
              <w:t>4</w:t>
            </w:r>
            <w:r w:rsidR="00FC3833">
              <w:rPr>
                <w:rFonts w:ascii="Times" w:eastAsiaTheme="minorEastAsia" w:hAnsi="Times"/>
                <w:i/>
                <w:sz w:val="18"/>
                <w:szCs w:val="18"/>
              </w:rPr>
              <w:t>.</w:t>
            </w:r>
            <w:r w:rsidR="00FC3833" w:rsidRPr="0083545E">
              <w:rPr>
                <w:rFonts w:ascii="Times" w:eastAsiaTheme="minorEastAsia" w:hAnsi="Times"/>
                <w:i/>
                <w:sz w:val="18"/>
                <w:szCs w:val="18"/>
              </w:rPr>
              <w:t xml:space="preserve"> Mole fraction profile</w:t>
            </w:r>
            <w:r w:rsidR="00FC3833">
              <w:rPr>
                <w:rFonts w:ascii="Times" w:eastAsiaTheme="minorEastAsia" w:hAnsi="Times"/>
                <w:i/>
                <w:sz w:val="18"/>
                <w:szCs w:val="18"/>
              </w:rPr>
              <w:t xml:space="preserve"> (l</w:t>
            </w:r>
            <w:r w:rsidR="00FC3833" w:rsidRPr="0083545E">
              <w:rPr>
                <w:rFonts w:ascii="Times" w:eastAsiaTheme="minorEastAsia" w:hAnsi="Times"/>
                <w:i/>
                <w:sz w:val="18"/>
                <w:szCs w:val="18"/>
              </w:rPr>
              <w:t>eft)</w:t>
            </w:r>
            <w:r w:rsidR="00FC3833">
              <w:rPr>
                <w:rFonts w:ascii="Times" w:eastAsiaTheme="minorEastAsia" w:hAnsi="Times"/>
                <w:i/>
                <w:sz w:val="18"/>
                <w:szCs w:val="18"/>
              </w:rPr>
              <w:t xml:space="preserve"> and performance index</w:t>
            </w:r>
            <w:r w:rsidR="00FC3833" w:rsidRPr="0083545E">
              <w:rPr>
                <w:rFonts w:ascii="Times" w:eastAsiaTheme="minorEastAsia" w:hAnsi="Times"/>
                <w:i/>
                <w:sz w:val="18"/>
                <w:szCs w:val="18"/>
              </w:rPr>
              <w:t xml:space="preserve"> (</w:t>
            </w:r>
            <w:r w:rsidR="00FC3833">
              <w:rPr>
                <w:rFonts w:ascii="Times" w:eastAsiaTheme="minorEastAsia" w:hAnsi="Times"/>
                <w:i/>
                <w:sz w:val="18"/>
                <w:szCs w:val="18"/>
              </w:rPr>
              <w:t>r</w:t>
            </w:r>
            <w:r w:rsidR="00FC3833" w:rsidRPr="0083545E">
              <w:rPr>
                <w:rFonts w:ascii="Times" w:eastAsiaTheme="minorEastAsia" w:hAnsi="Times"/>
                <w:i/>
                <w:sz w:val="18"/>
                <w:szCs w:val="18"/>
              </w:rPr>
              <w:t xml:space="preserve">ight) </w:t>
            </w:r>
            <w:r w:rsidR="00970C2F" w:rsidRPr="00970C2F">
              <w:rPr>
                <w:rFonts w:ascii="Times" w:eastAsiaTheme="minorEastAsia" w:hAnsi="Times"/>
                <w:i/>
                <w:sz w:val="18"/>
                <w:szCs w:val="18"/>
              </w:rPr>
              <w:t>of B in the final output stream</w:t>
            </w:r>
            <w:r w:rsidR="00970C2F">
              <w:rPr>
                <w:rFonts w:ascii="Times" w:eastAsiaTheme="minorEastAsia" w:hAnsi="Times"/>
                <w:i/>
                <w:sz w:val="18"/>
                <w:szCs w:val="18"/>
              </w:rPr>
              <w:t xml:space="preserve"> for MPCs embedded with KNN and S-</w:t>
            </w:r>
            <w:r w:rsidR="00CF1BC7">
              <w:rPr>
                <w:rFonts w:ascii="Times" w:eastAsiaTheme="minorEastAsia" w:hAnsi="Times"/>
                <w:i/>
                <w:sz w:val="18"/>
                <w:szCs w:val="18"/>
              </w:rPr>
              <w:t>AdaBoost</w:t>
            </w:r>
            <w:r w:rsidR="00970C2F">
              <w:rPr>
                <w:rFonts w:ascii="Times" w:eastAsiaTheme="minorEastAsia" w:hAnsi="Times"/>
                <w:i/>
                <w:sz w:val="18"/>
                <w:szCs w:val="18"/>
              </w:rPr>
              <w:t xml:space="preserve"> respectively</w:t>
            </w:r>
            <w:r w:rsidR="00970C2F" w:rsidRPr="00970C2F">
              <w:rPr>
                <w:rFonts w:ascii="Times" w:eastAsiaTheme="minorEastAsia" w:hAnsi="Times"/>
                <w:i/>
                <w:sz w:val="18"/>
                <w:szCs w:val="18"/>
              </w:rPr>
              <w:t xml:space="preserve">. </w:t>
            </w:r>
          </w:p>
        </w:tc>
      </w:tr>
    </w:tbl>
    <w:p w14:paraId="51233FE3" w14:textId="6AF965DD" w:rsidR="00FC2077" w:rsidRDefault="009A4DF4" w:rsidP="00FC2077">
      <w:pPr>
        <w:pStyle w:val="Els-body-text"/>
        <w:spacing w:after="120"/>
        <w:rPr>
          <w:lang w:val="en-GB"/>
        </w:rPr>
      </w:pPr>
      <w:r>
        <w:rPr>
          <w:lang w:val="en-GB"/>
        </w:rPr>
        <w:lastRenderedPageBreak/>
        <w:t xml:space="preserve">chooses the parallel configuration (a). Neither of them switches configuration during the </w:t>
      </w:r>
      <w:r w:rsidR="0094655E">
        <w:rPr>
          <w:lang w:val="en-GB"/>
        </w:rPr>
        <w:t xml:space="preserve">simulated </w:t>
      </w:r>
      <w:r w:rsidR="004763E9">
        <w:rPr>
          <w:lang w:val="en-GB"/>
        </w:rPr>
        <w:t xml:space="preserve">control </w:t>
      </w:r>
      <w:r w:rsidR="0094655E">
        <w:rPr>
          <w:lang w:val="en-GB"/>
        </w:rPr>
        <w:t>process</w:t>
      </w:r>
      <w:r w:rsidR="004763E9">
        <w:rPr>
          <w:lang w:val="en-GB"/>
        </w:rPr>
        <w:t xml:space="preserve">. </w:t>
      </w:r>
      <w:r w:rsidR="00FC2077">
        <w:rPr>
          <w:lang w:val="en-GB"/>
        </w:rPr>
        <w:t>Compared to KNN, MPC with S-AdaBoost guides the system to the new setpoint quicker</w:t>
      </w:r>
      <w:r w:rsidR="00DA064C">
        <w:rPr>
          <w:lang w:val="en-GB"/>
        </w:rPr>
        <w:t xml:space="preserve"> with less </w:t>
      </w:r>
      <w:r w:rsidR="00E23D14">
        <w:rPr>
          <w:lang w:val="en-GB"/>
        </w:rPr>
        <w:t>oscillations</w:t>
      </w:r>
      <w:r w:rsidR="00FC2077">
        <w:rPr>
          <w:lang w:val="en-GB"/>
        </w:rPr>
        <w:t xml:space="preserve"> because it</w:t>
      </w:r>
      <w:r w:rsidR="00E23D14">
        <w:rPr>
          <w:lang w:val="en-GB"/>
        </w:rPr>
        <w:t xml:space="preserve"> </w:t>
      </w:r>
      <w:proofErr w:type="gramStart"/>
      <w:r w:rsidR="00E23D14">
        <w:rPr>
          <w:lang w:val="en-GB"/>
        </w:rPr>
        <w:t>is able to</w:t>
      </w:r>
      <w:proofErr w:type="gramEnd"/>
      <w:r w:rsidR="00E23D14">
        <w:rPr>
          <w:lang w:val="en-GB"/>
        </w:rPr>
        <w:t xml:space="preserve"> identify</w:t>
      </w:r>
      <w:r w:rsidR="00FC2077">
        <w:rPr>
          <w:lang w:val="en-GB"/>
        </w:rPr>
        <w:t xml:space="preserve"> the best configuration. </w:t>
      </w:r>
      <w:r w:rsidR="00E23D14">
        <w:rPr>
          <w:lang w:val="en-GB"/>
        </w:rPr>
        <w:t>Although the classifier is trained on single iteration of an MPC optimization solve, the results demonstrate superior perf</w:t>
      </w:r>
      <w:r w:rsidR="000B26F1">
        <w:rPr>
          <w:lang w:val="en-GB"/>
        </w:rPr>
        <w:t>or</w:t>
      </w:r>
      <w:r w:rsidR="00E23D14">
        <w:rPr>
          <w:lang w:val="en-GB"/>
        </w:rPr>
        <w:t>mance in a moving horizon, closed loop simulation as well.</w:t>
      </w:r>
      <w:r w:rsidR="00FC2077">
        <w:rPr>
          <w:lang w:val="en-GB"/>
        </w:rPr>
        <w:t xml:space="preserve"> </w:t>
      </w:r>
      <w:r w:rsidR="00714AB0">
        <w:rPr>
          <w:lang w:val="en-GB"/>
        </w:rPr>
        <w:t>Overall, our results demonstrate that while S-Ada</w:t>
      </w:r>
      <w:r w:rsidR="00213CD7">
        <w:rPr>
          <w:lang w:val="en-GB"/>
        </w:rPr>
        <w:t>B</w:t>
      </w:r>
      <w:r w:rsidR="00714AB0">
        <w:rPr>
          <w:lang w:val="en-GB"/>
        </w:rPr>
        <w:t xml:space="preserve">oost sacrifices some accuracy, it </w:t>
      </w:r>
      <w:proofErr w:type="gramStart"/>
      <w:r w:rsidR="00714AB0">
        <w:rPr>
          <w:lang w:val="en-GB"/>
        </w:rPr>
        <w:t>successfully avoids</w:t>
      </w:r>
      <w:proofErr w:type="gramEnd"/>
      <w:r w:rsidR="00714AB0">
        <w:rPr>
          <w:lang w:val="en-GB"/>
        </w:rPr>
        <w:t xml:space="preserve"> choosing configurations that severely degrade controller performance.</w:t>
      </w:r>
    </w:p>
    <w:p w14:paraId="260697B0" w14:textId="526A3FED" w:rsidR="001D61AD" w:rsidRPr="00A94774" w:rsidRDefault="001D61AD" w:rsidP="001D61AD">
      <w:pPr>
        <w:pStyle w:val="Els-1storder-head"/>
        <w:spacing w:after="120"/>
        <w:rPr>
          <w:lang w:val="en-GB"/>
        </w:rPr>
      </w:pPr>
      <w:r>
        <w:rPr>
          <w:lang w:val="en-GB"/>
        </w:rPr>
        <w:t>Conclusion</w:t>
      </w:r>
    </w:p>
    <w:p w14:paraId="76DFF5E7" w14:textId="5E38D31E" w:rsidR="00C13D21" w:rsidRDefault="00400BF4" w:rsidP="008A772F">
      <w:pPr>
        <w:pStyle w:val="Els-body-text"/>
        <w:spacing w:after="120"/>
        <w:rPr>
          <w:lang w:val="en-GB"/>
        </w:rPr>
      </w:pPr>
      <w:r w:rsidRPr="00400BF4">
        <w:rPr>
          <w:lang w:val="en-GB"/>
        </w:rPr>
        <w:t xml:space="preserve">In this work, </w:t>
      </w:r>
      <w:r w:rsidR="008A772F" w:rsidRPr="008A772F">
        <w:rPr>
          <w:lang w:val="en-GB"/>
        </w:rPr>
        <w:t xml:space="preserve">an approach to determine integer control decisions </w:t>
      </w:r>
      <w:r w:rsidR="008A772F" w:rsidRPr="008A772F">
        <w:rPr>
          <w:i/>
          <w:iCs/>
          <w:lang w:val="en-GB"/>
        </w:rPr>
        <w:t>a priori</w:t>
      </w:r>
      <w:r w:rsidR="008A772F" w:rsidRPr="008A772F">
        <w:rPr>
          <w:lang w:val="en-GB"/>
        </w:rPr>
        <w:t xml:space="preserve"> to solving the MPC problem using </w:t>
      </w:r>
      <w:r w:rsidR="008A772F">
        <w:rPr>
          <w:lang w:val="en-GB"/>
        </w:rPr>
        <w:t xml:space="preserve">improved </w:t>
      </w:r>
      <w:r w:rsidR="008A772F" w:rsidRPr="008A772F">
        <w:rPr>
          <w:lang w:val="en-GB"/>
        </w:rPr>
        <w:t>data-driven machine learning classifier algorithms</w:t>
      </w:r>
      <w:r w:rsidR="008A772F">
        <w:rPr>
          <w:lang w:val="en-GB"/>
        </w:rPr>
        <w:t xml:space="preserve"> </w:t>
      </w:r>
      <w:r w:rsidRPr="00400BF4">
        <w:rPr>
          <w:lang w:val="en-GB"/>
        </w:rPr>
        <w:t>was presented.</w:t>
      </w:r>
      <w:r w:rsidR="008A772F">
        <w:t xml:space="preserve"> A</w:t>
      </w:r>
      <w:r w:rsidR="008A772F" w:rsidRPr="008A772F">
        <w:rPr>
          <w:lang w:val="en-GB"/>
        </w:rPr>
        <w:t xml:space="preserve"> metric</w:t>
      </w:r>
      <w:r w:rsidR="008A772F">
        <w:rPr>
          <w:lang w:val="en-GB"/>
        </w:rPr>
        <w:t xml:space="preserve"> was proposed </w:t>
      </w:r>
      <w:r w:rsidR="008A772F" w:rsidRPr="008A772F">
        <w:rPr>
          <w:lang w:val="en-GB"/>
        </w:rPr>
        <w:t xml:space="preserve">to demonstrate how similar the performance of the predicted configuration is to that of the best configuration. </w:t>
      </w:r>
      <w:r w:rsidR="008A772F">
        <w:rPr>
          <w:lang w:val="en-GB"/>
        </w:rPr>
        <w:t xml:space="preserve">Based on that, a new </w:t>
      </w:r>
      <w:r w:rsidR="00CF1BC7">
        <w:rPr>
          <w:lang w:val="en-GB"/>
        </w:rPr>
        <w:t>AdaBoost</w:t>
      </w:r>
      <w:r w:rsidR="008A772F">
        <w:rPr>
          <w:lang w:val="en-GB"/>
        </w:rPr>
        <w:t xml:space="preserve"> algorithm was proposed to help guide decision-making on optimal configuration</w:t>
      </w:r>
      <w:r w:rsidR="000B26F1">
        <w:rPr>
          <w:lang w:val="en-GB"/>
        </w:rPr>
        <w:t xml:space="preserve"> away from those that severely degrade performance.</w:t>
      </w:r>
      <w:r w:rsidR="008A772F">
        <w:rPr>
          <w:lang w:val="en-GB"/>
        </w:rPr>
        <w:t xml:space="preserve"> </w:t>
      </w:r>
      <w:r w:rsidR="008A772F" w:rsidRPr="008A772F">
        <w:rPr>
          <w:lang w:val="en-GB"/>
        </w:rPr>
        <w:t xml:space="preserve">Finally, a set point tracking case study </w:t>
      </w:r>
      <w:r w:rsidR="008A772F">
        <w:rPr>
          <w:lang w:val="en-GB"/>
        </w:rPr>
        <w:t xml:space="preserve">was </w:t>
      </w:r>
      <w:proofErr w:type="spellStart"/>
      <w:r w:rsidR="008A772F">
        <w:rPr>
          <w:lang w:val="en-GB"/>
        </w:rPr>
        <w:t>analyzed</w:t>
      </w:r>
      <w:proofErr w:type="spellEnd"/>
      <w:r w:rsidR="008A772F">
        <w:rPr>
          <w:lang w:val="en-GB"/>
        </w:rPr>
        <w:t xml:space="preserve"> </w:t>
      </w:r>
      <w:r w:rsidR="008A772F" w:rsidRPr="008A772F">
        <w:rPr>
          <w:lang w:val="en-GB"/>
        </w:rPr>
        <w:t xml:space="preserve">which demonstrates the MPC with </w:t>
      </w:r>
      <w:r w:rsidR="00CF1BC7">
        <w:rPr>
          <w:lang w:val="en-GB"/>
        </w:rPr>
        <w:t>AdaBoost</w:t>
      </w:r>
      <w:r w:rsidR="008A772F">
        <w:rPr>
          <w:lang w:val="en-GB"/>
        </w:rPr>
        <w:t xml:space="preserve"> </w:t>
      </w:r>
      <w:r w:rsidR="008A772F" w:rsidRPr="008A772F">
        <w:rPr>
          <w:lang w:val="en-GB"/>
        </w:rPr>
        <w:t xml:space="preserve">classifier has the </w:t>
      </w:r>
      <w:r w:rsidR="008A772F">
        <w:rPr>
          <w:lang w:val="en-GB"/>
        </w:rPr>
        <w:t>best performance on decreasing the magnitude of error in the incorrect prediction</w:t>
      </w:r>
      <w:r w:rsidR="008A772F" w:rsidRPr="008A772F">
        <w:rPr>
          <w:lang w:val="en-GB"/>
        </w:rPr>
        <w:t xml:space="preserve"> and generally chooses configurations that give quicker set</w:t>
      </w:r>
      <w:r w:rsidR="008A772F">
        <w:rPr>
          <w:lang w:val="en-GB"/>
        </w:rPr>
        <w:t xml:space="preserve"> </w:t>
      </w:r>
      <w:r w:rsidR="008A772F" w:rsidRPr="008A772F">
        <w:rPr>
          <w:lang w:val="en-GB"/>
        </w:rPr>
        <w:t>point recovery than the other classifiers with fewer cases of severely degraded performance</w:t>
      </w:r>
      <w:r w:rsidRPr="00400BF4">
        <w:rPr>
          <w:lang w:val="en-GB"/>
        </w:rPr>
        <w:t xml:space="preserve">. </w:t>
      </w:r>
      <w:r w:rsidR="000B26F1">
        <w:rPr>
          <w:lang w:val="en-GB"/>
        </w:rPr>
        <w:t>As future work, we aim to extend this framework to systems with larger numbers of modules, and modules of different functionality.</w:t>
      </w:r>
    </w:p>
    <w:p w14:paraId="3B6FC7AF" w14:textId="77777777" w:rsidR="00C13D21" w:rsidRPr="00C13D21" w:rsidRDefault="00C13D21" w:rsidP="00C13D21">
      <w:pPr>
        <w:pStyle w:val="Els-body-text"/>
        <w:spacing w:after="120"/>
        <w:rPr>
          <w:b/>
          <w:bCs/>
          <w:sz w:val="22"/>
          <w:szCs w:val="22"/>
          <w:lang w:val="en-GB"/>
        </w:rPr>
      </w:pPr>
      <w:r w:rsidRPr="00C13D21">
        <w:rPr>
          <w:b/>
          <w:bCs/>
          <w:sz w:val="22"/>
          <w:szCs w:val="22"/>
          <w:lang w:val="en-GB"/>
        </w:rPr>
        <w:t>References</w:t>
      </w:r>
    </w:p>
    <w:p w14:paraId="51D761DC" w14:textId="228F5198" w:rsidR="00031381" w:rsidRPr="009A4DF4" w:rsidRDefault="00031381" w:rsidP="009A4DF4">
      <w:pPr>
        <w:ind w:left="240" w:hanging="240"/>
        <w:rPr>
          <w:rFonts w:eastAsia="Times New Roman"/>
          <w:noProof/>
          <w:sz w:val="18"/>
        </w:rPr>
      </w:pPr>
      <w:r w:rsidRPr="009A4DF4">
        <w:rPr>
          <w:rFonts w:eastAsia="Times New Roman"/>
          <w:noProof/>
          <w:sz w:val="18"/>
        </w:rPr>
        <w:t>M. Baldea, T. F. Edgar, B. L. Stanley, A. A. Kiss (2017)</w:t>
      </w:r>
      <w:r w:rsidR="00F83F8A" w:rsidRPr="009A4DF4">
        <w:rPr>
          <w:rFonts w:eastAsia="Times New Roman"/>
          <w:noProof/>
          <w:sz w:val="18"/>
        </w:rPr>
        <w:t>,</w:t>
      </w:r>
      <w:r w:rsidRPr="009A4DF4">
        <w:rPr>
          <w:rFonts w:eastAsia="Times New Roman"/>
          <w:noProof/>
          <w:sz w:val="18"/>
        </w:rPr>
        <w:t xml:space="preserve"> Modular manufacturing processes: Status, challenges, and opportunities. AIChE Journal 63, 4262–4272.</w:t>
      </w:r>
    </w:p>
    <w:p w14:paraId="40DC5DB2" w14:textId="55982A59" w:rsidR="009A4DF4" w:rsidRPr="009A4DF4" w:rsidRDefault="009A4DF4" w:rsidP="009A4DF4">
      <w:pPr>
        <w:ind w:left="240" w:hanging="240"/>
        <w:rPr>
          <w:rFonts w:eastAsia="Times New Roman"/>
          <w:noProof/>
          <w:sz w:val="18"/>
        </w:rPr>
      </w:pPr>
      <w:r w:rsidRPr="009A4DF4">
        <w:rPr>
          <w:rFonts w:eastAsia="Times New Roman"/>
          <w:noProof/>
          <w:sz w:val="18"/>
        </w:rPr>
        <w:t>L. Breiman (2001), Random forests, Mach. Learn., vol. 45, no. 1, pp. 5–32.</w:t>
      </w:r>
    </w:p>
    <w:p w14:paraId="7AD8702F" w14:textId="041721C7" w:rsidR="00BA2B7E" w:rsidRPr="009A4DF4" w:rsidRDefault="00BA2B7E" w:rsidP="009A4DF4">
      <w:pPr>
        <w:ind w:left="240" w:hanging="240"/>
        <w:rPr>
          <w:rFonts w:eastAsia="Times New Roman"/>
          <w:noProof/>
          <w:sz w:val="18"/>
        </w:rPr>
      </w:pPr>
      <w:r w:rsidRPr="009A4DF4">
        <w:rPr>
          <w:rFonts w:eastAsia="Times New Roman"/>
          <w:noProof/>
          <w:sz w:val="18"/>
        </w:rPr>
        <w:t>Y. Dai and A. Allman</w:t>
      </w:r>
      <w:r w:rsidR="00201112" w:rsidRPr="009A4DF4">
        <w:rPr>
          <w:rFonts w:eastAsia="Times New Roman"/>
          <w:noProof/>
          <w:sz w:val="18"/>
        </w:rPr>
        <w:t xml:space="preserve"> (2023)</w:t>
      </w:r>
      <w:r w:rsidR="00F83F8A" w:rsidRPr="009A4DF4">
        <w:rPr>
          <w:rFonts w:eastAsia="Times New Roman"/>
          <w:noProof/>
          <w:sz w:val="18"/>
        </w:rPr>
        <w:t>,</w:t>
      </w:r>
      <w:r w:rsidRPr="009A4DF4">
        <w:rPr>
          <w:rFonts w:eastAsia="Times New Roman"/>
          <w:noProof/>
          <w:sz w:val="18"/>
        </w:rPr>
        <w:t xml:space="preserve"> Foundations of process/product analytics and machine learning fopam 2023, university of california, davis ca, july 30-aug 3, 2023 learning the best configuration for controlling modular dynamic systems, Ann Arbor, vol. 1001, p. 48109.</w:t>
      </w:r>
    </w:p>
    <w:p w14:paraId="4DFCD679" w14:textId="77BCB3A6" w:rsidR="009A4DF4" w:rsidRPr="009A4DF4" w:rsidRDefault="00031381" w:rsidP="009A4DF4">
      <w:pPr>
        <w:ind w:left="240" w:hanging="240"/>
        <w:rPr>
          <w:rFonts w:eastAsia="Times New Roman"/>
          <w:noProof/>
          <w:sz w:val="18"/>
        </w:rPr>
      </w:pPr>
      <w:r w:rsidRPr="009A4DF4">
        <w:rPr>
          <w:rFonts w:eastAsia="Times New Roman"/>
          <w:noProof/>
          <w:sz w:val="18"/>
        </w:rPr>
        <w:t>Y. Dai, S. Fay, and A. Allman</w:t>
      </w:r>
      <w:r w:rsidR="00201112" w:rsidRPr="009A4DF4">
        <w:rPr>
          <w:rFonts w:eastAsia="Times New Roman"/>
          <w:noProof/>
          <w:sz w:val="18"/>
        </w:rPr>
        <w:t xml:space="preserve"> (2023)</w:t>
      </w:r>
      <w:r w:rsidR="00F83F8A" w:rsidRPr="009A4DF4">
        <w:rPr>
          <w:rFonts w:eastAsia="Times New Roman"/>
          <w:noProof/>
          <w:sz w:val="18"/>
        </w:rPr>
        <w:t>,</w:t>
      </w:r>
      <w:r w:rsidRPr="009A4DF4">
        <w:rPr>
          <w:rFonts w:eastAsia="Times New Roman"/>
          <w:noProof/>
          <w:sz w:val="18"/>
        </w:rPr>
        <w:t xml:space="preserve"> Analysis of model predictive control in numbered-up modular facilities, Digital Chemical Engineering, vol. 7, p. 100088.</w:t>
      </w:r>
    </w:p>
    <w:p w14:paraId="7C938501" w14:textId="54642083" w:rsidR="009A4DF4" w:rsidRPr="009A4DF4" w:rsidRDefault="009A4DF4" w:rsidP="009A4DF4">
      <w:pPr>
        <w:ind w:left="240" w:hanging="240"/>
        <w:rPr>
          <w:rFonts w:eastAsia="Times New Roman"/>
          <w:noProof/>
          <w:sz w:val="18"/>
        </w:rPr>
      </w:pPr>
      <w:r w:rsidRPr="009A4DF4">
        <w:rPr>
          <w:rFonts w:eastAsia="Times New Roman"/>
          <w:noProof/>
          <w:sz w:val="18"/>
        </w:rPr>
        <w:t>T. G. Dietterich (2000), Ensemble methods in machine learning, Multiple Classifier Systems. Berlin, Germany: Springer-Verlag, pp. 1–15.</w:t>
      </w:r>
    </w:p>
    <w:p w14:paraId="775A5B97" w14:textId="0F57D499" w:rsidR="009A4DF4" w:rsidRPr="009A4DF4" w:rsidRDefault="009A4DF4" w:rsidP="009A4DF4">
      <w:pPr>
        <w:ind w:left="240" w:hanging="240"/>
        <w:rPr>
          <w:rFonts w:eastAsia="Times New Roman"/>
          <w:noProof/>
          <w:sz w:val="18"/>
        </w:rPr>
      </w:pPr>
      <w:r w:rsidRPr="009A4DF4">
        <w:rPr>
          <w:rFonts w:eastAsia="Times New Roman"/>
          <w:noProof/>
          <w:sz w:val="18"/>
        </w:rPr>
        <w:t>S. K. S. Fan, S. C. Lin, and P. F. Tsai, (2016), Wafer fault detection and key step identification for semiconductor manufacturing using principal component analysis, AdaBoost and decision tree. Journal of Industrial and Production Engineering, 33(3), 151-168.</w:t>
      </w:r>
    </w:p>
    <w:p w14:paraId="76D41F02" w14:textId="70241622" w:rsidR="009A4DF4" w:rsidRPr="009A4DF4" w:rsidRDefault="009A4DF4" w:rsidP="009A4DF4">
      <w:pPr>
        <w:ind w:left="240" w:hanging="240"/>
        <w:rPr>
          <w:rFonts w:eastAsia="Times New Roman"/>
          <w:noProof/>
          <w:sz w:val="18"/>
        </w:rPr>
      </w:pPr>
      <w:r w:rsidRPr="009A4DF4">
        <w:rPr>
          <w:rFonts w:eastAsia="Times New Roman"/>
          <w:noProof/>
          <w:sz w:val="18"/>
        </w:rPr>
        <w:t>Yoav Freund and Robert E. Schapire (1996), Experiments with a new boosting algorithm. icml. Vol. 96.</w:t>
      </w:r>
    </w:p>
    <w:p w14:paraId="4C16DDB8" w14:textId="3F5C9470" w:rsidR="00902F3C" w:rsidRPr="009A4DF4" w:rsidRDefault="00902F3C" w:rsidP="009A4DF4">
      <w:pPr>
        <w:ind w:left="240" w:hanging="240"/>
        <w:rPr>
          <w:rFonts w:eastAsia="Times New Roman"/>
          <w:noProof/>
          <w:sz w:val="18"/>
        </w:rPr>
      </w:pPr>
      <w:r w:rsidRPr="009A4DF4">
        <w:rPr>
          <w:rFonts w:eastAsia="Times New Roman"/>
          <w:noProof/>
          <w:sz w:val="18"/>
        </w:rPr>
        <w:t>T. Hastie, S. Rosset, J. Zhu, and H. Zou</w:t>
      </w:r>
      <w:r w:rsidR="00201112" w:rsidRPr="009A4DF4">
        <w:rPr>
          <w:rFonts w:eastAsia="Times New Roman"/>
          <w:noProof/>
          <w:sz w:val="18"/>
        </w:rPr>
        <w:t xml:space="preserve"> (2009)</w:t>
      </w:r>
      <w:r w:rsidR="00F83F8A" w:rsidRPr="009A4DF4">
        <w:rPr>
          <w:rFonts w:eastAsia="Times New Roman"/>
          <w:noProof/>
          <w:sz w:val="18"/>
        </w:rPr>
        <w:t>,</w:t>
      </w:r>
      <w:r w:rsidRPr="009A4DF4">
        <w:rPr>
          <w:rFonts w:eastAsia="Times New Roman"/>
          <w:noProof/>
          <w:sz w:val="18"/>
        </w:rPr>
        <w:t xml:space="preserve"> Multi-class </w:t>
      </w:r>
      <w:r w:rsidR="00CF1BC7" w:rsidRPr="009A4DF4">
        <w:rPr>
          <w:rFonts w:eastAsia="Times New Roman"/>
          <w:noProof/>
          <w:sz w:val="18"/>
        </w:rPr>
        <w:t>AdaBoost</w:t>
      </w:r>
      <w:r w:rsidRPr="009A4DF4">
        <w:rPr>
          <w:rFonts w:eastAsia="Times New Roman"/>
          <w:noProof/>
          <w:sz w:val="18"/>
        </w:rPr>
        <w:t>,</w:t>
      </w:r>
      <w:r w:rsidR="00F83F8A" w:rsidRPr="009A4DF4">
        <w:rPr>
          <w:rFonts w:eastAsia="Times New Roman"/>
          <w:noProof/>
          <w:sz w:val="18"/>
        </w:rPr>
        <w:t xml:space="preserve"> </w:t>
      </w:r>
      <w:r w:rsidRPr="009A4DF4">
        <w:rPr>
          <w:rFonts w:eastAsia="Times New Roman"/>
          <w:noProof/>
          <w:sz w:val="18"/>
        </w:rPr>
        <w:t>Statistics and its Interface, vol. 2, no. 3, pp. 349–360.</w:t>
      </w:r>
    </w:p>
    <w:p w14:paraId="46344D45" w14:textId="156B7B03" w:rsidR="009A4DF4" w:rsidRPr="009A4DF4" w:rsidRDefault="009A4DF4" w:rsidP="009A4DF4">
      <w:pPr>
        <w:ind w:left="240" w:hanging="240"/>
        <w:rPr>
          <w:rFonts w:eastAsia="Times New Roman"/>
          <w:noProof/>
          <w:sz w:val="18"/>
        </w:rPr>
      </w:pPr>
      <w:r w:rsidRPr="009A4DF4">
        <w:rPr>
          <w:rFonts w:eastAsia="Times New Roman"/>
          <w:noProof/>
          <w:sz w:val="18"/>
        </w:rPr>
        <w:t xml:space="preserve">R. Kohavi and D. H. Wolpert (1996), Bias plus variance decomposition for zero-one loss functions, in Proc. Int. Conf. Machine Learning, pp. 275–283. </w:t>
      </w:r>
    </w:p>
    <w:p w14:paraId="41FA6BCA" w14:textId="2B3F4708" w:rsidR="00C53469" w:rsidRPr="009A4DF4" w:rsidRDefault="00C53469" w:rsidP="009A4DF4">
      <w:pPr>
        <w:ind w:left="240" w:hanging="240"/>
        <w:rPr>
          <w:rFonts w:eastAsia="Times New Roman"/>
          <w:noProof/>
          <w:sz w:val="18"/>
        </w:rPr>
      </w:pPr>
      <w:r w:rsidRPr="009A4DF4">
        <w:rPr>
          <w:rFonts w:eastAsia="Times New Roman"/>
          <w:noProof/>
          <w:sz w:val="18"/>
        </w:rPr>
        <w:t>J. Liu, D. Munoz de la Pena, P. D. Christofides (2009)</w:t>
      </w:r>
      <w:r w:rsidR="00F83F8A" w:rsidRPr="009A4DF4">
        <w:rPr>
          <w:rFonts w:eastAsia="Times New Roman"/>
          <w:noProof/>
          <w:sz w:val="18"/>
        </w:rPr>
        <w:t>,</w:t>
      </w:r>
      <w:r w:rsidRPr="009A4DF4">
        <w:rPr>
          <w:rFonts w:eastAsia="Times New Roman"/>
          <w:noProof/>
          <w:sz w:val="18"/>
        </w:rPr>
        <w:t xml:space="preserve"> Distributed model predictive control of nonlinear process systems. AIChE Journal 55, 1171–1184.</w:t>
      </w:r>
    </w:p>
    <w:p w14:paraId="54C4AEAD" w14:textId="77777777" w:rsidR="009A4DF4" w:rsidRPr="009A4DF4" w:rsidRDefault="009A4DF4" w:rsidP="009A4DF4">
      <w:pPr>
        <w:ind w:left="240" w:hanging="240"/>
        <w:rPr>
          <w:rFonts w:eastAsia="Times New Roman"/>
          <w:noProof/>
          <w:sz w:val="18"/>
        </w:rPr>
      </w:pPr>
      <w:r w:rsidRPr="009A4DF4">
        <w:rPr>
          <w:rFonts w:eastAsia="Times New Roman"/>
          <w:noProof/>
          <w:sz w:val="18"/>
        </w:rPr>
        <w:t>P. T. May-Ostendorp, G. P. Henze, B. Rajagopalan, and C. D. Corbin, (2013). Extraction of supervisory building control rules from model predictive control of windows in a mixed mode building. Journal of Building Performance Simulation, 6(3), 199-219</w:t>
      </w:r>
    </w:p>
    <w:p w14:paraId="300BBE24" w14:textId="6D79938B" w:rsidR="00350218" w:rsidRPr="009A4DF4" w:rsidRDefault="0095664B" w:rsidP="009A4DF4">
      <w:pPr>
        <w:ind w:left="240" w:hanging="240"/>
        <w:rPr>
          <w:rFonts w:eastAsia="Times New Roman"/>
          <w:noProof/>
          <w:sz w:val="18"/>
        </w:rPr>
      </w:pPr>
      <w:r w:rsidRPr="009A4DF4">
        <w:rPr>
          <w:rFonts w:eastAsia="Times New Roman"/>
          <w:noProof/>
          <w:sz w:val="18"/>
        </w:rPr>
        <w:t>Y. Shao, V. M. Zavala (2020)</w:t>
      </w:r>
      <w:r w:rsidR="00F83F8A" w:rsidRPr="009A4DF4">
        <w:rPr>
          <w:rFonts w:eastAsia="Times New Roman"/>
          <w:noProof/>
          <w:sz w:val="18"/>
        </w:rPr>
        <w:t xml:space="preserve">, </w:t>
      </w:r>
      <w:r w:rsidRPr="009A4DF4">
        <w:rPr>
          <w:rFonts w:eastAsia="Times New Roman"/>
          <w:noProof/>
          <w:sz w:val="18"/>
        </w:rPr>
        <w:t>Modularity measures: Concepts, computation, and applications to manufacturing systems. AIChE Journal 66, e16965.</w:t>
      </w:r>
    </w:p>
    <w:p w14:paraId="548A5537" w14:textId="6EEFD3D0" w:rsidR="00F83F8A" w:rsidRPr="009A4DF4" w:rsidRDefault="00541D47" w:rsidP="009A4DF4">
      <w:pPr>
        <w:ind w:left="240" w:hanging="240"/>
        <w:rPr>
          <w:rFonts w:eastAsia="Times New Roman"/>
          <w:noProof/>
          <w:sz w:val="18"/>
        </w:rPr>
      </w:pPr>
      <w:r w:rsidRPr="009A4DF4">
        <w:rPr>
          <w:rFonts w:eastAsia="Times New Roman"/>
          <w:noProof/>
          <w:sz w:val="18"/>
        </w:rPr>
        <w:t>Y. Xu, K. Cong, Q. Zhu, and Y. He, (2021), A novel AdaBoost ensemble model based on the reconstruction of local tangent space alignment and its application to multiple faults recognition. Journal of Process Control, 104, 158-167.</w:t>
      </w:r>
    </w:p>
    <w:sectPr w:rsidR="00F83F8A" w:rsidRPr="009A4DF4" w:rsidSect="008B0184">
      <w:headerReference w:type="even" r:id="rId14"/>
      <w:headerReference w:type="default" r:id="rId15"/>
      <w:headerReference w:type="first" r:id="rId16"/>
      <w:type w:val="continuous"/>
      <w:pgSz w:w="11906" w:h="16838" w:code="9"/>
      <w:pgMar w:top="2377" w:right="2410" w:bottom="2892" w:left="2410" w:header="1701" w:footer="2892" w:gutter="0"/>
      <w:cols w:space="720" w:equalWidth="0">
        <w:col w:w="7087"/>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6F566B" w14:textId="77777777" w:rsidR="00895341" w:rsidRDefault="00895341">
      <w:r>
        <w:separator/>
      </w:r>
    </w:p>
  </w:endnote>
  <w:endnote w:type="continuationSeparator" w:id="0">
    <w:p w14:paraId="78EEEBB0" w14:textId="77777777" w:rsidR="00895341" w:rsidRDefault="008953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D01AA2" w14:textId="77777777" w:rsidR="00895341" w:rsidRDefault="00895341">
      <w:r>
        <w:separator/>
      </w:r>
    </w:p>
  </w:footnote>
  <w:footnote w:type="continuationSeparator" w:id="0">
    <w:p w14:paraId="2DF57BC8" w14:textId="77777777" w:rsidR="00895341" w:rsidRDefault="008953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9" w14:textId="243F2F30" w:rsidR="00DD3D9E" w:rsidRDefault="00DD3D9E">
    <w:pPr>
      <w:pStyle w:val="Header"/>
      <w:tabs>
        <w:tab w:val="clear" w:pos="7200"/>
        <w:tab w:val="right" w:pos="7088"/>
      </w:tabs>
    </w:pPr>
    <w:r>
      <w:rPr>
        <w:rStyle w:val="PageNumber"/>
      </w:rPr>
      <w:tab/>
    </w:r>
    <w:r>
      <w:rPr>
        <w:rStyle w:val="PageNumber"/>
        <w:i/>
      </w:rPr>
      <w:tab/>
    </w:r>
    <w:r w:rsidR="00EA351E">
      <w:rPr>
        <w:rStyle w:val="PageNumber"/>
        <w:i/>
      </w:rPr>
      <w:t xml:space="preserve">Dai </w:t>
    </w:r>
    <w:r w:rsidR="009551DB">
      <w:rPr>
        <w:rStyle w:val="PageNumber"/>
        <w:i/>
      </w:rPr>
      <w:t>and Allman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A" w14:textId="6BFCDFC4" w:rsidR="00DD3D9E" w:rsidRDefault="00EA351E" w:rsidP="00EA351E">
    <w:pPr>
      <w:pStyle w:val="Header"/>
      <w:tabs>
        <w:tab w:val="clear" w:pos="7200"/>
        <w:tab w:val="right" w:pos="7088"/>
      </w:tabs>
      <w:rPr>
        <w:sz w:val="24"/>
      </w:rPr>
    </w:pPr>
    <w:r w:rsidRPr="00EA351E">
      <w:rPr>
        <w:i/>
      </w:rPr>
      <w:t>Boosted Ensemble Learning for Model Predictive Control with Reconfiguration of Modular Facilities</w:t>
    </w:r>
    <w:r w:rsidR="00DD3D9E">
      <w:rPr>
        <w:rStyle w:val="PageNumber"/>
        <w:i/>
        <w:sz w:val="24"/>
      </w:rPr>
      <w:tab/>
    </w:r>
    <w:r w:rsidR="00DD3D9E">
      <w:rPr>
        <w:rStyle w:val="PageNumber"/>
        <w:sz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B" w14:textId="77777777" w:rsidR="00F06842" w:rsidRPr="003B50B5" w:rsidRDefault="00F06842" w:rsidP="00F06842">
    <w:pPr>
      <w:pStyle w:val="ElsevierBodyTextCentredNospace"/>
      <w:jc w:val="left"/>
      <w:rPr>
        <w:noProof/>
        <w:sz w:val="18"/>
        <w:szCs w:val="18"/>
      </w:rPr>
    </w:pPr>
    <w:r w:rsidRPr="0068162C">
      <w:rPr>
        <w:color w:val="auto"/>
        <w:sz w:val="18"/>
        <w:szCs w:val="18"/>
      </w:rPr>
      <w:t xml:space="preserve">Flavio Manenti, Gintaras V. </w:t>
    </w:r>
    <w:proofErr w:type="spellStart"/>
    <w:r w:rsidRPr="0068162C">
      <w:rPr>
        <w:color w:val="auto"/>
        <w:sz w:val="18"/>
        <w:szCs w:val="18"/>
      </w:rPr>
      <w:t>Reklaitis</w:t>
    </w:r>
    <w:proofErr w:type="spellEnd"/>
    <w:r w:rsidRPr="0068162C">
      <w:rPr>
        <w:color w:val="auto"/>
        <w:sz w:val="18"/>
        <w:szCs w:val="18"/>
      </w:rPr>
      <w:t xml:space="preserve"> (Eds.),</w:t>
    </w:r>
    <w:r>
      <w:rPr>
        <w:color w:val="auto"/>
      </w:rPr>
      <w:t xml:space="preserve"> </w:t>
    </w:r>
    <w:r w:rsidRPr="003B50B5">
      <w:rPr>
        <w:noProof/>
        <w:sz w:val="18"/>
        <w:szCs w:val="18"/>
      </w:rPr>
      <w:t xml:space="preserve">Proceedings </w:t>
    </w:r>
    <w:r>
      <w:rPr>
        <w:noProof/>
        <w:sz w:val="18"/>
        <w:szCs w:val="18"/>
      </w:rPr>
      <w:t>o</w:t>
    </w:r>
    <w:r w:rsidRPr="003B50B5">
      <w:rPr>
        <w:noProof/>
        <w:sz w:val="18"/>
        <w:szCs w:val="18"/>
      </w:rPr>
      <w:t xml:space="preserve">f </w:t>
    </w:r>
    <w:r w:rsidRPr="00F06842">
      <w:rPr>
        <w:noProof/>
        <w:sz w:val="18"/>
        <w:szCs w:val="18"/>
      </w:rPr>
      <w:t xml:space="preserve">the </w:t>
    </w:r>
    <w:r w:rsidRPr="00F06842">
      <w:rPr>
        <w:rStyle w:val="underline1"/>
        <w:sz w:val="18"/>
        <w:szCs w:val="18"/>
        <w:u w:val="none"/>
      </w:rPr>
      <w:t>34</w:t>
    </w:r>
    <w:r w:rsidRPr="00F06842">
      <w:rPr>
        <w:rStyle w:val="underline1"/>
        <w:sz w:val="18"/>
        <w:szCs w:val="18"/>
        <w:u w:val="none"/>
        <w:vertAlign w:val="superscript"/>
      </w:rPr>
      <w:t>th</w:t>
    </w:r>
    <w:r w:rsidRPr="00F06842">
      <w:rPr>
        <w:rStyle w:val="underline1"/>
        <w:sz w:val="18"/>
        <w:szCs w:val="18"/>
        <w:u w:val="none"/>
      </w:rPr>
      <w:t xml:space="preserve"> European Symposium on Computer Aided Process Engineering / 15</w:t>
    </w:r>
    <w:r w:rsidRPr="00F06842">
      <w:rPr>
        <w:rStyle w:val="underline1"/>
        <w:sz w:val="18"/>
        <w:szCs w:val="18"/>
        <w:u w:val="none"/>
        <w:vertAlign w:val="superscript"/>
      </w:rPr>
      <w:t>th</w:t>
    </w:r>
    <w:r w:rsidRPr="00F06842">
      <w:rPr>
        <w:rStyle w:val="underline1"/>
        <w:sz w:val="18"/>
        <w:szCs w:val="18"/>
        <w:u w:val="none"/>
      </w:rPr>
      <w:t xml:space="preserve"> International Symposium on Process Systems Engineerin</w:t>
    </w:r>
    <w:r w:rsidRPr="003B50B5">
      <w:rPr>
        <w:rStyle w:val="underline1"/>
        <w:sz w:val="18"/>
        <w:szCs w:val="18"/>
      </w:rPr>
      <w:t>g</w:t>
    </w:r>
    <w:r w:rsidRPr="003B50B5">
      <w:rPr>
        <w:noProof/>
        <w:sz w:val="18"/>
        <w:szCs w:val="18"/>
      </w:rPr>
      <w:t xml:space="preserve"> (ESCAPE34/PSE</w:t>
    </w:r>
    <w:r>
      <w:rPr>
        <w:noProof/>
        <w:sz w:val="18"/>
        <w:szCs w:val="18"/>
      </w:rPr>
      <w:t>24</w:t>
    </w:r>
    <w:r w:rsidRPr="003B50B5">
      <w:rPr>
        <w:noProof/>
        <w:sz w:val="18"/>
        <w:szCs w:val="18"/>
      </w:rPr>
      <w:t xml:space="preserve">), June </w:t>
    </w:r>
    <w:r>
      <w:rPr>
        <w:noProof/>
        <w:sz w:val="18"/>
        <w:szCs w:val="18"/>
      </w:rPr>
      <w:t>2-6</w:t>
    </w:r>
    <w:r w:rsidRPr="003B50B5">
      <w:rPr>
        <w:noProof/>
        <w:sz w:val="18"/>
        <w:szCs w:val="18"/>
      </w:rPr>
      <w:t>, 2024,</w:t>
    </w:r>
    <w:r w:rsidRPr="003B50B5">
      <w:rPr>
        <w:sz w:val="18"/>
        <w:szCs w:val="18"/>
      </w:rPr>
      <w:t xml:space="preserve"> Florence</w:t>
    </w:r>
    <w:r w:rsidRPr="003B50B5">
      <w:rPr>
        <w:noProof/>
        <w:sz w:val="18"/>
        <w:szCs w:val="18"/>
      </w:rPr>
      <w:t>, Italy</w:t>
    </w:r>
  </w:p>
  <w:p w14:paraId="144DE6CC" w14:textId="77777777" w:rsidR="00DD3D9E" w:rsidRDefault="00F06842" w:rsidP="00F06842">
    <w:pPr>
      <w:tabs>
        <w:tab w:val="right" w:pos="7086"/>
      </w:tabs>
    </w:pPr>
    <w:r w:rsidRPr="001E6A29">
      <w:rPr>
        <w:sz w:val="18"/>
        <w:szCs w:val="18"/>
      </w:rPr>
      <w:t>© 202</w:t>
    </w:r>
    <w:r>
      <w:rPr>
        <w:sz w:val="18"/>
        <w:szCs w:val="18"/>
      </w:rPr>
      <w:t>4</w:t>
    </w:r>
    <w:r w:rsidRPr="001E6A29">
      <w:rPr>
        <w:sz w:val="18"/>
        <w:szCs w:val="18"/>
      </w:rPr>
      <w:t xml:space="preserve"> Elsevier B.V. All rights reserved.</w:t>
    </w:r>
    <w:r w:rsidR="00DD3D9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A0714"/>
    <w:multiLevelType w:val="hybridMultilevel"/>
    <w:tmpl w:val="5102335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BB178C"/>
    <w:multiLevelType w:val="multilevel"/>
    <w:tmpl w:val="A2DC3AD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2" w15:restartNumberingAfterBreak="0">
    <w:nsid w:val="14DF6F6F"/>
    <w:multiLevelType w:val="hybridMultilevel"/>
    <w:tmpl w:val="7898CA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2E0393"/>
    <w:multiLevelType w:val="multilevel"/>
    <w:tmpl w:val="77CA1008"/>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4" w15:restartNumberingAfterBreak="0">
    <w:nsid w:val="1D0C7A89"/>
    <w:multiLevelType w:val="singleLevel"/>
    <w:tmpl w:val="3814B02C"/>
    <w:lvl w:ilvl="0">
      <w:start w:val="1"/>
      <w:numFmt w:val="decimal"/>
      <w:lvlText w:val="[%1]"/>
      <w:lvlJc w:val="left"/>
      <w:pPr>
        <w:tabs>
          <w:tab w:val="num" w:pos="360"/>
        </w:tabs>
        <w:ind w:left="312" w:hanging="312"/>
      </w:pPr>
    </w:lvl>
  </w:abstractNum>
  <w:abstractNum w:abstractNumId="5" w15:restartNumberingAfterBreak="0">
    <w:nsid w:val="23CD397F"/>
    <w:multiLevelType w:val="hybridMultilevel"/>
    <w:tmpl w:val="5262D0CA"/>
    <w:lvl w:ilvl="0" w:tplc="180864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41C6CF0"/>
    <w:multiLevelType w:val="multilevel"/>
    <w:tmpl w:val="F490D9D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7" w15:restartNumberingAfterBreak="0">
    <w:nsid w:val="2438217E"/>
    <w:multiLevelType w:val="multilevel"/>
    <w:tmpl w:val="B3242232"/>
    <w:lvl w:ilvl="0">
      <w:start w:val="1"/>
      <w:numFmt w:val="decimal"/>
      <w:pStyle w:val="Els-Chapterno"/>
      <w:suff w:val="space"/>
      <w:lvlText w:val="Chapter %1"/>
      <w:lvlJc w:val="left"/>
      <w:pPr>
        <w:ind w:left="0" w:firstLine="0"/>
      </w:pPr>
      <w:rPr>
        <w:rFonts w:hint="default"/>
      </w:rPr>
    </w:lvl>
    <w:lvl w:ilvl="1">
      <w:start w:val="1"/>
      <w:numFmt w:val="decimal"/>
      <w:pStyle w:val="Els-1storder-head"/>
      <w:suff w:val="space"/>
      <w:lvlText w:val="%2."/>
      <w:lvlJc w:val="left"/>
      <w:pPr>
        <w:ind w:left="0" w:firstLine="0"/>
      </w:pPr>
      <w:rPr>
        <w:rFonts w:hint="default"/>
      </w:rPr>
    </w:lvl>
    <w:lvl w:ilvl="2">
      <w:start w:val="1"/>
      <w:numFmt w:val="decimal"/>
      <w:pStyle w:val="Els-2ndorder-head"/>
      <w:suff w:val="space"/>
      <w:lvlText w:val="%2.%3."/>
      <w:lvlJc w:val="left"/>
      <w:pPr>
        <w:ind w:left="0" w:firstLine="0"/>
      </w:pPr>
      <w:rPr>
        <w:rFonts w:hint="default"/>
      </w:rPr>
    </w:lvl>
    <w:lvl w:ilvl="3">
      <w:start w:val="1"/>
      <w:numFmt w:val="decimal"/>
      <w:pStyle w:val="Els-3rdorder-head"/>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8" w15:restartNumberingAfterBreak="0">
    <w:nsid w:val="25486B6C"/>
    <w:multiLevelType w:val="singleLevel"/>
    <w:tmpl w:val="FE1C3F06"/>
    <w:lvl w:ilvl="0">
      <w:start w:val="1"/>
      <w:numFmt w:val="decimal"/>
      <w:lvlText w:val="[%1]"/>
      <w:lvlJc w:val="left"/>
      <w:pPr>
        <w:tabs>
          <w:tab w:val="num" w:pos="360"/>
        </w:tabs>
        <w:ind w:left="312" w:hanging="312"/>
      </w:pPr>
    </w:lvl>
  </w:abstractNum>
  <w:abstractNum w:abstractNumId="9" w15:restartNumberingAfterBreak="0">
    <w:nsid w:val="29130130"/>
    <w:multiLevelType w:val="hybridMultilevel"/>
    <w:tmpl w:val="08528F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322B9F"/>
    <w:multiLevelType w:val="multilevel"/>
    <w:tmpl w:val="C5F4A82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1" w15:restartNumberingAfterBreak="0">
    <w:nsid w:val="2AB1025D"/>
    <w:multiLevelType w:val="hybridMultilevel"/>
    <w:tmpl w:val="3DD8E7C4"/>
    <w:lvl w:ilvl="0" w:tplc="0BECA5BC">
      <w:start w:val="1"/>
      <w:numFmt w:val="decimal"/>
      <w:pStyle w:val="Els-reference"/>
      <w:lvlText w:val="%1."/>
      <w:lvlJc w:val="right"/>
      <w:pPr>
        <w:tabs>
          <w:tab w:val="num" w:pos="480"/>
        </w:tabs>
        <w:ind w:left="480" w:hanging="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E652E1E"/>
    <w:multiLevelType w:val="hybridMultilevel"/>
    <w:tmpl w:val="6F0EF366"/>
    <w:lvl w:ilvl="0" w:tplc="FF169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0AA62CA"/>
    <w:multiLevelType w:val="hybridMultilevel"/>
    <w:tmpl w:val="AB36EAAA"/>
    <w:lvl w:ilvl="0" w:tplc="A082456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27E7170"/>
    <w:multiLevelType w:val="multilevel"/>
    <w:tmpl w:val="596AD3C4"/>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15"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6" w15:restartNumberingAfterBreak="0">
    <w:nsid w:val="5E827A20"/>
    <w:multiLevelType w:val="multilevel"/>
    <w:tmpl w:val="3170006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7" w15:restartNumberingAfterBreak="0">
    <w:nsid w:val="6A725342"/>
    <w:multiLevelType w:val="hybridMultilevel"/>
    <w:tmpl w:val="880CA9FC"/>
    <w:lvl w:ilvl="0" w:tplc="C18EDB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19" w15:restartNumberingAfterBreak="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632910568">
    <w:abstractNumId w:val="15"/>
  </w:num>
  <w:num w:numId="2" w16cid:durableId="47382885">
    <w:abstractNumId w:val="15"/>
  </w:num>
  <w:num w:numId="3" w16cid:durableId="967853731">
    <w:abstractNumId w:val="15"/>
  </w:num>
  <w:num w:numId="4" w16cid:durableId="1739282265">
    <w:abstractNumId w:val="15"/>
  </w:num>
  <w:num w:numId="5" w16cid:durableId="698892343">
    <w:abstractNumId w:val="1"/>
  </w:num>
  <w:num w:numId="6" w16cid:durableId="1660883641">
    <w:abstractNumId w:val="10"/>
  </w:num>
  <w:num w:numId="7" w16cid:durableId="1863349795">
    <w:abstractNumId w:val="16"/>
  </w:num>
  <w:num w:numId="8" w16cid:durableId="1750734252">
    <w:abstractNumId w:val="3"/>
  </w:num>
  <w:num w:numId="9" w16cid:durableId="203061615">
    <w:abstractNumId w:val="14"/>
  </w:num>
  <w:num w:numId="10" w16cid:durableId="1478497114">
    <w:abstractNumId w:val="19"/>
  </w:num>
  <w:num w:numId="11" w16cid:durableId="1896693444">
    <w:abstractNumId w:val="18"/>
  </w:num>
  <w:num w:numId="12" w16cid:durableId="774787662">
    <w:abstractNumId w:val="8"/>
  </w:num>
  <w:num w:numId="13" w16cid:durableId="1525900646">
    <w:abstractNumId w:val="12"/>
  </w:num>
  <w:num w:numId="14" w16cid:durableId="1455515963">
    <w:abstractNumId w:val="4"/>
  </w:num>
  <w:num w:numId="15" w16cid:durableId="446657998">
    <w:abstractNumId w:val="11"/>
  </w:num>
  <w:num w:numId="16" w16cid:durableId="322592235">
    <w:abstractNumId w:val="6"/>
  </w:num>
  <w:num w:numId="17" w16cid:durableId="596719075">
    <w:abstractNumId w:val="7"/>
  </w:num>
  <w:num w:numId="18" w16cid:durableId="886648604">
    <w:abstractNumId w:val="13"/>
  </w:num>
  <w:num w:numId="19" w16cid:durableId="1504206293">
    <w:abstractNumId w:val="9"/>
  </w:num>
  <w:num w:numId="20" w16cid:durableId="1064177562">
    <w:abstractNumId w:val="2"/>
  </w:num>
  <w:num w:numId="21" w16cid:durableId="1545294002">
    <w:abstractNumId w:val="5"/>
  </w:num>
  <w:num w:numId="22" w16cid:durableId="1374816976">
    <w:abstractNumId w:val="0"/>
  </w:num>
  <w:num w:numId="23" w16cid:durableId="192737840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237"/>
    <w:rsid w:val="00003D89"/>
    <w:rsid w:val="0002360E"/>
    <w:rsid w:val="00027BFE"/>
    <w:rsid w:val="00031381"/>
    <w:rsid w:val="000521E3"/>
    <w:rsid w:val="0006652C"/>
    <w:rsid w:val="000757F9"/>
    <w:rsid w:val="00077D98"/>
    <w:rsid w:val="00095152"/>
    <w:rsid w:val="00097B1E"/>
    <w:rsid w:val="000A0CE8"/>
    <w:rsid w:val="000A1DBF"/>
    <w:rsid w:val="000B26F1"/>
    <w:rsid w:val="000C07AC"/>
    <w:rsid w:val="000D0184"/>
    <w:rsid w:val="000D3207"/>
    <w:rsid w:val="000D3D9B"/>
    <w:rsid w:val="000D7BB4"/>
    <w:rsid w:val="000E381F"/>
    <w:rsid w:val="000F3F85"/>
    <w:rsid w:val="00111C49"/>
    <w:rsid w:val="00124B88"/>
    <w:rsid w:val="0013563E"/>
    <w:rsid w:val="0016032F"/>
    <w:rsid w:val="00174982"/>
    <w:rsid w:val="001840C8"/>
    <w:rsid w:val="00185067"/>
    <w:rsid w:val="001879F6"/>
    <w:rsid w:val="001A6D56"/>
    <w:rsid w:val="001C0148"/>
    <w:rsid w:val="001C69AC"/>
    <w:rsid w:val="001C757E"/>
    <w:rsid w:val="001D359E"/>
    <w:rsid w:val="001D5EA4"/>
    <w:rsid w:val="001D61AD"/>
    <w:rsid w:val="001E011C"/>
    <w:rsid w:val="001F5208"/>
    <w:rsid w:val="001F5B9A"/>
    <w:rsid w:val="00201112"/>
    <w:rsid w:val="0020390F"/>
    <w:rsid w:val="00204D34"/>
    <w:rsid w:val="002113C3"/>
    <w:rsid w:val="00213CD7"/>
    <w:rsid w:val="00214481"/>
    <w:rsid w:val="0022069A"/>
    <w:rsid w:val="0022394A"/>
    <w:rsid w:val="00224A3E"/>
    <w:rsid w:val="0022574D"/>
    <w:rsid w:val="00243A07"/>
    <w:rsid w:val="00250B1A"/>
    <w:rsid w:val="00253FB2"/>
    <w:rsid w:val="00260B85"/>
    <w:rsid w:val="00262B89"/>
    <w:rsid w:val="00264926"/>
    <w:rsid w:val="0027026E"/>
    <w:rsid w:val="00280174"/>
    <w:rsid w:val="00293B49"/>
    <w:rsid w:val="002A5EE5"/>
    <w:rsid w:val="002B10D4"/>
    <w:rsid w:val="002B21BD"/>
    <w:rsid w:val="002B3E61"/>
    <w:rsid w:val="002C4B4E"/>
    <w:rsid w:val="002D3483"/>
    <w:rsid w:val="002D5EF7"/>
    <w:rsid w:val="002E17C3"/>
    <w:rsid w:val="002E5C78"/>
    <w:rsid w:val="002E7591"/>
    <w:rsid w:val="00323BC8"/>
    <w:rsid w:val="0033662E"/>
    <w:rsid w:val="00350218"/>
    <w:rsid w:val="00361235"/>
    <w:rsid w:val="00393CDC"/>
    <w:rsid w:val="003A559C"/>
    <w:rsid w:val="003A78C7"/>
    <w:rsid w:val="003B0C38"/>
    <w:rsid w:val="003C1214"/>
    <w:rsid w:val="003D1582"/>
    <w:rsid w:val="003D70FB"/>
    <w:rsid w:val="003D7E4C"/>
    <w:rsid w:val="003E2F5F"/>
    <w:rsid w:val="003E31DB"/>
    <w:rsid w:val="003E41C2"/>
    <w:rsid w:val="003F0F85"/>
    <w:rsid w:val="003F3D3E"/>
    <w:rsid w:val="00400BF4"/>
    <w:rsid w:val="004101F7"/>
    <w:rsid w:val="00415AD5"/>
    <w:rsid w:val="00424115"/>
    <w:rsid w:val="004347DC"/>
    <w:rsid w:val="00453D54"/>
    <w:rsid w:val="004763E9"/>
    <w:rsid w:val="00487060"/>
    <w:rsid w:val="00494332"/>
    <w:rsid w:val="0049772C"/>
    <w:rsid w:val="004A5660"/>
    <w:rsid w:val="004A7201"/>
    <w:rsid w:val="004D258F"/>
    <w:rsid w:val="004E6155"/>
    <w:rsid w:val="004F3D35"/>
    <w:rsid w:val="00511E2C"/>
    <w:rsid w:val="005166CC"/>
    <w:rsid w:val="005263CE"/>
    <w:rsid w:val="00530104"/>
    <w:rsid w:val="00532D5C"/>
    <w:rsid w:val="005419BC"/>
    <w:rsid w:val="00541D47"/>
    <w:rsid w:val="00541EC7"/>
    <w:rsid w:val="00552EEB"/>
    <w:rsid w:val="00555E77"/>
    <w:rsid w:val="0059028C"/>
    <w:rsid w:val="00593EE7"/>
    <w:rsid w:val="00596E5B"/>
    <w:rsid w:val="005C133A"/>
    <w:rsid w:val="00613985"/>
    <w:rsid w:val="00622A30"/>
    <w:rsid w:val="0063004F"/>
    <w:rsid w:val="00631B14"/>
    <w:rsid w:val="006330E2"/>
    <w:rsid w:val="006413BE"/>
    <w:rsid w:val="00641526"/>
    <w:rsid w:val="006470C6"/>
    <w:rsid w:val="00655E8F"/>
    <w:rsid w:val="00673E85"/>
    <w:rsid w:val="00675016"/>
    <w:rsid w:val="006767B4"/>
    <w:rsid w:val="00683225"/>
    <w:rsid w:val="00684A6C"/>
    <w:rsid w:val="006A69BF"/>
    <w:rsid w:val="006B2237"/>
    <w:rsid w:val="006B71CA"/>
    <w:rsid w:val="006D2273"/>
    <w:rsid w:val="006D2D96"/>
    <w:rsid w:val="0070712C"/>
    <w:rsid w:val="00711DF4"/>
    <w:rsid w:val="007120CF"/>
    <w:rsid w:val="00714AB0"/>
    <w:rsid w:val="00734634"/>
    <w:rsid w:val="00737B4E"/>
    <w:rsid w:val="007424DD"/>
    <w:rsid w:val="00750DCB"/>
    <w:rsid w:val="007536A5"/>
    <w:rsid w:val="0075698D"/>
    <w:rsid w:val="007638E6"/>
    <w:rsid w:val="007801E0"/>
    <w:rsid w:val="00783264"/>
    <w:rsid w:val="007A32A0"/>
    <w:rsid w:val="007A71DE"/>
    <w:rsid w:val="007B2958"/>
    <w:rsid w:val="007D3F4E"/>
    <w:rsid w:val="007D70A1"/>
    <w:rsid w:val="007E0463"/>
    <w:rsid w:val="007F1CC2"/>
    <w:rsid w:val="007F2786"/>
    <w:rsid w:val="007F305F"/>
    <w:rsid w:val="007F4403"/>
    <w:rsid w:val="007F6EC0"/>
    <w:rsid w:val="00800372"/>
    <w:rsid w:val="00802B5D"/>
    <w:rsid w:val="008132E8"/>
    <w:rsid w:val="00814065"/>
    <w:rsid w:val="00814935"/>
    <w:rsid w:val="00823407"/>
    <w:rsid w:val="00827748"/>
    <w:rsid w:val="00831DAD"/>
    <w:rsid w:val="0083545E"/>
    <w:rsid w:val="0084012D"/>
    <w:rsid w:val="008576D1"/>
    <w:rsid w:val="00861DE0"/>
    <w:rsid w:val="008713E5"/>
    <w:rsid w:val="00883EDC"/>
    <w:rsid w:val="008853D5"/>
    <w:rsid w:val="0089079A"/>
    <w:rsid w:val="00895341"/>
    <w:rsid w:val="008A76D5"/>
    <w:rsid w:val="008A772F"/>
    <w:rsid w:val="008B0184"/>
    <w:rsid w:val="008B1502"/>
    <w:rsid w:val="008C0A71"/>
    <w:rsid w:val="008C179C"/>
    <w:rsid w:val="008C3000"/>
    <w:rsid w:val="008C5D02"/>
    <w:rsid w:val="008D2649"/>
    <w:rsid w:val="008E05AB"/>
    <w:rsid w:val="008E1263"/>
    <w:rsid w:val="008E5CFC"/>
    <w:rsid w:val="008F50AA"/>
    <w:rsid w:val="00902F3C"/>
    <w:rsid w:val="00904721"/>
    <w:rsid w:val="0090568D"/>
    <w:rsid w:val="009125C9"/>
    <w:rsid w:val="00913879"/>
    <w:rsid w:val="00917661"/>
    <w:rsid w:val="0092035A"/>
    <w:rsid w:val="009267B0"/>
    <w:rsid w:val="00945992"/>
    <w:rsid w:val="0094655E"/>
    <w:rsid w:val="009551DB"/>
    <w:rsid w:val="009552EF"/>
    <w:rsid w:val="0095664B"/>
    <w:rsid w:val="0096404B"/>
    <w:rsid w:val="00970C2F"/>
    <w:rsid w:val="00970E5D"/>
    <w:rsid w:val="0097701C"/>
    <w:rsid w:val="00980A65"/>
    <w:rsid w:val="00991E6A"/>
    <w:rsid w:val="0099432A"/>
    <w:rsid w:val="009A4DF4"/>
    <w:rsid w:val="009B0B2C"/>
    <w:rsid w:val="009B51FF"/>
    <w:rsid w:val="009D34DA"/>
    <w:rsid w:val="009F753B"/>
    <w:rsid w:val="00A02505"/>
    <w:rsid w:val="00A12F1C"/>
    <w:rsid w:val="00A13A00"/>
    <w:rsid w:val="00A14B74"/>
    <w:rsid w:val="00A24D25"/>
    <w:rsid w:val="00A25E70"/>
    <w:rsid w:val="00A31FB6"/>
    <w:rsid w:val="00A33765"/>
    <w:rsid w:val="00A447A4"/>
    <w:rsid w:val="00A47E81"/>
    <w:rsid w:val="00A579CC"/>
    <w:rsid w:val="00A63269"/>
    <w:rsid w:val="00A72344"/>
    <w:rsid w:val="00A73E28"/>
    <w:rsid w:val="00A750AB"/>
    <w:rsid w:val="00A922C7"/>
    <w:rsid w:val="00A92377"/>
    <w:rsid w:val="00AA12D8"/>
    <w:rsid w:val="00AB29ED"/>
    <w:rsid w:val="00AB3724"/>
    <w:rsid w:val="00AB5E8D"/>
    <w:rsid w:val="00AC73BC"/>
    <w:rsid w:val="00AD0C74"/>
    <w:rsid w:val="00AE4BD8"/>
    <w:rsid w:val="00AF0F64"/>
    <w:rsid w:val="00AF22C9"/>
    <w:rsid w:val="00B00B40"/>
    <w:rsid w:val="00B02EB2"/>
    <w:rsid w:val="00B2182B"/>
    <w:rsid w:val="00B23B0B"/>
    <w:rsid w:val="00B37350"/>
    <w:rsid w:val="00B4388F"/>
    <w:rsid w:val="00B56A68"/>
    <w:rsid w:val="00B63237"/>
    <w:rsid w:val="00B73B94"/>
    <w:rsid w:val="00B7426D"/>
    <w:rsid w:val="00B95D88"/>
    <w:rsid w:val="00B96B81"/>
    <w:rsid w:val="00BA11D8"/>
    <w:rsid w:val="00BA2B7E"/>
    <w:rsid w:val="00BB1ED5"/>
    <w:rsid w:val="00BE1767"/>
    <w:rsid w:val="00BE2244"/>
    <w:rsid w:val="00BF2A5F"/>
    <w:rsid w:val="00C0296B"/>
    <w:rsid w:val="00C13D21"/>
    <w:rsid w:val="00C53469"/>
    <w:rsid w:val="00C622BA"/>
    <w:rsid w:val="00C81352"/>
    <w:rsid w:val="00C960DC"/>
    <w:rsid w:val="00C97629"/>
    <w:rsid w:val="00CB6568"/>
    <w:rsid w:val="00CB7F37"/>
    <w:rsid w:val="00CE3864"/>
    <w:rsid w:val="00CF1BC7"/>
    <w:rsid w:val="00CF1F3B"/>
    <w:rsid w:val="00CF4A75"/>
    <w:rsid w:val="00D02C75"/>
    <w:rsid w:val="00D10E22"/>
    <w:rsid w:val="00D11657"/>
    <w:rsid w:val="00D13D2C"/>
    <w:rsid w:val="00D2150A"/>
    <w:rsid w:val="00D22667"/>
    <w:rsid w:val="00D30242"/>
    <w:rsid w:val="00D35999"/>
    <w:rsid w:val="00D774C2"/>
    <w:rsid w:val="00D972DE"/>
    <w:rsid w:val="00DA064C"/>
    <w:rsid w:val="00DA2933"/>
    <w:rsid w:val="00DC2F94"/>
    <w:rsid w:val="00DC7F0E"/>
    <w:rsid w:val="00DD3D9E"/>
    <w:rsid w:val="00DD7908"/>
    <w:rsid w:val="00DE69DA"/>
    <w:rsid w:val="00DF751F"/>
    <w:rsid w:val="00E1483F"/>
    <w:rsid w:val="00E23D14"/>
    <w:rsid w:val="00E24405"/>
    <w:rsid w:val="00E26232"/>
    <w:rsid w:val="00E3432E"/>
    <w:rsid w:val="00E40D19"/>
    <w:rsid w:val="00E42688"/>
    <w:rsid w:val="00E45A25"/>
    <w:rsid w:val="00E51A88"/>
    <w:rsid w:val="00E55287"/>
    <w:rsid w:val="00E6014E"/>
    <w:rsid w:val="00E609EE"/>
    <w:rsid w:val="00E7643D"/>
    <w:rsid w:val="00E82297"/>
    <w:rsid w:val="00EA351E"/>
    <w:rsid w:val="00EA5B00"/>
    <w:rsid w:val="00EB25DE"/>
    <w:rsid w:val="00EB3200"/>
    <w:rsid w:val="00ED34AC"/>
    <w:rsid w:val="00EE4562"/>
    <w:rsid w:val="00EF39FD"/>
    <w:rsid w:val="00F00890"/>
    <w:rsid w:val="00F06842"/>
    <w:rsid w:val="00F107FD"/>
    <w:rsid w:val="00F16565"/>
    <w:rsid w:val="00F21C1C"/>
    <w:rsid w:val="00F24567"/>
    <w:rsid w:val="00F77B0B"/>
    <w:rsid w:val="00F83F8A"/>
    <w:rsid w:val="00F92B9B"/>
    <w:rsid w:val="00F92CA5"/>
    <w:rsid w:val="00FA22BE"/>
    <w:rsid w:val="00FB64A8"/>
    <w:rsid w:val="00FB655C"/>
    <w:rsid w:val="00FC2077"/>
    <w:rsid w:val="00FC3833"/>
    <w:rsid w:val="00FC5D4B"/>
    <w:rsid w:val="00FD183C"/>
    <w:rsid w:val="00FE1A61"/>
    <w:rsid w:val="00FF1E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4DE67F"/>
  <w15:docId w15:val="{B89D3AFA-8814-4AAB-A339-741809258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0184"/>
    <w:rPr>
      <w:lang w:val="en-US" w:eastAsia="en-US"/>
    </w:rPr>
  </w:style>
  <w:style w:type="paragraph" w:styleId="Heading3">
    <w:name w:val="heading 3"/>
    <w:basedOn w:val="Normal"/>
    <w:next w:val="Normal"/>
    <w:qFormat/>
    <w:rsid w:val="008B0184"/>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Els-caption"/>
    <w:next w:val="Els-caption"/>
    <w:qFormat/>
    <w:rsid w:val="008B0184"/>
  </w:style>
  <w:style w:type="paragraph" w:customStyle="1" w:styleId="Els-caption">
    <w:name w:val="Els-caption"/>
    <w:rsid w:val="008B0184"/>
    <w:pPr>
      <w:keepLines/>
      <w:spacing w:before="100" w:after="120"/>
    </w:pPr>
    <w:rPr>
      <w:sz w:val="18"/>
      <w:lang w:val="en-US" w:eastAsia="en-US"/>
    </w:rPr>
  </w:style>
  <w:style w:type="paragraph" w:customStyle="1" w:styleId="Els-1storder-head">
    <w:name w:val="Els-1storder-head"/>
    <w:basedOn w:val="Els-body-text"/>
    <w:next w:val="Els-body-text"/>
    <w:rsid w:val="008B0184"/>
    <w:pPr>
      <w:keepNext/>
      <w:numPr>
        <w:ilvl w:val="1"/>
        <w:numId w:val="17"/>
      </w:numPr>
      <w:suppressAutoHyphens/>
      <w:spacing w:before="240" w:after="60" w:line="240" w:lineRule="exact"/>
    </w:pPr>
    <w:rPr>
      <w:b/>
      <w:sz w:val="22"/>
    </w:rPr>
  </w:style>
  <w:style w:type="paragraph" w:customStyle="1" w:styleId="Els-body-text">
    <w:name w:val="Els-body-text"/>
    <w:rsid w:val="008B0184"/>
    <w:pPr>
      <w:jc w:val="both"/>
    </w:pPr>
    <w:rPr>
      <w:lang w:val="en-US" w:eastAsia="en-US"/>
    </w:rPr>
  </w:style>
  <w:style w:type="paragraph" w:customStyle="1" w:styleId="Els-2ndorder-head">
    <w:name w:val="Els-2ndorder-head"/>
    <w:basedOn w:val="Els-body-text"/>
    <w:next w:val="Els-body-text"/>
    <w:rsid w:val="008B0184"/>
    <w:pPr>
      <w:keepNext/>
      <w:numPr>
        <w:ilvl w:val="2"/>
        <w:numId w:val="17"/>
      </w:numPr>
      <w:suppressAutoHyphens/>
      <w:spacing w:before="80"/>
    </w:pPr>
    <w:rPr>
      <w:i/>
    </w:rPr>
  </w:style>
  <w:style w:type="paragraph" w:customStyle="1" w:styleId="Els-3rdorder-head">
    <w:name w:val="Els-3rdorder-head"/>
    <w:basedOn w:val="Els-body-text"/>
    <w:next w:val="Els-body-text"/>
    <w:rsid w:val="008B0184"/>
    <w:pPr>
      <w:keepNext/>
      <w:numPr>
        <w:ilvl w:val="3"/>
        <w:numId w:val="17"/>
      </w:numPr>
      <w:suppressAutoHyphens/>
      <w:spacing w:before="60"/>
    </w:pPr>
    <w:rPr>
      <w:i/>
    </w:rPr>
  </w:style>
  <w:style w:type="paragraph" w:customStyle="1" w:styleId="Els-Affiliation">
    <w:name w:val="Els-Affiliation"/>
    <w:rsid w:val="008B0184"/>
    <w:pPr>
      <w:suppressAutoHyphens/>
      <w:spacing w:line="240" w:lineRule="exact"/>
    </w:pPr>
    <w:rPr>
      <w:i/>
      <w:noProof/>
      <w:lang w:eastAsia="en-US"/>
    </w:rPr>
  </w:style>
  <w:style w:type="paragraph" w:customStyle="1" w:styleId="Els-Author">
    <w:name w:val="Els-Author"/>
    <w:next w:val="Els-Affiliation"/>
    <w:rsid w:val="008B0184"/>
    <w:pPr>
      <w:keepNext/>
      <w:suppressAutoHyphens/>
      <w:spacing w:after="60" w:line="310" w:lineRule="exact"/>
    </w:pPr>
    <w:rPr>
      <w:noProof/>
      <w:sz w:val="22"/>
      <w:lang w:eastAsia="en-US"/>
    </w:rPr>
  </w:style>
  <w:style w:type="paragraph" w:customStyle="1" w:styleId="Els-bulletlist">
    <w:name w:val="Els-bulletlist"/>
    <w:basedOn w:val="Els-body-text"/>
    <w:rsid w:val="008B0184"/>
    <w:pPr>
      <w:tabs>
        <w:tab w:val="left" w:pos="240"/>
        <w:tab w:val="num" w:pos="360"/>
      </w:tabs>
      <w:ind w:left="240" w:hanging="240"/>
      <w:jc w:val="left"/>
    </w:pPr>
  </w:style>
  <w:style w:type="paragraph" w:customStyle="1" w:styleId="Els-chem-equation">
    <w:name w:val="Els-chem-equation"/>
    <w:basedOn w:val="Els-body-text"/>
    <w:next w:val="Els-body-text"/>
    <w:rsid w:val="008B0184"/>
    <w:pPr>
      <w:tabs>
        <w:tab w:val="right" w:pos="7088"/>
      </w:tabs>
      <w:spacing w:before="120" w:after="120"/>
    </w:pPr>
    <w:rPr>
      <w:noProof/>
      <w:lang w:val="en-GB"/>
    </w:rPr>
  </w:style>
  <w:style w:type="paragraph" w:customStyle="1" w:styleId="Els-equation">
    <w:name w:val="Els-equation"/>
    <w:basedOn w:val="Els-body-text"/>
    <w:next w:val="Els-body-text"/>
    <w:rsid w:val="008B0184"/>
    <w:pPr>
      <w:tabs>
        <w:tab w:val="right" w:pos="7088"/>
      </w:tabs>
      <w:spacing w:before="120" w:after="120"/>
    </w:pPr>
    <w:rPr>
      <w:i/>
      <w:noProof/>
      <w:lang w:val="en-GB"/>
    </w:rPr>
  </w:style>
  <w:style w:type="paragraph" w:customStyle="1" w:styleId="Els-footnote">
    <w:name w:val="Els-footnote"/>
    <w:rsid w:val="008B0184"/>
    <w:pPr>
      <w:keepLines/>
      <w:widowControl w:val="0"/>
      <w:ind w:left="120" w:hanging="120"/>
    </w:pPr>
    <w:rPr>
      <w:sz w:val="18"/>
      <w:lang w:val="en-US" w:eastAsia="en-US"/>
    </w:rPr>
  </w:style>
  <w:style w:type="paragraph" w:customStyle="1" w:styleId="Els-numlist">
    <w:name w:val="Els-numlist"/>
    <w:basedOn w:val="Els-body-text"/>
    <w:rsid w:val="008B0184"/>
    <w:pPr>
      <w:tabs>
        <w:tab w:val="left" w:pos="240"/>
        <w:tab w:val="num" w:pos="360"/>
      </w:tabs>
      <w:ind w:left="240" w:hanging="240"/>
      <w:jc w:val="left"/>
    </w:pPr>
  </w:style>
  <w:style w:type="paragraph" w:customStyle="1" w:styleId="Els-reference">
    <w:name w:val="Els-reference"/>
    <w:rsid w:val="008B0184"/>
    <w:pPr>
      <w:numPr>
        <w:numId w:val="15"/>
      </w:numPr>
      <w:ind w:left="482"/>
    </w:pPr>
    <w:rPr>
      <w:noProof/>
      <w:sz w:val="18"/>
      <w:lang w:eastAsia="en-US"/>
    </w:rPr>
  </w:style>
  <w:style w:type="paragraph" w:customStyle="1" w:styleId="Els-reference-head">
    <w:name w:val="Els-reference-head"/>
    <w:basedOn w:val="Els-body-text"/>
    <w:next w:val="Els-referenceno-number"/>
    <w:rsid w:val="008B0184"/>
    <w:pPr>
      <w:keepNext/>
      <w:spacing w:before="240" w:after="60"/>
    </w:pPr>
    <w:rPr>
      <w:b/>
      <w:sz w:val="22"/>
      <w:szCs w:val="22"/>
    </w:rPr>
  </w:style>
  <w:style w:type="paragraph" w:customStyle="1" w:styleId="Els-table-text">
    <w:name w:val="Els-table-text"/>
    <w:rsid w:val="008B0184"/>
    <w:pPr>
      <w:keepNext/>
      <w:spacing w:after="80" w:line="240" w:lineRule="exact"/>
    </w:pPr>
    <w:rPr>
      <w:sz w:val="18"/>
      <w:lang w:val="en-US" w:eastAsia="en-US"/>
    </w:rPr>
  </w:style>
  <w:style w:type="paragraph" w:customStyle="1" w:styleId="Els-Title">
    <w:name w:val="Els-Title"/>
    <w:next w:val="Els-Author"/>
    <w:rsid w:val="008B0184"/>
    <w:pPr>
      <w:suppressAutoHyphens/>
      <w:spacing w:before="240" w:after="120" w:line="360" w:lineRule="exact"/>
    </w:pPr>
    <w:rPr>
      <w:b/>
      <w:sz w:val="32"/>
      <w:lang w:val="en-US" w:eastAsia="en-US"/>
    </w:rPr>
  </w:style>
  <w:style w:type="character" w:styleId="EndnoteReference">
    <w:name w:val="endnote reference"/>
    <w:basedOn w:val="DefaultParagraphFont"/>
    <w:semiHidden/>
    <w:rsid w:val="008B0184"/>
    <w:rPr>
      <w:vertAlign w:val="superscript"/>
    </w:rPr>
  </w:style>
  <w:style w:type="paragraph" w:styleId="Header">
    <w:name w:val="header"/>
    <w:rsid w:val="008B0184"/>
    <w:pPr>
      <w:tabs>
        <w:tab w:val="center" w:pos="3600"/>
        <w:tab w:val="right" w:pos="7200"/>
      </w:tabs>
      <w:spacing w:line="200" w:lineRule="atLeast"/>
    </w:pPr>
    <w:rPr>
      <w:noProof/>
      <w:lang w:eastAsia="en-US"/>
    </w:rPr>
  </w:style>
  <w:style w:type="paragraph" w:styleId="Footer">
    <w:name w:val="footer"/>
    <w:basedOn w:val="Header"/>
    <w:rsid w:val="008B0184"/>
  </w:style>
  <w:style w:type="character" w:styleId="FootnoteReference">
    <w:name w:val="footnote reference"/>
    <w:semiHidden/>
    <w:rsid w:val="008B0184"/>
    <w:rPr>
      <w:vertAlign w:val="superscript"/>
    </w:rPr>
  </w:style>
  <w:style w:type="paragraph" w:styleId="FootnoteText">
    <w:name w:val="footnote text"/>
    <w:basedOn w:val="Normal"/>
    <w:semiHidden/>
    <w:rsid w:val="008B0184"/>
    <w:rPr>
      <w:rFonts w:ascii="Univers" w:hAnsi="Univers"/>
    </w:rPr>
  </w:style>
  <w:style w:type="character" w:styleId="Hyperlink">
    <w:name w:val="Hyperlink"/>
    <w:basedOn w:val="DefaultParagraphFont"/>
    <w:rsid w:val="008B0184"/>
    <w:rPr>
      <w:color w:val="0000FF"/>
      <w:u w:val="single"/>
    </w:rPr>
  </w:style>
  <w:style w:type="character" w:customStyle="1" w:styleId="MTEquationSection">
    <w:name w:val="MTEquationSection"/>
    <w:basedOn w:val="DefaultParagraphFont"/>
    <w:rsid w:val="008B0184"/>
    <w:rPr>
      <w:vanish/>
      <w:color w:val="FF0000"/>
    </w:rPr>
  </w:style>
  <w:style w:type="character" w:styleId="PageNumber">
    <w:name w:val="page number"/>
    <w:basedOn w:val="DefaultParagraphFont"/>
    <w:rsid w:val="008B0184"/>
    <w:rPr>
      <w:sz w:val="20"/>
      <w:szCs w:val="20"/>
    </w:rPr>
  </w:style>
  <w:style w:type="paragraph" w:customStyle="1" w:styleId="Els-Chapterno">
    <w:name w:val="Els-Chapter no"/>
    <w:rsid w:val="008B0184"/>
    <w:pPr>
      <w:numPr>
        <w:numId w:val="17"/>
      </w:numPr>
      <w:spacing w:before="907" w:line="260" w:lineRule="exact"/>
    </w:pPr>
    <w:rPr>
      <w:sz w:val="24"/>
      <w:szCs w:val="24"/>
      <w:lang w:val="en-US" w:eastAsia="en-US"/>
    </w:rPr>
  </w:style>
  <w:style w:type="paragraph" w:customStyle="1" w:styleId="Els-referenceno-number">
    <w:name w:val="Els-reference no-number"/>
    <w:basedOn w:val="Els-reference"/>
    <w:rsid w:val="008B0184"/>
    <w:pPr>
      <w:numPr>
        <w:numId w:val="0"/>
      </w:numPr>
      <w:ind w:left="240" w:hanging="240"/>
    </w:pPr>
  </w:style>
  <w:style w:type="character" w:customStyle="1" w:styleId="Els-captionChar">
    <w:name w:val="Els-caption Char"/>
    <w:basedOn w:val="DefaultParagraphFont"/>
    <w:rsid w:val="008B0184"/>
    <w:rPr>
      <w:sz w:val="18"/>
      <w:lang w:val="en-US" w:eastAsia="en-US" w:bidi="ar-SA"/>
    </w:rPr>
  </w:style>
  <w:style w:type="character" w:styleId="CommentReference">
    <w:name w:val="annotation reference"/>
    <w:basedOn w:val="DefaultParagraphFont"/>
    <w:semiHidden/>
    <w:rsid w:val="008B0184"/>
    <w:rPr>
      <w:sz w:val="16"/>
      <w:szCs w:val="16"/>
    </w:rPr>
  </w:style>
  <w:style w:type="paragraph" w:styleId="CommentText">
    <w:name w:val="annotation text"/>
    <w:basedOn w:val="Normal"/>
    <w:semiHidden/>
    <w:rsid w:val="008B0184"/>
  </w:style>
  <w:style w:type="paragraph" w:styleId="CommentSubject">
    <w:name w:val="annotation subject"/>
    <w:basedOn w:val="CommentText"/>
    <w:next w:val="CommentText"/>
    <w:semiHidden/>
    <w:rsid w:val="008B0184"/>
    <w:rPr>
      <w:b/>
      <w:bCs/>
    </w:rPr>
  </w:style>
  <w:style w:type="paragraph" w:styleId="BalloonText">
    <w:name w:val="Balloon Text"/>
    <w:basedOn w:val="Normal"/>
    <w:semiHidden/>
    <w:rsid w:val="008B0184"/>
    <w:rPr>
      <w:rFonts w:ascii="Tahoma" w:hAnsi="Tahoma" w:cs="Tahoma"/>
      <w:sz w:val="16"/>
      <w:szCs w:val="16"/>
    </w:rPr>
  </w:style>
  <w:style w:type="paragraph" w:customStyle="1" w:styleId="Els-Abstract">
    <w:name w:val="Els-Abstract"/>
    <w:basedOn w:val="Els-1storder-head"/>
    <w:next w:val="Els-body-text"/>
    <w:autoRedefine/>
    <w:rsid w:val="008B0184"/>
    <w:pPr>
      <w:numPr>
        <w:ilvl w:val="0"/>
        <w:numId w:val="0"/>
      </w:numPr>
    </w:pPr>
  </w:style>
  <w:style w:type="character" w:customStyle="1" w:styleId="underline1">
    <w:name w:val="underline1"/>
    <w:basedOn w:val="DefaultParagraphFont"/>
    <w:rsid w:val="00F06842"/>
    <w:rPr>
      <w:u w:val="single"/>
    </w:rPr>
  </w:style>
  <w:style w:type="paragraph" w:customStyle="1" w:styleId="ElsevierBodyTextCentredNospace">
    <w:name w:val="Elsevier Body Text Centred No space"/>
    <w:basedOn w:val="Normal"/>
    <w:qFormat/>
    <w:rsid w:val="00F06842"/>
    <w:pPr>
      <w:jc w:val="center"/>
    </w:pPr>
    <w:rPr>
      <w:bCs/>
      <w:iCs/>
      <w:color w:val="000000" w:themeColor="text1"/>
      <w:sz w:val="22"/>
      <w:szCs w:val="24"/>
    </w:rPr>
  </w:style>
  <w:style w:type="paragraph" w:customStyle="1" w:styleId="FirstParagraph">
    <w:name w:val="First Paragraph"/>
    <w:basedOn w:val="Normal"/>
    <w:rsid w:val="00EA351E"/>
    <w:pPr>
      <w:spacing w:line="240" w:lineRule="atLeast"/>
      <w:jc w:val="both"/>
    </w:pPr>
    <w:rPr>
      <w:rFonts w:ascii="Times" w:eastAsiaTheme="minorEastAsia" w:hAnsi="Times"/>
    </w:rPr>
  </w:style>
  <w:style w:type="paragraph" w:customStyle="1" w:styleId="TableCaption">
    <w:name w:val="Table Caption"/>
    <w:basedOn w:val="Normal"/>
    <w:rsid w:val="00EA351E"/>
    <w:pPr>
      <w:keepNext/>
      <w:spacing w:before="360" w:after="240"/>
      <w:ind w:left="360" w:right="360"/>
      <w:jc w:val="center"/>
    </w:pPr>
    <w:rPr>
      <w:rFonts w:ascii="Times" w:eastAsiaTheme="minorEastAsia" w:hAnsi="Times"/>
      <w:i/>
    </w:rPr>
  </w:style>
  <w:style w:type="paragraph" w:customStyle="1" w:styleId="Equation">
    <w:name w:val="Equation"/>
    <w:basedOn w:val="Normal"/>
    <w:rsid w:val="00EA351E"/>
    <w:pPr>
      <w:tabs>
        <w:tab w:val="center" w:pos="2160"/>
        <w:tab w:val="right" w:pos="4320"/>
      </w:tabs>
      <w:spacing w:before="240" w:after="240" w:line="240" w:lineRule="atLeast"/>
    </w:pPr>
    <w:rPr>
      <w:rFonts w:ascii="Times" w:eastAsiaTheme="minorEastAsia" w:hAnsi="Times"/>
    </w:rPr>
  </w:style>
  <w:style w:type="paragraph" w:customStyle="1" w:styleId="MainHeading">
    <w:name w:val="Main Heading"/>
    <w:basedOn w:val="Normal"/>
    <w:rsid w:val="00EA351E"/>
    <w:pPr>
      <w:keepNext/>
      <w:spacing w:before="360" w:after="120" w:line="240" w:lineRule="atLeast"/>
      <w:jc w:val="both"/>
    </w:pPr>
    <w:rPr>
      <w:rFonts w:ascii="Times" w:eastAsiaTheme="minorEastAsia" w:hAnsi="Times"/>
      <w:b/>
    </w:rPr>
  </w:style>
  <w:style w:type="paragraph" w:customStyle="1" w:styleId="FigureCaption">
    <w:name w:val="Figure Caption"/>
    <w:basedOn w:val="TableCaption"/>
    <w:rsid w:val="00EA351E"/>
    <w:pPr>
      <w:spacing w:before="240"/>
      <w:ind w:left="440" w:right="460"/>
    </w:pPr>
  </w:style>
  <w:style w:type="paragraph" w:customStyle="1" w:styleId="Reference">
    <w:name w:val="Reference"/>
    <w:basedOn w:val="Normal"/>
    <w:rsid w:val="00C53469"/>
    <w:pPr>
      <w:spacing w:line="200" w:lineRule="atLeast"/>
      <w:ind w:left="720" w:hanging="720"/>
      <w:jc w:val="both"/>
    </w:pPr>
    <w:rPr>
      <w:rFonts w:ascii="Times" w:eastAsiaTheme="minorEastAsia" w:hAnsi="Times"/>
      <w:sz w:val="18"/>
    </w:rPr>
  </w:style>
  <w:style w:type="character" w:styleId="PlaceholderText">
    <w:name w:val="Placeholder Text"/>
    <w:basedOn w:val="DefaultParagraphFont"/>
    <w:uiPriority w:val="99"/>
    <w:semiHidden/>
    <w:rsid w:val="00243A07"/>
    <w:rPr>
      <w:color w:val="666666"/>
    </w:rPr>
  </w:style>
  <w:style w:type="paragraph" w:styleId="ListParagraph">
    <w:name w:val="List Paragraph"/>
    <w:basedOn w:val="Normal"/>
    <w:uiPriority w:val="34"/>
    <w:qFormat/>
    <w:rsid w:val="002E5C78"/>
    <w:pPr>
      <w:ind w:left="720"/>
      <w:contextualSpacing/>
    </w:pPr>
  </w:style>
  <w:style w:type="table" w:styleId="TableGrid">
    <w:name w:val="Table Grid"/>
    <w:basedOn w:val="TableNormal"/>
    <w:rsid w:val="00A750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akisk\KOSTAS-10%20July%202017\books\book%20proposals\Computer%20Aided%20Chemical%20Engineering\Instructions\Chap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43E2F4-26EE-44BD-8E75-3C13B71AC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Template>
  <TotalTime>0</TotalTime>
  <Pages>6</Pages>
  <Words>2758</Words>
  <Characters>15721</Characters>
  <Application>Microsoft Office Word</Application>
  <DocSecurity>0</DocSecurity>
  <Lines>131</Lines>
  <Paragraphs>36</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Chapter</vt:lpstr>
      <vt:lpstr>Chapter</vt:lpstr>
    </vt:vector>
  </TitlesOfParts>
  <Company>Elsevier Science</Company>
  <LinksUpToDate>false</LinksUpToDate>
  <CharactersWithSpaces>18443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creator>Kostas</dc:creator>
  <cp:lastModifiedBy>Andrew Allman</cp:lastModifiedBy>
  <cp:revision>2</cp:revision>
  <cp:lastPrinted>2004-12-17T09:20:00Z</cp:lastPrinted>
  <dcterms:created xsi:type="dcterms:W3CDTF">2023-11-30T21:56:00Z</dcterms:created>
  <dcterms:modified xsi:type="dcterms:W3CDTF">2023-11-30T21:56:00Z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2023-10-02T08:38:43Z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d1e5754d-f2d2-4025-b8e5-4cd2943f5f30</vt:lpwstr>
  </property>
  <property fmtid="{D5CDD505-2E9C-101B-9397-08002B2CF9AE}" pid="8" name="MSIP_Label_549ac42a-3eb4-4074-b885-aea26bd6241e_ContentBits">
    <vt:lpwstr>0</vt:lpwstr>
  </property>
  <property fmtid="{D5CDD505-2E9C-101B-9397-08002B2CF9AE}" pid="9" name="GrammarlyDocumentId">
    <vt:lpwstr>1dbdf9704ae63b23c772d0a2d4dc5007e513b2143281315c46e9c661110ba89d</vt:lpwstr>
  </property>
</Properties>
</file>