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tif" ContentType="image/tiff"/>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52280488"/>
    <w:bookmarkStart w:id="1" w:name="_Hlk149748845"/>
    <w:bookmarkEnd w:id="0"/>
    <w:p w14:paraId="144DE67F" w14:textId="4B0A49E0" w:rsidR="00DD3D9E" w:rsidRPr="00B4388F" w:rsidRDefault="00AD0D5F">
      <w:pPr>
        <w:pStyle w:val="Els-Title"/>
        <w:rPr>
          <w:color w:val="000000" w:themeColor="text1"/>
        </w:rPr>
      </w:pPr>
      <w:r>
        <w:rPr>
          <w:bCs/>
          <w:color w:val="000000" w:themeColor="text1"/>
          <w:lang w:val="en-GB"/>
        </w:rPr>
        <w:fldChar w:fldCharType="begin"/>
      </w:r>
      <w:r>
        <w:rPr>
          <w:bCs/>
          <w:color w:val="000000" w:themeColor="text1"/>
          <w:lang w:val="en-GB"/>
        </w:rPr>
        <w:instrText xml:space="preserve"> MACROBUTTON MTEditEquationSection2 </w:instrText>
      </w:r>
      <w:r w:rsidRPr="00AD0D5F">
        <w:rPr>
          <w:rStyle w:val="MTEquationSection"/>
        </w:rPr>
        <w:instrText>Equation Chapter 1 Section 1</w:instrText>
      </w:r>
      <w:r>
        <w:rPr>
          <w:bCs/>
          <w:color w:val="000000" w:themeColor="text1"/>
          <w:lang w:val="en-GB"/>
        </w:rPr>
        <w:fldChar w:fldCharType="begin"/>
      </w:r>
      <w:r>
        <w:rPr>
          <w:bCs/>
          <w:color w:val="000000" w:themeColor="text1"/>
          <w:lang w:val="en-GB"/>
        </w:rPr>
        <w:instrText xml:space="preserve"> SEQ MTEqn \r \h \* MERGEFORMAT </w:instrText>
      </w:r>
      <w:r>
        <w:rPr>
          <w:bCs/>
          <w:color w:val="000000" w:themeColor="text1"/>
          <w:lang w:val="en-GB"/>
        </w:rPr>
        <w:fldChar w:fldCharType="end"/>
      </w:r>
      <w:r>
        <w:rPr>
          <w:bCs/>
          <w:color w:val="000000" w:themeColor="text1"/>
          <w:lang w:val="en-GB"/>
        </w:rPr>
        <w:fldChar w:fldCharType="begin"/>
      </w:r>
      <w:r>
        <w:rPr>
          <w:bCs/>
          <w:color w:val="000000" w:themeColor="text1"/>
          <w:lang w:val="en-GB"/>
        </w:rPr>
        <w:instrText xml:space="preserve"> SEQ MTSec \r 1 \h \* MERGEFORMAT </w:instrText>
      </w:r>
      <w:r>
        <w:rPr>
          <w:bCs/>
          <w:color w:val="000000" w:themeColor="text1"/>
          <w:lang w:val="en-GB"/>
        </w:rPr>
        <w:fldChar w:fldCharType="end"/>
      </w:r>
      <w:r>
        <w:rPr>
          <w:bCs/>
          <w:color w:val="000000" w:themeColor="text1"/>
          <w:lang w:val="en-GB"/>
        </w:rPr>
        <w:fldChar w:fldCharType="begin"/>
      </w:r>
      <w:r>
        <w:rPr>
          <w:bCs/>
          <w:color w:val="000000" w:themeColor="text1"/>
          <w:lang w:val="en-GB"/>
        </w:rPr>
        <w:instrText xml:space="preserve"> SEQ MTChap \r 1 \h \* MERGEFORMAT </w:instrText>
      </w:r>
      <w:r>
        <w:rPr>
          <w:bCs/>
          <w:color w:val="000000" w:themeColor="text1"/>
          <w:lang w:val="en-GB"/>
        </w:rPr>
        <w:fldChar w:fldCharType="end"/>
      </w:r>
      <w:r>
        <w:rPr>
          <w:bCs/>
          <w:color w:val="000000" w:themeColor="text1"/>
          <w:lang w:val="en-GB"/>
        </w:rPr>
        <w:fldChar w:fldCharType="end"/>
      </w:r>
      <w:r w:rsidR="001A6495">
        <w:rPr>
          <w:bCs/>
          <w:color w:val="000000" w:themeColor="text1"/>
          <w:lang w:val="en-GB"/>
        </w:rPr>
        <w:t>S</w:t>
      </w:r>
      <w:r w:rsidR="001A6495" w:rsidRPr="001A6495">
        <w:rPr>
          <w:bCs/>
          <w:color w:val="000000" w:themeColor="text1"/>
          <w:lang w:val="en-GB"/>
        </w:rPr>
        <w:t xml:space="preserve">uperstructure-based </w:t>
      </w:r>
      <w:r w:rsidR="001A6495">
        <w:rPr>
          <w:bCs/>
          <w:color w:val="000000" w:themeColor="text1"/>
          <w:lang w:val="en-GB"/>
        </w:rPr>
        <w:t>O</w:t>
      </w:r>
      <w:r w:rsidR="001A6495" w:rsidRPr="001A6495">
        <w:rPr>
          <w:bCs/>
          <w:color w:val="000000" w:themeColor="text1"/>
          <w:lang w:val="en-GB"/>
        </w:rPr>
        <w:t xml:space="preserve">ptimization for </w:t>
      </w:r>
      <w:r w:rsidR="001A6495">
        <w:rPr>
          <w:bCs/>
          <w:color w:val="000000" w:themeColor="text1"/>
          <w:lang w:val="en-GB"/>
        </w:rPr>
        <w:t>A</w:t>
      </w:r>
      <w:r w:rsidR="001A6495" w:rsidRPr="001A6495">
        <w:rPr>
          <w:bCs/>
          <w:color w:val="000000" w:themeColor="text1"/>
          <w:lang w:val="en-GB"/>
        </w:rPr>
        <w:t xml:space="preserve">ssessing </w:t>
      </w:r>
      <w:proofErr w:type="spellStart"/>
      <w:r w:rsidR="001A6495">
        <w:rPr>
          <w:bCs/>
          <w:color w:val="000000" w:themeColor="text1"/>
          <w:lang w:val="en-GB"/>
        </w:rPr>
        <w:t>D</w:t>
      </w:r>
      <w:r w:rsidR="001A6495" w:rsidRPr="001A6495">
        <w:rPr>
          <w:bCs/>
          <w:color w:val="000000" w:themeColor="text1"/>
          <w:lang w:val="en-GB"/>
        </w:rPr>
        <w:t>efossilization</w:t>
      </w:r>
      <w:proofErr w:type="spellEnd"/>
      <w:r w:rsidR="001A6495" w:rsidRPr="001A6495">
        <w:rPr>
          <w:bCs/>
          <w:color w:val="000000" w:themeColor="text1"/>
          <w:lang w:val="en-GB"/>
        </w:rPr>
        <w:t xml:space="preserve"> </w:t>
      </w:r>
      <w:r w:rsidR="001A6495">
        <w:rPr>
          <w:bCs/>
          <w:color w:val="000000" w:themeColor="text1"/>
          <w:lang w:val="en-GB"/>
        </w:rPr>
        <w:t>P</w:t>
      </w:r>
      <w:r w:rsidR="001A6495" w:rsidRPr="001A6495">
        <w:rPr>
          <w:bCs/>
          <w:color w:val="000000" w:themeColor="text1"/>
          <w:lang w:val="en-GB"/>
        </w:rPr>
        <w:t xml:space="preserve">athways in </w:t>
      </w:r>
      <w:r w:rsidR="001A6495">
        <w:rPr>
          <w:bCs/>
          <w:color w:val="000000" w:themeColor="text1"/>
          <w:lang w:val="en-GB"/>
        </w:rPr>
        <w:t>P</w:t>
      </w:r>
      <w:r w:rsidR="001A6495" w:rsidRPr="001A6495">
        <w:rPr>
          <w:bCs/>
          <w:color w:val="000000" w:themeColor="text1"/>
          <w:lang w:val="en-GB"/>
        </w:rPr>
        <w:t xml:space="preserve">etrochemical </w:t>
      </w:r>
      <w:r w:rsidR="001A6495">
        <w:rPr>
          <w:bCs/>
          <w:color w:val="000000" w:themeColor="text1"/>
          <w:lang w:val="en-GB"/>
        </w:rPr>
        <w:t>C</w:t>
      </w:r>
      <w:r w:rsidR="001A6495" w:rsidRPr="001A6495">
        <w:rPr>
          <w:bCs/>
          <w:color w:val="000000" w:themeColor="text1"/>
          <w:lang w:val="en-GB"/>
        </w:rPr>
        <w:t>lusters</w:t>
      </w:r>
      <w:r w:rsidR="001A6495" w:rsidRPr="001A6495">
        <w:rPr>
          <w:color w:val="000000" w:themeColor="text1"/>
          <w:lang w:val="en-GB"/>
        </w:rPr>
        <w:t xml:space="preserve"> </w:t>
      </w:r>
    </w:p>
    <w:bookmarkEnd w:id="1"/>
    <w:p w14:paraId="144DE680" w14:textId="7BAF69C8" w:rsidR="00DD3D9E" w:rsidRDefault="00D2016A">
      <w:pPr>
        <w:pStyle w:val="Els-Author"/>
      </w:pPr>
      <w:r w:rsidRPr="00D2016A">
        <w:t>Michael Tan,</w:t>
      </w:r>
      <w:r w:rsidRPr="00D2016A">
        <w:rPr>
          <w:szCs w:val="22"/>
          <w:vertAlign w:val="superscript"/>
          <w:lang w:val="es-MX"/>
        </w:rPr>
        <w:t xml:space="preserve"> </w:t>
      </w:r>
      <w:r>
        <w:rPr>
          <w:szCs w:val="22"/>
          <w:vertAlign w:val="superscript"/>
          <w:lang w:val="es-MX"/>
        </w:rPr>
        <w:t>a*</w:t>
      </w:r>
      <w:r w:rsidRPr="00D2016A">
        <w:t xml:space="preserve"> Paola Ibarra-Gonz</w:t>
      </w:r>
      <w:bookmarkStart w:id="2" w:name="_Hlk149748371"/>
      <w:r w:rsidR="00D82FA1" w:rsidRPr="009F1EC0">
        <w:rPr>
          <w:lang w:val="es-MX"/>
        </w:rPr>
        <w:t>á</w:t>
      </w:r>
      <w:bookmarkEnd w:id="2"/>
      <w:r w:rsidRPr="00D2016A">
        <w:t>lez,</w:t>
      </w:r>
      <w:r w:rsidRPr="00D2016A">
        <w:rPr>
          <w:szCs w:val="22"/>
          <w:vertAlign w:val="superscript"/>
          <w:lang w:val="es-MX"/>
        </w:rPr>
        <w:t xml:space="preserve"> </w:t>
      </w:r>
      <w:r>
        <w:rPr>
          <w:szCs w:val="22"/>
          <w:vertAlign w:val="superscript"/>
          <w:lang w:val="es-MX"/>
        </w:rPr>
        <w:t>a</w:t>
      </w:r>
      <w:r w:rsidRPr="00D2016A">
        <w:t xml:space="preserve"> Igor Nikolic,</w:t>
      </w:r>
      <w:r w:rsidRPr="00D2016A">
        <w:rPr>
          <w:szCs w:val="22"/>
          <w:vertAlign w:val="superscript"/>
          <w:lang w:val="es-MX"/>
        </w:rPr>
        <w:t xml:space="preserve"> </w:t>
      </w:r>
      <w:r>
        <w:rPr>
          <w:szCs w:val="22"/>
          <w:vertAlign w:val="superscript"/>
          <w:lang w:val="es-MX"/>
        </w:rPr>
        <w:t>b</w:t>
      </w:r>
      <w:r w:rsidRPr="00D2016A">
        <w:t xml:space="preserve"> Andrea </w:t>
      </w:r>
      <w:r w:rsidR="00D82FA1" w:rsidRPr="009F1EC0">
        <w:rPr>
          <w:lang w:val="es-MX"/>
        </w:rPr>
        <w:t>Ramírez</w:t>
      </w:r>
      <w:r w:rsidR="00D82FA1">
        <w:rPr>
          <w:lang w:val="es-MX"/>
        </w:rPr>
        <w:t xml:space="preserve"> </w:t>
      </w:r>
      <w:r w:rsidR="00D82FA1" w:rsidRPr="009F1EC0">
        <w:rPr>
          <w:lang w:val="es-MX"/>
        </w:rPr>
        <w:t>Ramírez</w:t>
      </w:r>
      <w:r w:rsidR="00D82FA1" w:rsidRPr="00D2016A">
        <w:t xml:space="preserve"> </w:t>
      </w:r>
      <w:r>
        <w:rPr>
          <w:szCs w:val="22"/>
          <w:vertAlign w:val="superscript"/>
          <w:lang w:val="es-MX"/>
        </w:rPr>
        <w:t>c</w:t>
      </w:r>
      <w:r w:rsidRPr="00D2016A">
        <w:t xml:space="preserve">  </w:t>
      </w:r>
    </w:p>
    <w:p w14:paraId="0F59B01D" w14:textId="77777777" w:rsidR="003A5C06" w:rsidRDefault="00D82FA1">
      <w:pPr>
        <w:pStyle w:val="Els-Affiliation"/>
      </w:pPr>
      <w:r>
        <w:rPr>
          <w:szCs w:val="22"/>
          <w:vertAlign w:val="superscript"/>
          <w:lang w:val="es-MX"/>
        </w:rPr>
        <w:t>a</w:t>
      </w:r>
      <w:r w:rsidRPr="00FC7B9E">
        <w:t>Department of Engineering Systems and Services, Faculty of Technology, Policy and Management, Delft University of Technology, Jaffalaan 5, 2628BX Delft,</w:t>
      </w:r>
      <w:r w:rsidR="003A5C06">
        <w:t xml:space="preserve"> the</w:t>
      </w:r>
      <w:r w:rsidRPr="00FC7B9E">
        <w:t xml:space="preserve"> Netherlands</w:t>
      </w:r>
    </w:p>
    <w:p w14:paraId="144DE681" w14:textId="6C04CDD7" w:rsidR="00DD3D9E" w:rsidRDefault="00D82FA1">
      <w:pPr>
        <w:pStyle w:val="Els-Affiliation"/>
      </w:pPr>
      <w:r>
        <w:rPr>
          <w:szCs w:val="22"/>
          <w:vertAlign w:val="superscript"/>
          <w:lang w:val="es-MX"/>
        </w:rPr>
        <w:t xml:space="preserve"> </w:t>
      </w:r>
      <w:r w:rsidRPr="00003F21">
        <w:rPr>
          <w:vertAlign w:val="superscript"/>
        </w:rPr>
        <w:t>b</w:t>
      </w:r>
      <w:r w:rsidRPr="00FC7B9E">
        <w:t>Department of Multi-Actor Systems, Faculty of Technology, Policy and Management, Delft University of Technology, Jaffalaan 5, 2628BX Delft,</w:t>
      </w:r>
      <w:r w:rsidR="003A5C06">
        <w:t xml:space="preserve"> the</w:t>
      </w:r>
      <w:r w:rsidRPr="00FC7B9E">
        <w:t xml:space="preserve"> Netherlands</w:t>
      </w:r>
    </w:p>
    <w:p w14:paraId="25A8EB1D" w14:textId="77777777" w:rsidR="003A5C06" w:rsidRDefault="00D82FA1" w:rsidP="008D2649">
      <w:pPr>
        <w:pStyle w:val="Els-Affiliation"/>
        <w:spacing w:after="120"/>
      </w:pPr>
      <w:r>
        <w:rPr>
          <w:szCs w:val="22"/>
          <w:vertAlign w:val="superscript"/>
          <w:lang w:val="es-MX"/>
        </w:rPr>
        <w:t>c</w:t>
      </w:r>
      <w:r w:rsidRPr="00D22E38">
        <w:t xml:space="preserve"> </w:t>
      </w:r>
      <w:r>
        <w:t xml:space="preserve">Department of Chemical Engineering, Faculty of Applied Sciences, Delft University of  Technology, Van der Maasweg 9, 2629 HZ Delft, </w:t>
      </w:r>
      <w:r w:rsidR="003A5C06">
        <w:t xml:space="preserve">the </w:t>
      </w:r>
      <w:r>
        <w:t xml:space="preserve">Netherlands </w:t>
      </w:r>
    </w:p>
    <w:p w14:paraId="144DE683" w14:textId="09EA688F" w:rsidR="008D2649" w:rsidRPr="00A94774" w:rsidRDefault="04932629" w:rsidP="008D2649">
      <w:pPr>
        <w:pStyle w:val="Els-Affiliation"/>
        <w:spacing w:after="120"/>
      </w:pPr>
      <w:r>
        <w:t xml:space="preserve">Email corresponding </w:t>
      </w:r>
      <w:r w:rsidR="6E65025C">
        <w:t>author</w:t>
      </w:r>
      <w:r>
        <w:t xml:space="preserve">: </w:t>
      </w:r>
      <w:r w:rsidR="003A5C06">
        <w:t>m.d.tan@tudelft.nl</w:t>
      </w:r>
    </w:p>
    <w:p w14:paraId="33F70140" w14:textId="20B0585B" w:rsidR="007A4D33" w:rsidRPr="002A0E0A" w:rsidRDefault="008D2649" w:rsidP="005A2130">
      <w:pPr>
        <w:pStyle w:val="Els-Abstract"/>
      </w:pPr>
      <w:r>
        <w:t>Abstract</w:t>
      </w:r>
    </w:p>
    <w:p w14:paraId="0F075122" w14:textId="318F6019" w:rsidR="002D108A" w:rsidRPr="00EC03ED" w:rsidRDefault="00907869" w:rsidP="008D2649">
      <w:pPr>
        <w:pStyle w:val="Els-body-text"/>
        <w:spacing w:after="120"/>
        <w:rPr>
          <w:lang w:val="en-GB"/>
        </w:rPr>
      </w:pPr>
      <w:r w:rsidRPr="722CB73E">
        <w:rPr>
          <w:lang w:val="en-GB"/>
        </w:rPr>
        <w:t xml:space="preserve">The petrochemical industry needs to reduce </w:t>
      </w:r>
      <w:r w:rsidR="7C7B1A12" w:rsidRPr="722CB73E">
        <w:rPr>
          <w:lang w:val="en-GB"/>
        </w:rPr>
        <w:t xml:space="preserve">the use </w:t>
      </w:r>
      <w:r w:rsidR="006A3953" w:rsidRPr="722CB73E">
        <w:rPr>
          <w:lang w:val="en-GB"/>
        </w:rPr>
        <w:t>of f</w:t>
      </w:r>
      <w:r w:rsidR="7B892186" w:rsidRPr="722CB73E">
        <w:rPr>
          <w:lang w:val="en-GB"/>
        </w:rPr>
        <w:t>ossil fuel as carbon feedstock</w:t>
      </w:r>
      <w:r w:rsidRPr="722CB73E">
        <w:rPr>
          <w:lang w:val="en-GB"/>
        </w:rPr>
        <w:t xml:space="preserve"> to reduce its CO2 emissions. </w:t>
      </w:r>
      <w:r w:rsidR="00D75E63" w:rsidRPr="722CB73E">
        <w:rPr>
          <w:lang w:val="en-GB"/>
        </w:rPr>
        <w:t>S</w:t>
      </w:r>
      <w:r w:rsidRPr="722CB73E">
        <w:rPr>
          <w:lang w:val="en-GB"/>
        </w:rPr>
        <w:t>everal alternative carbon sources (ACSs)</w:t>
      </w:r>
      <w:r w:rsidR="58281BE6" w:rsidRPr="722CB73E">
        <w:rPr>
          <w:lang w:val="en-GB"/>
        </w:rPr>
        <w:t>, such as biomass, CO2 and plastic waste</w:t>
      </w:r>
      <w:r w:rsidRPr="722CB73E">
        <w:rPr>
          <w:lang w:val="en-GB"/>
        </w:rPr>
        <w:t xml:space="preserve"> are being proposed</w:t>
      </w:r>
      <w:r w:rsidR="00D75E63" w:rsidRPr="722CB73E">
        <w:rPr>
          <w:lang w:val="en-GB"/>
        </w:rPr>
        <w:t xml:space="preserve"> to replace fossil </w:t>
      </w:r>
      <w:r w:rsidR="51C5681C" w:rsidRPr="722CB73E">
        <w:rPr>
          <w:lang w:val="en-GB"/>
        </w:rPr>
        <w:t>carbon</w:t>
      </w:r>
      <w:r w:rsidR="00D75E63" w:rsidRPr="722CB73E">
        <w:rPr>
          <w:lang w:val="en-GB"/>
        </w:rPr>
        <w:t xml:space="preserve">. </w:t>
      </w:r>
      <w:r w:rsidR="006A3953">
        <w:t xml:space="preserve">As each of these ACS process routes has its tradeoffs, it is </w:t>
      </w:r>
      <w:r w:rsidR="001D300A">
        <w:t>essential</w:t>
      </w:r>
      <w:r w:rsidR="006A3953">
        <w:t xml:space="preserve"> to identify the </w:t>
      </w:r>
      <w:proofErr w:type="spellStart"/>
      <w:r w:rsidR="006A3953">
        <w:t>defossilization</w:t>
      </w:r>
      <w:proofErr w:type="spellEnd"/>
      <w:r w:rsidR="006A3953">
        <w:t xml:space="preserve"> pathways that will have the </w:t>
      </w:r>
      <w:r w:rsidR="001D300A">
        <w:t>most significant</w:t>
      </w:r>
      <w:r w:rsidR="006A3953">
        <w:t xml:space="preserve"> impact.</w:t>
      </w:r>
      <w:r w:rsidR="006A3953" w:rsidRPr="722CB73E">
        <w:rPr>
          <w:lang w:val="en-GB"/>
        </w:rPr>
        <w:t xml:space="preserve"> </w:t>
      </w:r>
      <w:r w:rsidR="007A4D33" w:rsidRPr="722CB73E">
        <w:rPr>
          <w:lang w:val="en-GB"/>
        </w:rPr>
        <w:t xml:space="preserve">In this work, a superstructure-based optimization approach </w:t>
      </w:r>
      <w:r w:rsidR="002A0E0A" w:rsidRPr="722CB73E">
        <w:rPr>
          <w:lang w:val="en-GB"/>
        </w:rPr>
        <w:t xml:space="preserve">is presented that can be used to assess </w:t>
      </w:r>
      <w:proofErr w:type="spellStart"/>
      <w:r w:rsidR="002A0E0A" w:rsidRPr="722CB73E">
        <w:rPr>
          <w:lang w:val="en-GB"/>
        </w:rPr>
        <w:t>defossil</w:t>
      </w:r>
      <w:r w:rsidR="004D68B1" w:rsidRPr="722CB73E">
        <w:rPr>
          <w:lang w:val="en-GB"/>
        </w:rPr>
        <w:t>iz</w:t>
      </w:r>
      <w:r w:rsidR="002A0E0A" w:rsidRPr="722CB73E">
        <w:rPr>
          <w:lang w:val="en-GB"/>
        </w:rPr>
        <w:t>ation</w:t>
      </w:r>
      <w:proofErr w:type="spellEnd"/>
      <w:r w:rsidR="002A0E0A" w:rsidRPr="722CB73E">
        <w:rPr>
          <w:lang w:val="en-GB"/>
        </w:rPr>
        <w:t xml:space="preserve"> pathways in </w:t>
      </w:r>
      <w:r w:rsidR="3DE124E3" w:rsidRPr="722CB73E">
        <w:rPr>
          <w:lang w:val="en-GB"/>
        </w:rPr>
        <w:t xml:space="preserve">existing </w:t>
      </w:r>
      <w:r w:rsidR="002A0E0A" w:rsidRPr="722CB73E">
        <w:rPr>
          <w:lang w:val="en-GB"/>
        </w:rPr>
        <w:t>petrochemical clusters</w:t>
      </w:r>
      <w:r w:rsidR="00FC440C" w:rsidRPr="722CB73E">
        <w:rPr>
          <w:lang w:val="en-GB"/>
        </w:rPr>
        <w:t xml:space="preserve">. The small case study shows that </w:t>
      </w:r>
      <w:r w:rsidR="002D108A" w:rsidRPr="722CB73E">
        <w:rPr>
          <w:lang w:val="en-GB"/>
        </w:rPr>
        <w:t>CO</w:t>
      </w:r>
      <w:r w:rsidR="002D108A" w:rsidRPr="722CB73E">
        <w:rPr>
          <w:vertAlign w:val="subscript"/>
          <w:lang w:val="en-GB"/>
        </w:rPr>
        <w:t xml:space="preserve">2 </w:t>
      </w:r>
      <w:r w:rsidR="002D108A" w:rsidRPr="722CB73E">
        <w:rPr>
          <w:lang w:val="en-GB"/>
        </w:rPr>
        <w:t>is a promising ACS to replace fossil fuel as the main carbon source</w:t>
      </w:r>
      <w:r w:rsidR="00A808D0" w:rsidRPr="722CB73E">
        <w:rPr>
          <w:lang w:val="en-GB"/>
        </w:rPr>
        <w:t xml:space="preserve"> but requires a large amount of green hydrogen</w:t>
      </w:r>
      <w:r w:rsidR="00BB4580">
        <w:rPr>
          <w:lang w:val="en-GB"/>
        </w:rPr>
        <w:t xml:space="preserve"> and significant modifications to the existing cluster. </w:t>
      </w:r>
    </w:p>
    <w:p w14:paraId="44CC7A08" w14:textId="7E5F0D2D" w:rsidR="00251E8A" w:rsidRDefault="008D2649" w:rsidP="008D2649">
      <w:pPr>
        <w:pStyle w:val="Els-body-text"/>
        <w:spacing w:after="120"/>
        <w:rPr>
          <w:lang w:val="en-GB"/>
        </w:rPr>
      </w:pPr>
      <w:r w:rsidRPr="722CB73E">
        <w:rPr>
          <w:b/>
          <w:bCs/>
          <w:lang w:val="en-GB"/>
        </w:rPr>
        <w:t>Keywords</w:t>
      </w:r>
      <w:r w:rsidRPr="722CB73E">
        <w:rPr>
          <w:lang w:val="en-GB"/>
        </w:rPr>
        <w:t xml:space="preserve">: </w:t>
      </w:r>
      <w:r w:rsidR="00251E8A" w:rsidRPr="722CB73E">
        <w:rPr>
          <w:lang w:val="en-GB"/>
        </w:rPr>
        <w:t xml:space="preserve">superstructure, optimization, petrochemical clusters, </w:t>
      </w:r>
      <w:r w:rsidR="4CF1F6F9" w:rsidRPr="722CB73E">
        <w:rPr>
          <w:lang w:val="en-GB"/>
        </w:rPr>
        <w:t>carbon</w:t>
      </w:r>
      <w:r w:rsidR="00251E8A" w:rsidRPr="722CB73E">
        <w:rPr>
          <w:lang w:val="en-GB"/>
        </w:rPr>
        <w:t xml:space="preserve"> transition</w:t>
      </w:r>
    </w:p>
    <w:p w14:paraId="144DE689" w14:textId="0F0965E3" w:rsidR="008D2649" w:rsidRDefault="325A5653">
      <w:pPr>
        <w:pStyle w:val="Els-1storder-head"/>
        <w:rPr>
          <w:bCs/>
          <w:szCs w:val="22"/>
        </w:rPr>
      </w:pPr>
      <w:r>
        <w:t>Introduction</w:t>
      </w:r>
    </w:p>
    <w:p w14:paraId="759FF32E" w14:textId="395D8232" w:rsidR="00287665" w:rsidRDefault="00457F69" w:rsidP="722CB73E">
      <w:pPr>
        <w:pStyle w:val="Els-body-text"/>
        <w:spacing w:line="259" w:lineRule="auto"/>
      </w:pPr>
      <w:r>
        <w:t>To reach the CO</w:t>
      </w:r>
      <w:r w:rsidRPr="722CB73E">
        <w:rPr>
          <w:vertAlign w:val="subscript"/>
        </w:rPr>
        <w:t>2</w:t>
      </w:r>
      <w:r>
        <w:t xml:space="preserve"> emissions goals set out by the European Commission, the petrochemical industry will have to </w:t>
      </w:r>
      <w:r w:rsidR="328B2509">
        <w:t xml:space="preserve">drastically </w:t>
      </w:r>
      <w:r>
        <w:t xml:space="preserve">reduce </w:t>
      </w:r>
      <w:r w:rsidR="0033427D">
        <w:t>its</w:t>
      </w:r>
      <w:r>
        <w:t xml:space="preserve"> usage of fossil-based carbon. </w:t>
      </w:r>
      <w:r w:rsidR="794BA255">
        <w:t>With this purpose, a</w:t>
      </w:r>
      <w:r w:rsidR="00E27DE3">
        <w:t>lternative carbon sources (ACSs), such as biomass, CO</w:t>
      </w:r>
      <w:r w:rsidR="00E27DE3" w:rsidRPr="722CB73E">
        <w:rPr>
          <w:vertAlign w:val="subscript"/>
        </w:rPr>
        <w:t>2</w:t>
      </w:r>
      <w:r w:rsidR="00E27DE3">
        <w:t>, and plastic</w:t>
      </w:r>
      <w:r w:rsidR="20C11DF9">
        <w:t xml:space="preserve"> waste</w:t>
      </w:r>
      <w:r w:rsidR="00164A01">
        <w:t>,</w:t>
      </w:r>
      <w:r w:rsidR="00E27DE3">
        <w:t xml:space="preserve"> are being investigated.</w:t>
      </w:r>
      <w:r w:rsidR="00BB00FA">
        <w:t xml:space="preserve"> </w:t>
      </w:r>
      <w:r w:rsidR="006A3953">
        <w:t xml:space="preserve">However, their introduction </w:t>
      </w:r>
      <w:r w:rsidR="6C7DEB05">
        <w:t>to</w:t>
      </w:r>
      <w:r w:rsidR="241C85FF">
        <w:t xml:space="preserve"> existing</w:t>
      </w:r>
      <w:r w:rsidR="006A3953">
        <w:t xml:space="preserve"> petrochemical cluster</w:t>
      </w:r>
      <w:r w:rsidR="78D2EBE9">
        <w:t>s</w:t>
      </w:r>
      <w:r w:rsidR="006A3953">
        <w:t xml:space="preserve"> is </w:t>
      </w:r>
      <w:r w:rsidR="3818CF83">
        <w:t xml:space="preserve">far from </w:t>
      </w:r>
      <w:r w:rsidR="00571C97">
        <w:t>straightforward</w:t>
      </w:r>
      <w:r w:rsidR="7EA20672">
        <w:t xml:space="preserve">, </w:t>
      </w:r>
      <w:r w:rsidR="69269621">
        <w:t>a</w:t>
      </w:r>
      <w:r w:rsidR="006A3953">
        <w:t xml:space="preserve">s it will require the modification </w:t>
      </w:r>
      <w:r w:rsidR="00B13C71">
        <w:t xml:space="preserve">of existing processes or </w:t>
      </w:r>
      <w:r w:rsidR="00B62414">
        <w:t xml:space="preserve">the </w:t>
      </w:r>
      <w:r w:rsidR="5664E115">
        <w:t>deployment</w:t>
      </w:r>
      <w:r w:rsidR="00B13C71">
        <w:t xml:space="preserve"> of </w:t>
      </w:r>
      <w:r w:rsidR="00FC440C">
        <w:t>entirely</w:t>
      </w:r>
      <w:r w:rsidR="00B13C71">
        <w:t xml:space="preserve"> new processes. Thereby</w:t>
      </w:r>
      <w:r w:rsidR="6B64AA3A">
        <w:t>,</w:t>
      </w:r>
      <w:r w:rsidR="00B13C71">
        <w:t xml:space="preserve"> potentially affecting other processes in </w:t>
      </w:r>
      <w:r w:rsidR="12E37B9A">
        <w:t>a</w:t>
      </w:r>
      <w:r w:rsidR="00B13C71">
        <w:t xml:space="preserve"> petrochemical cluster due to the</w:t>
      </w:r>
      <w:r w:rsidR="0C9669C4">
        <w:t xml:space="preserve"> </w:t>
      </w:r>
      <w:r w:rsidR="59C25128">
        <w:t>significant</w:t>
      </w:r>
      <w:r w:rsidR="0C9669C4">
        <w:t xml:space="preserve"> number of </w:t>
      </w:r>
      <w:r w:rsidR="18D78F58">
        <w:t xml:space="preserve">existing </w:t>
      </w:r>
      <w:r w:rsidR="00B13C71">
        <w:t xml:space="preserve">material and energy interconnections. Furthermore, each of these ACS processes </w:t>
      </w:r>
      <w:r w:rsidR="00B62414">
        <w:t>has</w:t>
      </w:r>
      <w:r w:rsidR="00B13C71">
        <w:t xml:space="preserve"> </w:t>
      </w:r>
      <w:r w:rsidR="00BF49D7">
        <w:t>its</w:t>
      </w:r>
      <w:r w:rsidR="00B13C71">
        <w:t xml:space="preserve"> </w:t>
      </w:r>
      <w:r w:rsidR="5356E710">
        <w:t xml:space="preserve">own </w:t>
      </w:r>
      <w:r w:rsidR="00B13C71">
        <w:t xml:space="preserve">tradeoffs and limitations. </w:t>
      </w:r>
      <w:r w:rsidR="009C4935">
        <w:t xml:space="preserve">Therefore, it is vital to identify and assess the </w:t>
      </w:r>
      <w:proofErr w:type="spellStart"/>
      <w:r w:rsidR="009C4935">
        <w:t>defossilization</w:t>
      </w:r>
      <w:proofErr w:type="spellEnd"/>
      <w:r w:rsidR="009C4935">
        <w:t xml:space="preserve"> pathways that </w:t>
      </w:r>
      <w:r w:rsidR="6B4DA5F8">
        <w:t>could</w:t>
      </w:r>
      <w:r w:rsidR="009C4935">
        <w:t xml:space="preserve"> provide the most optimal transformation of petrochemical clusters.</w:t>
      </w:r>
    </w:p>
    <w:p w14:paraId="29C20E22" w14:textId="77777777" w:rsidR="004B1D9F" w:rsidRDefault="004B1D9F" w:rsidP="722CB73E">
      <w:pPr>
        <w:pStyle w:val="Els-body-text"/>
        <w:spacing w:line="259" w:lineRule="auto"/>
      </w:pPr>
    </w:p>
    <w:p w14:paraId="2E817666" w14:textId="2CF1ADEA" w:rsidR="001A76E4" w:rsidRDefault="00BF3249" w:rsidP="008D2649">
      <w:pPr>
        <w:pStyle w:val="Els-body-text"/>
      </w:pPr>
      <w:r>
        <w:t>PSE tools such as superstructure-based optimization have been used for the synthesis and design of new chemical processes</w:t>
      </w:r>
      <w:r w:rsidR="000A2F63">
        <w:t xml:space="preserve">. In this approach, a set of alternative equipment or process options is assessed with respect to an objective function. </w:t>
      </w:r>
      <w:r w:rsidR="34700B34">
        <w:t>T</w:t>
      </w:r>
      <w:r w:rsidR="000A2F63">
        <w:t xml:space="preserve">his approach has been used to design new industrial clusters or optimize the exchange network between processes in existing industrial clusters. </w:t>
      </w:r>
      <w:r>
        <w:fldChar w:fldCharType="begin" w:fldLock="1"/>
      </w:r>
      <w:r>
        <w:instrText>ADDIN CSL_CITATION {"citationItems":[{"id":"ITEM-1","itemData":{"DOI":"10.3389/fenrg.2020.00049","ISSN":"2296598X","abstract":"This research presents a mathematical formulation for optimizing integration of complex industrial systems from the level of unit operations to processes, entire plants, and finally to considering industrial symbiosis opportunities between plants. The framework is constructed using mixed-integer linear programming (MILP) which exhibits rapid conversion and a global optimum with well-defined solution methods. The framework builds upon previous efforts in process integration and considers materials and energy with thermodynamic constraints imposed by formulating the heat cascade within the MILP. The model and method which form the fundamentals of process integration problems are presented, considering exchange restrictions and problem formulation across multiple time-scales to provide flexibility in solving complex design, planning, and operational problems. The work provides the fundamental problem formulation, which has not been previously presented in a comprehensive way, to provide the basis for future work, where many process integration elements can be appended to the formulation. A case study is included to demonstrate the capabilities and results for a simple, fictional, example though the framework and method are broadly applicable across scale, time, and plant complexity.","author":[{"dropping-particle":"","family":"Kantor","given":"Ivan","non-dropping-particle":"","parse-names":false,"suffix":""},{"dropping-particle":"","family":"Robineau","given":"Jean Loup","non-dropping-particle":"","parse-names":false,"suffix":""},{"dropping-particle":"","family":"Bütün","given":"Hür","non-dropping-particle":"","parse-names":false,"suffix":""},{"dropping-particle":"","family":"Maréchal","given":"François","non-dropping-particle":"","parse-names":false,"suffix":""}],"container-title":"Frontiers in Energy Research","id":"ITEM-1","issue":"April","issued":{"date-parts":[["2020"]]},"title":"A Mixed-Integer Linear Programming Formulation for Optimizing Multi-Scale Material and Energy Integration","type":"article-journal","volume":"8"},"uris":["http://www.mendeley.com/documents/?uuid=ac3afb93-56ea-446f-9371-353fd3898e28"]}],"mendeley":{"formattedCitation":"(Kantor et al., 2020)","manualFormatting":"Kantor et al. (2020)","plainTextFormattedCitation":"(Kantor et al., 2020)","previouslyFormattedCitation":"(Kantor et al., 2020)"},"properties":{"noteIndex":0},"schema":"https://github.com/citation-style-language/schema/raw/master/csl-citation.json"}</w:instrText>
      </w:r>
      <w:r>
        <w:fldChar w:fldCharType="separate"/>
      </w:r>
      <w:r w:rsidR="00416EFF" w:rsidRPr="722CB73E">
        <w:rPr>
          <w:noProof/>
        </w:rPr>
        <w:t>Kantor et al. (2020)</w:t>
      </w:r>
      <w:r>
        <w:fldChar w:fldCharType="end"/>
      </w:r>
      <w:r w:rsidR="00416EFF">
        <w:t xml:space="preserve"> </w:t>
      </w:r>
      <w:r w:rsidR="5A8CE206">
        <w:t>developed</w:t>
      </w:r>
      <w:r w:rsidR="00416EFF">
        <w:t xml:space="preserve"> a mixed-integer linear programming model for </w:t>
      </w:r>
      <w:r w:rsidR="00164A01">
        <w:t>integrating</w:t>
      </w:r>
      <w:r w:rsidR="00416EFF">
        <w:t xml:space="preserve"> material and energy in industrial clusters.</w:t>
      </w:r>
      <w:r w:rsidR="007E6D67">
        <w:t xml:space="preserve"> They </w:t>
      </w:r>
      <w:r w:rsidR="007E6D67">
        <w:lastRenderedPageBreak/>
        <w:t>used single objective functions to determine the ideal network configuration.</w:t>
      </w:r>
      <w:r w:rsidR="17FB32FE">
        <w:t xml:space="preserve"> </w:t>
      </w:r>
      <w:r w:rsidR="00365B25">
        <w:t>T</w:t>
      </w:r>
      <w:r w:rsidR="17FB32FE">
        <w:t>he authors</w:t>
      </w:r>
      <w:r w:rsidR="001A76E4">
        <w:t xml:space="preserve"> focuse</w:t>
      </w:r>
      <w:r w:rsidR="4B85CE7F">
        <w:t>d</w:t>
      </w:r>
      <w:r w:rsidR="001A76E4">
        <w:t xml:space="preserve"> on greenfield applications </w:t>
      </w:r>
      <w:r w:rsidR="1931C738">
        <w:t>and</w:t>
      </w:r>
      <w:r w:rsidR="01B92056">
        <w:t>,</w:t>
      </w:r>
      <w:r w:rsidR="1931C738">
        <w:t xml:space="preserve"> therefore</w:t>
      </w:r>
      <w:r w:rsidR="50F5946A">
        <w:t>,</w:t>
      </w:r>
      <w:r w:rsidR="001A76E4">
        <w:t xml:space="preserve"> ignore</w:t>
      </w:r>
      <w:r w:rsidR="50BAE2DF">
        <w:t>d</w:t>
      </w:r>
      <w:r w:rsidR="001A76E4">
        <w:t xml:space="preserve"> the existing </w:t>
      </w:r>
      <w:r w:rsidR="117B9CBF">
        <w:t>inter</w:t>
      </w:r>
      <w:r w:rsidR="001A76E4">
        <w:t xml:space="preserve">connections </w:t>
      </w:r>
      <w:r w:rsidR="00F47000">
        <w:t>that are</w:t>
      </w:r>
      <w:r w:rsidR="001A76E4">
        <w:t xml:space="preserve"> present in </w:t>
      </w:r>
      <w:r w:rsidR="5E5F08BE">
        <w:t>today’s</w:t>
      </w:r>
      <w:r w:rsidR="001A76E4">
        <w:t xml:space="preserve"> petrochemical cluster</w:t>
      </w:r>
      <w:r w:rsidR="4ED1F35C">
        <w:t>s</w:t>
      </w:r>
      <w:r w:rsidR="001A76E4">
        <w:t xml:space="preserve">. </w:t>
      </w:r>
      <w:r w:rsidR="184D0BBB">
        <w:t>However, a</w:t>
      </w:r>
      <w:r w:rsidR="00454C90">
        <w:t xml:space="preserve">s processes in petrochemical </w:t>
      </w:r>
      <w:r w:rsidR="283827D9">
        <w:t xml:space="preserve">clusters </w:t>
      </w:r>
      <w:r w:rsidR="00454C90">
        <w:t>are interconnected by</w:t>
      </w:r>
      <w:r w:rsidR="12E34B58">
        <w:t xml:space="preserve"> many</w:t>
      </w:r>
      <w:r w:rsidR="00454C90">
        <w:t xml:space="preserve"> material and energy </w:t>
      </w:r>
      <w:r w:rsidR="0E6AD1B9">
        <w:t>flows</w:t>
      </w:r>
      <w:r w:rsidR="00454C90">
        <w:t>, altering such connection</w:t>
      </w:r>
      <w:r w:rsidR="3CDFC15D">
        <w:t>s</w:t>
      </w:r>
      <w:r w:rsidR="00454C90">
        <w:t xml:space="preserve"> due</w:t>
      </w:r>
      <w:r w:rsidR="42867D58">
        <w:t xml:space="preserve"> to</w:t>
      </w:r>
      <w:r w:rsidR="00454C90">
        <w:t xml:space="preserve"> </w:t>
      </w:r>
      <w:r w:rsidR="77EE8A0E">
        <w:t>e.g</w:t>
      </w:r>
      <w:r w:rsidR="009E3AA6">
        <w:t>.</w:t>
      </w:r>
      <w:r w:rsidR="77EE8A0E">
        <w:t xml:space="preserve">, replacing processes or flows, </w:t>
      </w:r>
      <w:r w:rsidR="00454C90">
        <w:t xml:space="preserve">can have unforeseen consequences. </w:t>
      </w:r>
      <w:r w:rsidR="000367F7">
        <w:t>This could</w:t>
      </w:r>
      <w:r w:rsidR="00C64E09">
        <w:t>,</w:t>
      </w:r>
      <w:r w:rsidR="000367F7">
        <w:t xml:space="preserve"> for instance</w:t>
      </w:r>
      <w:r w:rsidR="00285AB6">
        <w:t>,</w:t>
      </w:r>
      <w:r w:rsidR="000367F7">
        <w:t xml:space="preserve"> result in</w:t>
      </w:r>
      <w:r w:rsidR="79086BF2">
        <w:t xml:space="preserve"> </w:t>
      </w:r>
      <w:r w:rsidR="70785639">
        <w:t xml:space="preserve">a </w:t>
      </w:r>
      <w:r w:rsidR="79086BF2">
        <w:t>shift of emissions from one process to another or from inside the cluster to emissions outside the cluster boundaries due to increase</w:t>
      </w:r>
      <w:r w:rsidR="13824193">
        <w:t xml:space="preserve">d </w:t>
      </w:r>
      <w:r w:rsidR="79086BF2">
        <w:t>demand on energy or carbon</w:t>
      </w:r>
      <w:r w:rsidR="55E3CEF6">
        <w:t>-</w:t>
      </w:r>
      <w:r w:rsidR="79086BF2">
        <w:t xml:space="preserve">intensive </w:t>
      </w:r>
      <w:r w:rsidR="00285AB6">
        <w:t>material</w:t>
      </w:r>
      <w:r w:rsidR="37AD5124">
        <w:t>s</w:t>
      </w:r>
      <w:r w:rsidR="00285AB6">
        <w:t xml:space="preserve">. </w:t>
      </w:r>
      <w:r w:rsidR="001A76E4">
        <w:t xml:space="preserve"> </w:t>
      </w:r>
    </w:p>
    <w:p w14:paraId="78DD5372" w14:textId="77777777" w:rsidR="000A27F8" w:rsidRDefault="000A27F8" w:rsidP="008D2649">
      <w:pPr>
        <w:pStyle w:val="Els-body-text"/>
      </w:pPr>
    </w:p>
    <w:p w14:paraId="144DE698" w14:textId="7A4DEA7E" w:rsidR="008D2649" w:rsidRPr="002D193D" w:rsidRDefault="6A093BAF" w:rsidP="008D2649">
      <w:pPr>
        <w:pStyle w:val="Els-body-text"/>
      </w:pPr>
      <w:r>
        <w:t>T</w:t>
      </w:r>
      <w:r w:rsidR="0082687B">
        <w:t>his work</w:t>
      </w:r>
      <w:r w:rsidR="4815D240">
        <w:t xml:space="preserve"> shows</w:t>
      </w:r>
      <w:r w:rsidR="0082687B">
        <w:t xml:space="preserve"> a superstructure-based optimization model that </w:t>
      </w:r>
      <w:r w:rsidR="42973960">
        <w:t xml:space="preserve">explicitly </w:t>
      </w:r>
      <w:r w:rsidR="0082687B">
        <w:t xml:space="preserve">incorporates </w:t>
      </w:r>
      <w:r w:rsidR="4962B704">
        <w:t>inter</w:t>
      </w:r>
      <w:r w:rsidR="0082687B">
        <w:t>c</w:t>
      </w:r>
      <w:r w:rsidR="00AC7CD6">
        <w:t>onnections</w:t>
      </w:r>
      <w:r w:rsidR="5A243802">
        <w:t xml:space="preserve"> </w:t>
      </w:r>
      <w:r w:rsidR="15A0B153">
        <w:t xml:space="preserve">existing </w:t>
      </w:r>
      <w:r w:rsidR="5A243802">
        <w:t>in an industrial cluster</w:t>
      </w:r>
      <w:r w:rsidR="00AC7CD6">
        <w:t xml:space="preserve"> while assessing different processing routes</w:t>
      </w:r>
      <w:r w:rsidR="2AA0D47B">
        <w:t xml:space="preserve"> to replace the source of carbon</w:t>
      </w:r>
      <w:r w:rsidR="004D68B1">
        <w:t>.</w:t>
      </w:r>
      <w:r w:rsidR="009E3AA6">
        <w:t xml:space="preserve"> This model determines </w:t>
      </w:r>
      <w:r w:rsidR="004E73E1">
        <w:t>the</w:t>
      </w:r>
      <w:r w:rsidR="00202D55">
        <w:t xml:space="preserve"> minimal amount of ACS required to completely replace the fossil-based carbon</w:t>
      </w:r>
      <w:r w:rsidR="00AC4529">
        <w:t xml:space="preserve"> source</w:t>
      </w:r>
      <w:r w:rsidR="00E8789E">
        <w:t xml:space="preserve"> and the energy required by the cluster</w:t>
      </w:r>
      <w:r w:rsidR="00202D55">
        <w:t>.</w:t>
      </w:r>
    </w:p>
    <w:p w14:paraId="7F455261" w14:textId="4D2AFA28" w:rsidR="00FE491E" w:rsidRPr="00FE491E" w:rsidRDefault="00FD269C" w:rsidP="00FE491E">
      <w:pPr>
        <w:pStyle w:val="Els-1storder-head"/>
      </w:pPr>
      <w:r>
        <w:t>Method</w:t>
      </w:r>
    </w:p>
    <w:p w14:paraId="5889D860" w14:textId="77777777" w:rsidR="00C033A6" w:rsidRDefault="00AA5CAF" w:rsidP="00C033A6">
      <w:pPr>
        <w:pStyle w:val="Els-body-text"/>
      </w:pPr>
      <w:r>
        <w:t xml:space="preserve">To set up the model, the chemical processes, utility generation units, available feedstocks, and desired products were defined as nodes (see Figure 1). Besides the nodes, the chemical components and the different energy types </w:t>
      </w:r>
      <w:r w:rsidR="0D851938">
        <w:t>in</w:t>
      </w:r>
      <w:r>
        <w:t xml:space="preserve"> the superstructure were defined as</w:t>
      </w:r>
      <w:r w:rsidR="2AF83EE0">
        <w:t xml:space="preserve"> follows</w:t>
      </w:r>
      <w:r>
        <w:t xml:space="preserve">: CC is the set of all the chemical components, for instance ethylene, propylene, and methyl tert-butyl ether. CU is the set of set of the utility types, for instance, low-pressure steam, </w:t>
      </w:r>
      <w:r w:rsidR="002A0952">
        <w:t>cooling water</w:t>
      </w:r>
      <w:r w:rsidR="6314003F">
        <w:t>,</w:t>
      </w:r>
      <w:r>
        <w:t xml:space="preserve"> electricity</w:t>
      </w:r>
      <w:r w:rsidR="00985168">
        <w:t xml:space="preserve">. Separate layers were </w:t>
      </w:r>
      <w:r w:rsidR="006D24E2">
        <w:t>introduced</w:t>
      </w:r>
      <w:r w:rsidR="00985168">
        <w:t xml:space="preserve"> for the material and energy connections </w:t>
      </w:r>
      <w:r w:rsidR="0B5D1678">
        <w:t>in</w:t>
      </w:r>
      <w:r w:rsidR="00985168">
        <w:t xml:space="preserve"> the superstructure, allowing different constraints for each layer to close the respective ma</w:t>
      </w:r>
      <w:r w:rsidR="6C655EF9">
        <w:t>ss</w:t>
      </w:r>
      <w:r w:rsidR="00985168">
        <w:t xml:space="preserve"> and energy balance</w:t>
      </w:r>
      <w:r w:rsidR="3A5E80DD">
        <w:t>s</w:t>
      </w:r>
      <w:r w:rsidR="00AE6222">
        <w:t>.</w:t>
      </w:r>
      <w:r w:rsidR="74C7F9C8">
        <w:t xml:space="preserve"> The figure shows that in the material layer, the interconnections between the available feedstocks, process, and utility options, and desired products were explicitly defined using transfer blocks to mimic the existing value chains of a cluster as closely as possible. These transfer blocks distribute the flow of mass between the processes.</w:t>
      </w:r>
      <w:r w:rsidR="00C033A6" w:rsidRPr="00C033A6">
        <w:t xml:space="preserve"> </w:t>
      </w:r>
    </w:p>
    <w:p w14:paraId="6F3D46EF" w14:textId="77777777" w:rsidR="00C033A6" w:rsidRDefault="00C033A6" w:rsidP="00C033A6">
      <w:pPr>
        <w:pStyle w:val="Els-body-text"/>
      </w:pPr>
    </w:p>
    <w:p w14:paraId="7EA82CF2" w14:textId="3B3EB1F1" w:rsidR="00C033A6" w:rsidRPr="009D54D7" w:rsidRDefault="00C033A6" w:rsidP="00C033A6">
      <w:pPr>
        <w:pStyle w:val="Els-body-text"/>
      </w:pPr>
      <w:r>
        <w:t xml:space="preserve">Based on </w:t>
      </w:r>
      <w:r>
        <w:fldChar w:fldCharType="begin"/>
      </w:r>
      <w:r>
        <w:instrText xml:space="preserve"> REF _Ref150155366 \h </w:instrText>
      </w:r>
      <w:r>
        <w:fldChar w:fldCharType="separate"/>
      </w:r>
      <w:r>
        <w:t xml:space="preserve">Figure </w:t>
      </w:r>
      <w:r w:rsidRPr="722CB73E">
        <w:rPr>
          <w:noProof/>
        </w:rPr>
        <w:t>1</w:t>
      </w:r>
      <w:r>
        <w:fldChar w:fldCharType="end"/>
      </w:r>
      <w:r>
        <w:t xml:space="preserve">, mass equations were defined. For each node </w:t>
      </w:r>
      <w:r w:rsidRPr="722CB73E">
        <w:rPr>
          <w:i/>
          <w:iCs/>
        </w:rPr>
        <w:t>b</w:t>
      </w:r>
      <w:r>
        <w:t xml:space="preserve"> of the material layer, the total mass of component cc into the node equals all the mass flows of component </w:t>
      </w:r>
      <w:r w:rsidRPr="722CB73E">
        <w:rPr>
          <w:i/>
          <w:iCs/>
        </w:rPr>
        <w:t>cc</w:t>
      </w:r>
      <w:r>
        <w:t xml:space="preserve"> into the node:  </w:t>
      </w:r>
    </w:p>
    <w:tbl>
      <w:tblPr>
        <w:tblW w:w="7077" w:type="dxa"/>
        <w:tblLook w:val="04A0" w:firstRow="1" w:lastRow="0" w:firstColumn="1" w:lastColumn="0" w:noHBand="0" w:noVBand="1"/>
      </w:tblPr>
      <w:tblGrid>
        <w:gridCol w:w="6122"/>
        <w:gridCol w:w="955"/>
      </w:tblGrid>
      <w:tr w:rsidR="00C033A6" w:rsidRPr="00A94774" w14:paraId="4E68253F" w14:textId="77777777" w:rsidTr="009B03E8">
        <w:tc>
          <w:tcPr>
            <w:tcW w:w="6122" w:type="dxa"/>
          </w:tcPr>
          <w:p w14:paraId="14D12F1C" w14:textId="77777777" w:rsidR="00C033A6" w:rsidRPr="00E603E6" w:rsidRDefault="00C033A6" w:rsidP="009B03E8">
            <w:pPr>
              <w:pStyle w:val="Els-body-text"/>
              <w:tabs>
                <w:tab w:val="center" w:pos="2950"/>
                <w:tab w:val="right" w:pos="5900"/>
              </w:tabs>
              <w:spacing w:before="120" w:after="120" w:line="264" w:lineRule="auto"/>
              <w:rPr>
                <w:lang w:val="en-GB"/>
              </w:rPr>
            </w:pPr>
            <w:r w:rsidRPr="00AD0D5F">
              <w:rPr>
                <w:position w:val="-50"/>
                <w:lang w:val="en-GB"/>
              </w:rPr>
              <w:object w:dxaOrig="2659" w:dyaOrig="760" w14:anchorId="6B5C72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75pt;height:37.5pt" o:ole="">
                  <v:imagedata r:id="rId11" o:title=""/>
                </v:shape>
                <o:OLEObject Type="Embed" ProgID="Equation.DSMT4" ShapeID="_x0000_i1025" DrawAspect="Content" ObjectID="_1762893909" r:id="rId12"/>
              </w:object>
            </w:r>
          </w:p>
        </w:tc>
        <w:tc>
          <w:tcPr>
            <w:tcW w:w="955" w:type="dxa"/>
          </w:tcPr>
          <w:p w14:paraId="38090DEE" w14:textId="77777777" w:rsidR="00C033A6" w:rsidRPr="00A94774" w:rsidRDefault="00C033A6" w:rsidP="009B03E8">
            <w:pPr>
              <w:pStyle w:val="Els-body-text"/>
              <w:spacing w:before="120" w:after="120" w:line="264" w:lineRule="auto"/>
              <w:jc w:val="right"/>
              <w:rPr>
                <w:lang w:val="en-GB"/>
              </w:rPr>
            </w:pPr>
            <w:r>
              <w:rPr>
                <w:lang w:val="en-GB"/>
              </w:rPr>
              <w:fldChar w:fldCharType="begin"/>
            </w:r>
            <w:r>
              <w:rPr>
                <w:lang w:val="en-GB"/>
              </w:rPr>
              <w:instrText xml:space="preserve"> MACROBUTTON MTPlaceRef \* MERGEFORMAT </w:instrText>
            </w:r>
            <w:r>
              <w:rPr>
                <w:lang w:val="en-GB"/>
              </w:rPr>
              <w:fldChar w:fldCharType="begin"/>
            </w:r>
            <w:r>
              <w:rPr>
                <w:lang w:val="en-GB"/>
              </w:rPr>
              <w:instrText xml:space="preserve"> SEQ MTEqn \h \* MERGEFORMAT </w:instrText>
            </w:r>
            <w:r>
              <w:rPr>
                <w:lang w:val="en-GB"/>
              </w:rPr>
              <w:fldChar w:fldCharType="end"/>
            </w:r>
            <w:r>
              <w:rPr>
                <w:lang w:val="en-GB"/>
              </w:rPr>
              <w:instrText>(</w:instrText>
            </w:r>
            <w:r>
              <w:rPr>
                <w:lang w:val="en-GB"/>
              </w:rPr>
              <w:fldChar w:fldCharType="begin"/>
            </w:r>
            <w:r>
              <w:rPr>
                <w:lang w:val="en-GB"/>
              </w:rPr>
              <w:instrText xml:space="preserve"> SEQ MTEqn \c \* Arabic \* MERGEFORMAT </w:instrText>
            </w:r>
            <w:r>
              <w:rPr>
                <w:lang w:val="en-GB"/>
              </w:rPr>
              <w:fldChar w:fldCharType="separate"/>
            </w:r>
            <w:r>
              <w:rPr>
                <w:noProof/>
                <w:lang w:val="en-GB"/>
              </w:rPr>
              <w:instrText>1</w:instrText>
            </w:r>
            <w:r>
              <w:rPr>
                <w:lang w:val="en-GB"/>
              </w:rPr>
              <w:fldChar w:fldCharType="end"/>
            </w:r>
            <w:r>
              <w:rPr>
                <w:lang w:val="en-GB"/>
              </w:rPr>
              <w:instrText>)</w:instrText>
            </w:r>
            <w:r>
              <w:rPr>
                <w:lang w:val="en-GB"/>
              </w:rPr>
              <w:fldChar w:fldCharType="end"/>
            </w:r>
          </w:p>
        </w:tc>
      </w:tr>
    </w:tbl>
    <w:p w14:paraId="0C69CE29" w14:textId="77777777" w:rsidR="00C033A6" w:rsidRDefault="00C033A6" w:rsidP="00C033A6">
      <w:pPr>
        <w:pStyle w:val="Els-body-text"/>
      </w:pPr>
      <w:r>
        <w:t>Where,</w:t>
      </w:r>
      <m:oMath>
        <m:sSubSup>
          <m:sSubSupPr>
            <m:ctrlPr>
              <w:rPr>
                <w:rFonts w:ascii="Cambria Math" w:hAnsi="Cambria Math"/>
                <w:i/>
              </w:rPr>
            </m:ctrlPr>
          </m:sSubSupPr>
          <m:e>
            <m:r>
              <m:rPr>
                <m:sty m:val="p"/>
              </m:rPr>
              <w:rPr>
                <w:rFonts w:ascii="Cambria Math" w:hAnsi="Cambria Math"/>
              </w:rPr>
              <m:t xml:space="preserve"> </m:t>
            </m:r>
            <m:r>
              <w:rPr>
                <w:rFonts w:ascii="Cambria Math" w:hAnsi="Cambria Math"/>
              </w:rPr>
              <m:t>streams</m:t>
            </m:r>
          </m:e>
          <m:sub>
            <m:r>
              <w:rPr>
                <w:rFonts w:ascii="Cambria Math" w:hAnsi="Cambria Math"/>
              </w:rPr>
              <m:t>i,b,cc</m:t>
            </m:r>
          </m:sub>
          <m:sup>
            <m:r>
              <w:rPr>
                <w:rFonts w:ascii="Cambria Math" w:hAnsi="Cambria Math"/>
              </w:rPr>
              <m:t>Mass</m:t>
            </m:r>
          </m:sup>
        </m:sSubSup>
      </m:oMath>
      <w:r>
        <w:t xml:space="preserve"> stands for the mass flowrate from node </w:t>
      </w:r>
      <w:proofErr w:type="spellStart"/>
      <w:r w:rsidRPr="722CB73E">
        <w:rPr>
          <w:i/>
          <w:iCs/>
        </w:rPr>
        <w:t>i</w:t>
      </w:r>
      <w:proofErr w:type="spellEnd"/>
      <w:r w:rsidRPr="722CB73E">
        <w:rPr>
          <w:i/>
          <w:iCs/>
        </w:rPr>
        <w:t xml:space="preserve"> </w:t>
      </w:r>
      <w:r>
        <w:t xml:space="preserve">to node </w:t>
      </w:r>
      <w:r w:rsidRPr="722CB73E">
        <w:rPr>
          <w:i/>
          <w:iCs/>
        </w:rPr>
        <w:t>b</w:t>
      </w:r>
      <w:r>
        <w:t>. It was assumed that the process’ input and output scales linearly. For each process, a limiting component was selected that scales the other inputs and outputs of each process. Therefore, the mass flow of a component into a component can then be calculated by:</w:t>
      </w:r>
    </w:p>
    <w:tbl>
      <w:tblPr>
        <w:tblW w:w="7077" w:type="dxa"/>
        <w:tblLook w:val="04A0" w:firstRow="1" w:lastRow="0" w:firstColumn="1" w:lastColumn="0" w:noHBand="0" w:noVBand="1"/>
      </w:tblPr>
      <w:tblGrid>
        <w:gridCol w:w="6122"/>
        <w:gridCol w:w="955"/>
      </w:tblGrid>
      <w:tr w:rsidR="00C033A6" w:rsidRPr="00A94774" w14:paraId="4C8A481D" w14:textId="77777777" w:rsidTr="009B03E8">
        <w:tc>
          <w:tcPr>
            <w:tcW w:w="6122" w:type="dxa"/>
          </w:tcPr>
          <w:p w14:paraId="5216C06D" w14:textId="77777777" w:rsidR="00C033A6" w:rsidRPr="00E603E6" w:rsidRDefault="00C033A6" w:rsidP="009B03E8">
            <w:pPr>
              <w:pStyle w:val="Els-body-text"/>
              <w:tabs>
                <w:tab w:val="center" w:pos="2950"/>
                <w:tab w:val="right" w:pos="5900"/>
              </w:tabs>
              <w:spacing w:before="120" w:after="120" w:line="264" w:lineRule="auto"/>
              <w:rPr>
                <w:lang w:val="en-GB"/>
              </w:rPr>
            </w:pPr>
            <w:r w:rsidRPr="00710E8C">
              <w:rPr>
                <w:position w:val="-14"/>
                <w:lang w:val="en-GB"/>
              </w:rPr>
              <w:object w:dxaOrig="2640" w:dyaOrig="400" w14:anchorId="54ACA7A4">
                <v:shape id="_x0000_i1026" type="#_x0000_t75" style="width:132pt;height:20.25pt" o:ole="">
                  <v:imagedata r:id="rId13" o:title=""/>
                </v:shape>
                <o:OLEObject Type="Embed" ProgID="Equation.DSMT4" ShapeID="_x0000_i1026" DrawAspect="Content" ObjectID="_1762893910" r:id="rId14"/>
              </w:object>
            </w:r>
          </w:p>
        </w:tc>
        <w:tc>
          <w:tcPr>
            <w:tcW w:w="955" w:type="dxa"/>
          </w:tcPr>
          <w:p w14:paraId="4DE10504" w14:textId="77777777" w:rsidR="00C033A6" w:rsidRPr="00A94774" w:rsidRDefault="00C033A6" w:rsidP="009B03E8">
            <w:pPr>
              <w:pStyle w:val="Els-body-text"/>
              <w:spacing w:before="120" w:after="120" w:line="264" w:lineRule="auto"/>
              <w:jc w:val="right"/>
              <w:rPr>
                <w:lang w:val="en-GB"/>
              </w:rPr>
            </w:pPr>
            <w:r>
              <w:rPr>
                <w:lang w:val="en-GB"/>
              </w:rPr>
              <w:t xml:space="preserve"> </w:t>
            </w:r>
            <w:r>
              <w:rPr>
                <w:lang w:val="en-GB"/>
              </w:rPr>
              <w:fldChar w:fldCharType="begin"/>
            </w:r>
            <w:r>
              <w:rPr>
                <w:lang w:val="en-GB"/>
              </w:rPr>
              <w:instrText xml:space="preserve"> MACROBUTTON MTPlaceRef \* MERGEFORMAT </w:instrText>
            </w:r>
            <w:r>
              <w:rPr>
                <w:lang w:val="en-GB"/>
              </w:rPr>
              <w:fldChar w:fldCharType="begin"/>
            </w:r>
            <w:r>
              <w:rPr>
                <w:lang w:val="en-GB"/>
              </w:rPr>
              <w:instrText xml:space="preserve"> SEQ MTEqn \h \* MERGEFORMAT </w:instrText>
            </w:r>
            <w:r>
              <w:rPr>
                <w:lang w:val="en-GB"/>
              </w:rPr>
              <w:fldChar w:fldCharType="end"/>
            </w:r>
            <w:r>
              <w:rPr>
                <w:lang w:val="en-GB"/>
              </w:rPr>
              <w:instrText>(</w:instrText>
            </w:r>
            <w:r>
              <w:rPr>
                <w:lang w:val="en-GB"/>
              </w:rPr>
              <w:fldChar w:fldCharType="begin"/>
            </w:r>
            <w:r>
              <w:rPr>
                <w:lang w:val="en-GB"/>
              </w:rPr>
              <w:instrText xml:space="preserve"> SEQ MTEqn \c \* Arabic \* MERGEFORMAT </w:instrText>
            </w:r>
            <w:r>
              <w:rPr>
                <w:lang w:val="en-GB"/>
              </w:rPr>
              <w:fldChar w:fldCharType="separate"/>
            </w:r>
            <w:r>
              <w:rPr>
                <w:noProof/>
                <w:lang w:val="en-GB"/>
              </w:rPr>
              <w:instrText>2</w:instrText>
            </w:r>
            <w:r>
              <w:rPr>
                <w:lang w:val="en-GB"/>
              </w:rPr>
              <w:fldChar w:fldCharType="end"/>
            </w:r>
            <w:r>
              <w:rPr>
                <w:lang w:val="en-GB"/>
              </w:rPr>
              <w:instrText>)</w:instrText>
            </w:r>
            <w:r>
              <w:rPr>
                <w:lang w:val="en-GB"/>
              </w:rPr>
              <w:fldChar w:fldCharType="end"/>
            </w:r>
          </w:p>
        </w:tc>
      </w:tr>
    </w:tbl>
    <w:p w14:paraId="1F0D6A99" w14:textId="57CC91BC" w:rsidR="00365B25" w:rsidRPr="00892E78" w:rsidRDefault="00C033A6" w:rsidP="00365B25">
      <w:pPr>
        <w:pStyle w:val="Els-body-text"/>
      </w:pPr>
      <w:r>
        <w:t>Where,</w:t>
      </w:r>
      <m:oMath>
        <m:sSubSup>
          <m:sSubSupPr>
            <m:ctrlPr>
              <w:rPr>
                <w:rFonts w:ascii="Cambria Math" w:hAnsi="Cambria Math"/>
                <w:i/>
              </w:rPr>
            </m:ctrlPr>
          </m:sSubSupPr>
          <m:e>
            <m:r>
              <m:rPr>
                <m:sty m:val="p"/>
              </m:rPr>
              <w:rPr>
                <w:rFonts w:ascii="Cambria Math" w:hAnsi="Cambria Math"/>
              </w:rPr>
              <m:t xml:space="preserve"> </m:t>
            </m:r>
            <m:r>
              <w:rPr>
                <w:rFonts w:ascii="Cambria Math" w:hAnsi="Cambria Math"/>
              </w:rPr>
              <m:t>mass</m:t>
            </m:r>
          </m:e>
          <m:sub>
            <m:r>
              <w:rPr>
                <w:rFonts w:ascii="Cambria Math" w:hAnsi="Cambria Math"/>
              </w:rPr>
              <m:t>p,cc'</m:t>
            </m:r>
          </m:sub>
          <m:sup>
            <m:r>
              <w:rPr>
                <w:rFonts w:ascii="Cambria Math" w:hAnsi="Cambria Math"/>
              </w:rPr>
              <m:t>In</m:t>
            </m:r>
          </m:sup>
        </m:sSubSup>
      </m:oMath>
      <w:r>
        <w:t xml:space="preserve"> is the mass flow rate into node </w:t>
      </w:r>
      <w:r w:rsidRPr="722CB73E">
        <w:rPr>
          <w:i/>
          <w:iCs/>
        </w:rPr>
        <w:t xml:space="preserve">p </w:t>
      </w:r>
      <w:r>
        <w:t xml:space="preserve">of the limiting component </w:t>
      </w:r>
      <w:r w:rsidRPr="722CB73E">
        <w:rPr>
          <w:i/>
          <w:iCs/>
        </w:rPr>
        <w:t>cc’</w:t>
      </w:r>
      <w:r>
        <w:t xml:space="preserve"> and</w:t>
      </w:r>
      <w:r w:rsidR="00A00518">
        <w:t xml:space="preserve"> </w:t>
      </w:r>
      <m:oMath>
        <m:sSubSup>
          <m:sSubSupPr>
            <m:ctrlPr>
              <w:rPr>
                <w:rFonts w:ascii="Cambria Math" w:hAnsi="Cambria Math"/>
                <w:i/>
              </w:rPr>
            </m:ctrlPr>
          </m:sSubSupPr>
          <m:e>
            <m:r>
              <w:rPr>
                <w:rFonts w:ascii="Cambria Math" w:hAnsi="Cambria Math"/>
              </w:rPr>
              <m:t>X</m:t>
            </m:r>
          </m:e>
          <m:sub>
            <m:r>
              <w:rPr>
                <w:rFonts w:ascii="Cambria Math" w:hAnsi="Cambria Math"/>
              </w:rPr>
              <m:t>b,cc</m:t>
            </m:r>
          </m:sub>
          <m:sup>
            <m:r>
              <w:rPr>
                <w:rFonts w:ascii="Cambria Math" w:hAnsi="Cambria Math"/>
              </w:rPr>
              <m:t>MassIn</m:t>
            </m:r>
          </m:sup>
        </m:sSubSup>
      </m:oMath>
      <w:r w:rsidR="00A00518">
        <w:t xml:space="preserve"> mass flow in a parameter.</w:t>
      </w:r>
      <w:r w:rsidR="00365B25" w:rsidRPr="00365B25">
        <w:t xml:space="preserve"> </w:t>
      </w:r>
      <w:r w:rsidR="00365B25">
        <w:t>Based on the mass flow rate into a process node or utility node, the mass flow out of the process node or utility can be calculated by:</w:t>
      </w:r>
    </w:p>
    <w:tbl>
      <w:tblPr>
        <w:tblW w:w="7077" w:type="dxa"/>
        <w:tblLook w:val="04A0" w:firstRow="1" w:lastRow="0" w:firstColumn="1" w:lastColumn="0" w:noHBand="0" w:noVBand="1"/>
      </w:tblPr>
      <w:tblGrid>
        <w:gridCol w:w="6122"/>
        <w:gridCol w:w="955"/>
      </w:tblGrid>
      <w:tr w:rsidR="00365B25" w14:paraId="24A8460C" w14:textId="77777777" w:rsidTr="000B01C5">
        <w:tc>
          <w:tcPr>
            <w:tcW w:w="6122" w:type="dxa"/>
          </w:tcPr>
          <w:p w14:paraId="60BF2A53" w14:textId="77777777" w:rsidR="00365B25" w:rsidRDefault="00365B25" w:rsidP="000B01C5">
            <w:pPr>
              <w:pStyle w:val="Els-body-text"/>
              <w:tabs>
                <w:tab w:val="center" w:pos="2950"/>
                <w:tab w:val="right" w:pos="5900"/>
              </w:tabs>
              <w:spacing w:before="120" w:after="120" w:line="264" w:lineRule="auto"/>
              <w:rPr>
                <w:lang w:val="en-GB"/>
              </w:rPr>
            </w:pPr>
            <w:r w:rsidRPr="005A3CB7">
              <w:rPr>
                <w:position w:val="-14"/>
                <w:lang w:val="en-GB"/>
              </w:rPr>
              <w:object w:dxaOrig="2520" w:dyaOrig="400" w14:anchorId="69E20602">
                <v:shape id="_x0000_i1027" type="#_x0000_t75" style="width:126.75pt;height:19.5pt" o:ole="">
                  <v:imagedata r:id="rId15" o:title=""/>
                </v:shape>
                <o:OLEObject Type="Embed" ProgID="Equation.DSMT4" ShapeID="_x0000_i1027" DrawAspect="Content" ObjectID="_1762893911" r:id="rId16"/>
              </w:object>
            </w:r>
          </w:p>
        </w:tc>
        <w:tc>
          <w:tcPr>
            <w:tcW w:w="955" w:type="dxa"/>
          </w:tcPr>
          <w:p w14:paraId="20C79B94" w14:textId="77777777" w:rsidR="00365B25" w:rsidRDefault="00365B25" w:rsidP="000B01C5">
            <w:pPr>
              <w:pStyle w:val="Els-body-text"/>
              <w:spacing w:before="120" w:after="120" w:line="264" w:lineRule="auto"/>
              <w:jc w:val="right"/>
              <w:rPr>
                <w:lang w:val="en-GB"/>
              </w:rPr>
            </w:pPr>
            <w:r>
              <w:rPr>
                <w:lang w:val="en-GB"/>
              </w:rPr>
              <w:fldChar w:fldCharType="begin"/>
            </w:r>
            <w:r>
              <w:rPr>
                <w:lang w:val="en-GB"/>
              </w:rPr>
              <w:instrText xml:space="preserve"> MACROBUTTON MTPlaceRef \* MERGEFORMAT </w:instrText>
            </w:r>
            <w:r>
              <w:rPr>
                <w:lang w:val="en-GB"/>
              </w:rPr>
              <w:fldChar w:fldCharType="begin"/>
            </w:r>
            <w:r>
              <w:rPr>
                <w:lang w:val="en-GB"/>
              </w:rPr>
              <w:instrText xml:space="preserve"> SEQ MTEqn \h \* MERGEFORMAT </w:instrText>
            </w:r>
            <w:r>
              <w:rPr>
                <w:lang w:val="en-GB"/>
              </w:rPr>
              <w:fldChar w:fldCharType="end"/>
            </w:r>
            <w:r>
              <w:rPr>
                <w:lang w:val="en-GB"/>
              </w:rPr>
              <w:instrText>(</w:instrText>
            </w:r>
            <w:r>
              <w:rPr>
                <w:lang w:val="en-GB"/>
              </w:rPr>
              <w:fldChar w:fldCharType="begin"/>
            </w:r>
            <w:r>
              <w:rPr>
                <w:lang w:val="en-GB"/>
              </w:rPr>
              <w:instrText xml:space="preserve"> SEQ MTEqn \c \* Arabic \* MERGEFORMAT </w:instrText>
            </w:r>
            <w:r>
              <w:rPr>
                <w:lang w:val="en-GB"/>
              </w:rPr>
              <w:fldChar w:fldCharType="separate"/>
            </w:r>
            <w:r>
              <w:rPr>
                <w:noProof/>
                <w:lang w:val="en-GB"/>
              </w:rPr>
              <w:instrText>3</w:instrText>
            </w:r>
            <w:r>
              <w:rPr>
                <w:lang w:val="en-GB"/>
              </w:rPr>
              <w:fldChar w:fldCharType="end"/>
            </w:r>
            <w:r>
              <w:rPr>
                <w:lang w:val="en-GB"/>
              </w:rPr>
              <w:instrText>)</w:instrText>
            </w:r>
            <w:r>
              <w:rPr>
                <w:lang w:val="en-GB"/>
              </w:rPr>
              <w:fldChar w:fldCharType="end"/>
            </w:r>
          </w:p>
        </w:tc>
      </w:tr>
    </w:tbl>
    <w:p w14:paraId="54565999" w14:textId="6694068F" w:rsidR="00AA5CAF" w:rsidRDefault="00AA5CAF" w:rsidP="506111AA">
      <w:pPr>
        <w:pStyle w:val="Els-body-text"/>
        <w:spacing w:line="259" w:lineRule="auto"/>
      </w:pPr>
    </w:p>
    <w:p w14:paraId="479B3595" w14:textId="54DA9867" w:rsidR="00AA5CAF" w:rsidRDefault="00744E31" w:rsidP="00C033A6">
      <w:pPr>
        <w:pStyle w:val="Els-body-text"/>
        <w:spacing w:line="259" w:lineRule="auto"/>
      </w:pPr>
      <w:r>
        <w:rPr>
          <w:noProof/>
        </w:rPr>
        <w:drawing>
          <wp:inline distT="0" distB="0" distL="0" distR="0" wp14:anchorId="38F66D86" wp14:editId="269FD521">
            <wp:extent cx="4499610" cy="2654300"/>
            <wp:effectExtent l="0" t="0" r="0" b="0"/>
            <wp:docPr id="376430932" name="Picture 376430932"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430932" name="Picture 4" descr="A diagram of a diagram&#10;&#10;Description automatically generated"/>
                    <pic:cNvPicPr/>
                  </pic:nvPicPr>
                  <pic:blipFill rotWithShape="1">
                    <a:blip r:embed="rId17">
                      <a:extLst>
                        <a:ext uri="{28A0092B-C50C-407E-A947-70E740481C1C}">
                          <a14:useLocalDpi xmlns:a14="http://schemas.microsoft.com/office/drawing/2010/main" val="0"/>
                        </a:ext>
                      </a:extLst>
                    </a:blip>
                    <a:srcRect t="1629" b="1071"/>
                    <a:stretch/>
                  </pic:blipFill>
                  <pic:spPr bwMode="auto">
                    <a:xfrm>
                      <a:off x="0" y="0"/>
                      <a:ext cx="4499610" cy="2654300"/>
                    </a:xfrm>
                    <a:prstGeom prst="rect">
                      <a:avLst/>
                    </a:prstGeom>
                    <a:ln>
                      <a:noFill/>
                    </a:ln>
                    <a:extLst>
                      <a:ext uri="{53640926-AAD7-44D8-BBD7-CCE9431645EC}">
                        <a14:shadowObscured xmlns:a14="http://schemas.microsoft.com/office/drawing/2010/main"/>
                      </a:ext>
                    </a:extLst>
                  </pic:spPr>
                </pic:pic>
              </a:graphicData>
            </a:graphic>
          </wp:inline>
        </w:drawing>
      </w:r>
      <w:r w:rsidR="00AA5CAF">
        <w:fldChar w:fldCharType="begin"/>
      </w:r>
      <w:r w:rsidR="00AA5CAF">
        <w:instrText xml:space="preserve"> REF _Ref150155366 \h </w:instrText>
      </w:r>
      <w:r w:rsidR="00000000">
        <w:fldChar w:fldCharType="separate"/>
      </w:r>
      <w:r w:rsidR="00AA5CAF">
        <w:fldChar w:fldCharType="end"/>
      </w:r>
    </w:p>
    <w:p w14:paraId="58205146" w14:textId="0F393305" w:rsidR="00F81741" w:rsidRDefault="0060076E" w:rsidP="11C34501">
      <w:pPr>
        <w:pStyle w:val="Caption"/>
        <w:jc w:val="both"/>
        <w:rPr>
          <w:noProof/>
        </w:rPr>
      </w:pPr>
      <w:bookmarkStart w:id="3" w:name="_Ref150155366"/>
      <w:r>
        <w:t xml:space="preserve">Figure </w:t>
      </w:r>
      <w:r>
        <w:fldChar w:fldCharType="begin"/>
      </w:r>
      <w:r>
        <w:instrText xml:space="preserve"> SEQ Figure \* ARABIC </w:instrText>
      </w:r>
      <w:r>
        <w:fldChar w:fldCharType="separate"/>
      </w:r>
      <w:r w:rsidR="00710E8C" w:rsidRPr="722CB73E">
        <w:rPr>
          <w:noProof/>
        </w:rPr>
        <w:t>1</w:t>
      </w:r>
      <w:r>
        <w:fldChar w:fldCharType="end"/>
      </w:r>
      <w:bookmarkEnd w:id="3"/>
      <w:r>
        <w:t>: General superstructure representation</w:t>
      </w:r>
      <w:r w:rsidRPr="722CB73E">
        <w:rPr>
          <w:noProof/>
        </w:rPr>
        <w:t xml:space="preserve"> of the material and energy layers</w:t>
      </w:r>
      <w:r w:rsidR="732794D6" w:rsidRPr="722CB73E">
        <w:rPr>
          <w:noProof/>
        </w:rPr>
        <w:t>,</w:t>
      </w:r>
      <w:r w:rsidR="000E0B86">
        <w:rPr>
          <w:noProof/>
        </w:rPr>
        <w:t xml:space="preserve"> where</w:t>
      </w:r>
      <w:r w:rsidR="732794D6" w:rsidRPr="722CB73E">
        <w:rPr>
          <w:noProof/>
        </w:rPr>
        <w:t xml:space="preserve"> </w:t>
      </w:r>
      <w:r w:rsidR="00F81741" w:rsidRPr="722CB73E">
        <w:rPr>
          <w:noProof/>
        </w:rPr>
        <w:t>F is the set of feed nodes, P is the set of process nodes, U is the set of utility nodes,  D is the set of demand nodes</w:t>
      </w:r>
      <w:r w:rsidR="000E0B86">
        <w:rPr>
          <w:noProof/>
        </w:rPr>
        <w:t xml:space="preserve">, and the set containing all these </w:t>
      </w:r>
      <w:r w:rsidR="003365DF">
        <w:rPr>
          <w:noProof/>
        </w:rPr>
        <w:t>subsets</w:t>
      </w:r>
      <w:r w:rsidR="00776D4A">
        <w:rPr>
          <w:noProof/>
        </w:rPr>
        <w:t xml:space="preserve"> is</w:t>
      </w:r>
      <w:r w:rsidR="003365DF" w:rsidRPr="722CB73E">
        <w:rPr>
          <w:noProof/>
        </w:rPr>
        <w:t xml:space="preserve"> B</w:t>
      </w:r>
      <w:r w:rsidR="00776D4A">
        <w:rPr>
          <w:noProof/>
        </w:rPr>
        <w:t>.</w:t>
      </w:r>
      <w:r w:rsidR="003365DF" w:rsidRPr="722CB73E">
        <w:rPr>
          <w:noProof/>
        </w:rPr>
        <w:t xml:space="preserve"> </w:t>
      </w:r>
      <w:r w:rsidR="00F81741" w:rsidRPr="722CB73E">
        <w:rPr>
          <w:noProof/>
        </w:rPr>
        <w:t xml:space="preserve"> </w:t>
      </w:r>
    </w:p>
    <w:p w14:paraId="5F8AF59D" w14:textId="1BEEBAEB" w:rsidR="00F34C02" w:rsidRDefault="001F7058" w:rsidP="00E0645C">
      <w:pPr>
        <w:pStyle w:val="Els-body-text"/>
      </w:pPr>
      <w:r>
        <w:t>W</w:t>
      </w:r>
      <w:r w:rsidR="00724B9E">
        <w:t>here</w:t>
      </w:r>
      <w:r w:rsidR="3BF5E10E">
        <w:t>,</w:t>
      </w:r>
      <w:r w:rsidR="00A17146">
        <w:t xml:space="preserve"> </w:t>
      </w:r>
      <m:oMath>
        <m:sSubSup>
          <m:sSubSupPr>
            <m:ctrlPr>
              <w:rPr>
                <w:rFonts w:ascii="Cambria Math" w:hAnsi="Cambria Math"/>
                <w:i/>
              </w:rPr>
            </m:ctrlPr>
          </m:sSubSupPr>
          <m:e>
            <m:r>
              <w:rPr>
                <w:rFonts w:ascii="Cambria Math" w:hAnsi="Cambria Math"/>
              </w:rPr>
              <m:t>X</m:t>
            </m:r>
          </m:e>
          <m:sub>
            <m:r>
              <w:rPr>
                <w:rFonts w:ascii="Cambria Math" w:hAnsi="Cambria Math"/>
              </w:rPr>
              <m:t>p,cc</m:t>
            </m:r>
          </m:sub>
          <m:sup>
            <m:r>
              <w:rPr>
                <w:rFonts w:ascii="Cambria Math" w:hAnsi="Cambria Math"/>
              </w:rPr>
              <m:t>Mass</m:t>
            </m:r>
          </m:sup>
        </m:sSubSup>
      </m:oMath>
      <w:r w:rsidR="00A17146">
        <w:t xml:space="preserve"> is the conversion parameter. </w:t>
      </w:r>
      <w:r w:rsidR="00E0645C">
        <w:t xml:space="preserve">As there is no reaction in other nodes, the mass flow out is there equal to mass flow in. </w:t>
      </w:r>
      <w:r w:rsidR="004242A7">
        <w:t xml:space="preserve">The mass flowrate between </w:t>
      </w:r>
      <w:r w:rsidR="00F34C02">
        <w:t xml:space="preserve">a transfer node </w:t>
      </w:r>
      <w:r w:rsidR="00F34C02">
        <w:rPr>
          <w:i/>
          <w:iCs/>
        </w:rPr>
        <w:t xml:space="preserve">t </w:t>
      </w:r>
      <w:r w:rsidR="00F34C02">
        <w:t>and a node</w:t>
      </w:r>
      <w:r w:rsidR="00F34C02">
        <w:rPr>
          <w:i/>
          <w:iCs/>
        </w:rPr>
        <w:t xml:space="preserve"> b </w:t>
      </w:r>
      <w:r w:rsidR="00F34C02">
        <w:t xml:space="preserve">can </w:t>
      </w:r>
      <w:r w:rsidR="7721170B">
        <w:t>thus</w:t>
      </w:r>
      <w:r w:rsidR="00F34C02">
        <w:t xml:space="preserve"> be calculated by:</w:t>
      </w:r>
    </w:p>
    <w:tbl>
      <w:tblPr>
        <w:tblW w:w="7077" w:type="dxa"/>
        <w:tblLook w:val="04A0" w:firstRow="1" w:lastRow="0" w:firstColumn="1" w:lastColumn="0" w:noHBand="0" w:noVBand="1"/>
      </w:tblPr>
      <w:tblGrid>
        <w:gridCol w:w="6122"/>
        <w:gridCol w:w="955"/>
      </w:tblGrid>
      <w:tr w:rsidR="00F34C02" w14:paraId="7B4C26E8" w14:textId="77777777" w:rsidTr="0CC8C185">
        <w:tc>
          <w:tcPr>
            <w:tcW w:w="6122" w:type="dxa"/>
          </w:tcPr>
          <w:p w14:paraId="053867E2" w14:textId="3B62CCF9" w:rsidR="00F34C02" w:rsidRDefault="006D31E4" w:rsidP="00000A14">
            <w:pPr>
              <w:pStyle w:val="Els-body-text"/>
              <w:tabs>
                <w:tab w:val="center" w:pos="2950"/>
                <w:tab w:val="right" w:pos="5900"/>
              </w:tabs>
              <w:spacing w:before="120" w:after="120" w:line="264" w:lineRule="auto"/>
              <w:jc w:val="left"/>
              <w:rPr>
                <w:lang w:val="en-GB"/>
              </w:rPr>
            </w:pPr>
            <w:r w:rsidRPr="006D31E4">
              <w:rPr>
                <w:position w:val="-14"/>
                <w:lang w:val="en-GB"/>
              </w:rPr>
              <w:object w:dxaOrig="2560" w:dyaOrig="400" w14:anchorId="5B89D0C3">
                <v:shape id="_x0000_i1028" type="#_x0000_t75" style="width:128.25pt;height:19.5pt" o:ole="">
                  <v:imagedata r:id="rId18" o:title=""/>
                </v:shape>
                <o:OLEObject Type="Embed" ProgID="Equation.DSMT4" ShapeID="_x0000_i1028" DrawAspect="Content" ObjectID="_1762893912" r:id="rId19"/>
              </w:object>
            </w:r>
          </w:p>
        </w:tc>
        <w:tc>
          <w:tcPr>
            <w:tcW w:w="955" w:type="dxa"/>
          </w:tcPr>
          <w:p w14:paraId="5FF5FF33" w14:textId="3266AFE8" w:rsidR="00F34C02" w:rsidRDefault="00F34C02" w:rsidP="00F40DE3">
            <w:pPr>
              <w:pStyle w:val="Els-body-text"/>
              <w:spacing w:before="120" w:after="120" w:line="264" w:lineRule="auto"/>
              <w:jc w:val="right"/>
              <w:rPr>
                <w:lang w:val="en-GB"/>
              </w:rPr>
            </w:pPr>
            <w:r>
              <w:rPr>
                <w:lang w:val="en-GB"/>
              </w:rPr>
              <w:fldChar w:fldCharType="begin"/>
            </w:r>
            <w:r>
              <w:rPr>
                <w:lang w:val="en-GB"/>
              </w:rPr>
              <w:instrText xml:space="preserve"> MACROBUTTON MTPlaceRef \* MERGEFORMAT </w:instrText>
            </w:r>
            <w:r>
              <w:rPr>
                <w:lang w:val="en-GB"/>
              </w:rPr>
              <w:fldChar w:fldCharType="begin"/>
            </w:r>
            <w:r>
              <w:rPr>
                <w:lang w:val="en-GB"/>
              </w:rPr>
              <w:instrText xml:space="preserve"> SEQ MTEqn \h \* MERGEFORMAT </w:instrText>
            </w:r>
            <w:r>
              <w:rPr>
                <w:lang w:val="en-GB"/>
              </w:rPr>
              <w:fldChar w:fldCharType="end"/>
            </w:r>
            <w:r>
              <w:rPr>
                <w:lang w:val="en-GB"/>
              </w:rPr>
              <w:instrText>(</w:instrText>
            </w:r>
            <w:r>
              <w:rPr>
                <w:lang w:val="en-GB"/>
              </w:rPr>
              <w:fldChar w:fldCharType="begin"/>
            </w:r>
            <w:r>
              <w:rPr>
                <w:lang w:val="en-GB"/>
              </w:rPr>
              <w:instrText xml:space="preserve"> SEQ MTEqn \c \* Arabic \* MERGEFORMAT </w:instrText>
            </w:r>
            <w:r>
              <w:rPr>
                <w:lang w:val="en-GB"/>
              </w:rPr>
              <w:fldChar w:fldCharType="separate"/>
            </w:r>
            <w:r w:rsidR="00710E8C">
              <w:rPr>
                <w:noProof/>
                <w:lang w:val="en-GB"/>
              </w:rPr>
              <w:instrText>5</w:instrText>
            </w:r>
            <w:r>
              <w:rPr>
                <w:lang w:val="en-GB"/>
              </w:rPr>
              <w:fldChar w:fldCharType="end"/>
            </w:r>
            <w:r>
              <w:rPr>
                <w:lang w:val="en-GB"/>
              </w:rPr>
              <w:instrText>)</w:instrText>
            </w:r>
            <w:r>
              <w:rPr>
                <w:lang w:val="en-GB"/>
              </w:rPr>
              <w:fldChar w:fldCharType="end"/>
            </w:r>
          </w:p>
        </w:tc>
      </w:tr>
    </w:tbl>
    <w:p w14:paraId="663B5620" w14:textId="099F5017" w:rsidR="00FB0DAD" w:rsidRDefault="00F34C02" w:rsidP="00FD269C">
      <w:pPr>
        <w:pStyle w:val="Els-body-text"/>
      </w:pPr>
      <w:r>
        <w:t>Where</w:t>
      </w:r>
      <w:r w:rsidR="1D7B1078">
        <w:t>,</w:t>
      </w:r>
      <w:r>
        <w:t xml:space="preserve"> </w:t>
      </w:r>
      <m:oMath>
        <m:sSubSup>
          <m:sSubSupPr>
            <m:ctrlPr>
              <w:rPr>
                <w:rFonts w:ascii="Cambria Math" w:hAnsi="Cambria Math"/>
                <w:i/>
              </w:rPr>
            </m:ctrlPr>
          </m:sSubSupPr>
          <m:e>
            <m:r>
              <w:rPr>
                <w:rFonts w:ascii="Cambria Math" w:hAnsi="Cambria Math"/>
              </w:rPr>
              <m:t>mass</m:t>
            </m:r>
          </m:e>
          <m:sub>
            <m:r>
              <w:rPr>
                <w:rFonts w:ascii="Cambria Math" w:hAnsi="Cambria Math"/>
              </w:rPr>
              <m:t>t,cc</m:t>
            </m:r>
          </m:sub>
          <m:sup>
            <m:r>
              <w:rPr>
                <w:rFonts w:ascii="Cambria Math" w:hAnsi="Cambria Math"/>
              </w:rPr>
              <m:t>Out</m:t>
            </m:r>
          </m:sup>
        </m:sSubSup>
      </m:oMath>
      <w:r>
        <w:t xml:space="preserve"> is the mass flow rate of component </w:t>
      </w:r>
      <w:r>
        <w:rPr>
          <w:i/>
          <w:iCs/>
        </w:rPr>
        <w:t xml:space="preserve">cc </w:t>
      </w:r>
      <w:r>
        <w:t>leaving the transfer node</w:t>
      </w:r>
      <w:r w:rsidR="00FB0DAD">
        <w:t xml:space="preserve"> and</w:t>
      </w:r>
      <w:r>
        <w:t xml:space="preserve"> </w:t>
      </w:r>
      <m:oMath>
        <m:sSub>
          <m:sSubPr>
            <m:ctrlPr>
              <w:rPr>
                <w:rFonts w:ascii="Cambria Math" w:hAnsi="Cambria Math"/>
                <w:i/>
              </w:rPr>
            </m:ctrlPr>
          </m:sSubPr>
          <m:e>
            <m:r>
              <w:rPr>
                <w:rFonts w:ascii="Cambria Math" w:hAnsi="Cambria Math"/>
              </w:rPr>
              <m:t>y</m:t>
            </m:r>
          </m:e>
          <m:sub>
            <m:r>
              <w:rPr>
                <w:rFonts w:ascii="Cambria Math" w:hAnsi="Cambria Math"/>
              </w:rPr>
              <m:t>t,b</m:t>
            </m:r>
          </m:sub>
        </m:sSub>
      </m:oMath>
      <w:r>
        <w:t xml:space="preserve"> is the variable the transfer coefficient that assigns the mass flow rate off each stream leaving the transfer no</w:t>
      </w:r>
      <w:r w:rsidR="00FB0DAD">
        <w:t xml:space="preserve">de. </w:t>
      </w:r>
      <w:r w:rsidR="00974D13">
        <w:t>For which the following constraint was introduced:</w:t>
      </w:r>
      <w:r w:rsidR="00FB0DAD">
        <w:t xml:space="preserve"> </w:t>
      </w:r>
    </w:p>
    <w:tbl>
      <w:tblPr>
        <w:tblW w:w="7077" w:type="dxa"/>
        <w:tblLook w:val="04A0" w:firstRow="1" w:lastRow="0" w:firstColumn="1" w:lastColumn="0" w:noHBand="0" w:noVBand="1"/>
      </w:tblPr>
      <w:tblGrid>
        <w:gridCol w:w="6122"/>
        <w:gridCol w:w="955"/>
      </w:tblGrid>
      <w:tr w:rsidR="00FB0DAD" w14:paraId="57474E4E" w14:textId="77777777" w:rsidTr="0CC8C185">
        <w:tc>
          <w:tcPr>
            <w:tcW w:w="6122" w:type="dxa"/>
          </w:tcPr>
          <w:p w14:paraId="4F47994D" w14:textId="70BAB439" w:rsidR="00FB0DAD" w:rsidRDefault="009B4D62" w:rsidP="00F40DE3">
            <w:pPr>
              <w:pStyle w:val="Els-body-text"/>
              <w:tabs>
                <w:tab w:val="center" w:pos="2950"/>
                <w:tab w:val="right" w:pos="5900"/>
              </w:tabs>
              <w:spacing w:before="120" w:after="120" w:line="264" w:lineRule="auto"/>
              <w:rPr>
                <w:lang w:val="en-GB"/>
              </w:rPr>
            </w:pPr>
            <w:r w:rsidRPr="00FB0DAD">
              <w:rPr>
                <w:position w:val="-50"/>
                <w:lang w:val="en-GB"/>
              </w:rPr>
              <w:object w:dxaOrig="999" w:dyaOrig="760" w14:anchorId="0D63F8AC">
                <v:shape id="_x0000_i1029" type="#_x0000_t75" style="width:49.5pt;height:37.5pt" o:ole="">
                  <v:imagedata r:id="rId20" o:title=""/>
                </v:shape>
                <o:OLEObject Type="Embed" ProgID="Equation.DSMT4" ShapeID="_x0000_i1029" DrawAspect="Content" ObjectID="_1762893913" r:id="rId21"/>
              </w:object>
            </w:r>
          </w:p>
        </w:tc>
        <w:tc>
          <w:tcPr>
            <w:tcW w:w="955" w:type="dxa"/>
          </w:tcPr>
          <w:p w14:paraId="08D10F5E" w14:textId="6A6FFC5B" w:rsidR="00FB0DAD" w:rsidRDefault="00FB0DAD" w:rsidP="00F40DE3">
            <w:pPr>
              <w:pStyle w:val="Els-body-text"/>
              <w:spacing w:before="120" w:after="120" w:line="264" w:lineRule="auto"/>
              <w:jc w:val="right"/>
              <w:rPr>
                <w:lang w:val="en-GB"/>
              </w:rPr>
            </w:pPr>
            <w:r>
              <w:rPr>
                <w:lang w:val="en-GB"/>
              </w:rPr>
              <w:fldChar w:fldCharType="begin"/>
            </w:r>
            <w:r>
              <w:rPr>
                <w:lang w:val="en-GB"/>
              </w:rPr>
              <w:instrText xml:space="preserve"> MACROBUTTON MTPlaceRef \* MERGEFORMAT </w:instrText>
            </w:r>
            <w:r>
              <w:rPr>
                <w:lang w:val="en-GB"/>
              </w:rPr>
              <w:fldChar w:fldCharType="begin"/>
            </w:r>
            <w:r>
              <w:rPr>
                <w:lang w:val="en-GB"/>
              </w:rPr>
              <w:instrText xml:space="preserve"> SEQ MTEqn \h \* MERGEFORMAT </w:instrText>
            </w:r>
            <w:r>
              <w:rPr>
                <w:lang w:val="en-GB"/>
              </w:rPr>
              <w:fldChar w:fldCharType="end"/>
            </w:r>
            <w:r>
              <w:rPr>
                <w:lang w:val="en-GB"/>
              </w:rPr>
              <w:instrText>(</w:instrText>
            </w:r>
            <w:r>
              <w:rPr>
                <w:lang w:val="en-GB"/>
              </w:rPr>
              <w:fldChar w:fldCharType="begin"/>
            </w:r>
            <w:r>
              <w:rPr>
                <w:lang w:val="en-GB"/>
              </w:rPr>
              <w:instrText xml:space="preserve"> SEQ MTEqn \c \* Arabic \* MERGEFORMAT </w:instrText>
            </w:r>
            <w:r>
              <w:rPr>
                <w:lang w:val="en-GB"/>
              </w:rPr>
              <w:fldChar w:fldCharType="separate"/>
            </w:r>
            <w:r w:rsidR="00710E8C">
              <w:rPr>
                <w:noProof/>
                <w:lang w:val="en-GB"/>
              </w:rPr>
              <w:instrText>6</w:instrText>
            </w:r>
            <w:r>
              <w:rPr>
                <w:lang w:val="en-GB"/>
              </w:rPr>
              <w:fldChar w:fldCharType="end"/>
            </w:r>
            <w:r>
              <w:rPr>
                <w:lang w:val="en-GB"/>
              </w:rPr>
              <w:instrText>)</w:instrText>
            </w:r>
            <w:r>
              <w:rPr>
                <w:lang w:val="en-GB"/>
              </w:rPr>
              <w:fldChar w:fldCharType="end"/>
            </w:r>
          </w:p>
        </w:tc>
      </w:tr>
    </w:tbl>
    <w:p w14:paraId="17D51ABE" w14:textId="460F62CF" w:rsidR="009D2782" w:rsidRDefault="00F34C02" w:rsidP="00FD269C">
      <w:pPr>
        <w:pStyle w:val="Els-body-text"/>
      </w:pPr>
      <w:r>
        <w:t xml:space="preserve">For the other nodes, the mass flow rate between nodes </w:t>
      </w:r>
      <w:r w:rsidR="00317C90">
        <w:rPr>
          <w:i/>
          <w:iCs/>
        </w:rPr>
        <w:t>b</w:t>
      </w:r>
      <w:r w:rsidR="00317C90">
        <w:rPr>
          <w:i/>
          <w:iCs/>
          <w:vertAlign w:val="subscript"/>
        </w:rPr>
        <w:t>1</w:t>
      </w:r>
      <w:r w:rsidR="00317C90">
        <w:rPr>
          <w:i/>
          <w:iCs/>
        </w:rPr>
        <w:t xml:space="preserve"> </w:t>
      </w:r>
      <w:r w:rsidR="00317C90">
        <w:t xml:space="preserve">and </w:t>
      </w:r>
      <w:r w:rsidR="00317C90">
        <w:rPr>
          <w:i/>
          <w:iCs/>
        </w:rPr>
        <w:t>b</w:t>
      </w:r>
      <w:r w:rsidR="00317C90">
        <w:rPr>
          <w:i/>
          <w:iCs/>
          <w:vertAlign w:val="subscript"/>
        </w:rPr>
        <w:t>2</w:t>
      </w:r>
      <w:r w:rsidR="004242A7">
        <w:t xml:space="preserve"> </w:t>
      </w:r>
      <w:r>
        <w:t>is given</w:t>
      </w:r>
      <w:r w:rsidR="004242A7">
        <w:t xml:space="preserve"> by: </w:t>
      </w:r>
    </w:p>
    <w:tbl>
      <w:tblPr>
        <w:tblW w:w="7077" w:type="dxa"/>
        <w:tblLook w:val="04A0" w:firstRow="1" w:lastRow="0" w:firstColumn="1" w:lastColumn="0" w:noHBand="0" w:noVBand="1"/>
      </w:tblPr>
      <w:tblGrid>
        <w:gridCol w:w="6122"/>
        <w:gridCol w:w="955"/>
      </w:tblGrid>
      <w:tr w:rsidR="004242A7" w14:paraId="6D71E908" w14:textId="77777777" w:rsidTr="0CC8C185">
        <w:tc>
          <w:tcPr>
            <w:tcW w:w="6122" w:type="dxa"/>
          </w:tcPr>
          <w:p w14:paraId="58B89C37" w14:textId="77777777" w:rsidR="004242A7" w:rsidRDefault="004242A7" w:rsidP="00F40DE3">
            <w:pPr>
              <w:pStyle w:val="Els-body-text"/>
              <w:tabs>
                <w:tab w:val="center" w:pos="2950"/>
                <w:tab w:val="right" w:pos="5900"/>
              </w:tabs>
              <w:spacing w:before="120" w:after="120" w:line="264" w:lineRule="auto"/>
              <w:rPr>
                <w:lang w:val="en-GB"/>
              </w:rPr>
            </w:pPr>
            <w:r w:rsidRPr="000C7C4A">
              <w:rPr>
                <w:position w:val="-14"/>
                <w:lang w:val="en-GB"/>
              </w:rPr>
              <w:object w:dxaOrig="2980" w:dyaOrig="400" w14:anchorId="24B89854">
                <v:shape id="_x0000_i1030" type="#_x0000_t75" style="width:148.5pt;height:19.5pt" o:ole="">
                  <v:imagedata r:id="rId22" o:title=""/>
                </v:shape>
                <o:OLEObject Type="Embed" ProgID="Equation.DSMT4" ShapeID="_x0000_i1030" DrawAspect="Content" ObjectID="_1762893914" r:id="rId23"/>
              </w:object>
            </w:r>
          </w:p>
        </w:tc>
        <w:tc>
          <w:tcPr>
            <w:tcW w:w="955" w:type="dxa"/>
          </w:tcPr>
          <w:p w14:paraId="3D4DD1AF" w14:textId="25C72E1B" w:rsidR="004242A7" w:rsidRDefault="004242A7" w:rsidP="00F40DE3">
            <w:pPr>
              <w:pStyle w:val="Els-body-text"/>
              <w:spacing w:before="120" w:after="120" w:line="264" w:lineRule="auto"/>
              <w:jc w:val="right"/>
              <w:rPr>
                <w:lang w:val="en-GB"/>
              </w:rPr>
            </w:pPr>
            <w:r>
              <w:rPr>
                <w:lang w:val="en-GB"/>
              </w:rPr>
              <w:fldChar w:fldCharType="begin"/>
            </w:r>
            <w:r>
              <w:rPr>
                <w:lang w:val="en-GB"/>
              </w:rPr>
              <w:instrText xml:space="preserve"> MACROBUTTON MTPlaceRef \* MERGEFORMAT </w:instrText>
            </w:r>
            <w:r>
              <w:rPr>
                <w:lang w:val="en-GB"/>
              </w:rPr>
              <w:fldChar w:fldCharType="begin"/>
            </w:r>
            <w:r>
              <w:rPr>
                <w:lang w:val="en-GB"/>
              </w:rPr>
              <w:instrText xml:space="preserve"> SEQ MTEqn \h \* MERGEFORMAT </w:instrText>
            </w:r>
            <w:r>
              <w:rPr>
                <w:lang w:val="en-GB"/>
              </w:rPr>
              <w:fldChar w:fldCharType="end"/>
            </w:r>
            <w:r>
              <w:rPr>
                <w:lang w:val="en-GB"/>
              </w:rPr>
              <w:instrText>(</w:instrText>
            </w:r>
            <w:r>
              <w:rPr>
                <w:lang w:val="en-GB"/>
              </w:rPr>
              <w:fldChar w:fldCharType="begin"/>
            </w:r>
            <w:r>
              <w:rPr>
                <w:lang w:val="en-GB"/>
              </w:rPr>
              <w:instrText xml:space="preserve"> SEQ MTEqn \c \* Arabic \* MERGEFORMAT </w:instrText>
            </w:r>
            <w:r>
              <w:rPr>
                <w:lang w:val="en-GB"/>
              </w:rPr>
              <w:fldChar w:fldCharType="separate"/>
            </w:r>
            <w:r w:rsidR="00710E8C">
              <w:rPr>
                <w:noProof/>
                <w:lang w:val="en-GB"/>
              </w:rPr>
              <w:instrText>7</w:instrText>
            </w:r>
            <w:r>
              <w:rPr>
                <w:lang w:val="en-GB"/>
              </w:rPr>
              <w:fldChar w:fldCharType="end"/>
            </w:r>
            <w:r>
              <w:rPr>
                <w:lang w:val="en-GB"/>
              </w:rPr>
              <w:instrText>)</w:instrText>
            </w:r>
            <w:r>
              <w:rPr>
                <w:lang w:val="en-GB"/>
              </w:rPr>
              <w:fldChar w:fldCharType="end"/>
            </w:r>
          </w:p>
        </w:tc>
      </w:tr>
    </w:tbl>
    <w:p w14:paraId="698F326E" w14:textId="047F3E6D" w:rsidR="00DD27C4" w:rsidRDefault="00317C90" w:rsidP="00FD269C">
      <w:pPr>
        <w:pStyle w:val="Els-body-text"/>
      </w:pPr>
      <w:r>
        <w:t>Where</w:t>
      </w:r>
      <w:r w:rsidR="542B571E">
        <w:t>,</w:t>
      </w:r>
      <w:r>
        <w:t xml:space="preserve"> </w:t>
      </w:r>
      <m:oMath>
        <m:sSub>
          <m:sSubPr>
            <m:ctrlPr>
              <w:rPr>
                <w:rFonts w:ascii="Cambria Math" w:hAnsi="Cambria Math"/>
                <w:i/>
              </w:rPr>
            </m:ctrlPr>
          </m:sSubPr>
          <m:e>
            <m:r>
              <w:rPr>
                <w:rFonts w:ascii="Cambria Math" w:hAnsi="Cambria Math"/>
              </w:rPr>
              <m:t>S</m:t>
            </m:r>
          </m:e>
          <m:sub>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,cc</m:t>
            </m:r>
          </m:sub>
        </m:sSub>
      </m:oMath>
      <w:r>
        <w:t xml:space="preserve"> is the separation coefficient, which is </w:t>
      </w:r>
      <w:r w:rsidR="00FB14F4">
        <w:t xml:space="preserve">a </w:t>
      </w:r>
      <w:r>
        <w:t xml:space="preserve">pre-determined parameter based on process simulations that </w:t>
      </w:r>
      <w:r w:rsidR="00FB14F4">
        <w:t>assign</w:t>
      </w:r>
      <w:r w:rsidR="00AD72A8">
        <w:t xml:space="preserve"> the distribution of each component over the outgoing streams. </w:t>
      </w:r>
      <w:r w:rsidR="002138B8">
        <w:t xml:space="preserve">After the definition of the equations of the material layer, the equations for the energy layer </w:t>
      </w:r>
      <w:r w:rsidR="6DCF34E1">
        <w:t xml:space="preserve">were </w:t>
      </w:r>
      <w:r w:rsidR="002138B8">
        <w:t xml:space="preserve">defined. </w:t>
      </w:r>
      <w:r w:rsidR="006B5BE0">
        <w:t xml:space="preserve">Contrary to the material equations, the available energy connections were not explicitly defined, and </w:t>
      </w:r>
      <w:r w:rsidR="7E9E9B2D">
        <w:t>the</w:t>
      </w:r>
      <w:r w:rsidR="006B5BE0">
        <w:t xml:space="preserve"> potential connections</w:t>
      </w:r>
      <w:r w:rsidR="00405EC5">
        <w:t xml:space="preserve"> between nodes</w:t>
      </w:r>
      <w:r w:rsidR="006B5BE0">
        <w:t xml:space="preserve"> c</w:t>
      </w:r>
      <w:r w:rsidR="113F3893">
        <w:t>an</w:t>
      </w:r>
      <w:r w:rsidR="006B5BE0">
        <w:t xml:space="preserve"> be considered </w:t>
      </w:r>
      <w:r w:rsidR="00405EC5">
        <w:t xml:space="preserve">based on the proximity of the other nodes. </w:t>
      </w:r>
      <w:r w:rsidR="0017467D">
        <w:t>The energy</w:t>
      </w:r>
      <w:r w:rsidR="00FD6BE7">
        <w:t xml:space="preserve"> of type </w:t>
      </w:r>
      <w:r w:rsidR="00FD6BE7">
        <w:rPr>
          <w:i/>
          <w:iCs/>
        </w:rPr>
        <w:t>cu</w:t>
      </w:r>
      <w:r w:rsidR="0017467D">
        <w:t xml:space="preserve"> supplied by a process or utility node </w:t>
      </w:r>
      <m:oMath>
        <m:sSubSup>
          <m:sSubSupPr>
            <m:ctrlPr>
              <w:rPr>
                <w:rFonts w:ascii="Cambria Math" w:hAnsi="Cambria Math"/>
                <w:i/>
              </w:rPr>
            </m:ctrlPr>
          </m:sSubSupPr>
          <m:e>
            <m:r>
              <w:rPr>
                <w:rFonts w:ascii="Cambria Math" w:hAnsi="Cambria Math"/>
              </w:rPr>
              <m:t>E</m:t>
            </m:r>
          </m:e>
          <m:sub>
            <m:r>
              <w:rPr>
                <w:rFonts w:ascii="Cambria Math" w:hAnsi="Cambria Math"/>
              </w:rPr>
              <m:t>p,cu</m:t>
            </m:r>
          </m:sub>
          <m:sup>
            <m:r>
              <w:rPr>
                <w:rFonts w:ascii="Cambria Math" w:hAnsi="Cambria Math"/>
              </w:rPr>
              <m:t>D</m:t>
            </m:r>
          </m:sup>
        </m:sSubSup>
      </m:oMath>
      <w:r w:rsidR="0017467D">
        <w:t xml:space="preserve">is calculated by:  </w:t>
      </w:r>
    </w:p>
    <w:tbl>
      <w:tblPr>
        <w:tblW w:w="7077" w:type="dxa"/>
        <w:tblLook w:val="04A0" w:firstRow="1" w:lastRow="0" w:firstColumn="1" w:lastColumn="0" w:noHBand="0" w:noVBand="1"/>
      </w:tblPr>
      <w:tblGrid>
        <w:gridCol w:w="6121"/>
        <w:gridCol w:w="956"/>
      </w:tblGrid>
      <w:tr w:rsidR="0017467D" w:rsidRPr="00A94774" w14:paraId="6DE7CC11" w14:textId="77777777" w:rsidTr="0CC8C185">
        <w:tc>
          <w:tcPr>
            <w:tcW w:w="6121" w:type="dxa"/>
          </w:tcPr>
          <w:p w14:paraId="628B54A3" w14:textId="77777777" w:rsidR="0017467D" w:rsidRPr="00A94774" w:rsidRDefault="0017467D" w:rsidP="00F40DE3">
            <w:pPr>
              <w:pStyle w:val="Els-body-text"/>
              <w:tabs>
                <w:tab w:val="center" w:pos="2950"/>
                <w:tab w:val="right" w:pos="5900"/>
              </w:tabs>
              <w:spacing w:before="120" w:after="120" w:line="264" w:lineRule="auto"/>
              <w:rPr>
                <w:lang w:val="en-GB"/>
              </w:rPr>
            </w:pPr>
            <w:r w:rsidRPr="00130116">
              <w:rPr>
                <w:position w:val="-14"/>
                <w:lang w:val="en-GB"/>
              </w:rPr>
              <w:object w:dxaOrig="2160" w:dyaOrig="400" w14:anchorId="2B5B2446">
                <v:shape id="_x0000_i1031" type="#_x0000_t75" style="width:108.75pt;height:19.5pt" o:ole="">
                  <v:imagedata r:id="rId24" o:title=""/>
                </v:shape>
                <o:OLEObject Type="Embed" ProgID="Equation.DSMT4" ShapeID="_x0000_i1031" DrawAspect="Content" ObjectID="_1762893915" r:id="rId25"/>
              </w:object>
            </w:r>
          </w:p>
        </w:tc>
        <w:tc>
          <w:tcPr>
            <w:tcW w:w="956" w:type="dxa"/>
          </w:tcPr>
          <w:p w14:paraId="163AEECC" w14:textId="3872EB8D" w:rsidR="0017467D" w:rsidRPr="00A94774" w:rsidRDefault="0017467D" w:rsidP="00F40DE3">
            <w:pPr>
              <w:pStyle w:val="Els-body-text"/>
              <w:spacing w:before="120" w:after="120" w:line="264" w:lineRule="auto"/>
              <w:jc w:val="right"/>
              <w:rPr>
                <w:lang w:val="en-GB"/>
              </w:rPr>
            </w:pPr>
            <w:r>
              <w:rPr>
                <w:lang w:val="en-GB"/>
              </w:rPr>
              <w:fldChar w:fldCharType="begin"/>
            </w:r>
            <w:r>
              <w:rPr>
                <w:lang w:val="en-GB"/>
              </w:rPr>
              <w:instrText xml:space="preserve"> MACROBUTTON MTPlaceRef \* MERGEFORMAT </w:instrText>
            </w:r>
            <w:r>
              <w:rPr>
                <w:lang w:val="en-GB"/>
              </w:rPr>
              <w:fldChar w:fldCharType="begin"/>
            </w:r>
            <w:r>
              <w:rPr>
                <w:lang w:val="en-GB"/>
              </w:rPr>
              <w:instrText xml:space="preserve"> SEQ MTEqn \h \* MERGEFORMAT </w:instrText>
            </w:r>
            <w:r>
              <w:rPr>
                <w:lang w:val="en-GB"/>
              </w:rPr>
              <w:fldChar w:fldCharType="end"/>
            </w:r>
            <w:r>
              <w:rPr>
                <w:lang w:val="en-GB"/>
              </w:rPr>
              <w:instrText>(</w:instrText>
            </w:r>
            <w:r>
              <w:rPr>
                <w:lang w:val="en-GB"/>
              </w:rPr>
              <w:fldChar w:fldCharType="begin"/>
            </w:r>
            <w:r>
              <w:rPr>
                <w:lang w:val="en-GB"/>
              </w:rPr>
              <w:instrText xml:space="preserve"> SEQ MTEqn \c \* Arabic \* MERGEFORMAT </w:instrText>
            </w:r>
            <w:r>
              <w:rPr>
                <w:lang w:val="en-GB"/>
              </w:rPr>
              <w:fldChar w:fldCharType="separate"/>
            </w:r>
            <w:r w:rsidR="00710E8C">
              <w:rPr>
                <w:noProof/>
                <w:lang w:val="en-GB"/>
              </w:rPr>
              <w:instrText>8</w:instrText>
            </w:r>
            <w:r>
              <w:rPr>
                <w:lang w:val="en-GB"/>
              </w:rPr>
              <w:fldChar w:fldCharType="end"/>
            </w:r>
            <w:r>
              <w:rPr>
                <w:lang w:val="en-GB"/>
              </w:rPr>
              <w:instrText>)</w:instrText>
            </w:r>
            <w:r>
              <w:rPr>
                <w:lang w:val="en-GB"/>
              </w:rPr>
              <w:fldChar w:fldCharType="end"/>
            </w:r>
          </w:p>
        </w:tc>
      </w:tr>
    </w:tbl>
    <w:p w14:paraId="10B63A84" w14:textId="5051C2F4" w:rsidR="0017467D" w:rsidRDefault="00456BB8" w:rsidP="00FD269C">
      <w:pPr>
        <w:pStyle w:val="Els-body-text"/>
      </w:pPr>
      <w:r>
        <w:t>while</w:t>
      </w:r>
      <w:r w:rsidR="00223BBD">
        <w:t xml:space="preserve"> the energy demanded by a process or utility node is given by: </w:t>
      </w:r>
    </w:p>
    <w:tbl>
      <w:tblPr>
        <w:tblW w:w="7077" w:type="dxa"/>
        <w:tblLook w:val="04A0" w:firstRow="1" w:lastRow="0" w:firstColumn="1" w:lastColumn="0" w:noHBand="0" w:noVBand="1"/>
      </w:tblPr>
      <w:tblGrid>
        <w:gridCol w:w="6121"/>
        <w:gridCol w:w="956"/>
      </w:tblGrid>
      <w:tr w:rsidR="00223BBD" w14:paraId="2DA020CA" w14:textId="77777777" w:rsidTr="0CC8C185">
        <w:tc>
          <w:tcPr>
            <w:tcW w:w="6121" w:type="dxa"/>
          </w:tcPr>
          <w:p w14:paraId="46F581A1" w14:textId="77777777" w:rsidR="00223BBD" w:rsidRDefault="00223BBD" w:rsidP="00F40DE3">
            <w:pPr>
              <w:pStyle w:val="Els-body-text"/>
              <w:tabs>
                <w:tab w:val="center" w:pos="2950"/>
                <w:tab w:val="right" w:pos="5900"/>
              </w:tabs>
              <w:spacing w:before="120" w:after="120" w:line="264" w:lineRule="auto"/>
              <w:rPr>
                <w:lang w:val="en-GB"/>
              </w:rPr>
            </w:pPr>
            <w:r w:rsidRPr="00BA47FB">
              <w:rPr>
                <w:position w:val="-14"/>
                <w:lang w:val="en-GB"/>
              </w:rPr>
              <w:object w:dxaOrig="2160" w:dyaOrig="400" w14:anchorId="577BE463">
                <v:shape id="_x0000_i1032" type="#_x0000_t75" style="width:108.75pt;height:19.5pt" o:ole="">
                  <v:imagedata r:id="rId26" o:title=""/>
                </v:shape>
                <o:OLEObject Type="Embed" ProgID="Equation.DSMT4" ShapeID="_x0000_i1032" DrawAspect="Content" ObjectID="_1762893916" r:id="rId27"/>
              </w:object>
            </w:r>
          </w:p>
        </w:tc>
        <w:tc>
          <w:tcPr>
            <w:tcW w:w="956" w:type="dxa"/>
          </w:tcPr>
          <w:p w14:paraId="537AEB42" w14:textId="6CB289F0" w:rsidR="00223BBD" w:rsidRDefault="00223BBD" w:rsidP="00F40DE3">
            <w:pPr>
              <w:pStyle w:val="Els-body-text"/>
              <w:spacing w:before="120" w:after="120" w:line="264" w:lineRule="auto"/>
              <w:jc w:val="right"/>
              <w:rPr>
                <w:lang w:val="en-GB"/>
              </w:rPr>
            </w:pPr>
            <w:r>
              <w:rPr>
                <w:lang w:val="en-GB"/>
              </w:rPr>
              <w:fldChar w:fldCharType="begin"/>
            </w:r>
            <w:r>
              <w:rPr>
                <w:lang w:val="en-GB"/>
              </w:rPr>
              <w:instrText xml:space="preserve"> MACROBUTTON MTPlaceRef \* MERGEFORMAT </w:instrText>
            </w:r>
            <w:r>
              <w:rPr>
                <w:lang w:val="en-GB"/>
              </w:rPr>
              <w:fldChar w:fldCharType="begin"/>
            </w:r>
            <w:r>
              <w:rPr>
                <w:lang w:val="en-GB"/>
              </w:rPr>
              <w:instrText xml:space="preserve"> SEQ MTEqn \h \* MERGEFORMAT </w:instrText>
            </w:r>
            <w:r>
              <w:rPr>
                <w:lang w:val="en-GB"/>
              </w:rPr>
              <w:fldChar w:fldCharType="end"/>
            </w:r>
            <w:r>
              <w:rPr>
                <w:lang w:val="en-GB"/>
              </w:rPr>
              <w:instrText>(</w:instrText>
            </w:r>
            <w:r>
              <w:rPr>
                <w:lang w:val="en-GB"/>
              </w:rPr>
              <w:fldChar w:fldCharType="begin"/>
            </w:r>
            <w:r>
              <w:rPr>
                <w:lang w:val="en-GB"/>
              </w:rPr>
              <w:instrText xml:space="preserve"> SEQ MTEqn \c \* Arabic \* MERGEFORMAT </w:instrText>
            </w:r>
            <w:r>
              <w:rPr>
                <w:lang w:val="en-GB"/>
              </w:rPr>
              <w:fldChar w:fldCharType="separate"/>
            </w:r>
            <w:r w:rsidR="00710E8C">
              <w:rPr>
                <w:noProof/>
                <w:lang w:val="en-GB"/>
              </w:rPr>
              <w:instrText>9</w:instrText>
            </w:r>
            <w:r>
              <w:rPr>
                <w:lang w:val="en-GB"/>
              </w:rPr>
              <w:fldChar w:fldCharType="end"/>
            </w:r>
            <w:r>
              <w:rPr>
                <w:lang w:val="en-GB"/>
              </w:rPr>
              <w:instrText>)</w:instrText>
            </w:r>
            <w:r>
              <w:rPr>
                <w:lang w:val="en-GB"/>
              </w:rPr>
              <w:fldChar w:fldCharType="end"/>
            </w:r>
          </w:p>
        </w:tc>
      </w:tr>
    </w:tbl>
    <w:p w14:paraId="099EC2EF" w14:textId="718B188C" w:rsidR="00E46165" w:rsidRDefault="00456BB8" w:rsidP="00FD269C">
      <w:pPr>
        <w:pStyle w:val="Els-body-text"/>
      </w:pPr>
      <w:r>
        <w:t>Where</w:t>
      </w:r>
      <w:r w:rsidR="4C1A7FFC">
        <w:t>,</w:t>
      </w:r>
      <w:r>
        <w:t xml:space="preserve"> </w:t>
      </w:r>
      <m:oMath>
        <m:sSubSup>
          <m:sSubSupPr>
            <m:ctrlPr>
              <w:rPr>
                <w:rFonts w:ascii="Cambria Math" w:hAnsi="Cambria Math"/>
                <w:i/>
              </w:rPr>
            </m:ctrlPr>
          </m:sSubSupPr>
          <m:e>
            <m:r>
              <w:rPr>
                <w:rFonts w:ascii="Cambria Math" w:hAnsi="Cambria Math"/>
              </w:rPr>
              <m:t>X</m:t>
            </m:r>
          </m:e>
          <m:sub>
            <m:r>
              <w:rPr>
                <w:rFonts w:ascii="Cambria Math" w:hAnsi="Cambria Math"/>
              </w:rPr>
              <m:t>p,cu</m:t>
            </m:r>
          </m:sub>
          <m:sup>
            <m:r>
              <w:rPr>
                <w:rFonts w:ascii="Cambria Math" w:hAnsi="Cambria Math"/>
              </w:rPr>
              <m:t>D</m:t>
            </m:r>
          </m:sup>
        </m:sSubSup>
      </m:oMath>
      <w:r>
        <w:t xml:space="preserve"> is the energy demand coefficient of type </w:t>
      </w:r>
      <w:r>
        <w:rPr>
          <w:i/>
          <w:iCs/>
        </w:rPr>
        <w:t xml:space="preserve">cu </w:t>
      </w:r>
      <w:r>
        <w:t xml:space="preserve">and </w:t>
      </w:r>
      <m:oMath>
        <m:sSubSup>
          <m:sSubSupPr>
            <m:ctrlPr>
              <w:rPr>
                <w:rFonts w:ascii="Cambria Math" w:hAnsi="Cambria Math"/>
                <w:i/>
              </w:rPr>
            </m:ctrlPr>
          </m:sSubSupPr>
          <m:e>
            <m:r>
              <w:rPr>
                <w:rFonts w:ascii="Cambria Math" w:hAnsi="Cambria Math"/>
              </w:rPr>
              <m:t>X</m:t>
            </m:r>
          </m:e>
          <m:sub>
            <m:r>
              <w:rPr>
                <w:rFonts w:ascii="Cambria Math" w:hAnsi="Cambria Math"/>
              </w:rPr>
              <m:t>p,cu</m:t>
            </m:r>
          </m:sub>
          <m:sup>
            <m:r>
              <w:rPr>
                <w:rFonts w:ascii="Cambria Math" w:hAnsi="Cambria Math"/>
              </w:rPr>
              <m:t>S</m:t>
            </m:r>
          </m:sup>
        </m:sSubSup>
      </m:oMath>
      <w:r>
        <w:t xml:space="preserve">is the energy supply coefficient. These coefficients relate the energy supplied and demanded to the mass </w:t>
      </w:r>
      <w:r w:rsidR="00FB14F4">
        <w:t>flow rate</w:t>
      </w:r>
      <w:r>
        <w:t xml:space="preserve"> of the limiting component entering the process or utility node, thereby linking the material and energy equations. </w:t>
      </w:r>
      <w:r w:rsidR="3B2755D1">
        <w:t>To</w:t>
      </w:r>
      <w:r w:rsidR="00C70788">
        <w:t xml:space="preserve"> </w:t>
      </w:r>
      <w:r w:rsidR="00E46165">
        <w:t xml:space="preserve">solve the energy equation, the energy balance </w:t>
      </w:r>
      <w:r w:rsidR="00FB14F4">
        <w:t>needs</w:t>
      </w:r>
      <w:r w:rsidR="00E46165">
        <w:t xml:space="preserve"> to close </w:t>
      </w:r>
      <w:r w:rsidR="3B5F3F11">
        <w:t>so</w:t>
      </w:r>
      <w:r w:rsidR="00E46165">
        <w:t>:</w:t>
      </w:r>
    </w:p>
    <w:tbl>
      <w:tblPr>
        <w:tblW w:w="7077" w:type="dxa"/>
        <w:tblLook w:val="04A0" w:firstRow="1" w:lastRow="0" w:firstColumn="1" w:lastColumn="0" w:noHBand="0" w:noVBand="1"/>
      </w:tblPr>
      <w:tblGrid>
        <w:gridCol w:w="6121"/>
        <w:gridCol w:w="956"/>
      </w:tblGrid>
      <w:tr w:rsidR="00E46165" w:rsidRPr="00A94774" w14:paraId="255ADBC7" w14:textId="77777777" w:rsidTr="0CC8C185">
        <w:tc>
          <w:tcPr>
            <w:tcW w:w="6121" w:type="dxa"/>
          </w:tcPr>
          <w:p w14:paraId="4EA0EB2A" w14:textId="704BAF9C" w:rsidR="00E46165" w:rsidRPr="00A94774" w:rsidRDefault="00431D50" w:rsidP="00F40DE3">
            <w:pPr>
              <w:pStyle w:val="Els-body-text"/>
              <w:tabs>
                <w:tab w:val="center" w:pos="2950"/>
                <w:tab w:val="right" w:pos="5900"/>
              </w:tabs>
              <w:spacing w:before="120" w:after="120" w:line="264" w:lineRule="auto"/>
              <w:rPr>
                <w:lang w:val="en-GB"/>
              </w:rPr>
            </w:pPr>
            <w:r w:rsidRPr="000828B8">
              <w:rPr>
                <w:position w:val="-28"/>
                <w:lang w:val="en-GB"/>
              </w:rPr>
              <w:object w:dxaOrig="1700" w:dyaOrig="540" w14:anchorId="584E4B05">
                <v:shape id="_x0000_i1033" type="#_x0000_t75" style="width:84.75pt;height:24.75pt" o:ole="">
                  <v:imagedata r:id="rId28" o:title=""/>
                </v:shape>
                <o:OLEObject Type="Embed" ProgID="Equation.DSMT4" ShapeID="_x0000_i1033" DrawAspect="Content" ObjectID="_1762893917" r:id="rId29"/>
              </w:object>
            </w:r>
          </w:p>
        </w:tc>
        <w:tc>
          <w:tcPr>
            <w:tcW w:w="956" w:type="dxa"/>
          </w:tcPr>
          <w:p w14:paraId="0E6A76C3" w14:textId="091EE8B2" w:rsidR="00E46165" w:rsidRPr="00A94774" w:rsidRDefault="00E46165" w:rsidP="00F40DE3">
            <w:pPr>
              <w:pStyle w:val="Els-body-text"/>
              <w:spacing w:before="120" w:after="120" w:line="264" w:lineRule="auto"/>
              <w:jc w:val="right"/>
              <w:rPr>
                <w:lang w:val="en-GB"/>
              </w:rPr>
            </w:pPr>
            <w:r>
              <w:rPr>
                <w:lang w:val="en-GB"/>
              </w:rPr>
              <w:fldChar w:fldCharType="begin"/>
            </w:r>
            <w:r>
              <w:rPr>
                <w:lang w:val="en-GB"/>
              </w:rPr>
              <w:instrText xml:space="preserve"> MACROBUTTON MTPlaceRef \* MERGEFORMAT </w:instrText>
            </w:r>
            <w:r>
              <w:rPr>
                <w:lang w:val="en-GB"/>
              </w:rPr>
              <w:fldChar w:fldCharType="begin"/>
            </w:r>
            <w:r>
              <w:rPr>
                <w:lang w:val="en-GB"/>
              </w:rPr>
              <w:instrText xml:space="preserve"> SEQ MTEqn \h \* MERGEFORMAT </w:instrText>
            </w:r>
            <w:r>
              <w:rPr>
                <w:lang w:val="en-GB"/>
              </w:rPr>
              <w:fldChar w:fldCharType="end"/>
            </w:r>
            <w:r>
              <w:rPr>
                <w:lang w:val="en-GB"/>
              </w:rPr>
              <w:instrText>(</w:instrText>
            </w:r>
            <w:r>
              <w:rPr>
                <w:lang w:val="en-GB"/>
              </w:rPr>
              <w:fldChar w:fldCharType="begin"/>
            </w:r>
            <w:r>
              <w:rPr>
                <w:lang w:val="en-GB"/>
              </w:rPr>
              <w:instrText xml:space="preserve"> SEQ MTEqn \c \* Arabic \* MERGEFORMAT </w:instrText>
            </w:r>
            <w:r>
              <w:rPr>
                <w:lang w:val="en-GB"/>
              </w:rPr>
              <w:fldChar w:fldCharType="separate"/>
            </w:r>
            <w:r w:rsidR="00710E8C">
              <w:rPr>
                <w:noProof/>
                <w:lang w:val="en-GB"/>
              </w:rPr>
              <w:instrText>10</w:instrText>
            </w:r>
            <w:r>
              <w:rPr>
                <w:lang w:val="en-GB"/>
              </w:rPr>
              <w:fldChar w:fldCharType="end"/>
            </w:r>
            <w:r>
              <w:rPr>
                <w:lang w:val="en-GB"/>
              </w:rPr>
              <w:instrText>)</w:instrText>
            </w:r>
            <w:r>
              <w:rPr>
                <w:lang w:val="en-GB"/>
              </w:rPr>
              <w:fldChar w:fldCharType="end"/>
            </w:r>
          </w:p>
        </w:tc>
      </w:tr>
    </w:tbl>
    <w:p w14:paraId="51A38ACD" w14:textId="53C95000" w:rsidR="00C639C6" w:rsidRDefault="003A6FDC" w:rsidP="00FD269C">
      <w:pPr>
        <w:pStyle w:val="Els-body-text"/>
      </w:pPr>
      <w:r>
        <w:t>To ensure, that that the energy leaving a process or utility node does not exceed the energy supplied by the node:</w:t>
      </w:r>
    </w:p>
    <w:tbl>
      <w:tblPr>
        <w:tblW w:w="7077" w:type="dxa"/>
        <w:tblLook w:val="04A0" w:firstRow="1" w:lastRow="0" w:firstColumn="1" w:lastColumn="0" w:noHBand="0" w:noVBand="1"/>
      </w:tblPr>
      <w:tblGrid>
        <w:gridCol w:w="6121"/>
        <w:gridCol w:w="956"/>
      </w:tblGrid>
      <w:tr w:rsidR="00C70788" w:rsidRPr="00A94774" w14:paraId="6E5FC9AC" w14:textId="77777777" w:rsidTr="0CC8C185">
        <w:tc>
          <w:tcPr>
            <w:tcW w:w="6121" w:type="dxa"/>
          </w:tcPr>
          <w:p w14:paraId="2FF5441C" w14:textId="675C5813" w:rsidR="00C70788" w:rsidRPr="00A94774" w:rsidRDefault="00C639C6" w:rsidP="00F40DE3">
            <w:pPr>
              <w:pStyle w:val="Els-body-text"/>
              <w:tabs>
                <w:tab w:val="center" w:pos="2950"/>
                <w:tab w:val="right" w:pos="5900"/>
              </w:tabs>
              <w:spacing w:before="120" w:after="120" w:line="264" w:lineRule="auto"/>
              <w:rPr>
                <w:lang w:val="en-GB"/>
              </w:rPr>
            </w:pPr>
            <w:r w:rsidRPr="00C639C6">
              <w:rPr>
                <w:position w:val="-30"/>
                <w:lang w:val="en-GB"/>
              </w:rPr>
              <w:object w:dxaOrig="2180" w:dyaOrig="560" w14:anchorId="2C721751">
                <v:shape id="_x0000_i1034" type="#_x0000_t75" style="width:108.75pt;height:27.75pt" o:ole="">
                  <v:imagedata r:id="rId30" o:title=""/>
                </v:shape>
                <o:OLEObject Type="Embed" ProgID="Equation.DSMT4" ShapeID="_x0000_i1034" DrawAspect="Content" ObjectID="_1762893918" r:id="rId31"/>
              </w:object>
            </w:r>
          </w:p>
        </w:tc>
        <w:tc>
          <w:tcPr>
            <w:tcW w:w="956" w:type="dxa"/>
          </w:tcPr>
          <w:p w14:paraId="6F42BD29" w14:textId="429B6CAC" w:rsidR="00C70788" w:rsidRPr="00A94774" w:rsidRDefault="00C70788" w:rsidP="00F40DE3">
            <w:pPr>
              <w:pStyle w:val="Els-body-text"/>
              <w:spacing w:before="120" w:after="120" w:line="264" w:lineRule="auto"/>
              <w:jc w:val="right"/>
              <w:rPr>
                <w:lang w:val="en-GB"/>
              </w:rPr>
            </w:pPr>
            <w:r>
              <w:rPr>
                <w:lang w:val="en-GB"/>
              </w:rPr>
              <w:fldChar w:fldCharType="begin"/>
            </w:r>
            <w:r>
              <w:rPr>
                <w:lang w:val="en-GB"/>
              </w:rPr>
              <w:instrText xml:space="preserve"> MACROBUTTON MTPlaceRef \* MERGEFORMAT </w:instrText>
            </w:r>
            <w:r>
              <w:rPr>
                <w:lang w:val="en-GB"/>
              </w:rPr>
              <w:fldChar w:fldCharType="begin"/>
            </w:r>
            <w:r>
              <w:rPr>
                <w:lang w:val="en-GB"/>
              </w:rPr>
              <w:instrText xml:space="preserve"> SEQ MTEqn \h \* MERGEFORMAT </w:instrText>
            </w:r>
            <w:r>
              <w:rPr>
                <w:lang w:val="en-GB"/>
              </w:rPr>
              <w:fldChar w:fldCharType="end"/>
            </w:r>
            <w:r>
              <w:rPr>
                <w:lang w:val="en-GB"/>
              </w:rPr>
              <w:instrText>(</w:instrText>
            </w:r>
            <w:r>
              <w:rPr>
                <w:lang w:val="en-GB"/>
              </w:rPr>
              <w:fldChar w:fldCharType="begin"/>
            </w:r>
            <w:r>
              <w:rPr>
                <w:lang w:val="en-GB"/>
              </w:rPr>
              <w:instrText xml:space="preserve"> SEQ MTEqn \c \* Arabic \* MERGEFORMAT </w:instrText>
            </w:r>
            <w:r>
              <w:rPr>
                <w:lang w:val="en-GB"/>
              </w:rPr>
              <w:fldChar w:fldCharType="separate"/>
            </w:r>
            <w:r w:rsidR="00710E8C">
              <w:rPr>
                <w:noProof/>
                <w:lang w:val="en-GB"/>
              </w:rPr>
              <w:instrText>13</w:instrText>
            </w:r>
            <w:r>
              <w:rPr>
                <w:lang w:val="en-GB"/>
              </w:rPr>
              <w:fldChar w:fldCharType="end"/>
            </w:r>
            <w:r>
              <w:rPr>
                <w:lang w:val="en-GB"/>
              </w:rPr>
              <w:instrText>)</w:instrText>
            </w:r>
            <w:r>
              <w:rPr>
                <w:lang w:val="en-GB"/>
              </w:rPr>
              <w:fldChar w:fldCharType="end"/>
            </w:r>
          </w:p>
        </w:tc>
      </w:tr>
    </w:tbl>
    <w:p w14:paraId="7B241A2D" w14:textId="52F323CA" w:rsidR="00C639C6" w:rsidRDefault="001237C3" w:rsidP="00C70788">
      <w:pPr>
        <w:pStyle w:val="MTDisplayEquation"/>
      </w:pPr>
      <w:r>
        <w:t>Finally</w:t>
      </w:r>
      <w:r w:rsidR="78BC36EB">
        <w:t>,</w:t>
      </w:r>
      <w:r>
        <w:t xml:space="preserve"> to determine the flow of energy between nodes,</w:t>
      </w:r>
    </w:p>
    <w:tbl>
      <w:tblPr>
        <w:tblW w:w="7077" w:type="dxa"/>
        <w:tblLook w:val="04A0" w:firstRow="1" w:lastRow="0" w:firstColumn="1" w:lastColumn="0" w:noHBand="0" w:noVBand="1"/>
      </w:tblPr>
      <w:tblGrid>
        <w:gridCol w:w="6121"/>
        <w:gridCol w:w="956"/>
      </w:tblGrid>
      <w:tr w:rsidR="00C639C6" w:rsidRPr="00A94774" w14:paraId="09068E00" w14:textId="77777777" w:rsidTr="0CC8C185">
        <w:tc>
          <w:tcPr>
            <w:tcW w:w="6121" w:type="dxa"/>
          </w:tcPr>
          <w:p w14:paraId="1B09AE9D" w14:textId="116EC4EF" w:rsidR="00C639C6" w:rsidRPr="00A94774" w:rsidRDefault="00C639C6" w:rsidP="00F40DE3">
            <w:pPr>
              <w:pStyle w:val="Els-body-text"/>
              <w:tabs>
                <w:tab w:val="center" w:pos="2950"/>
                <w:tab w:val="right" w:pos="5900"/>
              </w:tabs>
              <w:spacing w:before="120" w:after="120" w:line="264" w:lineRule="auto"/>
              <w:rPr>
                <w:lang w:val="en-GB"/>
              </w:rPr>
            </w:pPr>
            <w:r w:rsidRPr="00C639C6">
              <w:rPr>
                <w:position w:val="-30"/>
                <w:lang w:val="en-GB"/>
              </w:rPr>
              <w:object w:dxaOrig="4520" w:dyaOrig="560" w14:anchorId="330D29CF">
                <v:shape id="_x0000_i1035" type="#_x0000_t75" style="width:225.75pt;height:27.75pt" o:ole="">
                  <v:imagedata r:id="rId32" o:title=""/>
                </v:shape>
                <o:OLEObject Type="Embed" ProgID="Equation.DSMT4" ShapeID="_x0000_i1035" DrawAspect="Content" ObjectID="_1762893919" r:id="rId33"/>
              </w:object>
            </w:r>
          </w:p>
        </w:tc>
        <w:tc>
          <w:tcPr>
            <w:tcW w:w="956" w:type="dxa"/>
          </w:tcPr>
          <w:p w14:paraId="5D7C6A4A" w14:textId="2EF9DBEB" w:rsidR="00C639C6" w:rsidRPr="00A94774" w:rsidRDefault="00C639C6" w:rsidP="00F40DE3">
            <w:pPr>
              <w:pStyle w:val="Els-body-text"/>
              <w:spacing w:before="120" w:after="120" w:line="264" w:lineRule="auto"/>
              <w:jc w:val="right"/>
              <w:rPr>
                <w:lang w:val="en-GB"/>
              </w:rPr>
            </w:pPr>
            <w:r>
              <w:rPr>
                <w:lang w:val="en-GB"/>
              </w:rPr>
              <w:fldChar w:fldCharType="begin"/>
            </w:r>
            <w:r>
              <w:rPr>
                <w:lang w:val="en-GB"/>
              </w:rPr>
              <w:instrText xml:space="preserve"> MACROBUTTON MTPlaceRef \* MERGEFORMAT </w:instrText>
            </w:r>
            <w:r>
              <w:rPr>
                <w:lang w:val="en-GB"/>
              </w:rPr>
              <w:fldChar w:fldCharType="begin"/>
            </w:r>
            <w:r>
              <w:rPr>
                <w:lang w:val="en-GB"/>
              </w:rPr>
              <w:instrText xml:space="preserve"> SEQ MTEqn \h \* MERGEFORMAT </w:instrText>
            </w:r>
            <w:r>
              <w:rPr>
                <w:lang w:val="en-GB"/>
              </w:rPr>
              <w:fldChar w:fldCharType="end"/>
            </w:r>
            <w:r>
              <w:rPr>
                <w:lang w:val="en-GB"/>
              </w:rPr>
              <w:instrText>(</w:instrText>
            </w:r>
            <w:r>
              <w:rPr>
                <w:lang w:val="en-GB"/>
              </w:rPr>
              <w:fldChar w:fldCharType="begin"/>
            </w:r>
            <w:r>
              <w:rPr>
                <w:lang w:val="en-GB"/>
              </w:rPr>
              <w:instrText xml:space="preserve"> SEQ MTEqn \c \* Arabic \* MERGEFORMAT </w:instrText>
            </w:r>
            <w:r>
              <w:rPr>
                <w:lang w:val="en-GB"/>
              </w:rPr>
              <w:fldChar w:fldCharType="separate"/>
            </w:r>
            <w:r w:rsidR="00710E8C">
              <w:rPr>
                <w:noProof/>
                <w:lang w:val="en-GB"/>
              </w:rPr>
              <w:instrText>14</w:instrText>
            </w:r>
            <w:r>
              <w:rPr>
                <w:lang w:val="en-GB"/>
              </w:rPr>
              <w:fldChar w:fldCharType="end"/>
            </w:r>
            <w:r>
              <w:rPr>
                <w:lang w:val="en-GB"/>
              </w:rPr>
              <w:instrText>)</w:instrText>
            </w:r>
            <w:r>
              <w:rPr>
                <w:lang w:val="en-GB"/>
              </w:rPr>
              <w:fldChar w:fldCharType="end"/>
            </w:r>
          </w:p>
        </w:tc>
      </w:tr>
    </w:tbl>
    <w:p w14:paraId="4E6A0A0E" w14:textId="27E29C00" w:rsidR="00502030" w:rsidRDefault="2278573A" w:rsidP="00996140">
      <w:pPr>
        <w:rPr>
          <w:lang w:val="en-US"/>
        </w:rPr>
      </w:pPr>
      <w:r w:rsidRPr="722CB73E">
        <w:rPr>
          <w:lang w:val="en-US"/>
        </w:rPr>
        <w:t>In this paper, f</w:t>
      </w:r>
      <w:r w:rsidR="00EA0983" w:rsidRPr="722CB73E">
        <w:rPr>
          <w:lang w:val="en-US"/>
        </w:rPr>
        <w:t>or the objective function, the flow of the carbon sources was minimized</w:t>
      </w:r>
      <w:r w:rsidR="12FC7A2E" w:rsidRPr="5EC8266B">
        <w:rPr>
          <w:lang w:val="en-US"/>
        </w:rPr>
        <w:t>,</w:t>
      </w:r>
      <w:r w:rsidR="00EA0983" w:rsidRPr="722CB73E">
        <w:rPr>
          <w:lang w:val="en-US"/>
        </w:rPr>
        <w:t xml:space="preserve"> and the availability of carbon sources was limited to obtain different optimal configurations. </w:t>
      </w:r>
    </w:p>
    <w:p w14:paraId="3EDC0494" w14:textId="65127871" w:rsidR="00DA5762" w:rsidRDefault="003F66E5" w:rsidP="00FD269C">
      <w:pPr>
        <w:pStyle w:val="Els-1storder-head"/>
      </w:pPr>
      <w:r>
        <w:t xml:space="preserve">Case study </w:t>
      </w:r>
    </w:p>
    <w:p w14:paraId="4FFBDD4F" w14:textId="0E4DF263" w:rsidR="00E72C2D" w:rsidRDefault="00DA11FD" w:rsidP="00E72C2D">
      <w:pPr>
        <w:pStyle w:val="Els-body-text"/>
      </w:pPr>
      <w:r>
        <w:t xml:space="preserve">To </w:t>
      </w:r>
      <w:r w:rsidR="66412C11">
        <w:t>illustrate</w:t>
      </w:r>
      <w:r>
        <w:t xml:space="preserve"> the method, </w:t>
      </w:r>
      <w:r w:rsidR="08DD517C">
        <w:t xml:space="preserve">we examine the potential </w:t>
      </w:r>
      <w:r w:rsidR="606AE833">
        <w:t>of ACS</w:t>
      </w:r>
      <w:r w:rsidR="08DD517C">
        <w:t xml:space="preserve"> to </w:t>
      </w:r>
      <w:proofErr w:type="spellStart"/>
      <w:r w:rsidR="08DD517C">
        <w:t>defosilize</w:t>
      </w:r>
      <w:proofErr w:type="spellEnd"/>
      <w:r w:rsidR="08DD517C">
        <w:t xml:space="preserve"> the carbon sources used in the production of ethylene, propylene and MTBE in an existing cluster. </w:t>
      </w:r>
      <w:r w:rsidR="6E965A78">
        <w:t>With this purpose, a</w:t>
      </w:r>
      <w:r w:rsidR="17DC81BF">
        <w:t>n in-house</w:t>
      </w:r>
      <w:r w:rsidR="00266B2F">
        <w:t xml:space="preserve"> model</w:t>
      </w:r>
      <w:r w:rsidR="17DC81BF">
        <w:t xml:space="preserve"> that mimics part of the Port of Rotterdam was used</w:t>
      </w:r>
      <w:r w:rsidR="11FA1D7D">
        <w:t xml:space="preserve">. The model is described in detail in previous work </w:t>
      </w:r>
      <w:r>
        <w:fldChar w:fldCharType="begin" w:fldLock="1"/>
      </w:r>
      <w:r>
        <w:instrText>ADDIN CSL_CITATION {"citationItems":[{"id":"ITEM-1","itemData":{"DOI":"10.1016/B978-0-443-15274-0.50193-1","ISBN":"9780443152740","ISSN":"15707946","abstract":"The reliance of the petrochemical industry on fossil-based sources will need to be reduced by the introduction of Alternative carbon sources (ACS). Introducing ACS in a petrochemical cluster will require existing processes to be modified or replaced, potentially affecting other chemical processes within the cluster due to existing material and energy interconnections. Therefore, it is important to understand the current level of interconnections, functioning, and performance of the petrochemical cluster before introducing ACS. In this work, a representative cluster model based on the petrochemical cluster of the Port of Rotterdam was developed and considered as a case study. This model was analyzed using complex network analysis and environmental and technical key performance indicators. The selected key performance indicators (KPIs) provide insight into the performance of a petrochemical cluster, while the network properties give an understanding of the exchange of material and energy in an industrial cluster.","author":[{"dropping-particle":"","family":"Tan","given":"Michael D.","non-dropping-particle":"","parse-names":false,"suffix":""},{"dropping-particle":"","family":"Ibarra-Gonzalez","given":"Paola","non-dropping-particle":"","parse-names":false,"suffix":""},{"dropping-particle":"","family":"Nikolic","given":"Igor","non-dropping-particle":"","parse-names":false,"suffix":""},{"dropping-particle":"","family":"Ramirez","given":"Andrea","non-dropping-particle":"","parse-names":false,"suffix":""}],"container-title":"Computer Aided Chemical Engineering","id":"ITEM-1","issued":{"date-parts":[["2023"]]},"number-of-pages":"1211-1216","publisher":"Elsevier Masson SAS","title":"Determining the performance and network properties of petrochemical clusters","type":"book","volume":"52"},"uris":["http://www.mendeley.com/documents/?uuid=e481551c-9bce-4892-978a-c78d21dbc179"]}],"mendeley":{"formattedCitation":"(Tan et al., 2023)","plainTextFormattedCitation":"(Tan et al., 2023)","previouslyFormattedCitation":"(Tan et al., 2023)"},"properties":{"noteIndex":0},"schema":"https://github.com/citation-style-language/schema/raw/master/csl-citation.json"}</w:instrText>
      </w:r>
      <w:r>
        <w:fldChar w:fldCharType="separate"/>
      </w:r>
      <w:r w:rsidR="11FA1D7D" w:rsidRPr="722CB73E">
        <w:rPr>
          <w:noProof/>
        </w:rPr>
        <w:t>(Tan et al., 2023)</w:t>
      </w:r>
      <w:r>
        <w:fldChar w:fldCharType="end"/>
      </w:r>
      <w:r w:rsidR="17DC81BF">
        <w:t xml:space="preserve">. </w:t>
      </w:r>
      <w:r w:rsidR="002662C5">
        <w:t xml:space="preserve">From this model, </w:t>
      </w:r>
      <w:r w:rsidR="1DDDE04F">
        <w:t>10 fossil-based processes, five utility processes, processes, 112 chemical components, and six energy components</w:t>
      </w:r>
      <w:r w:rsidR="009375E3">
        <w:t xml:space="preserve"> </w:t>
      </w:r>
      <w:r w:rsidR="00376487">
        <w:t>were</w:t>
      </w:r>
      <w:r w:rsidR="00180A1B">
        <w:t xml:space="preserve"> taken</w:t>
      </w:r>
      <w:r w:rsidR="1DDDE04F">
        <w:t xml:space="preserve">. </w:t>
      </w:r>
      <w:r w:rsidR="00E72C2D">
        <w:t>Four ACS-based processes were added</w:t>
      </w:r>
      <w:r w:rsidR="00051C2A">
        <w:t>:</w:t>
      </w:r>
      <w:r w:rsidR="0070607D">
        <w:t xml:space="preserve"> </w:t>
      </w:r>
      <w:r w:rsidR="00E72C2D">
        <w:t>biomass to isobutylene</w:t>
      </w:r>
      <w:r w:rsidR="0040366A">
        <w:t xml:space="preserve"> via </w:t>
      </w:r>
      <w:r w:rsidR="298ADEE3">
        <w:t xml:space="preserve">an </w:t>
      </w:r>
      <w:proofErr w:type="spellStart"/>
      <w:r w:rsidR="0040366A">
        <w:t>organosolv</w:t>
      </w:r>
      <w:proofErr w:type="spellEnd"/>
      <w:r w:rsidR="00863C01">
        <w:t xml:space="preserve"> </w:t>
      </w:r>
      <w:r w:rsidR="0040366A">
        <w:t>route</w:t>
      </w:r>
      <w:r w:rsidR="00E72C2D">
        <w:t>, plastic pyrolysis, CO</w:t>
      </w:r>
      <w:r w:rsidR="00E72C2D" w:rsidRPr="722CB73E">
        <w:rPr>
          <w:vertAlign w:val="subscript"/>
        </w:rPr>
        <w:t>2</w:t>
      </w:r>
      <w:r w:rsidR="00E72C2D">
        <w:t xml:space="preserve"> hydrogenation to methanol</w:t>
      </w:r>
      <w:r w:rsidR="007D1BB9">
        <w:t>,</w:t>
      </w:r>
      <w:r w:rsidR="00E72C2D">
        <w:t xml:space="preserve"> and methanol to olefins (MTO).</w:t>
      </w:r>
      <w:r w:rsidR="00796F24">
        <w:t xml:space="preserve"> </w:t>
      </w:r>
    </w:p>
    <w:p w14:paraId="27F93E81" w14:textId="77777777" w:rsidR="0033427D" w:rsidRDefault="0033427D" w:rsidP="00E72C2D">
      <w:pPr>
        <w:pStyle w:val="Els-body-text"/>
      </w:pPr>
    </w:p>
    <w:p w14:paraId="5219BDDF" w14:textId="40D6F911" w:rsidR="003530B2" w:rsidRDefault="716B8A63" w:rsidP="11C34501">
      <w:pPr>
        <w:pStyle w:val="Els-body-text"/>
      </w:pPr>
      <w:r>
        <w:t xml:space="preserve">Based on the locations in the </w:t>
      </w:r>
      <w:proofErr w:type="spellStart"/>
      <w:r>
        <w:t>PoR</w:t>
      </w:r>
      <w:proofErr w:type="spellEnd"/>
      <w:r w:rsidR="4C1B4D0B">
        <w:t>,</w:t>
      </w:r>
      <w:r w:rsidR="0033427D">
        <w:t xml:space="preserve"> the </w:t>
      </w:r>
      <w:r w:rsidR="4547F7EE">
        <w:t xml:space="preserve">10 </w:t>
      </w:r>
      <w:r w:rsidR="0033427D">
        <w:t xml:space="preserve">processes were assigned </w:t>
      </w:r>
      <w:r w:rsidR="003C4DFA">
        <w:t>to one of three</w:t>
      </w:r>
      <w:r w:rsidR="0033427D">
        <w:t xml:space="preserve"> site</w:t>
      </w:r>
      <w:r w:rsidR="003C4DFA">
        <w:t>s</w:t>
      </w:r>
      <w:r w:rsidR="0033427D">
        <w:t>.</w:t>
      </w:r>
      <w:r w:rsidR="003C4DFA">
        <w:t xml:space="preserve"> </w:t>
      </w:r>
      <w:r w:rsidR="0033427D">
        <w:t xml:space="preserve"> </w:t>
      </w:r>
      <w:r w:rsidR="4B9AD49D">
        <w:t>N</w:t>
      </w:r>
      <w:r w:rsidR="0033427D">
        <w:t>ew ACS-based processes were assumed to</w:t>
      </w:r>
      <w:r w:rsidR="001237C3">
        <w:t xml:space="preserve"> be</w:t>
      </w:r>
      <w:r w:rsidR="0033427D">
        <w:t xml:space="preserve"> located at the same site </w:t>
      </w:r>
      <w:r w:rsidR="00241C97">
        <w:t>as</w:t>
      </w:r>
      <w:r w:rsidR="0033427D">
        <w:t xml:space="preserve"> the process</w:t>
      </w:r>
      <w:r w:rsidR="2DEBF67D">
        <w:t>es</w:t>
      </w:r>
      <w:r w:rsidR="0033427D">
        <w:t xml:space="preserve"> </w:t>
      </w:r>
      <w:r w:rsidR="196CC52A">
        <w:t xml:space="preserve">they aimed to </w:t>
      </w:r>
      <w:r w:rsidR="0033427D">
        <w:t xml:space="preserve">replace. </w:t>
      </w:r>
      <w:r w:rsidR="7248AAF0">
        <w:t>Furthermore, t</w:t>
      </w:r>
      <w:r w:rsidR="005E0006">
        <w:t xml:space="preserve">he material streams </w:t>
      </w:r>
      <w:r w:rsidR="2F9BAD9C">
        <w:t>can</w:t>
      </w:r>
      <w:r w:rsidR="005E0006">
        <w:t xml:space="preserve"> cross the boundaries of each site, while the energy balance would be solved for each site individually. </w:t>
      </w:r>
      <w:r w:rsidR="00216BD9">
        <w:t xml:space="preserve">For each process and utility generation node, </w:t>
      </w:r>
      <w:r w:rsidR="00302B1A">
        <w:t xml:space="preserve">the assumption was made that the output linearly scales based on the input. </w:t>
      </w:r>
      <w:r w:rsidR="00216BD9">
        <w:t>These conversion parameters</w:t>
      </w:r>
      <w:r w:rsidR="00B06CBC">
        <w:t xml:space="preserve"> (e.g. </w:t>
      </w:r>
      <m:oMath>
        <m:sSubSup>
          <m:sSubSupPr>
            <m:ctrlPr>
              <w:rPr>
                <w:rFonts w:ascii="Cambria Math" w:hAnsi="Cambria Math"/>
                <w:i/>
              </w:rPr>
            </m:ctrlPr>
          </m:sSubSupPr>
          <m:e>
            <m:r>
              <w:rPr>
                <w:rFonts w:ascii="Cambria Math" w:hAnsi="Cambria Math"/>
              </w:rPr>
              <m:t>X</m:t>
            </m:r>
          </m:e>
          <m:sub>
            <m:r>
              <w:rPr>
                <w:rFonts w:ascii="Cambria Math" w:hAnsi="Cambria Math"/>
              </w:rPr>
              <m:t>p,cc</m:t>
            </m:r>
          </m:sub>
          <m:sup>
            <m:r>
              <w:rPr>
                <w:rFonts w:ascii="Cambria Math" w:hAnsi="Cambria Math"/>
              </w:rPr>
              <m:t>Mass</m:t>
            </m:r>
          </m:sup>
        </m:sSubSup>
      </m:oMath>
      <w:r w:rsidR="00B06CBC">
        <w:t>)</w:t>
      </w:r>
      <w:r w:rsidR="003F7F3B">
        <w:t xml:space="preserve"> were</w:t>
      </w:r>
      <w:r w:rsidR="00B06CBC">
        <w:t xml:space="preserve"> </w:t>
      </w:r>
      <w:r w:rsidR="00BC63FC">
        <w:t xml:space="preserve">used to linearize the processes </w:t>
      </w:r>
      <w:r w:rsidR="00216BD9">
        <w:t xml:space="preserve">were </w:t>
      </w:r>
      <w:r w:rsidR="7B2172B2">
        <w:t xml:space="preserve">derived </w:t>
      </w:r>
      <w:r w:rsidR="00216BD9">
        <w:t xml:space="preserve">based on Aspen Plus simulations of each process. </w:t>
      </w:r>
      <w:r w:rsidR="00812973">
        <w:t xml:space="preserve">Additionally, </w:t>
      </w:r>
      <w:r w:rsidR="00311F4A">
        <w:t>the minimal production capacity</w:t>
      </w:r>
      <w:r w:rsidR="2C6145DD">
        <w:t xml:space="preserve"> (define</w:t>
      </w:r>
      <w:r w:rsidR="007F6DF6">
        <w:t>d as the minimal mass of product per year</w:t>
      </w:r>
      <w:r w:rsidR="2C6145DD">
        <w:t xml:space="preserve">) </w:t>
      </w:r>
      <w:r w:rsidR="00311F4A">
        <w:t xml:space="preserve">of each process and utility generation process </w:t>
      </w:r>
      <w:r w:rsidR="7627F479">
        <w:t>were</w:t>
      </w:r>
      <w:r w:rsidR="00311F4A">
        <w:t xml:space="preserve"> limited to a 10% deviation from its base </w:t>
      </w:r>
      <w:r w:rsidR="00311F4A">
        <w:lastRenderedPageBreak/>
        <w:t xml:space="preserve">production capacity, while </w:t>
      </w:r>
      <w:r w:rsidR="00A347C9">
        <w:t xml:space="preserve">the exiting production capacities in the </w:t>
      </w:r>
      <w:proofErr w:type="spellStart"/>
      <w:r w:rsidR="1F22B965">
        <w:t>PoR</w:t>
      </w:r>
      <w:proofErr w:type="spellEnd"/>
      <w:r w:rsidR="00A347C9">
        <w:t xml:space="preserve"> </w:t>
      </w:r>
      <w:r w:rsidR="47CD1412">
        <w:t>(</w:t>
      </w:r>
      <w:r w:rsidR="685C9EEA">
        <w:t>e.g.,</w:t>
      </w:r>
      <w:r w:rsidR="00FD28A2">
        <w:t xml:space="preserve"> the MTBE process produces 400 kt/y</w:t>
      </w:r>
      <w:r w:rsidR="47CD1412">
        <w:t xml:space="preserve">) </w:t>
      </w:r>
      <w:r w:rsidR="00311F4A">
        <w:t>w</w:t>
      </w:r>
      <w:r w:rsidR="00A347C9">
        <w:t>ere</w:t>
      </w:r>
      <w:r w:rsidR="00311F4A">
        <w:t xml:space="preserve"> set as the upper limit</w:t>
      </w:r>
      <w:r w:rsidR="0064746B">
        <w:t xml:space="preserve">. </w:t>
      </w:r>
    </w:p>
    <w:p w14:paraId="2914DBB6" w14:textId="3F1A4A44" w:rsidR="003530B2" w:rsidRDefault="003530B2" w:rsidP="11C34501">
      <w:pPr>
        <w:pStyle w:val="Els-body-text"/>
      </w:pPr>
    </w:p>
    <w:p w14:paraId="4121FB68" w14:textId="29D2688D" w:rsidR="003530B2" w:rsidRDefault="0064746B" w:rsidP="00FD269C">
      <w:pPr>
        <w:pStyle w:val="Els-body-text"/>
      </w:pPr>
      <w:r>
        <w:t>For the new ACS-based processes, the production capacity was</w:t>
      </w:r>
      <w:r w:rsidR="002A02FB">
        <w:t xml:space="preserve"> limited as the</w:t>
      </w:r>
      <w:r w:rsidR="009F4AA0">
        <w:t xml:space="preserve"> </w:t>
      </w:r>
      <w:r w:rsidR="00A6733E">
        <w:t>vessels involved with these processes are much bigger in size</w:t>
      </w:r>
      <w:r w:rsidR="00E650A6">
        <w:t xml:space="preserve"> and </w:t>
      </w:r>
      <w:r w:rsidR="000F06A6">
        <w:t>have a high feedstock demand.</w:t>
      </w:r>
      <w:r>
        <w:t xml:space="preserve"> </w:t>
      </w:r>
      <w:r w:rsidR="00812973">
        <w:t xml:space="preserve">Therefore, multiple </w:t>
      </w:r>
      <w:r w:rsidR="00DC17C3">
        <w:t xml:space="preserve">units </w:t>
      </w:r>
      <w:r w:rsidR="00812973">
        <w:t xml:space="preserve">of an ACS-based process or combined </w:t>
      </w:r>
      <w:r w:rsidR="00067F66">
        <w:t>ACS feedstock (e.g. CO</w:t>
      </w:r>
      <w:r w:rsidR="00067F66" w:rsidRPr="00067F66">
        <w:rPr>
          <w:vertAlign w:val="subscript"/>
        </w:rPr>
        <w:t>2</w:t>
      </w:r>
      <w:r w:rsidR="00067F66">
        <w:rPr>
          <w:vertAlign w:val="subscript"/>
        </w:rPr>
        <w:t xml:space="preserve"> </w:t>
      </w:r>
      <w:r w:rsidR="00067F66">
        <w:t>and plastic waste) m</w:t>
      </w:r>
      <w:r w:rsidR="00812973">
        <w:t xml:space="preserve">ight be required to replace </w:t>
      </w:r>
      <w:r w:rsidR="4EC88489">
        <w:t xml:space="preserve">the current production of </w:t>
      </w:r>
      <w:r w:rsidR="00812973">
        <w:t xml:space="preserve">a fossil-based </w:t>
      </w:r>
      <w:r w:rsidR="646CFFEA">
        <w:t>product</w:t>
      </w:r>
      <w:r w:rsidR="00812973">
        <w:t xml:space="preserve">. </w:t>
      </w:r>
      <w:r w:rsidR="00453505">
        <w:t xml:space="preserve">The petrochemical cluster </w:t>
      </w:r>
      <w:r w:rsidR="00081B5D">
        <w:t>was</w:t>
      </w:r>
      <w:r w:rsidR="00453505">
        <w:t xml:space="preserve"> required to produce a fixed demand </w:t>
      </w:r>
      <w:r w:rsidR="004E4111">
        <w:t>of all the chemicals at the end of each value chain (MTBE, ethylene glycol, and styrene monomer)</w:t>
      </w:r>
      <w:r w:rsidR="62A73E1E">
        <w:t xml:space="preserve">, which </w:t>
      </w:r>
      <w:r w:rsidR="002B7760">
        <w:t>was</w:t>
      </w:r>
      <w:r w:rsidR="00F95DF1">
        <w:t xml:space="preserve"> based on the current production</w:t>
      </w:r>
      <w:r w:rsidR="29975188">
        <w:t xml:space="preserve"> levels</w:t>
      </w:r>
      <w:r w:rsidR="00F95DF1">
        <w:t xml:space="preserve"> present in the </w:t>
      </w:r>
      <w:proofErr w:type="spellStart"/>
      <w:r w:rsidR="00F95DF1">
        <w:t>PoR.</w:t>
      </w:r>
      <w:proofErr w:type="spellEnd"/>
      <w:r w:rsidR="00BD1F7F">
        <w:t xml:space="preserve"> Additional demand nodes were added for </w:t>
      </w:r>
      <w:r w:rsidR="00EF5C99">
        <w:t xml:space="preserve">excess intermediate products </w:t>
      </w:r>
      <w:r w:rsidR="00617E5B">
        <w:t xml:space="preserve">(ethylene, propylene, propylene oxide, and tert-butyl alcohol) </w:t>
      </w:r>
      <w:r w:rsidR="00627DCB">
        <w:t xml:space="preserve">with no product demand constraint </w:t>
      </w:r>
      <w:r w:rsidR="00276C02">
        <w:t>enforced</w:t>
      </w:r>
      <w:r w:rsidR="00627DCB">
        <w:t xml:space="preserve"> on them. </w:t>
      </w:r>
      <w:r w:rsidR="00D63D41">
        <w:t>For the  ener</w:t>
      </w:r>
      <w:r w:rsidR="008E02DA">
        <w:t>gy layer, e</w:t>
      </w:r>
      <w:r w:rsidR="003530B2">
        <w:t>nergy demand and supply nodes were added to each site</w:t>
      </w:r>
      <w:r w:rsidR="004D0C12">
        <w:t>,</w:t>
      </w:r>
      <w:r w:rsidR="003530B2">
        <w:t xml:space="preserve"> representing connections to other processes in the </w:t>
      </w:r>
      <w:proofErr w:type="spellStart"/>
      <w:r w:rsidR="003530B2">
        <w:t>PoR</w:t>
      </w:r>
      <w:proofErr w:type="spellEnd"/>
      <w:r w:rsidR="003530B2">
        <w:t xml:space="preserve"> and the electricity grid. </w:t>
      </w:r>
      <w:r w:rsidR="00556F10">
        <w:t xml:space="preserve">These nodes export excess energy from </w:t>
      </w:r>
      <w:r w:rsidR="3745E6AF">
        <w:t>a</w:t>
      </w:r>
      <w:r w:rsidR="00556F10">
        <w:t xml:space="preserve"> site and import required energy if the utility processes do not match the demand.</w:t>
      </w:r>
      <w:r w:rsidR="00B65256" w:rsidRPr="00B65256">
        <w:t xml:space="preserve"> </w:t>
      </w:r>
      <w:r w:rsidR="00B65256">
        <w:t xml:space="preserve">The resulting superstructure was implemented as a mixed integer linear programming problem in </w:t>
      </w:r>
      <w:proofErr w:type="spellStart"/>
      <w:r w:rsidR="00B65256">
        <w:t>Pyomo</w:t>
      </w:r>
      <w:proofErr w:type="spellEnd"/>
      <w:r w:rsidR="00B65256">
        <w:t xml:space="preserve"> and solved using the </w:t>
      </w:r>
      <w:proofErr w:type="spellStart"/>
      <w:r w:rsidR="00B65256">
        <w:t>Gurobi</w:t>
      </w:r>
      <w:proofErr w:type="spellEnd"/>
      <w:r w:rsidR="00B65256">
        <w:t xml:space="preserve"> solver. </w:t>
      </w:r>
    </w:p>
    <w:p w14:paraId="738C9C23" w14:textId="50F16471" w:rsidR="003271B3" w:rsidRDefault="003271B3" w:rsidP="003271B3">
      <w:pPr>
        <w:pStyle w:val="Els-1storder-head"/>
      </w:pPr>
      <w:r>
        <w:t>Results</w:t>
      </w:r>
      <w:r w:rsidR="00A0232A">
        <w:t xml:space="preserve"> and discussion</w:t>
      </w:r>
    </w:p>
    <w:p w14:paraId="00EEDC5F" w14:textId="77777777" w:rsidR="00974D13" w:rsidRDefault="3E22CC32" w:rsidP="00974D13">
      <w:pPr>
        <w:pStyle w:val="Els-body-text"/>
        <w:spacing w:line="259" w:lineRule="auto"/>
      </w:pPr>
      <w:r>
        <w:t xml:space="preserve">The original fossil-based configuration and the optimal configuration of the material layer are shown in </w:t>
      </w:r>
      <w:r>
        <w:fldChar w:fldCharType="begin"/>
      </w:r>
      <w:r>
        <w:instrText xml:space="preserve"> REF _Ref151550404 \h </w:instrText>
      </w:r>
      <w:r>
        <w:fldChar w:fldCharType="separate"/>
      </w:r>
      <w:r>
        <w:t xml:space="preserve">Figure </w:t>
      </w:r>
      <w:r w:rsidRPr="7807F180">
        <w:rPr>
          <w:noProof/>
        </w:rPr>
        <w:t>2</w:t>
      </w:r>
      <w:r>
        <w:fldChar w:fldCharType="end"/>
      </w:r>
      <w:r>
        <w:t xml:space="preserve">. The steam that is imported or exported for each configuration is presented in </w:t>
      </w:r>
      <w:r>
        <w:fldChar w:fldCharType="begin"/>
      </w:r>
      <w:r>
        <w:instrText xml:space="preserve"> REF _Ref151550541 \h </w:instrText>
      </w:r>
      <w:r>
        <w:fldChar w:fldCharType="separate"/>
      </w:r>
      <w:r>
        <w:t xml:space="preserve">Table </w:t>
      </w:r>
      <w:r w:rsidRPr="7807F180">
        <w:rPr>
          <w:noProof/>
        </w:rPr>
        <w:t>1</w:t>
      </w:r>
      <w:r>
        <w:fldChar w:fldCharType="end"/>
      </w:r>
      <w:r>
        <w:t>. The results show that to completely replace the fossil-based naphtha with ACSs</w:t>
      </w:r>
      <w:r w:rsidR="48A88C07">
        <w:t>,</w:t>
      </w:r>
      <w:r>
        <w:t xml:space="preserve"> the model selects CO2 as the primary carbon source. This route would require 11 identical CO2 hydrogenation to methanol processes followed by two methanol to olefins plants to replace the fossil-based olefins plant. Therefore, significant </w:t>
      </w:r>
      <w:r w:rsidR="00974D13">
        <w:t>modifications to the current cluster are required, requiring a minimum investment of 5.4 billion euros. Furthermore, the CCU route would require 1130 kt/y of green hydrogen.</w:t>
      </w:r>
    </w:p>
    <w:p w14:paraId="0D64E383" w14:textId="31D108EF" w:rsidR="004710E7" w:rsidRDefault="004710E7" w:rsidP="00974D13">
      <w:pPr>
        <w:pStyle w:val="Els-body-text"/>
        <w:spacing w:line="259" w:lineRule="auto"/>
      </w:pPr>
      <w:r>
        <w:rPr>
          <w:noProof/>
        </w:rPr>
        <w:drawing>
          <wp:inline distT="0" distB="0" distL="0" distR="0" wp14:anchorId="3B50974F" wp14:editId="1DDF95E8">
            <wp:extent cx="4113483" cy="2847975"/>
            <wp:effectExtent l="0" t="0" r="1905" b="0"/>
            <wp:docPr id="1558832154" name="Picture 1558832154"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83215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22186" cy="2854001"/>
                    </a:xfrm>
                    <a:prstGeom prst="rect">
                      <a:avLst/>
                    </a:prstGeom>
                  </pic:spPr>
                </pic:pic>
              </a:graphicData>
            </a:graphic>
          </wp:inline>
        </w:drawing>
      </w:r>
    </w:p>
    <w:p w14:paraId="2817B31F" w14:textId="77777777" w:rsidR="004710E7" w:rsidRDefault="004710E7" w:rsidP="004710E7">
      <w:pPr>
        <w:pStyle w:val="Caption"/>
      </w:pPr>
      <w:bookmarkStart w:id="4" w:name="_Ref151550404"/>
      <w:r>
        <w:t xml:space="preserve">Figure </w:t>
      </w:r>
      <w:r>
        <w:fldChar w:fldCharType="begin"/>
      </w:r>
      <w:r>
        <w:instrText xml:space="preserve"> SEQ Figure \* ARABIC </w:instrText>
      </w:r>
      <w:r>
        <w:fldChar w:fldCharType="separate"/>
      </w:r>
      <w:r>
        <w:rPr>
          <w:noProof/>
        </w:rPr>
        <w:t>2</w:t>
      </w:r>
      <w:r>
        <w:fldChar w:fldCharType="end"/>
      </w:r>
      <w:bookmarkEnd w:id="4"/>
      <w:r>
        <w:t>: The current fossil-based configuration and the optimal CO</w:t>
      </w:r>
      <w:r w:rsidRPr="001313C6">
        <w:rPr>
          <w:vertAlign w:val="subscript"/>
        </w:rPr>
        <w:t>2</w:t>
      </w:r>
      <w:r>
        <w:t xml:space="preserve"> based alternative configuration</w:t>
      </w:r>
    </w:p>
    <w:p w14:paraId="18D6D98F" w14:textId="74819E28" w:rsidR="00974D13" w:rsidRDefault="00974D13" w:rsidP="00974D13">
      <w:pPr>
        <w:pStyle w:val="Els-body-text"/>
        <w:spacing w:line="259" w:lineRule="auto"/>
      </w:pPr>
    </w:p>
    <w:p w14:paraId="2D08015A" w14:textId="77777777" w:rsidR="00974D13" w:rsidRDefault="00974D13" w:rsidP="00974D13">
      <w:pPr>
        <w:pStyle w:val="Caption"/>
        <w:keepNext/>
      </w:pPr>
      <w:bookmarkStart w:id="5" w:name="_Ref151550541"/>
      <w:r>
        <w:t xml:space="preserve">Table </w:t>
      </w:r>
      <w:r>
        <w:fldChar w:fldCharType="begin"/>
      </w:r>
      <w:r>
        <w:instrText xml:space="preserve"> SEQ Table \* ARABIC </w:instrText>
      </w:r>
      <w:r>
        <w:fldChar w:fldCharType="separate"/>
      </w:r>
      <w:r>
        <w:rPr>
          <w:noProof/>
        </w:rPr>
        <w:t>1</w:t>
      </w:r>
      <w:r>
        <w:fldChar w:fldCharType="end"/>
      </w:r>
      <w:bookmarkEnd w:id="5"/>
      <w:r>
        <w:t>: Steam imported or exported for each site of the case study</w:t>
      </w:r>
    </w:p>
    <w:tbl>
      <w:tblPr>
        <w:tblStyle w:val="PlainTable2"/>
        <w:tblW w:w="0" w:type="auto"/>
        <w:tblLook w:val="0620" w:firstRow="1" w:lastRow="0" w:firstColumn="0" w:lastColumn="0" w:noHBand="1" w:noVBand="1"/>
      </w:tblPr>
      <w:tblGrid>
        <w:gridCol w:w="1276"/>
        <w:gridCol w:w="2835"/>
        <w:gridCol w:w="2381"/>
      </w:tblGrid>
      <w:tr w:rsidR="00974D13" w:rsidRPr="005F30EF" w14:paraId="789DB90D" w14:textId="77777777" w:rsidTr="004246C8">
        <w:trPr>
          <w:cnfStyle w:val="100000000000" w:firstRow="1" w:lastRow="0" w:firstColumn="0" w:lastColumn="0" w:oddVBand="0" w:evenVBand="0" w:oddHBand="0" w:evenHBand="0" w:firstRowFirstColumn="0" w:firstRowLastColumn="0" w:lastRowFirstColumn="0" w:lastRowLastColumn="0"/>
          <w:trHeight w:val="300"/>
        </w:trPr>
        <w:tc>
          <w:tcPr>
            <w:tcW w:w="1276" w:type="dxa"/>
            <w:noWrap/>
            <w:hideMark/>
          </w:tcPr>
          <w:p w14:paraId="27289D48" w14:textId="77777777" w:rsidR="00974D13" w:rsidRPr="00664412" w:rsidRDefault="00974D13" w:rsidP="004246C8">
            <w:pPr>
              <w:pStyle w:val="Els-body-text"/>
              <w:rPr>
                <w:lang w:val="en-GB"/>
              </w:rPr>
            </w:pPr>
          </w:p>
        </w:tc>
        <w:tc>
          <w:tcPr>
            <w:tcW w:w="2835" w:type="dxa"/>
            <w:noWrap/>
            <w:hideMark/>
          </w:tcPr>
          <w:p w14:paraId="5C26A6DA" w14:textId="6B231DB1" w:rsidR="00974D13" w:rsidRPr="005F30EF" w:rsidRDefault="003D144B" w:rsidP="004246C8">
            <w:pPr>
              <w:pStyle w:val="Els-body-text"/>
              <w:spacing w:line="259" w:lineRule="auto"/>
              <w:jc w:val="left"/>
              <w:rPr>
                <w:lang w:val="en-GB"/>
              </w:rPr>
            </w:pPr>
            <w:r>
              <w:rPr>
                <w:lang w:val="en-GB"/>
              </w:rPr>
              <w:t>Fossil naphtha base case</w:t>
            </w:r>
          </w:p>
        </w:tc>
        <w:tc>
          <w:tcPr>
            <w:tcW w:w="2381" w:type="dxa"/>
            <w:noWrap/>
            <w:hideMark/>
          </w:tcPr>
          <w:p w14:paraId="51DBCEEA" w14:textId="3947462D" w:rsidR="00974D13" w:rsidRPr="005F30EF" w:rsidRDefault="00974D13" w:rsidP="004246C8">
            <w:pPr>
              <w:pStyle w:val="Els-body-text"/>
              <w:jc w:val="left"/>
              <w:rPr>
                <w:lang w:val="en-GB"/>
              </w:rPr>
            </w:pPr>
            <w:r w:rsidRPr="7EDF532B">
              <w:rPr>
                <w:lang w:val="en-GB"/>
              </w:rPr>
              <w:t xml:space="preserve">CO2 as </w:t>
            </w:r>
            <w:r w:rsidR="003D144B">
              <w:rPr>
                <w:lang w:val="en-GB"/>
              </w:rPr>
              <w:t>ACS</w:t>
            </w:r>
          </w:p>
        </w:tc>
      </w:tr>
      <w:tr w:rsidR="00974D13" w:rsidRPr="00404FF8" w14:paraId="1C8B6444" w14:textId="77777777" w:rsidTr="004246C8">
        <w:trPr>
          <w:trHeight w:val="300"/>
        </w:trPr>
        <w:tc>
          <w:tcPr>
            <w:tcW w:w="1276" w:type="dxa"/>
            <w:noWrap/>
            <w:hideMark/>
          </w:tcPr>
          <w:p w14:paraId="55D123F4" w14:textId="77777777" w:rsidR="00974D13" w:rsidRPr="00404FF8" w:rsidRDefault="00974D13" w:rsidP="004246C8">
            <w:pPr>
              <w:pStyle w:val="Els-body-text"/>
              <w:jc w:val="left"/>
              <w:rPr>
                <w:lang w:val="en-GB"/>
              </w:rPr>
            </w:pPr>
            <w:r w:rsidRPr="00404FF8">
              <w:rPr>
                <w:lang w:val="en-GB"/>
              </w:rPr>
              <w:t>Site 1</w:t>
            </w:r>
            <w:r>
              <w:rPr>
                <w:lang w:val="en-GB"/>
              </w:rPr>
              <w:t xml:space="preserve"> [TJ/y]</w:t>
            </w:r>
          </w:p>
        </w:tc>
        <w:tc>
          <w:tcPr>
            <w:tcW w:w="2835" w:type="dxa"/>
            <w:noWrap/>
            <w:hideMark/>
          </w:tcPr>
          <w:p w14:paraId="535D27C6" w14:textId="77777777" w:rsidR="00974D13" w:rsidRPr="009B113E" w:rsidRDefault="00974D13" w:rsidP="004246C8">
            <w:pPr>
              <w:pStyle w:val="Els-body-text"/>
              <w:jc w:val="left"/>
              <w:rPr>
                <w:lang w:val="en-GB"/>
              </w:rPr>
            </w:pPr>
            <w:r w:rsidRPr="009B113E">
              <w:rPr>
                <w:color w:val="000000"/>
              </w:rPr>
              <w:t>5,792.5</w:t>
            </w:r>
          </w:p>
        </w:tc>
        <w:tc>
          <w:tcPr>
            <w:tcW w:w="2381" w:type="dxa"/>
            <w:noWrap/>
            <w:hideMark/>
          </w:tcPr>
          <w:p w14:paraId="37CBB27E" w14:textId="77777777" w:rsidR="00974D13" w:rsidRPr="009B113E" w:rsidRDefault="00974D13" w:rsidP="004246C8">
            <w:pPr>
              <w:pStyle w:val="Els-body-text"/>
              <w:jc w:val="left"/>
              <w:rPr>
                <w:lang w:val="en-GB"/>
              </w:rPr>
            </w:pPr>
            <w:r w:rsidRPr="009B113E">
              <w:rPr>
                <w:color w:val="000000"/>
              </w:rPr>
              <w:t>5,792.5</w:t>
            </w:r>
          </w:p>
        </w:tc>
      </w:tr>
      <w:tr w:rsidR="00974D13" w:rsidRPr="00404FF8" w14:paraId="46D54A3B" w14:textId="77777777" w:rsidTr="004246C8">
        <w:trPr>
          <w:trHeight w:val="300"/>
        </w:trPr>
        <w:tc>
          <w:tcPr>
            <w:tcW w:w="1276" w:type="dxa"/>
            <w:noWrap/>
            <w:hideMark/>
          </w:tcPr>
          <w:p w14:paraId="2A924C09" w14:textId="77777777" w:rsidR="00974D13" w:rsidRPr="00404FF8" w:rsidRDefault="00974D13" w:rsidP="004246C8">
            <w:pPr>
              <w:pStyle w:val="Els-body-text"/>
              <w:jc w:val="left"/>
              <w:rPr>
                <w:lang w:val="en-GB"/>
              </w:rPr>
            </w:pPr>
            <w:r w:rsidRPr="00404FF8">
              <w:rPr>
                <w:lang w:val="en-GB"/>
              </w:rPr>
              <w:t>Site 2</w:t>
            </w:r>
            <w:r>
              <w:rPr>
                <w:lang w:val="en-GB"/>
              </w:rPr>
              <w:t xml:space="preserve"> [TJ/y]</w:t>
            </w:r>
          </w:p>
        </w:tc>
        <w:tc>
          <w:tcPr>
            <w:tcW w:w="2835" w:type="dxa"/>
            <w:noWrap/>
            <w:hideMark/>
          </w:tcPr>
          <w:p w14:paraId="497BCC1C" w14:textId="77777777" w:rsidR="00974D13" w:rsidRPr="009B113E" w:rsidRDefault="00974D13" w:rsidP="004246C8">
            <w:pPr>
              <w:pStyle w:val="Els-body-text"/>
              <w:jc w:val="left"/>
              <w:rPr>
                <w:lang w:val="en-GB"/>
              </w:rPr>
            </w:pPr>
            <w:r w:rsidRPr="009B113E">
              <w:rPr>
                <w:color w:val="000000"/>
              </w:rPr>
              <w:t>5,231.2</w:t>
            </w:r>
          </w:p>
        </w:tc>
        <w:tc>
          <w:tcPr>
            <w:tcW w:w="2381" w:type="dxa"/>
            <w:noWrap/>
            <w:hideMark/>
          </w:tcPr>
          <w:p w14:paraId="2D523C05" w14:textId="77777777" w:rsidR="00974D13" w:rsidRPr="009B113E" w:rsidRDefault="00974D13" w:rsidP="004246C8">
            <w:pPr>
              <w:pStyle w:val="Els-body-text"/>
              <w:jc w:val="left"/>
              <w:rPr>
                <w:lang w:val="en-GB"/>
              </w:rPr>
            </w:pPr>
            <w:r w:rsidRPr="009B113E">
              <w:rPr>
                <w:color w:val="000000"/>
              </w:rPr>
              <w:t>143,809.8</w:t>
            </w:r>
          </w:p>
        </w:tc>
      </w:tr>
      <w:tr w:rsidR="00974D13" w:rsidRPr="00404FF8" w14:paraId="1F81DBC0" w14:textId="77777777" w:rsidTr="004246C8">
        <w:trPr>
          <w:trHeight w:val="300"/>
        </w:trPr>
        <w:tc>
          <w:tcPr>
            <w:tcW w:w="1276" w:type="dxa"/>
            <w:noWrap/>
            <w:hideMark/>
          </w:tcPr>
          <w:p w14:paraId="7F8D9F08" w14:textId="77777777" w:rsidR="00974D13" w:rsidRPr="00404FF8" w:rsidRDefault="00974D13" w:rsidP="004246C8">
            <w:pPr>
              <w:pStyle w:val="Els-body-text"/>
              <w:jc w:val="left"/>
              <w:rPr>
                <w:lang w:val="en-GB"/>
              </w:rPr>
            </w:pPr>
            <w:r w:rsidRPr="00404FF8">
              <w:rPr>
                <w:lang w:val="en-GB"/>
              </w:rPr>
              <w:t>Site 3</w:t>
            </w:r>
            <w:r>
              <w:rPr>
                <w:lang w:val="en-GB"/>
              </w:rPr>
              <w:t xml:space="preserve"> [TJ/y]</w:t>
            </w:r>
          </w:p>
        </w:tc>
        <w:tc>
          <w:tcPr>
            <w:tcW w:w="2835" w:type="dxa"/>
            <w:noWrap/>
            <w:hideMark/>
          </w:tcPr>
          <w:p w14:paraId="771B01CB" w14:textId="77777777" w:rsidR="00974D13" w:rsidRPr="009B113E" w:rsidRDefault="00974D13" w:rsidP="004246C8">
            <w:pPr>
              <w:pStyle w:val="Els-body-text"/>
              <w:jc w:val="left"/>
              <w:rPr>
                <w:lang w:val="en-GB"/>
              </w:rPr>
            </w:pPr>
            <w:r w:rsidRPr="009B113E">
              <w:rPr>
                <w:color w:val="000000"/>
              </w:rPr>
              <w:t>-18,713.5</w:t>
            </w:r>
          </w:p>
        </w:tc>
        <w:tc>
          <w:tcPr>
            <w:tcW w:w="2381" w:type="dxa"/>
            <w:noWrap/>
            <w:hideMark/>
          </w:tcPr>
          <w:p w14:paraId="6220CDBE" w14:textId="77777777" w:rsidR="00974D13" w:rsidRPr="009B113E" w:rsidRDefault="00974D13" w:rsidP="004246C8">
            <w:pPr>
              <w:pStyle w:val="Els-body-text"/>
              <w:jc w:val="left"/>
              <w:rPr>
                <w:lang w:val="en-GB"/>
              </w:rPr>
            </w:pPr>
            <w:r w:rsidRPr="009B113E">
              <w:rPr>
                <w:color w:val="000000"/>
              </w:rPr>
              <w:t>-24,855.3</w:t>
            </w:r>
          </w:p>
        </w:tc>
      </w:tr>
    </w:tbl>
    <w:p w14:paraId="54AEDA14" w14:textId="395EDB28" w:rsidR="00A1178B" w:rsidRPr="00783DA7" w:rsidRDefault="3E22CC32" w:rsidP="723B2EBF">
      <w:pPr>
        <w:pStyle w:val="Els-body-text"/>
      </w:pPr>
      <w:r>
        <w:t>To completely remove fossil-based carbon as a feedstock, biomass will be used to produce the isobutylene used for the production of MTBE. This will require the isomerization, PO/TBA, and TBA dehydration processes to be removed from the cluster. As a result, there is an overall lower PO production and TBA is no longer exported from the cluster in comparison to fossil-based route. It can also be concluded that using CO</w:t>
      </w:r>
      <w:r w:rsidRPr="2B7ED673">
        <w:t xml:space="preserve">2 </w:t>
      </w:r>
      <w:r>
        <w:t xml:space="preserve">as a carbon source will result in a larger fraction of propylene product compared to the conventional. </w:t>
      </w:r>
      <w:r w:rsidR="004710E7">
        <w:t>This is a result of the larger fraction of propylene produced by the MTO process.</w:t>
      </w:r>
      <w:r w:rsidR="002B5E05">
        <w:t xml:space="preserve"> </w:t>
      </w:r>
      <w:r>
        <w:fldChar w:fldCharType="begin"/>
      </w:r>
      <w:r>
        <w:instrText xml:space="preserve"> REF _Ref151550541 \h </w:instrText>
      </w:r>
      <w:r>
        <w:fldChar w:fldCharType="separate"/>
      </w:r>
      <w:r w:rsidR="3E29FC90">
        <w:t xml:space="preserve">Table </w:t>
      </w:r>
      <w:r w:rsidR="3E29FC90" w:rsidRPr="229FB5BD">
        <w:rPr>
          <w:noProof/>
        </w:rPr>
        <w:t>1</w:t>
      </w:r>
      <w:r>
        <w:fldChar w:fldCharType="end"/>
      </w:r>
      <w:r w:rsidR="3E29FC90">
        <w:t xml:space="preserve"> shows that for the CCU route, there is a significant increase in the demand for steam at Site 2. This is a result of the biomass to isobutylene route via the </w:t>
      </w:r>
      <w:proofErr w:type="spellStart"/>
      <w:r w:rsidR="3E29FC90">
        <w:t>organosolv</w:t>
      </w:r>
      <w:proofErr w:type="spellEnd"/>
      <w:r w:rsidR="3E29FC90">
        <w:t xml:space="preserve"> process, which requires a very large number of distillation columns with a significant steam demand. This would result in a rise of steam related CO</w:t>
      </w:r>
      <w:r w:rsidR="3E29FC90" w:rsidRPr="229FB5BD">
        <w:rPr>
          <w:vertAlign w:val="subscript"/>
        </w:rPr>
        <w:t>2</w:t>
      </w:r>
      <w:r w:rsidR="3E29FC90">
        <w:t xml:space="preserve"> emissions if natural gas were used as the fuel source</w:t>
      </w:r>
      <w:r w:rsidR="00E52773">
        <w:t xml:space="preserve"> to generate the  required  steam.</w:t>
      </w:r>
    </w:p>
    <w:p w14:paraId="60D4BF1D" w14:textId="5715CA81" w:rsidR="00FE31F9" w:rsidRDefault="006D4972" w:rsidP="00FE31F9">
      <w:pPr>
        <w:pStyle w:val="Els-1storder-head"/>
      </w:pPr>
      <w:r>
        <w:t>Conclusion</w:t>
      </w:r>
    </w:p>
    <w:p w14:paraId="6C187A26" w14:textId="04ED351D" w:rsidR="00022182" w:rsidRDefault="00B4422D" w:rsidP="00F124E2">
      <w:pPr>
        <w:pStyle w:val="Els-body-text"/>
      </w:pPr>
      <w:r>
        <w:t>In this work, a superstructure-based optimization model was developed to assess transformation pathways in petrochemical clusters. The model selected CO2 combined with biomass as ACS to completely replace the fossil-based carbon sources. However, this solution would require significant modifications to the existing cluster</w:t>
      </w:r>
      <w:r w:rsidR="00F124E2">
        <w:t xml:space="preserve">, </w:t>
      </w:r>
      <w:r w:rsidR="004055AC">
        <w:t xml:space="preserve">potentially </w:t>
      </w:r>
      <w:r w:rsidR="00F124E2">
        <w:t xml:space="preserve">resulting in a non-optimal solution. </w:t>
      </w:r>
      <w:r w:rsidR="1D036594">
        <w:t xml:space="preserve">In </w:t>
      </w:r>
      <w:r w:rsidR="2DF72488">
        <w:t>the</w:t>
      </w:r>
      <w:r w:rsidR="1D036594">
        <w:t xml:space="preserve"> next step, we will </w:t>
      </w:r>
      <w:r w:rsidR="00F124E2">
        <w:t xml:space="preserve">include </w:t>
      </w:r>
      <w:r w:rsidR="600B45CF">
        <w:t xml:space="preserve">minimizing </w:t>
      </w:r>
      <w:r w:rsidR="00F124E2">
        <w:t xml:space="preserve">the changes required to the existing petrochemical cluster </w:t>
      </w:r>
      <w:r w:rsidR="1F700186">
        <w:t xml:space="preserve">(in terms of </w:t>
      </w:r>
      <w:r w:rsidR="00466B38">
        <w:t>assets</w:t>
      </w:r>
      <w:r w:rsidR="1F700186">
        <w:t>, emissions, lands requirements)</w:t>
      </w:r>
      <w:r w:rsidR="00F124E2">
        <w:t xml:space="preserve"> as objective in multi-objective optimization. </w:t>
      </w:r>
      <w:r w:rsidR="00022182">
        <w:t xml:space="preserve">The model will also be extended to include the full representative model of the </w:t>
      </w:r>
      <w:proofErr w:type="spellStart"/>
      <w:r w:rsidR="00022182">
        <w:t>PoR</w:t>
      </w:r>
      <w:proofErr w:type="spellEnd"/>
      <w:r w:rsidR="00022182">
        <w:t xml:space="preserve"> petrochemical cluster</w:t>
      </w:r>
      <w:r w:rsidR="00E350E2">
        <w:t xml:space="preserve"> </w:t>
      </w:r>
      <w:r w:rsidR="4E35A26E">
        <w:t>(</w:t>
      </w:r>
      <w:r w:rsidR="00193DF5">
        <w:t>32</w:t>
      </w:r>
      <w:r w:rsidR="4E35A26E">
        <w:t xml:space="preserve"> chemical</w:t>
      </w:r>
      <w:r w:rsidR="00E350E2">
        <w:t xml:space="preserve"> </w:t>
      </w:r>
      <w:r w:rsidR="4E35A26E">
        <w:t>processes)</w:t>
      </w:r>
      <w:r w:rsidR="00E350E2">
        <w:t xml:space="preserve"> </w:t>
      </w:r>
      <w:r w:rsidR="00022182">
        <w:t xml:space="preserve">and additional ACS-based processes to evaluate </w:t>
      </w:r>
      <w:r w:rsidR="48CB9185">
        <w:t xml:space="preserve">the impacts of </w:t>
      </w:r>
      <w:proofErr w:type="spellStart"/>
      <w:r w:rsidR="48CB9185">
        <w:t>defossilization</w:t>
      </w:r>
      <w:proofErr w:type="spellEnd"/>
      <w:r w:rsidR="48CB9185">
        <w:t xml:space="preserve"> in the </w:t>
      </w:r>
      <w:proofErr w:type="spellStart"/>
      <w:r w:rsidR="48CB9185">
        <w:t>PoR.</w:t>
      </w:r>
      <w:proofErr w:type="spellEnd"/>
    </w:p>
    <w:p w14:paraId="6C7E6CE9" w14:textId="77777777" w:rsidR="00A0232A" w:rsidRPr="002F7093" w:rsidRDefault="00A0232A" w:rsidP="00A0232A">
      <w:pPr>
        <w:pStyle w:val="Els-1storder-head"/>
        <w:numPr>
          <w:ilvl w:val="0"/>
          <w:numId w:val="0"/>
        </w:numPr>
      </w:pPr>
      <w:r w:rsidRPr="002F7093">
        <w:t>Acknowledgements</w:t>
      </w:r>
    </w:p>
    <w:p w14:paraId="00722D7A" w14:textId="796B6057" w:rsidR="00A0232A" w:rsidRDefault="00A0232A" w:rsidP="248553E4">
      <w:pPr>
        <w:pStyle w:val="Els-referenceno-number"/>
        <w:ind w:left="0" w:firstLine="0"/>
        <w:rPr>
          <w:sz w:val="20"/>
        </w:rPr>
      </w:pPr>
      <w:r w:rsidRPr="00A078BF">
        <w:rPr>
          <w:sz w:val="20"/>
        </w:rPr>
        <w:t xml:space="preserve">This publication is part of the project Unravelling the impacts of using alternative raw materials in industrial clusters (with project number </w:t>
      </w:r>
      <w:r w:rsidRPr="248553E4">
        <w:rPr>
          <w:color w:val="262626" w:themeColor="text1" w:themeTint="D9"/>
          <w:sz w:val="20"/>
          <w:lang w:eastAsia="en-GB"/>
        </w:rPr>
        <w:t>VI.C.183.010</w:t>
      </w:r>
      <w:r w:rsidR="00A4057D" w:rsidRPr="248553E4">
        <w:rPr>
          <w:color w:val="262626" w:themeColor="text1" w:themeTint="D9"/>
          <w:sz w:val="20"/>
          <w:lang w:eastAsia="en-GB"/>
        </w:rPr>
        <w:t>)</w:t>
      </w:r>
      <w:r w:rsidRPr="248553E4">
        <w:rPr>
          <w:rFonts w:ascii="Calibri" w:hAnsi="Calibri" w:cs="Calibri"/>
          <w:color w:val="262626" w:themeColor="text1" w:themeTint="D9"/>
          <w:sz w:val="20"/>
          <w:lang w:eastAsia="en-GB"/>
        </w:rPr>
        <w:t xml:space="preserve"> </w:t>
      </w:r>
      <w:r w:rsidRPr="00A078BF">
        <w:rPr>
          <w:sz w:val="20"/>
        </w:rPr>
        <w:t>of the research programme Vici DO which is financed by the Dutch Research Council (NWO).</w:t>
      </w:r>
      <w:r w:rsidR="00151DED">
        <w:rPr>
          <w:sz w:val="20"/>
        </w:rPr>
        <w:t xml:space="preserve"> The authors would like to thank </w:t>
      </w:r>
      <w:r w:rsidR="2B12D33A" w:rsidRPr="793A8444">
        <w:rPr>
          <w:sz w:val="20"/>
        </w:rPr>
        <w:t xml:space="preserve">dr. </w:t>
      </w:r>
      <w:r w:rsidR="2B12D33A" w:rsidRPr="0B307340">
        <w:rPr>
          <w:sz w:val="20"/>
        </w:rPr>
        <w:t>Mar Perez-</w:t>
      </w:r>
      <w:r w:rsidR="2B12D33A" w:rsidRPr="793A8444">
        <w:rPr>
          <w:sz w:val="20"/>
        </w:rPr>
        <w:t>Fortes,</w:t>
      </w:r>
      <w:r w:rsidR="00151DED" w:rsidRPr="5F5AFDEE">
        <w:rPr>
          <w:sz w:val="20"/>
        </w:rPr>
        <w:t xml:space="preserve"> </w:t>
      </w:r>
      <w:r w:rsidR="00151DED">
        <w:rPr>
          <w:sz w:val="20"/>
        </w:rPr>
        <w:t xml:space="preserve">Inna Stepchuk and Tonny Manalal for their </w:t>
      </w:r>
      <w:r w:rsidR="62307F59" w:rsidRPr="248553E4">
        <w:rPr>
          <w:sz w:val="20"/>
        </w:rPr>
        <w:t xml:space="preserve">contributions to the in-house </w:t>
      </w:r>
      <w:r w:rsidR="62307F59" w:rsidRPr="78F9353C">
        <w:rPr>
          <w:sz w:val="20"/>
        </w:rPr>
        <w:t xml:space="preserve">and </w:t>
      </w:r>
      <w:r w:rsidR="00151DED" w:rsidRPr="78F9353C">
        <w:rPr>
          <w:sz w:val="20"/>
        </w:rPr>
        <w:t>ACS</w:t>
      </w:r>
      <w:r w:rsidR="00151DED">
        <w:rPr>
          <w:sz w:val="20"/>
        </w:rPr>
        <w:t>-models.</w:t>
      </w:r>
    </w:p>
    <w:p w14:paraId="195BF990" w14:textId="77777777" w:rsidR="00A0232A" w:rsidRDefault="00A0232A" w:rsidP="00A0232A">
      <w:pPr>
        <w:pStyle w:val="Els-reference-head"/>
      </w:pPr>
      <w:r>
        <w:t>References</w:t>
      </w:r>
    </w:p>
    <w:p w14:paraId="32438188" w14:textId="3B759BD3" w:rsidR="002B5E05" w:rsidRPr="002B5E05" w:rsidRDefault="002B5E05" w:rsidP="002B5E05">
      <w:pPr>
        <w:widowControl w:val="0"/>
        <w:autoSpaceDE w:val="0"/>
        <w:autoSpaceDN w:val="0"/>
        <w:adjustRightInd w:val="0"/>
        <w:ind w:left="480" w:hanging="480"/>
        <w:rPr>
          <w:noProof/>
          <w:sz w:val="18"/>
          <w:szCs w:val="24"/>
        </w:rPr>
      </w:pPr>
      <w:r>
        <w:rPr>
          <w:lang w:val="en-US"/>
        </w:rPr>
        <w:fldChar w:fldCharType="begin" w:fldLock="1"/>
      </w:r>
      <w:r>
        <w:rPr>
          <w:lang w:val="en-US"/>
        </w:rPr>
        <w:instrText xml:space="preserve">ADDIN Mendeley Bibliography CSL_BIBLIOGRAPHY </w:instrText>
      </w:r>
      <w:r>
        <w:rPr>
          <w:lang w:val="en-US"/>
        </w:rPr>
        <w:fldChar w:fldCharType="separate"/>
      </w:r>
      <w:r w:rsidRPr="002B5E05">
        <w:rPr>
          <w:noProof/>
          <w:sz w:val="18"/>
          <w:szCs w:val="24"/>
        </w:rPr>
        <w:t xml:space="preserve">Kantor, I., Robineau, J. L., Bütün, H., &amp; Maréchal, F. (2020). A Mixed-Integer Linear Programming Formulation for Optimizing Multi-Scale Material and Energy Integration. </w:t>
      </w:r>
      <w:r w:rsidRPr="002B5E05">
        <w:rPr>
          <w:i/>
          <w:iCs/>
          <w:noProof/>
          <w:sz w:val="18"/>
          <w:szCs w:val="24"/>
        </w:rPr>
        <w:t>Frontiers in Energy Research</w:t>
      </w:r>
      <w:r w:rsidRPr="002B5E05">
        <w:rPr>
          <w:noProof/>
          <w:sz w:val="18"/>
          <w:szCs w:val="24"/>
        </w:rPr>
        <w:t xml:space="preserve">, </w:t>
      </w:r>
      <w:r w:rsidRPr="002B5E05">
        <w:rPr>
          <w:i/>
          <w:iCs/>
          <w:noProof/>
          <w:sz w:val="18"/>
          <w:szCs w:val="24"/>
        </w:rPr>
        <w:t>8</w:t>
      </w:r>
      <w:r w:rsidRPr="002B5E05">
        <w:rPr>
          <w:noProof/>
          <w:sz w:val="18"/>
          <w:szCs w:val="24"/>
        </w:rPr>
        <w:t>(April). https://doi.org/10.3389/fenrg.2020.00049</w:t>
      </w:r>
    </w:p>
    <w:p w14:paraId="62CD0AD5" w14:textId="77777777" w:rsidR="002B5E05" w:rsidRPr="002B5E05" w:rsidRDefault="002B5E05" w:rsidP="002B5E05">
      <w:pPr>
        <w:widowControl w:val="0"/>
        <w:autoSpaceDE w:val="0"/>
        <w:autoSpaceDN w:val="0"/>
        <w:adjustRightInd w:val="0"/>
        <w:ind w:left="480" w:hanging="480"/>
        <w:rPr>
          <w:noProof/>
          <w:sz w:val="18"/>
        </w:rPr>
      </w:pPr>
      <w:r w:rsidRPr="002B5E05">
        <w:rPr>
          <w:noProof/>
          <w:sz w:val="18"/>
          <w:szCs w:val="24"/>
        </w:rPr>
        <w:t xml:space="preserve">Tan, M. D., Ibarra-Gonzalez, P., Nikolic, I., &amp; Ramirez, A. (2023). Determining the performance and network properties of petrochemical clusters. In </w:t>
      </w:r>
      <w:r w:rsidRPr="002B5E05">
        <w:rPr>
          <w:i/>
          <w:iCs/>
          <w:noProof/>
          <w:sz w:val="18"/>
          <w:szCs w:val="24"/>
        </w:rPr>
        <w:t>Computer Aided Chemical Engineering</w:t>
      </w:r>
      <w:r w:rsidRPr="002B5E05">
        <w:rPr>
          <w:noProof/>
          <w:sz w:val="18"/>
          <w:szCs w:val="24"/>
        </w:rPr>
        <w:t xml:space="preserve"> (Vol. 52). Elsevier Masson SAS. https://doi.org/10.1016/B978-0-443-15274-0.50193-1</w:t>
      </w:r>
    </w:p>
    <w:p w14:paraId="27769459" w14:textId="20B0D8B0" w:rsidR="00416EFF" w:rsidRPr="00416EFF" w:rsidRDefault="002B5E05" w:rsidP="00390AF1">
      <w:pPr>
        <w:pStyle w:val="Els-referenceno-number"/>
        <w:ind w:left="0" w:firstLine="0"/>
        <w:rPr>
          <w:lang w:val="en-US"/>
        </w:rPr>
      </w:pPr>
      <w:r>
        <w:rPr>
          <w:lang w:val="en-US"/>
        </w:rPr>
        <w:fldChar w:fldCharType="end"/>
      </w:r>
    </w:p>
    <w:sectPr w:rsidR="00416EFF" w:rsidRPr="00416EFF" w:rsidSect="008B0184">
      <w:headerReference w:type="even" r:id="rId35"/>
      <w:headerReference w:type="default" r:id="rId36"/>
      <w:headerReference w:type="first" r:id="rId37"/>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701BE" w14:textId="77777777" w:rsidR="0040645D" w:rsidRDefault="0040645D">
      <w:r>
        <w:separator/>
      </w:r>
    </w:p>
  </w:endnote>
  <w:endnote w:type="continuationSeparator" w:id="0">
    <w:p w14:paraId="587BE673" w14:textId="77777777" w:rsidR="0040645D" w:rsidRDefault="0040645D">
      <w:r>
        <w:continuationSeparator/>
      </w:r>
    </w:p>
  </w:endnote>
  <w:endnote w:type="continuationNotice" w:id="1">
    <w:p w14:paraId="77A4BD4F" w14:textId="77777777" w:rsidR="0040645D" w:rsidRDefault="004064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58FA0" w14:textId="77777777" w:rsidR="0040645D" w:rsidRDefault="0040645D">
      <w:r>
        <w:separator/>
      </w:r>
    </w:p>
  </w:footnote>
  <w:footnote w:type="continuationSeparator" w:id="0">
    <w:p w14:paraId="007C3A80" w14:textId="77777777" w:rsidR="0040645D" w:rsidRDefault="0040645D">
      <w:r>
        <w:continuationSeparator/>
      </w:r>
    </w:p>
  </w:footnote>
  <w:footnote w:type="continuationNotice" w:id="1">
    <w:p w14:paraId="0E18A00D" w14:textId="77777777" w:rsidR="0040645D" w:rsidRDefault="004064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50E2FC37" w:rsidR="00DD3D9E" w:rsidRDefault="00DD3D9E">
    <w:pPr>
      <w:pStyle w:val="Header"/>
      <w:tabs>
        <w:tab w:val="clear" w:pos="7200"/>
        <w:tab w:val="right" w:pos="7088"/>
      </w:tabs>
    </w:pPr>
    <w:r>
      <w:rPr>
        <w:rStyle w:val="PageNumber"/>
      </w:rPr>
      <w:tab/>
    </w:r>
    <w:r>
      <w:rPr>
        <w:rStyle w:val="PageNumber"/>
        <w:i/>
      </w:rPr>
      <w:tab/>
    </w:r>
    <w:r w:rsidR="001F72CD">
      <w:rPr>
        <w:rStyle w:val="PageNumber"/>
        <w:i/>
      </w:rPr>
      <w:t>M</w:t>
    </w:r>
    <w:r w:rsidR="00775322">
      <w:rPr>
        <w:rStyle w:val="PageNumber"/>
        <w:i/>
      </w:rPr>
      <w:t>.</w:t>
    </w:r>
    <w:r w:rsidR="001F72CD">
      <w:rPr>
        <w:rStyle w:val="PageNumber"/>
        <w:i/>
      </w:rPr>
      <w:t>. Tan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A" w14:textId="0CD6F0DC" w:rsidR="00DD3D9E" w:rsidRDefault="001F72CD" w:rsidP="001F72CD">
    <w:pPr>
      <w:pStyle w:val="Header"/>
      <w:tabs>
        <w:tab w:val="clear" w:pos="7200"/>
        <w:tab w:val="right" w:pos="7088"/>
      </w:tabs>
      <w:rPr>
        <w:sz w:val="24"/>
      </w:rPr>
    </w:pPr>
    <w:r>
      <w:rPr>
        <w:i/>
      </w:rPr>
      <w:t>Superstructure-based Optimization</w:t>
    </w:r>
    <w:r w:rsidR="002317EC">
      <w:rPr>
        <w:i/>
      </w:rPr>
      <w:t xml:space="preserve"> for Assessing</w:t>
    </w:r>
    <w:r>
      <w:rPr>
        <w:i/>
      </w:rPr>
      <w:t xml:space="preserve"> Defossilization Pathways in Petrochemical Clusters</w:t>
    </w:r>
    <w:r w:rsidR="00DD3D9E">
      <w:rPr>
        <w:rStyle w:val="PageNumber"/>
        <w:i/>
        <w:sz w:val="24"/>
      </w:rPr>
      <w:tab/>
    </w:r>
    <w:r w:rsidR="00DD3D9E">
      <w:rPr>
        <w:rStyle w:val="PageNumber"/>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 xml:space="preserve">Flavio Manenti, Gintaras V. </w:t>
    </w:r>
    <w:proofErr w:type="spellStart"/>
    <w:r w:rsidRPr="0068162C">
      <w:rPr>
        <w:color w:val="auto"/>
        <w:sz w:val="18"/>
        <w:szCs w:val="18"/>
      </w:rPr>
      <w:t>Reklaitis</w:t>
    </w:r>
    <w:proofErr w:type="spellEnd"/>
    <w:r w:rsidRPr="0068162C">
      <w:rPr>
        <w:color w:val="auto"/>
        <w:sz w:val="18"/>
        <w:szCs w:val="18"/>
      </w:rPr>
      <w:t xml:space="preserve">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lvl>
    <w:lvl w:ilvl="1">
      <w:start w:val="1"/>
      <w:numFmt w:val="decimal"/>
      <w:pStyle w:val="Els-1storder-head"/>
      <w:suff w:val="space"/>
      <w:lvlText w:val="%2."/>
      <w:lvlJc w:val="left"/>
      <w:pPr>
        <w:ind w:left="0" w:firstLine="0"/>
      </w:pPr>
    </w:lvl>
    <w:lvl w:ilvl="2">
      <w:start w:val="1"/>
      <w:numFmt w:val="decimal"/>
      <w:pStyle w:val="Els-2ndorder-head"/>
      <w:suff w:val="space"/>
      <w:lvlText w:val="%2.%3."/>
      <w:lvlJc w:val="left"/>
      <w:pPr>
        <w:ind w:left="0" w:firstLine="0"/>
      </w:pPr>
    </w:lvl>
    <w:lvl w:ilvl="3">
      <w:start w:val="1"/>
      <w:numFmt w:val="decimal"/>
      <w:pStyle w:val="Els-3rdorder-head"/>
      <w:suff w:val="space"/>
      <w:lvlText w:val="%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0DD25C6"/>
    <w:multiLevelType w:val="hybridMultilevel"/>
    <w:tmpl w:val="BAC23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2"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4"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5"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632910568">
    <w:abstractNumId w:val="12"/>
  </w:num>
  <w:num w:numId="2" w16cid:durableId="47382885">
    <w:abstractNumId w:val="12"/>
  </w:num>
  <w:num w:numId="3" w16cid:durableId="967853731">
    <w:abstractNumId w:val="12"/>
  </w:num>
  <w:num w:numId="4" w16cid:durableId="1739282265">
    <w:abstractNumId w:val="12"/>
  </w:num>
  <w:num w:numId="5" w16cid:durableId="698892343">
    <w:abstractNumId w:val="0"/>
  </w:num>
  <w:num w:numId="6" w16cid:durableId="1660883641">
    <w:abstractNumId w:val="6"/>
  </w:num>
  <w:num w:numId="7" w16cid:durableId="1863349795">
    <w:abstractNumId w:val="13"/>
  </w:num>
  <w:num w:numId="8" w16cid:durableId="1750734252">
    <w:abstractNumId w:val="1"/>
  </w:num>
  <w:num w:numId="9" w16cid:durableId="203061615">
    <w:abstractNumId w:val="11"/>
  </w:num>
  <w:num w:numId="10" w16cid:durableId="1478497114">
    <w:abstractNumId w:val="15"/>
  </w:num>
  <w:num w:numId="11" w16cid:durableId="1896693444">
    <w:abstractNumId w:val="14"/>
  </w:num>
  <w:num w:numId="12" w16cid:durableId="774787662">
    <w:abstractNumId w:val="5"/>
  </w:num>
  <w:num w:numId="13" w16cid:durableId="1525900646">
    <w:abstractNumId w:val="9"/>
  </w:num>
  <w:num w:numId="14" w16cid:durableId="1455515963">
    <w:abstractNumId w:val="2"/>
  </w:num>
  <w:num w:numId="15" w16cid:durableId="446657998">
    <w:abstractNumId w:val="7"/>
  </w:num>
  <w:num w:numId="16" w16cid:durableId="322592235">
    <w:abstractNumId w:val="3"/>
  </w:num>
  <w:num w:numId="17" w16cid:durableId="596719075">
    <w:abstractNumId w:val="4"/>
  </w:num>
  <w:num w:numId="18" w16cid:durableId="886648604">
    <w:abstractNumId w:val="10"/>
  </w:num>
  <w:num w:numId="19" w16cid:durableId="9580278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00A14"/>
    <w:rsid w:val="000058A7"/>
    <w:rsid w:val="00007C1A"/>
    <w:rsid w:val="00011B2B"/>
    <w:rsid w:val="000178A7"/>
    <w:rsid w:val="000209A4"/>
    <w:rsid w:val="00021D90"/>
    <w:rsid w:val="00022182"/>
    <w:rsid w:val="000231D6"/>
    <w:rsid w:val="00024762"/>
    <w:rsid w:val="0002589F"/>
    <w:rsid w:val="00027821"/>
    <w:rsid w:val="00030E69"/>
    <w:rsid w:val="00031755"/>
    <w:rsid w:val="0003198E"/>
    <w:rsid w:val="00035E3C"/>
    <w:rsid w:val="000367F7"/>
    <w:rsid w:val="000407EA"/>
    <w:rsid w:val="00041377"/>
    <w:rsid w:val="00041398"/>
    <w:rsid w:val="000428E2"/>
    <w:rsid w:val="00042B75"/>
    <w:rsid w:val="00044683"/>
    <w:rsid w:val="0005129A"/>
    <w:rsid w:val="00051C2A"/>
    <w:rsid w:val="000530FC"/>
    <w:rsid w:val="00055805"/>
    <w:rsid w:val="00057EBD"/>
    <w:rsid w:val="00060728"/>
    <w:rsid w:val="00061033"/>
    <w:rsid w:val="00062682"/>
    <w:rsid w:val="00062D61"/>
    <w:rsid w:val="0006412E"/>
    <w:rsid w:val="00067F66"/>
    <w:rsid w:val="00070DCB"/>
    <w:rsid w:val="0007361D"/>
    <w:rsid w:val="00073990"/>
    <w:rsid w:val="00075648"/>
    <w:rsid w:val="00080095"/>
    <w:rsid w:val="000814BA"/>
    <w:rsid w:val="000816B8"/>
    <w:rsid w:val="000817D6"/>
    <w:rsid w:val="00081B5D"/>
    <w:rsid w:val="000822BD"/>
    <w:rsid w:val="000828B8"/>
    <w:rsid w:val="00083587"/>
    <w:rsid w:val="000837BE"/>
    <w:rsid w:val="00085958"/>
    <w:rsid w:val="000866EF"/>
    <w:rsid w:val="000875D4"/>
    <w:rsid w:val="0009133C"/>
    <w:rsid w:val="00091BFA"/>
    <w:rsid w:val="00094936"/>
    <w:rsid w:val="000A03AB"/>
    <w:rsid w:val="000A2526"/>
    <w:rsid w:val="000A27F8"/>
    <w:rsid w:val="000A2F63"/>
    <w:rsid w:val="000A6456"/>
    <w:rsid w:val="000B0213"/>
    <w:rsid w:val="000B0A18"/>
    <w:rsid w:val="000B0BA1"/>
    <w:rsid w:val="000B15ED"/>
    <w:rsid w:val="000C05FE"/>
    <w:rsid w:val="000C0643"/>
    <w:rsid w:val="000C0A13"/>
    <w:rsid w:val="000C126B"/>
    <w:rsid w:val="000C2571"/>
    <w:rsid w:val="000C31E3"/>
    <w:rsid w:val="000C7C4A"/>
    <w:rsid w:val="000D0A26"/>
    <w:rsid w:val="000D1959"/>
    <w:rsid w:val="000D332E"/>
    <w:rsid w:val="000D36A7"/>
    <w:rsid w:val="000D398C"/>
    <w:rsid w:val="000D3D9B"/>
    <w:rsid w:val="000D58A9"/>
    <w:rsid w:val="000E0B86"/>
    <w:rsid w:val="000E115D"/>
    <w:rsid w:val="000E4BAC"/>
    <w:rsid w:val="000E50A8"/>
    <w:rsid w:val="000E6A07"/>
    <w:rsid w:val="000E74B8"/>
    <w:rsid w:val="000F0015"/>
    <w:rsid w:val="000F06A6"/>
    <w:rsid w:val="000F771D"/>
    <w:rsid w:val="000F7B50"/>
    <w:rsid w:val="00103FEB"/>
    <w:rsid w:val="00110B9E"/>
    <w:rsid w:val="001134A9"/>
    <w:rsid w:val="00113D60"/>
    <w:rsid w:val="00115233"/>
    <w:rsid w:val="001155C1"/>
    <w:rsid w:val="001216E2"/>
    <w:rsid w:val="0012201C"/>
    <w:rsid w:val="00122758"/>
    <w:rsid w:val="001237C3"/>
    <w:rsid w:val="001250FB"/>
    <w:rsid w:val="0012524F"/>
    <w:rsid w:val="00126DB6"/>
    <w:rsid w:val="00130116"/>
    <w:rsid w:val="001313C6"/>
    <w:rsid w:val="00137F69"/>
    <w:rsid w:val="00141DB2"/>
    <w:rsid w:val="0014304A"/>
    <w:rsid w:val="00151DED"/>
    <w:rsid w:val="00152E5E"/>
    <w:rsid w:val="00153021"/>
    <w:rsid w:val="00156A57"/>
    <w:rsid w:val="00157027"/>
    <w:rsid w:val="0016032F"/>
    <w:rsid w:val="001614FF"/>
    <w:rsid w:val="0016415F"/>
    <w:rsid w:val="00164A01"/>
    <w:rsid w:val="00171246"/>
    <w:rsid w:val="00171AD1"/>
    <w:rsid w:val="001744D0"/>
    <w:rsid w:val="0017467D"/>
    <w:rsid w:val="00176947"/>
    <w:rsid w:val="00180A1B"/>
    <w:rsid w:val="00181C3C"/>
    <w:rsid w:val="00182CE5"/>
    <w:rsid w:val="00183A01"/>
    <w:rsid w:val="00184361"/>
    <w:rsid w:val="001879F6"/>
    <w:rsid w:val="00190B85"/>
    <w:rsid w:val="00193DF5"/>
    <w:rsid w:val="00194149"/>
    <w:rsid w:val="0019558A"/>
    <w:rsid w:val="001963D4"/>
    <w:rsid w:val="001A2657"/>
    <w:rsid w:val="001A3E94"/>
    <w:rsid w:val="001A6495"/>
    <w:rsid w:val="001A658D"/>
    <w:rsid w:val="001A6D0B"/>
    <w:rsid w:val="001A76E4"/>
    <w:rsid w:val="001A7BF3"/>
    <w:rsid w:val="001B0A9A"/>
    <w:rsid w:val="001B25F9"/>
    <w:rsid w:val="001B37E3"/>
    <w:rsid w:val="001B3973"/>
    <w:rsid w:val="001B47A6"/>
    <w:rsid w:val="001B47B7"/>
    <w:rsid w:val="001B582E"/>
    <w:rsid w:val="001B74F8"/>
    <w:rsid w:val="001C0148"/>
    <w:rsid w:val="001C30EE"/>
    <w:rsid w:val="001C757E"/>
    <w:rsid w:val="001D300A"/>
    <w:rsid w:val="001D300F"/>
    <w:rsid w:val="001D317D"/>
    <w:rsid w:val="001D4DFC"/>
    <w:rsid w:val="001D567E"/>
    <w:rsid w:val="001D7C02"/>
    <w:rsid w:val="001E35BB"/>
    <w:rsid w:val="001E5A7E"/>
    <w:rsid w:val="001E5F72"/>
    <w:rsid w:val="001F28A8"/>
    <w:rsid w:val="001F384F"/>
    <w:rsid w:val="001F7058"/>
    <w:rsid w:val="001F72CD"/>
    <w:rsid w:val="001F745F"/>
    <w:rsid w:val="001F7B3D"/>
    <w:rsid w:val="00200402"/>
    <w:rsid w:val="00201433"/>
    <w:rsid w:val="002026ED"/>
    <w:rsid w:val="00202D55"/>
    <w:rsid w:val="0020390F"/>
    <w:rsid w:val="00203E4D"/>
    <w:rsid w:val="00204E0D"/>
    <w:rsid w:val="00210FBF"/>
    <w:rsid w:val="002138B8"/>
    <w:rsid w:val="00216BD9"/>
    <w:rsid w:val="00220AB5"/>
    <w:rsid w:val="0022213C"/>
    <w:rsid w:val="002223B3"/>
    <w:rsid w:val="00223BBD"/>
    <w:rsid w:val="0023077E"/>
    <w:rsid w:val="002317EC"/>
    <w:rsid w:val="0023236B"/>
    <w:rsid w:val="00234007"/>
    <w:rsid w:val="00236CBB"/>
    <w:rsid w:val="00241C97"/>
    <w:rsid w:val="00242DB8"/>
    <w:rsid w:val="00242FE8"/>
    <w:rsid w:val="00250026"/>
    <w:rsid w:val="00251E8A"/>
    <w:rsid w:val="00252696"/>
    <w:rsid w:val="0025454C"/>
    <w:rsid w:val="0026155C"/>
    <w:rsid w:val="00264926"/>
    <w:rsid w:val="00264D7F"/>
    <w:rsid w:val="00265A66"/>
    <w:rsid w:val="002662C5"/>
    <w:rsid w:val="00266B2F"/>
    <w:rsid w:val="00272104"/>
    <w:rsid w:val="00276C02"/>
    <w:rsid w:val="00280DD7"/>
    <w:rsid w:val="002856F4"/>
    <w:rsid w:val="00285AB6"/>
    <w:rsid w:val="00285DAB"/>
    <w:rsid w:val="00287665"/>
    <w:rsid w:val="00287BDD"/>
    <w:rsid w:val="00293637"/>
    <w:rsid w:val="00293646"/>
    <w:rsid w:val="00293D1B"/>
    <w:rsid w:val="00294C27"/>
    <w:rsid w:val="00295B55"/>
    <w:rsid w:val="00296B89"/>
    <w:rsid w:val="00296ED4"/>
    <w:rsid w:val="00297D6F"/>
    <w:rsid w:val="002A026C"/>
    <w:rsid w:val="002A02FB"/>
    <w:rsid w:val="002A0952"/>
    <w:rsid w:val="002A0E0A"/>
    <w:rsid w:val="002A3BC8"/>
    <w:rsid w:val="002A526B"/>
    <w:rsid w:val="002A7E7D"/>
    <w:rsid w:val="002B1696"/>
    <w:rsid w:val="002B1FA1"/>
    <w:rsid w:val="002B2468"/>
    <w:rsid w:val="002B4F55"/>
    <w:rsid w:val="002B5424"/>
    <w:rsid w:val="002B5E05"/>
    <w:rsid w:val="002B7496"/>
    <w:rsid w:val="002B7760"/>
    <w:rsid w:val="002B7805"/>
    <w:rsid w:val="002C0369"/>
    <w:rsid w:val="002C384B"/>
    <w:rsid w:val="002D108A"/>
    <w:rsid w:val="002D4839"/>
    <w:rsid w:val="002D4E06"/>
    <w:rsid w:val="002D5151"/>
    <w:rsid w:val="002D5AD1"/>
    <w:rsid w:val="002D62AF"/>
    <w:rsid w:val="002D6946"/>
    <w:rsid w:val="002E0846"/>
    <w:rsid w:val="002E3B51"/>
    <w:rsid w:val="002E554F"/>
    <w:rsid w:val="002E6121"/>
    <w:rsid w:val="002E72A8"/>
    <w:rsid w:val="002F2117"/>
    <w:rsid w:val="002F3C26"/>
    <w:rsid w:val="002F3F8C"/>
    <w:rsid w:val="002F7DC0"/>
    <w:rsid w:val="00302B1A"/>
    <w:rsid w:val="00303C4E"/>
    <w:rsid w:val="00304A64"/>
    <w:rsid w:val="003071F1"/>
    <w:rsid w:val="003111C5"/>
    <w:rsid w:val="00311F4A"/>
    <w:rsid w:val="00312B75"/>
    <w:rsid w:val="003178DF"/>
    <w:rsid w:val="00317C90"/>
    <w:rsid w:val="00317D15"/>
    <w:rsid w:val="003204AE"/>
    <w:rsid w:val="003224C8"/>
    <w:rsid w:val="00323A29"/>
    <w:rsid w:val="00326F3A"/>
    <w:rsid w:val="003271B3"/>
    <w:rsid w:val="00327580"/>
    <w:rsid w:val="00331FB6"/>
    <w:rsid w:val="00333BE6"/>
    <w:rsid w:val="0033427D"/>
    <w:rsid w:val="003365DF"/>
    <w:rsid w:val="00341218"/>
    <w:rsid w:val="00344646"/>
    <w:rsid w:val="003467EA"/>
    <w:rsid w:val="00351F00"/>
    <w:rsid w:val="00352229"/>
    <w:rsid w:val="00352923"/>
    <w:rsid w:val="00352BAE"/>
    <w:rsid w:val="003530B2"/>
    <w:rsid w:val="0035334A"/>
    <w:rsid w:val="00354082"/>
    <w:rsid w:val="00354820"/>
    <w:rsid w:val="00355DE9"/>
    <w:rsid w:val="00361FFD"/>
    <w:rsid w:val="0036204F"/>
    <w:rsid w:val="0036431E"/>
    <w:rsid w:val="00365B25"/>
    <w:rsid w:val="00367495"/>
    <w:rsid w:val="00370778"/>
    <w:rsid w:val="00372465"/>
    <w:rsid w:val="00372655"/>
    <w:rsid w:val="0037393B"/>
    <w:rsid w:val="00374AAF"/>
    <w:rsid w:val="00376487"/>
    <w:rsid w:val="00376D71"/>
    <w:rsid w:val="00381BBF"/>
    <w:rsid w:val="003830C7"/>
    <w:rsid w:val="00384001"/>
    <w:rsid w:val="0038641E"/>
    <w:rsid w:val="00390AF1"/>
    <w:rsid w:val="003946BD"/>
    <w:rsid w:val="0039539F"/>
    <w:rsid w:val="003A41FF"/>
    <w:rsid w:val="003A4872"/>
    <w:rsid w:val="003A5C06"/>
    <w:rsid w:val="003A6FDC"/>
    <w:rsid w:val="003B22A6"/>
    <w:rsid w:val="003B2EDF"/>
    <w:rsid w:val="003B36AA"/>
    <w:rsid w:val="003B45FA"/>
    <w:rsid w:val="003B5551"/>
    <w:rsid w:val="003C001A"/>
    <w:rsid w:val="003C4DFA"/>
    <w:rsid w:val="003C6B53"/>
    <w:rsid w:val="003D144B"/>
    <w:rsid w:val="003D1582"/>
    <w:rsid w:val="003D3DB3"/>
    <w:rsid w:val="003D77A8"/>
    <w:rsid w:val="003D7E4C"/>
    <w:rsid w:val="003E014E"/>
    <w:rsid w:val="003E2E0F"/>
    <w:rsid w:val="003E38B4"/>
    <w:rsid w:val="003E3A76"/>
    <w:rsid w:val="003E41C2"/>
    <w:rsid w:val="003E5EE9"/>
    <w:rsid w:val="003F0771"/>
    <w:rsid w:val="003F3526"/>
    <w:rsid w:val="003F66E5"/>
    <w:rsid w:val="003F6A6B"/>
    <w:rsid w:val="003F7F3B"/>
    <w:rsid w:val="0040366A"/>
    <w:rsid w:val="00404CD8"/>
    <w:rsid w:val="00404FF8"/>
    <w:rsid w:val="004055AC"/>
    <w:rsid w:val="00405EC5"/>
    <w:rsid w:val="0040645D"/>
    <w:rsid w:val="00406773"/>
    <w:rsid w:val="0040786C"/>
    <w:rsid w:val="0041187D"/>
    <w:rsid w:val="00413890"/>
    <w:rsid w:val="00414A62"/>
    <w:rsid w:val="00416E77"/>
    <w:rsid w:val="00416EFF"/>
    <w:rsid w:val="00423828"/>
    <w:rsid w:val="00423B13"/>
    <w:rsid w:val="004242A7"/>
    <w:rsid w:val="00425D86"/>
    <w:rsid w:val="00426230"/>
    <w:rsid w:val="00427ACA"/>
    <w:rsid w:val="00427EFF"/>
    <w:rsid w:val="00431C64"/>
    <w:rsid w:val="00431D50"/>
    <w:rsid w:val="004325AC"/>
    <w:rsid w:val="004379DF"/>
    <w:rsid w:val="0044185F"/>
    <w:rsid w:val="00447E4F"/>
    <w:rsid w:val="004510CF"/>
    <w:rsid w:val="004512A5"/>
    <w:rsid w:val="00451553"/>
    <w:rsid w:val="00453505"/>
    <w:rsid w:val="0045388A"/>
    <w:rsid w:val="00453BD4"/>
    <w:rsid w:val="00454BD2"/>
    <w:rsid w:val="00454C90"/>
    <w:rsid w:val="00456957"/>
    <w:rsid w:val="00456BB8"/>
    <w:rsid w:val="0045785D"/>
    <w:rsid w:val="00457F69"/>
    <w:rsid w:val="0046053B"/>
    <w:rsid w:val="00463380"/>
    <w:rsid w:val="00466B38"/>
    <w:rsid w:val="004710E7"/>
    <w:rsid w:val="00472201"/>
    <w:rsid w:val="004731A1"/>
    <w:rsid w:val="00473485"/>
    <w:rsid w:val="00474B59"/>
    <w:rsid w:val="00474BC6"/>
    <w:rsid w:val="0048276E"/>
    <w:rsid w:val="0048598F"/>
    <w:rsid w:val="0048723C"/>
    <w:rsid w:val="00487606"/>
    <w:rsid w:val="00487E0C"/>
    <w:rsid w:val="004963B6"/>
    <w:rsid w:val="0049667A"/>
    <w:rsid w:val="0049772C"/>
    <w:rsid w:val="00497A2D"/>
    <w:rsid w:val="004A02F5"/>
    <w:rsid w:val="004A28E2"/>
    <w:rsid w:val="004B0DCA"/>
    <w:rsid w:val="004B1D9F"/>
    <w:rsid w:val="004B2400"/>
    <w:rsid w:val="004C4E3F"/>
    <w:rsid w:val="004D085F"/>
    <w:rsid w:val="004D09EB"/>
    <w:rsid w:val="004D0C12"/>
    <w:rsid w:val="004D144B"/>
    <w:rsid w:val="004D539A"/>
    <w:rsid w:val="004D6117"/>
    <w:rsid w:val="004D6211"/>
    <w:rsid w:val="004D68B1"/>
    <w:rsid w:val="004D6A13"/>
    <w:rsid w:val="004D7FF7"/>
    <w:rsid w:val="004E05CE"/>
    <w:rsid w:val="004E0640"/>
    <w:rsid w:val="004E091D"/>
    <w:rsid w:val="004E0D3D"/>
    <w:rsid w:val="004E12B4"/>
    <w:rsid w:val="004E4111"/>
    <w:rsid w:val="004E62BE"/>
    <w:rsid w:val="004E73E1"/>
    <w:rsid w:val="004F2955"/>
    <w:rsid w:val="004F3666"/>
    <w:rsid w:val="004F542D"/>
    <w:rsid w:val="004F6E66"/>
    <w:rsid w:val="00500F2A"/>
    <w:rsid w:val="00502030"/>
    <w:rsid w:val="00502272"/>
    <w:rsid w:val="00502F71"/>
    <w:rsid w:val="00504D8F"/>
    <w:rsid w:val="00510DA8"/>
    <w:rsid w:val="005114A4"/>
    <w:rsid w:val="00512A50"/>
    <w:rsid w:val="00513D27"/>
    <w:rsid w:val="005151F0"/>
    <w:rsid w:val="00515299"/>
    <w:rsid w:val="0051760E"/>
    <w:rsid w:val="00520FD1"/>
    <w:rsid w:val="00523D0E"/>
    <w:rsid w:val="00523F77"/>
    <w:rsid w:val="005246F4"/>
    <w:rsid w:val="00532DC5"/>
    <w:rsid w:val="00534916"/>
    <w:rsid w:val="00546958"/>
    <w:rsid w:val="00546CC6"/>
    <w:rsid w:val="005505B5"/>
    <w:rsid w:val="00552D77"/>
    <w:rsid w:val="00552EEB"/>
    <w:rsid w:val="00553923"/>
    <w:rsid w:val="00555581"/>
    <w:rsid w:val="00556852"/>
    <w:rsid w:val="00556F10"/>
    <w:rsid w:val="0056046A"/>
    <w:rsid w:val="00565587"/>
    <w:rsid w:val="005671F1"/>
    <w:rsid w:val="00570157"/>
    <w:rsid w:val="0057167B"/>
    <w:rsid w:val="00571C97"/>
    <w:rsid w:val="00573658"/>
    <w:rsid w:val="00582316"/>
    <w:rsid w:val="00582A15"/>
    <w:rsid w:val="00584641"/>
    <w:rsid w:val="005849F1"/>
    <w:rsid w:val="00591C8C"/>
    <w:rsid w:val="00592898"/>
    <w:rsid w:val="005941E6"/>
    <w:rsid w:val="005957D9"/>
    <w:rsid w:val="005963DB"/>
    <w:rsid w:val="005A2130"/>
    <w:rsid w:val="005A2459"/>
    <w:rsid w:val="005A29D8"/>
    <w:rsid w:val="005A378E"/>
    <w:rsid w:val="005A3CB7"/>
    <w:rsid w:val="005A5922"/>
    <w:rsid w:val="005A64A1"/>
    <w:rsid w:val="005B0842"/>
    <w:rsid w:val="005B13F8"/>
    <w:rsid w:val="005C2988"/>
    <w:rsid w:val="005C421F"/>
    <w:rsid w:val="005C6857"/>
    <w:rsid w:val="005D162E"/>
    <w:rsid w:val="005D2D56"/>
    <w:rsid w:val="005D318C"/>
    <w:rsid w:val="005D61CC"/>
    <w:rsid w:val="005D62E2"/>
    <w:rsid w:val="005E0006"/>
    <w:rsid w:val="005E2B76"/>
    <w:rsid w:val="005E6D47"/>
    <w:rsid w:val="005E7BCE"/>
    <w:rsid w:val="005F1F1A"/>
    <w:rsid w:val="005F30EF"/>
    <w:rsid w:val="00600688"/>
    <w:rsid w:val="0060076E"/>
    <w:rsid w:val="006019B2"/>
    <w:rsid w:val="00604899"/>
    <w:rsid w:val="00604B74"/>
    <w:rsid w:val="00606B07"/>
    <w:rsid w:val="00610DB7"/>
    <w:rsid w:val="00611E0F"/>
    <w:rsid w:val="00616C44"/>
    <w:rsid w:val="00617E5B"/>
    <w:rsid w:val="006215B9"/>
    <w:rsid w:val="006250DD"/>
    <w:rsid w:val="0062705B"/>
    <w:rsid w:val="00627DCB"/>
    <w:rsid w:val="00633FA8"/>
    <w:rsid w:val="00636672"/>
    <w:rsid w:val="006403F3"/>
    <w:rsid w:val="00643ACA"/>
    <w:rsid w:val="00643CE9"/>
    <w:rsid w:val="00644173"/>
    <w:rsid w:val="00645C6A"/>
    <w:rsid w:val="00645EBA"/>
    <w:rsid w:val="0064746B"/>
    <w:rsid w:val="0065021C"/>
    <w:rsid w:val="0065253B"/>
    <w:rsid w:val="00657B43"/>
    <w:rsid w:val="006602EB"/>
    <w:rsid w:val="00661CFB"/>
    <w:rsid w:val="00662BFD"/>
    <w:rsid w:val="00663CDA"/>
    <w:rsid w:val="00664412"/>
    <w:rsid w:val="0066458B"/>
    <w:rsid w:val="00664BC6"/>
    <w:rsid w:val="00670223"/>
    <w:rsid w:val="00670881"/>
    <w:rsid w:val="0067216F"/>
    <w:rsid w:val="00672D9F"/>
    <w:rsid w:val="00681A91"/>
    <w:rsid w:val="00685132"/>
    <w:rsid w:val="006857F0"/>
    <w:rsid w:val="00694640"/>
    <w:rsid w:val="00697566"/>
    <w:rsid w:val="006A1759"/>
    <w:rsid w:val="006A2996"/>
    <w:rsid w:val="006A2AD1"/>
    <w:rsid w:val="006A3953"/>
    <w:rsid w:val="006A4466"/>
    <w:rsid w:val="006A69BF"/>
    <w:rsid w:val="006B4060"/>
    <w:rsid w:val="006B5BE0"/>
    <w:rsid w:val="006B5FE0"/>
    <w:rsid w:val="006B69B6"/>
    <w:rsid w:val="006B70CF"/>
    <w:rsid w:val="006C22FF"/>
    <w:rsid w:val="006C2F18"/>
    <w:rsid w:val="006C5FF0"/>
    <w:rsid w:val="006C719C"/>
    <w:rsid w:val="006D0ADF"/>
    <w:rsid w:val="006D1A3D"/>
    <w:rsid w:val="006D1FBA"/>
    <w:rsid w:val="006D24E2"/>
    <w:rsid w:val="006D2778"/>
    <w:rsid w:val="006D31E4"/>
    <w:rsid w:val="006D3D44"/>
    <w:rsid w:val="006D47AA"/>
    <w:rsid w:val="006D4972"/>
    <w:rsid w:val="006D4A83"/>
    <w:rsid w:val="006D67CB"/>
    <w:rsid w:val="006D6C4E"/>
    <w:rsid w:val="006D72A8"/>
    <w:rsid w:val="006D7E97"/>
    <w:rsid w:val="006E0A1B"/>
    <w:rsid w:val="006E0E05"/>
    <w:rsid w:val="006F1457"/>
    <w:rsid w:val="006F5897"/>
    <w:rsid w:val="006F5FDA"/>
    <w:rsid w:val="006F71BE"/>
    <w:rsid w:val="00700541"/>
    <w:rsid w:val="0070326B"/>
    <w:rsid w:val="007047CE"/>
    <w:rsid w:val="0070607D"/>
    <w:rsid w:val="00710E8C"/>
    <w:rsid w:val="00711DF4"/>
    <w:rsid w:val="0071569A"/>
    <w:rsid w:val="00715B3E"/>
    <w:rsid w:val="007161B5"/>
    <w:rsid w:val="00724B9E"/>
    <w:rsid w:val="007259A1"/>
    <w:rsid w:val="007317C7"/>
    <w:rsid w:val="00734B26"/>
    <w:rsid w:val="007402E9"/>
    <w:rsid w:val="007410B2"/>
    <w:rsid w:val="00742847"/>
    <w:rsid w:val="00744E31"/>
    <w:rsid w:val="00745A6A"/>
    <w:rsid w:val="00746B92"/>
    <w:rsid w:val="00746D24"/>
    <w:rsid w:val="00751700"/>
    <w:rsid w:val="0075231A"/>
    <w:rsid w:val="007529BC"/>
    <w:rsid w:val="00754535"/>
    <w:rsid w:val="00757D79"/>
    <w:rsid w:val="0076005D"/>
    <w:rsid w:val="0076236B"/>
    <w:rsid w:val="007659CE"/>
    <w:rsid w:val="00766E39"/>
    <w:rsid w:val="00771529"/>
    <w:rsid w:val="00771634"/>
    <w:rsid w:val="007727ED"/>
    <w:rsid w:val="00772E0F"/>
    <w:rsid w:val="00775322"/>
    <w:rsid w:val="007759DF"/>
    <w:rsid w:val="00776D4A"/>
    <w:rsid w:val="007778A5"/>
    <w:rsid w:val="00777B72"/>
    <w:rsid w:val="00781E0B"/>
    <w:rsid w:val="00783DA7"/>
    <w:rsid w:val="00791DF9"/>
    <w:rsid w:val="00792ACC"/>
    <w:rsid w:val="00792B39"/>
    <w:rsid w:val="0079323E"/>
    <w:rsid w:val="0079455C"/>
    <w:rsid w:val="00794916"/>
    <w:rsid w:val="0079630A"/>
    <w:rsid w:val="00796535"/>
    <w:rsid w:val="00796F24"/>
    <w:rsid w:val="007A0D2E"/>
    <w:rsid w:val="007A4082"/>
    <w:rsid w:val="007A451E"/>
    <w:rsid w:val="007A48C3"/>
    <w:rsid w:val="007A4D33"/>
    <w:rsid w:val="007B46A7"/>
    <w:rsid w:val="007B5336"/>
    <w:rsid w:val="007B5E59"/>
    <w:rsid w:val="007B60E6"/>
    <w:rsid w:val="007B7CA3"/>
    <w:rsid w:val="007C0060"/>
    <w:rsid w:val="007C0D97"/>
    <w:rsid w:val="007C2286"/>
    <w:rsid w:val="007C2591"/>
    <w:rsid w:val="007C4605"/>
    <w:rsid w:val="007C4828"/>
    <w:rsid w:val="007C54AF"/>
    <w:rsid w:val="007C590A"/>
    <w:rsid w:val="007C6672"/>
    <w:rsid w:val="007D1BB9"/>
    <w:rsid w:val="007D2368"/>
    <w:rsid w:val="007D70A1"/>
    <w:rsid w:val="007D7EC3"/>
    <w:rsid w:val="007E03D3"/>
    <w:rsid w:val="007E17E3"/>
    <w:rsid w:val="007E6D67"/>
    <w:rsid w:val="007E7B69"/>
    <w:rsid w:val="007F06C9"/>
    <w:rsid w:val="007F51DB"/>
    <w:rsid w:val="007F6DF6"/>
    <w:rsid w:val="008006B1"/>
    <w:rsid w:val="00801F99"/>
    <w:rsid w:val="008034D7"/>
    <w:rsid w:val="00803C6A"/>
    <w:rsid w:val="00807CB4"/>
    <w:rsid w:val="00812973"/>
    <w:rsid w:val="008132E8"/>
    <w:rsid w:val="00813FCB"/>
    <w:rsid w:val="0081691A"/>
    <w:rsid w:val="00823407"/>
    <w:rsid w:val="00824E10"/>
    <w:rsid w:val="0082687B"/>
    <w:rsid w:val="008305BF"/>
    <w:rsid w:val="0083547D"/>
    <w:rsid w:val="00836901"/>
    <w:rsid w:val="00836B3C"/>
    <w:rsid w:val="00840C80"/>
    <w:rsid w:val="00842791"/>
    <w:rsid w:val="00843A41"/>
    <w:rsid w:val="008460B8"/>
    <w:rsid w:val="00847B4A"/>
    <w:rsid w:val="00852AA6"/>
    <w:rsid w:val="00853F41"/>
    <w:rsid w:val="008556C1"/>
    <w:rsid w:val="00860B8E"/>
    <w:rsid w:val="00861AE7"/>
    <w:rsid w:val="00862927"/>
    <w:rsid w:val="00862C2C"/>
    <w:rsid w:val="00863C01"/>
    <w:rsid w:val="00863CAD"/>
    <w:rsid w:val="008649E9"/>
    <w:rsid w:val="00866CD1"/>
    <w:rsid w:val="008675FF"/>
    <w:rsid w:val="008676A2"/>
    <w:rsid w:val="008701AE"/>
    <w:rsid w:val="00874A64"/>
    <w:rsid w:val="00875FA8"/>
    <w:rsid w:val="00880C2D"/>
    <w:rsid w:val="00882002"/>
    <w:rsid w:val="0088678E"/>
    <w:rsid w:val="00892E78"/>
    <w:rsid w:val="00893F5B"/>
    <w:rsid w:val="00894844"/>
    <w:rsid w:val="00896A8D"/>
    <w:rsid w:val="00897058"/>
    <w:rsid w:val="008A054D"/>
    <w:rsid w:val="008A34EC"/>
    <w:rsid w:val="008A452B"/>
    <w:rsid w:val="008A73B6"/>
    <w:rsid w:val="008A7E4E"/>
    <w:rsid w:val="008B0184"/>
    <w:rsid w:val="008B37DB"/>
    <w:rsid w:val="008B3F81"/>
    <w:rsid w:val="008B4E65"/>
    <w:rsid w:val="008B7D9A"/>
    <w:rsid w:val="008B7F34"/>
    <w:rsid w:val="008C0CDC"/>
    <w:rsid w:val="008C131C"/>
    <w:rsid w:val="008C2197"/>
    <w:rsid w:val="008C5696"/>
    <w:rsid w:val="008C5D02"/>
    <w:rsid w:val="008C6BAF"/>
    <w:rsid w:val="008C7FF5"/>
    <w:rsid w:val="008D25F9"/>
    <w:rsid w:val="008D2649"/>
    <w:rsid w:val="008D72A3"/>
    <w:rsid w:val="008E02DA"/>
    <w:rsid w:val="008E0495"/>
    <w:rsid w:val="008E14E3"/>
    <w:rsid w:val="008E3DCA"/>
    <w:rsid w:val="008E4677"/>
    <w:rsid w:val="008E4811"/>
    <w:rsid w:val="008F2B9A"/>
    <w:rsid w:val="008F6F70"/>
    <w:rsid w:val="00903079"/>
    <w:rsid w:val="0090568D"/>
    <w:rsid w:val="00907869"/>
    <w:rsid w:val="00910A1D"/>
    <w:rsid w:val="00912245"/>
    <w:rsid w:val="009125C9"/>
    <w:rsid w:val="00913879"/>
    <w:rsid w:val="00914A4C"/>
    <w:rsid w:val="00915B72"/>
    <w:rsid w:val="00917661"/>
    <w:rsid w:val="00920A39"/>
    <w:rsid w:val="00923D6A"/>
    <w:rsid w:val="00925A3C"/>
    <w:rsid w:val="00926947"/>
    <w:rsid w:val="009278DF"/>
    <w:rsid w:val="009341A4"/>
    <w:rsid w:val="00935209"/>
    <w:rsid w:val="0093585F"/>
    <w:rsid w:val="00936229"/>
    <w:rsid w:val="009375E3"/>
    <w:rsid w:val="0094015A"/>
    <w:rsid w:val="00941722"/>
    <w:rsid w:val="009457BC"/>
    <w:rsid w:val="0094645A"/>
    <w:rsid w:val="0094726B"/>
    <w:rsid w:val="00954A5B"/>
    <w:rsid w:val="00956CE0"/>
    <w:rsid w:val="009575CF"/>
    <w:rsid w:val="00964945"/>
    <w:rsid w:val="00964FD4"/>
    <w:rsid w:val="00967392"/>
    <w:rsid w:val="009707D5"/>
    <w:rsid w:val="00970E5D"/>
    <w:rsid w:val="0097188D"/>
    <w:rsid w:val="009728F3"/>
    <w:rsid w:val="00974D13"/>
    <w:rsid w:val="00975595"/>
    <w:rsid w:val="0097701C"/>
    <w:rsid w:val="00980A65"/>
    <w:rsid w:val="00985168"/>
    <w:rsid w:val="0098578A"/>
    <w:rsid w:val="00986E80"/>
    <w:rsid w:val="00992355"/>
    <w:rsid w:val="0099391F"/>
    <w:rsid w:val="00994AEF"/>
    <w:rsid w:val="00995373"/>
    <w:rsid w:val="00995408"/>
    <w:rsid w:val="00995F6B"/>
    <w:rsid w:val="00996140"/>
    <w:rsid w:val="009976A7"/>
    <w:rsid w:val="009A3D7A"/>
    <w:rsid w:val="009A56CA"/>
    <w:rsid w:val="009A67D7"/>
    <w:rsid w:val="009A696B"/>
    <w:rsid w:val="009A74C0"/>
    <w:rsid w:val="009B113E"/>
    <w:rsid w:val="009B1F9A"/>
    <w:rsid w:val="009B4D62"/>
    <w:rsid w:val="009B7E68"/>
    <w:rsid w:val="009C1E3E"/>
    <w:rsid w:val="009C4935"/>
    <w:rsid w:val="009C51CD"/>
    <w:rsid w:val="009C6324"/>
    <w:rsid w:val="009C6C18"/>
    <w:rsid w:val="009D0C3E"/>
    <w:rsid w:val="009D2782"/>
    <w:rsid w:val="009D3A88"/>
    <w:rsid w:val="009D4425"/>
    <w:rsid w:val="009D4EF4"/>
    <w:rsid w:val="009D54D7"/>
    <w:rsid w:val="009D5A45"/>
    <w:rsid w:val="009D7C32"/>
    <w:rsid w:val="009D7FBA"/>
    <w:rsid w:val="009E0406"/>
    <w:rsid w:val="009E3AA6"/>
    <w:rsid w:val="009F2899"/>
    <w:rsid w:val="009F4AA0"/>
    <w:rsid w:val="009F4C0F"/>
    <w:rsid w:val="009F5704"/>
    <w:rsid w:val="009F6CF0"/>
    <w:rsid w:val="009F6D19"/>
    <w:rsid w:val="00A00518"/>
    <w:rsid w:val="00A018B3"/>
    <w:rsid w:val="00A0232A"/>
    <w:rsid w:val="00A03999"/>
    <w:rsid w:val="00A06125"/>
    <w:rsid w:val="00A0627B"/>
    <w:rsid w:val="00A1178B"/>
    <w:rsid w:val="00A1268E"/>
    <w:rsid w:val="00A137C0"/>
    <w:rsid w:val="00A17146"/>
    <w:rsid w:val="00A17597"/>
    <w:rsid w:val="00A20356"/>
    <w:rsid w:val="00A24440"/>
    <w:rsid w:val="00A25AAB"/>
    <w:rsid w:val="00A25E70"/>
    <w:rsid w:val="00A27E57"/>
    <w:rsid w:val="00A3047C"/>
    <w:rsid w:val="00A317B6"/>
    <w:rsid w:val="00A33765"/>
    <w:rsid w:val="00A33BD7"/>
    <w:rsid w:val="00A347C9"/>
    <w:rsid w:val="00A34908"/>
    <w:rsid w:val="00A351D9"/>
    <w:rsid w:val="00A4057D"/>
    <w:rsid w:val="00A4287F"/>
    <w:rsid w:val="00A42DFA"/>
    <w:rsid w:val="00A4401C"/>
    <w:rsid w:val="00A45D6E"/>
    <w:rsid w:val="00A50DA1"/>
    <w:rsid w:val="00A550F8"/>
    <w:rsid w:val="00A57B72"/>
    <w:rsid w:val="00A61F04"/>
    <w:rsid w:val="00A63269"/>
    <w:rsid w:val="00A65A1A"/>
    <w:rsid w:val="00A66EA0"/>
    <w:rsid w:val="00A6733E"/>
    <w:rsid w:val="00A6797D"/>
    <w:rsid w:val="00A71D69"/>
    <w:rsid w:val="00A7444A"/>
    <w:rsid w:val="00A74691"/>
    <w:rsid w:val="00A74AF8"/>
    <w:rsid w:val="00A808D0"/>
    <w:rsid w:val="00A830B8"/>
    <w:rsid w:val="00A85C70"/>
    <w:rsid w:val="00A8632B"/>
    <w:rsid w:val="00A87108"/>
    <w:rsid w:val="00A87BCB"/>
    <w:rsid w:val="00A92377"/>
    <w:rsid w:val="00AA361E"/>
    <w:rsid w:val="00AA510E"/>
    <w:rsid w:val="00AA5CAF"/>
    <w:rsid w:val="00AB013B"/>
    <w:rsid w:val="00AB29ED"/>
    <w:rsid w:val="00AC0C46"/>
    <w:rsid w:val="00AC15C1"/>
    <w:rsid w:val="00AC4529"/>
    <w:rsid w:val="00AC71C9"/>
    <w:rsid w:val="00AC744F"/>
    <w:rsid w:val="00AC7CD6"/>
    <w:rsid w:val="00AD0B6E"/>
    <w:rsid w:val="00AD0D5F"/>
    <w:rsid w:val="00AD3ED4"/>
    <w:rsid w:val="00AD4911"/>
    <w:rsid w:val="00AD4C8E"/>
    <w:rsid w:val="00AD4E08"/>
    <w:rsid w:val="00AD72A8"/>
    <w:rsid w:val="00AE15FA"/>
    <w:rsid w:val="00AE2131"/>
    <w:rsid w:val="00AE3649"/>
    <w:rsid w:val="00AE4BD8"/>
    <w:rsid w:val="00AE6222"/>
    <w:rsid w:val="00AE71A7"/>
    <w:rsid w:val="00AF32F5"/>
    <w:rsid w:val="00AF66F3"/>
    <w:rsid w:val="00B00512"/>
    <w:rsid w:val="00B01EDF"/>
    <w:rsid w:val="00B03830"/>
    <w:rsid w:val="00B05416"/>
    <w:rsid w:val="00B06CBC"/>
    <w:rsid w:val="00B06DE1"/>
    <w:rsid w:val="00B132B3"/>
    <w:rsid w:val="00B13C71"/>
    <w:rsid w:val="00B152C7"/>
    <w:rsid w:val="00B156BF"/>
    <w:rsid w:val="00B16D23"/>
    <w:rsid w:val="00B232B9"/>
    <w:rsid w:val="00B24A0B"/>
    <w:rsid w:val="00B25A26"/>
    <w:rsid w:val="00B313BF"/>
    <w:rsid w:val="00B31CDC"/>
    <w:rsid w:val="00B32B91"/>
    <w:rsid w:val="00B3318C"/>
    <w:rsid w:val="00B36768"/>
    <w:rsid w:val="00B41FCC"/>
    <w:rsid w:val="00B4388F"/>
    <w:rsid w:val="00B4422D"/>
    <w:rsid w:val="00B47C91"/>
    <w:rsid w:val="00B518DF"/>
    <w:rsid w:val="00B53766"/>
    <w:rsid w:val="00B55A22"/>
    <w:rsid w:val="00B614F0"/>
    <w:rsid w:val="00B62414"/>
    <w:rsid w:val="00B63237"/>
    <w:rsid w:val="00B64664"/>
    <w:rsid w:val="00B65256"/>
    <w:rsid w:val="00B659F7"/>
    <w:rsid w:val="00B6629D"/>
    <w:rsid w:val="00B73914"/>
    <w:rsid w:val="00B7494B"/>
    <w:rsid w:val="00B82CD3"/>
    <w:rsid w:val="00B8388C"/>
    <w:rsid w:val="00B84E88"/>
    <w:rsid w:val="00B90B89"/>
    <w:rsid w:val="00B90CCB"/>
    <w:rsid w:val="00B90F3B"/>
    <w:rsid w:val="00B95052"/>
    <w:rsid w:val="00B966FA"/>
    <w:rsid w:val="00BA103D"/>
    <w:rsid w:val="00BA2C60"/>
    <w:rsid w:val="00BA47FB"/>
    <w:rsid w:val="00BA73E0"/>
    <w:rsid w:val="00BA7DFB"/>
    <w:rsid w:val="00BB00FA"/>
    <w:rsid w:val="00BB01EB"/>
    <w:rsid w:val="00BB03A0"/>
    <w:rsid w:val="00BB4580"/>
    <w:rsid w:val="00BC0EC9"/>
    <w:rsid w:val="00BC4764"/>
    <w:rsid w:val="00BC63FC"/>
    <w:rsid w:val="00BD0403"/>
    <w:rsid w:val="00BD1F7F"/>
    <w:rsid w:val="00BD2FB9"/>
    <w:rsid w:val="00BD632A"/>
    <w:rsid w:val="00BE5856"/>
    <w:rsid w:val="00BE7F08"/>
    <w:rsid w:val="00BF0A43"/>
    <w:rsid w:val="00BF27F6"/>
    <w:rsid w:val="00BF3249"/>
    <w:rsid w:val="00BF3DCB"/>
    <w:rsid w:val="00BF49D7"/>
    <w:rsid w:val="00BF58A7"/>
    <w:rsid w:val="00BF6F46"/>
    <w:rsid w:val="00BF7D53"/>
    <w:rsid w:val="00C02E2E"/>
    <w:rsid w:val="00C033A6"/>
    <w:rsid w:val="00C05E3E"/>
    <w:rsid w:val="00C06470"/>
    <w:rsid w:val="00C1146E"/>
    <w:rsid w:val="00C11B56"/>
    <w:rsid w:val="00C11BC8"/>
    <w:rsid w:val="00C11ED6"/>
    <w:rsid w:val="00C15587"/>
    <w:rsid w:val="00C161C8"/>
    <w:rsid w:val="00C22DA5"/>
    <w:rsid w:val="00C24AF1"/>
    <w:rsid w:val="00C2722A"/>
    <w:rsid w:val="00C32057"/>
    <w:rsid w:val="00C342BB"/>
    <w:rsid w:val="00C34FA5"/>
    <w:rsid w:val="00C3587A"/>
    <w:rsid w:val="00C379DC"/>
    <w:rsid w:val="00C37B6B"/>
    <w:rsid w:val="00C409F4"/>
    <w:rsid w:val="00C41D2D"/>
    <w:rsid w:val="00C44BAF"/>
    <w:rsid w:val="00C45397"/>
    <w:rsid w:val="00C513A7"/>
    <w:rsid w:val="00C51B55"/>
    <w:rsid w:val="00C52F3D"/>
    <w:rsid w:val="00C56A21"/>
    <w:rsid w:val="00C56E6D"/>
    <w:rsid w:val="00C577B7"/>
    <w:rsid w:val="00C61415"/>
    <w:rsid w:val="00C6271E"/>
    <w:rsid w:val="00C639C6"/>
    <w:rsid w:val="00C64E09"/>
    <w:rsid w:val="00C70788"/>
    <w:rsid w:val="00C72ACC"/>
    <w:rsid w:val="00C72D0E"/>
    <w:rsid w:val="00C74EA4"/>
    <w:rsid w:val="00C824ED"/>
    <w:rsid w:val="00C83539"/>
    <w:rsid w:val="00C926AE"/>
    <w:rsid w:val="00C93CE9"/>
    <w:rsid w:val="00C93CEA"/>
    <w:rsid w:val="00C960DC"/>
    <w:rsid w:val="00CA4D76"/>
    <w:rsid w:val="00CB2FB7"/>
    <w:rsid w:val="00CB4DCD"/>
    <w:rsid w:val="00CC045F"/>
    <w:rsid w:val="00CC0BC7"/>
    <w:rsid w:val="00CC176C"/>
    <w:rsid w:val="00CC3F42"/>
    <w:rsid w:val="00CC58DA"/>
    <w:rsid w:val="00CC77D0"/>
    <w:rsid w:val="00CC7B5F"/>
    <w:rsid w:val="00CD2C6E"/>
    <w:rsid w:val="00CD3B49"/>
    <w:rsid w:val="00CD42D6"/>
    <w:rsid w:val="00CD4A21"/>
    <w:rsid w:val="00CD78D7"/>
    <w:rsid w:val="00CE5849"/>
    <w:rsid w:val="00CE665B"/>
    <w:rsid w:val="00CF31CD"/>
    <w:rsid w:val="00CF6713"/>
    <w:rsid w:val="00D02C75"/>
    <w:rsid w:val="00D03E51"/>
    <w:rsid w:val="00D047D2"/>
    <w:rsid w:val="00D103F8"/>
    <w:rsid w:val="00D10E22"/>
    <w:rsid w:val="00D12A7B"/>
    <w:rsid w:val="00D13D2C"/>
    <w:rsid w:val="00D15DCA"/>
    <w:rsid w:val="00D16B43"/>
    <w:rsid w:val="00D200A1"/>
    <w:rsid w:val="00D2016A"/>
    <w:rsid w:val="00D20252"/>
    <w:rsid w:val="00D223B8"/>
    <w:rsid w:val="00D25493"/>
    <w:rsid w:val="00D26290"/>
    <w:rsid w:val="00D26DCF"/>
    <w:rsid w:val="00D304CF"/>
    <w:rsid w:val="00D31CE0"/>
    <w:rsid w:val="00D31F0F"/>
    <w:rsid w:val="00D4008D"/>
    <w:rsid w:val="00D4243D"/>
    <w:rsid w:val="00D44903"/>
    <w:rsid w:val="00D458E7"/>
    <w:rsid w:val="00D45B1C"/>
    <w:rsid w:val="00D50114"/>
    <w:rsid w:val="00D5059B"/>
    <w:rsid w:val="00D51847"/>
    <w:rsid w:val="00D52EF3"/>
    <w:rsid w:val="00D61783"/>
    <w:rsid w:val="00D63D41"/>
    <w:rsid w:val="00D64CED"/>
    <w:rsid w:val="00D65CCC"/>
    <w:rsid w:val="00D67AA6"/>
    <w:rsid w:val="00D72B39"/>
    <w:rsid w:val="00D7311C"/>
    <w:rsid w:val="00D75E63"/>
    <w:rsid w:val="00D770C5"/>
    <w:rsid w:val="00D82FA1"/>
    <w:rsid w:val="00D82FFA"/>
    <w:rsid w:val="00D83CC4"/>
    <w:rsid w:val="00D854CB"/>
    <w:rsid w:val="00D87DE4"/>
    <w:rsid w:val="00D938FF"/>
    <w:rsid w:val="00D94203"/>
    <w:rsid w:val="00D9464D"/>
    <w:rsid w:val="00D959C8"/>
    <w:rsid w:val="00D97C2F"/>
    <w:rsid w:val="00DA023B"/>
    <w:rsid w:val="00DA0D29"/>
    <w:rsid w:val="00DA11FD"/>
    <w:rsid w:val="00DA183F"/>
    <w:rsid w:val="00DA5762"/>
    <w:rsid w:val="00DA5C73"/>
    <w:rsid w:val="00DA70AD"/>
    <w:rsid w:val="00DB00C5"/>
    <w:rsid w:val="00DB4791"/>
    <w:rsid w:val="00DB4A7E"/>
    <w:rsid w:val="00DB6295"/>
    <w:rsid w:val="00DB7B53"/>
    <w:rsid w:val="00DC17C3"/>
    <w:rsid w:val="00DC2788"/>
    <w:rsid w:val="00DC2F5C"/>
    <w:rsid w:val="00DC2F94"/>
    <w:rsid w:val="00DC3BFD"/>
    <w:rsid w:val="00DD026F"/>
    <w:rsid w:val="00DD27C4"/>
    <w:rsid w:val="00DD3D9E"/>
    <w:rsid w:val="00DD6C9B"/>
    <w:rsid w:val="00DD7908"/>
    <w:rsid w:val="00DE13F4"/>
    <w:rsid w:val="00DE1DEB"/>
    <w:rsid w:val="00DE6DC2"/>
    <w:rsid w:val="00DE7AD9"/>
    <w:rsid w:val="00DF0C93"/>
    <w:rsid w:val="00DF19ED"/>
    <w:rsid w:val="00DF1D37"/>
    <w:rsid w:val="00E054E7"/>
    <w:rsid w:val="00E0645C"/>
    <w:rsid w:val="00E103B6"/>
    <w:rsid w:val="00E10594"/>
    <w:rsid w:val="00E11D0D"/>
    <w:rsid w:val="00E12801"/>
    <w:rsid w:val="00E134D7"/>
    <w:rsid w:val="00E14AD5"/>
    <w:rsid w:val="00E1615A"/>
    <w:rsid w:val="00E20162"/>
    <w:rsid w:val="00E20DB0"/>
    <w:rsid w:val="00E21B81"/>
    <w:rsid w:val="00E2378A"/>
    <w:rsid w:val="00E25317"/>
    <w:rsid w:val="00E25630"/>
    <w:rsid w:val="00E27602"/>
    <w:rsid w:val="00E27DE3"/>
    <w:rsid w:val="00E30E4A"/>
    <w:rsid w:val="00E31FA9"/>
    <w:rsid w:val="00E34C7B"/>
    <w:rsid w:val="00E34E78"/>
    <w:rsid w:val="00E350E2"/>
    <w:rsid w:val="00E36C5E"/>
    <w:rsid w:val="00E37C3F"/>
    <w:rsid w:val="00E40C1A"/>
    <w:rsid w:val="00E42609"/>
    <w:rsid w:val="00E43B3F"/>
    <w:rsid w:val="00E448D5"/>
    <w:rsid w:val="00E45A32"/>
    <w:rsid w:val="00E46165"/>
    <w:rsid w:val="00E468D7"/>
    <w:rsid w:val="00E51DF2"/>
    <w:rsid w:val="00E526B3"/>
    <w:rsid w:val="00E52773"/>
    <w:rsid w:val="00E53F61"/>
    <w:rsid w:val="00E54575"/>
    <w:rsid w:val="00E55C55"/>
    <w:rsid w:val="00E61E3F"/>
    <w:rsid w:val="00E635EE"/>
    <w:rsid w:val="00E64E93"/>
    <w:rsid w:val="00E650A6"/>
    <w:rsid w:val="00E657D7"/>
    <w:rsid w:val="00E72C2D"/>
    <w:rsid w:val="00E736CD"/>
    <w:rsid w:val="00E76FAA"/>
    <w:rsid w:val="00E778C8"/>
    <w:rsid w:val="00E809F7"/>
    <w:rsid w:val="00E82297"/>
    <w:rsid w:val="00E8484F"/>
    <w:rsid w:val="00E8789E"/>
    <w:rsid w:val="00E92223"/>
    <w:rsid w:val="00E9275F"/>
    <w:rsid w:val="00E94C89"/>
    <w:rsid w:val="00E979BF"/>
    <w:rsid w:val="00EA0983"/>
    <w:rsid w:val="00EA0B24"/>
    <w:rsid w:val="00EA4955"/>
    <w:rsid w:val="00EB0138"/>
    <w:rsid w:val="00EB3382"/>
    <w:rsid w:val="00EB3A4E"/>
    <w:rsid w:val="00EB3D50"/>
    <w:rsid w:val="00EB5601"/>
    <w:rsid w:val="00EB600C"/>
    <w:rsid w:val="00EB7045"/>
    <w:rsid w:val="00EC03ED"/>
    <w:rsid w:val="00EC073D"/>
    <w:rsid w:val="00EC0AA9"/>
    <w:rsid w:val="00EC23C6"/>
    <w:rsid w:val="00EC32DE"/>
    <w:rsid w:val="00EC4C63"/>
    <w:rsid w:val="00EC4CF9"/>
    <w:rsid w:val="00EC643D"/>
    <w:rsid w:val="00ED51C0"/>
    <w:rsid w:val="00EE14A6"/>
    <w:rsid w:val="00EE33AF"/>
    <w:rsid w:val="00EE6DDF"/>
    <w:rsid w:val="00EE75A2"/>
    <w:rsid w:val="00EF0A4B"/>
    <w:rsid w:val="00EF39FD"/>
    <w:rsid w:val="00EF5C99"/>
    <w:rsid w:val="00EF72EB"/>
    <w:rsid w:val="00EFC90B"/>
    <w:rsid w:val="00F0284E"/>
    <w:rsid w:val="00F06842"/>
    <w:rsid w:val="00F06EF3"/>
    <w:rsid w:val="00F10528"/>
    <w:rsid w:val="00F107FD"/>
    <w:rsid w:val="00F10A30"/>
    <w:rsid w:val="00F10FA7"/>
    <w:rsid w:val="00F124E2"/>
    <w:rsid w:val="00F178C9"/>
    <w:rsid w:val="00F23608"/>
    <w:rsid w:val="00F24B83"/>
    <w:rsid w:val="00F3446C"/>
    <w:rsid w:val="00F34C02"/>
    <w:rsid w:val="00F36321"/>
    <w:rsid w:val="00F40DE3"/>
    <w:rsid w:val="00F42C20"/>
    <w:rsid w:val="00F4321F"/>
    <w:rsid w:val="00F43738"/>
    <w:rsid w:val="00F47000"/>
    <w:rsid w:val="00F7051C"/>
    <w:rsid w:val="00F70A75"/>
    <w:rsid w:val="00F72432"/>
    <w:rsid w:val="00F72E30"/>
    <w:rsid w:val="00F74E29"/>
    <w:rsid w:val="00F81741"/>
    <w:rsid w:val="00F84F8C"/>
    <w:rsid w:val="00F85140"/>
    <w:rsid w:val="00F9036B"/>
    <w:rsid w:val="00F9068C"/>
    <w:rsid w:val="00F95DF1"/>
    <w:rsid w:val="00FA3FD2"/>
    <w:rsid w:val="00FA5502"/>
    <w:rsid w:val="00FB0DAD"/>
    <w:rsid w:val="00FB14F4"/>
    <w:rsid w:val="00FB2036"/>
    <w:rsid w:val="00FB64A8"/>
    <w:rsid w:val="00FB71A3"/>
    <w:rsid w:val="00FC3041"/>
    <w:rsid w:val="00FC3C25"/>
    <w:rsid w:val="00FC440C"/>
    <w:rsid w:val="00FC4E9C"/>
    <w:rsid w:val="00FC51C3"/>
    <w:rsid w:val="00FD269C"/>
    <w:rsid w:val="00FD28A2"/>
    <w:rsid w:val="00FD2A0F"/>
    <w:rsid w:val="00FD44C8"/>
    <w:rsid w:val="00FD5A0D"/>
    <w:rsid w:val="00FD6BE7"/>
    <w:rsid w:val="00FE12BF"/>
    <w:rsid w:val="00FE2948"/>
    <w:rsid w:val="00FE31F9"/>
    <w:rsid w:val="00FE491E"/>
    <w:rsid w:val="00FE52EC"/>
    <w:rsid w:val="00FF1AFB"/>
    <w:rsid w:val="00FF2081"/>
    <w:rsid w:val="00FF43F4"/>
    <w:rsid w:val="00FF46BE"/>
    <w:rsid w:val="00FF5EE7"/>
    <w:rsid w:val="0123B8C3"/>
    <w:rsid w:val="01B92056"/>
    <w:rsid w:val="01D4CC7C"/>
    <w:rsid w:val="01E81F85"/>
    <w:rsid w:val="0273EA0D"/>
    <w:rsid w:val="02AAF73C"/>
    <w:rsid w:val="02FA32C8"/>
    <w:rsid w:val="035D5BD7"/>
    <w:rsid w:val="046573EB"/>
    <w:rsid w:val="048EE1FD"/>
    <w:rsid w:val="04932629"/>
    <w:rsid w:val="053B00C6"/>
    <w:rsid w:val="053EDCF1"/>
    <w:rsid w:val="054E4844"/>
    <w:rsid w:val="05B5FD86"/>
    <w:rsid w:val="05FE9A3C"/>
    <w:rsid w:val="06860EF7"/>
    <w:rsid w:val="06A28239"/>
    <w:rsid w:val="06F9972B"/>
    <w:rsid w:val="070C395F"/>
    <w:rsid w:val="0714A16A"/>
    <w:rsid w:val="074DB0BF"/>
    <w:rsid w:val="07725F1F"/>
    <w:rsid w:val="079C14F3"/>
    <w:rsid w:val="0816DDAD"/>
    <w:rsid w:val="082C18CD"/>
    <w:rsid w:val="0875B36A"/>
    <w:rsid w:val="08972CF9"/>
    <w:rsid w:val="08DD517C"/>
    <w:rsid w:val="08E6A124"/>
    <w:rsid w:val="09035486"/>
    <w:rsid w:val="09C44E87"/>
    <w:rsid w:val="0AA1FD6E"/>
    <w:rsid w:val="0ACF1774"/>
    <w:rsid w:val="0AD3A154"/>
    <w:rsid w:val="0B307340"/>
    <w:rsid w:val="0B5D1678"/>
    <w:rsid w:val="0BB28167"/>
    <w:rsid w:val="0BD31A10"/>
    <w:rsid w:val="0BEE4F0C"/>
    <w:rsid w:val="0C5B69BF"/>
    <w:rsid w:val="0C84835C"/>
    <w:rsid w:val="0C9669C4"/>
    <w:rsid w:val="0CC8C185"/>
    <w:rsid w:val="0D851938"/>
    <w:rsid w:val="0E6AD1B9"/>
    <w:rsid w:val="0F0ABAD2"/>
    <w:rsid w:val="0F397C5E"/>
    <w:rsid w:val="0FA726D8"/>
    <w:rsid w:val="10A07971"/>
    <w:rsid w:val="110C0B77"/>
    <w:rsid w:val="113F3893"/>
    <w:rsid w:val="117B9CBF"/>
    <w:rsid w:val="1194E77F"/>
    <w:rsid w:val="11C34501"/>
    <w:rsid w:val="11E0D64E"/>
    <w:rsid w:val="11FA1D7D"/>
    <w:rsid w:val="12C58ADC"/>
    <w:rsid w:val="12CA32C4"/>
    <w:rsid w:val="12E34B58"/>
    <w:rsid w:val="12E37B9A"/>
    <w:rsid w:val="12FC7A2E"/>
    <w:rsid w:val="13824193"/>
    <w:rsid w:val="13B4402C"/>
    <w:rsid w:val="1405659D"/>
    <w:rsid w:val="1469F56B"/>
    <w:rsid w:val="147641DD"/>
    <w:rsid w:val="14994F03"/>
    <w:rsid w:val="149981D4"/>
    <w:rsid w:val="14B70AE7"/>
    <w:rsid w:val="14F4F406"/>
    <w:rsid w:val="150AFADF"/>
    <w:rsid w:val="1579FC56"/>
    <w:rsid w:val="15A0B153"/>
    <w:rsid w:val="15FBB1A6"/>
    <w:rsid w:val="16A42047"/>
    <w:rsid w:val="16BAD336"/>
    <w:rsid w:val="16C5018F"/>
    <w:rsid w:val="17CDE4A9"/>
    <w:rsid w:val="17DC81BF"/>
    <w:rsid w:val="17FB32FE"/>
    <w:rsid w:val="1822021F"/>
    <w:rsid w:val="184D0BBB"/>
    <w:rsid w:val="18A5A808"/>
    <w:rsid w:val="18D78F58"/>
    <w:rsid w:val="1931C738"/>
    <w:rsid w:val="196CC52A"/>
    <w:rsid w:val="19A75AB8"/>
    <w:rsid w:val="19AAC873"/>
    <w:rsid w:val="19D0BF5E"/>
    <w:rsid w:val="1A555AFF"/>
    <w:rsid w:val="1AD88A47"/>
    <w:rsid w:val="1B28080F"/>
    <w:rsid w:val="1B4698D4"/>
    <w:rsid w:val="1C688259"/>
    <w:rsid w:val="1D036594"/>
    <w:rsid w:val="1D67E747"/>
    <w:rsid w:val="1D7B1078"/>
    <w:rsid w:val="1DB0CFD7"/>
    <w:rsid w:val="1DDDE04F"/>
    <w:rsid w:val="1DF4E3F5"/>
    <w:rsid w:val="1E102B09"/>
    <w:rsid w:val="1EE9C83B"/>
    <w:rsid w:val="1F22B965"/>
    <w:rsid w:val="1F700186"/>
    <w:rsid w:val="1FD024D1"/>
    <w:rsid w:val="1FE9CD19"/>
    <w:rsid w:val="204000E2"/>
    <w:rsid w:val="207FC850"/>
    <w:rsid w:val="20C11DF9"/>
    <w:rsid w:val="2118480E"/>
    <w:rsid w:val="21244E6B"/>
    <w:rsid w:val="21974993"/>
    <w:rsid w:val="21AA638B"/>
    <w:rsid w:val="2278573A"/>
    <w:rsid w:val="228F125E"/>
    <w:rsid w:val="229D9011"/>
    <w:rsid w:val="229FB5BD"/>
    <w:rsid w:val="23905182"/>
    <w:rsid w:val="23AD42F1"/>
    <w:rsid w:val="23D80BC7"/>
    <w:rsid w:val="240027EA"/>
    <w:rsid w:val="241C85FF"/>
    <w:rsid w:val="248553E4"/>
    <w:rsid w:val="253E8BAA"/>
    <w:rsid w:val="25B60FC1"/>
    <w:rsid w:val="25DE1515"/>
    <w:rsid w:val="25E242FA"/>
    <w:rsid w:val="261B3CEE"/>
    <w:rsid w:val="262BAB1E"/>
    <w:rsid w:val="263EDF2E"/>
    <w:rsid w:val="266ABAB6"/>
    <w:rsid w:val="26E7A0C5"/>
    <w:rsid w:val="27101061"/>
    <w:rsid w:val="278E2006"/>
    <w:rsid w:val="281F199E"/>
    <w:rsid w:val="282634A1"/>
    <w:rsid w:val="283827D9"/>
    <w:rsid w:val="28CFAE68"/>
    <w:rsid w:val="28D48DDD"/>
    <w:rsid w:val="293AE8E5"/>
    <w:rsid w:val="2952DDB0"/>
    <w:rsid w:val="2959E447"/>
    <w:rsid w:val="2969ABF8"/>
    <w:rsid w:val="298ADEE3"/>
    <w:rsid w:val="29975188"/>
    <w:rsid w:val="29C1CFD3"/>
    <w:rsid w:val="2A52566C"/>
    <w:rsid w:val="2AA0D47B"/>
    <w:rsid w:val="2AA0DAD0"/>
    <w:rsid w:val="2AF83EE0"/>
    <w:rsid w:val="2B12D33A"/>
    <w:rsid w:val="2B7ED673"/>
    <w:rsid w:val="2BD6252F"/>
    <w:rsid w:val="2C6145DD"/>
    <w:rsid w:val="2C8A7E72"/>
    <w:rsid w:val="2CD5347F"/>
    <w:rsid w:val="2D89F4D0"/>
    <w:rsid w:val="2D9CC59C"/>
    <w:rsid w:val="2DB7E3D9"/>
    <w:rsid w:val="2DD32795"/>
    <w:rsid w:val="2DEBF67D"/>
    <w:rsid w:val="2DF72488"/>
    <w:rsid w:val="2E04202B"/>
    <w:rsid w:val="2E3F58C0"/>
    <w:rsid w:val="2E6A8FDA"/>
    <w:rsid w:val="2F17A6F0"/>
    <w:rsid w:val="2F66A4FA"/>
    <w:rsid w:val="2F9BAD9C"/>
    <w:rsid w:val="2FBFD5B5"/>
    <w:rsid w:val="3042815D"/>
    <w:rsid w:val="3074C8D7"/>
    <w:rsid w:val="30D3F634"/>
    <w:rsid w:val="310AC857"/>
    <w:rsid w:val="317B2767"/>
    <w:rsid w:val="32472856"/>
    <w:rsid w:val="325A5653"/>
    <w:rsid w:val="328B2509"/>
    <w:rsid w:val="32E8FE27"/>
    <w:rsid w:val="3300C68D"/>
    <w:rsid w:val="3357DE47"/>
    <w:rsid w:val="3358FA5A"/>
    <w:rsid w:val="339B6098"/>
    <w:rsid w:val="33B8CEF8"/>
    <w:rsid w:val="33C62873"/>
    <w:rsid w:val="33FF7431"/>
    <w:rsid w:val="343EFB5E"/>
    <w:rsid w:val="344E5FDA"/>
    <w:rsid w:val="34700B34"/>
    <w:rsid w:val="349F72C2"/>
    <w:rsid w:val="34DC9E7D"/>
    <w:rsid w:val="3568D22E"/>
    <w:rsid w:val="35CE9BDC"/>
    <w:rsid w:val="35DACBBF"/>
    <w:rsid w:val="3661D732"/>
    <w:rsid w:val="3665D362"/>
    <w:rsid w:val="3745E6AF"/>
    <w:rsid w:val="37860A35"/>
    <w:rsid w:val="37AD5124"/>
    <w:rsid w:val="37E7748E"/>
    <w:rsid w:val="3818CF83"/>
    <w:rsid w:val="38428363"/>
    <w:rsid w:val="385D10E6"/>
    <w:rsid w:val="385D27A5"/>
    <w:rsid w:val="3887C747"/>
    <w:rsid w:val="38A7CBAF"/>
    <w:rsid w:val="3A5E80DD"/>
    <w:rsid w:val="3A6CBE6C"/>
    <w:rsid w:val="3A87469A"/>
    <w:rsid w:val="3AB0B74C"/>
    <w:rsid w:val="3B2755D1"/>
    <w:rsid w:val="3B513DA5"/>
    <w:rsid w:val="3B5F3F11"/>
    <w:rsid w:val="3BA70F15"/>
    <w:rsid w:val="3BC64414"/>
    <w:rsid w:val="3BEAEE04"/>
    <w:rsid w:val="3BF5E10E"/>
    <w:rsid w:val="3CDFC15D"/>
    <w:rsid w:val="3CEF246D"/>
    <w:rsid w:val="3D621475"/>
    <w:rsid w:val="3D64220F"/>
    <w:rsid w:val="3D7B3CD2"/>
    <w:rsid w:val="3DBC611A"/>
    <w:rsid w:val="3DE124E3"/>
    <w:rsid w:val="3E22CC32"/>
    <w:rsid w:val="3E29FC90"/>
    <w:rsid w:val="3E93DDEB"/>
    <w:rsid w:val="404AD447"/>
    <w:rsid w:val="40520685"/>
    <w:rsid w:val="40557B9B"/>
    <w:rsid w:val="405CF394"/>
    <w:rsid w:val="40A9D749"/>
    <w:rsid w:val="40F277AE"/>
    <w:rsid w:val="40FD13E3"/>
    <w:rsid w:val="412385A0"/>
    <w:rsid w:val="42867D58"/>
    <w:rsid w:val="428E5C70"/>
    <w:rsid w:val="42973960"/>
    <w:rsid w:val="4459E161"/>
    <w:rsid w:val="445B69B2"/>
    <w:rsid w:val="44F94E0C"/>
    <w:rsid w:val="44FED31A"/>
    <w:rsid w:val="453C0D53"/>
    <w:rsid w:val="4547F7EE"/>
    <w:rsid w:val="45567139"/>
    <w:rsid w:val="45C90DA1"/>
    <w:rsid w:val="46ABE8EA"/>
    <w:rsid w:val="46B52077"/>
    <w:rsid w:val="4787B33F"/>
    <w:rsid w:val="47CD1412"/>
    <w:rsid w:val="47F34DED"/>
    <w:rsid w:val="4815D240"/>
    <w:rsid w:val="4861831E"/>
    <w:rsid w:val="4893D377"/>
    <w:rsid w:val="48A88C07"/>
    <w:rsid w:val="48CB9185"/>
    <w:rsid w:val="4914FFE9"/>
    <w:rsid w:val="4962B704"/>
    <w:rsid w:val="49B9E629"/>
    <w:rsid w:val="49F247AA"/>
    <w:rsid w:val="49F578D5"/>
    <w:rsid w:val="4A180773"/>
    <w:rsid w:val="4A379132"/>
    <w:rsid w:val="4AE496CE"/>
    <w:rsid w:val="4B3699E0"/>
    <w:rsid w:val="4B85CE7F"/>
    <w:rsid w:val="4B9AD49D"/>
    <w:rsid w:val="4C1A7FFC"/>
    <w:rsid w:val="4C1B4D0B"/>
    <w:rsid w:val="4C748F40"/>
    <w:rsid w:val="4CAC91C6"/>
    <w:rsid w:val="4CF1F6F9"/>
    <w:rsid w:val="4D0B1F56"/>
    <w:rsid w:val="4D1F6102"/>
    <w:rsid w:val="4D42451D"/>
    <w:rsid w:val="4E2897F6"/>
    <w:rsid w:val="4E35A26E"/>
    <w:rsid w:val="4E9F821B"/>
    <w:rsid w:val="4EC88489"/>
    <w:rsid w:val="4ED1F35C"/>
    <w:rsid w:val="4EF60CF3"/>
    <w:rsid w:val="4F1B0F37"/>
    <w:rsid w:val="4F231705"/>
    <w:rsid w:val="5039CADA"/>
    <w:rsid w:val="503B4A42"/>
    <w:rsid w:val="506111AA"/>
    <w:rsid w:val="50BAE2DF"/>
    <w:rsid w:val="50C83D9C"/>
    <w:rsid w:val="50F5946A"/>
    <w:rsid w:val="5147259B"/>
    <w:rsid w:val="51529EF6"/>
    <w:rsid w:val="51810B5C"/>
    <w:rsid w:val="51AB871C"/>
    <w:rsid w:val="51B0FAB0"/>
    <w:rsid w:val="51C5681C"/>
    <w:rsid w:val="51D71AA3"/>
    <w:rsid w:val="525C7189"/>
    <w:rsid w:val="52E237A4"/>
    <w:rsid w:val="52F822AE"/>
    <w:rsid w:val="533820BC"/>
    <w:rsid w:val="533F6C55"/>
    <w:rsid w:val="5356E710"/>
    <w:rsid w:val="539FA3A7"/>
    <w:rsid w:val="53A16940"/>
    <w:rsid w:val="53A6C615"/>
    <w:rsid w:val="53CB230A"/>
    <w:rsid w:val="542B571E"/>
    <w:rsid w:val="54CD3D6E"/>
    <w:rsid w:val="54DF309C"/>
    <w:rsid w:val="550F0D2F"/>
    <w:rsid w:val="55744EBD"/>
    <w:rsid w:val="5574C73C"/>
    <w:rsid w:val="558A50BB"/>
    <w:rsid w:val="558B37AA"/>
    <w:rsid w:val="55C00A7A"/>
    <w:rsid w:val="55E3CEF6"/>
    <w:rsid w:val="5664E115"/>
    <w:rsid w:val="567095B3"/>
    <w:rsid w:val="57AA8752"/>
    <w:rsid w:val="57E1D10A"/>
    <w:rsid w:val="58281BE6"/>
    <w:rsid w:val="588BE830"/>
    <w:rsid w:val="58A3D1ED"/>
    <w:rsid w:val="58DCDA23"/>
    <w:rsid w:val="59487B59"/>
    <w:rsid w:val="59B74807"/>
    <w:rsid w:val="59C25128"/>
    <w:rsid w:val="59E1E6DA"/>
    <w:rsid w:val="59F0D54B"/>
    <w:rsid w:val="5A243802"/>
    <w:rsid w:val="5A312834"/>
    <w:rsid w:val="5A3A648E"/>
    <w:rsid w:val="5A8CE206"/>
    <w:rsid w:val="5AAF89A5"/>
    <w:rsid w:val="5BDC3BA2"/>
    <w:rsid w:val="5CA509DF"/>
    <w:rsid w:val="5D2E0A80"/>
    <w:rsid w:val="5E273C3A"/>
    <w:rsid w:val="5E5F08BE"/>
    <w:rsid w:val="5EC8266B"/>
    <w:rsid w:val="5F5AFDEE"/>
    <w:rsid w:val="5F6FEB17"/>
    <w:rsid w:val="600B45CF"/>
    <w:rsid w:val="606AE833"/>
    <w:rsid w:val="61FD69D4"/>
    <w:rsid w:val="62084C2B"/>
    <w:rsid w:val="62307F59"/>
    <w:rsid w:val="6255B2BC"/>
    <w:rsid w:val="62A73E1E"/>
    <w:rsid w:val="6314003F"/>
    <w:rsid w:val="63BEA68B"/>
    <w:rsid w:val="6431E875"/>
    <w:rsid w:val="646CFFEA"/>
    <w:rsid w:val="66412C11"/>
    <w:rsid w:val="6651CF70"/>
    <w:rsid w:val="66701C40"/>
    <w:rsid w:val="667B0E4C"/>
    <w:rsid w:val="6744326C"/>
    <w:rsid w:val="679FF20E"/>
    <w:rsid w:val="67AD6E3F"/>
    <w:rsid w:val="67D5DA04"/>
    <w:rsid w:val="6817C66B"/>
    <w:rsid w:val="6835745E"/>
    <w:rsid w:val="6850847A"/>
    <w:rsid w:val="685C9EEA"/>
    <w:rsid w:val="6885D4F8"/>
    <w:rsid w:val="68D059C3"/>
    <w:rsid w:val="68E002CD"/>
    <w:rsid w:val="68FA958D"/>
    <w:rsid w:val="69269621"/>
    <w:rsid w:val="6966DB59"/>
    <w:rsid w:val="69CCBF29"/>
    <w:rsid w:val="6A093BAF"/>
    <w:rsid w:val="6A479C44"/>
    <w:rsid w:val="6AA3063C"/>
    <w:rsid w:val="6B4DA5F8"/>
    <w:rsid w:val="6B64AA3A"/>
    <w:rsid w:val="6B8103EE"/>
    <w:rsid w:val="6C09C0ED"/>
    <w:rsid w:val="6C5D08C2"/>
    <w:rsid w:val="6C6192C8"/>
    <w:rsid w:val="6C655EF9"/>
    <w:rsid w:val="6C7DEB05"/>
    <w:rsid w:val="6CAF0BD4"/>
    <w:rsid w:val="6CE524D1"/>
    <w:rsid w:val="6DCF34E1"/>
    <w:rsid w:val="6E65025C"/>
    <w:rsid w:val="6E8AA5C3"/>
    <w:rsid w:val="6E965A78"/>
    <w:rsid w:val="6ECDD9A7"/>
    <w:rsid w:val="6ED15E36"/>
    <w:rsid w:val="6FCE2D2B"/>
    <w:rsid w:val="6FEB9FF1"/>
    <w:rsid w:val="70785639"/>
    <w:rsid w:val="7090E6DD"/>
    <w:rsid w:val="7112A1A3"/>
    <w:rsid w:val="7118433B"/>
    <w:rsid w:val="711C0C79"/>
    <w:rsid w:val="716B8A63"/>
    <w:rsid w:val="71F3CBA4"/>
    <w:rsid w:val="72135B41"/>
    <w:rsid w:val="722CB73E"/>
    <w:rsid w:val="723B2EBF"/>
    <w:rsid w:val="7248AAF0"/>
    <w:rsid w:val="730DDCCA"/>
    <w:rsid w:val="732794D6"/>
    <w:rsid w:val="73A08081"/>
    <w:rsid w:val="74170879"/>
    <w:rsid w:val="74C7F9C8"/>
    <w:rsid w:val="74F336A6"/>
    <w:rsid w:val="750F71D0"/>
    <w:rsid w:val="752195E9"/>
    <w:rsid w:val="7627F479"/>
    <w:rsid w:val="7630948E"/>
    <w:rsid w:val="7721170B"/>
    <w:rsid w:val="77404D74"/>
    <w:rsid w:val="77EE8A0E"/>
    <w:rsid w:val="7807F180"/>
    <w:rsid w:val="7875A61A"/>
    <w:rsid w:val="789E7DE0"/>
    <w:rsid w:val="78BC36EB"/>
    <w:rsid w:val="78D2EBE9"/>
    <w:rsid w:val="78E95B2B"/>
    <w:rsid w:val="78F9353C"/>
    <w:rsid w:val="79086BF2"/>
    <w:rsid w:val="793A8444"/>
    <w:rsid w:val="79424B2E"/>
    <w:rsid w:val="79468B4E"/>
    <w:rsid w:val="794BA255"/>
    <w:rsid w:val="79A78BEE"/>
    <w:rsid w:val="79C2ABBA"/>
    <w:rsid w:val="79F3A54B"/>
    <w:rsid w:val="7A5B2502"/>
    <w:rsid w:val="7B2172B2"/>
    <w:rsid w:val="7B892186"/>
    <w:rsid w:val="7BCB1F1E"/>
    <w:rsid w:val="7BD61EA2"/>
    <w:rsid w:val="7C4460D7"/>
    <w:rsid w:val="7C7B1A12"/>
    <w:rsid w:val="7CDFD731"/>
    <w:rsid w:val="7D66EF7F"/>
    <w:rsid w:val="7D9D7DCE"/>
    <w:rsid w:val="7E16EA73"/>
    <w:rsid w:val="7E4622B4"/>
    <w:rsid w:val="7E7BA792"/>
    <w:rsid w:val="7E9E9B2D"/>
    <w:rsid w:val="7EA20672"/>
    <w:rsid w:val="7ED32741"/>
    <w:rsid w:val="7EDF532B"/>
    <w:rsid w:val="7F0798FD"/>
    <w:rsid w:val="7F6F56AD"/>
    <w:rsid w:val="7F77C6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4DE67F"/>
  <w15:docId w15:val="{EA4A6387-0BE2-42A9-9720-0AD0BDEC6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0184"/>
    <w:rPr>
      <w:lang w:eastAsia="en-US"/>
    </w:rPr>
  </w:style>
  <w:style w:type="paragraph" w:styleId="Heading3">
    <w:name w:val="heading 3"/>
    <w:basedOn w:val="Normal"/>
    <w:next w:val="Normal"/>
    <w:qFormat/>
    <w:rsid w:val="008B018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link w:val="Els-body-textChar"/>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EndnoteReference">
    <w:name w:val="endnote reference"/>
    <w:basedOn w:val="DefaultParagraphFont"/>
    <w:semiHidden/>
    <w:rsid w:val="008B0184"/>
    <w:rPr>
      <w:vertAlign w:val="superscript"/>
    </w:rPr>
  </w:style>
  <w:style w:type="paragraph" w:styleId="Header">
    <w:name w:val="header"/>
    <w:rsid w:val="008B0184"/>
    <w:pPr>
      <w:tabs>
        <w:tab w:val="center" w:pos="3600"/>
        <w:tab w:val="right" w:pos="7200"/>
      </w:tabs>
      <w:spacing w:line="200" w:lineRule="atLeast"/>
    </w:pPr>
    <w:rPr>
      <w:noProof/>
      <w:lang w:eastAsia="en-US"/>
    </w:rPr>
  </w:style>
  <w:style w:type="paragraph" w:styleId="Footer">
    <w:name w:val="footer"/>
    <w:basedOn w:val="Header"/>
    <w:rsid w:val="008B0184"/>
  </w:style>
  <w:style w:type="character" w:styleId="FootnoteReference">
    <w:name w:val="footnote reference"/>
    <w:semiHidden/>
    <w:rsid w:val="008B0184"/>
    <w:rPr>
      <w:vertAlign w:val="superscript"/>
    </w:rPr>
  </w:style>
  <w:style w:type="paragraph" w:styleId="FootnoteText">
    <w:name w:val="footnote text"/>
    <w:basedOn w:val="Normal"/>
    <w:semiHidden/>
    <w:rsid w:val="008B0184"/>
    <w:rPr>
      <w:rFonts w:ascii="Univers" w:hAnsi="Univers"/>
    </w:rPr>
  </w:style>
  <w:style w:type="character" w:styleId="Hyperlink">
    <w:name w:val="Hyperlink"/>
    <w:basedOn w:val="DefaultParagraphFont"/>
    <w:rsid w:val="008B0184"/>
    <w:rPr>
      <w:color w:val="0000FF"/>
      <w:u w:val="single"/>
    </w:rPr>
  </w:style>
  <w:style w:type="character" w:customStyle="1" w:styleId="MTEquationSection">
    <w:name w:val="MTEquationSection"/>
    <w:basedOn w:val="DefaultParagraphFont"/>
    <w:rsid w:val="008B0184"/>
    <w:rPr>
      <w:vanish/>
      <w:color w:val="FF0000"/>
    </w:rPr>
  </w:style>
  <w:style w:type="character" w:styleId="PageNumber">
    <w:name w:val="page number"/>
    <w:basedOn w:val="DefaultParagraphFont"/>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DefaultParagraphFont"/>
    <w:rsid w:val="008B0184"/>
    <w:rPr>
      <w:sz w:val="18"/>
      <w:lang w:val="en-US" w:eastAsia="en-US" w:bidi="ar-SA"/>
    </w:rPr>
  </w:style>
  <w:style w:type="character" w:styleId="CommentReference">
    <w:name w:val="annotation reference"/>
    <w:basedOn w:val="DefaultParagraphFont"/>
    <w:semiHidden/>
    <w:rsid w:val="008B0184"/>
    <w:rPr>
      <w:sz w:val="16"/>
      <w:szCs w:val="16"/>
    </w:rPr>
  </w:style>
  <w:style w:type="paragraph" w:styleId="CommentText">
    <w:name w:val="annotation text"/>
    <w:basedOn w:val="Normal"/>
    <w:semiHidden/>
    <w:rsid w:val="008B0184"/>
  </w:style>
  <w:style w:type="paragraph" w:styleId="CommentSubject">
    <w:name w:val="annotation subject"/>
    <w:basedOn w:val="CommentText"/>
    <w:next w:val="CommentText"/>
    <w:semiHidden/>
    <w:rsid w:val="008B0184"/>
    <w:rPr>
      <w:b/>
      <w:bCs/>
    </w:rPr>
  </w:style>
  <w:style w:type="paragraph" w:styleId="BalloonText">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5A2130"/>
    <w:pPr>
      <w:numPr>
        <w:ilvl w:val="0"/>
        <w:numId w:val="0"/>
      </w:numPr>
    </w:pPr>
  </w:style>
  <w:style w:type="character" w:customStyle="1" w:styleId="underline1">
    <w:name w:val="underline1"/>
    <w:basedOn w:val="DefaultParagraphFont"/>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lang w:val="en-US"/>
    </w:rPr>
  </w:style>
  <w:style w:type="table" w:styleId="TableGrid">
    <w:name w:val="Table Grid"/>
    <w:basedOn w:val="TableNormal"/>
    <w:rsid w:val="004F6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92E78"/>
    <w:rPr>
      <w:color w:val="808080"/>
    </w:rPr>
  </w:style>
  <w:style w:type="paragraph" w:customStyle="1" w:styleId="MTDisplayEquation">
    <w:name w:val="MTDisplayEquation"/>
    <w:basedOn w:val="Els-body-text"/>
    <w:next w:val="Normal"/>
    <w:link w:val="MTDisplayEquationChar"/>
    <w:rsid w:val="00C70788"/>
    <w:pPr>
      <w:tabs>
        <w:tab w:val="center" w:pos="3540"/>
        <w:tab w:val="right" w:pos="7080"/>
      </w:tabs>
    </w:pPr>
  </w:style>
  <w:style w:type="character" w:customStyle="1" w:styleId="Els-body-textChar">
    <w:name w:val="Els-body-text Char"/>
    <w:basedOn w:val="DefaultParagraphFont"/>
    <w:link w:val="Els-body-text"/>
    <w:rsid w:val="00C70788"/>
    <w:rPr>
      <w:lang w:val="en-US" w:eastAsia="en-US"/>
    </w:rPr>
  </w:style>
  <w:style w:type="character" w:customStyle="1" w:styleId="MTDisplayEquationChar">
    <w:name w:val="MTDisplayEquation Char"/>
    <w:basedOn w:val="Els-body-textChar"/>
    <w:link w:val="MTDisplayEquation"/>
    <w:rsid w:val="00C70788"/>
    <w:rPr>
      <w:lang w:val="en-US" w:eastAsia="en-US"/>
    </w:rPr>
  </w:style>
  <w:style w:type="table" w:styleId="PlainTable2">
    <w:name w:val="Plain Table 2"/>
    <w:basedOn w:val="TableNormal"/>
    <w:uiPriority w:val="42"/>
    <w:rsid w:val="005F30E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B113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513D27"/>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726104">
      <w:bodyDiv w:val="1"/>
      <w:marLeft w:val="0"/>
      <w:marRight w:val="0"/>
      <w:marTop w:val="0"/>
      <w:marBottom w:val="0"/>
      <w:divBdr>
        <w:top w:val="none" w:sz="0" w:space="0" w:color="auto"/>
        <w:left w:val="none" w:sz="0" w:space="0" w:color="auto"/>
        <w:bottom w:val="none" w:sz="0" w:space="0" w:color="auto"/>
        <w:right w:val="none" w:sz="0" w:space="0" w:color="auto"/>
      </w:divBdr>
    </w:div>
    <w:div w:id="366881342">
      <w:bodyDiv w:val="1"/>
      <w:marLeft w:val="0"/>
      <w:marRight w:val="0"/>
      <w:marTop w:val="0"/>
      <w:marBottom w:val="0"/>
      <w:divBdr>
        <w:top w:val="none" w:sz="0" w:space="0" w:color="auto"/>
        <w:left w:val="none" w:sz="0" w:space="0" w:color="auto"/>
        <w:bottom w:val="none" w:sz="0" w:space="0" w:color="auto"/>
        <w:right w:val="none" w:sz="0" w:space="0" w:color="auto"/>
      </w:divBdr>
    </w:div>
    <w:div w:id="1794441554">
      <w:bodyDiv w:val="1"/>
      <w:marLeft w:val="0"/>
      <w:marRight w:val="0"/>
      <w:marTop w:val="0"/>
      <w:marBottom w:val="0"/>
      <w:divBdr>
        <w:top w:val="none" w:sz="0" w:space="0" w:color="auto"/>
        <w:left w:val="none" w:sz="0" w:space="0" w:color="auto"/>
        <w:bottom w:val="none" w:sz="0" w:space="0" w:color="auto"/>
        <w:right w:val="none" w:sz="0" w:space="0" w:color="auto"/>
      </w:divBdr>
    </w:div>
    <w:div w:id="21103932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theme" Target="theme/theme1.xml"/><Relationship Id="rId21" Type="http://schemas.openxmlformats.org/officeDocument/2006/relationships/oleObject" Target="embeddings/oleObject5.bin"/><Relationship Id="rId34" Type="http://schemas.openxmlformats.org/officeDocument/2006/relationships/image" Target="media/image13.tif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tif"/><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image" Target="media/image6.wmf"/><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oleObject" Target="embeddings/oleObject6.bin"/><Relationship Id="rId28" Type="http://schemas.openxmlformats.org/officeDocument/2006/relationships/image" Target="media/image10.wmf"/><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oleObject" Target="embeddings/oleObject4.bin"/><Relationship Id="rId31" Type="http://schemas.openxmlformats.org/officeDocument/2006/relationships/oleObject" Target="embeddings/oleObject10.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198D781EA5884C8216F13917FFBA94" ma:contentTypeVersion="16" ma:contentTypeDescription="Een nieuw document maken." ma:contentTypeScope="" ma:versionID="c542af742d83afcea0511f4e33929a04">
  <xsd:schema xmlns:xsd="http://www.w3.org/2001/XMLSchema" xmlns:xs="http://www.w3.org/2001/XMLSchema" xmlns:p="http://schemas.microsoft.com/office/2006/metadata/properties" xmlns:ns2="904c5fbe-b253-4602-a4c9-874f9886d694" xmlns:ns3="b9be40bd-7347-44f2-8644-97e464f8cbde" targetNamespace="http://schemas.microsoft.com/office/2006/metadata/properties" ma:root="true" ma:fieldsID="558fe57a5333aa9e173f5b93c3d77486" ns2:_="" ns3:_="">
    <xsd:import namespace="904c5fbe-b253-4602-a4c9-874f9886d694"/>
    <xsd:import namespace="b9be40bd-7347-44f2-8644-97e464f8cbd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DateTaken"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4c5fbe-b253-4602-a4c9-874f9886d6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0d2f2e1c-c095-4710-afda-8e7acdb0334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Notes" ma:index="23"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be40bd-7347-44f2-8644-97e464f8cbde"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ed9bb9cd-cb55-43cf-bbae-8e7da418d7a8}" ma:internalName="TaxCatchAll" ma:showField="CatchAllData" ma:web="b9be40bd-7347-44f2-8644-97e464f8cb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otes xmlns="904c5fbe-b253-4602-a4c9-874f9886d694" xsi:nil="true"/>
    <TaxCatchAll xmlns="b9be40bd-7347-44f2-8644-97e464f8cbde" xsi:nil="true"/>
    <lcf76f155ced4ddcb4097134ff3c332f xmlns="904c5fbe-b253-4602-a4c9-874f9886d69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8C22A23-EBB8-49AB-AF67-053B913DEB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4c5fbe-b253-4602-a4c9-874f9886d694"/>
    <ds:schemaRef ds:uri="b9be40bd-7347-44f2-8644-97e464f8cb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43E2F4-26EE-44BD-8E75-3C13B71AC8C0}">
  <ds:schemaRefs>
    <ds:schemaRef ds:uri="http://schemas.openxmlformats.org/officeDocument/2006/bibliography"/>
  </ds:schemaRefs>
</ds:datastoreItem>
</file>

<file path=customXml/itemProps3.xml><?xml version="1.0" encoding="utf-8"?>
<ds:datastoreItem xmlns:ds="http://schemas.openxmlformats.org/officeDocument/2006/customXml" ds:itemID="{E9BC6E70-B411-49CF-B60E-4A45A3E23088}">
  <ds:schemaRefs>
    <ds:schemaRef ds:uri="http://schemas.microsoft.com/sharepoint/v3/contenttype/forms"/>
  </ds:schemaRefs>
</ds:datastoreItem>
</file>

<file path=customXml/itemProps4.xml><?xml version="1.0" encoding="utf-8"?>
<ds:datastoreItem xmlns:ds="http://schemas.openxmlformats.org/officeDocument/2006/customXml" ds:itemID="{97520EA6-18F5-4BA2-A3BC-769F6E497FAF}">
  <ds:schemaRefs>
    <ds:schemaRef ds:uri="http://schemas.microsoft.com/office/2006/metadata/properties"/>
    <ds:schemaRef ds:uri="http://schemas.microsoft.com/office/infopath/2007/PartnerControls"/>
    <ds:schemaRef ds:uri="904c5fbe-b253-4602-a4c9-874f9886d694"/>
    <ds:schemaRef ds:uri="b9be40bd-7347-44f2-8644-97e464f8cbde"/>
  </ds:schemaRefs>
</ds:datastoreItem>
</file>

<file path=docProps/app.xml><?xml version="1.0" encoding="utf-8"?>
<Properties xmlns="http://schemas.openxmlformats.org/officeDocument/2006/extended-properties" xmlns:vt="http://schemas.openxmlformats.org/officeDocument/2006/docPropsVTypes">
  <Template>Chapter.dotx</Template>
  <TotalTime>3</TotalTime>
  <Pages>6</Pages>
  <Words>3237</Words>
  <Characters>18454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Chapter</vt:lpstr>
    </vt:vector>
  </TitlesOfParts>
  <Company>Elsevier Science</Company>
  <LinksUpToDate>false</LinksUpToDate>
  <CharactersWithSpaces>21648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subject/>
  <dc:creator>Kostas</dc:creator>
  <cp:keywords/>
  <dc:description/>
  <cp:lastModifiedBy>Michael Tan</cp:lastModifiedBy>
  <cp:revision>4</cp:revision>
  <cp:lastPrinted>2004-12-17T09:20:00Z</cp:lastPrinted>
  <dcterms:created xsi:type="dcterms:W3CDTF">2023-11-30T22:54:00Z</dcterms:created>
  <dcterms:modified xsi:type="dcterms:W3CDTF">2023-11-30T22:58:00Z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y fmtid="{D5CDD505-2E9C-101B-9397-08002B2CF9AE}" pid="10" name="MTWinEqns">
    <vt:bool>true</vt:bool>
  </property>
  <property fmtid="{D5CDD505-2E9C-101B-9397-08002B2CF9AE}" pid="11" name="MTEqnNumsOnRight">
    <vt:bool>true</vt:bool>
  </property>
  <property fmtid="{D5CDD505-2E9C-101B-9397-08002B2CF9AE}" pid="12" name="MTEquationSection">
    <vt:lpwstr>1</vt:lpwstr>
  </property>
  <property fmtid="{D5CDD505-2E9C-101B-9397-08002B2CF9AE}" pid="13" name="MTEquationNumber2">
    <vt:lpwstr>(#E1)</vt:lpwstr>
  </property>
  <property fmtid="{D5CDD505-2E9C-101B-9397-08002B2CF9AE}" pid="14" name="Mendeley Recent Style Id 0_1">
    <vt:lpwstr>http://www.zotero.org/styles/american-medical-association</vt:lpwstr>
  </property>
  <property fmtid="{D5CDD505-2E9C-101B-9397-08002B2CF9AE}" pid="15" name="Mendeley Recent Style Name 0_1">
    <vt:lpwstr>American Medical Association 11th edition</vt:lpwstr>
  </property>
  <property fmtid="{D5CDD505-2E9C-101B-9397-08002B2CF9AE}" pid="16" name="Mendeley Recent Style Id 1_1">
    <vt:lpwstr>http://www.zotero.org/styles/american-political-science-association</vt:lpwstr>
  </property>
  <property fmtid="{D5CDD505-2E9C-101B-9397-08002B2CF9AE}" pid="17" name="Mendeley Recent Style Name 1_1">
    <vt:lpwstr>American Political Science Association</vt:lpwstr>
  </property>
  <property fmtid="{D5CDD505-2E9C-101B-9397-08002B2CF9AE}" pid="18" name="Mendeley Recent Style Id 2_1">
    <vt:lpwstr>http://www.zotero.org/styles/apa-6th-edition</vt:lpwstr>
  </property>
  <property fmtid="{D5CDD505-2E9C-101B-9397-08002B2CF9AE}" pid="19" name="Mendeley Recent Style Name 2_1">
    <vt:lpwstr>American Psychological Association 6th edition</vt:lpwstr>
  </property>
  <property fmtid="{D5CDD505-2E9C-101B-9397-08002B2CF9AE}" pid="20" name="Mendeley Recent Style Id 3_1">
    <vt:lpwstr>http://www.zotero.org/styles/apa</vt:lpwstr>
  </property>
  <property fmtid="{D5CDD505-2E9C-101B-9397-08002B2CF9AE}" pid="21" name="Mendeley Recent Style Name 3_1">
    <vt:lpwstr>American Psychological Association 7th edition</vt:lpwstr>
  </property>
  <property fmtid="{D5CDD505-2E9C-101B-9397-08002B2CF9AE}" pid="22" name="Mendeley Recent Style Id 4_1">
    <vt:lpwstr>http://www.zotero.org/styles/american-sociological-association</vt:lpwstr>
  </property>
  <property fmtid="{D5CDD505-2E9C-101B-9397-08002B2CF9AE}" pid="23" name="Mendeley Recent Style Name 4_1">
    <vt:lpwstr>American Sociological Association 6th edition</vt:lpwstr>
  </property>
  <property fmtid="{D5CDD505-2E9C-101B-9397-08002B2CF9AE}" pid="24" name="Mendeley Recent Style Id 5_1">
    <vt:lpwstr>http://www.zotero.org/styles/chicago-author-date</vt:lpwstr>
  </property>
  <property fmtid="{D5CDD505-2E9C-101B-9397-08002B2CF9AE}" pid="25" name="Mendeley Recent Style Name 5_1">
    <vt:lpwstr>Chicago Manual of Style 17th edition (author-date)</vt:lpwstr>
  </property>
  <property fmtid="{D5CDD505-2E9C-101B-9397-08002B2CF9AE}" pid="26" name="Mendeley Recent Style Id 6_1">
    <vt:lpwstr>http://www.zotero.org/styles/harvard-cite-them-right</vt:lpwstr>
  </property>
  <property fmtid="{D5CDD505-2E9C-101B-9397-08002B2CF9AE}" pid="27" name="Mendeley Recent Style Name 6_1">
    <vt:lpwstr>Cite Them Right 12th edition - Harvard</vt:lpwstr>
  </property>
  <property fmtid="{D5CDD505-2E9C-101B-9397-08002B2CF9AE}" pid="28" name="Mendeley Recent Style Id 7_1">
    <vt:lpwstr>http://www.zotero.org/styles/ieee</vt:lpwstr>
  </property>
  <property fmtid="{D5CDD505-2E9C-101B-9397-08002B2CF9AE}" pid="29" name="Mendeley Recent Style Name 7_1">
    <vt:lpwstr>IEEE</vt:lpwstr>
  </property>
  <property fmtid="{D5CDD505-2E9C-101B-9397-08002B2CF9AE}" pid="30" name="Mendeley Recent Style Id 8_1">
    <vt:lpwstr>http://www.zotero.org/styles/modern-humanities-research-association</vt:lpwstr>
  </property>
  <property fmtid="{D5CDD505-2E9C-101B-9397-08002B2CF9AE}" pid="31" name="Mendeley Recent Style Name 8_1">
    <vt:lpwstr>Modern Humanities Research Association 3rd edition (note with bibliography)</vt:lpwstr>
  </property>
  <property fmtid="{D5CDD505-2E9C-101B-9397-08002B2CF9AE}" pid="32" name="Mendeley Recent Style Id 9_1">
    <vt:lpwstr>http://www.zotero.org/styles/modern-language-association</vt:lpwstr>
  </property>
  <property fmtid="{D5CDD505-2E9C-101B-9397-08002B2CF9AE}" pid="33" name="Mendeley Recent Style Name 9_1">
    <vt:lpwstr>Modern Language Association 9th edition</vt:lpwstr>
  </property>
  <property fmtid="{D5CDD505-2E9C-101B-9397-08002B2CF9AE}" pid="34" name="Mendeley Document_1">
    <vt:lpwstr>True</vt:lpwstr>
  </property>
  <property fmtid="{D5CDD505-2E9C-101B-9397-08002B2CF9AE}" pid="35" name="Mendeley Unique User Id_1">
    <vt:lpwstr>d0b33ff4-eb2f-3439-bb91-12d978234e96</vt:lpwstr>
  </property>
  <property fmtid="{D5CDD505-2E9C-101B-9397-08002B2CF9AE}" pid="36" name="Mendeley Citation Style_1">
    <vt:lpwstr>http://www.zotero.org/styles/apa</vt:lpwstr>
  </property>
  <property fmtid="{D5CDD505-2E9C-101B-9397-08002B2CF9AE}" pid="37" name="ContentTypeId">
    <vt:lpwstr>0x0101005B198D781EA5884C8216F13917FFBA94</vt:lpwstr>
  </property>
  <property fmtid="{D5CDD505-2E9C-101B-9397-08002B2CF9AE}" pid="38" name="MediaServiceImageTags">
    <vt:lpwstr/>
  </property>
</Properties>
</file>