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6D1C358B" w:rsidR="00DD3D9E" w:rsidRPr="00B4388F" w:rsidRDefault="00603029">
      <w:pPr>
        <w:pStyle w:val="Els-Title"/>
        <w:rPr>
          <w:color w:val="000000" w:themeColor="text1"/>
        </w:rPr>
      </w:pPr>
      <w:r>
        <w:rPr>
          <w:lang w:val="en-GB"/>
        </w:rPr>
        <w:t>Loss-in-Weight feeder performance prediction using Machine Learning.</w:t>
      </w:r>
    </w:p>
    <w:p w14:paraId="144DE680" w14:textId="185D5CEB" w:rsidR="00DD3D9E" w:rsidRDefault="00C03B55">
      <w:pPr>
        <w:pStyle w:val="Els-Author"/>
      </w:pPr>
      <w:r>
        <w:t>Hikaru G. Jolliffe</w:t>
      </w:r>
      <w:r>
        <w:rPr>
          <w:vertAlign w:val="superscript"/>
        </w:rPr>
        <w:t>a</w:t>
      </w:r>
      <w:r>
        <w:t>, Carlota Mendez Torrecillas</w:t>
      </w:r>
      <w:r>
        <w:rPr>
          <w:vertAlign w:val="superscript"/>
        </w:rPr>
        <w:t>a</w:t>
      </w:r>
      <w:r>
        <w:t>, Gavin Reynolds</w:t>
      </w:r>
      <w:r w:rsidR="007B0AC0">
        <w:rPr>
          <w:vertAlign w:val="superscript"/>
        </w:rPr>
        <w:t>b</w:t>
      </w:r>
      <w:r>
        <w:t xml:space="preserve">, </w:t>
      </w:r>
      <w:r w:rsidRPr="00421A58">
        <w:t>Richard Elkes</w:t>
      </w:r>
      <w:r w:rsidR="007B0AC0">
        <w:rPr>
          <w:vertAlign w:val="superscript"/>
        </w:rPr>
        <w:t>c</w:t>
      </w:r>
      <w:r>
        <w:t xml:space="preserve">, Hugh </w:t>
      </w:r>
      <w:r w:rsidRPr="002D0FE1">
        <w:t>Verrier</w:t>
      </w:r>
      <w:r w:rsidR="007B0AC0">
        <w:rPr>
          <w:vertAlign w:val="superscript"/>
        </w:rPr>
        <w:t>d</w:t>
      </w:r>
      <w:r>
        <w:t>, Michael Devlin</w:t>
      </w:r>
      <w:r>
        <w:rPr>
          <w:vertAlign w:val="superscript"/>
        </w:rPr>
        <w:t>a</w:t>
      </w:r>
      <w:r w:rsidRPr="00D06676">
        <w:t>,</w:t>
      </w:r>
      <w:r>
        <w:t xml:space="preserve"> Bastiaan Dickhoff</w:t>
      </w:r>
      <w:r w:rsidR="007B0AC0">
        <w:rPr>
          <w:vertAlign w:val="superscript"/>
        </w:rPr>
        <w:t>e</w:t>
      </w:r>
      <w:r>
        <w:t xml:space="preserve">, </w:t>
      </w:r>
      <w:r w:rsidRPr="00421A58">
        <w:t>and John Robertson</w:t>
      </w:r>
      <w:r>
        <w:rPr>
          <w:vertAlign w:val="superscript"/>
        </w:rPr>
        <w:t>a</w:t>
      </w:r>
      <w:r w:rsidRPr="00134322">
        <w:t>.</w:t>
      </w:r>
    </w:p>
    <w:p w14:paraId="144DE681" w14:textId="07164234" w:rsidR="00DD3D9E" w:rsidRDefault="001944A8">
      <w:pPr>
        <w:pStyle w:val="Els-Affiliation"/>
      </w:pPr>
      <w:r>
        <w:rPr>
          <w:vertAlign w:val="superscript"/>
        </w:rPr>
        <w:t>a</w:t>
      </w:r>
      <w:r w:rsidR="00CE7D1A">
        <w:t>CMAC</w:t>
      </w:r>
      <w:r w:rsidRPr="001278F3">
        <w:t>, 99 George Street, Glasgow, G1 1RD, UK.</w:t>
      </w:r>
    </w:p>
    <w:p w14:paraId="02B8D134" w14:textId="7D695387" w:rsidR="001944A8" w:rsidRDefault="007B0AC0" w:rsidP="001944A8">
      <w:pPr>
        <w:pStyle w:val="Els-Affiliation"/>
      </w:pPr>
      <w:r>
        <w:rPr>
          <w:vertAlign w:val="superscript"/>
        </w:rPr>
        <w:t>b</w:t>
      </w:r>
      <w:r w:rsidR="00B34BF1">
        <w:t>Oral Product Development, PT&amp;D, Operations, AstraZeneca UK Limited, Charter Way, Macclesfield SK10 2NA, UK</w:t>
      </w:r>
      <w:r w:rsidR="001944A8">
        <w:t>.</w:t>
      </w:r>
    </w:p>
    <w:p w14:paraId="073E6FA4" w14:textId="601611F3" w:rsidR="001944A8" w:rsidRDefault="007B0AC0" w:rsidP="001944A8">
      <w:pPr>
        <w:pStyle w:val="Els-Affiliation"/>
      </w:pPr>
      <w:r>
        <w:rPr>
          <w:vertAlign w:val="superscript"/>
        </w:rPr>
        <w:t>c</w:t>
      </w:r>
      <w:r w:rsidR="00F24DAA" w:rsidRPr="00F24DAA">
        <w:rPr>
          <w:bCs/>
        </w:rPr>
        <w:t>GSK Ware R&amp;D, Harris’s Lane, Ware, Hertfordshire, SG12 0GX</w:t>
      </w:r>
      <w:r w:rsidR="001944A8" w:rsidRPr="00F24DAA">
        <w:t>,</w:t>
      </w:r>
      <w:r w:rsidR="001944A8" w:rsidRPr="001278F3">
        <w:t xml:space="preserve"> UK.</w:t>
      </w:r>
    </w:p>
    <w:p w14:paraId="014D9F75" w14:textId="397EC016" w:rsidR="001944A8" w:rsidRPr="00D06676" w:rsidRDefault="007B0AC0" w:rsidP="001944A8">
      <w:pPr>
        <w:pStyle w:val="Els-Affiliation"/>
      </w:pPr>
      <w:r>
        <w:rPr>
          <w:vertAlign w:val="superscript"/>
        </w:rPr>
        <w:t>d</w:t>
      </w:r>
      <w:r w:rsidR="001944A8" w:rsidRPr="00D06676">
        <w:t>Pfizer Research and Development UK Ltd</w:t>
      </w:r>
      <w:r w:rsidR="001944A8">
        <w:t>, Ramsgate Road, Sandwich</w:t>
      </w:r>
      <w:r w:rsidR="001944A8" w:rsidRPr="00D06676">
        <w:t xml:space="preserve"> CT13 9NJ</w:t>
      </w:r>
      <w:r w:rsidR="001944A8">
        <w:t>, UK.</w:t>
      </w:r>
    </w:p>
    <w:p w14:paraId="19EAEA71" w14:textId="4AE74F6B" w:rsidR="001944A8" w:rsidRDefault="007B0AC0" w:rsidP="001944A8">
      <w:pPr>
        <w:pStyle w:val="Els-Affiliation"/>
      </w:pPr>
      <w:r>
        <w:rPr>
          <w:vertAlign w:val="superscript"/>
        </w:rPr>
        <w:t>e</w:t>
      </w:r>
      <w:r w:rsidR="001944A8" w:rsidRPr="00D06676">
        <w:t>DFE Pharma GmbH &amp; Co. KG, Kleverstrasse 187, 47568 Goch, Germany</w:t>
      </w:r>
      <w:r w:rsidR="001944A8">
        <w:t>.</w:t>
      </w:r>
    </w:p>
    <w:p w14:paraId="144DE683" w14:textId="208AE547" w:rsidR="008D2649" w:rsidRPr="00A94774" w:rsidRDefault="001944A8" w:rsidP="008D2649">
      <w:pPr>
        <w:pStyle w:val="Els-Affiliation"/>
        <w:spacing w:after="120"/>
      </w:pPr>
      <w:r>
        <w:rPr>
          <w:szCs w:val="24"/>
        </w:rPr>
        <w:t>hikaru.jolliffe@strath.ac.uk</w:t>
      </w:r>
    </w:p>
    <w:p w14:paraId="144DE684" w14:textId="77777777" w:rsidR="008D2649" w:rsidRDefault="008D2649" w:rsidP="008D2649">
      <w:pPr>
        <w:pStyle w:val="Els-Abstract"/>
      </w:pPr>
      <w:r>
        <w:t>Abstract</w:t>
      </w:r>
    </w:p>
    <w:p w14:paraId="03D6AD38" w14:textId="26B3696B" w:rsidR="001944A8" w:rsidRDefault="001944A8" w:rsidP="008D2649">
      <w:pPr>
        <w:pStyle w:val="Els-body-text"/>
        <w:spacing w:after="120"/>
        <w:rPr>
          <w:lang w:val="en-GB"/>
        </w:rPr>
      </w:pPr>
      <w:r w:rsidRPr="001944A8">
        <w:rPr>
          <w:lang w:val="en-GB"/>
        </w:rPr>
        <w:t xml:space="preserve">There has been significant drive in recent years to gain greater understanding of unit operations useful for continuous direct compaction, and to leverage data-driven approaches such as Machine Learning to extract trends from large and complex datasets. In this work, an approach using three Machine Learning models to predict the parameters in an equation for Loss-in-Weight feeder performance are presented. </w:t>
      </w:r>
      <w:r w:rsidR="00CE7D1A">
        <w:rPr>
          <w:lang w:val="en-GB"/>
        </w:rPr>
        <w:t>I</w:t>
      </w:r>
      <w:r w:rsidRPr="001944A8">
        <w:rPr>
          <w:lang w:val="en-GB"/>
        </w:rPr>
        <w:t>ndustrially-relevant feeders with multiple screws per feeder are studied, and the approach allows feed factor decay to be predicted using material properties and equipment choice as inputs. Using a wide range of excipients and Active Pharmaceutical Ingredients (APIs) for testing shows good performance</w:t>
      </w:r>
      <w:r w:rsidR="00170A47">
        <w:rPr>
          <w:lang w:val="en-GB"/>
        </w:rPr>
        <w:t xml:space="preserve"> </w:t>
      </w:r>
      <w:r w:rsidR="00CE7D1A">
        <w:rPr>
          <w:lang w:val="en-GB"/>
        </w:rPr>
        <w:t>against</w:t>
      </w:r>
      <w:r w:rsidR="00170A47">
        <w:rPr>
          <w:lang w:val="en-GB"/>
        </w:rPr>
        <w:t xml:space="preserve"> industrially-relevant targets</w:t>
      </w:r>
      <w:r w:rsidRPr="001944A8">
        <w:rPr>
          <w:lang w:val="en-GB"/>
        </w:rPr>
        <w:t>. The approach presented here would be useful for equipment pre-selection activities prior to experimental work.</w:t>
      </w:r>
    </w:p>
    <w:p w14:paraId="144DE687" w14:textId="091F21AF" w:rsidR="008D2649" w:rsidRDefault="008D2649" w:rsidP="008D2649">
      <w:pPr>
        <w:pStyle w:val="Els-body-text"/>
        <w:spacing w:after="120"/>
        <w:rPr>
          <w:lang w:val="en-GB"/>
        </w:rPr>
      </w:pPr>
      <w:r>
        <w:rPr>
          <w:b/>
          <w:bCs/>
          <w:lang w:val="en-GB"/>
        </w:rPr>
        <w:t>Keywords</w:t>
      </w:r>
      <w:r>
        <w:rPr>
          <w:lang w:val="en-GB"/>
        </w:rPr>
        <w:t xml:space="preserve">: </w:t>
      </w:r>
      <w:r w:rsidR="001944A8">
        <w:rPr>
          <w:lang w:val="en-GB"/>
        </w:rPr>
        <w:t xml:space="preserve">feeder, modelling, Machine </w:t>
      </w:r>
      <w:proofErr w:type="gramStart"/>
      <w:r w:rsidR="001944A8">
        <w:rPr>
          <w:lang w:val="en-GB"/>
        </w:rPr>
        <w:t>Learning</w:t>
      </w:r>
      <w:proofErr w:type="gramEnd"/>
      <w:r w:rsidR="001944A8">
        <w:rPr>
          <w:lang w:val="en-GB"/>
        </w:rPr>
        <w:t>, powders</w:t>
      </w:r>
      <w:r>
        <w:rPr>
          <w:lang w:val="en-GB"/>
        </w:rPr>
        <w:t>.</w:t>
      </w:r>
    </w:p>
    <w:p w14:paraId="144DE689" w14:textId="4726BDCB" w:rsidR="008D2649" w:rsidRDefault="003D72CC" w:rsidP="008D2649">
      <w:pPr>
        <w:pStyle w:val="Els-1storder-head"/>
      </w:pPr>
      <w:r>
        <w:t>Introduction</w:t>
      </w:r>
    </w:p>
    <w:p w14:paraId="144DE698" w14:textId="0B5AFDEA" w:rsidR="008D2649" w:rsidRDefault="00C0567B" w:rsidP="008D2649">
      <w:pPr>
        <w:pStyle w:val="Els-body-text"/>
      </w:pPr>
      <w:r>
        <w:t xml:space="preserve">Driven by a need to improve efficiency and ever-increasing R&amp;D costs in the pharmaceutical sector, the use of alternative production methods such as Continuous Manufacturing is gaining ground </w:t>
      </w:r>
      <w:r w:rsidR="00234C21" w:rsidRPr="00234C21">
        <w:t xml:space="preserve">(Lee et al., 2015; Plumb, 2005; </w:t>
      </w:r>
      <w:proofErr w:type="spellStart"/>
      <w:r w:rsidR="00234C21" w:rsidRPr="00234C21">
        <w:t>Schaber</w:t>
      </w:r>
      <w:proofErr w:type="spellEnd"/>
      <w:r w:rsidR="00234C21" w:rsidRPr="00234C21">
        <w:t xml:space="preserve"> et al., 2011)</w:t>
      </w:r>
      <w:r>
        <w:t xml:space="preserve">. Towards this, </w:t>
      </w:r>
      <w:r w:rsidR="00234C21">
        <w:t xml:space="preserve">there is a need to develop mathematical models of key unit operations, as this allows simulations and digital Design-of-Experiments (DoE) to be rapidly carried out </w:t>
      </w:r>
      <w:r w:rsidR="00234C21" w:rsidRPr="00234C21">
        <w:t>(Lee et al., 2020)</w:t>
      </w:r>
      <w:r w:rsidR="002058CD">
        <w:t>. One such key unit operation is the Loss-in-Weight (LIW) feeder.</w:t>
      </w:r>
    </w:p>
    <w:p w14:paraId="7C348263" w14:textId="057B06E2" w:rsidR="002B2F3D" w:rsidRDefault="002B2F3D" w:rsidP="008D2649">
      <w:pPr>
        <w:pStyle w:val="Els-body-text"/>
      </w:pPr>
    </w:p>
    <w:p w14:paraId="5BC3BA55" w14:textId="6B8C2E12" w:rsidR="002B2F3D" w:rsidRDefault="00F97F92" w:rsidP="008D2649">
      <w:pPr>
        <w:pStyle w:val="Els-body-text"/>
      </w:pPr>
      <w:r>
        <w:t>LIW</w:t>
      </w:r>
      <w:r w:rsidR="00BF2AE6">
        <w:t xml:space="preserve"> feeders are key unit operation in continuous, semi-continuous and batch manufacturing systems. Frequently the first unit operation in secondary processing, in essence they are hoppers of powder sitting above a screw or screws, which mechanically convey powder in a controlled manner as they turn; LIW </w:t>
      </w:r>
      <w:r>
        <w:t>feeders supply or ‘feed’ material to subsequent unit operations.</w:t>
      </w:r>
      <w:r w:rsidR="004D7E08">
        <w:t xml:space="preserve"> Differences between designs of feeder can range from hopper size and shape; design of internal agitator; and screw </w:t>
      </w:r>
      <w:r w:rsidR="003B226E">
        <w:t xml:space="preserve">number (e.g. twin-screw as opposed to single screw), </w:t>
      </w:r>
      <w:r w:rsidR="004D7E08">
        <w:t>design, size, and speed. In the literature there is an extensive body of work characterising fee</w:t>
      </w:r>
      <w:r w:rsidR="00A36122">
        <w:t xml:space="preserve">ders and evaluating their mass flow accuracy, reliability, and variability </w:t>
      </w:r>
      <w:r w:rsidR="0042723F" w:rsidRPr="0042723F">
        <w:t>(</w:t>
      </w:r>
      <w:proofErr w:type="spellStart"/>
      <w:r w:rsidR="0042723F" w:rsidRPr="0042723F">
        <w:t>Bascone</w:t>
      </w:r>
      <w:proofErr w:type="spellEnd"/>
      <w:r w:rsidR="0042723F" w:rsidRPr="0042723F">
        <w:t xml:space="preserve"> et al., 2020; </w:t>
      </w:r>
      <w:proofErr w:type="spellStart"/>
      <w:r w:rsidR="0042723F" w:rsidRPr="0042723F">
        <w:t>Bostijn</w:t>
      </w:r>
      <w:proofErr w:type="spellEnd"/>
      <w:r w:rsidR="0042723F" w:rsidRPr="0042723F">
        <w:t xml:space="preserve"> et al., 2019; </w:t>
      </w:r>
      <w:proofErr w:type="spellStart"/>
      <w:r w:rsidR="0042723F" w:rsidRPr="0042723F">
        <w:t>Engisch</w:t>
      </w:r>
      <w:proofErr w:type="spellEnd"/>
      <w:r w:rsidR="0042723F" w:rsidRPr="0042723F">
        <w:t xml:space="preserve"> and </w:t>
      </w:r>
      <w:proofErr w:type="spellStart"/>
      <w:r w:rsidR="0042723F" w:rsidRPr="0042723F">
        <w:t>Muzzio</w:t>
      </w:r>
      <w:proofErr w:type="spellEnd"/>
      <w:r w:rsidR="0042723F" w:rsidRPr="0042723F">
        <w:t>, 2012; Fernandez et al., 2011; Gao et al., 2011; Yadav et al., 2019)</w:t>
      </w:r>
      <w:r w:rsidR="00A36122">
        <w:t>.</w:t>
      </w:r>
    </w:p>
    <w:p w14:paraId="7EF8219D" w14:textId="5508C484" w:rsidR="00444AB3" w:rsidRPr="00444AB3" w:rsidRDefault="00EC40E5" w:rsidP="008D2649">
      <w:pPr>
        <w:pStyle w:val="Els-body-text"/>
      </w:pPr>
      <w:r>
        <w:lastRenderedPageBreak/>
        <w:t>Literature models for feeder performance</w:t>
      </w:r>
      <w:r w:rsidR="00444AB3">
        <w:t xml:space="preserve"> typically require regression with experimental data (of feed factor with hopper contents) to determine model parameters, after which the equation can be used for that given material with that given equipment configuration </w:t>
      </w:r>
      <w:r w:rsidR="00444AB3">
        <w:rPr>
          <w:i/>
        </w:rPr>
        <w:t>i.e.</w:t>
      </w:r>
      <w:r w:rsidR="00444AB3">
        <w:t xml:space="preserve"> quantities of material are required</w:t>
      </w:r>
      <w:r w:rsidR="009A5547">
        <w:t xml:space="preserve"> for testing</w:t>
      </w:r>
      <w:r w:rsidR="00444AB3">
        <w:t xml:space="preserve">, and </w:t>
      </w:r>
      <w:r w:rsidR="009A5547">
        <w:t xml:space="preserve">model </w:t>
      </w:r>
      <w:r w:rsidR="00444AB3">
        <w:t xml:space="preserve">transferability </w:t>
      </w:r>
      <w:r w:rsidR="002058CD">
        <w:t>is limited. In the present work, a Machine Learning-based approach</w:t>
      </w:r>
      <w:r>
        <w:t xml:space="preserve"> </w:t>
      </w:r>
      <w:r w:rsidR="002058CD">
        <w:t xml:space="preserve">developed, where the inputs are material properties and equipment configuration, and the outputs are model parameters that would otherwise require regression. The dataset used </w:t>
      </w:r>
      <w:r w:rsidR="00FC5AD3">
        <w:t xml:space="preserve">for training and testing </w:t>
      </w:r>
      <w:r w:rsidR="002058CD">
        <w:t>spans two types of feeders (GEA Compact Feeder and Gericke GZD200</w:t>
      </w:r>
      <w:r w:rsidR="00C01249">
        <w:t xml:space="preserve">.22) with multiple screws each. Multiple materials are included: 19 excipients and two generic Active Pharmaceutical Ingredients (APIs), which have been further supplemented by the inclusion of literature data (25 APIs/grades, </w:t>
      </w:r>
      <w:r w:rsidR="009A5547">
        <w:t>3</w:t>
      </w:r>
      <w:r w:rsidR="00C01249">
        <w:t xml:space="preserve"> excipients) from Pfizer </w:t>
      </w:r>
      <w:r w:rsidR="00C01249" w:rsidRPr="00C01249">
        <w:t>(Shier et al., 2022)</w:t>
      </w:r>
      <w:r w:rsidR="00C01249">
        <w:t>.</w:t>
      </w:r>
    </w:p>
    <w:p w14:paraId="144DE699" w14:textId="51ADA18E" w:rsidR="008D2649" w:rsidRDefault="008258D4" w:rsidP="008D2649">
      <w:pPr>
        <w:pStyle w:val="Els-1storder-head"/>
      </w:pPr>
      <w:r>
        <w:t>Materials, equipment, experiments</w:t>
      </w:r>
    </w:p>
    <w:p w14:paraId="144DE69A" w14:textId="40141BA4" w:rsidR="008D2649" w:rsidRDefault="008258D4" w:rsidP="008D2649">
      <w:pPr>
        <w:pStyle w:val="Els-2ndorder-head"/>
      </w:pPr>
      <w:r>
        <w:t>Feeders</w:t>
      </w:r>
    </w:p>
    <w:p w14:paraId="2BDCB275" w14:textId="30DCB7F5" w:rsidR="001E6283" w:rsidRDefault="001E6283" w:rsidP="008D2649">
      <w:pPr>
        <w:pStyle w:val="Els-body-text"/>
      </w:pPr>
      <w:r>
        <w:t>The GEA Compact Feeder</w:t>
      </w:r>
      <w:r w:rsidRPr="00AF614A">
        <w:t xml:space="preserve"> comprises a flat bottom cylindrical hopper </w:t>
      </w:r>
      <w:r w:rsidR="00437557">
        <w:t xml:space="preserve">with </w:t>
      </w:r>
      <w:r w:rsidRPr="00AF614A">
        <w:t xml:space="preserve">interchangeable twin screws slightly offset from the centre. The operating volume of the hopper is 2 </w:t>
      </w:r>
      <w:r>
        <w:t xml:space="preserve">L (total volume is 2.5 L) </w:t>
      </w:r>
      <w:r w:rsidRPr="00AF614A">
        <w:t xml:space="preserve">and has three gearboxes available 455:1 (1-64 rpm), 235: 1 (1-124 rpm) and 63:1 (1-460 rpm) giving a speed range </w:t>
      </w:r>
      <w:r>
        <w:t>1</w:t>
      </w:r>
      <w:r w:rsidRPr="00AF614A">
        <w:t xml:space="preserve">-460 rpm for both screws sets: </w:t>
      </w:r>
      <w:r>
        <w:t>20 mm pitch</w:t>
      </w:r>
      <w:r w:rsidRPr="00AF614A">
        <w:t xml:space="preserve"> </w:t>
      </w:r>
      <w:r>
        <w:t xml:space="preserve">double </w:t>
      </w:r>
      <w:r w:rsidRPr="00AF614A">
        <w:t>concave</w:t>
      </w:r>
      <w:r>
        <w:t xml:space="preserve"> (20C)</w:t>
      </w:r>
      <w:r w:rsidRPr="00AF614A">
        <w:t xml:space="preserve"> and </w:t>
      </w:r>
      <w:r>
        <w:t>10 mm pitch</w:t>
      </w:r>
      <w:r w:rsidRPr="00AF614A">
        <w:t xml:space="preserve"> </w:t>
      </w:r>
      <w:r>
        <w:t>double concave; both screws are 20 mm diameter.</w:t>
      </w:r>
      <w:r w:rsidR="00437557">
        <w:t xml:space="preserve"> The internal hopper agitator rotates </w:t>
      </w:r>
      <w:r w:rsidR="00E63A4D">
        <w:t xml:space="preserve">horizontally </w:t>
      </w:r>
      <w:r w:rsidR="00437557">
        <w:t xml:space="preserve">about the hopper axis. </w:t>
      </w:r>
      <w:r>
        <w:t>The GZD200.22 is a flat-bottomed feeder of 10 L hopper volume, with twin double-concave screws of 22 mm diameter. There are three screws that are represented in the database: the 11 mm pitch 11C screws, the 22 mm pitch 22C screws, and the 33mm pitch 33C screws.</w:t>
      </w:r>
      <w:r w:rsidR="00437557">
        <w:t xml:space="preserve"> The internal hopper agitator rotates </w:t>
      </w:r>
      <w:r w:rsidR="00E63A4D">
        <w:t>horizontally</w:t>
      </w:r>
      <w:r w:rsidR="00437557">
        <w:t xml:space="preserve"> about the hopper axis.</w:t>
      </w:r>
    </w:p>
    <w:p w14:paraId="6B990ECE" w14:textId="1CE88BB0" w:rsidR="0075119A" w:rsidRDefault="0075119A" w:rsidP="0075119A">
      <w:pPr>
        <w:pStyle w:val="Els-2ndorder-head"/>
      </w:pPr>
      <w:r>
        <w:t>Materials</w:t>
      </w:r>
    </w:p>
    <w:p w14:paraId="1EBAFE88" w14:textId="7CA479F4" w:rsidR="0075119A" w:rsidRPr="00EC667A" w:rsidRDefault="0075119A" w:rsidP="008D2649">
      <w:pPr>
        <w:pStyle w:val="Els-body-text"/>
      </w:pPr>
      <w:r>
        <w:t xml:space="preserve">The </w:t>
      </w:r>
      <w:r w:rsidR="00EC667A">
        <w:t xml:space="preserve">materials used in the used in the present work include those in the </w:t>
      </w:r>
      <w:r>
        <w:t xml:space="preserve">base dataset </w:t>
      </w:r>
      <w:r w:rsidR="00EC667A">
        <w:t>(</w:t>
      </w:r>
      <w:r>
        <w:t xml:space="preserve">19 excipients and </w:t>
      </w:r>
      <w:r w:rsidR="00EC667A">
        <w:t xml:space="preserve">a generic API) supplemented by literature </w:t>
      </w:r>
      <w:r w:rsidR="00EC667A" w:rsidRPr="00EC667A">
        <w:t xml:space="preserve">data </w:t>
      </w:r>
      <w:r w:rsidR="00E54F97">
        <w:t xml:space="preserve">from Pfizer </w:t>
      </w:r>
      <w:r w:rsidR="00EC667A" w:rsidRPr="00EC667A">
        <w:t>(Shier et al., 2022)</w:t>
      </w:r>
      <w:r w:rsidR="00EC667A">
        <w:rPr>
          <w:bCs/>
        </w:rPr>
        <w:t>.</w:t>
      </w:r>
      <w:r w:rsidR="00E54F97">
        <w:rPr>
          <w:bCs/>
        </w:rPr>
        <w:t xml:space="preserve"> The additional literature data is predominantly proprietary substances, many for which there is data (both material characterisation and feeder performance data) for various grades or batches</w:t>
      </w:r>
      <w:r w:rsidR="009D19D8">
        <w:rPr>
          <w:bCs/>
        </w:rPr>
        <w:t xml:space="preserve"> (</w:t>
      </w:r>
      <w:r w:rsidR="007B0FEF">
        <w:rPr>
          <w:bCs/>
        </w:rPr>
        <w:t>3 excipients, 25 API grades and batches</w:t>
      </w:r>
      <w:r w:rsidR="00C4330B">
        <w:rPr>
          <w:bCs/>
        </w:rPr>
        <w:t xml:space="preserve"> representing 16 APIs</w:t>
      </w:r>
      <w:r w:rsidR="007B0FEF">
        <w:rPr>
          <w:bCs/>
        </w:rPr>
        <w:t>)</w:t>
      </w:r>
      <w:r w:rsidR="00E54F97">
        <w:t>.</w:t>
      </w:r>
    </w:p>
    <w:p w14:paraId="144DE69D" w14:textId="7DE538F8" w:rsidR="008D2649" w:rsidRDefault="00437557" w:rsidP="008D2649">
      <w:pPr>
        <w:pStyle w:val="Els-2ndorder-head"/>
      </w:pPr>
      <w:r>
        <w:t>Material characterisation</w:t>
      </w:r>
    </w:p>
    <w:p w14:paraId="144DE69F" w14:textId="576F359C" w:rsidR="008D2649" w:rsidRDefault="00FE39F7" w:rsidP="008D2649">
      <w:pPr>
        <w:pStyle w:val="Els-body-text"/>
      </w:pPr>
      <w:r>
        <w:t xml:space="preserve">Bulk and tapped densities were measured with an AutoTap (Quantachrome). Shear tests were </w:t>
      </w:r>
      <w:r w:rsidR="00E63A4D">
        <w:t>done</w:t>
      </w:r>
      <w:r>
        <w:t xml:space="preserve"> with a Powder Flow Tester (Brookfield). Stability and Variable Flow Rate were </w:t>
      </w:r>
      <w:r w:rsidR="00E63A4D">
        <w:t>done</w:t>
      </w:r>
      <w:r>
        <w:t xml:space="preserve"> in a FT4 Powder Rheometer (Freeman Technology), as were compressibility and permeability. A MasterSizer 3000 (Malvern) was used for particle size</w:t>
      </w:r>
      <w:r w:rsidR="00E63A4D">
        <w:t>.</w:t>
      </w:r>
    </w:p>
    <w:p w14:paraId="60B09367" w14:textId="54C4610C" w:rsidR="00E02362" w:rsidRDefault="00E02362" w:rsidP="00E02362">
      <w:pPr>
        <w:pStyle w:val="Els-2ndorder-head"/>
      </w:pPr>
      <w:r>
        <w:t>Volumetric discharge experiments</w:t>
      </w:r>
    </w:p>
    <w:p w14:paraId="7DCEBB9B" w14:textId="31091FE3" w:rsidR="00E02362" w:rsidRDefault="0090415F" w:rsidP="008D2649">
      <w:pPr>
        <w:pStyle w:val="Els-body-text"/>
      </w:pPr>
      <w:r>
        <w:t>Base dataset of GEA Compact Feeder and Gericke GZD200.22 experiments are volumetric discharge runs conducted from an initially full hopper. Screw speeds used depend on feeder: 30, 60, 90 or 230 RPM for the Compact Feeder, and 170, 340, or 510 RPM for the GZD200.22.</w:t>
      </w:r>
      <w:r w:rsidR="0075119A">
        <w:t xml:space="preserve"> Runs have been</w:t>
      </w:r>
      <w:r>
        <w:t xml:space="preserve"> started with screws initially uncharged (emp</w:t>
      </w:r>
      <w:r w:rsidR="0075119A">
        <w:t>ty). Feeders have been run until mass flow stops, and no refills have been conducted</w:t>
      </w:r>
      <w:r w:rsidR="00E54F97">
        <w:t>. Literature data (</w:t>
      </w:r>
      <w:r w:rsidR="00124816">
        <w:t xml:space="preserve">Shier </w:t>
      </w:r>
      <w:r w:rsidR="00124816" w:rsidRPr="00AF1B04">
        <w:t>et al.,</w:t>
      </w:r>
      <w:r w:rsidR="00124816">
        <w:t xml:space="preserve"> 2022</w:t>
      </w:r>
      <w:r w:rsidR="00E54F97">
        <w:t>) are from gravimetric runs</w:t>
      </w:r>
      <w:r w:rsidR="00E9269D">
        <w:t xml:space="preserve">, and whilst this is different to the base dataset (volumetric runs), as subsequent modeling did not consider screw speed as a factor (and treated runs at different screw speeds as replicates) the two datasets are compatible. Some runs in the </w:t>
      </w:r>
      <w:r w:rsidR="007D2EBF">
        <w:t>literature</w:t>
      </w:r>
      <w:r w:rsidR="00E9269D">
        <w:t xml:space="preserve"> data used mesh grids at the end of the screws to break up any clumps of powder and improve flow, and where there was indication this impacted feeder performance those materials were excluded </w:t>
      </w:r>
      <w:r w:rsidR="00E63A4D">
        <w:t>(not a common occurrence)</w:t>
      </w:r>
      <w:r w:rsidR="00E9269D">
        <w:t>.</w:t>
      </w:r>
    </w:p>
    <w:p w14:paraId="4DB86B13" w14:textId="13F4EB40" w:rsidR="007D2EBF" w:rsidRDefault="007D2EBF" w:rsidP="007D2EBF">
      <w:pPr>
        <w:pStyle w:val="Els-1storder-head"/>
      </w:pPr>
      <w:r>
        <w:lastRenderedPageBreak/>
        <w:t>Data processing</w:t>
      </w:r>
      <w:r w:rsidR="00AF3331">
        <w:t xml:space="preserve"> and</w:t>
      </w:r>
      <w:r>
        <w:t xml:space="preserve"> Machine Learning </w:t>
      </w:r>
      <w:r w:rsidR="00AF3331">
        <w:t>approach structure</w:t>
      </w:r>
    </w:p>
    <w:tbl>
      <w:tblPr>
        <w:tblStyle w:val="TableGrid"/>
        <w:tblW w:w="7088"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3402"/>
        <w:gridCol w:w="142"/>
        <w:gridCol w:w="3402"/>
      </w:tblGrid>
      <w:tr w:rsidR="00C16799" w14:paraId="76735BB0" w14:textId="77777777" w:rsidTr="00B77167">
        <w:tc>
          <w:tcPr>
            <w:tcW w:w="142" w:type="dxa"/>
            <w:tcBorders>
              <w:top w:val="single" w:sz="4" w:space="0" w:color="auto"/>
              <w:bottom w:val="single" w:sz="4" w:space="0" w:color="auto"/>
            </w:tcBorders>
          </w:tcPr>
          <w:p w14:paraId="3108BA54" w14:textId="77777777" w:rsidR="00C16799" w:rsidRPr="006B7F78" w:rsidRDefault="00C16799" w:rsidP="0031780F">
            <w:pPr>
              <w:pStyle w:val="Caption"/>
              <w:framePr w:w="7088" w:vSpace="113" w:wrap="notBeside" w:hAnchor="margin" w:xAlign="center" w:yAlign="bottom"/>
              <w:spacing w:after="0"/>
              <w:jc w:val="center"/>
              <w:rPr>
                <w:b/>
                <w:bCs/>
              </w:rPr>
            </w:pPr>
            <w:r w:rsidRPr="006B7F78">
              <w:rPr>
                <w:rFonts w:ascii="Times New Roman" w:hAnsi="Times New Roman" w:cs="Times New Roman"/>
                <w:b/>
                <w:bCs/>
                <w:noProof/>
              </w:rPr>
              <w:t>A</w:t>
            </w:r>
          </w:p>
        </w:tc>
        <w:tc>
          <w:tcPr>
            <w:tcW w:w="3402" w:type="dxa"/>
            <w:tcBorders>
              <w:top w:val="single" w:sz="4" w:space="0" w:color="auto"/>
              <w:bottom w:val="single" w:sz="4" w:space="0" w:color="auto"/>
            </w:tcBorders>
          </w:tcPr>
          <w:p w14:paraId="264F184F" w14:textId="32F67408" w:rsidR="00C16799" w:rsidRPr="006B7F78" w:rsidRDefault="00B77167" w:rsidP="0031780F">
            <w:pPr>
              <w:pStyle w:val="Caption"/>
              <w:framePr w:w="7088" w:vSpace="113" w:wrap="notBeside" w:hAnchor="margin" w:xAlign="center" w:yAlign="bottom"/>
              <w:spacing w:after="0"/>
              <w:jc w:val="center"/>
              <w:rPr>
                <w:rFonts w:ascii="Times New Roman" w:hAnsi="Times New Roman" w:cs="Times New Roman"/>
                <w:b/>
                <w:bCs/>
              </w:rPr>
            </w:pPr>
            <w:r w:rsidRPr="00B77167">
              <w:rPr>
                <w:b/>
                <w:bCs/>
                <w:noProof/>
                <w:lang w:val="en-GB" w:eastAsia="en-GB"/>
              </w:rPr>
              <w:drawing>
                <wp:inline distT="0" distB="0" distL="0" distR="0" wp14:anchorId="12206CDB" wp14:editId="02A94631">
                  <wp:extent cx="2159635" cy="2148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2148840"/>
                          </a:xfrm>
                          <a:prstGeom prst="rect">
                            <a:avLst/>
                          </a:prstGeom>
                          <a:noFill/>
                          <a:ln>
                            <a:noFill/>
                          </a:ln>
                        </pic:spPr>
                      </pic:pic>
                    </a:graphicData>
                  </a:graphic>
                </wp:inline>
              </w:drawing>
            </w:r>
          </w:p>
        </w:tc>
        <w:tc>
          <w:tcPr>
            <w:tcW w:w="142" w:type="dxa"/>
            <w:tcBorders>
              <w:top w:val="single" w:sz="4" w:space="0" w:color="auto"/>
              <w:bottom w:val="single" w:sz="4" w:space="0" w:color="auto"/>
            </w:tcBorders>
          </w:tcPr>
          <w:p w14:paraId="3C0BA137" w14:textId="77777777" w:rsidR="00C16799" w:rsidRPr="006B7F78" w:rsidRDefault="00C16799" w:rsidP="0031780F">
            <w:pPr>
              <w:pStyle w:val="Caption"/>
              <w:framePr w:w="7088" w:vSpace="113" w:wrap="notBeside" w:hAnchor="margin" w:xAlign="center" w:yAlign="bottom"/>
              <w:spacing w:after="0"/>
              <w:jc w:val="center"/>
              <w:rPr>
                <w:b/>
                <w:bCs/>
                <w:noProof/>
              </w:rPr>
            </w:pPr>
            <w:r w:rsidRPr="006B7F78">
              <w:rPr>
                <w:rFonts w:ascii="Times New Roman" w:hAnsi="Times New Roman" w:cs="Times New Roman"/>
                <w:b/>
                <w:bCs/>
                <w:noProof/>
              </w:rPr>
              <w:t>B</w:t>
            </w:r>
          </w:p>
        </w:tc>
        <w:tc>
          <w:tcPr>
            <w:tcW w:w="3402" w:type="dxa"/>
            <w:tcBorders>
              <w:top w:val="single" w:sz="4" w:space="0" w:color="auto"/>
              <w:bottom w:val="single" w:sz="4" w:space="0" w:color="auto"/>
            </w:tcBorders>
            <w:vAlign w:val="center"/>
          </w:tcPr>
          <w:p w14:paraId="7CC3968B" w14:textId="12B80478" w:rsidR="00C16799" w:rsidRPr="006B7F78" w:rsidRDefault="00B77167" w:rsidP="00B77167">
            <w:pPr>
              <w:pStyle w:val="Caption"/>
              <w:framePr w:w="7088" w:vSpace="113" w:wrap="notBeside" w:hAnchor="margin" w:xAlign="center" w:yAlign="bottom"/>
              <w:spacing w:before="0" w:after="0"/>
              <w:jc w:val="center"/>
              <w:rPr>
                <w:rFonts w:ascii="Times New Roman" w:hAnsi="Times New Roman" w:cs="Times New Roman"/>
                <w:b/>
                <w:bCs/>
                <w:noProof/>
              </w:rPr>
            </w:pPr>
            <w:r w:rsidRPr="00B77167">
              <w:rPr>
                <w:b/>
                <w:bCs/>
                <w:noProof/>
                <w:lang w:val="en-GB" w:eastAsia="en-GB"/>
              </w:rPr>
              <w:drawing>
                <wp:inline distT="0" distB="0" distL="0" distR="0" wp14:anchorId="21195C75" wp14:editId="4DC8A72D">
                  <wp:extent cx="2159635"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a:noFill/>
                          </a:ln>
                        </pic:spPr>
                      </pic:pic>
                    </a:graphicData>
                  </a:graphic>
                </wp:inline>
              </w:drawing>
            </w:r>
          </w:p>
        </w:tc>
      </w:tr>
      <w:tr w:rsidR="00C4330B" w14:paraId="5E00253E" w14:textId="77777777" w:rsidTr="00136C5C">
        <w:tc>
          <w:tcPr>
            <w:tcW w:w="7088" w:type="dxa"/>
            <w:gridSpan w:val="4"/>
            <w:tcBorders>
              <w:top w:val="single" w:sz="4" w:space="0" w:color="auto"/>
              <w:bottom w:val="single" w:sz="4" w:space="0" w:color="auto"/>
            </w:tcBorders>
          </w:tcPr>
          <w:p w14:paraId="42915F41" w14:textId="23150D7B" w:rsidR="00C4330B" w:rsidRPr="00AA561A" w:rsidRDefault="00C4330B" w:rsidP="0031780F">
            <w:pPr>
              <w:pStyle w:val="Caption"/>
              <w:framePr w:w="7088" w:vSpace="113" w:wrap="notBeside" w:hAnchor="margin" w:xAlign="center" w:yAlign="bottom"/>
              <w:jc w:val="both"/>
              <w:rPr>
                <w:rFonts w:ascii="Times New Roman" w:hAnsi="Times New Roman" w:cs="Times New Roman"/>
                <w:szCs w:val="18"/>
              </w:rPr>
            </w:pPr>
            <w:bookmarkStart w:id="0" w:name="_Ref150512570"/>
            <w:r w:rsidRPr="00AA561A">
              <w:rPr>
                <w:rFonts w:ascii="Times New Roman" w:hAnsi="Times New Roman" w:cs="Times New Roman"/>
                <w:b/>
                <w:bCs/>
              </w:rPr>
              <w:t xml:space="preserve">Figure </w:t>
            </w:r>
            <w:r w:rsidRPr="00AA561A">
              <w:rPr>
                <w:b/>
                <w:bCs/>
              </w:rPr>
              <w:fldChar w:fldCharType="begin"/>
            </w:r>
            <w:r w:rsidRPr="00AA561A">
              <w:rPr>
                <w:rFonts w:ascii="Times New Roman" w:hAnsi="Times New Roman" w:cs="Times New Roman"/>
                <w:b/>
                <w:bCs/>
              </w:rPr>
              <w:instrText xml:space="preserve"> SEQ Figure \* ARABIC </w:instrText>
            </w:r>
            <w:r w:rsidRPr="00AA561A">
              <w:rPr>
                <w:b/>
                <w:bCs/>
              </w:rPr>
              <w:fldChar w:fldCharType="separate"/>
            </w:r>
            <w:r w:rsidR="00870C7B">
              <w:rPr>
                <w:rFonts w:ascii="Times New Roman" w:hAnsi="Times New Roman" w:cs="Times New Roman"/>
                <w:b/>
                <w:bCs/>
                <w:noProof/>
              </w:rPr>
              <w:t>1</w:t>
            </w:r>
            <w:r w:rsidRPr="00AA561A">
              <w:rPr>
                <w:b/>
                <w:bCs/>
              </w:rPr>
              <w:fldChar w:fldCharType="end"/>
            </w:r>
            <w:bookmarkEnd w:id="0"/>
            <w:r w:rsidRPr="00AA561A">
              <w:rPr>
                <w:rFonts w:ascii="Times New Roman" w:hAnsi="Times New Roman" w:cs="Times New Roman"/>
                <w:b/>
                <w:bCs/>
              </w:rPr>
              <w:t>.</w:t>
            </w:r>
            <w:r w:rsidRPr="00AA561A">
              <w:rPr>
                <w:rFonts w:ascii="Times New Roman" w:hAnsi="Times New Roman" w:cs="Times New Roman"/>
              </w:rPr>
              <w:t xml:space="preserve"> Decay of feed factor. A:</w:t>
            </w:r>
            <w:r w:rsidR="00354CF8">
              <w:rPr>
                <w:rFonts w:ascii="Times New Roman" w:hAnsi="Times New Roman" w:cs="Times New Roman"/>
              </w:rPr>
              <w:t xml:space="preserve"> example</w:t>
            </w:r>
            <w:r w:rsidR="00354CF8" w:rsidRPr="00AA561A">
              <w:rPr>
                <w:rFonts w:ascii="Times New Roman" w:hAnsi="Times New Roman" w:cs="Times New Roman"/>
              </w:rPr>
              <w:t xml:space="preserve"> Eq. (</w:t>
            </w:r>
            <w:r w:rsidR="00354CF8">
              <w:fldChar w:fldCharType="begin"/>
            </w:r>
            <w:r w:rsidR="00354CF8">
              <w:instrText xml:space="preserve"> </w:instrText>
            </w:r>
            <w:r w:rsidR="00354CF8">
              <w:rPr>
                <w:rFonts w:ascii="Times New Roman" w:hAnsi="Times New Roman" w:cs="Times New Roman"/>
              </w:rPr>
              <w:instrText xml:space="preserve">REF </w:instrText>
            </w:r>
            <w:r w:rsidR="00354CF8">
              <w:instrText xml:space="preserve">_Ref151544244 \h </w:instrText>
            </w:r>
            <w:r w:rsidR="00354CF8">
              <w:fldChar w:fldCharType="separate"/>
            </w:r>
            <w:r w:rsidR="00870C7B">
              <w:rPr>
                <w:noProof/>
              </w:rPr>
              <w:t>1</w:t>
            </w:r>
            <w:r w:rsidR="00354CF8">
              <w:fldChar w:fldCharType="end"/>
            </w:r>
            <w:r w:rsidR="00354CF8" w:rsidRPr="00AA561A">
              <w:rPr>
                <w:rFonts w:ascii="Times New Roman" w:hAnsi="Times New Roman" w:cs="Times New Roman"/>
              </w:rPr>
              <w:t>)</w:t>
            </w:r>
            <w:r w:rsidR="00354CF8">
              <w:rPr>
                <w:rFonts w:ascii="Times New Roman" w:hAnsi="Times New Roman" w:cs="Times New Roman"/>
              </w:rPr>
              <w:t xml:space="preserve"> decay</w:t>
            </w:r>
            <w:r w:rsidR="00354CF8" w:rsidRPr="00AA561A">
              <w:rPr>
                <w:rFonts w:ascii="Times New Roman" w:hAnsi="Times New Roman" w:cs="Times New Roman"/>
              </w:rPr>
              <w:t xml:space="preserve"> defined with </w:t>
            </w:r>
            <w:r w:rsidR="00354CF8" w:rsidRPr="00AA561A">
              <w:rPr>
                <w:rFonts w:ascii="Times New Roman" w:hAnsi="Times New Roman" w:cs="Times New Roman"/>
                <w:i/>
                <w:iCs/>
              </w:rPr>
              <w:t>ff</w:t>
            </w:r>
            <w:r w:rsidR="00354CF8" w:rsidRPr="00AA561A">
              <w:rPr>
                <w:rFonts w:ascii="Times New Roman" w:hAnsi="Times New Roman" w:cs="Times New Roman"/>
                <w:i/>
                <w:iCs/>
                <w:vertAlign w:val="subscript"/>
              </w:rPr>
              <w:t>max</w:t>
            </w:r>
            <w:r w:rsidR="00354CF8" w:rsidRPr="00AA561A">
              <w:rPr>
                <w:rFonts w:ascii="Times New Roman" w:hAnsi="Times New Roman" w:cs="Times New Roman"/>
              </w:rPr>
              <w:t xml:space="preserve"> = 2 g/rev,</w:t>
            </w:r>
            <w:r w:rsidR="00354CF8" w:rsidRPr="00AA561A">
              <w:rPr>
                <w:rFonts w:ascii="Times New Roman" w:hAnsi="Times New Roman" w:cs="Times New Roman"/>
                <w:i/>
                <w:iCs/>
              </w:rPr>
              <w:t xml:space="preserve"> </w:t>
            </w:r>
            <w:proofErr w:type="spellStart"/>
            <w:r w:rsidR="00354CF8" w:rsidRPr="00AA561A">
              <w:rPr>
                <w:rFonts w:ascii="Times New Roman" w:hAnsi="Times New Roman" w:cs="Times New Roman"/>
                <w:i/>
                <w:iCs/>
              </w:rPr>
              <w:t>ff</w:t>
            </w:r>
            <w:r w:rsidR="00354CF8" w:rsidRPr="00AA561A">
              <w:rPr>
                <w:rFonts w:ascii="Times New Roman" w:hAnsi="Times New Roman" w:cs="Times New Roman"/>
                <w:i/>
                <w:iCs/>
                <w:vertAlign w:val="subscript"/>
              </w:rPr>
              <w:t>min</w:t>
            </w:r>
            <w:proofErr w:type="spellEnd"/>
            <w:r w:rsidR="00354CF8" w:rsidRPr="00AA561A">
              <w:rPr>
                <w:rFonts w:ascii="Times New Roman" w:hAnsi="Times New Roman" w:cs="Times New Roman"/>
              </w:rPr>
              <w:t xml:space="preserve"> = 0 g/rev</w:t>
            </w:r>
            <w:r w:rsidR="00354CF8">
              <w:rPr>
                <w:rFonts w:ascii="Times New Roman" w:hAnsi="Times New Roman" w:cs="Times New Roman"/>
              </w:rPr>
              <w:t>. B: e</w:t>
            </w:r>
            <w:r w:rsidR="006D5B0F">
              <w:rPr>
                <w:rFonts w:ascii="Times New Roman" w:hAnsi="Times New Roman" w:cs="Times New Roman"/>
              </w:rPr>
              <w:t xml:space="preserve">xample </w:t>
            </w:r>
            <w:r w:rsidR="007868D3">
              <w:rPr>
                <w:rFonts w:ascii="Times New Roman" w:hAnsi="Times New Roman" w:cs="Times New Roman"/>
              </w:rPr>
              <w:t>volumetric</w:t>
            </w:r>
            <w:r w:rsidR="006D5B0F">
              <w:rPr>
                <w:rFonts w:ascii="Times New Roman" w:hAnsi="Times New Roman" w:cs="Times New Roman"/>
              </w:rPr>
              <w:t xml:space="preserve"> discharge data with</w:t>
            </w:r>
            <w:r w:rsidR="001C00BD">
              <w:rPr>
                <w:rFonts w:ascii="Times New Roman" w:hAnsi="Times New Roman" w:cs="Times New Roman"/>
              </w:rPr>
              <w:t xml:space="preserve"> key</w:t>
            </w:r>
            <w:r w:rsidRPr="00AA561A">
              <w:rPr>
                <w:rFonts w:ascii="Times New Roman" w:hAnsi="Times New Roman" w:cs="Times New Roman"/>
              </w:rPr>
              <w:t xml:space="preserve"> 30–80 % hopper fill</w:t>
            </w:r>
            <w:r w:rsidR="001C00BD">
              <w:rPr>
                <w:rFonts w:ascii="Times New Roman" w:hAnsi="Times New Roman" w:cs="Times New Roman"/>
              </w:rPr>
              <w:t xml:space="preserve"> region highlighted</w:t>
            </w:r>
            <w:r w:rsidRPr="00AA561A">
              <w:rPr>
                <w:rFonts w:ascii="Times New Roman" w:hAnsi="Times New Roman" w:cs="Times New Roman"/>
              </w:rPr>
              <w:t xml:space="preserve">. </w:t>
            </w:r>
          </w:p>
        </w:tc>
      </w:tr>
    </w:tbl>
    <w:p w14:paraId="34937032" w14:textId="202BB5E3" w:rsidR="00BD2B21" w:rsidRDefault="00BD2B21" w:rsidP="00BD2B21">
      <w:pPr>
        <w:pStyle w:val="Els-body-text"/>
      </w:pPr>
      <w:r>
        <w:t>A modified feed</w:t>
      </w:r>
      <w:r w:rsidR="00337D47">
        <w:t xml:space="preserve">er performance equation </w:t>
      </w:r>
      <w:r w:rsidR="00550BCE">
        <w:t>from</w:t>
      </w:r>
      <w:r w:rsidR="00337D47">
        <w:t xml:space="preserve"> literature</w:t>
      </w:r>
      <w:r>
        <w:t xml:space="preserve"> has been used when regressing parameters using raw data </w:t>
      </w:r>
      <w:r w:rsidRPr="00B535DA">
        <w:t>(Wang et al., 2017)</w:t>
      </w:r>
      <w:r>
        <w:t>:</w:t>
      </w:r>
    </w:p>
    <w:tbl>
      <w:tblPr>
        <w:tblW w:w="5000" w:type="pct"/>
        <w:tblCellMar>
          <w:left w:w="0" w:type="dxa"/>
          <w:right w:w="0" w:type="dxa"/>
        </w:tblCellMar>
        <w:tblLook w:val="04A0" w:firstRow="1" w:lastRow="0" w:firstColumn="1" w:lastColumn="0" w:noHBand="0" w:noVBand="1"/>
      </w:tblPr>
      <w:tblGrid>
        <w:gridCol w:w="6082"/>
        <w:gridCol w:w="816"/>
        <w:gridCol w:w="116"/>
        <w:gridCol w:w="72"/>
      </w:tblGrid>
      <w:tr w:rsidR="00337D47" w:rsidRPr="00D37B63" w14:paraId="4D0F517C" w14:textId="77777777" w:rsidTr="00710F0A">
        <w:trPr>
          <w:trHeight w:val="284"/>
        </w:trPr>
        <w:tc>
          <w:tcPr>
            <w:tcW w:w="6082" w:type="dxa"/>
            <w:vAlign w:val="center"/>
          </w:tcPr>
          <w:p w14:paraId="4E505BED" w14:textId="77777777" w:rsidR="00337D47" w:rsidRPr="00730756" w:rsidRDefault="00337D47" w:rsidP="00710F0A">
            <w:pPr>
              <w:spacing w:before="120" w:after="120"/>
            </w:pPr>
            <m:oMathPara>
              <m:oMathParaPr>
                <m:jc m:val="left"/>
              </m:oMathParaPr>
              <m:oMath>
                <m:r>
                  <w:rPr>
                    <w:rFonts w:ascii="Cambria Math" w:hAnsi="Cambria Math"/>
                    <w:sz w:val="16"/>
                    <w:szCs w:val="16"/>
                  </w:rPr>
                  <m:t>ff</m:t>
                </m:r>
                <m:r>
                  <m:rPr>
                    <m:sty m:val="p"/>
                  </m:rPr>
                  <w:rPr>
                    <w:rFonts w:ascii="Cambria Math" w:hAnsi="Cambria Math"/>
                    <w:sz w:val="16"/>
                    <w:szCs w:val="16"/>
                  </w:rPr>
                  <m:t>=</m:t>
                </m:r>
                <m:r>
                  <w:rPr>
                    <w:rFonts w:ascii="Cambria Math" w:hAnsi="Cambria Math"/>
                    <w:sz w:val="16"/>
                    <w:szCs w:val="16"/>
                  </w:rPr>
                  <m:t>f</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max</m:t>
                    </m:r>
                  </m:sub>
                </m:sSub>
                <m: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f</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max</m:t>
                        </m:r>
                      </m:sub>
                    </m:sSub>
                    <m:r>
                      <m:rPr>
                        <m:sty m:val="p"/>
                      </m:rPr>
                      <w:rPr>
                        <w:rFonts w:ascii="Cambria Math" w:hAnsi="Cambria Math"/>
                        <w:sz w:val="16"/>
                        <w:szCs w:val="16"/>
                      </w:rPr>
                      <m:t>e</m:t>
                    </m:r>
                  </m:e>
                  <m:sup>
                    <m:r>
                      <w:rPr>
                        <w:rFonts w:ascii="Cambria Math" w:hAnsi="Cambria Math"/>
                        <w:sz w:val="16"/>
                        <w:szCs w:val="16"/>
                      </w:rPr>
                      <m:t>-βF</m:t>
                    </m:r>
                  </m:sup>
                </m:sSup>
              </m:oMath>
            </m:oMathPara>
          </w:p>
        </w:tc>
        <w:tc>
          <w:tcPr>
            <w:tcW w:w="816" w:type="dxa"/>
            <w:vAlign w:val="center"/>
          </w:tcPr>
          <w:p w14:paraId="7BE36909" w14:textId="77777777" w:rsidR="00337D47" w:rsidRPr="00D37B63" w:rsidRDefault="00337D47" w:rsidP="00710F0A">
            <w:pPr>
              <w:spacing w:before="120" w:after="120"/>
              <w:jc w:val="right"/>
              <w:rPr>
                <w:rFonts w:eastAsiaTheme="minorEastAsia"/>
              </w:rPr>
            </w:pPr>
            <w:r w:rsidRPr="00D37B63">
              <w:rPr>
                <w:rFonts w:eastAsiaTheme="minorEastAsia"/>
              </w:rPr>
              <w:t>(</w:t>
            </w:r>
          </w:p>
        </w:tc>
        <w:tc>
          <w:tcPr>
            <w:tcW w:w="116" w:type="dxa"/>
            <w:vAlign w:val="center"/>
          </w:tcPr>
          <w:p w14:paraId="5E418B95" w14:textId="1452F3B3" w:rsidR="00337D47" w:rsidRPr="00D37B63" w:rsidRDefault="008E16CB" w:rsidP="00710F0A">
            <w:pPr>
              <w:spacing w:before="120" w:after="120"/>
              <w:jc w:val="center"/>
            </w:pPr>
            <w:r>
              <w:fldChar w:fldCharType="begin"/>
            </w:r>
            <w:r>
              <w:instrText xml:space="preserve"> SEQ Equation \* ARABIC </w:instrText>
            </w:r>
            <w:r>
              <w:fldChar w:fldCharType="separate"/>
            </w:r>
            <w:bookmarkStart w:id="1" w:name="_Ref151544244"/>
            <w:r w:rsidR="00870C7B">
              <w:rPr>
                <w:noProof/>
              </w:rPr>
              <w:t>1</w:t>
            </w:r>
            <w:bookmarkEnd w:id="1"/>
            <w:r>
              <w:rPr>
                <w:noProof/>
              </w:rPr>
              <w:fldChar w:fldCharType="end"/>
            </w:r>
          </w:p>
        </w:tc>
        <w:tc>
          <w:tcPr>
            <w:tcW w:w="72" w:type="dxa"/>
            <w:vAlign w:val="center"/>
          </w:tcPr>
          <w:p w14:paraId="1394C326" w14:textId="77777777" w:rsidR="00337D47" w:rsidRPr="00D37B63" w:rsidRDefault="00337D47" w:rsidP="00710F0A">
            <w:pPr>
              <w:spacing w:before="120" w:after="120"/>
            </w:pPr>
            <w:r w:rsidRPr="00D37B63">
              <w:t>)</w:t>
            </w:r>
          </w:p>
        </w:tc>
      </w:tr>
    </w:tbl>
    <w:p w14:paraId="122E6028" w14:textId="50EDC89F" w:rsidR="00BD2B21" w:rsidRDefault="00BD2B21" w:rsidP="00BD2B21">
      <w:pPr>
        <w:pStyle w:val="Els-body-text"/>
      </w:pPr>
      <w:r>
        <w:t xml:space="preserve">Where </w:t>
      </w:r>
      <w:proofErr w:type="spellStart"/>
      <w:r>
        <w:rPr>
          <w:i/>
        </w:rPr>
        <w:t>ff</w:t>
      </w:r>
      <w:proofErr w:type="spellEnd"/>
      <w:r>
        <w:t xml:space="preserve"> is feed factor, the mass flow per turn of the screw(s) (g/rev)</w:t>
      </w:r>
      <w:r w:rsidR="00DE4B24">
        <w:t xml:space="preserve">, and </w:t>
      </w:r>
      <w:r w:rsidR="00DE4B24">
        <w:rPr>
          <w:i/>
          <w:iCs/>
        </w:rPr>
        <w:t>F</w:t>
      </w:r>
      <w:r w:rsidR="00DE4B24">
        <w:t xml:space="preserve"> is hopper fill fraction. </w:t>
      </w:r>
      <w:r>
        <w:t xml:space="preserve">There are </w:t>
      </w:r>
      <w:r w:rsidR="00337D47">
        <w:t>two</w:t>
      </w:r>
      <w:r>
        <w:t xml:space="preserve"> fitting parameters: </w:t>
      </w:r>
      <w:r w:rsidRPr="00370C93">
        <w:t xml:space="preserve">maximum feed factor </w:t>
      </w:r>
      <w:r w:rsidRPr="00370C93">
        <w:rPr>
          <w:i/>
        </w:rPr>
        <w:t>ff</w:t>
      </w:r>
      <w:r w:rsidRPr="00370C93">
        <w:rPr>
          <w:vertAlign w:val="subscript"/>
        </w:rPr>
        <w:t>max</w:t>
      </w:r>
      <w:r w:rsidRPr="00370C93">
        <w:t xml:space="preserve"> (g/rev), the initial (typically highest) feed factor when the hopper </w:t>
      </w:r>
      <w:r w:rsidR="00FB7EE5">
        <w:t xml:space="preserve">is </w:t>
      </w:r>
      <w:r w:rsidRPr="00370C93">
        <w:t>full</w:t>
      </w:r>
      <w:r w:rsidR="00337D47">
        <w:t>;</w:t>
      </w:r>
      <w:r w:rsidRPr="00370C93">
        <w:t xml:space="preserve"> and rate constant </w:t>
      </w:r>
      <w:r w:rsidRPr="00370C93">
        <w:rPr>
          <w:i/>
        </w:rPr>
        <w:t>β</w:t>
      </w:r>
      <w:r w:rsidRPr="00370C93">
        <w:t xml:space="preserve"> (</w:t>
      </w:r>
      <w:r w:rsidR="00DE4B24">
        <w:t>dimensionless</w:t>
      </w:r>
      <w:r w:rsidRPr="00370C93">
        <w:t xml:space="preserve">), a measure of how quickly the feed factor decays from </w:t>
      </w:r>
      <w:r w:rsidRPr="00370C93">
        <w:rPr>
          <w:i/>
        </w:rPr>
        <w:t>ff</w:t>
      </w:r>
      <w:r w:rsidRPr="00370C93">
        <w:rPr>
          <w:vertAlign w:val="subscript"/>
        </w:rPr>
        <w:t>max</w:t>
      </w:r>
      <w:r w:rsidR="00DE4B24">
        <w:t>. H</w:t>
      </w:r>
      <w:r w:rsidRPr="00370C93">
        <w:t xml:space="preserve">igh </w:t>
      </w:r>
      <w:r w:rsidRPr="00370C93">
        <w:rPr>
          <w:i/>
        </w:rPr>
        <w:t>β</w:t>
      </w:r>
      <w:r w:rsidRPr="00370C93">
        <w:t xml:space="preserve"> means feed factor is stable for longer and then precipitously decays, while low </w:t>
      </w:r>
      <w:r w:rsidRPr="00370C93">
        <w:rPr>
          <w:i/>
        </w:rPr>
        <w:t>β</w:t>
      </w:r>
      <w:r w:rsidRPr="00370C93">
        <w:t xml:space="preserve"> means a more gradual but earlier decay</w:t>
      </w:r>
      <w:r w:rsidR="00DE4B24">
        <w:t xml:space="preserve"> (</w:t>
      </w:r>
      <w:r w:rsidR="00DE4B24" w:rsidRPr="00BD59D0">
        <w:fldChar w:fldCharType="begin"/>
      </w:r>
      <w:r w:rsidR="00DE4B24" w:rsidRPr="00BD59D0">
        <w:instrText xml:space="preserve"> REF _Ref150512570 \h  \* MERGEFORMAT </w:instrText>
      </w:r>
      <w:r w:rsidR="00DE4B24" w:rsidRPr="00BD59D0">
        <w:fldChar w:fldCharType="separate"/>
      </w:r>
      <w:r w:rsidR="00870C7B" w:rsidRPr="00870C7B">
        <w:t xml:space="preserve">Figure </w:t>
      </w:r>
      <w:r w:rsidR="00870C7B" w:rsidRPr="00870C7B">
        <w:rPr>
          <w:noProof/>
        </w:rPr>
        <w:t>1</w:t>
      </w:r>
      <w:r w:rsidR="00DE4B24" w:rsidRPr="00BD59D0">
        <w:fldChar w:fldCharType="end"/>
      </w:r>
      <w:r w:rsidR="00DE4B24" w:rsidRPr="00BD59D0">
        <w:t>A</w:t>
      </w:r>
      <w:r w:rsidR="00DE4B24">
        <w:t>)</w:t>
      </w:r>
      <w:r w:rsidRPr="00370C93">
        <w:t>.</w:t>
      </w:r>
      <w:r w:rsidR="00354CF8">
        <w:t xml:space="preserve"> </w:t>
      </w:r>
    </w:p>
    <w:p w14:paraId="08311D8F" w14:textId="77777777" w:rsidR="00BD2B21" w:rsidRDefault="00BD2B21" w:rsidP="008D2649">
      <w:pPr>
        <w:pStyle w:val="Els-body-text"/>
      </w:pPr>
    </w:p>
    <w:p w14:paraId="05B96F41" w14:textId="22634D50" w:rsidR="007B08B3" w:rsidRDefault="00BD59D0" w:rsidP="008D2649">
      <w:pPr>
        <w:pStyle w:val="Els-body-text"/>
      </w:pPr>
      <w:r>
        <w:t xml:space="preserve">Raw feeder performance data of feed factor against hopper </w:t>
      </w:r>
      <w:r w:rsidR="00DE4B24">
        <w:t xml:space="preserve">fill fraction </w:t>
      </w:r>
      <w:r>
        <w:t>mass (</w:t>
      </w:r>
      <w:r w:rsidR="00DE4B24">
        <w:t>calculated from hopper mass</w:t>
      </w:r>
      <w:r w:rsidR="008D64FF">
        <w:t>, volume, and material bulk density)</w:t>
      </w:r>
      <w:r w:rsidR="00AB7B90">
        <w:t>.</w:t>
      </w:r>
      <w:r>
        <w:t xml:space="preserve"> This allows a comparison across feeders of different hopper volumes, and allows value ranges of the </w:t>
      </w:r>
      <w:r w:rsidRPr="00BD59D0">
        <w:rPr>
          <w:i/>
          <w:iCs/>
        </w:rPr>
        <w:t>β</w:t>
      </w:r>
      <w:r>
        <w:t xml:space="preserve"> parameter to be defined</w:t>
      </w:r>
      <w:r w:rsidR="000C597C">
        <w:t xml:space="preserve">: </w:t>
      </w:r>
      <w:r>
        <w:t xml:space="preserve">once </w:t>
      </w:r>
      <w:r w:rsidRPr="00BD59D0">
        <w:rPr>
          <w:i/>
          <w:iCs/>
        </w:rPr>
        <w:t>β</w:t>
      </w:r>
      <w:r>
        <w:t xml:space="preserve"> is at or above 15, the feed factor decay trajectories are functionally the same for the </w:t>
      </w:r>
      <w:r w:rsidR="000C597C">
        <w:t xml:space="preserve">30%–80% hopper fill </w:t>
      </w:r>
      <w:r>
        <w:t>region of interest</w:t>
      </w:r>
      <w:r w:rsidR="000C597C">
        <w:t xml:space="preserve"> (</w:t>
      </w:r>
      <w:r w:rsidR="00AF3331" w:rsidRPr="00BD59D0">
        <w:fldChar w:fldCharType="begin"/>
      </w:r>
      <w:r w:rsidR="00AF3331" w:rsidRPr="00BD59D0">
        <w:instrText xml:space="preserve"> REF _Ref150512570 \h  \* MERGEFORMAT </w:instrText>
      </w:r>
      <w:r w:rsidR="00AF3331" w:rsidRPr="00BD59D0">
        <w:fldChar w:fldCharType="separate"/>
      </w:r>
      <w:r w:rsidR="00870C7B" w:rsidRPr="00870C7B">
        <w:t xml:space="preserve">Figure </w:t>
      </w:r>
      <w:r w:rsidR="00870C7B" w:rsidRPr="00870C7B">
        <w:rPr>
          <w:noProof/>
        </w:rPr>
        <w:t>1</w:t>
      </w:r>
      <w:r w:rsidR="00AF3331" w:rsidRPr="00BD59D0">
        <w:fldChar w:fldCharType="end"/>
      </w:r>
      <w:r w:rsidR="00354CF8">
        <w:t>A</w:t>
      </w:r>
      <w:r w:rsidR="00AF3331">
        <w:t>)</w:t>
      </w:r>
      <w:r>
        <w:t xml:space="preserve">. </w:t>
      </w:r>
      <w:r w:rsidR="000C597C">
        <w:t>This</w:t>
      </w:r>
      <w:r>
        <w:t xml:space="preserve"> region of interest is used as the modeling efforts are not concerned with the initial rise from zero feed factor</w:t>
      </w:r>
      <w:r w:rsidR="006717DB">
        <w:t xml:space="preserve"> (</w:t>
      </w:r>
      <w:r w:rsidR="006717DB" w:rsidRPr="00BD59D0">
        <w:fldChar w:fldCharType="begin"/>
      </w:r>
      <w:r w:rsidR="006717DB" w:rsidRPr="00BD59D0">
        <w:instrText xml:space="preserve"> REF _Ref150512570 \h  \* MERGEFORMAT </w:instrText>
      </w:r>
      <w:r w:rsidR="006717DB" w:rsidRPr="00BD59D0">
        <w:fldChar w:fldCharType="separate"/>
      </w:r>
      <w:r w:rsidR="00870C7B" w:rsidRPr="00870C7B">
        <w:t xml:space="preserve">Figure </w:t>
      </w:r>
      <w:r w:rsidR="00870C7B" w:rsidRPr="00870C7B">
        <w:rPr>
          <w:noProof/>
        </w:rPr>
        <w:t>1</w:t>
      </w:r>
      <w:r w:rsidR="006717DB" w:rsidRPr="00BD59D0">
        <w:fldChar w:fldCharType="end"/>
      </w:r>
      <w:r w:rsidR="006717DB">
        <w:t>B)</w:t>
      </w:r>
      <w:r w:rsidR="000C597C">
        <w:t xml:space="preserve">, </w:t>
      </w:r>
      <w:r>
        <w:t xml:space="preserve">and the fact that the final decay as the hopper is emptying is likely governed by substantially different powder flow phenomena and </w:t>
      </w:r>
      <w:r w:rsidR="00035940">
        <w:t>moreover</w:t>
      </w:r>
      <w:r>
        <w:t xml:space="preserve"> would not be experienced in practice as refill would have occurred before this point is reached.</w:t>
      </w:r>
      <w:r w:rsidR="00035940">
        <w:t xml:space="preserve"> A</w:t>
      </w:r>
      <w:r w:rsidR="00AF3331">
        <w:t xml:space="preserve">s </w:t>
      </w:r>
      <w:r w:rsidR="00AF3331" w:rsidRPr="00BD59D0">
        <w:rPr>
          <w:i/>
          <w:iCs/>
        </w:rPr>
        <w:t>β</w:t>
      </w:r>
      <w:r w:rsidR="00AF3331">
        <w:t xml:space="preserve"> is very sensitive to flat regions of data, a maximum of 15 has been set for this parameter.</w:t>
      </w:r>
    </w:p>
    <w:p w14:paraId="4650BDF2" w14:textId="12CBE659" w:rsidR="007B08B3" w:rsidRDefault="007B08B3" w:rsidP="007B08B3">
      <w:pPr>
        <w:pStyle w:val="Els-2ndorder-head"/>
      </w:pPr>
      <w:r>
        <w:t>Machine learning model structure, predictors, algorithms</w:t>
      </w:r>
    </w:p>
    <w:p w14:paraId="4A5494DC" w14:textId="73E5BA48" w:rsidR="0040467F" w:rsidRDefault="00873713" w:rsidP="008D2649">
      <w:pPr>
        <w:pStyle w:val="Els-body-text"/>
      </w:pPr>
      <w:r>
        <w:t xml:space="preserve">The goal of the Machine Learning was to predict model parameters </w:t>
      </w:r>
      <w:r>
        <w:rPr>
          <w:i/>
          <w:iCs/>
        </w:rPr>
        <w:t>ff</w:t>
      </w:r>
      <w:r>
        <w:rPr>
          <w:i/>
          <w:iCs/>
          <w:vertAlign w:val="subscript"/>
        </w:rPr>
        <w:t>max</w:t>
      </w:r>
      <w:r>
        <w:t xml:space="preserve"> and </w:t>
      </w:r>
      <w:r w:rsidRPr="00BD59D0">
        <w:rPr>
          <w:i/>
          <w:iCs/>
        </w:rPr>
        <w:t>β</w:t>
      </w:r>
      <w:r>
        <w:t xml:space="preserve">. Three Machine Learning models </w:t>
      </w:r>
      <w:r w:rsidR="000620E9">
        <w:t>(</w:t>
      </w:r>
      <w:r w:rsidR="00CA7CF1">
        <w:t xml:space="preserve">developed and implemented in </w:t>
      </w:r>
      <w:r w:rsidR="00F9336B">
        <w:t xml:space="preserve">Matlab) </w:t>
      </w:r>
      <w:r>
        <w:t xml:space="preserve">have been used: one to predict </w:t>
      </w:r>
      <w:r>
        <w:rPr>
          <w:i/>
          <w:iCs/>
        </w:rPr>
        <w:t>ff</w:t>
      </w:r>
      <w:r>
        <w:rPr>
          <w:i/>
          <w:iCs/>
          <w:vertAlign w:val="subscript"/>
        </w:rPr>
        <w:t>max</w:t>
      </w:r>
      <w:r w:rsidR="00F9336B" w:rsidRPr="00F9336B">
        <w:t xml:space="preserve"> (</w:t>
      </w:r>
      <w:r w:rsidR="00F9336B">
        <w:t xml:space="preserve">ensemble of trees with </w:t>
      </w:r>
      <w:proofErr w:type="spellStart"/>
      <w:r w:rsidR="00F9336B">
        <w:t>LSBoost</w:t>
      </w:r>
      <w:proofErr w:type="spellEnd"/>
      <w:r w:rsidR="00F9336B">
        <w:t xml:space="preserve"> algorithm)</w:t>
      </w:r>
      <w:r>
        <w:t xml:space="preserve">, one to make </w:t>
      </w:r>
      <w:r w:rsidR="000620E9">
        <w:t>an</w:t>
      </w:r>
      <w:r>
        <w:t xml:space="preserve"> initial coarse estimate of </w:t>
      </w:r>
      <w:r w:rsidRPr="00BD59D0">
        <w:rPr>
          <w:i/>
          <w:iCs/>
        </w:rPr>
        <w:t>β</w:t>
      </w:r>
      <w:r>
        <w:t xml:space="preserve"> (the </w:t>
      </w:r>
      <w:r>
        <w:rPr>
          <w:i/>
          <w:iCs/>
        </w:rPr>
        <w:t>class</w:t>
      </w:r>
      <w:r>
        <w:t xml:space="preserve"> of </w:t>
      </w:r>
      <w:r w:rsidRPr="00BD59D0">
        <w:rPr>
          <w:i/>
          <w:iCs/>
        </w:rPr>
        <w:t>β</w:t>
      </w:r>
      <w:r w:rsidR="00E07029">
        <w:t xml:space="preserve">; ensemble of trees with </w:t>
      </w:r>
      <w:proofErr w:type="spellStart"/>
      <w:r w:rsidR="00E07029">
        <w:t>AdaBoost</w:t>
      </w:r>
      <w:proofErr w:type="spellEnd"/>
      <w:r w:rsidR="00E07029">
        <w:t xml:space="preserve"> algorithm</w:t>
      </w:r>
      <w:r>
        <w:t xml:space="preserve">), and a third model to use this </w:t>
      </w:r>
      <w:r>
        <w:rPr>
          <w:i/>
          <w:iCs/>
        </w:rPr>
        <w:t>class</w:t>
      </w:r>
      <w:r>
        <w:t xml:space="preserve"> as an additional input </w:t>
      </w:r>
      <w:r w:rsidR="00730756">
        <w:t xml:space="preserve">predictor </w:t>
      </w:r>
      <w:r>
        <w:t xml:space="preserve">and make a refined prediction of </w:t>
      </w:r>
      <w:r w:rsidRPr="00873713">
        <w:rPr>
          <w:i/>
          <w:iCs/>
        </w:rPr>
        <w:t>β</w:t>
      </w:r>
      <w:r w:rsidR="00E07029" w:rsidRPr="00E07029">
        <w:t xml:space="preserve"> </w:t>
      </w:r>
      <w:r w:rsidR="00E07029">
        <w:t xml:space="preserve">(ensemble of trees with </w:t>
      </w:r>
      <w:proofErr w:type="spellStart"/>
      <w:r w:rsidR="00E07029">
        <w:t>LSBoost</w:t>
      </w:r>
      <w:proofErr w:type="spellEnd"/>
      <w:r w:rsidR="00E07029">
        <w:t xml:space="preserve"> algorithm)</w:t>
      </w:r>
      <w:r w:rsidR="00C96F2B">
        <w:t xml:space="preserve">. The class of </w:t>
      </w:r>
      <w:r w:rsidR="00C96F2B" w:rsidRPr="00C96F2B">
        <w:rPr>
          <w:i/>
          <w:iCs/>
        </w:rPr>
        <w:t>β</w:t>
      </w:r>
      <w:r w:rsidR="00C96F2B">
        <w:t xml:space="preserve"> is a rough first estimate, and there are four classes: class 15 (values of </w:t>
      </w:r>
      <w:r w:rsidR="00C96F2B" w:rsidRPr="00C96F2B">
        <w:rPr>
          <w:i/>
          <w:iCs/>
        </w:rPr>
        <w:t>β</w:t>
      </w:r>
      <w:r w:rsidR="00C96F2B">
        <w:t xml:space="preserve"> at 15), class 10 (values between 10 and 15), </w:t>
      </w:r>
      <w:r w:rsidR="00C96F2B">
        <w:lastRenderedPageBreak/>
        <w:t>class 5 (values between 5 and 10), and class 1 (values between 1 and 5). Class 15 materials have a steady flow with precipitous decay, and class 1 materials have a gradual decay that starts much sooner.</w:t>
      </w:r>
      <w:r w:rsidR="00571057">
        <w:t xml:space="preserve"> </w:t>
      </w:r>
      <w:r w:rsidR="007B08B3">
        <w:t xml:space="preserve">Aside from material properties used as predictors to the Machine Learning model, the following equipment properties are also predictors: feeder model (categorical), hopper volume, screw choice (categorical), screw diameter, and screw pitch. There is also ideal feed factor, </w:t>
      </w:r>
      <w:r w:rsidR="000327AA">
        <w:t xml:space="preserve">the product of </w:t>
      </w:r>
      <w:r w:rsidR="00730756">
        <w:t>bulk density</w:t>
      </w:r>
      <w:r w:rsidR="00730756" w:rsidRPr="00730756">
        <w:t xml:space="preserve"> </w:t>
      </w:r>
      <w:r w:rsidR="00730756">
        <w:t xml:space="preserve">and screw free volume; the latter is calculated from geometry assuming the clearance </w:t>
      </w:r>
      <w:r w:rsidR="00170A47">
        <w:t>volume around the screw</w:t>
      </w:r>
      <w:r w:rsidR="00730756">
        <w:t xml:space="preserve"> plays no part in material transport </w:t>
      </w:r>
      <w:r w:rsidR="00730756" w:rsidRPr="00730756">
        <w:t>(</w:t>
      </w:r>
      <w:proofErr w:type="spellStart"/>
      <w:r w:rsidR="00730756" w:rsidRPr="00730756">
        <w:t>Bascone</w:t>
      </w:r>
      <w:proofErr w:type="spellEnd"/>
      <w:r w:rsidR="00730756" w:rsidRPr="00730756">
        <w:t xml:space="preserve"> et al., 2020; Yu, 1997)</w:t>
      </w:r>
      <w:r w:rsidR="00730756">
        <w:t>.</w:t>
      </w:r>
    </w:p>
    <w:p w14:paraId="4505FB50" w14:textId="77777777" w:rsidR="000327AA" w:rsidRDefault="000327AA" w:rsidP="008D2649">
      <w:pPr>
        <w:pStyle w:val="Els-body-text"/>
        <w:rPr>
          <w:b/>
          <w:bCs/>
        </w:rPr>
      </w:pPr>
    </w:p>
    <w:p w14:paraId="1D920850" w14:textId="5FA4CF67" w:rsidR="00730756" w:rsidRPr="00C96F2B" w:rsidRDefault="00730756" w:rsidP="008D2649">
      <w:pPr>
        <w:pStyle w:val="Els-body-text"/>
      </w:pPr>
      <w:r>
        <w:t xml:space="preserve">Training and test datasets have been </w:t>
      </w:r>
      <w:r w:rsidR="004E4C14">
        <w:t>split with an</w:t>
      </w:r>
      <w:r>
        <w:t xml:space="preserve"> approximately 80</w:t>
      </w:r>
      <w:r w:rsidR="00376A50">
        <w:t>/</w:t>
      </w:r>
      <w:r>
        <w:t>20</w:t>
      </w:r>
      <w:r w:rsidR="004E4C14">
        <w:t xml:space="preserve"> ratio</w:t>
      </w:r>
      <w:r>
        <w:t xml:space="preserve">. </w:t>
      </w:r>
      <w:r w:rsidR="00170A47">
        <w:t>C</w:t>
      </w:r>
      <w:r>
        <w:t xml:space="preserve">onditions (feeder-screw-material combinations) </w:t>
      </w:r>
      <w:r w:rsidR="00170A47">
        <w:t xml:space="preserve">often </w:t>
      </w:r>
      <w:r>
        <w:t>have multiple runs, either true replicate runs, or runs conducted at different RPMs. This result</w:t>
      </w:r>
      <w:r w:rsidR="00170A47">
        <w:t>s</w:t>
      </w:r>
      <w:r>
        <w:t xml:space="preserve"> in some variability between parameters regressed for that condition, particularly for the </w:t>
      </w:r>
      <w:r w:rsidRPr="00730756">
        <w:rPr>
          <w:i/>
          <w:iCs/>
        </w:rPr>
        <w:t>β</w:t>
      </w:r>
      <w:r>
        <w:t xml:space="preserve"> parameter. For the training dataset, the average value of regressed parameters has been used, but duplicated equivalent to the number of replicates as weighting. For the testing dataset, averages have been used but they have not been duplicated </w:t>
      </w:r>
      <w:r w:rsidR="00376A50">
        <w:t>to</w:t>
      </w:r>
      <w:r>
        <w:t xml:space="preserve"> not overestimate model accuracy.</w:t>
      </w:r>
      <w:r w:rsidR="00376A50">
        <w:t xml:space="preserve"> There are 215 runs in the training set, and 49 in the test set (21 after run averaging).</w:t>
      </w:r>
      <w:r w:rsidR="00095912">
        <w:t xml:space="preserve"> However, there are some </w:t>
      </w:r>
      <w:r w:rsidR="00F4349B">
        <w:t>material property</w:t>
      </w:r>
      <w:r w:rsidR="00095912">
        <w:t xml:space="preserve"> </w:t>
      </w:r>
      <w:r w:rsidR="00F4349B">
        <w:t xml:space="preserve">gaps </w:t>
      </w:r>
      <w:r w:rsidR="00095912">
        <w:t xml:space="preserve">in the literature data </w:t>
      </w:r>
      <w:r w:rsidR="00095912">
        <w:rPr>
          <w:i/>
          <w:iCs/>
        </w:rPr>
        <w:t>i.e.</w:t>
      </w:r>
      <w:r w:rsidR="00095912">
        <w:t xml:space="preserve"> measurements that were </w:t>
      </w:r>
      <w:r w:rsidR="00F4349B">
        <w:t>not needed or performed for the</w:t>
      </w:r>
      <w:r w:rsidR="00095912">
        <w:t xml:space="preserve"> purpo</w:t>
      </w:r>
      <w:r w:rsidR="00F4349B">
        <w:t>ses of that</w:t>
      </w:r>
      <w:r w:rsidR="00095912">
        <w:t xml:space="preserve"> </w:t>
      </w:r>
      <w:r w:rsidR="00170A47">
        <w:t>literature data</w:t>
      </w:r>
      <w:r w:rsidR="00095912">
        <w:t xml:space="preserve">. </w:t>
      </w:r>
      <w:r w:rsidR="00F4349B">
        <w:t>Excluding</w:t>
      </w:r>
      <w:r w:rsidR="00095912">
        <w:t xml:space="preserve"> these from analysis (</w:t>
      </w:r>
      <w:r w:rsidR="00F4349B">
        <w:t>missing predictor</w:t>
      </w:r>
      <w:r w:rsidR="00095912">
        <w:t xml:space="preserve"> </w:t>
      </w:r>
      <w:r w:rsidR="00F4349B">
        <w:t xml:space="preserve">impact </w:t>
      </w:r>
      <w:r w:rsidR="00095912">
        <w:t xml:space="preserve">is beyond </w:t>
      </w:r>
      <w:r w:rsidR="00F4349B">
        <w:t xml:space="preserve">present work </w:t>
      </w:r>
      <w:r w:rsidR="00095912">
        <w:t>scope) leaves 36 runs (13 after averaging).</w:t>
      </w:r>
    </w:p>
    <w:p w14:paraId="4D76466A" w14:textId="199CB8FE" w:rsidR="00376A50" w:rsidRDefault="00376A50" w:rsidP="00376A50">
      <w:pPr>
        <w:pStyle w:val="Els-1storder-head"/>
      </w:pPr>
      <w:r>
        <w:t>Results and discussion</w:t>
      </w:r>
    </w:p>
    <w:tbl>
      <w:tblPr>
        <w:tblStyle w:val="TableGrid"/>
        <w:tblW w:w="7088"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3402"/>
        <w:gridCol w:w="142"/>
        <w:gridCol w:w="3402"/>
      </w:tblGrid>
      <w:tr w:rsidR="00EC40E5" w14:paraId="0693BA3B" w14:textId="77777777" w:rsidTr="00BB785C">
        <w:tc>
          <w:tcPr>
            <w:tcW w:w="142" w:type="dxa"/>
            <w:tcBorders>
              <w:top w:val="single" w:sz="4" w:space="0" w:color="auto"/>
              <w:bottom w:val="single" w:sz="4" w:space="0" w:color="auto"/>
            </w:tcBorders>
          </w:tcPr>
          <w:p w14:paraId="57CA07A5" w14:textId="77777777" w:rsidR="00EC40E5" w:rsidRPr="00526C29" w:rsidRDefault="00EC40E5" w:rsidP="001C376E">
            <w:pPr>
              <w:pStyle w:val="Caption"/>
              <w:framePr w:w="7088" w:wrap="notBeside" w:hAnchor="margin" w:xAlign="center" w:yAlign="bottom"/>
              <w:spacing w:after="0"/>
              <w:jc w:val="center"/>
              <w:rPr>
                <w:b/>
                <w:bCs/>
                <w:lang w:val="en-GB" w:eastAsia="en-GB"/>
              </w:rPr>
            </w:pPr>
            <w:r>
              <w:rPr>
                <w:rFonts w:ascii="Times New Roman" w:hAnsi="Times New Roman" w:cs="Times New Roman"/>
                <w:b/>
                <w:bCs/>
                <w:noProof/>
                <w:lang w:val="en-GB" w:eastAsia="en-GB"/>
              </w:rPr>
              <w:t>A</w:t>
            </w:r>
          </w:p>
        </w:tc>
        <w:tc>
          <w:tcPr>
            <w:tcW w:w="3402" w:type="dxa"/>
            <w:tcBorders>
              <w:top w:val="single" w:sz="4" w:space="0" w:color="auto"/>
              <w:bottom w:val="single" w:sz="4" w:space="0" w:color="auto"/>
            </w:tcBorders>
          </w:tcPr>
          <w:p w14:paraId="7C941AA8" w14:textId="77777777" w:rsidR="00EC40E5" w:rsidRPr="00526C29" w:rsidRDefault="00EC40E5" w:rsidP="001C376E">
            <w:pPr>
              <w:pStyle w:val="Caption"/>
              <w:framePr w:w="7088" w:wrap="notBeside" w:hAnchor="margin" w:xAlign="center" w:yAlign="bottom"/>
              <w:spacing w:after="0"/>
              <w:jc w:val="center"/>
              <w:rPr>
                <w:rFonts w:ascii="Times New Roman" w:hAnsi="Times New Roman" w:cs="Times New Roman"/>
                <w:b/>
                <w:bCs/>
                <w:lang w:val="en-GB" w:eastAsia="en-GB"/>
              </w:rPr>
            </w:pPr>
            <w:r w:rsidRPr="00095912">
              <w:rPr>
                <w:b/>
                <w:bCs/>
                <w:noProof/>
                <w:lang w:val="en-GB" w:eastAsia="en-GB"/>
              </w:rPr>
              <w:drawing>
                <wp:inline distT="0" distB="0" distL="0" distR="0" wp14:anchorId="211512A3" wp14:editId="4078C9DC">
                  <wp:extent cx="2160000" cy="2019928"/>
                  <wp:effectExtent l="0" t="0" r="0" b="0"/>
                  <wp:docPr id="8546476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extLst>
                              <a:ext uri="{28A0092B-C50C-407E-A947-70E740481C1C}">
                                <a14:useLocalDpi xmlns:a14="http://schemas.microsoft.com/office/drawing/2010/main" val="0"/>
                              </a:ext>
                            </a:extLst>
                          </a:blip>
                          <a:srcRect t="6486"/>
                          <a:stretch/>
                        </pic:blipFill>
                        <pic:spPr bwMode="auto">
                          <a:xfrm>
                            <a:off x="0" y="0"/>
                            <a:ext cx="2160000" cy="20199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2" w:type="dxa"/>
            <w:tcBorders>
              <w:top w:val="single" w:sz="4" w:space="0" w:color="auto"/>
              <w:bottom w:val="single" w:sz="4" w:space="0" w:color="auto"/>
            </w:tcBorders>
          </w:tcPr>
          <w:p w14:paraId="58CF9771" w14:textId="77777777" w:rsidR="00EC40E5" w:rsidRPr="00526C29" w:rsidRDefault="00EC40E5" w:rsidP="001C376E">
            <w:pPr>
              <w:pStyle w:val="Caption"/>
              <w:framePr w:w="7088" w:wrap="notBeside" w:hAnchor="margin" w:xAlign="center" w:yAlign="bottom"/>
              <w:spacing w:after="0"/>
              <w:jc w:val="center"/>
              <w:rPr>
                <w:b/>
                <w:bCs/>
              </w:rPr>
            </w:pPr>
            <w:r>
              <w:rPr>
                <w:rFonts w:ascii="Times New Roman" w:hAnsi="Times New Roman" w:cs="Times New Roman"/>
                <w:b/>
                <w:bCs/>
                <w:noProof/>
              </w:rPr>
              <w:t>B</w:t>
            </w:r>
          </w:p>
        </w:tc>
        <w:tc>
          <w:tcPr>
            <w:tcW w:w="3402" w:type="dxa"/>
            <w:tcBorders>
              <w:top w:val="single" w:sz="4" w:space="0" w:color="auto"/>
              <w:bottom w:val="single" w:sz="4" w:space="0" w:color="auto"/>
            </w:tcBorders>
          </w:tcPr>
          <w:p w14:paraId="2EF19FFF" w14:textId="77777777" w:rsidR="00EC40E5" w:rsidRPr="00526C29" w:rsidRDefault="00EC40E5" w:rsidP="001C376E">
            <w:pPr>
              <w:pStyle w:val="Caption"/>
              <w:framePr w:w="7088" w:wrap="notBeside" w:hAnchor="margin" w:xAlign="center" w:yAlign="bottom"/>
              <w:spacing w:after="0"/>
              <w:jc w:val="center"/>
              <w:rPr>
                <w:rFonts w:ascii="Times New Roman" w:hAnsi="Times New Roman" w:cs="Times New Roman"/>
                <w:b/>
                <w:bCs/>
              </w:rPr>
            </w:pPr>
            <w:r w:rsidRPr="00095912">
              <w:rPr>
                <w:b/>
                <w:bCs/>
                <w:noProof/>
                <w:lang w:val="en-GB" w:eastAsia="en-GB"/>
              </w:rPr>
              <w:drawing>
                <wp:inline distT="0" distB="0" distL="0" distR="0" wp14:anchorId="76B5C335" wp14:editId="360ED02D">
                  <wp:extent cx="2160000" cy="2013951"/>
                  <wp:effectExtent l="0" t="0" r="0" b="5715"/>
                  <wp:docPr id="14041719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a:extLst>
                              <a:ext uri="{28A0092B-C50C-407E-A947-70E740481C1C}">
                                <a14:useLocalDpi xmlns:a14="http://schemas.microsoft.com/office/drawing/2010/main" val="0"/>
                              </a:ext>
                            </a:extLst>
                          </a:blip>
                          <a:srcRect t="6762"/>
                          <a:stretch/>
                        </pic:blipFill>
                        <pic:spPr bwMode="auto">
                          <a:xfrm>
                            <a:off x="0" y="0"/>
                            <a:ext cx="2160000" cy="20139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40E5" w14:paraId="225B4483" w14:textId="77777777" w:rsidTr="00F6550A">
        <w:tc>
          <w:tcPr>
            <w:tcW w:w="7088" w:type="dxa"/>
            <w:gridSpan w:val="4"/>
            <w:tcBorders>
              <w:top w:val="single" w:sz="4" w:space="0" w:color="auto"/>
              <w:bottom w:val="single" w:sz="4" w:space="0" w:color="auto"/>
            </w:tcBorders>
          </w:tcPr>
          <w:p w14:paraId="6C5C0C93" w14:textId="086C2279" w:rsidR="00EC40E5" w:rsidRPr="00AA561A" w:rsidRDefault="00EC40E5" w:rsidP="001C376E">
            <w:pPr>
              <w:pStyle w:val="Caption"/>
              <w:framePr w:w="7088" w:wrap="notBeside" w:hAnchor="margin" w:xAlign="center" w:yAlign="bottom"/>
              <w:jc w:val="both"/>
              <w:rPr>
                <w:rFonts w:ascii="Times New Roman" w:hAnsi="Times New Roman" w:cs="Times New Roman"/>
                <w:szCs w:val="18"/>
              </w:rPr>
            </w:pPr>
            <w:bookmarkStart w:id="2" w:name="_Ref150533107"/>
            <w:r w:rsidRPr="00AA561A">
              <w:rPr>
                <w:rFonts w:ascii="Times New Roman" w:hAnsi="Times New Roman" w:cs="Times New Roman"/>
                <w:b/>
                <w:bCs/>
              </w:rPr>
              <w:t xml:space="preserve">Figure </w:t>
            </w:r>
            <w:r w:rsidRPr="00AA561A">
              <w:rPr>
                <w:b/>
                <w:bCs/>
              </w:rPr>
              <w:fldChar w:fldCharType="begin"/>
            </w:r>
            <w:r w:rsidRPr="00AA561A">
              <w:rPr>
                <w:rFonts w:ascii="Times New Roman" w:hAnsi="Times New Roman" w:cs="Times New Roman"/>
                <w:b/>
                <w:bCs/>
              </w:rPr>
              <w:instrText xml:space="preserve"> SEQ Figure \* ARABIC </w:instrText>
            </w:r>
            <w:r w:rsidRPr="00AA561A">
              <w:rPr>
                <w:b/>
                <w:bCs/>
              </w:rPr>
              <w:fldChar w:fldCharType="separate"/>
            </w:r>
            <w:r w:rsidR="00870C7B">
              <w:rPr>
                <w:rFonts w:ascii="Times New Roman" w:hAnsi="Times New Roman" w:cs="Times New Roman"/>
                <w:b/>
                <w:bCs/>
                <w:noProof/>
              </w:rPr>
              <w:t>2</w:t>
            </w:r>
            <w:r w:rsidRPr="00AA561A">
              <w:rPr>
                <w:b/>
                <w:bCs/>
              </w:rPr>
              <w:fldChar w:fldCharType="end"/>
            </w:r>
            <w:bookmarkEnd w:id="2"/>
            <w:r w:rsidRPr="00AA561A">
              <w:rPr>
                <w:rFonts w:ascii="Times New Roman" w:hAnsi="Times New Roman" w:cs="Times New Roman"/>
                <w:b/>
                <w:bCs/>
              </w:rPr>
              <w:t>.</w:t>
            </w:r>
            <w:r w:rsidRPr="00AA561A">
              <w:rPr>
                <w:rFonts w:ascii="Times New Roman" w:hAnsi="Times New Roman" w:cs="Times New Roman"/>
              </w:rPr>
              <w:t xml:space="preserve"> </w:t>
            </w:r>
            <w:r>
              <w:rPr>
                <w:rFonts w:ascii="Times New Roman" w:hAnsi="Times New Roman" w:cs="Times New Roman"/>
              </w:rPr>
              <w:t>T</w:t>
            </w:r>
            <w:r w:rsidRPr="00095912">
              <w:rPr>
                <w:rFonts w:ascii="Times New Roman" w:hAnsi="Times New Roman" w:cs="Times New Roman"/>
              </w:rPr>
              <w:t>raining</w:t>
            </w:r>
            <w:r>
              <w:rPr>
                <w:rFonts w:ascii="Times New Roman" w:hAnsi="Times New Roman" w:cs="Times New Roman"/>
              </w:rPr>
              <w:t xml:space="preserve"> (A) and testing (B) for </w:t>
            </w:r>
            <w:r>
              <w:rPr>
                <w:rFonts w:ascii="Times New Roman" w:hAnsi="Times New Roman" w:cs="Times New Roman"/>
                <w:i/>
                <w:iCs/>
              </w:rPr>
              <w:t>ff</w:t>
            </w:r>
            <w:r>
              <w:rPr>
                <w:rFonts w:ascii="Times New Roman" w:hAnsi="Times New Roman" w:cs="Times New Roman"/>
                <w:i/>
                <w:iCs/>
                <w:vertAlign w:val="subscript"/>
              </w:rPr>
              <w:t>max</w:t>
            </w:r>
            <w:r w:rsidRPr="00AC55FB">
              <w:rPr>
                <w:rFonts w:ascii="Times New Roman" w:hAnsi="Times New Roman" w:cs="Times New Roman"/>
              </w:rPr>
              <w:t>.</w:t>
            </w:r>
            <w:r>
              <w:rPr>
                <w:rFonts w:ascii="Times New Roman" w:hAnsi="Times New Roman" w:cs="Times New Roman"/>
                <w:szCs w:val="18"/>
              </w:rPr>
              <w:t xml:space="preserve"> Unaveraged data</w:t>
            </w:r>
            <w:r w:rsidR="00E270F5">
              <w:rPr>
                <w:rFonts w:ascii="Times New Roman" w:hAnsi="Times New Roman" w:cs="Times New Roman"/>
                <w:szCs w:val="18"/>
              </w:rPr>
              <w:t xml:space="preserve"> </w:t>
            </w:r>
            <w:r>
              <w:rPr>
                <w:rFonts w:ascii="Times New Roman" w:hAnsi="Times New Roman" w:cs="Times New Roman"/>
                <w:szCs w:val="18"/>
              </w:rPr>
              <w:t>points are shown in a lighter shade.</w:t>
            </w:r>
          </w:p>
        </w:tc>
      </w:tr>
    </w:tbl>
    <w:p w14:paraId="7E83E4CF" w14:textId="45DFBE24" w:rsidR="00376A50" w:rsidRDefault="00571057" w:rsidP="008D2649">
      <w:pPr>
        <w:pStyle w:val="Els-body-text"/>
      </w:pPr>
      <w:r>
        <w:t xml:space="preserve">Accuracy targets represent practical considerations for feeder operation: for </w:t>
      </w:r>
      <w:r>
        <w:rPr>
          <w:i/>
          <w:iCs/>
        </w:rPr>
        <w:t>ff</w:t>
      </w:r>
      <w:r>
        <w:rPr>
          <w:i/>
          <w:iCs/>
          <w:vertAlign w:val="subscript"/>
        </w:rPr>
        <w:t>max</w:t>
      </w:r>
      <w:r>
        <w:t xml:space="preserve"> the target was ±0.2 g/rev up to 1.0 g/rev and ±20 % thereafter. For </w:t>
      </w:r>
      <w:r w:rsidRPr="00571057">
        <w:rPr>
          <w:i/>
          <w:iCs/>
        </w:rPr>
        <w:t>β</w:t>
      </w:r>
      <w:r>
        <w:t xml:space="preserve"> the target was accuracy such that the location of a 10 % drop from </w:t>
      </w:r>
      <w:r>
        <w:rPr>
          <w:i/>
          <w:iCs/>
        </w:rPr>
        <w:t>ff</w:t>
      </w:r>
      <w:r>
        <w:rPr>
          <w:i/>
          <w:iCs/>
          <w:vertAlign w:val="subscript"/>
        </w:rPr>
        <w:t>max</w:t>
      </w:r>
      <w:r>
        <w:t xml:space="preserve"> is within </w:t>
      </w:r>
      <w:r w:rsidRPr="00571057">
        <w:t>± 50</w:t>
      </w:r>
      <w:r>
        <w:t xml:space="preserve"> </w:t>
      </w:r>
      <w:r w:rsidRPr="00571057">
        <w:t>g</w:t>
      </w:r>
      <w:r>
        <w:t xml:space="preserve"> in terms of hopper contents (this represents different thresholds depending on hopper volume and material density).</w:t>
      </w:r>
    </w:p>
    <w:p w14:paraId="42722F8E" w14:textId="77777777" w:rsidR="00571057" w:rsidRDefault="00571057" w:rsidP="008D2649">
      <w:pPr>
        <w:pStyle w:val="Els-body-text"/>
      </w:pPr>
    </w:p>
    <w:p w14:paraId="11896259" w14:textId="2564F301" w:rsidR="00571057" w:rsidRDefault="00571057" w:rsidP="008D2649">
      <w:pPr>
        <w:pStyle w:val="Els-body-text"/>
      </w:pPr>
      <w:r>
        <w:t xml:space="preserve">The Machine Learning model for </w:t>
      </w:r>
      <w:r>
        <w:rPr>
          <w:i/>
          <w:iCs/>
        </w:rPr>
        <w:t>ff</w:t>
      </w:r>
      <w:r>
        <w:rPr>
          <w:i/>
          <w:iCs/>
          <w:vertAlign w:val="subscript"/>
        </w:rPr>
        <w:t>max</w:t>
      </w:r>
      <w:r>
        <w:t xml:space="preserve"> has been trained such that 90.2 % of the training </w:t>
      </w:r>
      <w:r w:rsidR="00E270F5">
        <w:t>data point</w:t>
      </w:r>
      <w:r>
        <w:t>s are within the accuracy targets</w:t>
      </w:r>
      <w:r w:rsidR="001B0B90">
        <w:t xml:space="preserve"> </w:t>
      </w:r>
      <w:r w:rsidR="001B0B90" w:rsidRPr="001B0B90">
        <w:t>(</w:t>
      </w:r>
      <w:r w:rsidR="001B0B90" w:rsidRPr="001B0B90">
        <w:fldChar w:fldCharType="begin"/>
      </w:r>
      <w:r w:rsidR="001B0B90" w:rsidRPr="001B0B90">
        <w:instrText xml:space="preserve"> REF _Ref150533107 \h  \* MERGEFORMAT </w:instrText>
      </w:r>
      <w:r w:rsidR="001B0B90" w:rsidRPr="001B0B90">
        <w:fldChar w:fldCharType="separate"/>
      </w:r>
      <w:r w:rsidR="00870C7B" w:rsidRPr="00870C7B">
        <w:t xml:space="preserve">Figure </w:t>
      </w:r>
      <w:r w:rsidR="00870C7B" w:rsidRPr="00870C7B">
        <w:rPr>
          <w:noProof/>
        </w:rPr>
        <w:t>2</w:t>
      </w:r>
      <w:r w:rsidR="001B0B90" w:rsidRPr="001B0B90">
        <w:fldChar w:fldCharType="end"/>
      </w:r>
      <w:r w:rsidR="001B0B90" w:rsidRPr="001B0B90">
        <w:t>)</w:t>
      </w:r>
      <w:r w:rsidRPr="001B0B90">
        <w:t>.</w:t>
      </w:r>
      <w:r>
        <w:t xml:space="preserve"> In general it was easier to train materials in the base dataset (primarily excipients) than it is for literature data materials (primarily proprietary APIs). The most important predictor is ideal feed factor, the product of screw capacity and bulk density. </w:t>
      </w:r>
      <w:r w:rsidR="001B0B90">
        <w:t xml:space="preserve">In testing, a majority (11/13) </w:t>
      </w:r>
      <w:r w:rsidR="00E270F5">
        <w:t>data point</w:t>
      </w:r>
      <w:r w:rsidR="001B0B90">
        <w:t xml:space="preserve">s were within the accuracy targets of ±0.2 g/rev or ±20 % (whichever greater). The cases that </w:t>
      </w:r>
      <w:r w:rsidR="001B0B90">
        <w:lastRenderedPageBreak/>
        <w:t>fell outside the accuracy targets (although only barely outside) were from the literature data, mirroring the more challenging training agreement of this dataset.</w:t>
      </w:r>
    </w:p>
    <w:p w14:paraId="29BA2D2D" w14:textId="77777777" w:rsidR="00571057" w:rsidRPr="00571057" w:rsidRDefault="00571057" w:rsidP="008D2649">
      <w:pPr>
        <w:pStyle w:val="Els-body-text"/>
      </w:pPr>
    </w:p>
    <w:tbl>
      <w:tblPr>
        <w:tblStyle w:val="TableGrid"/>
        <w:tblW w:w="7088"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0"/>
        <w:gridCol w:w="677"/>
        <w:gridCol w:w="677"/>
        <w:gridCol w:w="678"/>
        <w:gridCol w:w="678"/>
        <w:gridCol w:w="678"/>
        <w:gridCol w:w="678"/>
        <w:gridCol w:w="678"/>
        <w:gridCol w:w="678"/>
        <w:gridCol w:w="678"/>
        <w:gridCol w:w="678"/>
      </w:tblGrid>
      <w:tr w:rsidR="0031780F" w:rsidRPr="001F1CA3" w14:paraId="70428884" w14:textId="77777777" w:rsidTr="001C376E">
        <w:trPr>
          <w:cantSplit/>
          <w:trHeight w:val="567"/>
        </w:trPr>
        <w:tc>
          <w:tcPr>
            <w:tcW w:w="310" w:type="dxa"/>
            <w:vMerge w:val="restart"/>
            <w:tcBorders>
              <w:top w:val="single" w:sz="4" w:space="0" w:color="auto"/>
              <w:bottom w:val="nil"/>
              <w:right w:val="nil"/>
            </w:tcBorders>
            <w:textDirection w:val="btLr"/>
            <w:vAlign w:val="center"/>
          </w:tcPr>
          <w:p w14:paraId="74D10821" w14:textId="77777777" w:rsidR="0031780F" w:rsidRPr="001F1CA3" w:rsidRDefault="0031780F" w:rsidP="001C376E">
            <w:pPr>
              <w:pStyle w:val="Caption"/>
              <w:framePr w:w="7088" w:wrap="notBeside" w:hAnchor="page" w:x="2445" w:yAlign="top"/>
              <w:spacing w:before="0" w:after="0"/>
              <w:ind w:left="113" w:right="113"/>
              <w:jc w:val="center"/>
              <w:rPr>
                <w:rFonts w:ascii="Times New Roman" w:hAnsi="Times New Roman" w:cs="Times New Roman"/>
                <w:noProof/>
                <w:szCs w:val="18"/>
              </w:rPr>
            </w:pPr>
            <w:r w:rsidRPr="001F1CA3">
              <w:rPr>
                <w:rFonts w:ascii="Times New Roman" w:hAnsi="Times New Roman" w:cs="Times New Roman"/>
                <w:noProof/>
                <w:szCs w:val="18"/>
              </w:rPr>
              <w:t>True class</w:t>
            </w:r>
          </w:p>
        </w:tc>
        <w:tc>
          <w:tcPr>
            <w:tcW w:w="677" w:type="dxa"/>
            <w:tcBorders>
              <w:top w:val="single" w:sz="4" w:space="0" w:color="auto"/>
              <w:left w:val="nil"/>
              <w:bottom w:val="nil"/>
              <w:right w:val="single" w:sz="4" w:space="0" w:color="auto"/>
            </w:tcBorders>
            <w:vAlign w:val="center"/>
          </w:tcPr>
          <w:p w14:paraId="1231E103"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r w:rsidRPr="001F1CA3">
              <w:rPr>
                <w:rFonts w:ascii="Times New Roman" w:hAnsi="Times New Roman" w:cs="Times New Roman"/>
                <w:noProof/>
                <w:szCs w:val="18"/>
              </w:rPr>
              <w:t>Class 15</w:t>
            </w:r>
          </w:p>
        </w:tc>
        <w:tc>
          <w:tcPr>
            <w:tcW w:w="677" w:type="dxa"/>
            <w:tcBorders>
              <w:top w:val="single" w:sz="4" w:space="0" w:color="auto"/>
              <w:left w:val="single" w:sz="4" w:space="0" w:color="auto"/>
              <w:bottom w:val="single" w:sz="4" w:space="0" w:color="BFBFBF" w:themeColor="background1" w:themeShade="BF"/>
              <w:right w:val="single" w:sz="4" w:space="0" w:color="BFBFBF" w:themeColor="background1" w:themeShade="BF"/>
            </w:tcBorders>
            <w:vAlign w:val="center"/>
          </w:tcPr>
          <w:p w14:paraId="1E91EFDB"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5</w:t>
            </w: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B6E2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4</w:t>
            </w: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1CCA"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1</w:t>
            </w: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623656AF"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1</w:t>
            </w:r>
          </w:p>
        </w:tc>
        <w:tc>
          <w:tcPr>
            <w:tcW w:w="678" w:type="dxa"/>
            <w:tcBorders>
              <w:top w:val="single" w:sz="4" w:space="0" w:color="auto"/>
              <w:left w:val="single" w:sz="4" w:space="0" w:color="auto"/>
              <w:bottom w:val="nil"/>
              <w:right w:val="single" w:sz="4" w:space="0" w:color="auto"/>
            </w:tcBorders>
            <w:vAlign w:val="center"/>
          </w:tcPr>
          <w:p w14:paraId="59A86797"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b/>
                <w:bCs/>
                <w:noProof/>
                <w:szCs w:val="18"/>
              </w:rPr>
            </w:pPr>
            <w:r w:rsidRPr="001F1CA3">
              <w:rPr>
                <w:rFonts w:ascii="Times New Roman" w:hAnsi="Times New Roman" w:cs="Times New Roman"/>
                <w:noProof/>
                <w:szCs w:val="18"/>
              </w:rPr>
              <w:t>Class 15</w:t>
            </w:r>
          </w:p>
        </w:tc>
        <w:tc>
          <w:tcPr>
            <w:tcW w:w="678" w:type="dxa"/>
            <w:tcBorders>
              <w:top w:val="single" w:sz="4" w:space="0" w:color="auto"/>
              <w:left w:val="single" w:sz="4" w:space="0" w:color="auto"/>
              <w:bottom w:val="single" w:sz="4" w:space="0" w:color="BFBFBF" w:themeColor="background1" w:themeShade="BF"/>
              <w:right w:val="single" w:sz="4" w:space="0" w:color="BFBFBF" w:themeColor="background1" w:themeShade="BF"/>
            </w:tcBorders>
            <w:vAlign w:val="center"/>
          </w:tcPr>
          <w:p w14:paraId="2C9AFAE7"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982ABC"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C5EB0"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07B97177"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r>
      <w:tr w:rsidR="0031780F" w:rsidRPr="001F1CA3" w14:paraId="32BA0883" w14:textId="77777777" w:rsidTr="001C376E">
        <w:trPr>
          <w:cantSplit/>
          <w:trHeight w:val="567"/>
        </w:trPr>
        <w:tc>
          <w:tcPr>
            <w:tcW w:w="310" w:type="dxa"/>
            <w:vMerge/>
            <w:tcBorders>
              <w:top w:val="nil"/>
              <w:bottom w:val="nil"/>
              <w:right w:val="nil"/>
            </w:tcBorders>
          </w:tcPr>
          <w:p w14:paraId="437C2930"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p>
        </w:tc>
        <w:tc>
          <w:tcPr>
            <w:tcW w:w="677" w:type="dxa"/>
            <w:tcBorders>
              <w:top w:val="nil"/>
              <w:left w:val="nil"/>
              <w:bottom w:val="nil"/>
              <w:right w:val="single" w:sz="4" w:space="0" w:color="auto"/>
            </w:tcBorders>
            <w:vAlign w:val="center"/>
          </w:tcPr>
          <w:p w14:paraId="0D44EC62"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r w:rsidRPr="001F1CA3">
              <w:rPr>
                <w:rFonts w:ascii="Times New Roman" w:hAnsi="Times New Roman" w:cs="Times New Roman"/>
                <w:noProof/>
                <w:szCs w:val="18"/>
              </w:rPr>
              <w:t>Class 10</w:t>
            </w:r>
          </w:p>
        </w:tc>
        <w:tc>
          <w:tcPr>
            <w:tcW w:w="677"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282D2C31"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6</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51D4E"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80</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421A72"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1</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DFD4A7A"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4</w:t>
            </w:r>
          </w:p>
        </w:tc>
        <w:tc>
          <w:tcPr>
            <w:tcW w:w="678" w:type="dxa"/>
            <w:tcBorders>
              <w:top w:val="nil"/>
              <w:left w:val="single" w:sz="4" w:space="0" w:color="auto"/>
              <w:bottom w:val="nil"/>
              <w:right w:val="single" w:sz="4" w:space="0" w:color="auto"/>
            </w:tcBorders>
            <w:vAlign w:val="center"/>
          </w:tcPr>
          <w:p w14:paraId="691EF399"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b/>
                <w:bCs/>
                <w:noProof/>
                <w:szCs w:val="18"/>
              </w:rPr>
            </w:pPr>
            <w:r w:rsidRPr="001F1CA3">
              <w:rPr>
                <w:rFonts w:ascii="Times New Roman" w:hAnsi="Times New Roman" w:cs="Times New Roman"/>
                <w:noProof/>
                <w:szCs w:val="18"/>
              </w:rPr>
              <w:t>Class 10</w:t>
            </w:r>
          </w:p>
        </w:tc>
        <w:tc>
          <w:tcPr>
            <w:tcW w:w="678"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63742725"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0EAC3A"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6</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21B98"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3</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61946B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r>
      <w:tr w:rsidR="0031780F" w:rsidRPr="001F1CA3" w14:paraId="5B82BA34" w14:textId="77777777" w:rsidTr="001C376E">
        <w:trPr>
          <w:cantSplit/>
          <w:trHeight w:val="567"/>
        </w:trPr>
        <w:tc>
          <w:tcPr>
            <w:tcW w:w="310" w:type="dxa"/>
            <w:vMerge/>
            <w:tcBorders>
              <w:top w:val="nil"/>
              <w:bottom w:val="nil"/>
              <w:right w:val="nil"/>
            </w:tcBorders>
          </w:tcPr>
          <w:p w14:paraId="25E54802"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p>
        </w:tc>
        <w:tc>
          <w:tcPr>
            <w:tcW w:w="677" w:type="dxa"/>
            <w:tcBorders>
              <w:top w:val="nil"/>
              <w:left w:val="nil"/>
              <w:bottom w:val="nil"/>
              <w:right w:val="single" w:sz="4" w:space="0" w:color="auto"/>
            </w:tcBorders>
            <w:vAlign w:val="center"/>
          </w:tcPr>
          <w:p w14:paraId="680833F7"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r w:rsidRPr="001F1CA3">
              <w:rPr>
                <w:rFonts w:ascii="Times New Roman" w:hAnsi="Times New Roman" w:cs="Times New Roman"/>
                <w:noProof/>
                <w:szCs w:val="18"/>
              </w:rPr>
              <w:t>Class 5</w:t>
            </w:r>
          </w:p>
        </w:tc>
        <w:tc>
          <w:tcPr>
            <w:tcW w:w="677"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1DBE704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5728A"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67D47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114</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84E2215"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1</w:t>
            </w:r>
          </w:p>
        </w:tc>
        <w:tc>
          <w:tcPr>
            <w:tcW w:w="678" w:type="dxa"/>
            <w:tcBorders>
              <w:top w:val="nil"/>
              <w:left w:val="single" w:sz="4" w:space="0" w:color="auto"/>
              <w:bottom w:val="nil"/>
              <w:right w:val="single" w:sz="4" w:space="0" w:color="auto"/>
            </w:tcBorders>
            <w:vAlign w:val="center"/>
          </w:tcPr>
          <w:p w14:paraId="187E6576"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b/>
                <w:bCs/>
                <w:noProof/>
                <w:szCs w:val="18"/>
              </w:rPr>
            </w:pPr>
            <w:r w:rsidRPr="001F1CA3">
              <w:rPr>
                <w:rFonts w:ascii="Times New Roman" w:hAnsi="Times New Roman" w:cs="Times New Roman"/>
                <w:noProof/>
                <w:szCs w:val="18"/>
              </w:rPr>
              <w:t>Class 5</w:t>
            </w:r>
          </w:p>
        </w:tc>
        <w:tc>
          <w:tcPr>
            <w:tcW w:w="678"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44070D9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09299"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4DB62"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4</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5013CB5"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r>
      <w:tr w:rsidR="0031780F" w:rsidRPr="001F1CA3" w14:paraId="65226907" w14:textId="77777777" w:rsidTr="001C376E">
        <w:trPr>
          <w:cantSplit/>
          <w:trHeight w:val="567"/>
        </w:trPr>
        <w:tc>
          <w:tcPr>
            <w:tcW w:w="310" w:type="dxa"/>
            <w:vMerge/>
            <w:tcBorders>
              <w:top w:val="nil"/>
              <w:bottom w:val="nil"/>
              <w:right w:val="nil"/>
            </w:tcBorders>
          </w:tcPr>
          <w:p w14:paraId="412E3D8C"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p>
        </w:tc>
        <w:tc>
          <w:tcPr>
            <w:tcW w:w="677" w:type="dxa"/>
            <w:tcBorders>
              <w:top w:val="nil"/>
              <w:left w:val="nil"/>
              <w:bottom w:val="nil"/>
              <w:right w:val="single" w:sz="4" w:space="0" w:color="auto"/>
            </w:tcBorders>
            <w:vAlign w:val="center"/>
          </w:tcPr>
          <w:p w14:paraId="25FC09D7"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r w:rsidRPr="001F1CA3">
              <w:rPr>
                <w:rFonts w:ascii="Times New Roman" w:hAnsi="Times New Roman" w:cs="Times New Roman"/>
                <w:noProof/>
                <w:szCs w:val="18"/>
              </w:rPr>
              <w:t>Class 1</w:t>
            </w:r>
          </w:p>
        </w:tc>
        <w:tc>
          <w:tcPr>
            <w:tcW w:w="677" w:type="dxa"/>
            <w:tcBorders>
              <w:top w:val="single" w:sz="4" w:space="0" w:color="BFBFBF" w:themeColor="background1" w:themeShade="BF"/>
              <w:left w:val="single" w:sz="4" w:space="0" w:color="auto"/>
              <w:bottom w:val="single" w:sz="4" w:space="0" w:color="auto"/>
              <w:right w:val="single" w:sz="4" w:space="0" w:color="BFBFBF" w:themeColor="background1" w:themeShade="BF"/>
            </w:tcBorders>
            <w:vAlign w:val="center"/>
          </w:tcPr>
          <w:p w14:paraId="511238BF"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4317E7B4"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0720C8F3"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3</w:t>
            </w: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0FC9BC9D"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27</w:t>
            </w:r>
          </w:p>
        </w:tc>
        <w:tc>
          <w:tcPr>
            <w:tcW w:w="678" w:type="dxa"/>
            <w:tcBorders>
              <w:top w:val="nil"/>
              <w:left w:val="single" w:sz="4" w:space="0" w:color="auto"/>
              <w:bottom w:val="nil"/>
              <w:right w:val="single" w:sz="4" w:space="0" w:color="auto"/>
            </w:tcBorders>
            <w:vAlign w:val="center"/>
          </w:tcPr>
          <w:p w14:paraId="49559E90"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b/>
                <w:bCs/>
                <w:noProof/>
                <w:szCs w:val="18"/>
              </w:rPr>
            </w:pPr>
            <w:r w:rsidRPr="001F1CA3">
              <w:rPr>
                <w:rFonts w:ascii="Times New Roman" w:hAnsi="Times New Roman" w:cs="Times New Roman"/>
                <w:noProof/>
                <w:szCs w:val="18"/>
              </w:rPr>
              <w:t>Class 1</w:t>
            </w:r>
          </w:p>
        </w:tc>
        <w:tc>
          <w:tcPr>
            <w:tcW w:w="678" w:type="dxa"/>
            <w:tcBorders>
              <w:top w:val="single" w:sz="4" w:space="0" w:color="BFBFBF" w:themeColor="background1" w:themeShade="BF"/>
              <w:left w:val="single" w:sz="4" w:space="0" w:color="auto"/>
              <w:bottom w:val="single" w:sz="4" w:space="0" w:color="auto"/>
              <w:right w:val="single" w:sz="4" w:space="0" w:color="BFBFBF" w:themeColor="background1" w:themeShade="BF"/>
            </w:tcBorders>
            <w:vAlign w:val="center"/>
          </w:tcPr>
          <w:p w14:paraId="74B0D7BF"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3F51A7A2"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3A98C566"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11D9A1D7"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r>
      <w:tr w:rsidR="0031780F" w:rsidRPr="001F1CA3" w14:paraId="4C315B87" w14:textId="77777777" w:rsidTr="001C376E">
        <w:trPr>
          <w:trHeight w:val="149"/>
        </w:trPr>
        <w:tc>
          <w:tcPr>
            <w:tcW w:w="310" w:type="dxa"/>
            <w:tcBorders>
              <w:top w:val="nil"/>
              <w:bottom w:val="nil"/>
            </w:tcBorders>
          </w:tcPr>
          <w:p w14:paraId="74242D06"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p>
        </w:tc>
        <w:tc>
          <w:tcPr>
            <w:tcW w:w="677" w:type="dxa"/>
            <w:tcBorders>
              <w:top w:val="nil"/>
              <w:bottom w:val="nil"/>
            </w:tcBorders>
          </w:tcPr>
          <w:p w14:paraId="2AE02635" w14:textId="77777777" w:rsidR="0031780F" w:rsidRPr="001F1CA3" w:rsidRDefault="0031780F" w:rsidP="001C376E">
            <w:pPr>
              <w:pStyle w:val="Caption"/>
              <w:framePr w:w="7088" w:wrap="notBeside" w:hAnchor="page" w:x="2445" w:yAlign="top"/>
              <w:spacing w:before="0" w:after="0"/>
              <w:jc w:val="right"/>
              <w:rPr>
                <w:rFonts w:ascii="Times New Roman" w:hAnsi="Times New Roman" w:cs="Times New Roman"/>
                <w:noProof/>
                <w:szCs w:val="18"/>
              </w:rPr>
            </w:pPr>
          </w:p>
        </w:tc>
        <w:tc>
          <w:tcPr>
            <w:tcW w:w="677" w:type="dxa"/>
            <w:tcBorders>
              <w:top w:val="single" w:sz="4" w:space="0" w:color="auto"/>
              <w:bottom w:val="nil"/>
              <w:right w:val="nil"/>
            </w:tcBorders>
          </w:tcPr>
          <w:p w14:paraId="74268FCD"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Class 15</w:t>
            </w:r>
          </w:p>
        </w:tc>
        <w:tc>
          <w:tcPr>
            <w:tcW w:w="678" w:type="dxa"/>
            <w:tcBorders>
              <w:top w:val="single" w:sz="4" w:space="0" w:color="auto"/>
              <w:left w:val="nil"/>
              <w:bottom w:val="nil"/>
              <w:right w:val="nil"/>
            </w:tcBorders>
          </w:tcPr>
          <w:p w14:paraId="06678F6E"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Class 10</w:t>
            </w:r>
          </w:p>
        </w:tc>
        <w:tc>
          <w:tcPr>
            <w:tcW w:w="678" w:type="dxa"/>
            <w:tcBorders>
              <w:top w:val="single" w:sz="4" w:space="0" w:color="auto"/>
              <w:left w:val="nil"/>
              <w:bottom w:val="nil"/>
              <w:right w:val="nil"/>
            </w:tcBorders>
          </w:tcPr>
          <w:p w14:paraId="4DF62E6D"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Class 5</w:t>
            </w:r>
          </w:p>
        </w:tc>
        <w:tc>
          <w:tcPr>
            <w:tcW w:w="678" w:type="dxa"/>
            <w:tcBorders>
              <w:top w:val="single" w:sz="4" w:space="0" w:color="auto"/>
              <w:left w:val="nil"/>
              <w:bottom w:val="nil"/>
            </w:tcBorders>
          </w:tcPr>
          <w:p w14:paraId="785FDFAA"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noProof/>
                <w:szCs w:val="18"/>
              </w:rPr>
            </w:pPr>
            <w:r w:rsidRPr="001F1CA3">
              <w:rPr>
                <w:rFonts w:ascii="Times New Roman" w:hAnsi="Times New Roman" w:cs="Times New Roman"/>
                <w:noProof/>
                <w:szCs w:val="18"/>
              </w:rPr>
              <w:t>Class 1</w:t>
            </w:r>
          </w:p>
        </w:tc>
        <w:tc>
          <w:tcPr>
            <w:tcW w:w="678" w:type="dxa"/>
            <w:tcBorders>
              <w:top w:val="nil"/>
              <w:bottom w:val="nil"/>
            </w:tcBorders>
          </w:tcPr>
          <w:p w14:paraId="11147552"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p>
        </w:tc>
        <w:tc>
          <w:tcPr>
            <w:tcW w:w="678" w:type="dxa"/>
            <w:tcBorders>
              <w:top w:val="single" w:sz="4" w:space="0" w:color="auto"/>
              <w:bottom w:val="nil"/>
              <w:right w:val="nil"/>
            </w:tcBorders>
          </w:tcPr>
          <w:p w14:paraId="58E5884E"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r w:rsidRPr="001F1CA3">
              <w:rPr>
                <w:rFonts w:ascii="Times New Roman" w:hAnsi="Times New Roman" w:cs="Times New Roman"/>
                <w:noProof/>
                <w:szCs w:val="18"/>
              </w:rPr>
              <w:t>Class 15</w:t>
            </w:r>
          </w:p>
        </w:tc>
        <w:tc>
          <w:tcPr>
            <w:tcW w:w="678" w:type="dxa"/>
            <w:tcBorders>
              <w:top w:val="single" w:sz="4" w:space="0" w:color="auto"/>
              <w:left w:val="nil"/>
              <w:bottom w:val="nil"/>
              <w:right w:val="nil"/>
            </w:tcBorders>
          </w:tcPr>
          <w:p w14:paraId="78AAF70B"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r w:rsidRPr="001F1CA3">
              <w:rPr>
                <w:rFonts w:ascii="Times New Roman" w:hAnsi="Times New Roman" w:cs="Times New Roman"/>
                <w:noProof/>
                <w:szCs w:val="18"/>
              </w:rPr>
              <w:t>Class 10</w:t>
            </w:r>
          </w:p>
        </w:tc>
        <w:tc>
          <w:tcPr>
            <w:tcW w:w="678" w:type="dxa"/>
            <w:tcBorders>
              <w:top w:val="single" w:sz="4" w:space="0" w:color="auto"/>
              <w:left w:val="nil"/>
              <w:bottom w:val="nil"/>
              <w:right w:val="nil"/>
            </w:tcBorders>
          </w:tcPr>
          <w:p w14:paraId="51D4519D"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r w:rsidRPr="001F1CA3">
              <w:rPr>
                <w:rFonts w:ascii="Times New Roman" w:hAnsi="Times New Roman" w:cs="Times New Roman"/>
                <w:noProof/>
                <w:szCs w:val="18"/>
              </w:rPr>
              <w:t>Class 5</w:t>
            </w:r>
          </w:p>
        </w:tc>
        <w:tc>
          <w:tcPr>
            <w:tcW w:w="678" w:type="dxa"/>
            <w:tcBorders>
              <w:top w:val="single" w:sz="4" w:space="0" w:color="auto"/>
              <w:left w:val="nil"/>
              <w:bottom w:val="nil"/>
            </w:tcBorders>
          </w:tcPr>
          <w:p w14:paraId="594BCE2C" w14:textId="77777777" w:rsidR="0031780F" w:rsidRPr="001F1CA3" w:rsidRDefault="0031780F" w:rsidP="001C376E">
            <w:pPr>
              <w:pStyle w:val="Caption"/>
              <w:framePr w:w="7088" w:wrap="notBeside" w:hAnchor="page" w:x="2445" w:yAlign="top"/>
              <w:spacing w:before="0" w:after="0"/>
              <w:jc w:val="center"/>
              <w:rPr>
                <w:rFonts w:ascii="Times New Roman" w:hAnsi="Times New Roman" w:cs="Times New Roman"/>
                <w:b/>
                <w:bCs/>
                <w:noProof/>
                <w:szCs w:val="18"/>
              </w:rPr>
            </w:pPr>
            <w:r w:rsidRPr="001F1CA3">
              <w:rPr>
                <w:rFonts w:ascii="Times New Roman" w:hAnsi="Times New Roman" w:cs="Times New Roman"/>
                <w:noProof/>
                <w:szCs w:val="18"/>
              </w:rPr>
              <w:t>Class 1</w:t>
            </w:r>
          </w:p>
        </w:tc>
      </w:tr>
      <w:tr w:rsidR="001C376E" w:rsidRPr="001F1CA3" w14:paraId="7398D108" w14:textId="77777777" w:rsidTr="007640D9">
        <w:trPr>
          <w:trHeight w:val="149"/>
        </w:trPr>
        <w:tc>
          <w:tcPr>
            <w:tcW w:w="310" w:type="dxa"/>
            <w:tcBorders>
              <w:top w:val="nil"/>
              <w:bottom w:val="single" w:sz="4" w:space="0" w:color="auto"/>
            </w:tcBorders>
          </w:tcPr>
          <w:p w14:paraId="792DA49C" w14:textId="77777777" w:rsidR="001C376E" w:rsidRPr="001F1CA3" w:rsidRDefault="001C376E" w:rsidP="001C376E">
            <w:pPr>
              <w:pStyle w:val="Caption"/>
              <w:framePr w:w="7088" w:wrap="notBeside" w:hAnchor="page" w:x="2445" w:yAlign="top"/>
              <w:spacing w:before="0" w:after="0"/>
              <w:jc w:val="right"/>
              <w:rPr>
                <w:noProof/>
                <w:szCs w:val="18"/>
              </w:rPr>
            </w:pPr>
          </w:p>
        </w:tc>
        <w:tc>
          <w:tcPr>
            <w:tcW w:w="677" w:type="dxa"/>
            <w:tcBorders>
              <w:top w:val="nil"/>
              <w:bottom w:val="single" w:sz="4" w:space="0" w:color="auto"/>
            </w:tcBorders>
          </w:tcPr>
          <w:p w14:paraId="6710E104" w14:textId="77777777" w:rsidR="001C376E" w:rsidRPr="001F1CA3" w:rsidRDefault="001C376E" w:rsidP="001C376E">
            <w:pPr>
              <w:pStyle w:val="Caption"/>
              <w:framePr w:w="7088" w:wrap="notBeside" w:hAnchor="page" w:x="2445" w:yAlign="top"/>
              <w:spacing w:before="0" w:after="0"/>
              <w:jc w:val="right"/>
              <w:rPr>
                <w:noProof/>
                <w:szCs w:val="18"/>
              </w:rPr>
            </w:pPr>
          </w:p>
        </w:tc>
        <w:tc>
          <w:tcPr>
            <w:tcW w:w="2711" w:type="dxa"/>
            <w:gridSpan w:val="4"/>
            <w:tcBorders>
              <w:top w:val="nil"/>
              <w:bottom w:val="single" w:sz="4" w:space="0" w:color="auto"/>
            </w:tcBorders>
          </w:tcPr>
          <w:p w14:paraId="4DCC0932" w14:textId="0A6643CE" w:rsidR="001C376E" w:rsidRPr="001C376E" w:rsidRDefault="001C376E" w:rsidP="001C376E">
            <w:pPr>
              <w:pStyle w:val="Caption"/>
              <w:framePr w:w="7088" w:wrap="notBeside" w:hAnchor="page" w:x="2445" w:yAlign="top"/>
              <w:spacing w:before="0" w:after="0"/>
              <w:jc w:val="center"/>
              <w:rPr>
                <w:rFonts w:ascii="Times New Roman" w:hAnsi="Times New Roman" w:cs="Times New Roman"/>
                <w:noProof/>
                <w:szCs w:val="18"/>
              </w:rPr>
            </w:pPr>
            <w:r w:rsidRPr="001C376E">
              <w:rPr>
                <w:rFonts w:ascii="Times New Roman" w:hAnsi="Times New Roman" w:cs="Times New Roman"/>
                <w:noProof/>
                <w:szCs w:val="18"/>
              </w:rPr>
              <w:t>Predicted class</w:t>
            </w:r>
            <w:r>
              <w:rPr>
                <w:rFonts w:ascii="Times New Roman" w:hAnsi="Times New Roman" w:cs="Times New Roman"/>
                <w:noProof/>
                <w:szCs w:val="18"/>
              </w:rPr>
              <w:t xml:space="preserve"> (training)</w:t>
            </w:r>
          </w:p>
        </w:tc>
        <w:tc>
          <w:tcPr>
            <w:tcW w:w="678" w:type="dxa"/>
            <w:tcBorders>
              <w:top w:val="nil"/>
              <w:bottom w:val="single" w:sz="4" w:space="0" w:color="auto"/>
            </w:tcBorders>
          </w:tcPr>
          <w:p w14:paraId="278994EA" w14:textId="77777777" w:rsidR="001C376E" w:rsidRPr="001F1CA3" w:rsidRDefault="001C376E" w:rsidP="001C376E">
            <w:pPr>
              <w:pStyle w:val="Caption"/>
              <w:framePr w:w="7088" w:wrap="notBeside" w:hAnchor="page" w:x="2445" w:yAlign="top"/>
              <w:spacing w:before="0" w:after="0"/>
              <w:jc w:val="center"/>
              <w:rPr>
                <w:b/>
                <w:bCs/>
                <w:noProof/>
                <w:szCs w:val="18"/>
              </w:rPr>
            </w:pPr>
          </w:p>
        </w:tc>
        <w:tc>
          <w:tcPr>
            <w:tcW w:w="2712" w:type="dxa"/>
            <w:gridSpan w:val="4"/>
            <w:tcBorders>
              <w:top w:val="nil"/>
              <w:bottom w:val="single" w:sz="4" w:space="0" w:color="auto"/>
            </w:tcBorders>
          </w:tcPr>
          <w:p w14:paraId="329E07AA" w14:textId="7C130FC5" w:rsidR="001C376E" w:rsidRPr="001F1CA3" w:rsidRDefault="001C376E" w:rsidP="001C376E">
            <w:pPr>
              <w:pStyle w:val="Caption"/>
              <w:framePr w:w="7088" w:wrap="notBeside" w:hAnchor="page" w:x="2445" w:yAlign="top"/>
              <w:spacing w:before="0" w:after="0"/>
              <w:jc w:val="center"/>
              <w:rPr>
                <w:noProof/>
                <w:szCs w:val="18"/>
              </w:rPr>
            </w:pPr>
            <w:r w:rsidRPr="001C376E">
              <w:rPr>
                <w:rFonts w:ascii="Times New Roman" w:hAnsi="Times New Roman" w:cs="Times New Roman"/>
                <w:noProof/>
                <w:szCs w:val="18"/>
              </w:rPr>
              <w:t>Predicted class</w:t>
            </w:r>
            <w:r>
              <w:rPr>
                <w:rFonts w:ascii="Times New Roman" w:hAnsi="Times New Roman" w:cs="Times New Roman"/>
                <w:noProof/>
                <w:szCs w:val="18"/>
              </w:rPr>
              <w:t xml:space="preserve"> (testing)</w:t>
            </w:r>
          </w:p>
        </w:tc>
      </w:tr>
      <w:tr w:rsidR="001C376E" w:rsidRPr="001F1CA3" w14:paraId="0A5081CA" w14:textId="77777777" w:rsidTr="00224346">
        <w:trPr>
          <w:trHeight w:val="149"/>
        </w:trPr>
        <w:tc>
          <w:tcPr>
            <w:tcW w:w="7088" w:type="dxa"/>
            <w:gridSpan w:val="11"/>
            <w:tcBorders>
              <w:top w:val="single" w:sz="4" w:space="0" w:color="auto"/>
              <w:bottom w:val="single" w:sz="4" w:space="0" w:color="auto"/>
            </w:tcBorders>
          </w:tcPr>
          <w:p w14:paraId="1C913950" w14:textId="28AC54B2" w:rsidR="001C376E" w:rsidRPr="001F1CA3" w:rsidRDefault="001C376E" w:rsidP="001C376E">
            <w:pPr>
              <w:pStyle w:val="Caption"/>
              <w:framePr w:w="7088" w:wrap="notBeside" w:hAnchor="page" w:x="2445" w:yAlign="top"/>
              <w:jc w:val="both"/>
              <w:rPr>
                <w:noProof/>
                <w:szCs w:val="18"/>
              </w:rPr>
            </w:pPr>
            <w:bookmarkStart w:id="3" w:name="_Ref150533429"/>
            <w:r w:rsidRPr="00224346">
              <w:rPr>
                <w:rFonts w:ascii="Times New Roman" w:hAnsi="Times New Roman" w:cs="Times New Roman"/>
                <w:b/>
                <w:bCs/>
                <w:szCs w:val="18"/>
              </w:rPr>
              <w:t xml:space="preserve">Figure </w:t>
            </w:r>
            <w:r w:rsidRPr="00224346">
              <w:rPr>
                <w:b/>
                <w:bCs/>
                <w:szCs w:val="18"/>
              </w:rPr>
              <w:fldChar w:fldCharType="begin"/>
            </w:r>
            <w:r w:rsidRPr="00224346">
              <w:rPr>
                <w:rFonts w:ascii="Times New Roman" w:hAnsi="Times New Roman" w:cs="Times New Roman"/>
                <w:b/>
                <w:bCs/>
                <w:szCs w:val="18"/>
              </w:rPr>
              <w:instrText xml:space="preserve"> SEQ Figure \* ARABIC </w:instrText>
            </w:r>
            <w:r w:rsidRPr="00224346">
              <w:rPr>
                <w:b/>
                <w:bCs/>
                <w:szCs w:val="18"/>
              </w:rPr>
              <w:fldChar w:fldCharType="separate"/>
            </w:r>
            <w:r w:rsidR="00870C7B">
              <w:rPr>
                <w:rFonts w:ascii="Times New Roman" w:hAnsi="Times New Roman" w:cs="Times New Roman"/>
                <w:b/>
                <w:bCs/>
                <w:noProof/>
                <w:szCs w:val="18"/>
              </w:rPr>
              <w:t>3</w:t>
            </w:r>
            <w:r w:rsidRPr="00224346">
              <w:rPr>
                <w:b/>
                <w:bCs/>
                <w:szCs w:val="18"/>
              </w:rPr>
              <w:fldChar w:fldCharType="end"/>
            </w:r>
            <w:bookmarkEnd w:id="3"/>
            <w:r w:rsidRPr="00224346">
              <w:rPr>
                <w:rFonts w:ascii="Times New Roman" w:hAnsi="Times New Roman" w:cs="Times New Roman"/>
                <w:b/>
                <w:bCs/>
                <w:szCs w:val="18"/>
              </w:rPr>
              <w:t>.</w:t>
            </w:r>
            <w:r w:rsidRPr="001F1CA3">
              <w:rPr>
                <w:rFonts w:ascii="Times New Roman" w:hAnsi="Times New Roman" w:cs="Times New Roman"/>
                <w:szCs w:val="18"/>
              </w:rPr>
              <w:t xml:space="preserve"> Training </w:t>
            </w:r>
            <w:r>
              <w:rPr>
                <w:rFonts w:ascii="Times New Roman" w:hAnsi="Times New Roman" w:cs="Times New Roman"/>
                <w:szCs w:val="18"/>
              </w:rPr>
              <w:t xml:space="preserve">(A) </w:t>
            </w:r>
            <w:r w:rsidRPr="001F1CA3">
              <w:rPr>
                <w:rFonts w:ascii="Times New Roman" w:hAnsi="Times New Roman" w:cs="Times New Roman"/>
                <w:szCs w:val="18"/>
              </w:rPr>
              <w:t xml:space="preserve">and testing </w:t>
            </w:r>
            <w:r>
              <w:rPr>
                <w:rFonts w:ascii="Times New Roman" w:hAnsi="Times New Roman" w:cs="Times New Roman"/>
                <w:szCs w:val="18"/>
              </w:rPr>
              <w:t xml:space="preserve">(B) </w:t>
            </w:r>
            <w:r w:rsidRPr="001F1CA3">
              <w:rPr>
                <w:rFonts w:ascii="Times New Roman" w:hAnsi="Times New Roman" w:cs="Times New Roman"/>
                <w:szCs w:val="18"/>
              </w:rPr>
              <w:t xml:space="preserve">for classification of </w:t>
            </w:r>
            <w:r w:rsidRPr="001C376E">
              <w:rPr>
                <w:rFonts w:ascii="Times New Roman" w:hAnsi="Times New Roman" w:cs="Times New Roman"/>
                <w:i/>
                <w:iCs/>
                <w:szCs w:val="18"/>
              </w:rPr>
              <w:t>β</w:t>
            </w:r>
            <w:r>
              <w:rPr>
                <w:rFonts w:ascii="Times New Roman" w:hAnsi="Times New Roman" w:cs="Times New Roman"/>
                <w:szCs w:val="18"/>
              </w:rPr>
              <w:t>.</w:t>
            </w:r>
          </w:p>
        </w:tc>
      </w:tr>
    </w:tbl>
    <w:p w14:paraId="15E633C8" w14:textId="320760A0" w:rsidR="00AA561A" w:rsidRDefault="008F323C" w:rsidP="00926DF1">
      <w:pPr>
        <w:jc w:val="both"/>
        <w:rPr>
          <w:szCs w:val="18"/>
        </w:rPr>
      </w:pPr>
      <w:r>
        <w:t xml:space="preserve">While </w:t>
      </w:r>
      <w:r w:rsidR="001B0B90">
        <w:t xml:space="preserve">classification of </w:t>
      </w:r>
      <w:r w:rsidR="001B0B90" w:rsidRPr="00571057">
        <w:rPr>
          <w:i/>
          <w:iCs/>
        </w:rPr>
        <w:t>β</w:t>
      </w:r>
      <w:r w:rsidR="001B0B90">
        <w:t xml:space="preserve"> does not have accuracy targets as such (inaccuracies are passed on to the refined prediction) the classification accuracy can still be </w:t>
      </w:r>
      <w:r w:rsidR="001B0B90" w:rsidRPr="001B0B90">
        <w:t xml:space="preserve">assessed </w:t>
      </w:r>
      <w:r w:rsidR="001B0B90">
        <w:t>(</w:t>
      </w:r>
      <w:r w:rsidR="001B0B90" w:rsidRPr="001B0B90">
        <w:fldChar w:fldCharType="begin"/>
      </w:r>
      <w:r w:rsidR="001B0B90" w:rsidRPr="001B0B90">
        <w:instrText xml:space="preserve"> REF _Ref150533429 \h  \* MERGEFORMAT </w:instrText>
      </w:r>
      <w:r w:rsidR="001B0B90" w:rsidRPr="001B0B90">
        <w:fldChar w:fldCharType="separate"/>
      </w:r>
      <w:r w:rsidR="00870C7B" w:rsidRPr="00870C7B">
        <w:t xml:space="preserve">Figure </w:t>
      </w:r>
      <w:r w:rsidR="00870C7B" w:rsidRPr="00870C7B">
        <w:rPr>
          <w:noProof/>
        </w:rPr>
        <w:t>3</w:t>
      </w:r>
      <w:r w:rsidR="001B0B90" w:rsidRPr="001B0B90">
        <w:fldChar w:fldCharType="end"/>
      </w:r>
      <w:r w:rsidR="001B0B90">
        <w:t>).</w:t>
      </w:r>
      <w:r w:rsidR="00926DF1">
        <w:t xml:space="preserve"> Most data points are either class 5 or 10 </w:t>
      </w:r>
      <w:r w:rsidR="00926DF1">
        <w:rPr>
          <w:i/>
          <w:iCs/>
        </w:rPr>
        <w:t>i.e.</w:t>
      </w:r>
      <w:r w:rsidR="00926DF1">
        <w:t xml:space="preserve"> </w:t>
      </w:r>
      <w:r w:rsidR="0031780F">
        <w:t>few</w:t>
      </w:r>
      <w:r w:rsidR="00926DF1">
        <w:t xml:space="preserve"> </w:t>
      </w:r>
      <w:r w:rsidR="0031780F">
        <w:t>are</w:t>
      </w:r>
      <w:r w:rsidR="00926DF1">
        <w:t xml:space="preserve"> at the extremes. Training is straightforward (27/30 class </w:t>
      </w:r>
      <w:r w:rsidR="0031780F">
        <w:t xml:space="preserve">1 </w:t>
      </w:r>
      <w:r w:rsidR="00926DF1">
        <w:t>correctly classified, 114/115 class 5 correctly classified, 80/91 class 10 correctly classified) although it is slightly challenging for class 15 (5/11 correctly classified). In testing, a majority are correctly classified (</w:t>
      </w:r>
      <w:r w:rsidR="00926DF1">
        <w:rPr>
          <w:szCs w:val="18"/>
        </w:rPr>
        <w:t>6/9 class 10 cases, all four class 5 cases) with no misclassifications greater than one class difference</w:t>
      </w:r>
      <w:r w:rsidR="00782640">
        <w:rPr>
          <w:szCs w:val="18"/>
        </w:rPr>
        <w:t>.</w:t>
      </w:r>
    </w:p>
    <w:tbl>
      <w:tblPr>
        <w:tblStyle w:val="TableGrid"/>
        <w:tblW w:w="7088"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3402"/>
        <w:gridCol w:w="142"/>
        <w:gridCol w:w="3402"/>
      </w:tblGrid>
      <w:tr w:rsidR="0031780F" w14:paraId="6F1CF74D" w14:textId="77777777" w:rsidTr="00AC55FB">
        <w:tc>
          <w:tcPr>
            <w:tcW w:w="142" w:type="dxa"/>
            <w:tcBorders>
              <w:top w:val="single" w:sz="4" w:space="0" w:color="auto"/>
              <w:bottom w:val="single" w:sz="4" w:space="0" w:color="auto"/>
            </w:tcBorders>
          </w:tcPr>
          <w:p w14:paraId="65A9405E" w14:textId="77777777" w:rsidR="0031780F" w:rsidRPr="006B7F78" w:rsidRDefault="0031780F" w:rsidP="0031780F">
            <w:pPr>
              <w:pStyle w:val="Caption"/>
              <w:framePr w:w="7088" w:vSpace="113" w:wrap="notBeside" w:hAnchor="margin" w:xAlign="center" w:yAlign="bottom"/>
              <w:spacing w:after="0"/>
              <w:rPr>
                <w:b/>
                <w:bCs/>
              </w:rPr>
            </w:pPr>
            <w:r>
              <w:rPr>
                <w:rFonts w:ascii="Times New Roman" w:hAnsi="Times New Roman" w:cs="Times New Roman"/>
                <w:b/>
                <w:bCs/>
                <w:noProof/>
              </w:rPr>
              <w:t>A</w:t>
            </w:r>
          </w:p>
        </w:tc>
        <w:tc>
          <w:tcPr>
            <w:tcW w:w="3402" w:type="dxa"/>
            <w:tcBorders>
              <w:top w:val="single" w:sz="4" w:space="0" w:color="auto"/>
              <w:bottom w:val="single" w:sz="4" w:space="0" w:color="auto"/>
            </w:tcBorders>
            <w:vAlign w:val="bottom"/>
          </w:tcPr>
          <w:p w14:paraId="29173D2D" w14:textId="77777777" w:rsidR="0031780F" w:rsidRPr="006B7F78" w:rsidRDefault="0031780F" w:rsidP="0031780F">
            <w:pPr>
              <w:pStyle w:val="Caption"/>
              <w:framePr w:w="7088" w:vSpace="113" w:wrap="notBeside" w:hAnchor="margin" w:xAlign="center" w:yAlign="bottom"/>
              <w:spacing w:after="0"/>
              <w:jc w:val="center"/>
              <w:rPr>
                <w:rFonts w:ascii="Times New Roman" w:hAnsi="Times New Roman" w:cs="Times New Roman"/>
                <w:b/>
                <w:bCs/>
              </w:rPr>
            </w:pPr>
            <w:r w:rsidRPr="00E270A5">
              <w:rPr>
                <w:noProof/>
                <w:lang w:val="en-GB" w:eastAsia="en-GB"/>
              </w:rPr>
              <w:drawing>
                <wp:inline distT="0" distB="0" distL="0" distR="0" wp14:anchorId="45F9DBCE" wp14:editId="29D73A83">
                  <wp:extent cx="2160000" cy="2016941"/>
                  <wp:effectExtent l="0" t="0" r="0" b="2540"/>
                  <wp:docPr id="1088596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a:extLst>
                              <a:ext uri="{28A0092B-C50C-407E-A947-70E740481C1C}">
                                <a14:useLocalDpi xmlns:a14="http://schemas.microsoft.com/office/drawing/2010/main" val="0"/>
                              </a:ext>
                            </a:extLst>
                          </a:blip>
                          <a:srcRect t="6623"/>
                          <a:stretch/>
                        </pic:blipFill>
                        <pic:spPr bwMode="auto">
                          <a:xfrm>
                            <a:off x="0" y="0"/>
                            <a:ext cx="2160000" cy="20169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2" w:type="dxa"/>
            <w:tcBorders>
              <w:top w:val="single" w:sz="4" w:space="0" w:color="auto"/>
              <w:bottom w:val="single" w:sz="4" w:space="0" w:color="auto"/>
            </w:tcBorders>
          </w:tcPr>
          <w:p w14:paraId="7B92B7D1" w14:textId="77777777" w:rsidR="0031780F" w:rsidRPr="006B7F78" w:rsidRDefault="0031780F" w:rsidP="0031780F">
            <w:pPr>
              <w:pStyle w:val="Caption"/>
              <w:framePr w:w="7088" w:vSpace="113" w:wrap="notBeside" w:hAnchor="margin" w:xAlign="center" w:yAlign="bottom"/>
              <w:spacing w:after="0"/>
              <w:jc w:val="center"/>
              <w:rPr>
                <w:b/>
                <w:bCs/>
              </w:rPr>
            </w:pPr>
            <w:r>
              <w:rPr>
                <w:rFonts w:ascii="Times New Roman" w:hAnsi="Times New Roman" w:cs="Times New Roman"/>
                <w:b/>
                <w:bCs/>
                <w:noProof/>
              </w:rPr>
              <w:t>B</w:t>
            </w:r>
          </w:p>
        </w:tc>
        <w:tc>
          <w:tcPr>
            <w:tcW w:w="3402" w:type="dxa"/>
            <w:tcBorders>
              <w:top w:val="single" w:sz="4" w:space="0" w:color="auto"/>
              <w:bottom w:val="single" w:sz="4" w:space="0" w:color="auto"/>
            </w:tcBorders>
          </w:tcPr>
          <w:p w14:paraId="46A2D046" w14:textId="77777777" w:rsidR="0031780F" w:rsidRPr="006B7F78" w:rsidRDefault="0031780F" w:rsidP="0031780F">
            <w:pPr>
              <w:pStyle w:val="Caption"/>
              <w:framePr w:w="7088" w:vSpace="113" w:wrap="notBeside" w:hAnchor="margin" w:xAlign="center" w:yAlign="bottom"/>
              <w:spacing w:after="0"/>
              <w:jc w:val="center"/>
              <w:rPr>
                <w:rFonts w:ascii="Times New Roman" w:hAnsi="Times New Roman" w:cs="Times New Roman"/>
                <w:b/>
                <w:bCs/>
              </w:rPr>
            </w:pPr>
            <w:r w:rsidRPr="00170A47">
              <w:rPr>
                <w:noProof/>
                <w:lang w:val="en-GB" w:eastAsia="en-GB"/>
              </w:rPr>
              <w:drawing>
                <wp:inline distT="0" distB="0" distL="0" distR="0" wp14:anchorId="6E3E7B0B" wp14:editId="6581F3E4">
                  <wp:extent cx="2160000" cy="2013992"/>
                  <wp:effectExtent l="0" t="0" r="0" b="5715"/>
                  <wp:docPr id="10651486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a:extLst>
                              <a:ext uri="{28A0092B-C50C-407E-A947-70E740481C1C}">
                                <a14:useLocalDpi xmlns:a14="http://schemas.microsoft.com/office/drawing/2010/main" val="0"/>
                              </a:ext>
                            </a:extLst>
                          </a:blip>
                          <a:srcRect t="6760"/>
                          <a:stretch/>
                        </pic:blipFill>
                        <pic:spPr bwMode="auto">
                          <a:xfrm>
                            <a:off x="0" y="0"/>
                            <a:ext cx="2160000" cy="20139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780F" w14:paraId="7E9B97A6" w14:textId="77777777" w:rsidTr="00F6550A">
        <w:tc>
          <w:tcPr>
            <w:tcW w:w="7088" w:type="dxa"/>
            <w:gridSpan w:val="4"/>
            <w:tcBorders>
              <w:top w:val="single" w:sz="4" w:space="0" w:color="auto"/>
              <w:bottom w:val="single" w:sz="4" w:space="0" w:color="auto"/>
            </w:tcBorders>
          </w:tcPr>
          <w:p w14:paraId="45483810" w14:textId="47F7516A" w:rsidR="0031780F" w:rsidRPr="00AA561A" w:rsidRDefault="0031780F" w:rsidP="0031780F">
            <w:pPr>
              <w:pStyle w:val="Caption"/>
              <w:framePr w:w="7088" w:vSpace="113" w:wrap="notBeside" w:hAnchor="margin" w:xAlign="center" w:yAlign="bottom"/>
              <w:jc w:val="both"/>
              <w:rPr>
                <w:rFonts w:ascii="Times New Roman" w:hAnsi="Times New Roman" w:cs="Times New Roman"/>
                <w:szCs w:val="18"/>
              </w:rPr>
            </w:pPr>
            <w:bookmarkStart w:id="4" w:name="_Ref150549719"/>
            <w:r w:rsidRPr="00AA561A">
              <w:rPr>
                <w:rFonts w:ascii="Times New Roman" w:hAnsi="Times New Roman" w:cs="Times New Roman"/>
                <w:b/>
                <w:bCs/>
              </w:rPr>
              <w:t xml:space="preserve">Figure </w:t>
            </w:r>
            <w:r w:rsidRPr="00AA561A">
              <w:rPr>
                <w:b/>
                <w:bCs/>
              </w:rPr>
              <w:fldChar w:fldCharType="begin"/>
            </w:r>
            <w:r w:rsidRPr="00AA561A">
              <w:rPr>
                <w:rFonts w:ascii="Times New Roman" w:hAnsi="Times New Roman" w:cs="Times New Roman"/>
                <w:b/>
                <w:bCs/>
              </w:rPr>
              <w:instrText xml:space="preserve"> SEQ Figure \* ARABIC </w:instrText>
            </w:r>
            <w:r w:rsidRPr="00AA561A">
              <w:rPr>
                <w:b/>
                <w:bCs/>
              </w:rPr>
              <w:fldChar w:fldCharType="separate"/>
            </w:r>
            <w:r w:rsidR="00870C7B">
              <w:rPr>
                <w:rFonts w:ascii="Times New Roman" w:hAnsi="Times New Roman" w:cs="Times New Roman"/>
                <w:b/>
                <w:bCs/>
                <w:noProof/>
              </w:rPr>
              <w:t>4</w:t>
            </w:r>
            <w:r w:rsidRPr="00AA561A">
              <w:rPr>
                <w:b/>
                <w:bCs/>
              </w:rPr>
              <w:fldChar w:fldCharType="end"/>
            </w:r>
            <w:bookmarkEnd w:id="4"/>
            <w:r w:rsidRPr="00AA561A">
              <w:rPr>
                <w:rFonts w:ascii="Times New Roman" w:hAnsi="Times New Roman" w:cs="Times New Roman"/>
                <w:b/>
                <w:bCs/>
              </w:rPr>
              <w:t>.</w:t>
            </w:r>
            <w:r w:rsidRPr="00AA561A">
              <w:rPr>
                <w:rFonts w:ascii="Times New Roman" w:hAnsi="Times New Roman" w:cs="Times New Roman"/>
              </w:rPr>
              <w:t xml:space="preserve"> </w:t>
            </w:r>
            <w:r w:rsidRPr="001F1CA3">
              <w:rPr>
                <w:rFonts w:ascii="Times New Roman" w:hAnsi="Times New Roman" w:cs="Times New Roman"/>
                <w:szCs w:val="18"/>
              </w:rPr>
              <w:t>Training</w:t>
            </w:r>
            <w:r>
              <w:rPr>
                <w:rFonts w:ascii="Times New Roman" w:hAnsi="Times New Roman" w:cs="Times New Roman"/>
                <w:szCs w:val="18"/>
              </w:rPr>
              <w:t xml:space="preserve"> (A)</w:t>
            </w:r>
            <w:r w:rsidRPr="001F1CA3">
              <w:rPr>
                <w:rFonts w:ascii="Times New Roman" w:hAnsi="Times New Roman" w:cs="Times New Roman"/>
                <w:szCs w:val="18"/>
              </w:rPr>
              <w:t xml:space="preserve"> and testing </w:t>
            </w:r>
            <w:r>
              <w:rPr>
                <w:rFonts w:ascii="Times New Roman" w:hAnsi="Times New Roman" w:cs="Times New Roman"/>
                <w:szCs w:val="18"/>
              </w:rPr>
              <w:t xml:space="preserve">(B) </w:t>
            </w:r>
            <w:r w:rsidRPr="001F1CA3">
              <w:rPr>
                <w:rFonts w:ascii="Times New Roman" w:hAnsi="Times New Roman" w:cs="Times New Roman"/>
                <w:szCs w:val="18"/>
              </w:rPr>
              <w:t xml:space="preserve">for </w:t>
            </w:r>
            <w:r>
              <w:rPr>
                <w:rFonts w:ascii="Times New Roman" w:hAnsi="Times New Roman" w:cs="Times New Roman"/>
                <w:szCs w:val="18"/>
              </w:rPr>
              <w:t xml:space="preserve">prediction of </w:t>
            </w:r>
            <w:r w:rsidRPr="001F1CA3">
              <w:rPr>
                <w:rFonts w:ascii="Times New Roman" w:hAnsi="Times New Roman" w:cs="Times New Roman"/>
                <w:i/>
                <w:iCs/>
                <w:szCs w:val="18"/>
              </w:rPr>
              <w:t>β</w:t>
            </w:r>
            <w:r>
              <w:rPr>
                <w:rFonts w:ascii="Times New Roman" w:hAnsi="Times New Roman" w:cs="Times New Roman"/>
                <w:szCs w:val="18"/>
              </w:rPr>
              <w:t xml:space="preserve">. </w:t>
            </w:r>
            <w:r w:rsidR="00E270F5">
              <w:rPr>
                <w:rFonts w:ascii="Times New Roman" w:hAnsi="Times New Roman" w:cs="Times New Roman"/>
                <w:szCs w:val="18"/>
              </w:rPr>
              <w:t>Data point</w:t>
            </w:r>
            <w:r>
              <w:rPr>
                <w:rFonts w:ascii="Times New Roman" w:hAnsi="Times New Roman" w:cs="Times New Roman"/>
                <w:szCs w:val="18"/>
              </w:rPr>
              <w:t>s outside of accuracy thresholds are marked ‘OT’. Unaveraged data</w:t>
            </w:r>
            <w:r w:rsidR="00E270F5">
              <w:rPr>
                <w:rFonts w:ascii="Times New Roman" w:hAnsi="Times New Roman" w:cs="Times New Roman"/>
                <w:szCs w:val="18"/>
              </w:rPr>
              <w:t xml:space="preserve"> </w:t>
            </w:r>
            <w:r>
              <w:rPr>
                <w:rFonts w:ascii="Times New Roman" w:hAnsi="Times New Roman" w:cs="Times New Roman"/>
                <w:szCs w:val="18"/>
              </w:rPr>
              <w:t>points are shown in a lighter shade.</w:t>
            </w:r>
          </w:p>
        </w:tc>
      </w:tr>
    </w:tbl>
    <w:p w14:paraId="3BC9E96D" w14:textId="77777777" w:rsidR="00170A47" w:rsidRPr="00926DF1" w:rsidRDefault="00170A47" w:rsidP="00926DF1">
      <w:pPr>
        <w:jc w:val="both"/>
      </w:pPr>
    </w:p>
    <w:p w14:paraId="0D6DE6AA" w14:textId="3E9676B4" w:rsidR="00170A47" w:rsidRPr="00170A47" w:rsidRDefault="00170A47" w:rsidP="00170A47">
      <w:pPr>
        <w:jc w:val="both"/>
      </w:pPr>
      <w:r w:rsidRPr="00170A47">
        <w:t xml:space="preserve">Finding trends between the predictors and </w:t>
      </w:r>
      <w:r w:rsidR="00C65EFD" w:rsidRPr="00571057">
        <w:rPr>
          <w:i/>
          <w:iCs/>
        </w:rPr>
        <w:t>β</w:t>
      </w:r>
      <w:r w:rsidR="00C65EFD">
        <w:t xml:space="preserve"> </w:t>
      </w:r>
      <w:r w:rsidRPr="00170A47">
        <w:t xml:space="preserve">is more challenging than for </w:t>
      </w:r>
      <w:r>
        <w:rPr>
          <w:i/>
          <w:iCs/>
        </w:rPr>
        <w:t>ff</w:t>
      </w:r>
      <w:r>
        <w:rPr>
          <w:i/>
          <w:iCs/>
          <w:vertAlign w:val="subscript"/>
        </w:rPr>
        <w:t>max</w:t>
      </w:r>
      <w:r w:rsidRPr="00170A47">
        <w:t xml:space="preserve">. Leaving aside the possibility that there is some </w:t>
      </w:r>
      <w:r>
        <w:t xml:space="preserve">unmeasured </w:t>
      </w:r>
      <w:r w:rsidRPr="00170A47">
        <w:t xml:space="preserve">material property or material properties </w:t>
      </w:r>
      <w:r>
        <w:t>that are required</w:t>
      </w:r>
      <w:r w:rsidRPr="00170A47">
        <w:t xml:space="preserve"> to get a clear picture of the link, the parameter </w:t>
      </w:r>
      <w:r w:rsidR="00035B78">
        <w:t>is</w:t>
      </w:r>
      <w:r w:rsidRPr="00170A47">
        <w:t xml:space="preserve"> also simply more variable, even among replicates (</w:t>
      </w:r>
      <w:r w:rsidRPr="00170A47">
        <w:fldChar w:fldCharType="begin"/>
      </w:r>
      <w:r w:rsidRPr="00170A47">
        <w:instrText xml:space="preserve"> REF _Ref150549719 \h  \* MERGEFORMAT </w:instrText>
      </w:r>
      <w:r w:rsidRPr="00170A47">
        <w:fldChar w:fldCharType="separate"/>
      </w:r>
      <w:r w:rsidR="00870C7B" w:rsidRPr="00870C7B">
        <w:t xml:space="preserve">Figure </w:t>
      </w:r>
      <w:r w:rsidR="00870C7B" w:rsidRPr="00870C7B">
        <w:rPr>
          <w:noProof/>
        </w:rPr>
        <w:t>4</w:t>
      </w:r>
      <w:r w:rsidRPr="00170A47">
        <w:fldChar w:fldCharType="end"/>
      </w:r>
      <w:r w:rsidRPr="00170A47">
        <w:t xml:space="preserve">). Nevertheless, 88 % of training </w:t>
      </w:r>
      <w:r w:rsidR="00E270F5">
        <w:t>data point</w:t>
      </w:r>
      <w:r w:rsidRPr="00170A47">
        <w:t>s (averaged replicates) fall within the specified accuracy threshold for beta (±50 g of material in the hopper to accurately predict location of 10 % drop from initial feed factor</w:t>
      </w:r>
      <w:r w:rsidR="00FD13A6">
        <w:t>)</w:t>
      </w:r>
      <w:r w:rsidRPr="00170A47">
        <w:t>.</w:t>
      </w:r>
      <w:r>
        <w:t xml:space="preserve"> Testing </w:t>
      </w:r>
      <w:r w:rsidRPr="00571057">
        <w:rPr>
          <w:i/>
          <w:iCs/>
        </w:rPr>
        <w:t>β</w:t>
      </w:r>
      <w:r>
        <w:rPr>
          <w:i/>
          <w:iCs/>
        </w:rPr>
        <w:t xml:space="preserve"> </w:t>
      </w:r>
      <w:r>
        <w:t>model</w:t>
      </w:r>
      <w:r w:rsidR="00C7248A">
        <w:t xml:space="preserve"> accuracy</w:t>
      </w:r>
      <w:r>
        <w:t xml:space="preserve"> using predicted classes as an input (instead of known </w:t>
      </w:r>
      <w:r>
        <w:lastRenderedPageBreak/>
        <w:t xml:space="preserve">classes, to accurately gauge the true overall accuracy of the approach) show that a majority of points are within targets (9/13). Of those outside, two are </w:t>
      </w:r>
      <w:r w:rsidR="00825017">
        <w:t>from</w:t>
      </w:r>
      <w:r>
        <w:t xml:space="preserve"> </w:t>
      </w:r>
      <w:r w:rsidRPr="00571057">
        <w:rPr>
          <w:i/>
          <w:iCs/>
        </w:rPr>
        <w:t>β</w:t>
      </w:r>
      <w:r>
        <w:t xml:space="preserve"> class model </w:t>
      </w:r>
      <w:r w:rsidR="00825017">
        <w:t xml:space="preserve">misclassifications </w:t>
      </w:r>
      <w:r>
        <w:t xml:space="preserve">(class – the initial coarse estimate of </w:t>
      </w:r>
      <w:r w:rsidRPr="00571057">
        <w:rPr>
          <w:i/>
          <w:iCs/>
        </w:rPr>
        <w:t>β</w:t>
      </w:r>
      <w:r>
        <w:t xml:space="preserve"> – is the most important predictor for the refined </w:t>
      </w:r>
      <w:r w:rsidRPr="00571057">
        <w:rPr>
          <w:i/>
          <w:iCs/>
        </w:rPr>
        <w:t>β</w:t>
      </w:r>
      <w:r>
        <w:t xml:space="preserve"> prediction model), one is due to inaccuracy of the </w:t>
      </w:r>
      <w:r w:rsidRPr="00571057">
        <w:rPr>
          <w:i/>
          <w:iCs/>
        </w:rPr>
        <w:t>β</w:t>
      </w:r>
      <w:r>
        <w:t xml:space="preserve"> model itself, and for the final data</w:t>
      </w:r>
      <w:r w:rsidR="00E270F5">
        <w:t xml:space="preserve"> </w:t>
      </w:r>
      <w:r>
        <w:t>point outside targets, this was a run where all other runs of this material (which are in the training set) were of class 5 whereas this data</w:t>
      </w:r>
      <w:r w:rsidR="00E270F5">
        <w:t xml:space="preserve"> </w:t>
      </w:r>
      <w:r>
        <w:t>point had a true class of 10. Ultimately, whilst many materials have very stable flow (</w:t>
      </w:r>
      <w:r>
        <w:rPr>
          <w:i/>
          <w:iCs/>
        </w:rPr>
        <w:t>i.e.</w:t>
      </w:r>
      <w:r>
        <w:t xml:space="preserve"> high </w:t>
      </w:r>
      <w:r w:rsidRPr="00571057">
        <w:rPr>
          <w:i/>
          <w:iCs/>
        </w:rPr>
        <w:t>β</w:t>
      </w:r>
      <w:r>
        <w:t xml:space="preserve"> values and/or little variability between replicates), there are many instances of significant </w:t>
      </w:r>
      <w:r w:rsidRPr="00571057">
        <w:rPr>
          <w:i/>
          <w:iCs/>
        </w:rPr>
        <w:t>β</w:t>
      </w:r>
      <w:r>
        <w:t xml:space="preserve"> variability among what the model considers replicates, presenting challenges for </w:t>
      </w:r>
      <w:r w:rsidRPr="00571057">
        <w:rPr>
          <w:i/>
          <w:iCs/>
        </w:rPr>
        <w:t>β</w:t>
      </w:r>
      <w:r>
        <w:t xml:space="preserve"> prediction.</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5EA0FAB0" w:rsidR="008D2649" w:rsidRDefault="00170A47" w:rsidP="00760373">
      <w:pPr>
        <w:pStyle w:val="Els-body-text"/>
        <w:widowControl w:val="0"/>
        <w:spacing w:after="120"/>
        <w:rPr>
          <w:lang w:val="en-GB"/>
        </w:rPr>
      </w:pPr>
      <w:r w:rsidRPr="00170A47">
        <w:rPr>
          <w:lang w:val="en-GB"/>
        </w:rPr>
        <w:t>Whilst the precise prediction of the likely feed</w:t>
      </w:r>
      <w:r w:rsidR="00E270F5">
        <w:rPr>
          <w:lang w:val="en-GB"/>
        </w:rPr>
        <w:t xml:space="preserve"> </w:t>
      </w:r>
      <w:r w:rsidRPr="00170A47">
        <w:rPr>
          <w:lang w:val="en-GB"/>
        </w:rPr>
        <w:t>factor decay (</w:t>
      </w:r>
      <w:r w:rsidRPr="00170A47">
        <w:rPr>
          <w:i/>
          <w:iCs/>
          <w:lang w:val="en-GB"/>
        </w:rPr>
        <w:t>β</w:t>
      </w:r>
      <w:r w:rsidRPr="00170A47">
        <w:rPr>
          <w:lang w:val="en-GB"/>
        </w:rPr>
        <w:t xml:space="preserve">) of a feeder is challenging – unsurprising given the variability of this in real data even among replicates – the prediction of </w:t>
      </w:r>
      <w:r>
        <w:rPr>
          <w:lang w:val="en-GB"/>
        </w:rPr>
        <w:t>the magnitudes of likely feed</w:t>
      </w:r>
      <w:r w:rsidR="00E270F5">
        <w:rPr>
          <w:lang w:val="en-GB"/>
        </w:rPr>
        <w:t xml:space="preserve"> </w:t>
      </w:r>
      <w:r>
        <w:rPr>
          <w:lang w:val="en-GB"/>
        </w:rPr>
        <w:t>factor (</w:t>
      </w:r>
      <w:r w:rsidRPr="00170A47">
        <w:rPr>
          <w:i/>
          <w:iCs/>
          <w:lang w:val="en-GB"/>
        </w:rPr>
        <w:t>ff</w:t>
      </w:r>
      <w:r w:rsidRPr="00170A47">
        <w:rPr>
          <w:i/>
          <w:iCs/>
          <w:vertAlign w:val="subscript"/>
          <w:lang w:val="en-GB"/>
        </w:rPr>
        <w:t>max</w:t>
      </w:r>
      <w:r>
        <w:rPr>
          <w:lang w:val="en-GB"/>
        </w:rPr>
        <w:t>)</w:t>
      </w:r>
      <w:r w:rsidRPr="00170A47">
        <w:rPr>
          <w:lang w:val="en-GB"/>
        </w:rPr>
        <w:t xml:space="preserve"> is accurate. Taken together, the approaches presented here offer a way to gain insight into likely equipment performance with reduced need for experimentation with the feeders.</w:t>
      </w:r>
    </w:p>
    <w:p w14:paraId="44873153" w14:textId="5D57FF8B" w:rsidR="00CE7D1A" w:rsidRDefault="00CE7D1A" w:rsidP="00CE7D1A">
      <w:pPr>
        <w:pStyle w:val="Els-reference-head"/>
      </w:pPr>
      <w:r>
        <w:t>Acknowledgements</w:t>
      </w:r>
    </w:p>
    <w:p w14:paraId="7537C2C9" w14:textId="24553D7A" w:rsidR="00CE7D1A" w:rsidRPr="00A94774" w:rsidRDefault="00825017" w:rsidP="008D2649">
      <w:pPr>
        <w:pStyle w:val="Els-body-text"/>
        <w:spacing w:after="120"/>
        <w:rPr>
          <w:lang w:val="en-GB"/>
        </w:rPr>
      </w:pPr>
      <w:r>
        <w:t xml:space="preserve">This work has been funded by the Medicines Manufacturing Innovation Centre project (MMIC), UK (project ownership: Centre for Process Innovation, CPI). Funding has come from Innovate UK and Scottish Enterprise. Founding industry partners with significant financial and technical support are AstraZeneca and </w:t>
      </w:r>
      <w:r w:rsidR="00BF44B6">
        <w:t>GSK</w:t>
      </w:r>
      <w:r>
        <w:t xml:space="preserve">. The University of Strathclyde (via CMAC) is the founding academic partner. Pfizer are project partners and have provided key technical input and </w:t>
      </w:r>
      <w:bookmarkStart w:id="5" w:name="_GoBack"/>
      <w:bookmarkEnd w:id="5"/>
      <w:r>
        <w:t>data. Project partners DFE Pharma have provided materials and technical input, and project partners Gericke AG have provided technical equipment support and advice. Project partners Siemens and Applied Materials have provided key software and software/IT expertise.</w:t>
      </w:r>
      <w:r w:rsidR="00E83556">
        <w:t xml:space="preserve"> Andrew Shier </w:t>
      </w:r>
      <w:r w:rsidR="003846FF">
        <w:t>(</w:t>
      </w:r>
      <w:r w:rsidR="00DD53BC">
        <w:t xml:space="preserve">now of </w:t>
      </w:r>
      <w:r w:rsidR="00E83556">
        <w:t>GSK</w:t>
      </w:r>
      <w:r w:rsidR="00DD53BC">
        <w:t>)</w:t>
      </w:r>
      <w:r w:rsidR="009B7C3D">
        <w:t xml:space="preserve"> significantly contributed to </w:t>
      </w:r>
      <w:r w:rsidR="00DD53BC">
        <w:t xml:space="preserve">the present work </w:t>
      </w:r>
      <w:r w:rsidR="003846FF">
        <w:t xml:space="preserve">via </w:t>
      </w:r>
      <w:r w:rsidR="009B7C3D">
        <w:t xml:space="preserve">the </w:t>
      </w:r>
      <w:r w:rsidR="003846FF">
        <w:t>literature</w:t>
      </w:r>
      <w:r w:rsidR="003934D6">
        <w:t xml:space="preserve"> data (Shier </w:t>
      </w:r>
      <w:r w:rsidR="003934D6" w:rsidRPr="00AF1B04">
        <w:rPr>
          <w:iCs/>
        </w:rPr>
        <w:t>et al</w:t>
      </w:r>
      <w:r w:rsidR="003934D6" w:rsidRPr="00AF1B04">
        <w:t>.,</w:t>
      </w:r>
      <w:r w:rsidR="003934D6">
        <w:t xml:space="preserve"> 2022).</w:t>
      </w:r>
    </w:p>
    <w:p w14:paraId="144DE6BF" w14:textId="608D0AD6" w:rsidR="008D2649" w:rsidRDefault="008D2649" w:rsidP="008D2649">
      <w:pPr>
        <w:pStyle w:val="Els-reference-head"/>
      </w:pPr>
      <w:r>
        <w:t>References</w:t>
      </w:r>
    </w:p>
    <w:p w14:paraId="481DBFA4" w14:textId="69DC0890" w:rsidR="00376A50" w:rsidRPr="00376A50" w:rsidRDefault="00376A50" w:rsidP="00376A50">
      <w:pPr>
        <w:pStyle w:val="Bibliography"/>
        <w:rPr>
          <w:sz w:val="18"/>
        </w:rPr>
      </w:pPr>
      <w:proofErr w:type="spellStart"/>
      <w:r w:rsidRPr="00376A50">
        <w:rPr>
          <w:sz w:val="18"/>
        </w:rPr>
        <w:t>Bascone</w:t>
      </w:r>
      <w:proofErr w:type="spellEnd"/>
      <w:r w:rsidRPr="00376A50">
        <w:rPr>
          <w:sz w:val="18"/>
        </w:rPr>
        <w:t xml:space="preserve">, D., </w:t>
      </w:r>
      <w:proofErr w:type="spellStart"/>
      <w:r w:rsidRPr="00376A50">
        <w:rPr>
          <w:sz w:val="18"/>
        </w:rPr>
        <w:t>Galvanin</w:t>
      </w:r>
      <w:proofErr w:type="spellEnd"/>
      <w:r w:rsidRPr="00376A50">
        <w:rPr>
          <w:sz w:val="18"/>
        </w:rPr>
        <w:t xml:space="preserve">, F., Shah, N., Garcia-Munoz, S., 2020. </w:t>
      </w:r>
      <w:r w:rsidRPr="00EA6D75">
        <w:rPr>
          <w:i/>
          <w:iCs/>
          <w:sz w:val="18"/>
        </w:rPr>
        <w:t>Ind. Eng. Chem. Res.</w:t>
      </w:r>
      <w:r w:rsidRPr="00376A50">
        <w:rPr>
          <w:sz w:val="18"/>
        </w:rPr>
        <w:t xml:space="preserve"> 59, 6650–6661.</w:t>
      </w:r>
    </w:p>
    <w:p w14:paraId="384DDE0E" w14:textId="403478DD" w:rsidR="00376A50" w:rsidRPr="00376A50" w:rsidRDefault="00376A50" w:rsidP="00376A50">
      <w:pPr>
        <w:pStyle w:val="Bibliography"/>
        <w:rPr>
          <w:sz w:val="18"/>
        </w:rPr>
      </w:pPr>
      <w:proofErr w:type="spellStart"/>
      <w:r w:rsidRPr="00376A50">
        <w:rPr>
          <w:sz w:val="18"/>
        </w:rPr>
        <w:t>Bostijn</w:t>
      </w:r>
      <w:proofErr w:type="spellEnd"/>
      <w:r w:rsidRPr="00376A50">
        <w:rPr>
          <w:sz w:val="18"/>
        </w:rPr>
        <w:t xml:space="preserve">, N., </w:t>
      </w:r>
      <w:proofErr w:type="spellStart"/>
      <w:r w:rsidRPr="00376A50">
        <w:rPr>
          <w:sz w:val="18"/>
        </w:rPr>
        <w:t>Dhondt</w:t>
      </w:r>
      <w:proofErr w:type="spellEnd"/>
      <w:r w:rsidRPr="00376A50">
        <w:rPr>
          <w:sz w:val="18"/>
        </w:rPr>
        <w:t xml:space="preserve">, J., </w:t>
      </w:r>
      <w:proofErr w:type="spellStart"/>
      <w:r w:rsidRPr="00376A50">
        <w:rPr>
          <w:sz w:val="18"/>
        </w:rPr>
        <w:t>Ryckaert</w:t>
      </w:r>
      <w:proofErr w:type="spellEnd"/>
      <w:r w:rsidRPr="00376A50">
        <w:rPr>
          <w:sz w:val="18"/>
        </w:rPr>
        <w:t xml:space="preserve">, A., </w:t>
      </w:r>
      <w:proofErr w:type="spellStart"/>
      <w:r w:rsidRPr="00376A50">
        <w:rPr>
          <w:sz w:val="18"/>
        </w:rPr>
        <w:t>Szabó</w:t>
      </w:r>
      <w:proofErr w:type="spellEnd"/>
      <w:r w:rsidRPr="00376A50">
        <w:rPr>
          <w:sz w:val="18"/>
        </w:rPr>
        <w:t xml:space="preserve">, E., </w:t>
      </w:r>
      <w:proofErr w:type="spellStart"/>
      <w:r w:rsidRPr="00376A50">
        <w:rPr>
          <w:sz w:val="18"/>
        </w:rPr>
        <w:t>Dhondt</w:t>
      </w:r>
      <w:proofErr w:type="spellEnd"/>
      <w:r w:rsidRPr="00376A50">
        <w:rPr>
          <w:sz w:val="18"/>
        </w:rPr>
        <w:t xml:space="preserve">, W., Van Snick, B., </w:t>
      </w:r>
      <w:proofErr w:type="spellStart"/>
      <w:r w:rsidRPr="00376A50">
        <w:rPr>
          <w:sz w:val="18"/>
        </w:rPr>
        <w:t>Vanhoorne</w:t>
      </w:r>
      <w:proofErr w:type="spellEnd"/>
      <w:r w:rsidRPr="00376A50">
        <w:rPr>
          <w:sz w:val="18"/>
        </w:rPr>
        <w:t xml:space="preserve">, V., </w:t>
      </w:r>
      <w:proofErr w:type="spellStart"/>
      <w:r w:rsidRPr="00376A50">
        <w:rPr>
          <w:sz w:val="18"/>
        </w:rPr>
        <w:t>Vervaet</w:t>
      </w:r>
      <w:proofErr w:type="spellEnd"/>
      <w:r w:rsidRPr="00376A50">
        <w:rPr>
          <w:sz w:val="18"/>
        </w:rPr>
        <w:t xml:space="preserve">, C., De Beer, T., 2019. </w:t>
      </w:r>
      <w:r w:rsidRPr="00EA6D75">
        <w:rPr>
          <w:i/>
          <w:iCs/>
          <w:sz w:val="18"/>
        </w:rPr>
        <w:t xml:space="preserve">Int. J. Pharm. </w:t>
      </w:r>
      <w:r w:rsidRPr="00376A50">
        <w:rPr>
          <w:sz w:val="18"/>
        </w:rPr>
        <w:t>557, 342–353.</w:t>
      </w:r>
    </w:p>
    <w:p w14:paraId="1E4C9302" w14:textId="34E9399D" w:rsidR="00376A50" w:rsidRPr="00376A50" w:rsidRDefault="00376A50" w:rsidP="00376A50">
      <w:pPr>
        <w:pStyle w:val="Bibliography"/>
        <w:rPr>
          <w:sz w:val="18"/>
        </w:rPr>
      </w:pPr>
      <w:proofErr w:type="spellStart"/>
      <w:r w:rsidRPr="00376A50">
        <w:rPr>
          <w:sz w:val="18"/>
        </w:rPr>
        <w:t>Engisch</w:t>
      </w:r>
      <w:proofErr w:type="spellEnd"/>
      <w:r w:rsidRPr="00376A50">
        <w:rPr>
          <w:sz w:val="18"/>
        </w:rPr>
        <w:t xml:space="preserve">, W.E., </w:t>
      </w:r>
      <w:proofErr w:type="spellStart"/>
      <w:r w:rsidRPr="00376A50">
        <w:rPr>
          <w:sz w:val="18"/>
        </w:rPr>
        <w:t>Muzzio</w:t>
      </w:r>
      <w:proofErr w:type="spellEnd"/>
      <w:r w:rsidRPr="00376A50">
        <w:rPr>
          <w:sz w:val="18"/>
        </w:rPr>
        <w:t xml:space="preserve">, F.J., 2012. </w:t>
      </w:r>
      <w:r w:rsidRPr="00EA6D75">
        <w:rPr>
          <w:i/>
          <w:iCs/>
          <w:sz w:val="18"/>
        </w:rPr>
        <w:t xml:space="preserve">Powder Technol. </w:t>
      </w:r>
      <w:r w:rsidRPr="00376A50">
        <w:rPr>
          <w:sz w:val="18"/>
        </w:rPr>
        <w:t>228, 395–403.</w:t>
      </w:r>
    </w:p>
    <w:p w14:paraId="7AB077FC" w14:textId="451670D9" w:rsidR="00376A50" w:rsidRPr="00376A50" w:rsidRDefault="00376A50" w:rsidP="00376A50">
      <w:pPr>
        <w:pStyle w:val="Bibliography"/>
        <w:rPr>
          <w:sz w:val="18"/>
        </w:rPr>
      </w:pPr>
      <w:r w:rsidRPr="00376A50">
        <w:rPr>
          <w:sz w:val="18"/>
        </w:rPr>
        <w:t xml:space="preserve">Fernandez, J.W., Cleary, P.W., McBride, W., 2011. </w:t>
      </w:r>
      <w:r w:rsidRPr="00EA6D75">
        <w:rPr>
          <w:i/>
          <w:iCs/>
          <w:sz w:val="18"/>
        </w:rPr>
        <w:t>Chem. Eng. Sci.</w:t>
      </w:r>
      <w:r w:rsidRPr="00376A50">
        <w:rPr>
          <w:sz w:val="18"/>
        </w:rPr>
        <w:t xml:space="preserve"> 66, 5585–5601.</w:t>
      </w:r>
    </w:p>
    <w:p w14:paraId="5EF7EA98" w14:textId="7FE0B115" w:rsidR="00376A50" w:rsidRPr="00376A50" w:rsidRDefault="00376A50" w:rsidP="00376A50">
      <w:pPr>
        <w:pStyle w:val="Bibliography"/>
        <w:rPr>
          <w:sz w:val="18"/>
        </w:rPr>
      </w:pPr>
      <w:proofErr w:type="gramStart"/>
      <w:r w:rsidRPr="00376A50">
        <w:rPr>
          <w:sz w:val="18"/>
        </w:rPr>
        <w:t>Gao</w:t>
      </w:r>
      <w:proofErr w:type="gramEnd"/>
      <w:r w:rsidRPr="00376A50">
        <w:rPr>
          <w:sz w:val="18"/>
        </w:rPr>
        <w:t xml:space="preserve">, Y., </w:t>
      </w:r>
      <w:proofErr w:type="spellStart"/>
      <w:r w:rsidRPr="00376A50">
        <w:rPr>
          <w:sz w:val="18"/>
        </w:rPr>
        <w:t>Muzzio</w:t>
      </w:r>
      <w:proofErr w:type="spellEnd"/>
      <w:r w:rsidRPr="00376A50">
        <w:rPr>
          <w:sz w:val="18"/>
        </w:rPr>
        <w:t xml:space="preserve">, F., </w:t>
      </w:r>
      <w:proofErr w:type="spellStart"/>
      <w:r w:rsidRPr="00376A50">
        <w:rPr>
          <w:sz w:val="18"/>
        </w:rPr>
        <w:t>Ierapetritou</w:t>
      </w:r>
      <w:proofErr w:type="spellEnd"/>
      <w:r w:rsidRPr="00376A50">
        <w:rPr>
          <w:sz w:val="18"/>
        </w:rPr>
        <w:t xml:space="preserve">, M., 2011. </w:t>
      </w:r>
      <w:proofErr w:type="spellStart"/>
      <w:r w:rsidRPr="00EA6D75">
        <w:rPr>
          <w:i/>
          <w:iCs/>
          <w:sz w:val="18"/>
        </w:rPr>
        <w:t>AIChE</w:t>
      </w:r>
      <w:proofErr w:type="spellEnd"/>
      <w:r w:rsidRPr="00EA6D75">
        <w:rPr>
          <w:i/>
          <w:iCs/>
          <w:sz w:val="18"/>
        </w:rPr>
        <w:t xml:space="preserve"> J.</w:t>
      </w:r>
      <w:r w:rsidRPr="00376A50">
        <w:rPr>
          <w:sz w:val="18"/>
        </w:rPr>
        <w:t xml:space="preserve"> 57, 1144–1153.</w:t>
      </w:r>
    </w:p>
    <w:p w14:paraId="6EE7CCC6" w14:textId="0FEB539D" w:rsidR="00376A50" w:rsidRPr="00376A50" w:rsidRDefault="00376A50" w:rsidP="00376A50">
      <w:pPr>
        <w:pStyle w:val="Bibliography"/>
        <w:rPr>
          <w:sz w:val="18"/>
        </w:rPr>
      </w:pPr>
      <w:r w:rsidRPr="00376A50">
        <w:rPr>
          <w:sz w:val="18"/>
        </w:rPr>
        <w:t xml:space="preserve">Lee, B.W., Peterson, J.J., Yin, K., Stockdale, G.S., Liu, Y.C., O’Brien, A., 2020. </w:t>
      </w:r>
      <w:r w:rsidRPr="00EA6D75">
        <w:rPr>
          <w:i/>
          <w:iCs/>
          <w:sz w:val="18"/>
        </w:rPr>
        <w:t>Chem. Eng. Res. Des.</w:t>
      </w:r>
      <w:r w:rsidRPr="00376A50">
        <w:rPr>
          <w:sz w:val="18"/>
        </w:rPr>
        <w:t xml:space="preserve"> 156, 495–506.</w:t>
      </w:r>
    </w:p>
    <w:p w14:paraId="4DA7C296" w14:textId="66ADAE00" w:rsidR="00376A50" w:rsidRPr="00376A50" w:rsidRDefault="00376A50" w:rsidP="00376A50">
      <w:pPr>
        <w:pStyle w:val="Bibliography"/>
        <w:rPr>
          <w:sz w:val="18"/>
        </w:rPr>
      </w:pPr>
      <w:r w:rsidRPr="00376A50">
        <w:rPr>
          <w:sz w:val="18"/>
        </w:rPr>
        <w:t xml:space="preserve">Lee, S.L., O’Connor, T.F., Yang, X., Cruz, C.N., Chatterjee, S., </w:t>
      </w:r>
      <w:proofErr w:type="spellStart"/>
      <w:r w:rsidRPr="00376A50">
        <w:rPr>
          <w:sz w:val="18"/>
        </w:rPr>
        <w:t>Madurawe</w:t>
      </w:r>
      <w:proofErr w:type="spellEnd"/>
      <w:r w:rsidRPr="00376A50">
        <w:rPr>
          <w:sz w:val="18"/>
        </w:rPr>
        <w:t xml:space="preserve">, R.D., Moore, C.M.V., Yu, L.X., Woodcock, J., 2015. </w:t>
      </w:r>
      <w:r w:rsidRPr="00EA6D75">
        <w:rPr>
          <w:i/>
          <w:iCs/>
          <w:sz w:val="18"/>
        </w:rPr>
        <w:t xml:space="preserve">J. Pharm. </w:t>
      </w:r>
      <w:proofErr w:type="spellStart"/>
      <w:r w:rsidRPr="00EA6D75">
        <w:rPr>
          <w:i/>
          <w:iCs/>
          <w:sz w:val="18"/>
        </w:rPr>
        <w:t>Innov</w:t>
      </w:r>
      <w:proofErr w:type="spellEnd"/>
      <w:r w:rsidRPr="00EA6D75">
        <w:rPr>
          <w:i/>
          <w:iCs/>
          <w:sz w:val="18"/>
        </w:rPr>
        <w:t xml:space="preserve">. </w:t>
      </w:r>
      <w:r w:rsidRPr="00376A50">
        <w:rPr>
          <w:sz w:val="18"/>
        </w:rPr>
        <w:t xml:space="preserve">1–9. </w:t>
      </w:r>
    </w:p>
    <w:p w14:paraId="37E0DBAB" w14:textId="0CF6EC70" w:rsidR="00376A50" w:rsidRPr="00376A50" w:rsidRDefault="00376A50" w:rsidP="00376A50">
      <w:pPr>
        <w:pStyle w:val="Bibliography"/>
        <w:rPr>
          <w:sz w:val="18"/>
        </w:rPr>
      </w:pPr>
      <w:r w:rsidRPr="00376A50">
        <w:rPr>
          <w:sz w:val="18"/>
        </w:rPr>
        <w:t>Plumb, K., 2005. Chem. Eng. Res. Des. 83, 730–738.</w:t>
      </w:r>
    </w:p>
    <w:p w14:paraId="48580D88" w14:textId="04D320AA" w:rsidR="00376A50" w:rsidRPr="00376A50" w:rsidRDefault="00376A50" w:rsidP="00376A50">
      <w:pPr>
        <w:pStyle w:val="Bibliography"/>
        <w:rPr>
          <w:sz w:val="18"/>
        </w:rPr>
      </w:pPr>
      <w:proofErr w:type="spellStart"/>
      <w:r w:rsidRPr="00376A50">
        <w:rPr>
          <w:sz w:val="18"/>
        </w:rPr>
        <w:t>Schaber</w:t>
      </w:r>
      <w:proofErr w:type="spellEnd"/>
      <w:r w:rsidRPr="00376A50">
        <w:rPr>
          <w:sz w:val="18"/>
        </w:rPr>
        <w:t xml:space="preserve">, S.D., Gerogiorgis, D.I., Ramachandran, R., Evans, J.M.B., Barton, P.I., Trout, B.L., 2011. </w:t>
      </w:r>
      <w:r w:rsidRPr="00EA6D75">
        <w:rPr>
          <w:i/>
          <w:iCs/>
          <w:sz w:val="18"/>
        </w:rPr>
        <w:t>Ind. Eng. Chem. Res.</w:t>
      </w:r>
      <w:r w:rsidRPr="00376A50">
        <w:rPr>
          <w:sz w:val="18"/>
        </w:rPr>
        <w:t xml:space="preserve"> 50, 10083–10092.</w:t>
      </w:r>
    </w:p>
    <w:p w14:paraId="750BEF26" w14:textId="1B643B78" w:rsidR="00376A50" w:rsidRPr="00376A50" w:rsidRDefault="00376A50" w:rsidP="00376A50">
      <w:pPr>
        <w:pStyle w:val="Bibliography"/>
        <w:rPr>
          <w:sz w:val="18"/>
        </w:rPr>
      </w:pPr>
      <w:r w:rsidRPr="00376A50">
        <w:rPr>
          <w:sz w:val="18"/>
        </w:rPr>
        <w:t xml:space="preserve">Shier, A.P., Kumar, A., Mercer, A., </w:t>
      </w:r>
      <w:proofErr w:type="spellStart"/>
      <w:r w:rsidRPr="00376A50">
        <w:rPr>
          <w:sz w:val="18"/>
        </w:rPr>
        <w:t>Majeed</w:t>
      </w:r>
      <w:proofErr w:type="spellEnd"/>
      <w:r w:rsidRPr="00376A50">
        <w:rPr>
          <w:sz w:val="18"/>
        </w:rPr>
        <w:t xml:space="preserve">, N., </w:t>
      </w:r>
      <w:proofErr w:type="spellStart"/>
      <w:r w:rsidRPr="00376A50">
        <w:rPr>
          <w:sz w:val="18"/>
        </w:rPr>
        <w:t>Doshi</w:t>
      </w:r>
      <w:proofErr w:type="spellEnd"/>
      <w:r w:rsidRPr="00376A50">
        <w:rPr>
          <w:sz w:val="18"/>
        </w:rPr>
        <w:t xml:space="preserve">, P., Blackwood, D.O., Verrier, H.M., 2022. </w:t>
      </w:r>
      <w:r w:rsidRPr="00EA6D75">
        <w:rPr>
          <w:i/>
          <w:iCs/>
          <w:sz w:val="18"/>
        </w:rPr>
        <w:t>Int. J. Pharm.</w:t>
      </w:r>
      <w:r w:rsidRPr="00376A50">
        <w:rPr>
          <w:sz w:val="18"/>
        </w:rPr>
        <w:t xml:space="preserve"> 625, 122071.</w:t>
      </w:r>
    </w:p>
    <w:p w14:paraId="65E26F5A" w14:textId="7738C5B6" w:rsidR="00376A50" w:rsidRPr="00376A50" w:rsidRDefault="00376A50" w:rsidP="00376A50">
      <w:pPr>
        <w:pStyle w:val="Bibliography"/>
        <w:rPr>
          <w:sz w:val="18"/>
        </w:rPr>
      </w:pPr>
      <w:r w:rsidRPr="00376A50">
        <w:rPr>
          <w:sz w:val="18"/>
        </w:rPr>
        <w:t xml:space="preserve">Wang, Z., </w:t>
      </w:r>
      <w:proofErr w:type="spellStart"/>
      <w:r w:rsidRPr="00376A50">
        <w:rPr>
          <w:sz w:val="18"/>
        </w:rPr>
        <w:t>Escotet</w:t>
      </w:r>
      <w:proofErr w:type="spellEnd"/>
      <w:r w:rsidRPr="00376A50">
        <w:rPr>
          <w:sz w:val="18"/>
        </w:rPr>
        <w:t xml:space="preserve">-Espinoza, M.S., </w:t>
      </w:r>
      <w:proofErr w:type="spellStart"/>
      <w:r w:rsidRPr="00376A50">
        <w:rPr>
          <w:sz w:val="18"/>
        </w:rPr>
        <w:t>Ierapetritou</w:t>
      </w:r>
      <w:proofErr w:type="spellEnd"/>
      <w:r w:rsidRPr="00376A50">
        <w:rPr>
          <w:sz w:val="18"/>
        </w:rPr>
        <w:t xml:space="preserve">, M., 2017. </w:t>
      </w:r>
      <w:proofErr w:type="spellStart"/>
      <w:r w:rsidRPr="00EA6D75">
        <w:rPr>
          <w:i/>
          <w:iCs/>
          <w:sz w:val="18"/>
        </w:rPr>
        <w:t>Comput</w:t>
      </w:r>
      <w:proofErr w:type="spellEnd"/>
      <w:r w:rsidRPr="00EA6D75">
        <w:rPr>
          <w:i/>
          <w:iCs/>
          <w:sz w:val="18"/>
        </w:rPr>
        <w:t>. Chem. Eng.</w:t>
      </w:r>
      <w:r w:rsidRPr="00376A50">
        <w:rPr>
          <w:sz w:val="18"/>
        </w:rPr>
        <w:t xml:space="preserve"> 107, 77–91.</w:t>
      </w:r>
    </w:p>
    <w:p w14:paraId="3AD6B4ED" w14:textId="159893C5" w:rsidR="00376A50" w:rsidRPr="00376A50" w:rsidRDefault="00376A50" w:rsidP="00376A50">
      <w:pPr>
        <w:pStyle w:val="Bibliography"/>
        <w:rPr>
          <w:sz w:val="18"/>
        </w:rPr>
      </w:pPr>
      <w:r w:rsidRPr="00376A50">
        <w:rPr>
          <w:sz w:val="18"/>
        </w:rPr>
        <w:t xml:space="preserve">Yadav, I.K., Holman, J., Meehan, E., Tahir, F., </w:t>
      </w:r>
      <w:proofErr w:type="spellStart"/>
      <w:r w:rsidRPr="00376A50">
        <w:rPr>
          <w:sz w:val="18"/>
        </w:rPr>
        <w:t>Khoo</w:t>
      </w:r>
      <w:proofErr w:type="spellEnd"/>
      <w:r w:rsidRPr="00376A50">
        <w:rPr>
          <w:sz w:val="18"/>
        </w:rPr>
        <w:t xml:space="preserve">, J., Taylor, J., Benedetti, A., </w:t>
      </w:r>
      <w:proofErr w:type="spellStart"/>
      <w:r w:rsidRPr="00376A50">
        <w:rPr>
          <w:sz w:val="18"/>
        </w:rPr>
        <w:t>Aderinto</w:t>
      </w:r>
      <w:proofErr w:type="spellEnd"/>
      <w:r w:rsidRPr="00376A50">
        <w:rPr>
          <w:sz w:val="18"/>
        </w:rPr>
        <w:t xml:space="preserve">, O., </w:t>
      </w:r>
      <w:proofErr w:type="spellStart"/>
      <w:r w:rsidRPr="00376A50">
        <w:rPr>
          <w:sz w:val="18"/>
        </w:rPr>
        <w:t>Bajwa</w:t>
      </w:r>
      <w:proofErr w:type="spellEnd"/>
      <w:r w:rsidRPr="00376A50">
        <w:rPr>
          <w:sz w:val="18"/>
        </w:rPr>
        <w:t xml:space="preserve">, G., 2019. </w:t>
      </w:r>
      <w:r w:rsidRPr="00EA6D75">
        <w:rPr>
          <w:i/>
          <w:iCs/>
          <w:sz w:val="18"/>
        </w:rPr>
        <w:t>Powder Technol.</w:t>
      </w:r>
      <w:r w:rsidRPr="00376A50">
        <w:rPr>
          <w:sz w:val="18"/>
        </w:rPr>
        <w:t xml:space="preserve"> 348, 126–137.</w:t>
      </w:r>
    </w:p>
    <w:p w14:paraId="6D1D9A78" w14:textId="7F370B6D" w:rsidR="00170A47" w:rsidRPr="00E83556" w:rsidRDefault="00376A50" w:rsidP="00E83556">
      <w:pPr>
        <w:pStyle w:val="Bibliography"/>
        <w:rPr>
          <w:sz w:val="18"/>
        </w:rPr>
      </w:pPr>
      <w:r w:rsidRPr="00376A50">
        <w:rPr>
          <w:sz w:val="18"/>
        </w:rPr>
        <w:t>Yu, Y., 1997. (Doctoral Thesis). University of Wollongong.</w:t>
      </w:r>
    </w:p>
    <w:sectPr w:rsidR="00170A47" w:rsidRPr="00E83556"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935" w14:textId="77777777" w:rsidR="008E16CB" w:rsidRDefault="008E16CB">
      <w:r>
        <w:separator/>
      </w:r>
    </w:p>
  </w:endnote>
  <w:endnote w:type="continuationSeparator" w:id="0">
    <w:p w14:paraId="6C2F308F" w14:textId="77777777" w:rsidR="008E16CB" w:rsidRDefault="008E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4F850" w14:textId="77777777" w:rsidR="008E16CB" w:rsidRDefault="008E16CB">
      <w:r>
        <w:separator/>
      </w:r>
    </w:p>
  </w:footnote>
  <w:footnote w:type="continuationSeparator" w:id="0">
    <w:p w14:paraId="0CA345DE" w14:textId="77777777" w:rsidR="008E16CB" w:rsidRDefault="008E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ED66313" w:rsidR="00DD3D9E" w:rsidRDefault="00DD3D9E">
    <w:pPr>
      <w:pStyle w:val="Header"/>
      <w:tabs>
        <w:tab w:val="clear" w:pos="7200"/>
        <w:tab w:val="right" w:pos="7088"/>
      </w:tabs>
    </w:pPr>
    <w:r>
      <w:rPr>
        <w:rStyle w:val="PageNumber"/>
      </w:rPr>
      <w:tab/>
    </w:r>
    <w:r>
      <w:rPr>
        <w:rStyle w:val="PageNumber"/>
        <w:i/>
      </w:rPr>
      <w:tab/>
    </w:r>
    <w:r w:rsidR="00370C93">
      <w:rPr>
        <w:i/>
      </w:rPr>
      <w:t>H. G. Jolliffe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30603C37" w:rsidR="00DD3D9E" w:rsidRDefault="00603029">
    <w:pPr>
      <w:pStyle w:val="Header"/>
      <w:tabs>
        <w:tab w:val="clear" w:pos="7200"/>
        <w:tab w:val="right" w:pos="7088"/>
      </w:tabs>
      <w:jc w:val="right"/>
      <w:rPr>
        <w:sz w:val="24"/>
      </w:rPr>
    </w:pPr>
    <w:r w:rsidRPr="00603029">
      <w:rPr>
        <w:i/>
      </w:rPr>
      <w:t>Loss-in-Weight feeder performance prediction using Machine Learning.</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495144B"/>
    <w:multiLevelType w:val="hybridMultilevel"/>
    <w:tmpl w:val="7BF2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327AA"/>
    <w:rsid w:val="00035940"/>
    <w:rsid w:val="00035B78"/>
    <w:rsid w:val="000620E9"/>
    <w:rsid w:val="00080637"/>
    <w:rsid w:val="000822D8"/>
    <w:rsid w:val="00095912"/>
    <w:rsid w:val="000C597C"/>
    <w:rsid w:val="000D3D9B"/>
    <w:rsid w:val="00124816"/>
    <w:rsid w:val="001303A3"/>
    <w:rsid w:val="00153DC0"/>
    <w:rsid w:val="0016032F"/>
    <w:rsid w:val="001651B8"/>
    <w:rsid w:val="00170A47"/>
    <w:rsid w:val="001879F6"/>
    <w:rsid w:val="001944A8"/>
    <w:rsid w:val="001B0B90"/>
    <w:rsid w:val="001C00BD"/>
    <w:rsid w:val="001C0148"/>
    <w:rsid w:val="001C376E"/>
    <w:rsid w:val="001C757E"/>
    <w:rsid w:val="001E6283"/>
    <w:rsid w:val="001F1CA3"/>
    <w:rsid w:val="001F4F5D"/>
    <w:rsid w:val="0020390F"/>
    <w:rsid w:val="002058CD"/>
    <w:rsid w:val="0022380B"/>
    <w:rsid w:val="00224346"/>
    <w:rsid w:val="00234C21"/>
    <w:rsid w:val="00264926"/>
    <w:rsid w:val="00296B45"/>
    <w:rsid w:val="002B0C7F"/>
    <w:rsid w:val="002B2F3D"/>
    <w:rsid w:val="002B5576"/>
    <w:rsid w:val="0031780F"/>
    <w:rsid w:val="00337D47"/>
    <w:rsid w:val="003466A4"/>
    <w:rsid w:val="00353A8B"/>
    <w:rsid w:val="00354CF8"/>
    <w:rsid w:val="00370C93"/>
    <w:rsid w:val="00372864"/>
    <w:rsid w:val="00376A50"/>
    <w:rsid w:val="003846FF"/>
    <w:rsid w:val="003934D6"/>
    <w:rsid w:val="003B226E"/>
    <w:rsid w:val="003D1582"/>
    <w:rsid w:val="003D72CC"/>
    <w:rsid w:val="003D7E4C"/>
    <w:rsid w:val="003E41C2"/>
    <w:rsid w:val="0040467F"/>
    <w:rsid w:val="00426B00"/>
    <w:rsid w:val="0042723F"/>
    <w:rsid w:val="00432967"/>
    <w:rsid w:val="00433FB9"/>
    <w:rsid w:val="00437557"/>
    <w:rsid w:val="00444AB3"/>
    <w:rsid w:val="00463137"/>
    <w:rsid w:val="0049772C"/>
    <w:rsid w:val="004C1083"/>
    <w:rsid w:val="004D7E08"/>
    <w:rsid w:val="004E4C14"/>
    <w:rsid w:val="004F0ABE"/>
    <w:rsid w:val="00526C29"/>
    <w:rsid w:val="00540F5A"/>
    <w:rsid w:val="00541FCF"/>
    <w:rsid w:val="00550BCE"/>
    <w:rsid w:val="00551D3E"/>
    <w:rsid w:val="00552EEB"/>
    <w:rsid w:val="00561A94"/>
    <w:rsid w:val="00571057"/>
    <w:rsid w:val="005714B8"/>
    <w:rsid w:val="00583B11"/>
    <w:rsid w:val="005F6F5B"/>
    <w:rsid w:val="00603029"/>
    <w:rsid w:val="00617FA4"/>
    <w:rsid w:val="0063426F"/>
    <w:rsid w:val="0064001C"/>
    <w:rsid w:val="006717DB"/>
    <w:rsid w:val="006A69BF"/>
    <w:rsid w:val="006B7F78"/>
    <w:rsid w:val="006D5B0F"/>
    <w:rsid w:val="00711DF4"/>
    <w:rsid w:val="00723A64"/>
    <w:rsid w:val="00730756"/>
    <w:rsid w:val="0075119A"/>
    <w:rsid w:val="007517D0"/>
    <w:rsid w:val="00753A4E"/>
    <w:rsid w:val="00760373"/>
    <w:rsid w:val="00766D19"/>
    <w:rsid w:val="00782640"/>
    <w:rsid w:val="007868D3"/>
    <w:rsid w:val="007A1C25"/>
    <w:rsid w:val="007B08B3"/>
    <w:rsid w:val="007B0AC0"/>
    <w:rsid w:val="007B0FEF"/>
    <w:rsid w:val="007D2EBF"/>
    <w:rsid w:val="007D70A1"/>
    <w:rsid w:val="007F49AD"/>
    <w:rsid w:val="008132E8"/>
    <w:rsid w:val="008160E2"/>
    <w:rsid w:val="00823407"/>
    <w:rsid w:val="00825017"/>
    <w:rsid w:val="008258D4"/>
    <w:rsid w:val="00844BB4"/>
    <w:rsid w:val="00870C7B"/>
    <w:rsid w:val="00873713"/>
    <w:rsid w:val="008764A3"/>
    <w:rsid w:val="008B0184"/>
    <w:rsid w:val="008C5D02"/>
    <w:rsid w:val="008D2649"/>
    <w:rsid w:val="008D64FF"/>
    <w:rsid w:val="008E16CB"/>
    <w:rsid w:val="008F323C"/>
    <w:rsid w:val="0090415F"/>
    <w:rsid w:val="0090568D"/>
    <w:rsid w:val="009125C9"/>
    <w:rsid w:val="00913879"/>
    <w:rsid w:val="00914D94"/>
    <w:rsid w:val="00917661"/>
    <w:rsid w:val="00926DF1"/>
    <w:rsid w:val="00966A48"/>
    <w:rsid w:val="00970E5D"/>
    <w:rsid w:val="0097701C"/>
    <w:rsid w:val="00980A65"/>
    <w:rsid w:val="009A5547"/>
    <w:rsid w:val="009B7C3D"/>
    <w:rsid w:val="009C6DB3"/>
    <w:rsid w:val="009D19D8"/>
    <w:rsid w:val="009F632A"/>
    <w:rsid w:val="00A25E70"/>
    <w:rsid w:val="00A33765"/>
    <w:rsid w:val="00A36122"/>
    <w:rsid w:val="00A63269"/>
    <w:rsid w:val="00A770E4"/>
    <w:rsid w:val="00A92377"/>
    <w:rsid w:val="00AA561A"/>
    <w:rsid w:val="00AB29ED"/>
    <w:rsid w:val="00AB7B90"/>
    <w:rsid w:val="00AC55FB"/>
    <w:rsid w:val="00AD7379"/>
    <w:rsid w:val="00AE4BD8"/>
    <w:rsid w:val="00AF1B04"/>
    <w:rsid w:val="00AF3331"/>
    <w:rsid w:val="00AF41CF"/>
    <w:rsid w:val="00B06FFF"/>
    <w:rsid w:val="00B34BF1"/>
    <w:rsid w:val="00B408AA"/>
    <w:rsid w:val="00B4388F"/>
    <w:rsid w:val="00B535DA"/>
    <w:rsid w:val="00B63237"/>
    <w:rsid w:val="00B77167"/>
    <w:rsid w:val="00BB032B"/>
    <w:rsid w:val="00BB785C"/>
    <w:rsid w:val="00BC6286"/>
    <w:rsid w:val="00BD2B21"/>
    <w:rsid w:val="00BD59D0"/>
    <w:rsid w:val="00BF2AE6"/>
    <w:rsid w:val="00BF44B6"/>
    <w:rsid w:val="00C01249"/>
    <w:rsid w:val="00C03B55"/>
    <w:rsid w:val="00C0567B"/>
    <w:rsid w:val="00C16799"/>
    <w:rsid w:val="00C32539"/>
    <w:rsid w:val="00C4330B"/>
    <w:rsid w:val="00C65EFD"/>
    <w:rsid w:val="00C7248A"/>
    <w:rsid w:val="00C7780B"/>
    <w:rsid w:val="00C960DC"/>
    <w:rsid w:val="00C96F2B"/>
    <w:rsid w:val="00CA713F"/>
    <w:rsid w:val="00CA7CF1"/>
    <w:rsid w:val="00CE7D1A"/>
    <w:rsid w:val="00D02C75"/>
    <w:rsid w:val="00D10E22"/>
    <w:rsid w:val="00D13D2C"/>
    <w:rsid w:val="00D90264"/>
    <w:rsid w:val="00DC2F94"/>
    <w:rsid w:val="00DD3D9E"/>
    <w:rsid w:val="00DD53BC"/>
    <w:rsid w:val="00DD7908"/>
    <w:rsid w:val="00DE4B24"/>
    <w:rsid w:val="00E02362"/>
    <w:rsid w:val="00E07029"/>
    <w:rsid w:val="00E270A5"/>
    <w:rsid w:val="00E270F5"/>
    <w:rsid w:val="00E54F97"/>
    <w:rsid w:val="00E63A4D"/>
    <w:rsid w:val="00E82297"/>
    <w:rsid w:val="00E83556"/>
    <w:rsid w:val="00E9269D"/>
    <w:rsid w:val="00EA6D75"/>
    <w:rsid w:val="00EC40E5"/>
    <w:rsid w:val="00EC667A"/>
    <w:rsid w:val="00EF39FD"/>
    <w:rsid w:val="00F06842"/>
    <w:rsid w:val="00F107FD"/>
    <w:rsid w:val="00F24DAA"/>
    <w:rsid w:val="00F336FB"/>
    <w:rsid w:val="00F4349B"/>
    <w:rsid w:val="00F9336B"/>
    <w:rsid w:val="00F97F92"/>
    <w:rsid w:val="00FB64A8"/>
    <w:rsid w:val="00FB7EE5"/>
    <w:rsid w:val="00FC3B34"/>
    <w:rsid w:val="00FC5AD3"/>
    <w:rsid w:val="00FD13A6"/>
    <w:rsid w:val="00FD380B"/>
    <w:rsid w:val="00FE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2CD057D9-8169-4841-B56E-DE38E5E7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link w:val="CaptionChar"/>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370C93"/>
    <w:pPr>
      <w:ind w:left="720" w:hanging="720"/>
    </w:pPr>
  </w:style>
  <w:style w:type="table" w:styleId="TableGrid">
    <w:name w:val="Table Grid"/>
    <w:basedOn w:val="TableNormal"/>
    <w:uiPriority w:val="59"/>
    <w:rsid w:val="00914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D94"/>
    <w:pPr>
      <w:spacing w:before="120" w:line="360" w:lineRule="auto"/>
      <w:ind w:left="720"/>
      <w:contextualSpacing/>
      <w:jc w:val="both"/>
    </w:pPr>
    <w:rPr>
      <w:rFonts w:eastAsiaTheme="minorHAnsi" w:cstheme="minorBidi"/>
      <w:sz w:val="22"/>
      <w:szCs w:val="22"/>
    </w:rPr>
  </w:style>
  <w:style w:type="character" w:customStyle="1" w:styleId="CaptionChar">
    <w:name w:val="Caption Char"/>
    <w:basedOn w:val="DefaultParagraphFont"/>
    <w:link w:val="Caption"/>
    <w:uiPriority w:val="35"/>
    <w:rsid w:val="00353A8B"/>
    <w:rPr>
      <w:sz w:val="18"/>
      <w:lang w:val="en-US" w:eastAsia="en-US"/>
    </w:rPr>
  </w:style>
  <w:style w:type="paragraph" w:customStyle="1" w:styleId="PaperPX">
    <w:name w:val="Paper PX"/>
    <w:basedOn w:val="Normal"/>
    <w:qFormat/>
    <w:rsid w:val="00873713"/>
    <w:pPr>
      <w:ind w:firstLine="227"/>
      <w:jc w:val="both"/>
    </w:pPr>
    <w:rPr>
      <w:rFonts w:eastAsiaTheme="minorHAnsi"/>
      <w:iCs/>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8788-51C4-4E5E-9D70-D657F418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317</TotalTime>
  <Pages>6</Pages>
  <Words>2608</Words>
  <Characters>14871</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Loss-in-Weight feeder performance prediction using Machine Learning</vt:lpstr>
      <vt:lpstr>Chapter</vt:lpstr>
    </vt:vector>
  </TitlesOfParts>
  <Company>Elsevier Science</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Loss-in-Weight feeder performance prediction using Machine Learning</dc:title>
  <dc:subject/>
  <dc:creator>Hikaru G. Jolliffe</dc:creator>
  <cp:keywords/>
  <dc:description/>
  <cp:lastModifiedBy>Hikaru Jolliffe</cp:lastModifiedBy>
  <cp:revision>17</cp:revision>
  <cp:lastPrinted>2023-11-23T16:39:00Z</cp:lastPrinted>
  <dcterms:created xsi:type="dcterms:W3CDTF">2023-11-22T12:33:00Z</dcterms:created>
  <dcterms:modified xsi:type="dcterms:W3CDTF">2023-12-07T16:01:00Z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id="alQiYj2j"/&gt;&lt;style id="http://www.zotero.org/styles/elsevier-harvard" hasBibliography="1" bibliographyStyleHasBeenSet="1"/&gt;&lt;prefs&gt;&lt;pref name="fieldType" value="Field"/&gt;&lt;pref name="automaticJournal</vt:lpwstr>
  </property>
  <property fmtid="{D5CDD505-2E9C-101B-9397-08002B2CF9AE}" pid="11" name="ZOTERO_PREF_2">
    <vt:lpwstr>Abbreviations" value="true"/&gt;&lt;/prefs&gt;&lt;/data&gt;</vt:lpwstr>
  </property>
</Properties>
</file>