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59127DBC" w:rsidR="00DD3D9E" w:rsidRPr="00B4388F" w:rsidRDefault="003E66EF">
      <w:pPr>
        <w:pStyle w:val="Els-Title"/>
        <w:rPr>
          <w:color w:val="000000" w:themeColor="text1"/>
        </w:rPr>
      </w:pPr>
      <w:r>
        <w:rPr>
          <w:color w:val="000000" w:themeColor="text1"/>
        </w:rPr>
        <w:t xml:space="preserve">Prediction of </w:t>
      </w:r>
      <w:r w:rsidR="00D1579A">
        <w:rPr>
          <w:color w:val="000000" w:themeColor="text1"/>
        </w:rPr>
        <w:t>L</w:t>
      </w:r>
      <w:r>
        <w:rPr>
          <w:color w:val="000000" w:themeColor="text1"/>
        </w:rPr>
        <w:t xml:space="preserve">ife </w:t>
      </w:r>
      <w:r w:rsidR="00D1579A">
        <w:rPr>
          <w:color w:val="000000" w:themeColor="text1"/>
        </w:rPr>
        <w:t>C</w:t>
      </w:r>
      <w:r>
        <w:rPr>
          <w:color w:val="000000" w:themeColor="text1"/>
        </w:rPr>
        <w:t xml:space="preserve">ycle </w:t>
      </w:r>
      <w:r w:rsidR="00D1579A">
        <w:rPr>
          <w:color w:val="000000" w:themeColor="text1"/>
        </w:rPr>
        <w:t>I</w:t>
      </w:r>
      <w:r>
        <w:rPr>
          <w:color w:val="000000" w:themeColor="text1"/>
        </w:rPr>
        <w:t xml:space="preserve">nventories for </w:t>
      </w:r>
      <w:r w:rsidR="00D1579A">
        <w:rPr>
          <w:color w:val="000000" w:themeColor="text1"/>
        </w:rPr>
        <w:t>I</w:t>
      </w:r>
      <w:r>
        <w:rPr>
          <w:color w:val="000000" w:themeColor="text1"/>
        </w:rPr>
        <w:t xml:space="preserve">ndustrial </w:t>
      </w:r>
      <w:r w:rsidR="00D1579A">
        <w:rPr>
          <w:color w:val="000000" w:themeColor="text1"/>
        </w:rPr>
        <w:t>W</w:t>
      </w:r>
      <w:r>
        <w:rPr>
          <w:color w:val="000000" w:themeColor="text1"/>
        </w:rPr>
        <w:t xml:space="preserve">aste </w:t>
      </w:r>
      <w:r w:rsidR="00D1579A">
        <w:rPr>
          <w:color w:val="000000" w:themeColor="text1"/>
        </w:rPr>
        <w:t>T</w:t>
      </w:r>
      <w:r>
        <w:rPr>
          <w:color w:val="000000" w:themeColor="text1"/>
        </w:rPr>
        <w:t xml:space="preserve">reatment </w:t>
      </w:r>
      <w:r w:rsidR="00D1579A">
        <w:rPr>
          <w:color w:val="000000" w:themeColor="text1"/>
        </w:rPr>
        <w:t>P</w:t>
      </w:r>
      <w:r>
        <w:rPr>
          <w:color w:val="000000" w:themeColor="text1"/>
        </w:rPr>
        <w:t xml:space="preserve">rocesses from </w:t>
      </w:r>
      <w:r w:rsidR="00D1579A">
        <w:rPr>
          <w:color w:val="000000" w:themeColor="text1"/>
        </w:rPr>
        <w:t>H</w:t>
      </w:r>
      <w:r>
        <w:rPr>
          <w:color w:val="000000" w:themeColor="text1"/>
        </w:rPr>
        <w:t xml:space="preserve">istorical </w:t>
      </w:r>
      <w:r w:rsidR="00D1579A">
        <w:rPr>
          <w:color w:val="000000" w:themeColor="text1"/>
        </w:rPr>
        <w:t>D</w:t>
      </w:r>
      <w:r>
        <w:rPr>
          <w:color w:val="000000" w:themeColor="text1"/>
        </w:rPr>
        <w:t xml:space="preserve">ata using </w:t>
      </w:r>
      <w:r w:rsidR="00D1579A">
        <w:rPr>
          <w:color w:val="000000" w:themeColor="text1"/>
        </w:rPr>
        <w:t>M</w:t>
      </w:r>
      <w:r>
        <w:rPr>
          <w:color w:val="000000" w:themeColor="text1"/>
        </w:rPr>
        <w:t xml:space="preserve">achine </w:t>
      </w:r>
      <w:r w:rsidR="00D1579A">
        <w:rPr>
          <w:color w:val="000000" w:themeColor="text1"/>
        </w:rPr>
        <w:t>L</w:t>
      </w:r>
      <w:r>
        <w:rPr>
          <w:color w:val="000000" w:themeColor="text1"/>
        </w:rPr>
        <w:t xml:space="preserve">earning and </w:t>
      </w:r>
      <w:r w:rsidR="00D1579A">
        <w:rPr>
          <w:color w:val="000000" w:themeColor="text1"/>
        </w:rPr>
        <w:t>P</w:t>
      </w:r>
      <w:r>
        <w:rPr>
          <w:color w:val="000000" w:themeColor="text1"/>
        </w:rPr>
        <w:t xml:space="preserve">hysical </w:t>
      </w:r>
      <w:r w:rsidR="00D1579A">
        <w:rPr>
          <w:color w:val="000000" w:themeColor="text1"/>
        </w:rPr>
        <w:t>M</w:t>
      </w:r>
      <w:r>
        <w:rPr>
          <w:color w:val="000000" w:themeColor="text1"/>
        </w:rPr>
        <w:t>odels</w:t>
      </w:r>
    </w:p>
    <w:p w14:paraId="144DE680" w14:textId="37E2E890" w:rsidR="00DD3D9E" w:rsidRDefault="00497486">
      <w:pPr>
        <w:pStyle w:val="Els-Author"/>
      </w:pPr>
      <w:r>
        <w:t>Sabine Hallamasek,</w:t>
      </w:r>
      <w:r w:rsidR="00AB69B6" w:rsidRPr="00AB69B6">
        <w:rPr>
          <w:vertAlign w:val="superscript"/>
        </w:rPr>
        <w:t>a</w:t>
      </w:r>
      <w:r>
        <w:t xml:space="preserve"> </w:t>
      </w:r>
      <w:r w:rsidR="00AF122A">
        <w:t>Do</w:t>
      </w:r>
      <w:r w:rsidR="00D761E9" w:rsidRPr="00D761E9">
        <w:t>ğ</w:t>
      </w:r>
      <w:r w:rsidR="00AF122A">
        <w:t>ancan Karan</w:t>
      </w:r>
      <w:r w:rsidR="00D761E9">
        <w:t>,</w:t>
      </w:r>
      <w:r w:rsidR="00AB69B6" w:rsidRPr="00AB69B6">
        <w:rPr>
          <w:vertAlign w:val="superscript"/>
        </w:rPr>
        <w:t>b</w:t>
      </w:r>
      <w:r w:rsidR="00D761E9">
        <w:t xml:space="preserve"> Frank Roschangar,</w:t>
      </w:r>
      <w:r w:rsidR="00C2452F" w:rsidRPr="00C2452F">
        <w:rPr>
          <w:vertAlign w:val="superscript"/>
        </w:rPr>
        <w:t>c</w:t>
      </w:r>
      <w:r w:rsidR="00D761E9">
        <w:t xml:space="preserve"> Fabian Stiefel,</w:t>
      </w:r>
      <w:r w:rsidR="00C2452F" w:rsidRPr="00C2452F">
        <w:rPr>
          <w:vertAlign w:val="superscript"/>
        </w:rPr>
        <w:t>d</w:t>
      </w:r>
      <w:r w:rsidR="00D761E9">
        <w:t xml:space="preserve"> Judith Fellner,</w:t>
      </w:r>
      <w:r w:rsidR="00C2452F" w:rsidRPr="00C2452F">
        <w:rPr>
          <w:vertAlign w:val="superscript"/>
        </w:rPr>
        <w:t>e</w:t>
      </w:r>
      <w:r w:rsidR="00D761E9">
        <w:t xml:space="preserve"> Natalie Egreteau,</w:t>
      </w:r>
      <w:r w:rsidR="00C2452F" w:rsidRPr="00C2452F">
        <w:rPr>
          <w:vertAlign w:val="superscript"/>
        </w:rPr>
        <w:t>e</w:t>
      </w:r>
      <w:r w:rsidR="00D761E9">
        <w:t xml:space="preserve"> Moritz Mayer</w:t>
      </w:r>
      <w:r w:rsidR="00D13B4B">
        <w:t>,</w:t>
      </w:r>
      <w:r w:rsidR="00C2452F" w:rsidRPr="00C2452F">
        <w:rPr>
          <w:vertAlign w:val="superscript"/>
        </w:rPr>
        <w:t>e</w:t>
      </w:r>
      <w:r w:rsidR="00D13B4B">
        <w:t xml:space="preserve"> Hubert Weiser</w:t>
      </w:r>
      <w:r w:rsidR="00C2452F" w:rsidRPr="00C2452F">
        <w:rPr>
          <w:vertAlign w:val="superscript"/>
        </w:rPr>
        <w:t>e</w:t>
      </w:r>
      <w:r w:rsidR="00D761E9">
        <w:t xml:space="preserve"> and Alexei Lapkin</w:t>
      </w:r>
      <w:r w:rsidR="00AB69B6" w:rsidRPr="00AB69B6">
        <w:rPr>
          <w:vertAlign w:val="superscript"/>
        </w:rPr>
        <w:t>a,b</w:t>
      </w:r>
      <w:r w:rsidR="00444FBF">
        <w:rPr>
          <w:vertAlign w:val="superscript"/>
        </w:rPr>
        <w:t>*</w:t>
      </w:r>
    </w:p>
    <w:p w14:paraId="144DE681" w14:textId="1919A393" w:rsidR="00DD3D9E" w:rsidRDefault="00AB69B6">
      <w:pPr>
        <w:pStyle w:val="Els-Affiliation"/>
      </w:pPr>
      <w:r w:rsidRPr="00AB69B6">
        <w:rPr>
          <w:vertAlign w:val="superscript"/>
        </w:rPr>
        <w:t>a</w:t>
      </w:r>
      <w:r w:rsidR="00AB7270" w:rsidRPr="00AB7270">
        <w:t>Department of Chemical Engineering and Biotechnology, University of Cambridge, Philippa Fawcett Drive, Cambridge CB3 0AS, UK.</w:t>
      </w:r>
    </w:p>
    <w:p w14:paraId="29193AD1" w14:textId="77777777" w:rsidR="00C7733F" w:rsidRDefault="00C7733F" w:rsidP="00C7733F">
      <w:pPr>
        <w:pStyle w:val="Els-Affiliation"/>
      </w:pPr>
      <w:r w:rsidRPr="00AB69B6">
        <w:rPr>
          <w:vertAlign w:val="superscript"/>
        </w:rPr>
        <w:t>b</w:t>
      </w:r>
      <w:r w:rsidRPr="00AB69B6">
        <w:t>Cambridge Centre for Advanced Research and Education in Singapore, CARES Ltd. 1 CREATE Way, CREATE Tower #05-05, 138602 Singapore.</w:t>
      </w:r>
    </w:p>
    <w:p w14:paraId="2A01ED3F" w14:textId="77777777" w:rsidR="003F40ED" w:rsidRDefault="00C7733F">
      <w:pPr>
        <w:pStyle w:val="Els-Affiliation"/>
      </w:pPr>
      <w:r w:rsidRPr="003F40ED">
        <w:rPr>
          <w:vertAlign w:val="superscript"/>
        </w:rPr>
        <w:t>c</w:t>
      </w:r>
      <w:r w:rsidR="003F40ED" w:rsidRPr="003F40ED">
        <w:t>Development Sciences,  Boehringer Ingelheim Pharmaceuticals, Inc., 900 Ridgebury Road, Ridgefield, Connecticut 06877, USA.</w:t>
      </w:r>
    </w:p>
    <w:p w14:paraId="6994839C" w14:textId="77777777" w:rsidR="003F40ED" w:rsidRDefault="003F40ED">
      <w:pPr>
        <w:pStyle w:val="Els-Affiliation"/>
      </w:pPr>
      <w:r w:rsidRPr="003F40ED">
        <w:rPr>
          <w:vertAlign w:val="superscript"/>
        </w:rPr>
        <w:t>d</w:t>
      </w:r>
      <w:r w:rsidRPr="003F40ED">
        <w:t>Development Sciences, Boehringer Ingelheim Pharma GmbH &amp; Co. KG, Birkendorfer Straße 65, 88397 Biberach, Germany.</w:t>
      </w:r>
    </w:p>
    <w:p w14:paraId="144DE682" w14:textId="0189ED17" w:rsidR="00DD3D9E" w:rsidRDefault="003F40ED">
      <w:pPr>
        <w:pStyle w:val="Els-Affiliation"/>
      </w:pPr>
      <w:r w:rsidRPr="003F40ED">
        <w:rPr>
          <w:vertAlign w:val="superscript"/>
        </w:rPr>
        <w:t>e</w:t>
      </w:r>
      <w:r w:rsidRPr="003F40ED">
        <w:t>Boehringer Ingelheim RCV GmbH &amp; Co KG, Doktor-Boehringer-Gasse 5-11, A-1121 Vienna, Austria.</w:t>
      </w:r>
    </w:p>
    <w:p w14:paraId="144DE683" w14:textId="38D7B7FA" w:rsidR="008D2649" w:rsidRPr="00A94774" w:rsidRDefault="009F4DD1" w:rsidP="008D2649">
      <w:pPr>
        <w:pStyle w:val="Els-Affiliation"/>
        <w:spacing w:after="120"/>
      </w:pPr>
      <w:r>
        <w:t>aal35</w:t>
      </w:r>
      <w:r w:rsidR="008D2649" w:rsidRPr="00D22E38">
        <w:t>@</w:t>
      </w:r>
      <w:r>
        <w:t>cam</w:t>
      </w:r>
      <w:r w:rsidR="008D2649" w:rsidRPr="00D22E38">
        <w:t>.</w:t>
      </w:r>
      <w:r>
        <w:t>a</w:t>
      </w:r>
      <w:r w:rsidR="008D2649" w:rsidRPr="00D22E38">
        <w:t>c</w:t>
      </w:r>
      <w:r>
        <w:t>.</w:t>
      </w:r>
      <w:r w:rsidR="008D2649" w:rsidRPr="00D22E38">
        <w:t>u</w:t>
      </w:r>
      <w:r>
        <w:t>k</w:t>
      </w:r>
    </w:p>
    <w:p w14:paraId="144DE684" w14:textId="77777777" w:rsidR="008D2649" w:rsidRDefault="008D2649" w:rsidP="008D2649">
      <w:pPr>
        <w:pStyle w:val="Els-Abstract"/>
      </w:pPr>
      <w:r>
        <w:t>Abstract</w:t>
      </w:r>
    </w:p>
    <w:p w14:paraId="2F2AAE91" w14:textId="4441BF61" w:rsidR="005F4E08" w:rsidRDefault="00B02F7A" w:rsidP="005F4E08">
      <w:pPr>
        <w:pStyle w:val="Els-body-text"/>
        <w:spacing w:after="120"/>
        <w:rPr>
          <w:lang w:val="en-GB"/>
        </w:rPr>
      </w:pPr>
      <w:r w:rsidRPr="00B02F7A">
        <w:rPr>
          <w:lang w:val="en-GB"/>
        </w:rPr>
        <w:t xml:space="preserve">The treatment of waste effluents from industrial activity is a mandatory task to protect the ecosphere from pollutants. However, the operation of waste treatment systems </w:t>
      </w:r>
      <w:r w:rsidR="007E5BAE">
        <w:rPr>
          <w:lang w:val="en-GB"/>
        </w:rPr>
        <w:t>itself</w:t>
      </w:r>
      <w:r w:rsidRPr="00B02F7A">
        <w:rPr>
          <w:lang w:val="en-GB"/>
        </w:rPr>
        <w:t xml:space="preserve"> causes environmental impacts</w:t>
      </w:r>
      <w:r w:rsidR="00DB6839" w:rsidRPr="00B02F7A">
        <w:rPr>
          <w:lang w:val="en-GB"/>
        </w:rPr>
        <w:t>, which must be accounted for in life cycle assessment (LCA) studies of industrial processes</w:t>
      </w:r>
      <w:r w:rsidRPr="00B02F7A">
        <w:rPr>
          <w:lang w:val="en-GB"/>
        </w:rPr>
        <w:t xml:space="preserve">. The magnitude of the environmental impacts caused by a particular waste treatment process is dictated by the characteristics (composition, physical properties) of the treated waste, </w:t>
      </w:r>
      <w:r w:rsidR="00545694" w:rsidRPr="00545694">
        <w:rPr>
          <w:lang w:val="en-GB"/>
        </w:rPr>
        <w:t>s</w:t>
      </w:r>
      <w:r w:rsidR="00545694">
        <w:rPr>
          <w:lang w:val="en-GB"/>
        </w:rPr>
        <w:t>ince</w:t>
      </w:r>
      <w:r w:rsidR="00545694" w:rsidRPr="00545694">
        <w:rPr>
          <w:lang w:val="en-GB"/>
        </w:rPr>
        <w:t xml:space="preserve"> these affect the quantity of consumed </w:t>
      </w:r>
      <w:r w:rsidR="00C340A4">
        <w:rPr>
          <w:lang w:val="en-GB"/>
        </w:rPr>
        <w:t xml:space="preserve">process </w:t>
      </w:r>
      <w:r w:rsidR="00545694" w:rsidRPr="00545694">
        <w:rPr>
          <w:lang w:val="en-GB"/>
        </w:rPr>
        <w:t xml:space="preserve">auxiliaries. </w:t>
      </w:r>
      <w:r w:rsidR="00096632" w:rsidRPr="00B02F7A">
        <w:rPr>
          <w:lang w:val="en-GB"/>
        </w:rPr>
        <w:t>In this work we leverag</w:t>
      </w:r>
      <w:r w:rsidR="005F4E08">
        <w:rPr>
          <w:lang w:val="en-GB"/>
        </w:rPr>
        <w:t>ed</w:t>
      </w:r>
      <w:r w:rsidR="00096632" w:rsidRPr="00B02F7A">
        <w:rPr>
          <w:lang w:val="en-GB"/>
        </w:rPr>
        <w:t xml:space="preserve"> machine learning algorithms and historical process data of industrial waste treatment systems to identify relationships between waste characteristics and process performance</w:t>
      </w:r>
      <w:r w:rsidR="00B42BF6">
        <w:rPr>
          <w:lang w:val="en-GB"/>
        </w:rPr>
        <w:t>.</w:t>
      </w:r>
      <w:r w:rsidR="00A51D50">
        <w:rPr>
          <w:lang w:val="en-GB"/>
        </w:rPr>
        <w:t xml:space="preserve"> </w:t>
      </w:r>
      <w:r w:rsidR="00D30698">
        <w:rPr>
          <w:lang w:val="en-GB"/>
        </w:rPr>
        <w:t>T</w:t>
      </w:r>
      <w:r w:rsidR="00FF0047">
        <w:rPr>
          <w:lang w:val="en-GB"/>
        </w:rPr>
        <w:t>he</w:t>
      </w:r>
      <w:r w:rsidR="005F4E08" w:rsidRPr="00B02F7A">
        <w:rPr>
          <w:lang w:val="en-GB"/>
        </w:rPr>
        <w:t xml:space="preserve"> obtained correlations</w:t>
      </w:r>
      <w:r w:rsidR="00D30698">
        <w:rPr>
          <w:lang w:val="en-GB"/>
        </w:rPr>
        <w:t xml:space="preserve"> </w:t>
      </w:r>
      <w:r w:rsidR="00F34B0A">
        <w:rPr>
          <w:lang w:val="en-GB"/>
        </w:rPr>
        <w:t>are shown to</w:t>
      </w:r>
      <w:r w:rsidR="005F4E08" w:rsidRPr="00B02F7A">
        <w:rPr>
          <w:lang w:val="en-GB"/>
        </w:rPr>
        <w:t xml:space="preserve"> enable the calculation of waste-specific impacts of a given treatment system. </w:t>
      </w:r>
    </w:p>
    <w:p w14:paraId="237DA89D" w14:textId="54EF35F8" w:rsidR="000717B7" w:rsidRDefault="002F01D5" w:rsidP="008D2649">
      <w:pPr>
        <w:pStyle w:val="Els-body-text"/>
        <w:spacing w:after="120"/>
        <w:rPr>
          <w:lang w:val="en-GB"/>
        </w:rPr>
      </w:pPr>
      <w:r>
        <w:rPr>
          <w:b/>
          <w:bCs/>
          <w:lang w:val="en-GB"/>
        </w:rPr>
        <w:t>Keywords</w:t>
      </w:r>
      <w:r>
        <w:rPr>
          <w:lang w:val="en-GB"/>
        </w:rPr>
        <w:t xml:space="preserve">: </w:t>
      </w:r>
      <w:r w:rsidR="00E23F65">
        <w:rPr>
          <w:lang w:val="en-GB"/>
        </w:rPr>
        <w:t xml:space="preserve">predictive LCI, </w:t>
      </w:r>
      <w:r w:rsidR="000717B7">
        <w:rPr>
          <w:lang w:val="en-GB"/>
        </w:rPr>
        <w:t xml:space="preserve">machine learning, </w:t>
      </w:r>
      <w:r w:rsidR="00F305C4">
        <w:rPr>
          <w:lang w:val="en-GB"/>
        </w:rPr>
        <w:t xml:space="preserve">data-driven regression, </w:t>
      </w:r>
      <w:r w:rsidR="008B7951">
        <w:rPr>
          <w:lang w:val="en-GB"/>
        </w:rPr>
        <w:t xml:space="preserve">waste treatment, </w:t>
      </w:r>
      <w:r w:rsidR="00F305C4">
        <w:rPr>
          <w:lang w:val="en-GB"/>
        </w:rPr>
        <w:t>green chemistry</w:t>
      </w:r>
      <w:r w:rsidR="00781B2A">
        <w:rPr>
          <w:lang w:val="en-GB"/>
        </w:rPr>
        <w:t>.</w:t>
      </w:r>
    </w:p>
    <w:p w14:paraId="144DE689" w14:textId="76BB5B41" w:rsidR="008D2649" w:rsidRDefault="0002261D" w:rsidP="008D2649">
      <w:pPr>
        <w:pStyle w:val="Els-1storder-head"/>
      </w:pPr>
      <w:r>
        <w:t>Introduction</w:t>
      </w:r>
    </w:p>
    <w:p w14:paraId="7CB975D9" w14:textId="747C61F2" w:rsidR="00E133D7" w:rsidRPr="00E133D7" w:rsidRDefault="00E133D7" w:rsidP="00E133D7">
      <w:pPr>
        <w:pStyle w:val="Els-body-text"/>
        <w:spacing w:after="120"/>
        <w:rPr>
          <w:lang w:val="en-GB"/>
        </w:rPr>
      </w:pPr>
      <w:r w:rsidRPr="00E133D7">
        <w:rPr>
          <w:lang w:val="en-GB"/>
        </w:rPr>
        <w:t xml:space="preserve">Every year, enormous amounts of waste are generated by industrial activities, with the chemical industries acting as </w:t>
      </w:r>
      <w:r w:rsidR="0029089B">
        <w:rPr>
          <w:lang w:val="en-GB"/>
        </w:rPr>
        <w:t>one of the</w:t>
      </w:r>
      <w:r w:rsidRPr="00E133D7">
        <w:rPr>
          <w:lang w:val="en-GB"/>
        </w:rPr>
        <w:t xml:space="preserve"> key player</w:t>
      </w:r>
      <w:r w:rsidR="0029089B">
        <w:rPr>
          <w:lang w:val="en-GB"/>
        </w:rPr>
        <w:t>s</w:t>
      </w:r>
      <w:r w:rsidRPr="00E133D7">
        <w:rPr>
          <w:lang w:val="en-GB"/>
        </w:rPr>
        <w:t xml:space="preserve">. In 2020, the European Union reported the production of </w:t>
      </w:r>
      <w:r w:rsidR="008056D9">
        <w:rPr>
          <w:lang w:val="en-GB"/>
        </w:rPr>
        <w:t>55</w:t>
      </w:r>
      <w:r w:rsidRPr="00E133D7">
        <w:rPr>
          <w:lang w:val="en-GB"/>
        </w:rPr>
        <w:t xml:space="preserve"> million tons of waste for this sector</w:t>
      </w:r>
      <w:r w:rsidR="006B45F5">
        <w:rPr>
          <w:lang w:val="en-GB"/>
        </w:rPr>
        <w:t xml:space="preserve"> </w:t>
      </w:r>
      <w:r w:rsidR="0029089B" w:rsidRPr="00E133D7">
        <w:rPr>
          <w:lang w:val="en-GB"/>
        </w:rPr>
        <w:t xml:space="preserve">alone </w:t>
      </w:r>
      <w:r w:rsidR="006B45F5">
        <w:rPr>
          <w:lang w:val="en-GB"/>
        </w:rPr>
        <w:fldChar w:fldCharType="begin" w:fldLock="1"/>
      </w:r>
      <w:r w:rsidR="00665A31">
        <w:rPr>
          <w:lang w:val="en-GB"/>
        </w:rPr>
        <w:instrText>ADDIN CSL_CITATION {"citationItems":[{"id":"ITEM-1","itemData":{"URL":"https://ec.europa.eu/eurostat/databrowser/view/ENV_WASGEN__custom_2246895/default/table?lang=en","accessed":{"date-parts":[["2023","11","30"]]},"author":[{"dropping-particle":"","family":"Eurostat","given":"","non-dropping-particle":"","parse-names":false,"suffix":""}],"id":"ITEM-1","issued":{"date-parts":[["2023"]]},"publisher":"Eurpoean Commission","publisher-place":"Luxembourg","title":"Generation of waste by waste category, hazardousness and NACE Rev. 2 activity.","type":"webpage"},"uris":["http://www.mendeley.com/documents/?uuid=9efe4b28-f2cf-34db-b0e2-9c87f357ff6d"]}],"mendeley":{"formattedCitation":"(Eurostat, 2023)","plainTextFormattedCitation":"(Eurostat, 2023)","previouslyFormattedCitation":"(Eurostat, 2023)"},"properties":{"noteIndex":0},"schema":"https://github.com/citation-style-language/schema/raw/master/csl-citation.json"}</w:instrText>
      </w:r>
      <w:r w:rsidR="006B45F5">
        <w:rPr>
          <w:lang w:val="en-GB"/>
        </w:rPr>
        <w:fldChar w:fldCharType="separate"/>
      </w:r>
      <w:r w:rsidR="001F0AA4" w:rsidRPr="001F0AA4">
        <w:rPr>
          <w:noProof/>
          <w:lang w:val="en-GB"/>
        </w:rPr>
        <w:t>(Eurostat, 2023)</w:t>
      </w:r>
      <w:r w:rsidR="006B45F5">
        <w:rPr>
          <w:lang w:val="en-GB"/>
        </w:rPr>
        <w:fldChar w:fldCharType="end"/>
      </w:r>
      <w:r w:rsidRPr="00E133D7">
        <w:rPr>
          <w:lang w:val="en-GB"/>
        </w:rPr>
        <w:t>. Since the generated waste streams are often heavily contaminated</w:t>
      </w:r>
      <w:r w:rsidR="00C46495">
        <w:rPr>
          <w:lang w:val="en-GB"/>
        </w:rPr>
        <w:t xml:space="preserve"> with </w:t>
      </w:r>
      <w:r w:rsidR="00DE0485">
        <w:rPr>
          <w:lang w:val="en-GB"/>
        </w:rPr>
        <w:t>organic and in-</w:t>
      </w:r>
      <w:r w:rsidR="00DE0485">
        <w:rPr>
          <w:lang w:val="en-GB"/>
        </w:rPr>
        <w:lastRenderedPageBreak/>
        <w:t xml:space="preserve">organic </w:t>
      </w:r>
      <w:r w:rsidR="00BA4D03">
        <w:rPr>
          <w:lang w:val="en-GB"/>
        </w:rPr>
        <w:t>process</w:t>
      </w:r>
      <w:r w:rsidR="00DE0485">
        <w:rPr>
          <w:lang w:val="en-GB"/>
        </w:rPr>
        <w:t xml:space="preserve"> residue</w:t>
      </w:r>
      <w:r w:rsidR="00195D53">
        <w:rPr>
          <w:lang w:val="en-GB"/>
        </w:rPr>
        <w:t>s</w:t>
      </w:r>
      <w:r w:rsidRPr="00E133D7">
        <w:rPr>
          <w:lang w:val="en-GB"/>
        </w:rPr>
        <w:t>, it is imperative that effluents are treated appropriately</w:t>
      </w:r>
      <w:r w:rsidR="001A2EF0">
        <w:rPr>
          <w:lang w:val="en-GB"/>
        </w:rPr>
        <w:t>. Thereby</w:t>
      </w:r>
      <w:r w:rsidRPr="00E133D7">
        <w:rPr>
          <w:lang w:val="en-GB"/>
        </w:rPr>
        <w:t xml:space="preserve"> resources can be reused within the technosphere or returned safely to the ecosphere. However, while the treatment of hazardous wastes serves to mitigate the industry’s environmental footprint, it must be recognized that waste treatment processes themselves consume resources and release emissions, generating an inherent environmental impact which is attributable to the production process that generated the waste. </w:t>
      </w:r>
    </w:p>
    <w:p w14:paraId="29DDFA8D" w14:textId="04A1C1D2" w:rsidR="005B6081" w:rsidRPr="007200F7" w:rsidRDefault="00E133D7" w:rsidP="007200F7">
      <w:pPr>
        <w:pStyle w:val="Els-body-text"/>
        <w:spacing w:after="120"/>
        <w:rPr>
          <w:lang w:val="en-GB"/>
        </w:rPr>
      </w:pPr>
      <w:r w:rsidRPr="00E133D7">
        <w:rPr>
          <w:lang w:val="en-GB"/>
        </w:rPr>
        <w:t>The impact incurred by the treatment of a specific waste is dependent on the waste category, which determines the type of required treatment processes, as well as on the exact waste composition, since attributes such as pollutant concentration determine the operational response of a given treatment system in terms of consumed auxiliaries and utilities. Consequently, LCAs of industrial waste treatment systems should consider waste-specific life cycle inventories (LCIs) to obtain reliable impact estimations. However, waste-specific process data for waste treatment systems is not easily obtainable, particularly during early-stage process design, and the availability of waste-specific LCI estimation tools is rather low</w:t>
      </w:r>
      <w:r w:rsidR="00D37F04">
        <w:rPr>
          <w:lang w:val="en-GB"/>
        </w:rPr>
        <w:t xml:space="preserve"> </w:t>
      </w:r>
      <w:r w:rsidR="00607E3C">
        <w:rPr>
          <w:lang w:val="en-GB"/>
        </w:rPr>
        <w:fldChar w:fldCharType="begin" w:fldLock="1"/>
      </w:r>
      <w:r w:rsidR="00665A31">
        <w:rPr>
          <w:lang w:val="en-GB"/>
        </w:rPr>
        <w:instrText>ADDIN CSL_CITATION {"citationItems":[{"id":"ITEM-1","itemData":{"DOI":"10.1016/j.jclepro.2005.05.009","ISSN":"09596526","abstract":"Waste solvent incineration is an important issue in life cycle assessments (LCAs) dealing with chemical products and/or processes. Nearly all chemical products and processes involve organic solvents, and incineration is often the favoured solution to waste solvent treatment as it can deal with a large variety of solvent types and quantities. At present, there are no generic models for waste solvent incineration which allow integrating this technology as a unit process in LCA. As waste solvents as a rule are incinerated as a mixture of several solvents, an allocation problem occurs: measurements of the consumption of ancillaries and energy carriers, and of emission of pollutants and generation of co-products, always refer to the mixture of waste solvents. However, in LCAs usually waste specific data is needed. To solve this problem we developed a multi-input allocation model of the incineration process. A comprehensive case study on a waste solvent incineration plant from chemical industry provided the necessary data. The results from the multi-input allocation modelling are consumption and emission factors which facilitate the calculation of solvent specific life cycle inventory results. © 2005 Elsevier Ltd. All rights reserved.","author":[{"dropping-particle":"","family":"Seyler","given":"Christina","non-dropping-particle":"","parse-names":false,"suffix":""},{"dropping-particle":"","family":"Hofstetter","given":"Thomas B.","non-dropping-particle":"","parse-names":false,"suffix":""},{"dropping-particle":"","family":"Hungerbühler","given":"Konrad","non-dropping-particle":"","parse-names":false,"suffix":""}],"container-title":"Journal of Cleaner Production","id":"ITEM-1","issue":"13-14","issued":{"date-parts":[["2005","11","1"]]},"page":"1211-1224","publisher":"Elsevier","title":"Life cycle inventory for thermal treatment of waste solvent from chemical industry: A multi-input allocation model","type":"article-journal","volume":"13"},"uris":["http://www.mendeley.com/documents/?uuid=0ec55652-ddd0-37c5-81a9-0fd6645d21a8"]},{"id":"ITEM-2","itemData":{"DOI":"10.1021/es0617284","ISSN":"0013936X","PMID":"17822126","abstract":"Industrial wastewater-treatment systems need to ensure a high level of protection for the environment as a whole. Life-cycle assessment (LCA) comprehensively evaluates the environmental impacts of complex treatment systems, taking into account impacts from auxiliaries and energy consumption as well as emissions. However, the application of LCA is limited by a scarcity of wastewater-specific life-cycle inventory (LCI) data. This study presents a modular gate-to-gate inventory model for industrial wastewater purification in the chemical and related sectors. It enables the calculation of inventory parameters as a function of the wastewater composition and the technologies applied. Forthis purpose, data on energy and auxiliaries' consumption, wastewater composition, and process parameters was collected from chemical industry. On this basis, causal relationships between wastewater input, emissions, and technical inputs were identified. These causal relationships were translated into a generic inventory model. Generic and site-specific data ranges for LCI parameters are provided for the following processes: mechanical-biological treatment, high-pressure wet-air oxidation, nanofiltration, and extraction. The input-and technology-dependent process inventories help to bridge data gaps where primary data are not available. Thus, they substantially help to perform an environmental assessment of industrial wastewater purification in the chemical and associated industries, which may be used, for instance, for technology choices. © 2007 American Chemical Society.","author":[{"dropping-particle":"","family":"Köhler","given":"Annette","non-dropping-particle":"","parse-names":false,"suffix":""},{"dropping-particle":"","family":"Hellweg","given":"Stefanie","non-dropping-particle":"","parse-names":false,"suffix":""},{"dropping-particle":"","family":"Recan","given":"Ercan","non-dropping-particle":"","parse-names":false,"suffix":""},{"dropping-particle":"","family":"Hungerbühler","given":"Konrad","non-dropping-particle":"","parse-names":false,"suffix":""}],"container-title":"Environmental Science and Technology","id":"ITEM-2","issue":"15","issued":{"date-parts":[["2007","8","1"]]},"page":"5515-5522","publisher":"American Chemical Society","title":"Input-dependent life-cycle inventory model of industrial wastewater-treatment processes in the chemical sector","type":"article-journal","volume":"41"},"uris":["http://www.mendeley.com/documents/?uuid=4559a9c7-efed-3f69-87f6-68fec4d5672d"]},{"id":"ITEM-3","itemData":{"author":[{"dropping-particle":"","family":"Struijs","given":"J","non-dropping-particle":"","parse-names":false,"suffix":""}],"container-title":"RIVM report 601353005","id":"ITEM-3","issued":{"date-parts":[["2014"]]},"title":"SimpleTreat 4.0 : a model to predict fate and emission of chemicals in wastewater treatment plants","type":"article-journal"},"uris":["http://www.mendeley.com/documents/?uuid=f4c3c3a0-deee-487a-a5a2-8eb9da1f7c86"]}],"mendeley":{"formattedCitation":"(Köhler et al., 2007; Seyler et al., 2005; Struijs, 2014)","plainTextFormattedCitation":"(Köhler et al., 2007; Seyler et al., 2005; Struijs, 2014)","previouslyFormattedCitation":"(Köhler et al., 2007; Seyler et al., 2005; Struijs, 2014)"},"properties":{"noteIndex":0},"schema":"https://github.com/citation-style-language/schema/raw/master/csl-citation.json"}</w:instrText>
      </w:r>
      <w:r w:rsidR="00607E3C">
        <w:rPr>
          <w:lang w:val="en-GB"/>
        </w:rPr>
        <w:fldChar w:fldCharType="separate"/>
      </w:r>
      <w:r w:rsidR="003866BE" w:rsidRPr="003866BE">
        <w:rPr>
          <w:noProof/>
          <w:lang w:val="en-GB"/>
        </w:rPr>
        <w:t>(Köhler et al., 2007; Seyler et al., 2005; Struijs, 2014)</w:t>
      </w:r>
      <w:r w:rsidR="00607E3C">
        <w:rPr>
          <w:lang w:val="en-GB"/>
        </w:rPr>
        <w:fldChar w:fldCharType="end"/>
      </w:r>
      <w:r w:rsidR="002C6DCD" w:rsidRPr="00E133D7">
        <w:rPr>
          <w:lang w:val="en-GB"/>
        </w:rPr>
        <w:t>.</w:t>
      </w:r>
      <w:r w:rsidRPr="00E133D7">
        <w:rPr>
          <w:lang w:val="en-GB"/>
        </w:rPr>
        <w:t xml:space="preserve"> In the absence of waste-specific data, waste treatment LCIs are often estimated using generic datasets from commercial databases</w:t>
      </w:r>
      <w:r w:rsidR="00385EB4">
        <w:rPr>
          <w:lang w:val="en-GB"/>
        </w:rPr>
        <w:t xml:space="preserve"> </w:t>
      </w:r>
      <w:r w:rsidR="00607E3C">
        <w:rPr>
          <w:lang w:val="en-GB"/>
        </w:rPr>
        <w:fldChar w:fldCharType="begin" w:fldLock="1"/>
      </w:r>
      <w:r w:rsidR="00665A31">
        <w:rPr>
          <w:lang w:val="en-GB"/>
        </w:rPr>
        <w:instrText>ADDIN CSL_CITATION {"citationItems":[{"id":"ITEM-1","itemData":{"abstract":"Users migrating from the v3.7.1 (released 2020) to the v3.8 (released 2021) of the ecoinvent database are going to find some differences in the content and the scores obtained with the database. This report is describing at length the changes in content or modelling experienced by individual datasets in the database, as well as improvements and updates to the documentation or usability of the data.","author":[{"dropping-particle":"","family":"Moreno Ruiz","given":"Emilia","non-dropping-particle":"","parse-names":false,"suffix":""},{"dropping-particle":"","family":"FitzGerald","given":"David","non-dropping-particle":"","parse-names":false,"suffix":""},{"dropping-particle":"","family":"Bourgault","given":"G","non-dropping-particle":"","parse-names":false,"suffix":""},{"dropping-particle":"","family":"Vadenbo","given":"Carl","non-dropping-particle":"","parse-names":false,"suffix":""},{"dropping-particle":"","family":"Ioannidou","given":"Dimitra","non-dropping-particle":"","parse-names":false,"suffix":""},{"dropping-particle":"","family":"Symeonidis","given":"A","non-dropping-particle":"","parse-names":false,"suffix":""},{"dropping-particle":"","family":"Sonderegger","given":"Thomas","non-dropping-particle":"","parse-names":false,"suffix":""},{"dropping-particle":"","family":"Müller","given":"Johannes","non-dropping-particle":"","parse-names":false,"suffix":""},{"dropping-particle":"","family":"Dellenbach","given":"Daria","non-dropping-particle":"","parse-names":false,"suffix":""},{"dropping-particle":"","family":"Valsasina","given":"Lucia","non-dropping-particle":"","parse-names":false,"suffix":""},{"dropping-particle":"","family":"Minas","given":"Nora","non-dropping-particle":"","parse-names":false,"suffix":""},{"dropping-particle":"","family":"Baumann","given":"D","non-dropping-particle":"","parse-names":false,"suffix":""}],"id":"ITEM-1","issued":{"date-parts":[["2022"]]},"number-of-pages":"1-148","publisher-place":"Zürich, Switzerland","title":"Documentation of changes implemented in the ecoinvent database v3.9","type":"report"},"uris":["http://www.mendeley.com/documents/?uuid=cff7273d-2549-44e0-9324-a9d7c3fe8caf"]}],"mendeley":{"formattedCitation":"(Moreno Ruiz et al., 2022)","plainTextFormattedCitation":"(Moreno Ruiz et al., 2022)","previouslyFormattedCitation":"(Moreno Ruiz et al., 2022)"},"properties":{"noteIndex":0},"schema":"https://github.com/citation-style-language/schema/raw/master/csl-citation.json"}</w:instrText>
      </w:r>
      <w:r w:rsidR="00607E3C">
        <w:rPr>
          <w:lang w:val="en-GB"/>
        </w:rPr>
        <w:fldChar w:fldCharType="separate"/>
      </w:r>
      <w:r w:rsidR="001F0AA4" w:rsidRPr="003866BE">
        <w:rPr>
          <w:noProof/>
          <w:lang w:val="en-GB"/>
        </w:rPr>
        <w:t>(Moreno Ruiz et al., 2022)</w:t>
      </w:r>
      <w:r w:rsidR="00607E3C">
        <w:rPr>
          <w:lang w:val="en-GB"/>
        </w:rPr>
        <w:fldChar w:fldCharType="end"/>
      </w:r>
      <w:r w:rsidR="00385EB4" w:rsidRPr="00E133D7">
        <w:rPr>
          <w:lang w:val="en-GB"/>
        </w:rPr>
        <w:t>,</w:t>
      </w:r>
      <w:r w:rsidRPr="00E133D7">
        <w:rPr>
          <w:lang w:val="en-GB"/>
        </w:rPr>
        <w:t xml:space="preserve"> calculated through time-consuming process modelling, or omitted from the study scope, all of which can introduce significant skew into LCA results. In this work we aimed to close this knowledge gap by </w:t>
      </w:r>
      <w:r w:rsidR="00E268DD">
        <w:rPr>
          <w:lang w:val="en-GB"/>
        </w:rPr>
        <w:t>developing</w:t>
      </w:r>
      <w:r w:rsidRPr="00E133D7">
        <w:rPr>
          <w:lang w:val="en-GB"/>
        </w:rPr>
        <w:t xml:space="preserve"> waste-specific predictive LCI tools for a given waste treatment process from historical process datasets through the application of machine learning techniques.</w:t>
      </w:r>
    </w:p>
    <w:p w14:paraId="71EA99F0" w14:textId="4456F84D" w:rsidR="0002261D" w:rsidRDefault="0002261D" w:rsidP="0002261D">
      <w:pPr>
        <w:pStyle w:val="Els-1storder-head"/>
      </w:pPr>
      <w:r>
        <w:t>Methods</w:t>
      </w:r>
    </w:p>
    <w:p w14:paraId="1B31C45D" w14:textId="7B53CB55" w:rsidR="00BC6B21" w:rsidRDefault="00581983" w:rsidP="00D45B6C">
      <w:pPr>
        <w:pStyle w:val="Els-body-text"/>
        <w:spacing w:after="120"/>
        <w:rPr>
          <w:lang w:val="en-GB"/>
        </w:rPr>
      </w:pPr>
      <w:r>
        <w:rPr>
          <w:lang w:val="en-GB"/>
        </w:rPr>
        <w:t>A</w:t>
      </w:r>
      <w:r w:rsidR="00357A2B" w:rsidRPr="00357A2B">
        <w:rPr>
          <w:lang w:val="en-GB"/>
        </w:rPr>
        <w:t xml:space="preserve"> data-driven approach</w:t>
      </w:r>
      <w:r>
        <w:rPr>
          <w:lang w:val="en-GB"/>
        </w:rPr>
        <w:t xml:space="preserve"> was</w:t>
      </w:r>
      <w:r w:rsidR="00357A2B" w:rsidRPr="00357A2B">
        <w:rPr>
          <w:lang w:val="en-GB"/>
        </w:rPr>
        <w:t xml:space="preserve"> </w:t>
      </w:r>
      <w:r w:rsidRPr="00357A2B">
        <w:rPr>
          <w:lang w:val="en-GB"/>
        </w:rPr>
        <w:t xml:space="preserve">employed </w:t>
      </w:r>
      <w:r w:rsidR="00357A2B" w:rsidRPr="00357A2B">
        <w:rPr>
          <w:lang w:val="en-GB"/>
        </w:rPr>
        <w:t>to quantify the relationships between waste characteristics and the responses of the investigated waste treatment system</w:t>
      </w:r>
      <w:r w:rsidR="00E76D6D">
        <w:rPr>
          <w:lang w:val="en-GB"/>
        </w:rPr>
        <w:t>.</w:t>
      </w:r>
      <w:r w:rsidR="001D21AA" w:rsidRPr="001D21AA">
        <w:rPr>
          <w:lang w:val="en-GB"/>
        </w:rPr>
        <w:t xml:space="preserve"> </w:t>
      </w:r>
      <w:r w:rsidR="001D21AA">
        <w:rPr>
          <w:lang w:val="en-GB"/>
        </w:rPr>
        <w:t>The data was sourced from industry logs of real-time in</w:t>
      </w:r>
      <w:r w:rsidR="002305EE">
        <w:rPr>
          <w:lang w:val="en-GB"/>
        </w:rPr>
        <w:t>/on</w:t>
      </w:r>
      <w:r w:rsidR="001D21AA">
        <w:rPr>
          <w:lang w:val="en-GB"/>
        </w:rPr>
        <w:t>-line monitoring and control measurements, which provide a transparent account of system operation over extended time periods.</w:t>
      </w:r>
      <w:r w:rsidR="00783578">
        <w:rPr>
          <w:lang w:val="en-GB"/>
        </w:rPr>
        <w:t xml:space="preserve"> Logged characteristics of the waste feed (quantity, physical properties) were identified as system inputs, </w:t>
      </w:r>
      <w:r w:rsidR="00700111">
        <w:rPr>
          <w:lang w:val="en-GB"/>
        </w:rPr>
        <w:t>while</w:t>
      </w:r>
      <w:r w:rsidR="00E74163">
        <w:rPr>
          <w:lang w:val="en-GB"/>
        </w:rPr>
        <w:t xml:space="preserve"> </w:t>
      </w:r>
      <w:r w:rsidR="00F96FBB">
        <w:rPr>
          <w:lang w:val="en-GB"/>
        </w:rPr>
        <w:t>record</w:t>
      </w:r>
      <w:r w:rsidR="00D4071F">
        <w:rPr>
          <w:lang w:val="en-GB"/>
        </w:rPr>
        <w:t xml:space="preserve">s of </w:t>
      </w:r>
      <w:r w:rsidR="005635E5">
        <w:rPr>
          <w:lang w:val="en-GB"/>
        </w:rPr>
        <w:t>the system</w:t>
      </w:r>
      <w:r w:rsidR="00546A6D">
        <w:rPr>
          <w:lang w:val="en-GB"/>
        </w:rPr>
        <w:t>’</w:t>
      </w:r>
      <w:r w:rsidR="005635E5">
        <w:rPr>
          <w:lang w:val="en-GB"/>
        </w:rPr>
        <w:t>s resource and utility consumptions were classified as system outputs.</w:t>
      </w:r>
      <w:r w:rsidR="005635E5" w:rsidRPr="005635E5">
        <w:rPr>
          <w:lang w:val="en-GB"/>
        </w:rPr>
        <w:t xml:space="preserve"> </w:t>
      </w:r>
      <w:r w:rsidR="005635E5">
        <w:rPr>
          <w:lang w:val="en-GB"/>
        </w:rPr>
        <w:t>Correlating the system outputs to the variation in waste characteristics was treated as a machine learning regression problem, with the system inputs serving as numerical features</w:t>
      </w:r>
      <w:r w:rsidR="005635E5" w:rsidRPr="00357A2B">
        <w:rPr>
          <w:lang w:val="en-GB"/>
        </w:rPr>
        <w:t>.</w:t>
      </w:r>
      <w:r w:rsidR="008B75D3">
        <w:rPr>
          <w:lang w:val="en-GB"/>
        </w:rPr>
        <w:t xml:space="preserve"> </w:t>
      </w:r>
      <w:r w:rsidR="00357A2B" w:rsidRPr="00357A2B">
        <w:rPr>
          <w:lang w:val="en-GB"/>
        </w:rPr>
        <w:t xml:space="preserve">The presented method builds on the approach </w:t>
      </w:r>
      <w:r w:rsidR="005769DF">
        <w:rPr>
          <w:lang w:val="en-GB"/>
        </w:rPr>
        <w:t xml:space="preserve">taken </w:t>
      </w:r>
      <w:r w:rsidR="00357A2B" w:rsidRPr="00357A2B">
        <w:rPr>
          <w:lang w:val="en-GB"/>
        </w:rPr>
        <w:t>by Seyler et al.</w:t>
      </w:r>
      <w:r w:rsidR="005723D4">
        <w:rPr>
          <w:lang w:val="en-GB"/>
        </w:rPr>
        <w:t xml:space="preserve"> (</w:t>
      </w:r>
      <w:r w:rsidR="009606F9">
        <w:rPr>
          <w:lang w:val="en-GB"/>
        </w:rPr>
        <w:t>2005</w:t>
      </w:r>
      <w:r w:rsidR="005723D4">
        <w:rPr>
          <w:lang w:val="en-GB"/>
        </w:rPr>
        <w:t>)</w:t>
      </w:r>
      <w:r w:rsidR="00357A2B" w:rsidRPr="00357A2B">
        <w:rPr>
          <w:lang w:val="en-GB"/>
        </w:rPr>
        <w:t xml:space="preserve"> and Köhler et al.</w:t>
      </w:r>
      <w:r w:rsidR="005723D4">
        <w:rPr>
          <w:lang w:val="en-GB"/>
        </w:rPr>
        <w:t xml:space="preserve"> (</w:t>
      </w:r>
      <w:r w:rsidR="009606F9">
        <w:rPr>
          <w:lang w:val="en-GB"/>
        </w:rPr>
        <w:t>2007</w:t>
      </w:r>
      <w:r w:rsidR="002A1CE4">
        <w:rPr>
          <w:lang w:val="en-GB"/>
        </w:rPr>
        <w:t>)</w:t>
      </w:r>
      <w:r w:rsidR="002A1CE4" w:rsidRPr="002A1CE4">
        <w:rPr>
          <w:lang w:val="en-GB"/>
        </w:rPr>
        <w:t xml:space="preserve"> </w:t>
      </w:r>
      <w:r w:rsidR="002A1CE4">
        <w:rPr>
          <w:lang w:val="en-GB"/>
        </w:rPr>
        <w:t xml:space="preserve">for the </w:t>
      </w:r>
      <w:r w:rsidR="002A1CE4" w:rsidRPr="00357A2B">
        <w:rPr>
          <w:lang w:val="en-GB"/>
        </w:rPr>
        <w:t>develop</w:t>
      </w:r>
      <w:r w:rsidR="002A1CE4">
        <w:rPr>
          <w:lang w:val="en-GB"/>
        </w:rPr>
        <w:t>ment of</w:t>
      </w:r>
      <w:r w:rsidR="002A1CE4" w:rsidRPr="00357A2B">
        <w:rPr>
          <w:lang w:val="en-GB"/>
        </w:rPr>
        <w:t xml:space="preserve"> waste-specific LCI prediction tools</w:t>
      </w:r>
      <w:r w:rsidR="00357A2B" w:rsidRPr="00357A2B">
        <w:rPr>
          <w:lang w:val="en-GB"/>
        </w:rPr>
        <w:t xml:space="preserve">, who conceptualised that every consumption of a waste treatment process can be attributed to one or more specific waste characteristics. However, </w:t>
      </w:r>
      <w:r w:rsidR="00BC6B21">
        <w:rPr>
          <w:lang w:val="en-GB"/>
        </w:rPr>
        <w:t>while previous</w:t>
      </w:r>
      <w:r w:rsidR="00357A2B" w:rsidRPr="00357A2B">
        <w:rPr>
          <w:lang w:val="en-GB"/>
        </w:rPr>
        <w:t xml:space="preserve"> tools relied on averaged annual production data and required fundamental hypotheses on input-output relationships, this work benefits from access to more granular datasets and the leveraging of machine learning to </w:t>
      </w:r>
      <w:r w:rsidR="008A5489">
        <w:rPr>
          <w:lang w:val="en-GB"/>
        </w:rPr>
        <w:t>more accurately model</w:t>
      </w:r>
      <w:r w:rsidR="00CC4AA8">
        <w:rPr>
          <w:lang w:val="en-GB"/>
        </w:rPr>
        <w:t xml:space="preserve"> the</w:t>
      </w:r>
      <w:r w:rsidR="00357A2B" w:rsidRPr="00357A2B">
        <w:rPr>
          <w:lang w:val="en-GB"/>
        </w:rPr>
        <w:t xml:space="preserve"> true impact of multiple waste features on the system’s outputs.</w:t>
      </w:r>
      <w:r w:rsidR="00BB7516">
        <w:rPr>
          <w:lang w:val="en-GB"/>
        </w:rPr>
        <w:t xml:space="preserve"> </w:t>
      </w:r>
    </w:p>
    <w:p w14:paraId="5348AA6C" w14:textId="490010E6" w:rsidR="00502874" w:rsidRDefault="00A251EF" w:rsidP="00D45B6C">
      <w:pPr>
        <w:pStyle w:val="Els-body-text"/>
        <w:spacing w:after="120"/>
        <w:rPr>
          <w:lang w:val="en-GB"/>
        </w:rPr>
      </w:pPr>
      <w:r w:rsidRPr="00B02F7A">
        <w:rPr>
          <w:lang w:val="en-GB"/>
        </w:rPr>
        <w:t>The hypothesis was conceptualised on the case study of an industrial wastewater neutralisation system employed by Boehringer Ingelheim</w:t>
      </w:r>
      <w:r w:rsidR="004A71A3">
        <w:rPr>
          <w:lang w:val="en-GB"/>
        </w:rPr>
        <w:t>.</w:t>
      </w:r>
      <w:r w:rsidR="00CA1D70">
        <w:rPr>
          <w:lang w:val="en-GB"/>
        </w:rPr>
        <w:t xml:space="preserve"> </w:t>
      </w:r>
      <w:r w:rsidR="00131B34">
        <w:rPr>
          <w:lang w:val="en-GB"/>
        </w:rPr>
        <w:t>For this purpose</w:t>
      </w:r>
      <w:r w:rsidR="006511C4">
        <w:rPr>
          <w:lang w:val="en-GB"/>
        </w:rPr>
        <w:t xml:space="preserve">, </w:t>
      </w:r>
      <w:r w:rsidR="003C5240">
        <w:rPr>
          <w:lang w:val="en-GB"/>
        </w:rPr>
        <w:t>p</w:t>
      </w:r>
      <w:r w:rsidR="00233755">
        <w:rPr>
          <w:lang w:val="en-GB"/>
        </w:rPr>
        <w:t>rocess</w:t>
      </w:r>
      <w:r w:rsidRPr="00B02F7A">
        <w:rPr>
          <w:lang w:val="en-GB"/>
        </w:rPr>
        <w:t xml:space="preserve"> data logged </w:t>
      </w:r>
      <w:r w:rsidR="00313B58">
        <w:rPr>
          <w:lang w:val="en-GB"/>
        </w:rPr>
        <w:t xml:space="preserve">by the system’s control instruments </w:t>
      </w:r>
      <w:r w:rsidR="00131B34" w:rsidRPr="00B02F7A">
        <w:rPr>
          <w:lang w:val="en-GB"/>
        </w:rPr>
        <w:t>w</w:t>
      </w:r>
      <w:r w:rsidR="00131B34">
        <w:rPr>
          <w:lang w:val="en-GB"/>
        </w:rPr>
        <w:t>ere</w:t>
      </w:r>
      <w:r w:rsidR="00131B34" w:rsidRPr="00B02F7A">
        <w:rPr>
          <w:lang w:val="en-GB"/>
        </w:rPr>
        <w:t xml:space="preserve"> </w:t>
      </w:r>
      <w:r w:rsidR="00131B34">
        <w:rPr>
          <w:lang w:val="en-GB"/>
        </w:rPr>
        <w:t xml:space="preserve">extracted </w:t>
      </w:r>
      <w:r w:rsidR="003C5240">
        <w:rPr>
          <w:lang w:val="en-GB"/>
        </w:rPr>
        <w:t>for the years 2021 and 2022</w:t>
      </w:r>
      <w:r w:rsidR="00313B58" w:rsidRPr="00313B58">
        <w:rPr>
          <w:lang w:val="en-GB"/>
        </w:rPr>
        <w:t xml:space="preserve"> </w:t>
      </w:r>
      <w:r w:rsidR="00313B58" w:rsidRPr="00B02F7A">
        <w:rPr>
          <w:lang w:val="en-GB"/>
        </w:rPr>
        <w:t>at 30 second intervals</w:t>
      </w:r>
      <w:r w:rsidRPr="00B02F7A">
        <w:rPr>
          <w:lang w:val="en-GB"/>
        </w:rPr>
        <w:t xml:space="preserve">. </w:t>
      </w:r>
      <w:r w:rsidR="00830255" w:rsidRPr="0023019F">
        <w:rPr>
          <w:lang w:val="en-GB"/>
        </w:rPr>
        <w:t>Data curation and analysis</w:t>
      </w:r>
      <w:r w:rsidR="00830255">
        <w:rPr>
          <w:lang w:val="en-GB"/>
        </w:rPr>
        <w:t>, as well as model screening, training and tuning</w:t>
      </w:r>
      <w:r w:rsidR="00830255" w:rsidRPr="0023019F">
        <w:rPr>
          <w:lang w:val="en-GB"/>
        </w:rPr>
        <w:t xml:space="preserve"> was implemented in Python</w:t>
      </w:r>
      <w:r w:rsidR="00830255">
        <w:rPr>
          <w:lang w:val="en-GB"/>
        </w:rPr>
        <w:t>.</w:t>
      </w:r>
      <w:r w:rsidR="00830255" w:rsidRPr="00502874">
        <w:rPr>
          <w:lang w:val="en-GB"/>
        </w:rPr>
        <w:t xml:space="preserve"> </w:t>
      </w:r>
      <w:r w:rsidR="00E84A15" w:rsidRPr="00E84A15">
        <w:rPr>
          <w:lang w:val="en-GB"/>
        </w:rPr>
        <w:t>The available data</w:t>
      </w:r>
      <w:r w:rsidR="002A4955">
        <w:rPr>
          <w:lang w:val="en-GB"/>
        </w:rPr>
        <w:t>set</w:t>
      </w:r>
      <w:r w:rsidR="00E84A15" w:rsidRPr="00E84A15">
        <w:rPr>
          <w:lang w:val="en-GB"/>
        </w:rPr>
        <w:t xml:space="preserve"> was supplemented with artificial data generated by a physical model emulator to explore its benefits in situations of data scarcity.</w:t>
      </w:r>
      <w:r w:rsidR="0023019F">
        <w:rPr>
          <w:lang w:val="en-GB"/>
        </w:rPr>
        <w:t xml:space="preserve"> </w:t>
      </w:r>
    </w:p>
    <w:p w14:paraId="57807DC2" w14:textId="072779DB" w:rsidR="0002261D" w:rsidRDefault="00A251EF" w:rsidP="0002261D">
      <w:pPr>
        <w:pStyle w:val="Els-1storder-head"/>
      </w:pPr>
      <w:r>
        <w:lastRenderedPageBreak/>
        <w:t>Case study r</w:t>
      </w:r>
      <w:r w:rsidR="0002261D">
        <w:t>esults</w:t>
      </w:r>
    </w:p>
    <w:p w14:paraId="1F074990" w14:textId="77777777" w:rsidR="008F1A3F" w:rsidRDefault="004D45BA" w:rsidP="008D2649">
      <w:pPr>
        <w:pStyle w:val="Els-body-text"/>
        <w:rPr>
          <w:lang w:val="en-GB"/>
        </w:rPr>
      </w:pPr>
      <w:r w:rsidRPr="004D45BA">
        <w:t xml:space="preserve">The investigated waste treatment system consisted of unit processes for mixing, pH </w:t>
      </w:r>
      <w:r w:rsidR="009F77ED" w:rsidRPr="004D45BA">
        <w:t>neutralization</w:t>
      </w:r>
      <w:r w:rsidRPr="004D45BA">
        <w:t xml:space="preserve"> and cooling. Accordingly, the waste characteristics that determine the system’s operational response were established as waste pH, </w:t>
      </w:r>
      <w:r w:rsidR="00A27E75" w:rsidRPr="004D45BA">
        <w:t>temperature,</w:t>
      </w:r>
      <w:r w:rsidRPr="004D45BA">
        <w:t xml:space="preserve"> and volume. As such, measured values of these quantities were curated to make up the feature space of the regression problem. Equally, the process consumptions that constitute the gate-to-gate LCI for the investigated process were identified as the consumption of </w:t>
      </w:r>
      <w:r w:rsidR="00955875" w:rsidRPr="004D45BA">
        <w:t>neutralizing</w:t>
      </w:r>
      <w:r w:rsidRPr="004D45BA">
        <w:t xml:space="preserve"> agents (HCl and NaOH), cooling power (in the form of cooling water and chilling power) and electricity, all of which were regarded as the outputs of the desired machine learning models. </w:t>
      </w:r>
      <w:r w:rsidR="00777794" w:rsidRPr="00B02F7A">
        <w:rPr>
          <w:lang w:val="en-GB"/>
        </w:rPr>
        <w:t xml:space="preserve">Data curation was found to be a crucial stage of the project, revealing limitations and challenges of working with real industrial data. </w:t>
      </w:r>
    </w:p>
    <w:p w14:paraId="4383BF02" w14:textId="77777777" w:rsidR="008F1A3F" w:rsidRDefault="008F1A3F" w:rsidP="008D2649">
      <w:pPr>
        <w:pStyle w:val="Els-body-text"/>
        <w:rPr>
          <w:lang w:val="en-GB"/>
        </w:rPr>
      </w:pPr>
    </w:p>
    <w:p w14:paraId="0B5A539D" w14:textId="759DD866" w:rsidR="0002261D" w:rsidRDefault="004D45BA" w:rsidP="008D2649">
      <w:pPr>
        <w:pStyle w:val="Els-body-text"/>
      </w:pPr>
      <w:r w:rsidRPr="004D45BA">
        <w:t>To determine the relationships between the waste characteristics and process consumptions, the importance of each feature on the magnitude of each consumption was identified via multi-feature single-output regression models on the industrial process data. The obtained fits were used to generate waste-specific LCIs for a range of scenarios ranging from extremely acidic to extremely basic pH, and considering various temperatures and process volumes. For comparison, a non-specific “baseline” LCI dataset was calculated as the process consumptions per m</w:t>
      </w:r>
      <w:r w:rsidRPr="00955875">
        <w:rPr>
          <w:vertAlign w:val="superscript"/>
        </w:rPr>
        <w:t>3</w:t>
      </w:r>
      <w:r w:rsidRPr="004D45BA">
        <w:t xml:space="preserve"> of wastewater treated across the entire measurement period of two years. Benchmarking the waste-specific LCIs against the non-specific baseline inventory, s</w:t>
      </w:r>
      <w:r w:rsidR="00283497">
        <w:t>ignific</w:t>
      </w:r>
      <w:r w:rsidRPr="004D45BA">
        <w:t>a</w:t>
      </w:r>
      <w:r w:rsidR="00283497">
        <w:t>nt</w:t>
      </w:r>
      <w:r w:rsidRPr="004D45BA">
        <w:t xml:space="preserve"> differences in predicted process consumptions were observed. This was especially apparent in LCIs generated for wastes of different pH values, where the multi-feature regression models could differentiate waste-specific acid and base consumptions, and thus allocate different environmental impacts for different wastes processed by the system, while also capturing non-intuitive consumptions such as compensation for overshoots in </w:t>
      </w:r>
      <w:r w:rsidR="00955875" w:rsidRPr="004D45BA">
        <w:t>neutralization</w:t>
      </w:r>
      <w:r w:rsidRPr="004D45BA">
        <w:t>, which was not captured to the same granularity in the baseline LCI.</w:t>
      </w:r>
    </w:p>
    <w:p w14:paraId="144DE6BA" w14:textId="77777777" w:rsidR="008D2649" w:rsidRPr="00A94774" w:rsidRDefault="008D2649" w:rsidP="008D2649">
      <w:pPr>
        <w:pStyle w:val="Els-1storder-head"/>
        <w:spacing w:after="120"/>
        <w:rPr>
          <w:lang w:val="en-GB"/>
        </w:rPr>
      </w:pPr>
      <w:r w:rsidRPr="00A94774">
        <w:rPr>
          <w:lang w:val="en-GB"/>
        </w:rPr>
        <w:t>Conclusions</w:t>
      </w:r>
    </w:p>
    <w:p w14:paraId="32C186F7" w14:textId="6B48C2FB" w:rsidR="007E6DD9" w:rsidRDefault="007E6DD9" w:rsidP="00A251EF">
      <w:pPr>
        <w:pStyle w:val="Els-body-text"/>
        <w:spacing w:after="120"/>
        <w:rPr>
          <w:lang w:val="en-GB"/>
        </w:rPr>
      </w:pPr>
      <w:r w:rsidRPr="007E6DD9">
        <w:rPr>
          <w:lang w:val="en-GB"/>
        </w:rPr>
        <w:t xml:space="preserve">The symbiotic use of large historical datasets, statistical and physical models yielded a predictive tool that supports the LCA practitioner in the rapid assessment of waste-related emissions. Specifically, the models </w:t>
      </w:r>
      <w:r w:rsidR="00AD5EE9">
        <w:rPr>
          <w:lang w:val="en-GB"/>
        </w:rPr>
        <w:t xml:space="preserve">were able to </w:t>
      </w:r>
      <w:r w:rsidRPr="007E6DD9">
        <w:rPr>
          <w:lang w:val="en-GB"/>
        </w:rPr>
        <w:t xml:space="preserve">generate waste-specific LCIs that allow to differentiate </w:t>
      </w:r>
      <w:r w:rsidR="00EC5D8E">
        <w:rPr>
          <w:lang w:val="en-GB"/>
        </w:rPr>
        <w:t xml:space="preserve">between </w:t>
      </w:r>
      <w:r w:rsidRPr="007E6DD9">
        <w:rPr>
          <w:lang w:val="en-GB"/>
        </w:rPr>
        <w:t xml:space="preserve">the impacts caused by wastes of different compositions and physical properties. Understanding </w:t>
      </w:r>
      <w:r w:rsidR="00EC5D8E">
        <w:rPr>
          <w:lang w:val="en-GB"/>
        </w:rPr>
        <w:t xml:space="preserve">the </w:t>
      </w:r>
      <w:r w:rsidRPr="007E6DD9">
        <w:rPr>
          <w:lang w:val="en-GB"/>
        </w:rPr>
        <w:t xml:space="preserve">influence of waste characteristics on the environmental process impacts is crucial </w:t>
      </w:r>
      <w:r w:rsidR="0024693E">
        <w:rPr>
          <w:lang w:val="en-GB"/>
        </w:rPr>
        <w:t>to enable</w:t>
      </w:r>
      <w:r w:rsidRPr="007E6DD9">
        <w:rPr>
          <w:lang w:val="en-GB"/>
        </w:rPr>
        <w:t xml:space="preserve"> accurate and fair allocation of waste-related process impacts to the waste-generating production processes.</w:t>
      </w:r>
    </w:p>
    <w:p w14:paraId="144DE6BF" w14:textId="608D0AD6" w:rsidR="008D2649" w:rsidRDefault="008D2649" w:rsidP="008D2649">
      <w:pPr>
        <w:pStyle w:val="Els-reference-head"/>
      </w:pPr>
      <w:r>
        <w:t>References</w:t>
      </w:r>
    </w:p>
    <w:p w14:paraId="23A1176A" w14:textId="48E11085" w:rsidR="00665A31" w:rsidRPr="00665A31" w:rsidRDefault="00670776" w:rsidP="00665A31">
      <w:pPr>
        <w:widowControl w:val="0"/>
        <w:autoSpaceDE w:val="0"/>
        <w:autoSpaceDN w:val="0"/>
        <w:adjustRightInd w:val="0"/>
        <w:ind w:left="480" w:hanging="480"/>
        <w:rPr>
          <w:noProof/>
          <w:sz w:val="18"/>
          <w:szCs w:val="24"/>
        </w:rPr>
      </w:pPr>
      <w:r>
        <w:rPr>
          <w:lang w:val="en-US"/>
        </w:rPr>
        <w:fldChar w:fldCharType="begin" w:fldLock="1"/>
      </w:r>
      <w:r>
        <w:rPr>
          <w:lang w:val="en-US"/>
        </w:rPr>
        <w:instrText xml:space="preserve">ADDIN Mendeley Bibliography CSL_BIBLIOGRAPHY </w:instrText>
      </w:r>
      <w:r>
        <w:rPr>
          <w:lang w:val="en-US"/>
        </w:rPr>
        <w:fldChar w:fldCharType="separate"/>
      </w:r>
      <w:r w:rsidR="00665A31" w:rsidRPr="00665A31">
        <w:rPr>
          <w:noProof/>
          <w:sz w:val="18"/>
          <w:szCs w:val="24"/>
        </w:rPr>
        <w:t>Eurostat, 2023. Generation of waste by waste category, hazardousness and NACE Rev. 2 activity. URL https://ec.europa.eu/eurostat/databrowser/view/ENV_WASGEN__custom_2246895/</w:t>
      </w:r>
      <w:r w:rsidR="00665A31">
        <w:rPr>
          <w:noProof/>
          <w:sz w:val="18"/>
          <w:szCs w:val="24"/>
        </w:rPr>
        <w:t xml:space="preserve"> </w:t>
      </w:r>
      <w:r w:rsidR="00665A31" w:rsidRPr="00665A31">
        <w:rPr>
          <w:noProof/>
          <w:sz w:val="18"/>
          <w:szCs w:val="24"/>
        </w:rPr>
        <w:t>default/table?lang=en (accessed 11.30.23).</w:t>
      </w:r>
    </w:p>
    <w:p w14:paraId="760BFC98" w14:textId="77777777" w:rsidR="00665A31" w:rsidRPr="00665A31" w:rsidRDefault="00665A31" w:rsidP="00665A31">
      <w:pPr>
        <w:widowControl w:val="0"/>
        <w:autoSpaceDE w:val="0"/>
        <w:autoSpaceDN w:val="0"/>
        <w:adjustRightInd w:val="0"/>
        <w:ind w:left="480" w:hanging="480"/>
        <w:rPr>
          <w:noProof/>
          <w:sz w:val="18"/>
          <w:szCs w:val="24"/>
        </w:rPr>
      </w:pPr>
      <w:r w:rsidRPr="00665A31">
        <w:rPr>
          <w:noProof/>
          <w:sz w:val="18"/>
          <w:szCs w:val="24"/>
        </w:rPr>
        <w:t>Köhler, A., Hellweg, S., Recan, E., Hungerbühler, K., 2007. Input-dependent life-cycle inventory model of industrial wastewater-treatment processes in the chemical sector. Environ. Sci. Technol. 41, 5515–5522. https://doi.org/10.1021/es0617284</w:t>
      </w:r>
    </w:p>
    <w:p w14:paraId="44E6512C" w14:textId="77777777" w:rsidR="00665A31" w:rsidRPr="00665A31" w:rsidRDefault="00665A31" w:rsidP="00665A31">
      <w:pPr>
        <w:widowControl w:val="0"/>
        <w:autoSpaceDE w:val="0"/>
        <w:autoSpaceDN w:val="0"/>
        <w:adjustRightInd w:val="0"/>
        <w:ind w:left="480" w:hanging="480"/>
        <w:rPr>
          <w:noProof/>
          <w:sz w:val="18"/>
          <w:szCs w:val="24"/>
        </w:rPr>
      </w:pPr>
      <w:r w:rsidRPr="00665A31">
        <w:rPr>
          <w:noProof/>
          <w:sz w:val="18"/>
          <w:szCs w:val="24"/>
        </w:rPr>
        <w:t>Moreno Ruiz, E., FitzGerald, D., Bourgault, G., Vadenbo, C., Ioannidou, D., Symeonidis, A., Sonderegger, T., Müller, J., Dellenbach, D., Valsasina, L., Minas, N., Baumann, D., 2022. Documentation of changes implemented in the ecoinvent database v3.9. Zürich, Switzerland.</w:t>
      </w:r>
    </w:p>
    <w:p w14:paraId="52C4EBDC" w14:textId="77777777" w:rsidR="00665A31" w:rsidRPr="00665A31" w:rsidRDefault="00665A31" w:rsidP="00665A31">
      <w:pPr>
        <w:widowControl w:val="0"/>
        <w:autoSpaceDE w:val="0"/>
        <w:autoSpaceDN w:val="0"/>
        <w:adjustRightInd w:val="0"/>
        <w:ind w:left="480" w:hanging="480"/>
        <w:rPr>
          <w:noProof/>
          <w:sz w:val="18"/>
          <w:szCs w:val="24"/>
        </w:rPr>
      </w:pPr>
      <w:r w:rsidRPr="00665A31">
        <w:rPr>
          <w:noProof/>
          <w:sz w:val="18"/>
          <w:szCs w:val="24"/>
        </w:rPr>
        <w:t xml:space="preserve">Seyler, C., Hofstetter, T.B., Hungerbühler, K., 2005. Life cycle inventory for thermal treatment of waste solvent from chemical industry: A multi-input allocation model. J. Clean. Prod. 13, </w:t>
      </w:r>
      <w:r w:rsidRPr="00665A31">
        <w:rPr>
          <w:noProof/>
          <w:sz w:val="18"/>
          <w:szCs w:val="24"/>
        </w:rPr>
        <w:lastRenderedPageBreak/>
        <w:t>1211–1224. https://doi.org/10.1016/j.jclepro.2005.05.009</w:t>
      </w:r>
    </w:p>
    <w:p w14:paraId="67993FD2" w14:textId="77777777" w:rsidR="00665A31" w:rsidRPr="00665A31" w:rsidRDefault="00665A31" w:rsidP="00665A31">
      <w:pPr>
        <w:widowControl w:val="0"/>
        <w:autoSpaceDE w:val="0"/>
        <w:autoSpaceDN w:val="0"/>
        <w:adjustRightInd w:val="0"/>
        <w:ind w:left="480" w:hanging="480"/>
        <w:rPr>
          <w:noProof/>
          <w:sz w:val="18"/>
        </w:rPr>
      </w:pPr>
      <w:r w:rsidRPr="00665A31">
        <w:rPr>
          <w:noProof/>
          <w:sz w:val="18"/>
          <w:szCs w:val="24"/>
        </w:rPr>
        <w:t>Struijs, J., 2014. SimpleTreat 4.0 : a model to predict fate and emission of chemicals in wastewater treatment plants. RIVM Rep. 601353005.</w:t>
      </w:r>
    </w:p>
    <w:p w14:paraId="144DE6C3" w14:textId="3E98D6ED" w:rsidR="008D2649" w:rsidRDefault="00670776" w:rsidP="008D2649">
      <w:pPr>
        <w:pStyle w:val="Els-referenceno-number"/>
        <w:rPr>
          <w:lang w:val="en-US"/>
        </w:rPr>
      </w:pPr>
      <w:r>
        <w:rPr>
          <w:lang w:val="en-US"/>
        </w:rPr>
        <w:fldChar w:fldCharType="end"/>
      </w:r>
    </w:p>
    <w:sectPr w:rsidR="008D2649" w:rsidSect="00F519C1">
      <w:headerReference w:type="even" r:id="rId8"/>
      <w:headerReference w:type="default" r:id="rId9"/>
      <w:headerReference w:type="first" r:id="rId10"/>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29E0" w14:textId="77777777" w:rsidR="00F519C1" w:rsidRDefault="00F519C1">
      <w:r>
        <w:separator/>
      </w:r>
    </w:p>
  </w:endnote>
  <w:endnote w:type="continuationSeparator" w:id="0">
    <w:p w14:paraId="58F5CAC2" w14:textId="77777777" w:rsidR="00F519C1" w:rsidRDefault="00F5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09CF" w14:textId="77777777" w:rsidR="00F519C1" w:rsidRDefault="00F519C1">
      <w:r>
        <w:separator/>
      </w:r>
    </w:p>
  </w:footnote>
  <w:footnote w:type="continuationSeparator" w:id="0">
    <w:p w14:paraId="4CC1DD7D" w14:textId="77777777" w:rsidR="00F519C1" w:rsidRDefault="00F5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EB2E158" w:rsidR="00DD3D9E" w:rsidRDefault="00DD3D9E">
    <w:pPr>
      <w:pStyle w:val="Kopfzeile"/>
      <w:tabs>
        <w:tab w:val="clear" w:pos="7200"/>
        <w:tab w:val="right" w:pos="7088"/>
      </w:tabs>
    </w:pPr>
    <w:r>
      <w:rPr>
        <w:rStyle w:val="Seitenzahl"/>
      </w:rPr>
      <w:tab/>
    </w:r>
    <w:r>
      <w:rPr>
        <w:rStyle w:val="Seitenzahl"/>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0F7BDF63" w:rsidR="00DD3D9E" w:rsidRDefault="00DD3D9E">
    <w:pPr>
      <w:pStyle w:val="Kopfzeile"/>
      <w:tabs>
        <w:tab w:val="clear" w:pos="7200"/>
        <w:tab w:val="right" w:pos="7088"/>
      </w:tabs>
      <w:jc w:val="right"/>
      <w:rPr>
        <w:sz w:val="24"/>
      </w:rPr>
    </w:pPr>
    <w:r>
      <w:rPr>
        <w:rStyle w:val="Seitenzahl"/>
        <w:i/>
        <w:sz w:val="24"/>
      </w:rPr>
      <w:tab/>
    </w:r>
    <w:r>
      <w:rPr>
        <w:rStyle w:val="Seitenzahl"/>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C" w14:textId="65EF433B" w:rsidR="00DD3D9E" w:rsidRPr="00FF6043" w:rsidRDefault="001B1DE3" w:rsidP="00FF6043">
    <w:pPr>
      <w:pStyle w:val="ElsevierBodyTextCentredNospace"/>
      <w:jc w:val="left"/>
      <w:rPr>
        <w:noProof/>
        <w:sz w:val="20"/>
        <w:szCs w:val="20"/>
      </w:rPr>
    </w:pPr>
    <w:r>
      <w:rPr>
        <w:noProof/>
        <w:color w:val="auto"/>
        <w:sz w:val="20"/>
        <w:szCs w:val="20"/>
      </w:rPr>
      <w:drawing>
        <wp:inline distT="0" distB="0" distL="0" distR="0" wp14:anchorId="26F3196F" wp14:editId="0458D368">
          <wp:extent cx="4499610" cy="9169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00F06842" w:rsidRPr="00FF6043">
      <w:rPr>
        <w:color w:val="auto"/>
        <w:sz w:val="20"/>
        <w:szCs w:val="20"/>
      </w:rPr>
      <w:t xml:space="preserve">Flavio Manenti, Gintaras V. Reklaitis (Eds.), </w:t>
    </w:r>
    <w:r w:rsidR="00FF6043" w:rsidRPr="00FF6043">
      <w:rPr>
        <w:color w:val="auto"/>
        <w:sz w:val="20"/>
        <w:szCs w:val="20"/>
      </w:rPr>
      <w:t>B</w:t>
    </w:r>
    <w:r w:rsidR="00FF6043" w:rsidRPr="00FF6043">
      <w:rPr>
        <w:noProof/>
        <w:sz w:val="20"/>
        <w:szCs w:val="20"/>
      </w:rPr>
      <w:t>ook of Abstract</w:t>
    </w:r>
    <w:r w:rsidR="00F06842" w:rsidRPr="00FF6043">
      <w:rPr>
        <w:noProof/>
        <w:sz w:val="20"/>
        <w:szCs w:val="20"/>
      </w:rPr>
      <w:t xml:space="preserve"> of the </w:t>
    </w:r>
    <w:r w:rsidR="00F06842" w:rsidRPr="00FF6043">
      <w:rPr>
        <w:rStyle w:val="underline1"/>
        <w:sz w:val="20"/>
        <w:szCs w:val="20"/>
        <w:u w:val="none"/>
      </w:rPr>
      <w:t>34</w:t>
    </w:r>
    <w:r w:rsidR="00F06842" w:rsidRPr="00FF6043">
      <w:rPr>
        <w:rStyle w:val="underline1"/>
        <w:sz w:val="20"/>
        <w:szCs w:val="20"/>
        <w:u w:val="none"/>
        <w:vertAlign w:val="superscript"/>
      </w:rPr>
      <w:t>th</w:t>
    </w:r>
    <w:r w:rsidR="00F06842" w:rsidRPr="00FF6043">
      <w:rPr>
        <w:rStyle w:val="underline1"/>
        <w:sz w:val="20"/>
        <w:szCs w:val="20"/>
        <w:u w:val="none"/>
      </w:rPr>
      <w:t xml:space="preserve"> European Symposium on Computer Aided Process Engineering / 15</w:t>
    </w:r>
    <w:r w:rsidR="00F06842" w:rsidRPr="00FF6043">
      <w:rPr>
        <w:rStyle w:val="underline1"/>
        <w:sz w:val="20"/>
        <w:szCs w:val="20"/>
        <w:u w:val="none"/>
        <w:vertAlign w:val="superscript"/>
      </w:rPr>
      <w:t>th</w:t>
    </w:r>
    <w:r w:rsidR="00F06842" w:rsidRPr="00FF6043">
      <w:rPr>
        <w:rStyle w:val="underline1"/>
        <w:sz w:val="20"/>
        <w:szCs w:val="20"/>
        <w:u w:val="none"/>
      </w:rPr>
      <w:t xml:space="preserve"> International Symposium on Process Systems Engineerin</w:t>
    </w:r>
    <w:r w:rsidR="00F06842" w:rsidRPr="00FF6043">
      <w:rPr>
        <w:rStyle w:val="underline1"/>
        <w:sz w:val="20"/>
        <w:szCs w:val="20"/>
      </w:rPr>
      <w:t>g</w:t>
    </w:r>
    <w:r w:rsidR="00F06842" w:rsidRPr="00FF6043">
      <w:rPr>
        <w:noProof/>
        <w:sz w:val="20"/>
        <w:szCs w:val="20"/>
      </w:rPr>
      <w:t xml:space="preserve"> (ESCAPE34/PSE24), June 2-6, 2024,</w:t>
    </w:r>
    <w:r w:rsidR="00F06842" w:rsidRPr="00FF6043">
      <w:rPr>
        <w:sz w:val="20"/>
        <w:szCs w:val="20"/>
      </w:rPr>
      <w:t xml:space="preserve"> Florence</w:t>
    </w:r>
    <w:r w:rsidR="00F06842" w:rsidRPr="00FF6043">
      <w:rPr>
        <w:noProof/>
        <w:sz w:val="20"/>
        <w:szCs w:val="20"/>
      </w:rPr>
      <w:t>, Italy</w:t>
    </w:r>
    <w:r w:rsidR="00FF6043">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88714217">
    <w:abstractNumId w:val="11"/>
  </w:num>
  <w:num w:numId="2" w16cid:durableId="645470464">
    <w:abstractNumId w:val="11"/>
  </w:num>
  <w:num w:numId="3" w16cid:durableId="963733382">
    <w:abstractNumId w:val="11"/>
  </w:num>
  <w:num w:numId="4" w16cid:durableId="1021779388">
    <w:abstractNumId w:val="11"/>
  </w:num>
  <w:num w:numId="5" w16cid:durableId="1310090156">
    <w:abstractNumId w:val="0"/>
  </w:num>
  <w:num w:numId="6" w16cid:durableId="516775195">
    <w:abstractNumId w:val="6"/>
  </w:num>
  <w:num w:numId="7" w16cid:durableId="1384719171">
    <w:abstractNumId w:val="12"/>
  </w:num>
  <w:num w:numId="8" w16cid:durableId="833111115">
    <w:abstractNumId w:val="1"/>
  </w:num>
  <w:num w:numId="9" w16cid:durableId="541284306">
    <w:abstractNumId w:val="10"/>
  </w:num>
  <w:num w:numId="10" w16cid:durableId="357394714">
    <w:abstractNumId w:val="14"/>
  </w:num>
  <w:num w:numId="11" w16cid:durableId="782962543">
    <w:abstractNumId w:val="13"/>
  </w:num>
  <w:num w:numId="12" w16cid:durableId="1837530516">
    <w:abstractNumId w:val="5"/>
  </w:num>
  <w:num w:numId="13" w16cid:durableId="1160391887">
    <w:abstractNumId w:val="8"/>
  </w:num>
  <w:num w:numId="14" w16cid:durableId="285887966">
    <w:abstractNumId w:val="2"/>
  </w:num>
  <w:num w:numId="15" w16cid:durableId="1037043879">
    <w:abstractNumId w:val="7"/>
  </w:num>
  <w:num w:numId="16" w16cid:durableId="1348216945">
    <w:abstractNumId w:val="3"/>
  </w:num>
  <w:num w:numId="17" w16cid:durableId="2023820449">
    <w:abstractNumId w:val="4"/>
  </w:num>
  <w:num w:numId="18" w16cid:durableId="1928034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12C6"/>
    <w:rsid w:val="00014922"/>
    <w:rsid w:val="0001672D"/>
    <w:rsid w:val="0002261D"/>
    <w:rsid w:val="00026ED0"/>
    <w:rsid w:val="00032379"/>
    <w:rsid w:val="00037F3D"/>
    <w:rsid w:val="00041FFC"/>
    <w:rsid w:val="000717B7"/>
    <w:rsid w:val="000738B3"/>
    <w:rsid w:val="000955F6"/>
    <w:rsid w:val="00096632"/>
    <w:rsid w:val="000D3D9B"/>
    <w:rsid w:val="000D6C59"/>
    <w:rsid w:val="000E6C00"/>
    <w:rsid w:val="0010293C"/>
    <w:rsid w:val="001120E8"/>
    <w:rsid w:val="001308E9"/>
    <w:rsid w:val="00131B34"/>
    <w:rsid w:val="00131D78"/>
    <w:rsid w:val="00147DA1"/>
    <w:rsid w:val="0016032F"/>
    <w:rsid w:val="001707F4"/>
    <w:rsid w:val="00176A30"/>
    <w:rsid w:val="001879F6"/>
    <w:rsid w:val="0019470D"/>
    <w:rsid w:val="00195D53"/>
    <w:rsid w:val="001A2EF0"/>
    <w:rsid w:val="001B1DE3"/>
    <w:rsid w:val="001C0148"/>
    <w:rsid w:val="001C617A"/>
    <w:rsid w:val="001C757E"/>
    <w:rsid w:val="001D21AA"/>
    <w:rsid w:val="001E7DCD"/>
    <w:rsid w:val="001F0AA4"/>
    <w:rsid w:val="001F624A"/>
    <w:rsid w:val="0020390F"/>
    <w:rsid w:val="002048D4"/>
    <w:rsid w:val="002270F7"/>
    <w:rsid w:val="0023019F"/>
    <w:rsid w:val="002305EE"/>
    <w:rsid w:val="00233755"/>
    <w:rsid w:val="00245DB9"/>
    <w:rsid w:val="0024693E"/>
    <w:rsid w:val="00264926"/>
    <w:rsid w:val="00273315"/>
    <w:rsid w:val="0027650A"/>
    <w:rsid w:val="00280E6E"/>
    <w:rsid w:val="00283497"/>
    <w:rsid w:val="0029089B"/>
    <w:rsid w:val="002A1CE4"/>
    <w:rsid w:val="002A4955"/>
    <w:rsid w:val="002A515A"/>
    <w:rsid w:val="002A73DF"/>
    <w:rsid w:val="002C6DCD"/>
    <w:rsid w:val="002D1F1B"/>
    <w:rsid w:val="002D6D5D"/>
    <w:rsid w:val="002E1FEA"/>
    <w:rsid w:val="002F01D5"/>
    <w:rsid w:val="002F5A85"/>
    <w:rsid w:val="003021AF"/>
    <w:rsid w:val="00313125"/>
    <w:rsid w:val="00313B58"/>
    <w:rsid w:val="0031717E"/>
    <w:rsid w:val="00330A20"/>
    <w:rsid w:val="00344D01"/>
    <w:rsid w:val="00357A2B"/>
    <w:rsid w:val="00385EB4"/>
    <w:rsid w:val="003866BE"/>
    <w:rsid w:val="00393FEE"/>
    <w:rsid w:val="003C5240"/>
    <w:rsid w:val="003C5AE9"/>
    <w:rsid w:val="003C6E8F"/>
    <w:rsid w:val="003D1582"/>
    <w:rsid w:val="003D7E4C"/>
    <w:rsid w:val="003E0CE6"/>
    <w:rsid w:val="003E1DB4"/>
    <w:rsid w:val="003E41C2"/>
    <w:rsid w:val="003E66EF"/>
    <w:rsid w:val="003F40ED"/>
    <w:rsid w:val="004042E1"/>
    <w:rsid w:val="004102D8"/>
    <w:rsid w:val="0042340E"/>
    <w:rsid w:val="00434602"/>
    <w:rsid w:val="00435926"/>
    <w:rsid w:val="00441AD5"/>
    <w:rsid w:val="00443C10"/>
    <w:rsid w:val="00444FBF"/>
    <w:rsid w:val="004628E9"/>
    <w:rsid w:val="004845B8"/>
    <w:rsid w:val="0049326F"/>
    <w:rsid w:val="00497486"/>
    <w:rsid w:val="0049772C"/>
    <w:rsid w:val="004A71A3"/>
    <w:rsid w:val="004C0304"/>
    <w:rsid w:val="004C7BC3"/>
    <w:rsid w:val="004D45BA"/>
    <w:rsid w:val="004D758C"/>
    <w:rsid w:val="005001E2"/>
    <w:rsid w:val="00502874"/>
    <w:rsid w:val="00507CB7"/>
    <w:rsid w:val="005140D2"/>
    <w:rsid w:val="00516B66"/>
    <w:rsid w:val="00527AA7"/>
    <w:rsid w:val="00531DA8"/>
    <w:rsid w:val="00545694"/>
    <w:rsid w:val="00546A6D"/>
    <w:rsid w:val="00546EEB"/>
    <w:rsid w:val="00552EEB"/>
    <w:rsid w:val="005635E5"/>
    <w:rsid w:val="00567D93"/>
    <w:rsid w:val="005723D4"/>
    <w:rsid w:val="005756FF"/>
    <w:rsid w:val="0057640B"/>
    <w:rsid w:val="005769DF"/>
    <w:rsid w:val="00581983"/>
    <w:rsid w:val="00584537"/>
    <w:rsid w:val="005A2E6F"/>
    <w:rsid w:val="005B6081"/>
    <w:rsid w:val="005D4A5A"/>
    <w:rsid w:val="005E6F21"/>
    <w:rsid w:val="005F0383"/>
    <w:rsid w:val="005F2E54"/>
    <w:rsid w:val="005F4E08"/>
    <w:rsid w:val="00607E3C"/>
    <w:rsid w:val="00626453"/>
    <w:rsid w:val="00636A08"/>
    <w:rsid w:val="00637BA7"/>
    <w:rsid w:val="006511C4"/>
    <w:rsid w:val="00652B1D"/>
    <w:rsid w:val="00665A31"/>
    <w:rsid w:val="00667179"/>
    <w:rsid w:val="00670776"/>
    <w:rsid w:val="00677729"/>
    <w:rsid w:val="006918D6"/>
    <w:rsid w:val="00697F89"/>
    <w:rsid w:val="006A4CEA"/>
    <w:rsid w:val="006A6703"/>
    <w:rsid w:val="006A69BF"/>
    <w:rsid w:val="006B0A98"/>
    <w:rsid w:val="006B45F5"/>
    <w:rsid w:val="006C11D1"/>
    <w:rsid w:val="006D33D4"/>
    <w:rsid w:val="006E2CA0"/>
    <w:rsid w:val="006E79EB"/>
    <w:rsid w:val="00700111"/>
    <w:rsid w:val="007119C5"/>
    <w:rsid w:val="00711DF4"/>
    <w:rsid w:val="0071237E"/>
    <w:rsid w:val="007200F7"/>
    <w:rsid w:val="00722B51"/>
    <w:rsid w:val="00725658"/>
    <w:rsid w:val="00735831"/>
    <w:rsid w:val="00746264"/>
    <w:rsid w:val="00747F44"/>
    <w:rsid w:val="00761ACC"/>
    <w:rsid w:val="00777794"/>
    <w:rsid w:val="00781B2A"/>
    <w:rsid w:val="00783578"/>
    <w:rsid w:val="00784CBB"/>
    <w:rsid w:val="0079522D"/>
    <w:rsid w:val="00795498"/>
    <w:rsid w:val="0079594D"/>
    <w:rsid w:val="007A4839"/>
    <w:rsid w:val="007C18FC"/>
    <w:rsid w:val="007C79B6"/>
    <w:rsid w:val="007D4CC3"/>
    <w:rsid w:val="007D70A1"/>
    <w:rsid w:val="007E4CB6"/>
    <w:rsid w:val="007E5BAE"/>
    <w:rsid w:val="007E6DD9"/>
    <w:rsid w:val="007F0038"/>
    <w:rsid w:val="007F208F"/>
    <w:rsid w:val="007F2EF8"/>
    <w:rsid w:val="008056D9"/>
    <w:rsid w:val="008132E8"/>
    <w:rsid w:val="008154BF"/>
    <w:rsid w:val="00823407"/>
    <w:rsid w:val="00830255"/>
    <w:rsid w:val="008428C6"/>
    <w:rsid w:val="00880E1F"/>
    <w:rsid w:val="00881C53"/>
    <w:rsid w:val="0089006C"/>
    <w:rsid w:val="00897D54"/>
    <w:rsid w:val="008A5489"/>
    <w:rsid w:val="008A7A33"/>
    <w:rsid w:val="008B0184"/>
    <w:rsid w:val="008B75D3"/>
    <w:rsid w:val="008B7951"/>
    <w:rsid w:val="008C5D02"/>
    <w:rsid w:val="008C694E"/>
    <w:rsid w:val="008D2649"/>
    <w:rsid w:val="008F1A3F"/>
    <w:rsid w:val="008F27A1"/>
    <w:rsid w:val="008F584C"/>
    <w:rsid w:val="008F7590"/>
    <w:rsid w:val="00905655"/>
    <w:rsid w:val="0090568D"/>
    <w:rsid w:val="009125C9"/>
    <w:rsid w:val="00913879"/>
    <w:rsid w:val="00917661"/>
    <w:rsid w:val="00937D04"/>
    <w:rsid w:val="00940D20"/>
    <w:rsid w:val="00946A20"/>
    <w:rsid w:val="00947366"/>
    <w:rsid w:val="00955875"/>
    <w:rsid w:val="0095709C"/>
    <w:rsid w:val="009606F9"/>
    <w:rsid w:val="009626B6"/>
    <w:rsid w:val="00970E5D"/>
    <w:rsid w:val="0097374E"/>
    <w:rsid w:val="0097701C"/>
    <w:rsid w:val="00980A65"/>
    <w:rsid w:val="00986CD7"/>
    <w:rsid w:val="0099265C"/>
    <w:rsid w:val="0099445B"/>
    <w:rsid w:val="009A43D1"/>
    <w:rsid w:val="009B4822"/>
    <w:rsid w:val="009B54E8"/>
    <w:rsid w:val="009B7A72"/>
    <w:rsid w:val="009F350A"/>
    <w:rsid w:val="009F4DD1"/>
    <w:rsid w:val="009F77ED"/>
    <w:rsid w:val="00A00CAA"/>
    <w:rsid w:val="00A2390E"/>
    <w:rsid w:val="00A251EF"/>
    <w:rsid w:val="00A25E70"/>
    <w:rsid w:val="00A27E75"/>
    <w:rsid w:val="00A33765"/>
    <w:rsid w:val="00A4244D"/>
    <w:rsid w:val="00A427E4"/>
    <w:rsid w:val="00A44D2A"/>
    <w:rsid w:val="00A51D50"/>
    <w:rsid w:val="00A575C7"/>
    <w:rsid w:val="00A63269"/>
    <w:rsid w:val="00A77BC3"/>
    <w:rsid w:val="00A92377"/>
    <w:rsid w:val="00AB0DC3"/>
    <w:rsid w:val="00AB29ED"/>
    <w:rsid w:val="00AB69B6"/>
    <w:rsid w:val="00AB7270"/>
    <w:rsid w:val="00AD1EA6"/>
    <w:rsid w:val="00AD2BF4"/>
    <w:rsid w:val="00AD459A"/>
    <w:rsid w:val="00AD5EE9"/>
    <w:rsid w:val="00AD7D54"/>
    <w:rsid w:val="00AE2856"/>
    <w:rsid w:val="00AE4BD8"/>
    <w:rsid w:val="00AF122A"/>
    <w:rsid w:val="00AF7004"/>
    <w:rsid w:val="00B02F7A"/>
    <w:rsid w:val="00B12F7E"/>
    <w:rsid w:val="00B15CD2"/>
    <w:rsid w:val="00B42BF6"/>
    <w:rsid w:val="00B4388F"/>
    <w:rsid w:val="00B44261"/>
    <w:rsid w:val="00B5194C"/>
    <w:rsid w:val="00B63237"/>
    <w:rsid w:val="00B73C6F"/>
    <w:rsid w:val="00B9448D"/>
    <w:rsid w:val="00BA18F9"/>
    <w:rsid w:val="00BA4D03"/>
    <w:rsid w:val="00BB7516"/>
    <w:rsid w:val="00BC6B21"/>
    <w:rsid w:val="00BE1065"/>
    <w:rsid w:val="00C170EC"/>
    <w:rsid w:val="00C1773A"/>
    <w:rsid w:val="00C2452F"/>
    <w:rsid w:val="00C340A4"/>
    <w:rsid w:val="00C46495"/>
    <w:rsid w:val="00C62B09"/>
    <w:rsid w:val="00C6600B"/>
    <w:rsid w:val="00C76DE4"/>
    <w:rsid w:val="00C7733F"/>
    <w:rsid w:val="00C77F82"/>
    <w:rsid w:val="00C93A7C"/>
    <w:rsid w:val="00C960DC"/>
    <w:rsid w:val="00CA1D70"/>
    <w:rsid w:val="00CB4983"/>
    <w:rsid w:val="00CC0AA4"/>
    <w:rsid w:val="00CC4AA8"/>
    <w:rsid w:val="00CE128F"/>
    <w:rsid w:val="00D02C75"/>
    <w:rsid w:val="00D02D82"/>
    <w:rsid w:val="00D039F5"/>
    <w:rsid w:val="00D1057E"/>
    <w:rsid w:val="00D10E22"/>
    <w:rsid w:val="00D13B4B"/>
    <w:rsid w:val="00D13D2C"/>
    <w:rsid w:val="00D1579A"/>
    <w:rsid w:val="00D16815"/>
    <w:rsid w:val="00D17393"/>
    <w:rsid w:val="00D301D7"/>
    <w:rsid w:val="00D30698"/>
    <w:rsid w:val="00D37F04"/>
    <w:rsid w:val="00D4071F"/>
    <w:rsid w:val="00D41419"/>
    <w:rsid w:val="00D41E3D"/>
    <w:rsid w:val="00D45B6C"/>
    <w:rsid w:val="00D50F42"/>
    <w:rsid w:val="00D610B1"/>
    <w:rsid w:val="00D62A2B"/>
    <w:rsid w:val="00D635CC"/>
    <w:rsid w:val="00D66ECA"/>
    <w:rsid w:val="00D749BE"/>
    <w:rsid w:val="00D761E9"/>
    <w:rsid w:val="00D768B6"/>
    <w:rsid w:val="00D87C39"/>
    <w:rsid w:val="00DB14C7"/>
    <w:rsid w:val="00DB6839"/>
    <w:rsid w:val="00DC2F94"/>
    <w:rsid w:val="00DD2DCB"/>
    <w:rsid w:val="00DD3D9E"/>
    <w:rsid w:val="00DD464D"/>
    <w:rsid w:val="00DD7908"/>
    <w:rsid w:val="00DE0485"/>
    <w:rsid w:val="00DE4633"/>
    <w:rsid w:val="00DF575D"/>
    <w:rsid w:val="00E133D7"/>
    <w:rsid w:val="00E239A3"/>
    <w:rsid w:val="00E23F65"/>
    <w:rsid w:val="00E268DD"/>
    <w:rsid w:val="00E32F56"/>
    <w:rsid w:val="00E65666"/>
    <w:rsid w:val="00E74163"/>
    <w:rsid w:val="00E76D6D"/>
    <w:rsid w:val="00E82297"/>
    <w:rsid w:val="00E84A15"/>
    <w:rsid w:val="00E87EC2"/>
    <w:rsid w:val="00E97999"/>
    <w:rsid w:val="00EB3769"/>
    <w:rsid w:val="00EB601A"/>
    <w:rsid w:val="00EC1290"/>
    <w:rsid w:val="00EC5D8E"/>
    <w:rsid w:val="00EF39FD"/>
    <w:rsid w:val="00F06842"/>
    <w:rsid w:val="00F06904"/>
    <w:rsid w:val="00F06A8D"/>
    <w:rsid w:val="00F107FD"/>
    <w:rsid w:val="00F11E26"/>
    <w:rsid w:val="00F12CCC"/>
    <w:rsid w:val="00F305C4"/>
    <w:rsid w:val="00F34B0A"/>
    <w:rsid w:val="00F47420"/>
    <w:rsid w:val="00F519C1"/>
    <w:rsid w:val="00F55AA0"/>
    <w:rsid w:val="00F93A50"/>
    <w:rsid w:val="00F96FBB"/>
    <w:rsid w:val="00FB64A8"/>
    <w:rsid w:val="00FC509C"/>
    <w:rsid w:val="00FC6A10"/>
    <w:rsid w:val="00FD30D5"/>
    <w:rsid w:val="00FF0047"/>
    <w:rsid w:val="00FF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0184"/>
    <w:rPr>
      <w:lang w:eastAsia="en-US"/>
    </w:rPr>
  </w:style>
  <w:style w:type="paragraph" w:styleId="berschrift3">
    <w:name w:val="heading 3"/>
    <w:basedOn w:val="Standard"/>
    <w:next w:val="Standard"/>
    <w:qFormat/>
    <w:rsid w:val="008B0184"/>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nzeichen">
    <w:name w:val="endnote reference"/>
    <w:basedOn w:val="Absatz-Standardschriftart"/>
    <w:semiHidden/>
    <w:rsid w:val="008B0184"/>
    <w:rPr>
      <w:vertAlign w:val="superscript"/>
    </w:rPr>
  </w:style>
  <w:style w:type="paragraph" w:styleId="Kopfzeile">
    <w:name w:val="header"/>
    <w:rsid w:val="008B0184"/>
    <w:pPr>
      <w:tabs>
        <w:tab w:val="center" w:pos="3600"/>
        <w:tab w:val="right" w:pos="7200"/>
      </w:tabs>
      <w:spacing w:line="200" w:lineRule="atLeast"/>
    </w:pPr>
    <w:rPr>
      <w:noProof/>
      <w:lang w:eastAsia="en-US"/>
    </w:rPr>
  </w:style>
  <w:style w:type="paragraph" w:styleId="Fuzeile">
    <w:name w:val="footer"/>
    <w:basedOn w:val="Kopfzeile"/>
    <w:rsid w:val="008B0184"/>
  </w:style>
  <w:style w:type="character" w:styleId="Funotenzeichen">
    <w:name w:val="footnote reference"/>
    <w:semiHidden/>
    <w:rsid w:val="008B0184"/>
    <w:rPr>
      <w:vertAlign w:val="superscript"/>
    </w:rPr>
  </w:style>
  <w:style w:type="paragraph" w:styleId="Funotentext">
    <w:name w:val="footnote text"/>
    <w:basedOn w:val="Standard"/>
    <w:semiHidden/>
    <w:rsid w:val="008B0184"/>
    <w:rPr>
      <w:rFonts w:ascii="Univers" w:hAnsi="Univers"/>
    </w:rPr>
  </w:style>
  <w:style w:type="character" w:styleId="Hyperlink">
    <w:name w:val="Hyperlink"/>
    <w:basedOn w:val="Absatz-Standardschriftart"/>
    <w:rsid w:val="008B0184"/>
    <w:rPr>
      <w:color w:val="0000FF"/>
      <w:u w:val="single"/>
    </w:rPr>
  </w:style>
  <w:style w:type="character" w:customStyle="1" w:styleId="MTEquationSection">
    <w:name w:val="MTEquationSection"/>
    <w:basedOn w:val="Absatz-Standardschriftart"/>
    <w:rsid w:val="008B0184"/>
    <w:rPr>
      <w:vanish/>
      <w:color w:val="FF0000"/>
    </w:rPr>
  </w:style>
  <w:style w:type="character" w:styleId="Seitenzahl">
    <w:name w:val="page number"/>
    <w:basedOn w:val="Absatz-Standardschriftar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Absatz-Standardschriftart"/>
    <w:rsid w:val="008B0184"/>
    <w:rPr>
      <w:sz w:val="18"/>
      <w:lang w:val="en-US" w:eastAsia="en-US" w:bidi="ar-SA"/>
    </w:rPr>
  </w:style>
  <w:style w:type="character" w:styleId="Kommentarzeichen">
    <w:name w:val="annotation reference"/>
    <w:basedOn w:val="Absatz-Standardschriftart"/>
    <w:semiHidden/>
    <w:rsid w:val="008B0184"/>
    <w:rPr>
      <w:sz w:val="16"/>
      <w:szCs w:val="16"/>
    </w:rPr>
  </w:style>
  <w:style w:type="paragraph" w:styleId="Kommentartext">
    <w:name w:val="annotation text"/>
    <w:basedOn w:val="Standard"/>
    <w:semiHidden/>
    <w:rsid w:val="008B0184"/>
  </w:style>
  <w:style w:type="paragraph" w:styleId="Kommentarthema">
    <w:name w:val="annotation subject"/>
    <w:basedOn w:val="Kommentartext"/>
    <w:next w:val="Kommentartext"/>
    <w:semiHidden/>
    <w:rsid w:val="008B0184"/>
    <w:rPr>
      <w:b/>
      <w:bCs/>
    </w:rPr>
  </w:style>
  <w:style w:type="paragraph" w:styleId="Sprechblasentext">
    <w:name w:val="Balloon Text"/>
    <w:basedOn w:val="Standard"/>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Absatz-Standardschriftart"/>
    <w:rsid w:val="00F06842"/>
    <w:rPr>
      <w:u w:val="single"/>
    </w:rPr>
  </w:style>
  <w:style w:type="paragraph" w:customStyle="1" w:styleId="ElsevierBodyTextCentredNospace">
    <w:name w:val="Elsevier Body Text Centred No space"/>
    <w:basedOn w:val="Standard"/>
    <w:qFormat/>
    <w:rsid w:val="00F06842"/>
    <w:pPr>
      <w:jc w:val="center"/>
    </w:pPr>
    <w:rPr>
      <w:bCs/>
      <w:iCs/>
      <w:color w:val="000000" w:themeColor="text1"/>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63873">
      <w:bodyDiv w:val="1"/>
      <w:marLeft w:val="0"/>
      <w:marRight w:val="0"/>
      <w:marTop w:val="0"/>
      <w:marBottom w:val="0"/>
      <w:divBdr>
        <w:top w:val="none" w:sz="0" w:space="0" w:color="auto"/>
        <w:left w:val="none" w:sz="0" w:space="0" w:color="auto"/>
        <w:bottom w:val="none" w:sz="0" w:space="0" w:color="auto"/>
        <w:right w:val="none" w:sz="0" w:space="0" w:color="auto"/>
      </w:divBdr>
      <w:divsChild>
        <w:div w:id="123011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ACC9-C097-4EA9-86CF-8B43E6C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0</TotalTime>
  <Pages>4</Pages>
  <Words>2598</Words>
  <Characters>16371</Characters>
  <Application>Microsoft Office Word</Application>
  <DocSecurity>0</DocSecurity>
  <Lines>136</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Sabine Hallamasek</cp:lastModifiedBy>
  <cp:revision>125</cp:revision>
  <cp:lastPrinted>2004-12-17T09:20:00Z</cp:lastPrinted>
  <dcterms:created xsi:type="dcterms:W3CDTF">2023-12-14T20:19:00Z</dcterms:created>
  <dcterms:modified xsi:type="dcterms:W3CDTF">2024-01-09T17:58:00Z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Mendeley Document_1">
    <vt:lpwstr>True</vt:lpwstr>
  </property>
  <property fmtid="{D5CDD505-2E9C-101B-9397-08002B2CF9AE}" pid="11" name="Mendeley Unique User Id_1">
    <vt:lpwstr>3395afb2-ec8d-3bd1-b189-97a0bcc7cc57</vt:lpwstr>
  </property>
  <property fmtid="{D5CDD505-2E9C-101B-9397-08002B2CF9AE}" pid="12" name="Mendeley Citation Style_1">
    <vt:lpwstr>http://www.zotero.org/styles/elsevier-harvard</vt:lpwstr>
  </property>
  <property fmtid="{D5CDD505-2E9C-101B-9397-08002B2CF9AE}" pid="13" name="Mendeley Recent Style Id 0_1">
    <vt:lpwstr>http://www.zotero.org/styles/acs-nano</vt:lpwstr>
  </property>
  <property fmtid="{D5CDD505-2E9C-101B-9397-08002B2CF9AE}" pid="14" name="Mendeley Recent Style Name 0_1">
    <vt:lpwstr>ACS Nano</vt:lpwstr>
  </property>
  <property fmtid="{D5CDD505-2E9C-101B-9397-08002B2CF9AE}" pid="15" name="Mendeley Recent Style Id 1_1">
    <vt:lpwstr>http://www.zotero.org/styles/american-medical-association</vt:lpwstr>
  </property>
  <property fmtid="{D5CDD505-2E9C-101B-9397-08002B2CF9AE}" pid="16" name="Mendeley Recent Style Name 1_1">
    <vt:lpwstr>American Medical Association</vt:lpwstr>
  </property>
  <property fmtid="{D5CDD505-2E9C-101B-9397-08002B2CF9AE}" pid="17" name="Mendeley Recent Style Id 2_1">
    <vt:lpwstr>http://www.zotero.org/styles/harvard-cite-them-right</vt:lpwstr>
  </property>
  <property fmtid="{D5CDD505-2E9C-101B-9397-08002B2CF9AE}" pid="18" name="Mendeley Recent Style Name 2_1">
    <vt:lpwstr>Cite Them Right 10th edition - Harvard</vt:lpwstr>
  </property>
  <property fmtid="{D5CDD505-2E9C-101B-9397-08002B2CF9AE}" pid="19" name="Mendeley Recent Style Id 3_1">
    <vt:lpwstr>http://www.zotero.org/styles/elsevier-harvard</vt:lpwstr>
  </property>
  <property fmtid="{D5CDD505-2E9C-101B-9397-08002B2CF9AE}" pid="20" name="Mendeley Recent Style Name 3_1">
    <vt:lpwstr>Elsevier - Harvard (with titles)</vt:lpwstr>
  </property>
  <property fmtid="{D5CDD505-2E9C-101B-9397-08002B2CF9AE}" pid="21" name="Mendeley Recent Style Id 4_1">
    <vt:lpwstr>http://www.zotero.org/styles/elsevier-harvard-without-titles</vt:lpwstr>
  </property>
  <property fmtid="{D5CDD505-2E9C-101B-9397-08002B2CF9AE}" pid="22" name="Mendeley Recent Style Name 4_1">
    <vt:lpwstr>Elsevier - Harvard (without titles)</vt:lpwstr>
  </property>
  <property fmtid="{D5CDD505-2E9C-101B-9397-08002B2CF9AE}" pid="23" name="Mendeley Recent Style Id 5_1">
    <vt:lpwstr>http://www.zotero.org/styles/harvard1</vt:lpwstr>
  </property>
  <property fmtid="{D5CDD505-2E9C-101B-9397-08002B2CF9AE}" pid="24" name="Mendeley Recent Style Name 5_1">
    <vt:lpwstr>Harvard reference format 1 (deprecated)</vt:lpwstr>
  </property>
  <property fmtid="{D5CDD505-2E9C-101B-9397-08002B2CF9AE}" pid="25" name="Mendeley Recent Style Id 6_1">
    <vt:lpwstr>http://www.zotero.org/styles/ieee</vt:lpwstr>
  </property>
  <property fmtid="{D5CDD505-2E9C-101B-9397-08002B2CF9AE}" pid="26" name="Mendeley Recent Style Name 6_1">
    <vt:lpwstr>IEEE</vt:lpwstr>
  </property>
  <property fmtid="{D5CDD505-2E9C-101B-9397-08002B2CF9AE}" pid="27" name="Mendeley Recent Style Id 7_1">
    <vt:lpwstr>http://www.zotero.org/styles/nature</vt:lpwstr>
  </property>
  <property fmtid="{D5CDD505-2E9C-101B-9397-08002B2CF9AE}" pid="28" name="Mendeley Recent Style Name 7_1">
    <vt:lpwstr>Nature</vt:lpwstr>
  </property>
  <property fmtid="{D5CDD505-2E9C-101B-9397-08002B2CF9AE}" pid="29" name="Mendeley Recent Style Id 8_1">
    <vt:lpwstr>http://www.zotero.org/styles/royal-society-of-chemistry</vt:lpwstr>
  </property>
  <property fmtid="{D5CDD505-2E9C-101B-9397-08002B2CF9AE}" pid="30" name="Mendeley Recent Style Name 8_1">
    <vt:lpwstr>Royal Society of Chemistry</vt:lpwstr>
  </property>
  <property fmtid="{D5CDD505-2E9C-101B-9397-08002B2CF9AE}" pid="31" name="Mendeley Recent Style Id 9_1">
    <vt:lpwstr>http://www.zotero.org/styles/vancouver</vt:lpwstr>
  </property>
  <property fmtid="{D5CDD505-2E9C-101B-9397-08002B2CF9AE}" pid="32" name="Mendeley Recent Style Name 9_1">
    <vt:lpwstr>Vancouver</vt:lpwstr>
  </property>
</Properties>
</file>