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2B204470" w:rsidR="00DD3D9E" w:rsidRPr="00C52FF6" w:rsidRDefault="00C52FF6">
      <w:pPr>
        <w:pStyle w:val="Els-Title"/>
        <w:rPr>
          <w:color w:val="000000" w:themeColor="text1"/>
          <w:lang w:val="en-GB"/>
        </w:rPr>
      </w:pPr>
      <w:bookmarkStart w:id="0" w:name="_Hlk152088212"/>
      <w:r w:rsidRPr="00C52FF6">
        <w:rPr>
          <w:color w:val="000000" w:themeColor="text1"/>
          <w:lang w:val="en-GB"/>
        </w:rPr>
        <w:t>Minimal Target Indices for Cyanobacteria-Based Biorefineries and Optimal Design of the Metabolic Network</w:t>
      </w:r>
    </w:p>
    <w:bookmarkEnd w:id="0"/>
    <w:p w14:paraId="144DE680" w14:textId="6CC6D561" w:rsidR="00DD3D9E" w:rsidRPr="00C52FF6" w:rsidRDefault="00C52FF6">
      <w:pPr>
        <w:pStyle w:val="Els-Author"/>
        <w:rPr>
          <w:lang w:val="es-AR"/>
        </w:rPr>
      </w:pPr>
      <w:r w:rsidRPr="00C52FF6">
        <w:rPr>
          <w:lang w:val="es-AR"/>
        </w:rPr>
        <w:t>Matías Ramos</w:t>
      </w:r>
      <w:r w:rsidRPr="00C52FF6">
        <w:rPr>
          <w:vertAlign w:val="superscript"/>
          <w:lang w:val="es-AR"/>
        </w:rPr>
        <w:t>a,b</w:t>
      </w:r>
      <w:r w:rsidRPr="00C52FF6">
        <w:rPr>
          <w:lang w:val="es-AR"/>
        </w:rPr>
        <w:t xml:space="preserve">, </w:t>
      </w:r>
      <w:r w:rsidR="00D50329" w:rsidRPr="00C52FF6">
        <w:rPr>
          <w:lang w:val="es-AR"/>
        </w:rPr>
        <w:t>Fernando Ramos</w:t>
      </w:r>
      <w:r w:rsidR="00D50329" w:rsidRPr="00C52FF6">
        <w:rPr>
          <w:vertAlign w:val="superscript"/>
          <w:lang w:val="es-AR"/>
        </w:rPr>
        <w:t>a,b</w:t>
      </w:r>
      <w:r w:rsidR="00D50329">
        <w:rPr>
          <w:lang w:val="es-AR"/>
        </w:rPr>
        <w:t xml:space="preserve">, </w:t>
      </w:r>
      <w:r w:rsidRPr="00C52FF6">
        <w:rPr>
          <w:lang w:val="es-AR"/>
        </w:rPr>
        <w:t>Romina Lasry Testa</w:t>
      </w:r>
      <w:r w:rsidRPr="00C52FF6">
        <w:rPr>
          <w:vertAlign w:val="superscript"/>
          <w:lang w:val="es-AR"/>
        </w:rPr>
        <w:t>a,b</w:t>
      </w:r>
      <w:r w:rsidRPr="00C52FF6">
        <w:rPr>
          <w:lang w:val="es-AR"/>
        </w:rPr>
        <w:t>, Vanina Estrada</w:t>
      </w:r>
      <w:r w:rsidRPr="00C52FF6">
        <w:rPr>
          <w:vertAlign w:val="superscript"/>
          <w:lang w:val="es-AR"/>
        </w:rPr>
        <w:t>a,b</w:t>
      </w:r>
      <w:r w:rsidRPr="00C52FF6">
        <w:rPr>
          <w:lang w:val="es-AR"/>
        </w:rPr>
        <w:t>, Maria Soledad Diaz</w:t>
      </w:r>
      <w:r w:rsidRPr="00C52FF6">
        <w:rPr>
          <w:vertAlign w:val="superscript"/>
          <w:lang w:val="es-AR"/>
        </w:rPr>
        <w:t>a,b</w:t>
      </w:r>
      <w:r w:rsidR="00BD46C1">
        <w:rPr>
          <w:vertAlign w:val="superscript"/>
          <w:lang w:val="es-AR"/>
        </w:rPr>
        <w:t>,*</w:t>
      </w:r>
    </w:p>
    <w:p w14:paraId="144DE681" w14:textId="34465931" w:rsidR="00DD3D9E" w:rsidRPr="00C52FF6" w:rsidRDefault="00C52FF6">
      <w:pPr>
        <w:pStyle w:val="Els-Affiliation"/>
        <w:rPr>
          <w:lang w:val="es-AR"/>
        </w:rPr>
      </w:pPr>
      <w:r w:rsidRPr="001B1ECD">
        <w:rPr>
          <w:color w:val="000000"/>
          <w:vertAlign w:val="superscript"/>
          <w:lang w:val="es-AR"/>
        </w:rPr>
        <w:t>a</w:t>
      </w:r>
      <w:r w:rsidRPr="001B1ECD">
        <w:rPr>
          <w:color w:val="000000"/>
          <w:lang w:val="es-AR"/>
        </w:rPr>
        <w:t>Planta Piloto de Ingeniería Química (PLAPIQUI CONICET-UNS), Camino La Carrindanga km. 7, Bahía Blanca, Argentina</w:t>
      </w:r>
    </w:p>
    <w:p w14:paraId="144DE682" w14:textId="1C66B4B3" w:rsidR="00DD3D9E" w:rsidRPr="00C52FF6" w:rsidRDefault="00C52FF6">
      <w:pPr>
        <w:pStyle w:val="Els-Affiliation"/>
        <w:rPr>
          <w:lang w:val="es-AR"/>
        </w:rPr>
      </w:pPr>
      <w:r w:rsidRPr="001B1ECD">
        <w:rPr>
          <w:color w:val="000000"/>
          <w:vertAlign w:val="superscript"/>
          <w:lang w:val="es-AR"/>
        </w:rPr>
        <w:t>b</w:t>
      </w:r>
      <w:r w:rsidRPr="001B1ECD">
        <w:rPr>
          <w:color w:val="000000"/>
          <w:lang w:val="es-AR"/>
        </w:rPr>
        <w:t>Departamento de Ingeniería Química, Universidad Nacional del Sur (UNS), Bahía Blanca, Argentina</w:t>
      </w:r>
    </w:p>
    <w:p w14:paraId="144DE683" w14:textId="6C653BC9" w:rsidR="008D2649" w:rsidRPr="00C52FF6" w:rsidRDefault="00BD46C1" w:rsidP="008D2649">
      <w:pPr>
        <w:pStyle w:val="Els-Affiliation"/>
        <w:spacing w:after="120"/>
        <w:rPr>
          <w:lang w:val="en-US"/>
        </w:rPr>
      </w:pPr>
      <w:r>
        <w:t>*</w:t>
      </w:r>
      <w:r w:rsidRPr="00BD46C1">
        <w:t>Corresponding Author’s E-mail:</w:t>
      </w:r>
      <w:r>
        <w:t xml:space="preserve"> </w:t>
      </w:r>
      <w:hyperlink r:id="rId8" w:history="1">
        <w:r w:rsidRPr="007E1E33">
          <w:rPr>
            <w:rStyle w:val="Hipervnculo"/>
          </w:rPr>
          <w:t>sdiaz@plapiqui.edu.ar</w:t>
        </w:r>
      </w:hyperlink>
    </w:p>
    <w:p w14:paraId="144DE684" w14:textId="77777777" w:rsidR="008D2649" w:rsidRDefault="008D2649" w:rsidP="008D2649">
      <w:pPr>
        <w:pStyle w:val="Els-Abstract"/>
      </w:pPr>
      <w:r>
        <w:t>Abstract</w:t>
      </w:r>
    </w:p>
    <w:p w14:paraId="144DE686" w14:textId="2D4F7084" w:rsidR="008D2649" w:rsidRDefault="00C52FF6" w:rsidP="00C52FF6">
      <w:pPr>
        <w:pStyle w:val="Els-body-text"/>
        <w:spacing w:after="120"/>
        <w:rPr>
          <w:lang w:val="en-GB"/>
        </w:rPr>
      </w:pPr>
      <w:r>
        <w:rPr>
          <w:color w:val="000000"/>
        </w:rPr>
        <w:t xml:space="preserve">In this work we propose a mixed integer nonlinear programming </w:t>
      </w:r>
      <w:proofErr w:type="spellStart"/>
      <w:r>
        <w:rPr>
          <w:color w:val="000000"/>
        </w:rPr>
        <w:t>multiobjective</w:t>
      </w:r>
      <w:proofErr w:type="spellEnd"/>
      <w:r>
        <w:rPr>
          <w:color w:val="000000"/>
        </w:rPr>
        <w:t xml:space="preserve"> (MOO) model for the determination of minimal target indices for the sustainable design of an integrated cyanobacteria-based biorefinery and its heat exchanger network (HEN), for the production of phycocyanin and zeaxanthin, PHB, </w:t>
      </w:r>
      <w:r>
        <w:t xml:space="preserve">fourth-generation </w:t>
      </w:r>
      <w:r>
        <w:rPr>
          <w:color w:val="000000"/>
        </w:rPr>
        <w:t xml:space="preserve">bioethanol, biogas, hydrogen and diethyl ether. The main objective is to determine </w:t>
      </w:r>
      <w:proofErr w:type="spellStart"/>
      <w:r>
        <w:rPr>
          <w:i/>
          <w:color w:val="000000"/>
        </w:rPr>
        <w:t>Synechocystis</w:t>
      </w:r>
      <w:proofErr w:type="spellEnd"/>
      <w:r>
        <w:rPr>
          <w:i/>
          <w:color w:val="000000"/>
        </w:rPr>
        <w:t xml:space="preserve"> </w:t>
      </w:r>
      <w:proofErr w:type="spellStart"/>
      <w:r>
        <w:rPr>
          <w:color w:val="000000"/>
        </w:rPr>
        <w:t>sp’s</w:t>
      </w:r>
      <w:proofErr w:type="spellEnd"/>
      <w:r>
        <w:rPr>
          <w:color w:val="000000"/>
        </w:rPr>
        <w:t xml:space="preserve"> minimal target indices (productivity, yield, titer) that should be reached in order to achieve a sustainable biorefinery design </w:t>
      </w:r>
      <w:r w:rsidRPr="005D33DD">
        <w:rPr>
          <w:color w:val="000000"/>
        </w:rPr>
        <w:t xml:space="preserve">by imposing lower bounds on a multi-criteria sustainability metric (Sustainability Net Present Value, SNPV). In the case of strain </w:t>
      </w:r>
      <w:r w:rsidRPr="005D33DD">
        <w:rPr>
          <w:i/>
          <w:iCs/>
          <w:color w:val="000000"/>
        </w:rPr>
        <w:t>in</w:t>
      </w:r>
      <w:r>
        <w:rPr>
          <w:i/>
          <w:iCs/>
          <w:color w:val="000000"/>
        </w:rPr>
        <w:t>-</w:t>
      </w:r>
      <w:r w:rsidRPr="005D33DD">
        <w:rPr>
          <w:i/>
          <w:iCs/>
          <w:color w:val="000000"/>
        </w:rPr>
        <w:t>silico</w:t>
      </w:r>
      <w:r w:rsidRPr="005D33DD">
        <w:rPr>
          <w:color w:val="000000"/>
        </w:rPr>
        <w:t xml:space="preserve"> design, a bilevel programming problem that identifies gene knockouts in a genome scale </w:t>
      </w:r>
      <w:proofErr w:type="spellStart"/>
      <w:r w:rsidRPr="005D33DD">
        <w:rPr>
          <w:i/>
          <w:color w:val="000000"/>
        </w:rPr>
        <w:t>Synechocystis</w:t>
      </w:r>
      <w:proofErr w:type="spellEnd"/>
      <w:r w:rsidRPr="005D33DD">
        <w:rPr>
          <w:color w:val="000000"/>
        </w:rPr>
        <w:t xml:space="preserve"> sp. PCC6803 </w:t>
      </w:r>
      <w:r w:rsidRPr="005D33DD">
        <w:t xml:space="preserve">metabolic </w:t>
      </w:r>
      <w:r w:rsidRPr="005D33DD">
        <w:rPr>
          <w:color w:val="000000"/>
        </w:rPr>
        <w:t xml:space="preserve">model (GEM) to couple growth and product synthesis has been formulated. Through this approach, the target indices of alternative </w:t>
      </w:r>
      <w:r w:rsidRPr="005D33DD">
        <w:rPr>
          <w:i/>
          <w:color w:val="000000"/>
        </w:rPr>
        <w:t xml:space="preserve">in-silico </w:t>
      </w:r>
      <w:r w:rsidRPr="005D33DD">
        <w:rPr>
          <w:color w:val="000000"/>
        </w:rPr>
        <w:t xml:space="preserve">strains are compared to their minimum required values. Numerical results show that minimal targets are largely surpassed, for the case of a </w:t>
      </w:r>
      <w:proofErr w:type="spellStart"/>
      <w:r w:rsidRPr="005D33DD">
        <w:rPr>
          <w:i/>
          <w:color w:val="000000"/>
        </w:rPr>
        <w:t>Synechocystis</w:t>
      </w:r>
      <w:proofErr w:type="spellEnd"/>
      <w:r w:rsidRPr="005D33DD">
        <w:rPr>
          <w:color w:val="000000"/>
        </w:rPr>
        <w:t xml:space="preserve"> wild-type strain</w:t>
      </w:r>
      <w:r>
        <w:rPr>
          <w:color w:val="000000"/>
        </w:rPr>
        <w:t xml:space="preserve"> modelled through the GEM and a tailored strain designed for ethanol production. These results offer promising insights into cyanobacteria biorefineries.</w:t>
      </w:r>
    </w:p>
    <w:p w14:paraId="144DE687" w14:textId="61CA1C0A" w:rsidR="008D2649" w:rsidRDefault="008D2649" w:rsidP="008D2649">
      <w:pPr>
        <w:pStyle w:val="Els-body-text"/>
        <w:spacing w:after="120"/>
        <w:rPr>
          <w:lang w:val="en-GB"/>
        </w:rPr>
      </w:pPr>
      <w:r>
        <w:rPr>
          <w:b/>
          <w:bCs/>
          <w:lang w:val="en-GB"/>
        </w:rPr>
        <w:t>Keywords</w:t>
      </w:r>
      <w:r>
        <w:rPr>
          <w:lang w:val="en-GB"/>
        </w:rPr>
        <w:t xml:space="preserve">: </w:t>
      </w:r>
      <w:r w:rsidR="00C52FF6" w:rsidRPr="00C52FF6">
        <w:rPr>
          <w:lang w:val="en-GB"/>
        </w:rPr>
        <w:t xml:space="preserve">MINLP, </w:t>
      </w:r>
      <w:proofErr w:type="spellStart"/>
      <w:r w:rsidR="00C52FF6" w:rsidRPr="00C52FF6">
        <w:rPr>
          <w:i/>
          <w:lang w:val="en-GB"/>
        </w:rPr>
        <w:t>Synechocystis</w:t>
      </w:r>
      <w:proofErr w:type="spellEnd"/>
      <w:r w:rsidR="00C52FF6" w:rsidRPr="00C52FF6">
        <w:rPr>
          <w:lang w:val="en-GB"/>
        </w:rPr>
        <w:t xml:space="preserve"> sp. PCC 6803, Cyanobacteria-based biorefinery, </w:t>
      </w:r>
      <w:r w:rsidR="00C52FF6" w:rsidRPr="00C52FF6">
        <w:rPr>
          <w:i/>
          <w:lang w:val="en-GB"/>
        </w:rPr>
        <w:t xml:space="preserve">In-silico </w:t>
      </w:r>
      <w:r w:rsidR="00C52FF6" w:rsidRPr="00C52FF6">
        <w:rPr>
          <w:lang w:val="en-GB"/>
        </w:rPr>
        <w:t>cyanobacteria</w:t>
      </w:r>
    </w:p>
    <w:p w14:paraId="144DE689" w14:textId="44A2A83B" w:rsidR="008D2649" w:rsidRDefault="00C52FF6" w:rsidP="008D2649">
      <w:pPr>
        <w:pStyle w:val="Els-1storder-head"/>
      </w:pPr>
      <w:r>
        <w:t>Introduction</w:t>
      </w:r>
    </w:p>
    <w:p w14:paraId="6E343097" w14:textId="11373853" w:rsidR="00BD46C1" w:rsidRDefault="00BD46C1" w:rsidP="00BD46C1">
      <w:pPr>
        <w:pBdr>
          <w:top w:val="nil"/>
          <w:left w:val="nil"/>
          <w:bottom w:val="nil"/>
          <w:right w:val="nil"/>
          <w:between w:val="nil"/>
        </w:pBdr>
        <w:jc w:val="both"/>
      </w:pPr>
      <w:r>
        <w:t>Biofuels have emerged as an alternative to complement renewable energy sources to increasingly complement fossil fuels paving the way to CO</w:t>
      </w:r>
      <w:r>
        <w:rPr>
          <w:vertAlign w:val="subscript"/>
        </w:rPr>
        <w:t>2</w:t>
      </w:r>
      <w:r>
        <w:t xml:space="preserve"> emissions reduction and mitigation of the environmental impact. At present, commercial biofuels are derived from agricultural crops (first-generation) and lignocellulosic biomass (second-generation) but both have disadvantages like the known controversy of competing with food for the first-generation case, or not being economically feasible for the second case (</w:t>
      </w:r>
      <w:proofErr w:type="spellStart"/>
      <w:r>
        <w:t>Sarwer</w:t>
      </w:r>
      <w:proofErr w:type="spellEnd"/>
      <w:r>
        <w:t xml:space="preserve"> </w:t>
      </w:r>
      <w:r>
        <w:rPr>
          <w:i/>
        </w:rPr>
        <w:t>et al</w:t>
      </w:r>
      <w:r>
        <w:t>., 2022). Biofuels produced from algae biomass are considered third-generation, but are not yet commercially produced due to the high production costs, leading to the need of improving production rates and separation processes efficiency</w:t>
      </w:r>
      <w:r w:rsidR="00FA07BD">
        <w:t xml:space="preserve">. </w:t>
      </w:r>
      <w:r>
        <w:t xml:space="preserve">Recent studies have been reported for macroalgae-based integrated biorefineries (Pedrozo </w:t>
      </w:r>
      <w:r w:rsidRPr="006D557F">
        <w:rPr>
          <w:i/>
          <w:iCs/>
        </w:rPr>
        <w:t>et al</w:t>
      </w:r>
      <w:r>
        <w:t xml:space="preserve">., 2022) showing that they can be economically feasible. In this sense, fourth-generation biofuels, which </w:t>
      </w:r>
      <w:r>
        <w:lastRenderedPageBreak/>
        <w:t>are produced directly by genetically modified microorganisms, constitute a more recently studied alternative (Ramos et al., 2023).</w:t>
      </w:r>
    </w:p>
    <w:p w14:paraId="6338F495" w14:textId="77777777" w:rsidR="00BD46C1" w:rsidRDefault="00BD46C1" w:rsidP="00BD46C1">
      <w:pPr>
        <w:pBdr>
          <w:top w:val="nil"/>
          <w:left w:val="nil"/>
          <w:bottom w:val="nil"/>
          <w:right w:val="nil"/>
          <w:between w:val="nil"/>
        </w:pBdr>
        <w:jc w:val="both"/>
      </w:pPr>
      <w:r>
        <w:t>In this context, photoautotrophic microorganisms like cyanobacteria, stand out as potential cell factories, thriving on atmospheric/industrial CO</w:t>
      </w:r>
      <w:r>
        <w:rPr>
          <w:vertAlign w:val="subscript"/>
        </w:rPr>
        <w:t>2</w:t>
      </w:r>
      <w:r>
        <w:t>, inorganic phosphorus (P), and nitrogen (N), using solar and/or artificial light as energy source. Among its value-added products is phycocyanin, an intense blue pigment sought after by food and nutraceutical industries. Additionally, certain cyanobacteria store carbon as PHB, a biopolymer similar to polypropylene with a wide range of applications.</w:t>
      </w:r>
    </w:p>
    <w:p w14:paraId="144DE698" w14:textId="42BD2249" w:rsidR="008D2649" w:rsidRPr="002D193D" w:rsidRDefault="00BD46C1" w:rsidP="00BD46C1">
      <w:pPr>
        <w:pBdr>
          <w:top w:val="nil"/>
          <w:left w:val="nil"/>
          <w:bottom w:val="nil"/>
          <w:right w:val="nil"/>
          <w:between w:val="nil"/>
        </w:pBdr>
        <w:jc w:val="both"/>
      </w:pPr>
      <w:r>
        <w:t xml:space="preserve">In this work, we aim to assess the viability of three </w:t>
      </w:r>
      <w:r>
        <w:rPr>
          <w:i/>
        </w:rPr>
        <w:t>in-silico</w:t>
      </w:r>
      <w:r>
        <w:t xml:space="preserve"> strains of </w:t>
      </w:r>
      <w:proofErr w:type="spellStart"/>
      <w:r>
        <w:rPr>
          <w:i/>
        </w:rPr>
        <w:t>Synechocystis</w:t>
      </w:r>
      <w:proofErr w:type="spellEnd"/>
      <w:r>
        <w:t xml:space="preserve"> sp. PCC6803, developed in previous work (</w:t>
      </w:r>
      <w:proofErr w:type="spellStart"/>
      <w:r>
        <w:t>Lasry</w:t>
      </w:r>
      <w:proofErr w:type="spellEnd"/>
      <w:r>
        <w:t xml:space="preserve"> Testa </w:t>
      </w:r>
      <w:r>
        <w:rPr>
          <w:i/>
        </w:rPr>
        <w:t>et al.,</w:t>
      </w:r>
      <w:r>
        <w:t xml:space="preserve"> 2019, 2022), in a large scale biorefinery. We propose a mixed-integer nonlinear programming (MINLP) </w:t>
      </w:r>
      <w:proofErr w:type="spellStart"/>
      <w:r>
        <w:t>multiobjective</w:t>
      </w:r>
      <w:proofErr w:type="spellEnd"/>
      <w:r>
        <w:t xml:space="preserve"> model for the simultaneous optimal plant design and heat exchanger network synthesis (HEN) of a cyanobacteria-based integrated biorefinery for pigments (phycocyanin and zeaxanthin), PHB, biofuels, hydrogen, diethyl ether (DEE) and biofertilizers. The objective is to minimize the target indices of the </w:t>
      </w:r>
      <w:r>
        <w:rPr>
          <w:i/>
        </w:rPr>
        <w:t>in-silico</w:t>
      </w:r>
      <w:r>
        <w:t xml:space="preserve"> strains, productivity-</w:t>
      </w:r>
      <w:proofErr w:type="spellStart"/>
      <w:r>
        <w:t>titer</w:t>
      </w:r>
      <w:proofErr w:type="spellEnd"/>
      <w:r>
        <w:t xml:space="preserve">-yield, in order to achieve a sustainable biorefinery design, measured by the SNPV metric (Zore </w:t>
      </w:r>
      <w:r>
        <w:rPr>
          <w:i/>
        </w:rPr>
        <w:t>et al</w:t>
      </w:r>
      <w:r>
        <w:t xml:space="preserve">., 2018). The idea behind obtaining the minimal targets is to evaluate the performance of the developed </w:t>
      </w:r>
      <w:r>
        <w:rPr>
          <w:i/>
        </w:rPr>
        <w:t>in-silico</w:t>
      </w:r>
      <w:r>
        <w:t xml:space="preserve"> strains and determine if it is worth the effort to design them </w:t>
      </w:r>
      <w:r>
        <w:rPr>
          <w:i/>
        </w:rPr>
        <w:t>in-vivo</w:t>
      </w:r>
      <w:r>
        <w:t xml:space="preserve"> based on metabolic engineering strategies in the laboratory.</w:t>
      </w:r>
    </w:p>
    <w:p w14:paraId="144DE699" w14:textId="03DDF66A" w:rsidR="008D2649" w:rsidRDefault="00BD46C1" w:rsidP="008D2649">
      <w:pPr>
        <w:pStyle w:val="Els-1storder-head"/>
      </w:pPr>
      <w:r>
        <w:t>Process description</w:t>
      </w:r>
    </w:p>
    <w:p w14:paraId="144DE69B" w14:textId="355061CE" w:rsidR="008D2649" w:rsidRDefault="00BD46C1" w:rsidP="008D2649">
      <w:pPr>
        <w:pStyle w:val="Els-2ndorder-head"/>
      </w:pPr>
      <w:proofErr w:type="spellStart"/>
      <w:r>
        <w:t>Synechocystis</w:t>
      </w:r>
      <w:proofErr w:type="spellEnd"/>
      <w:r>
        <w:t xml:space="preserve"> strains</w:t>
      </w:r>
    </w:p>
    <w:p w14:paraId="639978E1" w14:textId="11BF37E4" w:rsidR="00B23DFD" w:rsidRDefault="00BD46C1" w:rsidP="008D2649">
      <w:pPr>
        <w:pStyle w:val="Els-body-text"/>
      </w:pPr>
      <w:r>
        <w:t xml:space="preserve">In this study, three different </w:t>
      </w:r>
      <w:proofErr w:type="spellStart"/>
      <w:r>
        <w:rPr>
          <w:i/>
        </w:rPr>
        <w:t>Synechocystis</w:t>
      </w:r>
      <w:proofErr w:type="spellEnd"/>
      <w:r>
        <w:t xml:space="preserve"> strains constitute the main “cell factories” for the biorefinery superstructure, as we aim at assessing </w:t>
      </w:r>
      <w:r>
        <w:rPr>
          <w:i/>
        </w:rPr>
        <w:t>in-silico</w:t>
      </w:r>
      <w:r>
        <w:t xml:space="preserve"> developed strains’ efficiency within the frame of an integrated biorefinery. S1 is a wild type strain (no ethanol production) represented by its genome-scale metabolic model (GEM). The GEM comprises 784 reactions and 535 metabolites, with 80 exchange reactions that include cytoplasm, </w:t>
      </w:r>
      <w:proofErr w:type="spellStart"/>
      <w:r>
        <w:t>carboxisome</w:t>
      </w:r>
      <w:proofErr w:type="spellEnd"/>
      <w:r>
        <w:t xml:space="preserve">, </w:t>
      </w:r>
      <w:proofErr w:type="spellStart"/>
      <w:r>
        <w:t>tillacoidal</w:t>
      </w:r>
      <w:proofErr w:type="spellEnd"/>
      <w:r>
        <w:t xml:space="preserve"> lumen, </w:t>
      </w:r>
      <w:proofErr w:type="spellStart"/>
      <w:r>
        <w:t>tillacoidal</w:t>
      </w:r>
      <w:proofErr w:type="spellEnd"/>
      <w:r>
        <w:t xml:space="preserve"> membrane, cytoplasmatic membrane, periplasm and extracellular space. S2 includes the reactions codified by the genes </w:t>
      </w:r>
      <w:proofErr w:type="spellStart"/>
      <w:r>
        <w:rPr>
          <w:i/>
        </w:rPr>
        <w:t>pdc</w:t>
      </w:r>
      <w:proofErr w:type="spellEnd"/>
      <w:r>
        <w:t xml:space="preserve"> and </w:t>
      </w:r>
      <w:proofErr w:type="spellStart"/>
      <w:r>
        <w:rPr>
          <w:i/>
        </w:rPr>
        <w:t>adh</w:t>
      </w:r>
      <w:proofErr w:type="spellEnd"/>
      <w:r>
        <w:t xml:space="preserve"> from </w:t>
      </w:r>
      <w:proofErr w:type="spellStart"/>
      <w:r>
        <w:rPr>
          <w:i/>
        </w:rPr>
        <w:t>Zymomonas</w:t>
      </w:r>
      <w:proofErr w:type="spellEnd"/>
      <w:r>
        <w:rPr>
          <w:i/>
        </w:rPr>
        <w:t xml:space="preserve"> </w:t>
      </w:r>
      <w:proofErr w:type="spellStart"/>
      <w:r>
        <w:rPr>
          <w:i/>
        </w:rPr>
        <w:t>mobilis</w:t>
      </w:r>
      <w:proofErr w:type="spellEnd"/>
      <w:r>
        <w:t>, and produces ethanol coupled to growth, and S3 produces PHB coupled to growth (</w:t>
      </w:r>
      <w:proofErr w:type="spellStart"/>
      <w:r>
        <w:t>Lasry</w:t>
      </w:r>
      <w:proofErr w:type="spellEnd"/>
      <w:r>
        <w:t xml:space="preserve"> Testa </w:t>
      </w:r>
      <w:r>
        <w:rPr>
          <w:i/>
        </w:rPr>
        <w:t>et al.</w:t>
      </w:r>
      <w:r>
        <w:t xml:space="preserve">, 2019, 2022). The coupled strains were designed by formulating a bilevel optimization problem that identifies gene deletions to achieve the desired coupling. Coupling production to growth has the objective of turning the desired product’s production into a subproduct of growth, so that it becomes necessary for the microorganism’s metabolic function. In the bilevel optimization problem, the outer objective function is to maximize product synthesis rate, while setting an upper bound to the number of gene deletions (represented through binary variables), and the inner optimization problem minimizes product synthesis rate subject to the metabolic network model (LP). The problem has been reformulated as a single level optimization problem by applying duality theory; i.e., replacing the inner LP by a set of equations comprising the primal LP constraints, its dual problem constraints and imposing the strong duality condition (primal LP objective function equal to dual problem objective function). The resulting Mixed Integer Linear Programming (MILP) problem solution renders a genetically engineered strain that </w:t>
      </w:r>
      <w:proofErr w:type="gramStart"/>
      <w:r>
        <w:t>couples</w:t>
      </w:r>
      <w:proofErr w:type="gramEnd"/>
      <w:r>
        <w:t xml:space="preserve"> ethanol production to cell growth through fourteen genetic intervention in the case of S2 and with sixteen genetic interventions for PHB production in the case of S3 (</w:t>
      </w:r>
      <w:proofErr w:type="spellStart"/>
      <w:r>
        <w:t>Lasry</w:t>
      </w:r>
      <w:proofErr w:type="spellEnd"/>
      <w:r>
        <w:t xml:space="preserve"> Testa </w:t>
      </w:r>
      <w:r>
        <w:rPr>
          <w:i/>
        </w:rPr>
        <w:t>et al</w:t>
      </w:r>
      <w:r>
        <w:t>., 2019, 2022).</w:t>
      </w:r>
      <w:r w:rsidR="008D2649">
        <w:t xml:space="preserve"> </w:t>
      </w:r>
    </w:p>
    <w:p w14:paraId="144DE69D" w14:textId="43700959" w:rsidR="008D2649" w:rsidRDefault="00BD46C1" w:rsidP="008D2649">
      <w:pPr>
        <w:pStyle w:val="Els-2ndorder-head"/>
      </w:pPr>
      <w:r>
        <w:rPr>
          <w:color w:val="000000"/>
        </w:rPr>
        <w:lastRenderedPageBreak/>
        <w:t>Process superstructure</w:t>
      </w:r>
      <w:r w:rsidR="008D2649">
        <w:t xml:space="preserve"> </w:t>
      </w:r>
    </w:p>
    <w:p w14:paraId="2EE483EC" w14:textId="48A888A4" w:rsidR="00751F13" w:rsidRPr="00DD0F0B" w:rsidRDefault="00BD46C1" w:rsidP="00751F13">
      <w:pPr>
        <w:keepNext/>
        <w:spacing w:after="60" w:line="276" w:lineRule="auto"/>
        <w:jc w:val="both"/>
      </w:pPr>
      <w:r>
        <w:t xml:space="preserve">The proposed superstructure of a cyanobacteria-based biorefinery for the potential production of pigments (phycocyanin and zeaxanthin), PHB, bioethanol, biogas, hydrogen, DEE and biofertilizers is shown in Fig. 1. It includes three main </w:t>
      </w:r>
      <w:r w:rsidR="00846FD9">
        <w:t>continuous processing</w:t>
      </w:r>
      <w:r>
        <w:t xml:space="preserve"> stages: production, separation and purification. These processing stages comprise the cultivation in open ponds and harvesting through microfiltration membranes (S2 strain only) or centrifugation (S1 and S3), are described in detail in Ramos </w:t>
      </w:r>
      <w:r>
        <w:rPr>
          <w:i/>
        </w:rPr>
        <w:t>et al</w:t>
      </w:r>
      <w:r>
        <w:t xml:space="preserve">. (2023). Ethanol separation and purification section (S2 strain only), carried out with PDMS membranes for pervaporation, a vapor compression distillation system and ceramic membranes, follows the technologic route proposed by Lopes </w:t>
      </w:r>
      <w:r>
        <w:rPr>
          <w:i/>
        </w:rPr>
        <w:t>et al</w:t>
      </w:r>
      <w:r>
        <w:t xml:space="preserve">. (2019). Pigments extraction and purification section (S1 and S2), also refers to the same author, and includes a detailed description of the technological pathway. Regarding the residual biomass outlet from the cell disruption process in the pigment extraction section, for the three strains, the main stream of harvested biomass can be directly fed to an anaerobic digestor for the production of fertilizers and biogas, and also to recycle nutrient streams to the cultivation stage at the Open Pond system (García Prieto </w:t>
      </w:r>
      <w:r>
        <w:rPr>
          <w:i/>
        </w:rPr>
        <w:t>et al</w:t>
      </w:r>
      <w:r>
        <w:t xml:space="preserve">., 2017). The PHB extraction and purification section (S3 strain only) is described in detail in Ramos </w:t>
      </w:r>
      <w:r>
        <w:rPr>
          <w:i/>
        </w:rPr>
        <w:t>et al</w:t>
      </w:r>
      <w:r>
        <w:t>. (201</w:t>
      </w:r>
      <w:r w:rsidR="00FA07BD">
        <w:t>7</w:t>
      </w:r>
      <w:r>
        <w:t>).</w:t>
      </w:r>
      <w:r w:rsidR="005807F9">
        <w:t xml:space="preserve"> </w:t>
      </w:r>
      <w:r w:rsidR="00751F13">
        <w:t xml:space="preserve">Fuel-grade bioethanol with a concentration of 99.5 % obtained from the purification stage can be directly sold or further processed. The superstructure considers two different alternatives: the conversion of bioethanol into DEE or into green Hydrogen. The first case contemplates the production of DEE in an isothermal tubular packed-bed reactor, using Ru-HBZ as catalyst. Equations for this section have been taken from </w:t>
      </w:r>
      <w:proofErr w:type="spellStart"/>
      <w:r w:rsidR="00751F13">
        <w:t>Charoensuppanimit</w:t>
      </w:r>
      <w:proofErr w:type="spellEnd"/>
      <w:r w:rsidR="00751F13">
        <w:t xml:space="preserve"> </w:t>
      </w:r>
      <w:r w:rsidR="00751F13">
        <w:rPr>
          <w:i/>
        </w:rPr>
        <w:t>et al.</w:t>
      </w:r>
      <w:r w:rsidR="00751F13">
        <w:t xml:space="preserve"> (2021) and included in the process superstructure. The second case considers a steam reforming process in the biorefinery. This technological route model equations have been taken from those proposed by </w:t>
      </w:r>
      <w:proofErr w:type="spellStart"/>
      <w:r w:rsidR="00751F13">
        <w:t>Khamhaeng</w:t>
      </w:r>
      <w:proofErr w:type="spellEnd"/>
      <w:r w:rsidR="00751F13">
        <w:t xml:space="preserve"> </w:t>
      </w:r>
      <w:r w:rsidR="00751F13">
        <w:rPr>
          <w:i/>
        </w:rPr>
        <w:t>et al</w:t>
      </w:r>
      <w:r w:rsidR="00751F13">
        <w:t>. (2021).</w:t>
      </w:r>
    </w:p>
    <w:p w14:paraId="144DE6A0" w14:textId="78AE6B35" w:rsidR="008D2649" w:rsidRDefault="00751F13" w:rsidP="008D2649">
      <w:pPr>
        <w:pStyle w:val="Els-body-text"/>
      </w:pPr>
      <w:r>
        <w:rPr>
          <w:noProof/>
        </w:rPr>
        <w:drawing>
          <wp:inline distT="0" distB="0" distL="0" distR="0" wp14:anchorId="3C6E54A7" wp14:editId="1BA9620E">
            <wp:extent cx="4493462" cy="1943557"/>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2340"/>
                    <a:stretch/>
                  </pic:blipFill>
                  <pic:spPr bwMode="auto">
                    <a:xfrm>
                      <a:off x="0" y="0"/>
                      <a:ext cx="4506128" cy="1949035"/>
                    </a:xfrm>
                    <a:prstGeom prst="rect">
                      <a:avLst/>
                    </a:prstGeom>
                    <a:ln>
                      <a:noFill/>
                    </a:ln>
                    <a:extLst>
                      <a:ext uri="{53640926-AAD7-44D8-BBD7-CCE9431645EC}">
                        <a14:shadowObscured xmlns:a14="http://schemas.microsoft.com/office/drawing/2010/main"/>
                      </a:ext>
                    </a:extLst>
                  </pic:spPr>
                </pic:pic>
              </a:graphicData>
            </a:graphic>
          </wp:inline>
        </w:drawing>
      </w:r>
    </w:p>
    <w:p w14:paraId="2BB279F7" w14:textId="1B91042D" w:rsidR="00751F13" w:rsidRPr="00751F13" w:rsidRDefault="00751F13" w:rsidP="00751F13">
      <w:pPr>
        <w:keepLines/>
        <w:pBdr>
          <w:top w:val="nil"/>
          <w:left w:val="nil"/>
          <w:bottom w:val="nil"/>
          <w:right w:val="nil"/>
          <w:between w:val="nil"/>
        </w:pBdr>
        <w:spacing w:before="100" w:after="120"/>
        <w:jc w:val="both"/>
        <w:rPr>
          <w:color w:val="000000"/>
        </w:rPr>
      </w:pPr>
      <w:r>
        <w:rPr>
          <w:color w:val="000000"/>
        </w:rPr>
        <w:t>Figure 1. Cyanobacteria-based integrated biorefinery simplified superstructure</w:t>
      </w:r>
    </w:p>
    <w:p w14:paraId="144DE6A1" w14:textId="02CA9957" w:rsidR="008D2649" w:rsidRPr="00A94774" w:rsidRDefault="00751F13" w:rsidP="008D2649">
      <w:pPr>
        <w:pStyle w:val="Els-1storder-head"/>
        <w:spacing w:after="120"/>
        <w:rPr>
          <w:lang w:val="en-GB"/>
        </w:rPr>
      </w:pPr>
      <w:r>
        <w:rPr>
          <w:lang w:val="en-GB"/>
        </w:rPr>
        <w:t>Mathematical model</w:t>
      </w:r>
    </w:p>
    <w:p w14:paraId="144DE6A4" w14:textId="3B422353" w:rsidR="008D2649" w:rsidRPr="00B23DFD" w:rsidRDefault="00751F13" w:rsidP="00751F13">
      <w:pPr>
        <w:keepNext/>
        <w:pBdr>
          <w:top w:val="nil"/>
          <w:left w:val="nil"/>
          <w:bottom w:val="nil"/>
          <w:right w:val="nil"/>
          <w:between w:val="nil"/>
        </w:pBdr>
        <w:spacing w:before="240" w:after="60"/>
        <w:jc w:val="both"/>
        <w:rPr>
          <w:color w:val="000000"/>
        </w:rPr>
      </w:pPr>
      <w:r>
        <w:rPr>
          <w:color w:val="000000"/>
        </w:rPr>
        <w:t>The proposed superstructure is formulated as a mixed-integer nonlinear programming (MINLP) problem and implemented in GAMS 3</w:t>
      </w:r>
      <w:r>
        <w:t>5.2.0</w:t>
      </w:r>
      <w:r>
        <w:rPr>
          <w:color w:val="000000"/>
        </w:rPr>
        <w:t xml:space="preserve"> (McCarl </w:t>
      </w:r>
      <w:r>
        <w:rPr>
          <w:i/>
          <w:color w:val="000000"/>
        </w:rPr>
        <w:t>et al.</w:t>
      </w:r>
      <w:r>
        <w:rPr>
          <w:color w:val="000000"/>
        </w:rPr>
        <w:t>, 202</w:t>
      </w:r>
      <w:r w:rsidR="001A1AFD">
        <w:rPr>
          <w:color w:val="000000"/>
        </w:rPr>
        <w:t>2</w:t>
      </w:r>
      <w:r>
        <w:rPr>
          <w:color w:val="000000"/>
        </w:rPr>
        <w:t xml:space="preserve">) in order to determine the optimal design of an integrated cyanobacteria-based biorefinery and its </w:t>
      </w:r>
      <w:r>
        <w:rPr>
          <w:color w:val="000000"/>
        </w:rPr>
        <w:lastRenderedPageBreak/>
        <w:t>HEN</w:t>
      </w:r>
      <w:r w:rsidR="00846FD9">
        <w:rPr>
          <w:color w:val="000000"/>
        </w:rPr>
        <w:t xml:space="preserve"> as presented in Pedrozo </w:t>
      </w:r>
      <w:r w:rsidR="00846FD9" w:rsidRPr="00846FD9">
        <w:rPr>
          <w:i/>
          <w:iCs/>
          <w:color w:val="000000"/>
        </w:rPr>
        <w:t>et al.</w:t>
      </w:r>
      <w:r w:rsidR="00846FD9">
        <w:rPr>
          <w:color w:val="000000"/>
        </w:rPr>
        <w:t xml:space="preserve"> (2022)</w:t>
      </w:r>
      <w:r>
        <w:rPr>
          <w:color w:val="000000"/>
        </w:rPr>
        <w:t xml:space="preserve">. The problem is formulated as a </w:t>
      </w:r>
      <w:proofErr w:type="spellStart"/>
      <w:r>
        <w:rPr>
          <w:color w:val="000000"/>
        </w:rPr>
        <w:t>multiobjective</w:t>
      </w:r>
      <w:proofErr w:type="spellEnd"/>
      <w:r>
        <w:rPr>
          <w:color w:val="000000"/>
        </w:rPr>
        <w:t xml:space="preserve"> MINLP, whose objective functions include minimization of the different target indices to be reached to ensure a sustainable biorefinery design, by imposing a lower bound on the sustainability metric SNPV. It is worth noting that, for scenarios where two indices are minimized, like biomass and bioethanol productivities, the epsilon constraint method is used to solve the </w:t>
      </w:r>
      <w:proofErr w:type="spellStart"/>
      <w:r>
        <w:rPr>
          <w:color w:val="000000"/>
        </w:rPr>
        <w:t>multiobjective</w:t>
      </w:r>
      <w:proofErr w:type="spellEnd"/>
      <w:r>
        <w:rPr>
          <w:color w:val="000000"/>
        </w:rPr>
        <w:t xml:space="preserve"> optimization problem (MOO). The proposed superstructure includes mass and energy balances for the integrated biorefinery process, as well as its HEN design and connection equations to link process design variables with </w:t>
      </w:r>
      <w:r>
        <w:t>HEN</w:t>
      </w:r>
      <w:r>
        <w:rPr>
          <w:color w:val="000000"/>
        </w:rPr>
        <w:t xml:space="preserve"> variables. </w:t>
      </w:r>
      <w:r>
        <w:t>Binary variables are associated to potential units and to heat exchanger matches.</w:t>
      </w:r>
    </w:p>
    <w:p w14:paraId="144DE6A5" w14:textId="159D7134" w:rsidR="008D2649" w:rsidRPr="00A94774" w:rsidRDefault="00751F13" w:rsidP="008D2649">
      <w:pPr>
        <w:pStyle w:val="Els-1storder-head"/>
        <w:spacing w:after="120"/>
        <w:rPr>
          <w:lang w:val="en-GB"/>
        </w:rPr>
      </w:pPr>
      <w:r>
        <w:rPr>
          <w:lang w:val="en-GB"/>
        </w:rPr>
        <w:t>Numerical results</w:t>
      </w:r>
    </w:p>
    <w:p w14:paraId="456B2305" w14:textId="3A2B51C8" w:rsidR="00B23DFD" w:rsidRDefault="00751F13" w:rsidP="00751F13">
      <w:pPr>
        <w:pStyle w:val="Els-body-text"/>
        <w:spacing w:after="120"/>
      </w:pPr>
      <w:r>
        <w:t xml:space="preserve">The MINLP </w:t>
      </w:r>
      <w:proofErr w:type="spellStart"/>
      <w:r>
        <w:t>multiobjective</w:t>
      </w:r>
      <w:proofErr w:type="spellEnd"/>
      <w:r>
        <w:t xml:space="preserve"> model formulated for minimal target indices determination in terms of sustainability optimization and simultaneous process and HEN design includes 9,131 discrete variables, 52,521 continuous variables and 71,854 constraints. It was solved with the epsilon constraint methodology, for alternative scenarios </w:t>
      </w:r>
      <w:r>
        <w:rPr>
          <w:i/>
        </w:rPr>
        <w:t>A</w:t>
      </w:r>
      <w:r>
        <w:t xml:space="preserve">, </w:t>
      </w:r>
      <w:r>
        <w:rPr>
          <w:i/>
        </w:rPr>
        <w:t>B</w:t>
      </w:r>
      <w:r>
        <w:t xml:space="preserve"> and </w:t>
      </w:r>
      <w:r>
        <w:rPr>
          <w:i/>
        </w:rPr>
        <w:t>C</w:t>
      </w:r>
      <w:r>
        <w:t xml:space="preserve">, which correspond to minimal biomass productivity for strain S1, minimal biomass and ethanol productivities for strain S2, and minimal biomass productivity for strain S1 and minimal PHB productivity for strain S3, respectively. The solver used was DICOPT, with CONOPT and CPLEX as nonlinear and linear </w:t>
      </w:r>
      <w:proofErr w:type="spellStart"/>
      <w:r>
        <w:t>subsolvers</w:t>
      </w:r>
      <w:proofErr w:type="spellEnd"/>
      <w:r>
        <w:t xml:space="preserve">, respectively (Grossmann </w:t>
      </w:r>
      <w:r>
        <w:rPr>
          <w:i/>
        </w:rPr>
        <w:t>et al.</w:t>
      </w:r>
      <w:r>
        <w:t xml:space="preserve">, 2003). Table 1 shows the alternative strain indices obtained by a bioreactor model that takes into account light limitation due to the increase in cellular density of the culture that is simulated with a </w:t>
      </w:r>
      <w:proofErr w:type="spellStart"/>
      <w:r>
        <w:t>dFBA</w:t>
      </w:r>
      <w:proofErr w:type="spellEnd"/>
      <w:r>
        <w:t xml:space="preserve"> (Dynamic Flux Balance Analysis) model, considering the growth and production rates of each of the strains. For a more detailed description of the GEM, the resolution of the bilevel optimization problems and an analysis of the </w:t>
      </w:r>
      <w:r>
        <w:rPr>
          <w:i/>
        </w:rPr>
        <w:t>in-silico</w:t>
      </w:r>
      <w:r>
        <w:t xml:space="preserve"> mutant strains refer to </w:t>
      </w:r>
      <w:proofErr w:type="spellStart"/>
      <w:r>
        <w:t>Lasry</w:t>
      </w:r>
      <w:proofErr w:type="spellEnd"/>
      <w:r>
        <w:t xml:space="preserve"> Testa </w:t>
      </w:r>
      <w:r>
        <w:rPr>
          <w:i/>
        </w:rPr>
        <w:t>et al</w:t>
      </w:r>
      <w:r>
        <w:t>. (2019, 2022).</w:t>
      </w:r>
    </w:p>
    <w:p w14:paraId="19726420" w14:textId="77777777" w:rsidR="00751F13" w:rsidRDefault="00751F13" w:rsidP="00751F13">
      <w:pPr>
        <w:keepNext/>
        <w:keepLines/>
        <w:pBdr>
          <w:top w:val="nil"/>
          <w:left w:val="nil"/>
          <w:bottom w:val="nil"/>
          <w:right w:val="nil"/>
          <w:between w:val="nil"/>
        </w:pBdr>
        <w:spacing w:before="100" w:after="120"/>
        <w:jc w:val="both"/>
      </w:pPr>
      <w:r>
        <w:rPr>
          <w:color w:val="000000"/>
        </w:rPr>
        <w:t xml:space="preserve">Table 1. S1, S2 and S3 strain indices obtained by </w:t>
      </w:r>
      <w:proofErr w:type="spellStart"/>
      <w:r>
        <w:t>dFBA</w:t>
      </w:r>
      <w:proofErr w:type="spellEnd"/>
      <w:r>
        <w:t xml:space="preserve"> simulations based on </w:t>
      </w:r>
      <w:r w:rsidRPr="006B25F9">
        <w:rPr>
          <w:i/>
          <w:iCs/>
        </w:rPr>
        <w:t>in</w:t>
      </w:r>
      <w:r>
        <w:rPr>
          <w:i/>
          <w:iCs/>
        </w:rPr>
        <w:t>-</w:t>
      </w:r>
      <w:r w:rsidRPr="006B25F9">
        <w:rPr>
          <w:i/>
          <w:iCs/>
        </w:rPr>
        <w:t>silico</w:t>
      </w:r>
      <w:r>
        <w:t xml:space="preserve"> design (</w:t>
      </w:r>
      <w:proofErr w:type="spellStart"/>
      <w:r>
        <w:t>Lasry</w:t>
      </w:r>
      <w:proofErr w:type="spellEnd"/>
      <w:r>
        <w:t xml:space="preserve"> Testa </w:t>
      </w:r>
      <w:r>
        <w:rPr>
          <w:i/>
        </w:rPr>
        <w:t>et al</w:t>
      </w:r>
      <w:r>
        <w:t>., 2019, 2022)</w:t>
      </w:r>
    </w:p>
    <w:tbl>
      <w:tblPr>
        <w:tblW w:w="7088" w:type="dxa"/>
        <w:tblBorders>
          <w:top w:val="single" w:sz="4" w:space="0" w:color="000000"/>
          <w:bottom w:val="single" w:sz="4" w:space="0" w:color="000000"/>
        </w:tblBorders>
        <w:tblLayout w:type="fixed"/>
        <w:tblLook w:val="0400" w:firstRow="0" w:lastRow="0" w:firstColumn="0" w:lastColumn="0" w:noHBand="0" w:noVBand="1"/>
      </w:tblPr>
      <w:tblGrid>
        <w:gridCol w:w="2977"/>
        <w:gridCol w:w="1134"/>
        <w:gridCol w:w="1701"/>
        <w:gridCol w:w="1276"/>
      </w:tblGrid>
      <w:tr w:rsidR="000B6F2B" w14:paraId="3DD4CB29" w14:textId="77777777" w:rsidTr="00214165">
        <w:trPr>
          <w:trHeight w:val="290"/>
        </w:trPr>
        <w:tc>
          <w:tcPr>
            <w:tcW w:w="2977" w:type="dxa"/>
            <w:tcBorders>
              <w:top w:val="single" w:sz="4" w:space="0" w:color="000000"/>
              <w:bottom w:val="single" w:sz="4" w:space="0" w:color="000000"/>
            </w:tcBorders>
            <w:shd w:val="clear" w:color="auto" w:fill="auto"/>
            <w:vAlign w:val="center"/>
          </w:tcPr>
          <w:p w14:paraId="22D6BD48" w14:textId="77777777" w:rsidR="000B6F2B" w:rsidRDefault="000B6F2B" w:rsidP="00871B5E">
            <w:pPr>
              <w:jc w:val="center"/>
              <w:rPr>
                <w:color w:val="000000"/>
              </w:rPr>
            </w:pPr>
            <w:bookmarkStart w:id="1" w:name="_Hlk152072995"/>
            <w:r>
              <w:rPr>
                <w:color w:val="000000"/>
              </w:rPr>
              <w:t>Index</w:t>
            </w:r>
          </w:p>
        </w:tc>
        <w:tc>
          <w:tcPr>
            <w:tcW w:w="1134" w:type="dxa"/>
            <w:tcBorders>
              <w:top w:val="single" w:sz="4" w:space="0" w:color="000000"/>
              <w:bottom w:val="single" w:sz="4" w:space="0" w:color="000000"/>
            </w:tcBorders>
            <w:shd w:val="clear" w:color="auto" w:fill="auto"/>
            <w:vAlign w:val="center"/>
          </w:tcPr>
          <w:p w14:paraId="23282BF4" w14:textId="77777777" w:rsidR="000B6F2B" w:rsidRDefault="000B6F2B" w:rsidP="00871B5E">
            <w:pPr>
              <w:jc w:val="center"/>
              <w:rPr>
                <w:color w:val="000000"/>
              </w:rPr>
            </w:pPr>
            <w:r>
              <w:rPr>
                <w:color w:val="000000"/>
              </w:rPr>
              <w:t>S1</w:t>
            </w:r>
          </w:p>
        </w:tc>
        <w:tc>
          <w:tcPr>
            <w:tcW w:w="1701" w:type="dxa"/>
            <w:tcBorders>
              <w:top w:val="single" w:sz="4" w:space="0" w:color="000000"/>
              <w:bottom w:val="single" w:sz="4" w:space="0" w:color="000000"/>
            </w:tcBorders>
            <w:shd w:val="clear" w:color="auto" w:fill="auto"/>
            <w:vAlign w:val="center"/>
          </w:tcPr>
          <w:p w14:paraId="572AFD57" w14:textId="77777777" w:rsidR="000B6F2B" w:rsidRDefault="000B6F2B" w:rsidP="00871B5E">
            <w:pPr>
              <w:jc w:val="center"/>
              <w:rPr>
                <w:color w:val="000000"/>
              </w:rPr>
            </w:pPr>
            <w:r>
              <w:rPr>
                <w:color w:val="000000"/>
              </w:rPr>
              <w:t>S2</w:t>
            </w:r>
          </w:p>
        </w:tc>
        <w:tc>
          <w:tcPr>
            <w:tcW w:w="1276" w:type="dxa"/>
            <w:tcBorders>
              <w:top w:val="single" w:sz="4" w:space="0" w:color="000000"/>
              <w:bottom w:val="single" w:sz="4" w:space="0" w:color="000000"/>
            </w:tcBorders>
            <w:shd w:val="clear" w:color="auto" w:fill="auto"/>
            <w:vAlign w:val="center"/>
          </w:tcPr>
          <w:p w14:paraId="2745DA4F" w14:textId="77777777" w:rsidR="000B6F2B" w:rsidRDefault="000B6F2B" w:rsidP="00871B5E">
            <w:pPr>
              <w:jc w:val="center"/>
              <w:rPr>
                <w:color w:val="000000"/>
              </w:rPr>
            </w:pPr>
            <w:r>
              <w:rPr>
                <w:color w:val="000000"/>
              </w:rPr>
              <w:t>S3</w:t>
            </w:r>
          </w:p>
        </w:tc>
      </w:tr>
      <w:tr w:rsidR="000B6F2B" w14:paraId="38F97BF4" w14:textId="77777777" w:rsidTr="00214165">
        <w:trPr>
          <w:trHeight w:val="290"/>
        </w:trPr>
        <w:tc>
          <w:tcPr>
            <w:tcW w:w="2977" w:type="dxa"/>
            <w:tcBorders>
              <w:top w:val="single" w:sz="4" w:space="0" w:color="000000"/>
            </w:tcBorders>
            <w:shd w:val="clear" w:color="auto" w:fill="auto"/>
            <w:vAlign w:val="center"/>
          </w:tcPr>
          <w:p w14:paraId="2782C228" w14:textId="77777777" w:rsidR="000B6F2B" w:rsidRDefault="000B6F2B" w:rsidP="00871B5E">
            <w:pPr>
              <w:jc w:val="center"/>
              <w:rPr>
                <w:color w:val="000000"/>
              </w:rPr>
            </w:pPr>
            <w:r>
              <w:rPr>
                <w:color w:val="000000"/>
              </w:rPr>
              <w:t>Biomass productivity (g/L/d)</w:t>
            </w:r>
          </w:p>
        </w:tc>
        <w:tc>
          <w:tcPr>
            <w:tcW w:w="1134" w:type="dxa"/>
            <w:tcBorders>
              <w:top w:val="single" w:sz="4" w:space="0" w:color="000000"/>
            </w:tcBorders>
            <w:shd w:val="clear" w:color="auto" w:fill="auto"/>
            <w:vAlign w:val="center"/>
          </w:tcPr>
          <w:p w14:paraId="5E5F3F56" w14:textId="77777777" w:rsidR="000B6F2B" w:rsidRDefault="000B6F2B" w:rsidP="00871B5E">
            <w:pPr>
              <w:jc w:val="center"/>
              <w:rPr>
                <w:color w:val="000000"/>
              </w:rPr>
            </w:pPr>
            <w:r>
              <w:rPr>
                <w:color w:val="000000"/>
              </w:rPr>
              <w:t>1.375</w:t>
            </w:r>
          </w:p>
        </w:tc>
        <w:tc>
          <w:tcPr>
            <w:tcW w:w="1701" w:type="dxa"/>
            <w:tcBorders>
              <w:top w:val="single" w:sz="4" w:space="0" w:color="000000"/>
            </w:tcBorders>
            <w:shd w:val="clear" w:color="auto" w:fill="auto"/>
            <w:vAlign w:val="center"/>
          </w:tcPr>
          <w:p w14:paraId="070DB909" w14:textId="77777777" w:rsidR="000B6F2B" w:rsidRDefault="000B6F2B" w:rsidP="00871B5E">
            <w:pPr>
              <w:jc w:val="center"/>
              <w:rPr>
                <w:color w:val="000000"/>
              </w:rPr>
            </w:pPr>
            <w:r>
              <w:rPr>
                <w:color w:val="000000"/>
              </w:rPr>
              <w:t>0.669</w:t>
            </w:r>
          </w:p>
        </w:tc>
        <w:tc>
          <w:tcPr>
            <w:tcW w:w="1276" w:type="dxa"/>
            <w:tcBorders>
              <w:top w:val="single" w:sz="4" w:space="0" w:color="000000"/>
            </w:tcBorders>
            <w:shd w:val="clear" w:color="auto" w:fill="auto"/>
            <w:vAlign w:val="center"/>
          </w:tcPr>
          <w:p w14:paraId="34804C3C" w14:textId="77777777" w:rsidR="000B6F2B" w:rsidRDefault="000B6F2B" w:rsidP="00871B5E">
            <w:pPr>
              <w:jc w:val="center"/>
              <w:rPr>
                <w:color w:val="000000"/>
              </w:rPr>
            </w:pPr>
            <w:r>
              <w:rPr>
                <w:color w:val="000000"/>
              </w:rPr>
              <w:t>0.224</w:t>
            </w:r>
          </w:p>
        </w:tc>
      </w:tr>
      <w:tr w:rsidR="000B6F2B" w14:paraId="2D58D087" w14:textId="77777777" w:rsidTr="00214165">
        <w:trPr>
          <w:trHeight w:val="290"/>
        </w:trPr>
        <w:tc>
          <w:tcPr>
            <w:tcW w:w="2977" w:type="dxa"/>
            <w:tcBorders>
              <w:bottom w:val="nil"/>
            </w:tcBorders>
            <w:shd w:val="clear" w:color="auto" w:fill="auto"/>
            <w:vAlign w:val="center"/>
          </w:tcPr>
          <w:p w14:paraId="56151788" w14:textId="77777777" w:rsidR="000B6F2B" w:rsidRDefault="000B6F2B" w:rsidP="00871B5E">
            <w:pPr>
              <w:jc w:val="center"/>
              <w:rPr>
                <w:color w:val="000000"/>
              </w:rPr>
            </w:pPr>
            <w:r>
              <w:rPr>
                <w:color w:val="000000"/>
              </w:rPr>
              <w:t>Ethanol productivity (g/L/d)</w:t>
            </w:r>
          </w:p>
        </w:tc>
        <w:tc>
          <w:tcPr>
            <w:tcW w:w="1134" w:type="dxa"/>
            <w:tcBorders>
              <w:bottom w:val="nil"/>
            </w:tcBorders>
            <w:shd w:val="clear" w:color="auto" w:fill="auto"/>
            <w:vAlign w:val="center"/>
          </w:tcPr>
          <w:p w14:paraId="023498B9" w14:textId="77777777" w:rsidR="000B6F2B" w:rsidRDefault="000B6F2B" w:rsidP="00871B5E">
            <w:pPr>
              <w:jc w:val="center"/>
              <w:rPr>
                <w:color w:val="000000"/>
              </w:rPr>
            </w:pPr>
            <w:r>
              <w:rPr>
                <w:color w:val="000000"/>
              </w:rPr>
              <w:t>0</w:t>
            </w:r>
          </w:p>
        </w:tc>
        <w:tc>
          <w:tcPr>
            <w:tcW w:w="1701" w:type="dxa"/>
            <w:tcBorders>
              <w:bottom w:val="nil"/>
            </w:tcBorders>
            <w:shd w:val="clear" w:color="auto" w:fill="auto"/>
            <w:vAlign w:val="center"/>
          </w:tcPr>
          <w:p w14:paraId="36D39C4B" w14:textId="77777777" w:rsidR="000B6F2B" w:rsidRDefault="000B6F2B" w:rsidP="00871B5E">
            <w:pPr>
              <w:jc w:val="center"/>
              <w:rPr>
                <w:color w:val="000000"/>
              </w:rPr>
            </w:pPr>
            <w:r>
              <w:rPr>
                <w:color w:val="000000"/>
              </w:rPr>
              <w:t>0.875</w:t>
            </w:r>
          </w:p>
        </w:tc>
        <w:tc>
          <w:tcPr>
            <w:tcW w:w="1276" w:type="dxa"/>
            <w:tcBorders>
              <w:bottom w:val="nil"/>
            </w:tcBorders>
            <w:shd w:val="clear" w:color="auto" w:fill="auto"/>
            <w:vAlign w:val="center"/>
          </w:tcPr>
          <w:p w14:paraId="6F1FADBB" w14:textId="77777777" w:rsidR="000B6F2B" w:rsidRDefault="000B6F2B" w:rsidP="00871B5E">
            <w:pPr>
              <w:jc w:val="center"/>
              <w:rPr>
                <w:color w:val="000000"/>
              </w:rPr>
            </w:pPr>
            <w:r>
              <w:rPr>
                <w:color w:val="000000"/>
              </w:rPr>
              <w:t>0</w:t>
            </w:r>
          </w:p>
        </w:tc>
      </w:tr>
      <w:tr w:rsidR="000B6F2B" w14:paraId="036545A8" w14:textId="77777777" w:rsidTr="00214165">
        <w:trPr>
          <w:trHeight w:val="290"/>
        </w:trPr>
        <w:tc>
          <w:tcPr>
            <w:tcW w:w="2977" w:type="dxa"/>
            <w:tcBorders>
              <w:top w:val="nil"/>
              <w:bottom w:val="single" w:sz="4" w:space="0" w:color="000000"/>
            </w:tcBorders>
            <w:shd w:val="clear" w:color="auto" w:fill="auto"/>
            <w:vAlign w:val="center"/>
          </w:tcPr>
          <w:p w14:paraId="43448C9B" w14:textId="77777777" w:rsidR="000B6F2B" w:rsidRDefault="000B6F2B" w:rsidP="00871B5E">
            <w:pPr>
              <w:jc w:val="center"/>
              <w:rPr>
                <w:color w:val="000000"/>
              </w:rPr>
            </w:pPr>
            <w:r>
              <w:rPr>
                <w:color w:val="000000"/>
              </w:rPr>
              <w:t>PHB productivity (g/L/d)</w:t>
            </w:r>
          </w:p>
        </w:tc>
        <w:tc>
          <w:tcPr>
            <w:tcW w:w="1134" w:type="dxa"/>
            <w:tcBorders>
              <w:top w:val="nil"/>
              <w:bottom w:val="single" w:sz="4" w:space="0" w:color="000000"/>
            </w:tcBorders>
            <w:shd w:val="clear" w:color="auto" w:fill="auto"/>
            <w:vAlign w:val="center"/>
          </w:tcPr>
          <w:p w14:paraId="37D2EDAD" w14:textId="77777777" w:rsidR="000B6F2B" w:rsidRDefault="000B6F2B" w:rsidP="00871B5E">
            <w:pPr>
              <w:jc w:val="center"/>
              <w:rPr>
                <w:color w:val="000000"/>
              </w:rPr>
            </w:pPr>
            <w:r>
              <w:rPr>
                <w:color w:val="000000"/>
              </w:rPr>
              <w:t>0</w:t>
            </w:r>
          </w:p>
        </w:tc>
        <w:tc>
          <w:tcPr>
            <w:tcW w:w="1701" w:type="dxa"/>
            <w:tcBorders>
              <w:top w:val="nil"/>
              <w:bottom w:val="single" w:sz="4" w:space="0" w:color="000000"/>
            </w:tcBorders>
            <w:shd w:val="clear" w:color="auto" w:fill="auto"/>
            <w:vAlign w:val="center"/>
          </w:tcPr>
          <w:p w14:paraId="31F4D7BF" w14:textId="77777777" w:rsidR="000B6F2B" w:rsidRDefault="000B6F2B" w:rsidP="00871B5E">
            <w:pPr>
              <w:jc w:val="center"/>
              <w:rPr>
                <w:color w:val="000000"/>
              </w:rPr>
            </w:pPr>
            <w:r>
              <w:rPr>
                <w:color w:val="000000"/>
              </w:rPr>
              <w:t>0</w:t>
            </w:r>
          </w:p>
        </w:tc>
        <w:tc>
          <w:tcPr>
            <w:tcW w:w="1276" w:type="dxa"/>
            <w:tcBorders>
              <w:top w:val="nil"/>
              <w:bottom w:val="single" w:sz="4" w:space="0" w:color="000000"/>
            </w:tcBorders>
            <w:shd w:val="clear" w:color="auto" w:fill="auto"/>
            <w:vAlign w:val="center"/>
          </w:tcPr>
          <w:p w14:paraId="19058252" w14:textId="77777777" w:rsidR="000B6F2B" w:rsidRDefault="000B6F2B" w:rsidP="00871B5E">
            <w:pPr>
              <w:jc w:val="center"/>
              <w:rPr>
                <w:color w:val="000000"/>
              </w:rPr>
            </w:pPr>
            <w:r>
              <w:rPr>
                <w:color w:val="000000"/>
              </w:rPr>
              <w:t>0.116</w:t>
            </w:r>
          </w:p>
        </w:tc>
      </w:tr>
      <w:tr w:rsidR="000B6F2B" w14:paraId="77903CFE" w14:textId="77777777" w:rsidTr="00214165">
        <w:trPr>
          <w:trHeight w:val="300"/>
        </w:trPr>
        <w:tc>
          <w:tcPr>
            <w:tcW w:w="2977" w:type="dxa"/>
            <w:tcBorders>
              <w:top w:val="single" w:sz="4" w:space="0" w:color="000000"/>
            </w:tcBorders>
            <w:shd w:val="clear" w:color="auto" w:fill="auto"/>
            <w:vAlign w:val="center"/>
          </w:tcPr>
          <w:p w14:paraId="5F2DE48B" w14:textId="77777777" w:rsidR="000B6F2B" w:rsidRDefault="000B6F2B" w:rsidP="00871B5E">
            <w:pPr>
              <w:jc w:val="center"/>
              <w:rPr>
                <w:color w:val="000000"/>
              </w:rPr>
            </w:pPr>
            <w:r>
              <w:rPr>
                <w:color w:val="000000"/>
              </w:rPr>
              <w:t xml:space="preserve">Biomass </w:t>
            </w:r>
            <w:proofErr w:type="spellStart"/>
            <w:r>
              <w:rPr>
                <w:color w:val="000000"/>
              </w:rPr>
              <w:t>titer</w:t>
            </w:r>
            <w:proofErr w:type="spellEnd"/>
            <w:r>
              <w:rPr>
                <w:color w:val="000000"/>
              </w:rPr>
              <w:t xml:space="preserve"> (g/L)</w:t>
            </w:r>
          </w:p>
        </w:tc>
        <w:tc>
          <w:tcPr>
            <w:tcW w:w="1134" w:type="dxa"/>
            <w:tcBorders>
              <w:top w:val="single" w:sz="4" w:space="0" w:color="000000"/>
            </w:tcBorders>
            <w:shd w:val="clear" w:color="auto" w:fill="auto"/>
            <w:vAlign w:val="center"/>
          </w:tcPr>
          <w:p w14:paraId="7EA59045" w14:textId="77777777" w:rsidR="000B6F2B" w:rsidRDefault="000B6F2B" w:rsidP="00871B5E">
            <w:pPr>
              <w:jc w:val="center"/>
              <w:rPr>
                <w:color w:val="000000"/>
              </w:rPr>
            </w:pPr>
            <w:r>
              <w:rPr>
                <w:color w:val="000000"/>
              </w:rPr>
              <w:t>5.580</w:t>
            </w:r>
          </w:p>
        </w:tc>
        <w:tc>
          <w:tcPr>
            <w:tcW w:w="1701" w:type="dxa"/>
            <w:tcBorders>
              <w:top w:val="single" w:sz="4" w:space="0" w:color="000000"/>
            </w:tcBorders>
            <w:shd w:val="clear" w:color="auto" w:fill="auto"/>
            <w:vAlign w:val="center"/>
          </w:tcPr>
          <w:p w14:paraId="309C96DC" w14:textId="77777777" w:rsidR="000B6F2B" w:rsidRDefault="000B6F2B" w:rsidP="00871B5E">
            <w:pPr>
              <w:jc w:val="center"/>
              <w:rPr>
                <w:color w:val="000000"/>
              </w:rPr>
            </w:pPr>
            <w:r>
              <w:rPr>
                <w:color w:val="000000"/>
              </w:rPr>
              <w:t>2.753</w:t>
            </w:r>
          </w:p>
        </w:tc>
        <w:tc>
          <w:tcPr>
            <w:tcW w:w="1276" w:type="dxa"/>
            <w:tcBorders>
              <w:top w:val="single" w:sz="4" w:space="0" w:color="000000"/>
            </w:tcBorders>
            <w:shd w:val="clear" w:color="auto" w:fill="auto"/>
            <w:vAlign w:val="center"/>
          </w:tcPr>
          <w:p w14:paraId="02545011" w14:textId="77777777" w:rsidR="000B6F2B" w:rsidRDefault="000B6F2B" w:rsidP="00871B5E">
            <w:pPr>
              <w:jc w:val="center"/>
              <w:rPr>
                <w:color w:val="000000"/>
              </w:rPr>
            </w:pPr>
            <w:r>
              <w:rPr>
                <w:color w:val="000000"/>
              </w:rPr>
              <w:t>0.535</w:t>
            </w:r>
          </w:p>
        </w:tc>
      </w:tr>
      <w:tr w:rsidR="000B6F2B" w14:paraId="0A49DB0D" w14:textId="77777777" w:rsidTr="00214165">
        <w:trPr>
          <w:trHeight w:val="300"/>
        </w:trPr>
        <w:tc>
          <w:tcPr>
            <w:tcW w:w="2977" w:type="dxa"/>
            <w:tcBorders>
              <w:bottom w:val="nil"/>
            </w:tcBorders>
            <w:shd w:val="clear" w:color="auto" w:fill="auto"/>
            <w:vAlign w:val="center"/>
          </w:tcPr>
          <w:p w14:paraId="7380CB8B" w14:textId="77777777" w:rsidR="000B6F2B" w:rsidRDefault="000B6F2B" w:rsidP="00871B5E">
            <w:pPr>
              <w:jc w:val="center"/>
              <w:rPr>
                <w:color w:val="000000"/>
              </w:rPr>
            </w:pPr>
            <w:r>
              <w:rPr>
                <w:color w:val="000000"/>
              </w:rPr>
              <w:t xml:space="preserve">Ethanol </w:t>
            </w:r>
            <w:proofErr w:type="spellStart"/>
            <w:r>
              <w:rPr>
                <w:color w:val="000000"/>
              </w:rPr>
              <w:t>titer</w:t>
            </w:r>
            <w:proofErr w:type="spellEnd"/>
            <w:r>
              <w:rPr>
                <w:color w:val="000000"/>
              </w:rPr>
              <w:t xml:space="preserve"> (g/L)</w:t>
            </w:r>
          </w:p>
        </w:tc>
        <w:tc>
          <w:tcPr>
            <w:tcW w:w="1134" w:type="dxa"/>
            <w:tcBorders>
              <w:bottom w:val="nil"/>
            </w:tcBorders>
            <w:shd w:val="clear" w:color="auto" w:fill="auto"/>
            <w:vAlign w:val="center"/>
          </w:tcPr>
          <w:p w14:paraId="2F0D7A39" w14:textId="77777777" w:rsidR="000B6F2B" w:rsidRDefault="000B6F2B" w:rsidP="00871B5E">
            <w:pPr>
              <w:jc w:val="center"/>
              <w:rPr>
                <w:color w:val="000000"/>
              </w:rPr>
            </w:pPr>
            <w:r>
              <w:rPr>
                <w:color w:val="000000"/>
              </w:rPr>
              <w:t>0</w:t>
            </w:r>
          </w:p>
        </w:tc>
        <w:tc>
          <w:tcPr>
            <w:tcW w:w="1701" w:type="dxa"/>
            <w:tcBorders>
              <w:bottom w:val="nil"/>
            </w:tcBorders>
            <w:shd w:val="clear" w:color="auto" w:fill="auto"/>
            <w:vAlign w:val="center"/>
          </w:tcPr>
          <w:p w14:paraId="3316B7BF" w14:textId="77777777" w:rsidR="000B6F2B" w:rsidRDefault="000B6F2B" w:rsidP="00871B5E">
            <w:pPr>
              <w:jc w:val="center"/>
              <w:rPr>
                <w:color w:val="000000"/>
              </w:rPr>
            </w:pPr>
            <w:r>
              <w:rPr>
                <w:color w:val="000000"/>
              </w:rPr>
              <w:t>3.498</w:t>
            </w:r>
          </w:p>
        </w:tc>
        <w:tc>
          <w:tcPr>
            <w:tcW w:w="1276" w:type="dxa"/>
            <w:tcBorders>
              <w:bottom w:val="nil"/>
            </w:tcBorders>
            <w:shd w:val="clear" w:color="auto" w:fill="auto"/>
            <w:vAlign w:val="center"/>
          </w:tcPr>
          <w:p w14:paraId="0993E877" w14:textId="77777777" w:rsidR="000B6F2B" w:rsidRDefault="000B6F2B" w:rsidP="00871B5E">
            <w:pPr>
              <w:jc w:val="center"/>
              <w:rPr>
                <w:color w:val="000000"/>
              </w:rPr>
            </w:pPr>
            <w:r>
              <w:rPr>
                <w:color w:val="000000"/>
              </w:rPr>
              <w:t>0</w:t>
            </w:r>
          </w:p>
        </w:tc>
      </w:tr>
      <w:tr w:rsidR="000B6F2B" w14:paraId="701D29BB" w14:textId="77777777" w:rsidTr="00214165">
        <w:trPr>
          <w:trHeight w:val="300"/>
        </w:trPr>
        <w:tc>
          <w:tcPr>
            <w:tcW w:w="2977" w:type="dxa"/>
            <w:tcBorders>
              <w:top w:val="nil"/>
              <w:bottom w:val="single" w:sz="4" w:space="0" w:color="000000"/>
            </w:tcBorders>
            <w:shd w:val="clear" w:color="auto" w:fill="auto"/>
            <w:vAlign w:val="center"/>
          </w:tcPr>
          <w:p w14:paraId="4E652F94" w14:textId="77777777" w:rsidR="000B6F2B" w:rsidRDefault="000B6F2B" w:rsidP="00871B5E">
            <w:pPr>
              <w:jc w:val="center"/>
              <w:rPr>
                <w:color w:val="000000"/>
              </w:rPr>
            </w:pPr>
            <w:r>
              <w:rPr>
                <w:color w:val="000000"/>
              </w:rPr>
              <w:t xml:space="preserve">PHB </w:t>
            </w:r>
            <w:proofErr w:type="spellStart"/>
            <w:r>
              <w:rPr>
                <w:color w:val="000000"/>
              </w:rPr>
              <w:t>titer</w:t>
            </w:r>
            <w:proofErr w:type="spellEnd"/>
            <w:r>
              <w:rPr>
                <w:color w:val="000000"/>
              </w:rPr>
              <w:t xml:space="preserve"> (g/L)</w:t>
            </w:r>
          </w:p>
        </w:tc>
        <w:tc>
          <w:tcPr>
            <w:tcW w:w="1134" w:type="dxa"/>
            <w:tcBorders>
              <w:top w:val="nil"/>
              <w:bottom w:val="single" w:sz="4" w:space="0" w:color="000000"/>
            </w:tcBorders>
            <w:shd w:val="clear" w:color="auto" w:fill="auto"/>
            <w:vAlign w:val="center"/>
          </w:tcPr>
          <w:p w14:paraId="1ADF20E7" w14:textId="77777777" w:rsidR="000B6F2B" w:rsidRDefault="000B6F2B" w:rsidP="00871B5E">
            <w:pPr>
              <w:jc w:val="center"/>
              <w:rPr>
                <w:color w:val="000000"/>
              </w:rPr>
            </w:pPr>
            <w:r>
              <w:rPr>
                <w:color w:val="000000"/>
              </w:rPr>
              <w:t>0</w:t>
            </w:r>
          </w:p>
        </w:tc>
        <w:tc>
          <w:tcPr>
            <w:tcW w:w="1701" w:type="dxa"/>
            <w:tcBorders>
              <w:top w:val="nil"/>
              <w:bottom w:val="single" w:sz="4" w:space="0" w:color="000000"/>
            </w:tcBorders>
            <w:shd w:val="clear" w:color="auto" w:fill="auto"/>
            <w:vAlign w:val="center"/>
          </w:tcPr>
          <w:p w14:paraId="7CFDF31D" w14:textId="77777777" w:rsidR="000B6F2B" w:rsidRDefault="000B6F2B" w:rsidP="00871B5E">
            <w:pPr>
              <w:jc w:val="center"/>
              <w:rPr>
                <w:color w:val="000000"/>
              </w:rPr>
            </w:pPr>
            <w:r>
              <w:rPr>
                <w:color w:val="000000"/>
              </w:rPr>
              <w:t>0</w:t>
            </w:r>
          </w:p>
        </w:tc>
        <w:tc>
          <w:tcPr>
            <w:tcW w:w="1276" w:type="dxa"/>
            <w:tcBorders>
              <w:top w:val="nil"/>
              <w:bottom w:val="single" w:sz="4" w:space="0" w:color="000000"/>
            </w:tcBorders>
            <w:shd w:val="clear" w:color="auto" w:fill="auto"/>
            <w:vAlign w:val="center"/>
          </w:tcPr>
          <w:p w14:paraId="35649E64" w14:textId="77777777" w:rsidR="000B6F2B" w:rsidRDefault="000B6F2B" w:rsidP="00871B5E">
            <w:pPr>
              <w:jc w:val="center"/>
              <w:rPr>
                <w:color w:val="000000"/>
              </w:rPr>
            </w:pPr>
            <w:r>
              <w:rPr>
                <w:color w:val="000000"/>
              </w:rPr>
              <w:t>0.238</w:t>
            </w:r>
          </w:p>
        </w:tc>
      </w:tr>
      <w:tr w:rsidR="000B6F2B" w14:paraId="5E91F1D4" w14:textId="77777777" w:rsidTr="00214165">
        <w:trPr>
          <w:trHeight w:val="300"/>
        </w:trPr>
        <w:tc>
          <w:tcPr>
            <w:tcW w:w="2977" w:type="dxa"/>
            <w:tcBorders>
              <w:top w:val="single" w:sz="4" w:space="0" w:color="000000"/>
            </w:tcBorders>
            <w:shd w:val="clear" w:color="auto" w:fill="auto"/>
            <w:vAlign w:val="center"/>
          </w:tcPr>
          <w:p w14:paraId="29D6EF1C" w14:textId="77777777" w:rsidR="000B6F2B" w:rsidRDefault="000B6F2B" w:rsidP="00871B5E">
            <w:pPr>
              <w:jc w:val="center"/>
              <w:rPr>
                <w:color w:val="000000"/>
              </w:rPr>
            </w:pPr>
            <w:r>
              <w:rPr>
                <w:color w:val="000000"/>
              </w:rPr>
              <w:t>Biomass yield (g Product/g CO</w:t>
            </w:r>
            <w:r>
              <w:rPr>
                <w:color w:val="000000"/>
                <w:vertAlign w:val="subscript"/>
              </w:rPr>
              <w:t>2</w:t>
            </w:r>
            <w:r>
              <w:rPr>
                <w:color w:val="000000"/>
              </w:rPr>
              <w:t>)</w:t>
            </w:r>
          </w:p>
        </w:tc>
        <w:tc>
          <w:tcPr>
            <w:tcW w:w="1134" w:type="dxa"/>
            <w:tcBorders>
              <w:top w:val="single" w:sz="4" w:space="0" w:color="000000"/>
            </w:tcBorders>
            <w:shd w:val="clear" w:color="auto" w:fill="auto"/>
            <w:vAlign w:val="center"/>
          </w:tcPr>
          <w:p w14:paraId="359FC889" w14:textId="77777777" w:rsidR="000B6F2B" w:rsidRDefault="000B6F2B" w:rsidP="00871B5E">
            <w:pPr>
              <w:jc w:val="center"/>
              <w:rPr>
                <w:color w:val="000000"/>
              </w:rPr>
            </w:pPr>
            <w:r>
              <w:rPr>
                <w:color w:val="000000"/>
              </w:rPr>
              <w:t>0.471</w:t>
            </w:r>
          </w:p>
        </w:tc>
        <w:tc>
          <w:tcPr>
            <w:tcW w:w="1701" w:type="dxa"/>
            <w:tcBorders>
              <w:top w:val="single" w:sz="4" w:space="0" w:color="000000"/>
            </w:tcBorders>
            <w:shd w:val="clear" w:color="auto" w:fill="auto"/>
            <w:vAlign w:val="center"/>
          </w:tcPr>
          <w:p w14:paraId="4DDCEE8F" w14:textId="77777777" w:rsidR="000B6F2B" w:rsidRDefault="000B6F2B" w:rsidP="00871B5E">
            <w:pPr>
              <w:jc w:val="center"/>
              <w:rPr>
                <w:color w:val="000000"/>
              </w:rPr>
            </w:pPr>
            <w:r>
              <w:rPr>
                <w:color w:val="000000"/>
              </w:rPr>
              <w:t>0.229</w:t>
            </w:r>
          </w:p>
        </w:tc>
        <w:tc>
          <w:tcPr>
            <w:tcW w:w="1276" w:type="dxa"/>
            <w:tcBorders>
              <w:top w:val="single" w:sz="4" w:space="0" w:color="000000"/>
            </w:tcBorders>
            <w:shd w:val="clear" w:color="auto" w:fill="auto"/>
            <w:vAlign w:val="center"/>
          </w:tcPr>
          <w:p w14:paraId="2FB8C608" w14:textId="77777777" w:rsidR="000B6F2B" w:rsidRDefault="000B6F2B" w:rsidP="00871B5E">
            <w:pPr>
              <w:jc w:val="center"/>
              <w:rPr>
                <w:color w:val="000000"/>
                <w:vertAlign w:val="subscript"/>
              </w:rPr>
            </w:pPr>
            <w:r>
              <w:rPr>
                <w:color w:val="000000"/>
              </w:rPr>
              <w:t>0.078</w:t>
            </w:r>
          </w:p>
        </w:tc>
      </w:tr>
      <w:tr w:rsidR="000B6F2B" w14:paraId="63EE41F6" w14:textId="77777777" w:rsidTr="00214165">
        <w:trPr>
          <w:trHeight w:val="300"/>
        </w:trPr>
        <w:tc>
          <w:tcPr>
            <w:tcW w:w="2977" w:type="dxa"/>
            <w:shd w:val="clear" w:color="auto" w:fill="auto"/>
            <w:vAlign w:val="center"/>
          </w:tcPr>
          <w:p w14:paraId="1FF73273" w14:textId="77777777" w:rsidR="000B6F2B" w:rsidRDefault="000B6F2B" w:rsidP="00871B5E">
            <w:pPr>
              <w:jc w:val="center"/>
              <w:rPr>
                <w:color w:val="000000"/>
              </w:rPr>
            </w:pPr>
            <w:r>
              <w:rPr>
                <w:color w:val="000000"/>
              </w:rPr>
              <w:t>Ethanol yield (g Product/g CO</w:t>
            </w:r>
            <w:r>
              <w:rPr>
                <w:color w:val="000000"/>
                <w:vertAlign w:val="subscript"/>
              </w:rPr>
              <w:t>2</w:t>
            </w:r>
            <w:r>
              <w:rPr>
                <w:color w:val="000000"/>
              </w:rPr>
              <w:t>)</w:t>
            </w:r>
          </w:p>
        </w:tc>
        <w:tc>
          <w:tcPr>
            <w:tcW w:w="1134" w:type="dxa"/>
            <w:shd w:val="clear" w:color="auto" w:fill="auto"/>
            <w:vAlign w:val="center"/>
          </w:tcPr>
          <w:p w14:paraId="695736D9" w14:textId="77777777" w:rsidR="000B6F2B" w:rsidRDefault="000B6F2B" w:rsidP="00871B5E">
            <w:pPr>
              <w:jc w:val="center"/>
              <w:rPr>
                <w:color w:val="000000"/>
              </w:rPr>
            </w:pPr>
            <w:r>
              <w:rPr>
                <w:color w:val="000000"/>
              </w:rPr>
              <w:t>0</w:t>
            </w:r>
          </w:p>
        </w:tc>
        <w:tc>
          <w:tcPr>
            <w:tcW w:w="1701" w:type="dxa"/>
            <w:shd w:val="clear" w:color="auto" w:fill="auto"/>
            <w:vAlign w:val="center"/>
          </w:tcPr>
          <w:p w14:paraId="51E01133" w14:textId="77777777" w:rsidR="000B6F2B" w:rsidRDefault="000B6F2B" w:rsidP="00871B5E">
            <w:pPr>
              <w:jc w:val="center"/>
              <w:rPr>
                <w:color w:val="000000"/>
              </w:rPr>
            </w:pPr>
            <w:r>
              <w:rPr>
                <w:color w:val="000000"/>
              </w:rPr>
              <w:t>0.300</w:t>
            </w:r>
          </w:p>
        </w:tc>
        <w:tc>
          <w:tcPr>
            <w:tcW w:w="1276" w:type="dxa"/>
            <w:shd w:val="clear" w:color="auto" w:fill="auto"/>
            <w:vAlign w:val="center"/>
          </w:tcPr>
          <w:p w14:paraId="1C00C0B9" w14:textId="77777777" w:rsidR="000B6F2B" w:rsidRDefault="000B6F2B" w:rsidP="00871B5E">
            <w:pPr>
              <w:jc w:val="center"/>
              <w:rPr>
                <w:color w:val="000000"/>
              </w:rPr>
            </w:pPr>
            <w:r>
              <w:rPr>
                <w:color w:val="000000"/>
              </w:rPr>
              <w:t>0</w:t>
            </w:r>
          </w:p>
        </w:tc>
      </w:tr>
      <w:tr w:rsidR="000B6F2B" w14:paraId="69101071" w14:textId="77777777" w:rsidTr="00214165">
        <w:trPr>
          <w:trHeight w:val="300"/>
        </w:trPr>
        <w:tc>
          <w:tcPr>
            <w:tcW w:w="2977" w:type="dxa"/>
            <w:shd w:val="clear" w:color="auto" w:fill="auto"/>
            <w:vAlign w:val="center"/>
          </w:tcPr>
          <w:p w14:paraId="46656284" w14:textId="77777777" w:rsidR="000B6F2B" w:rsidRDefault="000B6F2B" w:rsidP="00871B5E">
            <w:pPr>
              <w:jc w:val="center"/>
              <w:rPr>
                <w:color w:val="000000"/>
              </w:rPr>
            </w:pPr>
            <w:r>
              <w:rPr>
                <w:color w:val="000000"/>
              </w:rPr>
              <w:t>PHB yield (g Product/g CO</w:t>
            </w:r>
            <w:r>
              <w:rPr>
                <w:color w:val="000000"/>
                <w:vertAlign w:val="subscript"/>
              </w:rPr>
              <w:t>2</w:t>
            </w:r>
            <w:r>
              <w:rPr>
                <w:color w:val="000000"/>
              </w:rPr>
              <w:t>)</w:t>
            </w:r>
          </w:p>
        </w:tc>
        <w:tc>
          <w:tcPr>
            <w:tcW w:w="1134" w:type="dxa"/>
            <w:shd w:val="clear" w:color="auto" w:fill="auto"/>
            <w:vAlign w:val="center"/>
          </w:tcPr>
          <w:p w14:paraId="3A814E3A" w14:textId="77777777" w:rsidR="000B6F2B" w:rsidRDefault="000B6F2B" w:rsidP="00871B5E">
            <w:pPr>
              <w:jc w:val="center"/>
              <w:rPr>
                <w:color w:val="000000"/>
              </w:rPr>
            </w:pPr>
            <w:r>
              <w:rPr>
                <w:color w:val="000000"/>
              </w:rPr>
              <w:t>0</w:t>
            </w:r>
          </w:p>
        </w:tc>
        <w:tc>
          <w:tcPr>
            <w:tcW w:w="1701" w:type="dxa"/>
            <w:shd w:val="clear" w:color="auto" w:fill="auto"/>
            <w:vAlign w:val="center"/>
          </w:tcPr>
          <w:p w14:paraId="0DA2CC9B" w14:textId="77777777" w:rsidR="000B6F2B" w:rsidRDefault="000B6F2B" w:rsidP="00871B5E">
            <w:pPr>
              <w:jc w:val="center"/>
              <w:rPr>
                <w:color w:val="000000"/>
              </w:rPr>
            </w:pPr>
            <w:r>
              <w:rPr>
                <w:color w:val="000000"/>
              </w:rPr>
              <w:t>0</w:t>
            </w:r>
          </w:p>
        </w:tc>
        <w:tc>
          <w:tcPr>
            <w:tcW w:w="1276" w:type="dxa"/>
            <w:shd w:val="clear" w:color="auto" w:fill="auto"/>
            <w:vAlign w:val="center"/>
          </w:tcPr>
          <w:p w14:paraId="39901F5D" w14:textId="77777777" w:rsidR="000B6F2B" w:rsidRDefault="000B6F2B" w:rsidP="00871B5E">
            <w:pPr>
              <w:jc w:val="center"/>
              <w:rPr>
                <w:color w:val="000000"/>
              </w:rPr>
            </w:pPr>
            <w:r>
              <w:rPr>
                <w:color w:val="000000"/>
              </w:rPr>
              <w:t>0.041</w:t>
            </w:r>
          </w:p>
        </w:tc>
      </w:tr>
    </w:tbl>
    <w:bookmarkEnd w:id="1"/>
    <w:p w14:paraId="5487D60E" w14:textId="2B048C3A" w:rsidR="00B23DFD" w:rsidRPr="000A3689" w:rsidRDefault="00751F13" w:rsidP="00751F13">
      <w:pPr>
        <w:keepNext/>
        <w:pBdr>
          <w:top w:val="nil"/>
          <w:left w:val="nil"/>
          <w:bottom w:val="nil"/>
          <w:right w:val="nil"/>
          <w:between w:val="nil"/>
        </w:pBdr>
        <w:spacing w:before="240" w:after="60"/>
        <w:jc w:val="both"/>
        <w:rPr>
          <w:color w:val="000000"/>
        </w:rPr>
      </w:pPr>
      <w:r>
        <w:t xml:space="preserve">In scenario A, a required production of 180 t/y of phycocyanin (industrial level) was fixed. The minimal target indices of S1 strain that led to a positive SNPV value (SNPV &gt; 0 lower bound), resulted in a biomass productivity of 0.0762 </w:t>
      </w:r>
      <w:proofErr w:type="spellStart"/>
      <w:r>
        <w:t>g</w:t>
      </w:r>
      <w:r>
        <w:rPr>
          <w:vertAlign w:val="subscript"/>
        </w:rPr>
        <w:t>biomass</w:t>
      </w:r>
      <w:proofErr w:type="spellEnd"/>
      <w:r>
        <w:t xml:space="preserve">/L/d, </w:t>
      </w:r>
      <w:proofErr w:type="spellStart"/>
      <w:r>
        <w:t>titer</w:t>
      </w:r>
      <w:proofErr w:type="spellEnd"/>
      <w:r>
        <w:t xml:space="preserve"> of 0.383 </w:t>
      </w:r>
      <w:proofErr w:type="spellStart"/>
      <w:r>
        <w:t>g</w:t>
      </w:r>
      <w:r>
        <w:rPr>
          <w:vertAlign w:val="subscript"/>
        </w:rPr>
        <w:t>biomass</w:t>
      </w:r>
      <w:proofErr w:type="spellEnd"/>
      <w:r>
        <w:t xml:space="preserve">/L and a yield of 0.0261 </w:t>
      </w:r>
      <w:proofErr w:type="spellStart"/>
      <w:r>
        <w:t>g</w:t>
      </w:r>
      <w:r>
        <w:rPr>
          <w:vertAlign w:val="subscript"/>
        </w:rPr>
        <w:t>biomass</w:t>
      </w:r>
      <w:proofErr w:type="spellEnd"/>
      <w:r>
        <w:t>/g</w:t>
      </w:r>
      <w:r>
        <w:rPr>
          <w:vertAlign w:val="subscript"/>
        </w:rPr>
        <w:t>CO2</w:t>
      </w:r>
      <w:r>
        <w:t xml:space="preserve">. The indices achieved through metabolic mathematical modelling for strain S1 (1.375 </w:t>
      </w:r>
      <w:proofErr w:type="spellStart"/>
      <w:r>
        <w:t>g</w:t>
      </w:r>
      <w:r>
        <w:rPr>
          <w:vertAlign w:val="subscript"/>
        </w:rPr>
        <w:t>biomass</w:t>
      </w:r>
      <w:proofErr w:type="spellEnd"/>
      <w:r>
        <w:t xml:space="preserve">/L/d, 5.580 </w:t>
      </w:r>
      <w:proofErr w:type="spellStart"/>
      <w:r>
        <w:t>g</w:t>
      </w:r>
      <w:r>
        <w:rPr>
          <w:vertAlign w:val="subscript"/>
        </w:rPr>
        <w:t>biomass</w:t>
      </w:r>
      <w:proofErr w:type="spellEnd"/>
      <w:r>
        <w:t xml:space="preserve">/L and 0.471 </w:t>
      </w:r>
      <w:proofErr w:type="spellStart"/>
      <w:r>
        <w:t>g</w:t>
      </w:r>
      <w:r>
        <w:rPr>
          <w:vertAlign w:val="subscript"/>
        </w:rPr>
        <w:t>biomass</w:t>
      </w:r>
      <w:proofErr w:type="spellEnd"/>
      <w:r>
        <w:t>/g</w:t>
      </w:r>
      <w:r>
        <w:rPr>
          <w:vertAlign w:val="subscript"/>
        </w:rPr>
        <w:t xml:space="preserve">CO2, </w:t>
      </w:r>
      <w:r w:rsidRPr="006B25F9">
        <w:t>for</w:t>
      </w:r>
      <w:r>
        <w:rPr>
          <w:vertAlign w:val="subscript"/>
        </w:rPr>
        <w:t xml:space="preserve"> </w:t>
      </w:r>
      <w:r>
        <w:t xml:space="preserve">biomass productivity, </w:t>
      </w:r>
      <w:proofErr w:type="spellStart"/>
      <w:r>
        <w:t>titer</w:t>
      </w:r>
      <w:proofErr w:type="spellEnd"/>
      <w:r>
        <w:t xml:space="preserve"> and yield, respectively, Table 1), </w:t>
      </w:r>
      <w:r w:rsidRPr="00BC3E51">
        <w:t>are</w:t>
      </w:r>
      <w:r>
        <w:t xml:space="preserve"> </w:t>
      </w:r>
      <w:r>
        <w:lastRenderedPageBreak/>
        <w:t xml:space="preserve">considerably higher compared to those obtained by solving the superstructure MINLP problem in this work, demonstrating the industrial potential of this </w:t>
      </w:r>
      <w:proofErr w:type="spellStart"/>
      <w:r w:rsidRPr="001A1AFD">
        <w:rPr>
          <w:i/>
          <w:iCs/>
        </w:rPr>
        <w:t>Synechocystis</w:t>
      </w:r>
      <w:proofErr w:type="spellEnd"/>
      <w:r>
        <w:t xml:space="preserve"> strain.</w:t>
      </w:r>
      <w:r w:rsidR="00B23DFD">
        <w:t xml:space="preserve"> </w:t>
      </w:r>
      <w:r>
        <w:t xml:space="preserve">In scenario </w:t>
      </w:r>
      <w:r>
        <w:rPr>
          <w:i/>
        </w:rPr>
        <w:t>B</w:t>
      </w:r>
      <w:r>
        <w:t xml:space="preserve">, a minimum bioethanol production of 1,750 t/y was considered along with a fixed production of 180 t/y of phycocyanin. In this scenario, the MINLP </w:t>
      </w:r>
      <w:proofErr w:type="spellStart"/>
      <w:r>
        <w:t>multiobjective</w:t>
      </w:r>
      <w:proofErr w:type="spellEnd"/>
      <w:r>
        <w:t xml:space="preserve"> model was solved implementing </w:t>
      </w:r>
      <w:r w:rsidRPr="00BC3E51">
        <w:rPr>
          <w:color w:val="000000"/>
        </w:rPr>
        <w:t>the epsilon</w:t>
      </w:r>
      <w:r>
        <w:rPr>
          <w:color w:val="000000"/>
        </w:rPr>
        <w:t xml:space="preserve"> constraint method to consider the minimization of two objective functions, S2 biomass and ethanol productivity. In Figure 2 (a) the Pareto frontier for a positive SNVP value is </w:t>
      </w:r>
      <w:r>
        <w:t>presented</w:t>
      </w:r>
      <w:r>
        <w:rPr>
          <w:color w:val="000000"/>
        </w:rPr>
        <w:t xml:space="preserve">. It is </w:t>
      </w:r>
      <w:r>
        <w:t>noteworthy</w:t>
      </w:r>
      <w:r>
        <w:rPr>
          <w:color w:val="000000"/>
        </w:rPr>
        <w:t xml:space="preserve"> that there are four </w:t>
      </w:r>
      <w:r w:rsidRPr="00BC3E51">
        <w:rPr>
          <w:color w:val="000000"/>
        </w:rPr>
        <w:t xml:space="preserve">solutions from the Pareto frontier (0.462, 0.583, 0.703, 0.823 </w:t>
      </w:r>
      <w:proofErr w:type="spellStart"/>
      <w:r w:rsidRPr="00BC3E51">
        <w:t>g</w:t>
      </w:r>
      <w:r w:rsidRPr="00BC3E51">
        <w:rPr>
          <w:vertAlign w:val="subscript"/>
        </w:rPr>
        <w:t>ethanol</w:t>
      </w:r>
      <w:proofErr w:type="spellEnd"/>
      <w:r w:rsidRPr="00BC3E51">
        <w:t>/L/d</w:t>
      </w:r>
      <w:r w:rsidRPr="00BC3E51">
        <w:rPr>
          <w:color w:val="000000"/>
        </w:rPr>
        <w:t>)</w:t>
      </w:r>
      <w:r w:rsidRPr="00BC3E51">
        <w:t xml:space="preserve"> </w:t>
      </w:r>
      <w:r w:rsidRPr="00BC3E51">
        <w:rPr>
          <w:color w:val="000000"/>
        </w:rPr>
        <w:t xml:space="preserve">that resulted in a lower ethanol productivity when compared to </w:t>
      </w:r>
      <w:r w:rsidRPr="00BC3E51">
        <w:t>the</w:t>
      </w:r>
      <w:r w:rsidRPr="00BC3E51">
        <w:rPr>
          <w:color w:val="000000"/>
        </w:rPr>
        <w:t xml:space="preserve"> one r</w:t>
      </w:r>
      <w:r w:rsidRPr="00BC3E51">
        <w:t xml:space="preserve">eported in Table 1 (0.875 </w:t>
      </w:r>
      <w:proofErr w:type="spellStart"/>
      <w:r w:rsidRPr="00BC3E51">
        <w:t>g</w:t>
      </w:r>
      <w:r w:rsidRPr="00BC3E51">
        <w:rPr>
          <w:vertAlign w:val="subscript"/>
        </w:rPr>
        <w:t>ethanol</w:t>
      </w:r>
      <w:proofErr w:type="spellEnd"/>
      <w:r w:rsidRPr="00BC3E51">
        <w:t>/L/d)</w:t>
      </w:r>
      <w:r w:rsidRPr="00BC3E51">
        <w:rPr>
          <w:color w:val="000000"/>
        </w:rPr>
        <w:t xml:space="preserve">. </w:t>
      </w:r>
      <w:r w:rsidRPr="00BC3E51">
        <w:t>Similar results were obtained</w:t>
      </w:r>
      <w:r w:rsidRPr="00BC3E51">
        <w:rPr>
          <w:color w:val="000000"/>
        </w:rPr>
        <w:t xml:space="preserve"> regarding the minimal biomass productivity </w:t>
      </w:r>
      <w:r w:rsidRPr="00BC3E51">
        <w:t>for any solution, as it can be seen in the Pareto frontier. The</w:t>
      </w:r>
      <w:r w:rsidRPr="00BC3E51">
        <w:rPr>
          <w:color w:val="000000"/>
        </w:rPr>
        <w:t xml:space="preserve"> maximum bioethanol that could be produced for an ethanol productivity of 0.823 g/L/d, is 3,293 t/</w:t>
      </w:r>
      <w:r>
        <w:rPr>
          <w:color w:val="000000"/>
        </w:rPr>
        <w:t>y</w:t>
      </w:r>
      <w:r w:rsidRPr="00BC3E51">
        <w:rPr>
          <w:color w:val="000000"/>
        </w:rPr>
        <w:t>. The biorefinery optimal design for each solution, considers directly selling the bioethanol, instead of further processing it into DEE or green hydrogen conversion.</w:t>
      </w:r>
      <w:r w:rsidR="00B23DFD">
        <w:rPr>
          <w:color w:val="000000"/>
        </w:rPr>
        <w:t xml:space="preserve"> </w:t>
      </w:r>
      <w:r>
        <w:t xml:space="preserve">Finally, in scenario </w:t>
      </w:r>
      <w:r>
        <w:rPr>
          <w:i/>
        </w:rPr>
        <w:t>C</w:t>
      </w:r>
      <w:r>
        <w:t xml:space="preserve"> a fixed production of 180 t/y of phycocyanin and 10,000 t/y of PHB, cultivating strains S1 and S3 at the open pond system, were considered. In this case, the MINLP </w:t>
      </w:r>
      <w:proofErr w:type="spellStart"/>
      <w:r>
        <w:t>multiobjective</w:t>
      </w:r>
      <w:proofErr w:type="spellEnd"/>
      <w:r>
        <w:t xml:space="preserve"> model was solved with </w:t>
      </w:r>
      <w:r>
        <w:rPr>
          <w:color w:val="000000"/>
        </w:rPr>
        <w:t xml:space="preserve">the epsilon constraint method to minimize biomass and PHB productivity for strains S1 and S3, respectively. Figure 2 (b) presents the Pareto frontier with these two objectives, for a positive SNVP value. For each nondominated solution, it </w:t>
      </w:r>
      <w:r>
        <w:t xml:space="preserve">was </w:t>
      </w:r>
      <w:r>
        <w:rPr>
          <w:color w:val="000000"/>
        </w:rPr>
        <w:t xml:space="preserve">observed that it </w:t>
      </w:r>
      <w:r>
        <w:t>was</w:t>
      </w:r>
      <w:r>
        <w:rPr>
          <w:color w:val="000000"/>
        </w:rPr>
        <w:t xml:space="preserve"> necessary to reach a PHB productivity </w:t>
      </w:r>
      <w:r>
        <w:t>of 0.757 g/L/d,</w:t>
      </w:r>
      <w:r>
        <w:rPr>
          <w:color w:val="000000"/>
        </w:rPr>
        <w:t xml:space="preserve"> 550</w:t>
      </w:r>
      <w:r w:rsidR="00B23DFD">
        <w:rPr>
          <w:color w:val="000000"/>
        </w:rPr>
        <w:t xml:space="preserve"> </w:t>
      </w:r>
      <w:r>
        <w:rPr>
          <w:color w:val="000000"/>
        </w:rPr>
        <w:t xml:space="preserve">% higher than the determined </w:t>
      </w:r>
      <w:r>
        <w:t xml:space="preserve">by solving </w:t>
      </w:r>
      <w:r>
        <w:rPr>
          <w:color w:val="000000"/>
        </w:rPr>
        <w:t xml:space="preserve">the bilevel optimization problem for </w:t>
      </w:r>
      <w:r w:rsidRPr="00BC3E51">
        <w:rPr>
          <w:i/>
          <w:iCs/>
          <w:color w:val="000000"/>
        </w:rPr>
        <w:t>in-silico</w:t>
      </w:r>
      <w:r>
        <w:rPr>
          <w:color w:val="000000"/>
        </w:rPr>
        <w:t xml:space="preserve"> design (0.116 </w:t>
      </w:r>
      <w:proofErr w:type="spellStart"/>
      <w:r>
        <w:t>g</w:t>
      </w:r>
      <w:r>
        <w:rPr>
          <w:vertAlign w:val="subscript"/>
        </w:rPr>
        <w:t>PHB</w:t>
      </w:r>
      <w:proofErr w:type="spellEnd"/>
      <w:r>
        <w:t>/L/d</w:t>
      </w:r>
      <w:r>
        <w:rPr>
          <w:color w:val="000000"/>
        </w:rPr>
        <w:t xml:space="preserve">, Table 1). This result is in agreement with Price </w:t>
      </w:r>
      <w:r>
        <w:rPr>
          <w:i/>
          <w:color w:val="000000"/>
        </w:rPr>
        <w:t>et al</w:t>
      </w:r>
      <w:r>
        <w:rPr>
          <w:color w:val="000000"/>
        </w:rPr>
        <w:t>. (2022), where they concluded that there are still significant technical and economic barriers to be solved before PHB production from cyanobacteria can be economically feasible.</w:t>
      </w:r>
      <w:r w:rsidR="00B23DFD">
        <w:rPr>
          <w:color w:val="000000"/>
        </w:rPr>
        <w:t xml:space="preserve"> </w:t>
      </w:r>
      <w:r w:rsidR="00452C2B">
        <w:rPr>
          <w:color w:val="000000"/>
        </w:rPr>
        <w:t>It is worth mentioning that, al</w:t>
      </w:r>
      <w:r w:rsidR="000A3689">
        <w:rPr>
          <w:color w:val="000000"/>
        </w:rPr>
        <w:t>though a</w:t>
      </w:r>
      <w:r w:rsidR="000A3689" w:rsidRPr="000A3689">
        <w:rPr>
          <w:color w:val="000000"/>
        </w:rPr>
        <w:t xml:space="preserve"> sensitivity analysis </w:t>
      </w:r>
      <w:r w:rsidR="000A3689">
        <w:rPr>
          <w:color w:val="000000"/>
        </w:rPr>
        <w:t xml:space="preserve">should be </w:t>
      </w:r>
      <w:r w:rsidR="000A3689" w:rsidRPr="000A3689">
        <w:rPr>
          <w:color w:val="000000"/>
        </w:rPr>
        <w:t>performed in order to evaluate the impact of uncertainty in model parameter</w:t>
      </w:r>
      <w:r w:rsidR="005807F9">
        <w:rPr>
          <w:color w:val="000000"/>
        </w:rPr>
        <w:t>s</w:t>
      </w:r>
      <w:r w:rsidR="000A3689">
        <w:rPr>
          <w:color w:val="000000"/>
        </w:rPr>
        <w:t xml:space="preserve">, similar biorefineries studies (García Prieto </w:t>
      </w:r>
      <w:r w:rsidR="000A3689" w:rsidRPr="000A3689">
        <w:rPr>
          <w:i/>
          <w:iCs/>
          <w:color w:val="000000"/>
        </w:rPr>
        <w:t>et al.</w:t>
      </w:r>
      <w:r w:rsidR="000A3689">
        <w:rPr>
          <w:color w:val="000000"/>
        </w:rPr>
        <w:t xml:space="preserve">, 2017) </w:t>
      </w:r>
      <w:r w:rsidR="00452C2B">
        <w:rPr>
          <w:color w:val="000000"/>
        </w:rPr>
        <w:t>underscore</w:t>
      </w:r>
      <w:r w:rsidR="000A3689">
        <w:rPr>
          <w:color w:val="000000"/>
        </w:rPr>
        <w:t xml:space="preserve"> </w:t>
      </w:r>
      <w:proofErr w:type="gramStart"/>
      <w:r w:rsidR="000A3689">
        <w:rPr>
          <w:color w:val="000000"/>
        </w:rPr>
        <w:t xml:space="preserve">that </w:t>
      </w:r>
      <w:r w:rsidR="00452C2B">
        <w:rPr>
          <w:color w:val="000000"/>
        </w:rPr>
        <w:t>pigments</w:t>
      </w:r>
      <w:proofErr w:type="gramEnd"/>
      <w:r w:rsidR="00452C2B">
        <w:rPr>
          <w:color w:val="000000"/>
        </w:rPr>
        <w:t xml:space="preserve"> </w:t>
      </w:r>
      <w:r w:rsidR="000A3689">
        <w:rPr>
          <w:color w:val="000000"/>
        </w:rPr>
        <w:t xml:space="preserve">selling price, such as phycocyanin, </w:t>
      </w:r>
      <w:r w:rsidR="00452C2B">
        <w:rPr>
          <w:color w:val="000000"/>
        </w:rPr>
        <w:t>exert</w:t>
      </w:r>
      <w:r w:rsidR="000A3689">
        <w:rPr>
          <w:color w:val="000000"/>
        </w:rPr>
        <w:t xml:space="preserve"> </w:t>
      </w:r>
      <w:r w:rsidR="005807F9">
        <w:rPr>
          <w:color w:val="000000"/>
        </w:rPr>
        <w:t>the main influence o</w:t>
      </w:r>
      <w:r w:rsidR="00452C2B">
        <w:rPr>
          <w:color w:val="000000"/>
        </w:rPr>
        <w:t>n</w:t>
      </w:r>
      <w:r w:rsidR="005807F9">
        <w:rPr>
          <w:color w:val="000000"/>
        </w:rPr>
        <w:t xml:space="preserve"> the objective function.</w:t>
      </w:r>
    </w:p>
    <w:p w14:paraId="66ACFB00" w14:textId="722C22E7" w:rsidR="00751F13" w:rsidRDefault="00751F13" w:rsidP="00751F13">
      <w:pPr>
        <w:pStyle w:val="Els-body-text"/>
        <w:spacing w:after="120"/>
        <w:rPr>
          <w:lang w:val="en-GB"/>
        </w:rPr>
      </w:pPr>
      <w:r>
        <w:rPr>
          <w:noProof/>
          <w:color w:val="000000"/>
        </w:rPr>
        <w:drawing>
          <wp:inline distT="0" distB="0" distL="0" distR="0" wp14:anchorId="2243FD71" wp14:editId="255EA5E7">
            <wp:extent cx="4476593" cy="1479954"/>
            <wp:effectExtent l="0" t="0" r="635" b="0"/>
            <wp:docPr id="1935679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58043" cy="1506881"/>
                    </a:xfrm>
                    <a:prstGeom prst="rect">
                      <a:avLst/>
                    </a:prstGeom>
                    <a:noFill/>
                  </pic:spPr>
                </pic:pic>
              </a:graphicData>
            </a:graphic>
          </wp:inline>
        </w:drawing>
      </w:r>
    </w:p>
    <w:p w14:paraId="0EEBCDB8" w14:textId="258B9826" w:rsidR="00751F13" w:rsidRPr="00751F13" w:rsidRDefault="00751F13" w:rsidP="00751F13">
      <w:pPr>
        <w:keepLines/>
        <w:pBdr>
          <w:top w:val="nil"/>
          <w:left w:val="nil"/>
          <w:bottom w:val="nil"/>
          <w:right w:val="nil"/>
          <w:between w:val="nil"/>
        </w:pBdr>
        <w:spacing w:before="100" w:after="120"/>
        <w:jc w:val="both"/>
        <w:rPr>
          <w:color w:val="000000"/>
        </w:rPr>
      </w:pPr>
      <w:r>
        <w:rPr>
          <w:color w:val="000000"/>
        </w:rPr>
        <w:t xml:space="preserve">Figure 2. </w:t>
      </w:r>
      <w:r>
        <w:t xml:space="preserve">(a) </w:t>
      </w:r>
      <w:r>
        <w:rPr>
          <w:color w:val="000000"/>
        </w:rPr>
        <w:t xml:space="preserve">Nondominated solutions (Pareto front) for scenario </w:t>
      </w:r>
      <w:r>
        <w:rPr>
          <w:i/>
          <w:color w:val="000000"/>
        </w:rPr>
        <w:t>B</w:t>
      </w:r>
      <w:r>
        <w:rPr>
          <w:color w:val="000000"/>
        </w:rPr>
        <w:t xml:space="preserve"> for minimization of biomass and ethanol productivity (S2 strain), </w:t>
      </w:r>
      <w:r>
        <w:t>(b) S</w:t>
      </w:r>
      <w:r>
        <w:rPr>
          <w:color w:val="000000"/>
        </w:rPr>
        <w:t xml:space="preserve">cenario </w:t>
      </w:r>
      <w:r>
        <w:rPr>
          <w:i/>
          <w:color w:val="000000"/>
        </w:rPr>
        <w:t>C</w:t>
      </w:r>
      <w:r>
        <w:rPr>
          <w:color w:val="000000"/>
        </w:rPr>
        <w:t xml:space="preserve"> for minimization of biomass and PHB productivity of strains S1 and S3</w:t>
      </w:r>
    </w:p>
    <w:p w14:paraId="144DE6AF" w14:textId="309E21EF" w:rsidR="008D2649" w:rsidRPr="00751F13" w:rsidRDefault="00751F13" w:rsidP="00751F13">
      <w:pPr>
        <w:pStyle w:val="Els-1storder-head"/>
        <w:spacing w:after="120"/>
        <w:rPr>
          <w:lang w:val="en-GB"/>
        </w:rPr>
      </w:pPr>
      <w:r>
        <w:rPr>
          <w:lang w:val="en-GB"/>
        </w:rPr>
        <w:t>Conclusions</w:t>
      </w:r>
    </w:p>
    <w:p w14:paraId="144DE6B4" w14:textId="735204E3" w:rsidR="008D2649" w:rsidRPr="00A94774" w:rsidRDefault="00751F13" w:rsidP="00751F13">
      <w:pPr>
        <w:keepNext/>
        <w:pBdr>
          <w:top w:val="nil"/>
          <w:left w:val="nil"/>
          <w:bottom w:val="nil"/>
          <w:right w:val="nil"/>
          <w:between w:val="nil"/>
        </w:pBdr>
        <w:spacing w:before="240" w:after="60"/>
        <w:jc w:val="both"/>
      </w:pPr>
      <w:r>
        <w:rPr>
          <w:color w:val="000000"/>
        </w:rPr>
        <w:t xml:space="preserve">In this work, we have addressed minimal target indices of alternative </w:t>
      </w:r>
      <w:proofErr w:type="spellStart"/>
      <w:r>
        <w:rPr>
          <w:i/>
        </w:rPr>
        <w:t>Synechocystis</w:t>
      </w:r>
      <w:proofErr w:type="spellEnd"/>
      <w:r>
        <w:t xml:space="preserve"> sp. PCC 6803 strains,</w:t>
      </w:r>
      <w:r>
        <w:rPr>
          <w:color w:val="000000"/>
        </w:rPr>
        <w:t xml:space="preserve"> required to be surpassed in order to obtain sustainable biorefinery designs, for the production of pigments, biofuels, PHB, DEE, green hydrogen and biofertilizers, by a mixed integer nonlinear programming (MINLP) </w:t>
      </w:r>
      <w:proofErr w:type="spellStart"/>
      <w:r>
        <w:rPr>
          <w:color w:val="000000"/>
        </w:rPr>
        <w:t>multiobjective</w:t>
      </w:r>
      <w:proofErr w:type="spellEnd"/>
      <w:r>
        <w:rPr>
          <w:color w:val="000000"/>
        </w:rPr>
        <w:t xml:space="preserve"> model including </w:t>
      </w:r>
      <w:r>
        <w:t>HEN</w:t>
      </w:r>
      <w:r>
        <w:rPr>
          <w:color w:val="000000"/>
        </w:rPr>
        <w:t xml:space="preserve"> design. A sustainable biorefinery design that produces pigments and </w:t>
      </w:r>
      <w:r>
        <w:rPr>
          <w:color w:val="000000"/>
        </w:rPr>
        <w:lastRenderedPageBreak/>
        <w:t xml:space="preserve">biogas was attainable by cultivating strain S1, where the minimal target indices were significantly lower than those achieved by the </w:t>
      </w:r>
      <w:r>
        <w:rPr>
          <w:i/>
          <w:color w:val="000000"/>
        </w:rPr>
        <w:t>in-silico</w:t>
      </w:r>
      <w:r>
        <w:rPr>
          <w:color w:val="000000"/>
        </w:rPr>
        <w:t xml:space="preserve"> proposal. Similarly, by a </w:t>
      </w:r>
      <w:proofErr w:type="spellStart"/>
      <w:r>
        <w:rPr>
          <w:color w:val="000000"/>
        </w:rPr>
        <w:t>multiobjective</w:t>
      </w:r>
      <w:proofErr w:type="spellEnd"/>
      <w:r>
        <w:rPr>
          <w:color w:val="000000"/>
        </w:rPr>
        <w:t xml:space="preserve"> optimization (MOO) approach, the model was solved to minimal biomass and bioethanol productivities for strain S2, that were achievable and outperformed by the productivities resulting from the </w:t>
      </w:r>
      <w:r>
        <w:t xml:space="preserve">previously designed </w:t>
      </w:r>
      <w:r>
        <w:rPr>
          <w:i/>
        </w:rPr>
        <w:t>in-silico</w:t>
      </w:r>
      <w:r>
        <w:t xml:space="preserve"> strain</w:t>
      </w:r>
      <w:r>
        <w:rPr>
          <w:color w:val="000000"/>
        </w:rPr>
        <w:t xml:space="preserve">. Conversely, for the case of a biorefinery that produces pigments (S1) and PHB (S3), it was found that it is necessary to further improve </w:t>
      </w:r>
      <w:r>
        <w:t>the considered strains</w:t>
      </w:r>
      <w:r>
        <w:rPr>
          <w:i/>
        </w:rPr>
        <w:t xml:space="preserve"> </w:t>
      </w:r>
      <w:r>
        <w:rPr>
          <w:color w:val="000000"/>
        </w:rPr>
        <w:t xml:space="preserve">in order to achieve a minimal PHB productivity required for any of the solutions obtained through the MOO problem. </w:t>
      </w:r>
      <w:r>
        <w:t xml:space="preserve">Overall, numerical results are encouraging into </w:t>
      </w:r>
      <w:r>
        <w:rPr>
          <w:i/>
        </w:rPr>
        <w:t>in-vivo</w:t>
      </w:r>
      <w:r>
        <w:t xml:space="preserve"> testing for </w:t>
      </w:r>
      <w:proofErr w:type="spellStart"/>
      <w:r>
        <w:rPr>
          <w:i/>
        </w:rPr>
        <w:t>Synechocystis</w:t>
      </w:r>
      <w:proofErr w:type="spellEnd"/>
      <w:r>
        <w:t xml:space="preserve"> sp. strains S1 and S2, and further improving the strategies for identification of gene knockouts, aiming for optimal metabolic pathways for PHB production.</w:t>
      </w:r>
    </w:p>
    <w:p w14:paraId="144DE6BF" w14:textId="608D0AD6" w:rsidR="008D2649" w:rsidRDefault="008D2649" w:rsidP="008D2649">
      <w:pPr>
        <w:pStyle w:val="Els-reference-head"/>
      </w:pPr>
      <w:r>
        <w:t>References</w:t>
      </w:r>
    </w:p>
    <w:p w14:paraId="35CE3525" w14:textId="77777777" w:rsidR="000B6F2B" w:rsidRDefault="000B6F2B" w:rsidP="000B6F2B">
      <w:pPr>
        <w:pStyle w:val="Els-referenceno-number"/>
      </w:pPr>
      <w:r w:rsidRPr="000B6F2B">
        <w:t>P. Charoensuppanimit, B. Chaiapha, S. Assabumrungrat, B. Jongsomjit, 2021. Incorporation of Diethyl Ether Production to Existing Bioethanol Process: Techno-Economic Analysis. J. Clean. Prod. 327 (May), 129438.</w:t>
      </w:r>
    </w:p>
    <w:p w14:paraId="0E51C15C" w14:textId="77777777" w:rsidR="0090410E" w:rsidRPr="000B6F2B" w:rsidRDefault="0090410E" w:rsidP="0090410E">
      <w:pPr>
        <w:pStyle w:val="Els-referenceno-number"/>
        <w:rPr>
          <w:lang w:val="es-AR"/>
        </w:rPr>
      </w:pPr>
      <w:r w:rsidRPr="000B6F2B">
        <w:rPr>
          <w:lang w:val="es-AR"/>
        </w:rPr>
        <w:t xml:space="preserve">C. V. García Prieto, F. D. Ramos, V. Estrada, M. A. Villar, M. S. Diaz, 2017. </w:t>
      </w:r>
      <w:r w:rsidRPr="000B6F2B">
        <w:t xml:space="preserve">Optimization of an integrated algae-based biorefinery for the production of biodiesel astaxanthin and PHB. </w:t>
      </w:r>
      <w:r w:rsidRPr="000B6F2B">
        <w:rPr>
          <w:lang w:val="es-AR"/>
        </w:rPr>
        <w:t>Energy. 139, 1159-1172.</w:t>
      </w:r>
    </w:p>
    <w:p w14:paraId="5A8A8755" w14:textId="77777777" w:rsidR="0090410E" w:rsidRPr="000B6F2B" w:rsidRDefault="0090410E" w:rsidP="0090410E">
      <w:pPr>
        <w:pStyle w:val="Els-referenceno-number"/>
      </w:pPr>
      <w:r w:rsidRPr="000B6F2B">
        <w:t>I. E. Grossmann, J. Viswanathan, A. Vecchietti, R. Raman, E. Kalvelagen, 2003. GAMS/DICOPT: A discrete continuous optimization package. Washington, DC, USA.</w:t>
      </w:r>
    </w:p>
    <w:p w14:paraId="42D9A4A2" w14:textId="77777777" w:rsidR="000B6F2B" w:rsidRPr="000B6F2B" w:rsidRDefault="000B6F2B" w:rsidP="000B6F2B">
      <w:pPr>
        <w:pStyle w:val="Els-referenceno-number"/>
      </w:pPr>
      <w:r w:rsidRPr="000B6F2B">
        <w:t>P. Khamhaeng, N. Laosiripojana, S. Assabumrungrat, P. Kim-Lohsoontorn, 2021. Techno-Economic Analysis of Hydrogen Production from Dehydrogenation and Steam Reforming of Ethanol for Carbon Dioxide Conversion to Methanol. Int. J. Hydrog. Energy, 46 (60), 30891–30902.</w:t>
      </w:r>
    </w:p>
    <w:p w14:paraId="6119855C" w14:textId="77777777" w:rsidR="000B6F2B" w:rsidRPr="000B6F2B" w:rsidRDefault="000B6F2B" w:rsidP="000B6F2B">
      <w:pPr>
        <w:pStyle w:val="Els-referenceno-number"/>
      </w:pPr>
      <w:r w:rsidRPr="000B6F2B">
        <w:rPr>
          <w:lang w:val="es-AR"/>
        </w:rPr>
        <w:t xml:space="preserve">R. Lasry Testa, C. Delpino, V. Estrada, M. S. Diaz, 2019. </w:t>
      </w:r>
      <w:r w:rsidRPr="000B6F2B">
        <w:t>Bioethanol Production with Cyanobacteria by a Two-Stage Fermentation Strategy. Comp. Aided Chem. Eng. 46, 499-504.</w:t>
      </w:r>
    </w:p>
    <w:p w14:paraId="2B1E141B" w14:textId="77777777" w:rsidR="000B6F2B" w:rsidRPr="000B6F2B" w:rsidRDefault="000B6F2B" w:rsidP="000B6F2B">
      <w:pPr>
        <w:pStyle w:val="Els-referenceno-number"/>
        <w:rPr>
          <w:lang w:val="es-AR"/>
        </w:rPr>
      </w:pPr>
      <w:r w:rsidRPr="000B6F2B">
        <w:t xml:space="preserve">R. Lasry Testa, C. Delpino, V. Estrada, M. S. Diaz, 2022. Development of </w:t>
      </w:r>
      <w:r w:rsidRPr="000B6F2B">
        <w:rPr>
          <w:i/>
        </w:rPr>
        <w:t>in silico</w:t>
      </w:r>
      <w:r w:rsidRPr="000B6F2B">
        <w:t xml:space="preserve"> strategies to photoautotrophically produce poly-β-hydroxybutyrate (PHB) by cyanobacteria. </w:t>
      </w:r>
      <w:r w:rsidRPr="000B6F2B">
        <w:rPr>
          <w:lang w:val="es-AR"/>
        </w:rPr>
        <w:t>Algal Res. 62, 102621.</w:t>
      </w:r>
    </w:p>
    <w:p w14:paraId="3BF6290C" w14:textId="77777777" w:rsidR="000B6F2B" w:rsidRPr="000B6F2B" w:rsidRDefault="000B6F2B" w:rsidP="000B6F2B">
      <w:pPr>
        <w:pStyle w:val="Els-referenceno-number"/>
      </w:pPr>
      <w:r w:rsidRPr="000B6F2B">
        <w:rPr>
          <w:lang w:val="es-AR"/>
        </w:rPr>
        <w:t xml:space="preserve">T. F. Lopes, C. Cabanas, A. Silva, D. Fonseca, E. Santos, T. L. Guerra, C. Sheahan, A. Reis, F. Girio, 2019. </w:t>
      </w:r>
      <w:r w:rsidRPr="000B6F2B">
        <w:t xml:space="preserve">Process simulation and techno-economic assessment for direct production of advanced bioethanol using a genetically modified </w:t>
      </w:r>
      <w:r w:rsidRPr="000B6F2B">
        <w:rPr>
          <w:i/>
        </w:rPr>
        <w:t>Synechocystis</w:t>
      </w:r>
      <w:r w:rsidRPr="000B6F2B">
        <w:t xml:space="preserve"> sp. Bioresour. Technol. 6, 113-122.</w:t>
      </w:r>
    </w:p>
    <w:p w14:paraId="6D919802" w14:textId="6D0CDCF1" w:rsidR="000B6F2B" w:rsidRPr="000B6F2B" w:rsidRDefault="000B6F2B" w:rsidP="000B6F2B">
      <w:pPr>
        <w:pStyle w:val="Els-referenceno-number"/>
        <w:rPr>
          <w:lang w:val="es-AR"/>
        </w:rPr>
      </w:pPr>
      <w:r w:rsidRPr="000B6F2B">
        <w:t>B. A. McCarl, A. Meeraus, P. van der Eijk, M. Bussieck, S. Dirkse, P. Steacy, F. Nelissen, 20</w:t>
      </w:r>
      <w:r w:rsidR="001A1AFD">
        <w:t>22</w:t>
      </w:r>
      <w:r w:rsidRPr="000B6F2B">
        <w:t xml:space="preserve">. </w:t>
      </w:r>
      <w:r w:rsidRPr="000B6F2B">
        <w:rPr>
          <w:lang w:val="es-AR"/>
        </w:rPr>
        <w:t xml:space="preserve">McCarl </w:t>
      </w:r>
      <w:r w:rsidR="001A1AFD">
        <w:rPr>
          <w:lang w:val="es-AR"/>
        </w:rPr>
        <w:t xml:space="preserve">Expanded </w:t>
      </w:r>
      <w:r w:rsidRPr="000B6F2B">
        <w:rPr>
          <w:lang w:val="es-AR"/>
        </w:rPr>
        <w:t xml:space="preserve">GAMS user guide, Washington, DC, USA. </w:t>
      </w:r>
    </w:p>
    <w:p w14:paraId="05817F17" w14:textId="77777777" w:rsidR="000B6F2B" w:rsidRDefault="000B6F2B" w:rsidP="000B6F2B">
      <w:pPr>
        <w:pStyle w:val="Els-referenceno-number"/>
      </w:pPr>
      <w:bookmarkStart w:id="2" w:name="_heading=h.3znysh7" w:colFirst="0" w:colLast="0"/>
      <w:bookmarkEnd w:id="2"/>
      <w:r w:rsidRPr="000B6F2B">
        <w:rPr>
          <w:lang w:val="es-AR"/>
        </w:rPr>
        <w:t xml:space="preserve">H. A. Pedrozo, A. I. Casoni, F. D. Ramos, V. Estrada, M. S. Diaz, 2022. </w:t>
      </w:r>
      <w:r w:rsidRPr="000B6F2B">
        <w:t>Simultaneous design of macroalgae-based integrated biorefineries and their heat exchanger network. Comp. Chem. Eng. 164, 107885.</w:t>
      </w:r>
    </w:p>
    <w:p w14:paraId="57BB6128" w14:textId="77777777" w:rsidR="0090410E" w:rsidRDefault="0090410E" w:rsidP="0090410E">
      <w:pPr>
        <w:pStyle w:val="Els-referenceno-number"/>
      </w:pPr>
      <w:r w:rsidRPr="000B6F2B">
        <w:t>S. Price, U. Kuzhiumparambil, M. Pernice, P. Ralph, 2022. Techno-economic analysis of cyanobacterial PHB bioplastic production. J. Environ. Chem. Eng., 10, 107502.</w:t>
      </w:r>
    </w:p>
    <w:p w14:paraId="7EE7E8C7" w14:textId="77777777" w:rsidR="0090410E" w:rsidRDefault="0090410E" w:rsidP="0090410E">
      <w:pPr>
        <w:pStyle w:val="Els-referenceno-number"/>
      </w:pPr>
      <w:r w:rsidRPr="000B6F2B">
        <w:rPr>
          <w:lang w:val="es-AR"/>
        </w:rPr>
        <w:t xml:space="preserve">M. Ramos, R. Lasry Testa, F. D. Ramos, V. Estrada, M. S. Diaz, 2023. </w:t>
      </w:r>
      <w:r w:rsidRPr="000B6F2B">
        <w:t>Simultaneous design of integrated cyanobacteria-based biorefinery and its heat exchanger network. Comput. Aided Chem. Eng. 52, 2075-2080.</w:t>
      </w:r>
    </w:p>
    <w:p w14:paraId="21DA1421" w14:textId="77777777" w:rsidR="0090410E" w:rsidRDefault="0090410E" w:rsidP="0090410E">
      <w:pPr>
        <w:pStyle w:val="Els-referenceno-number"/>
      </w:pPr>
      <w:r>
        <w:rPr>
          <w:lang w:val="es-AR"/>
        </w:rPr>
        <w:t>F</w:t>
      </w:r>
      <w:r w:rsidRPr="000B6F2B">
        <w:rPr>
          <w:lang w:val="es-AR"/>
        </w:rPr>
        <w:t xml:space="preserve">. </w:t>
      </w:r>
      <w:r>
        <w:rPr>
          <w:lang w:val="es-AR"/>
        </w:rPr>
        <w:t xml:space="preserve">D. </w:t>
      </w:r>
      <w:r w:rsidRPr="000B6F2B">
        <w:rPr>
          <w:lang w:val="es-AR"/>
        </w:rPr>
        <w:t xml:space="preserve">Ramos, </w:t>
      </w:r>
      <w:r>
        <w:rPr>
          <w:lang w:val="es-AR"/>
        </w:rPr>
        <w:t xml:space="preserve">M. A. Villar, </w:t>
      </w:r>
      <w:r w:rsidRPr="000B6F2B">
        <w:rPr>
          <w:lang w:val="es-AR"/>
        </w:rPr>
        <w:t>M. S. Diaz, 20</w:t>
      </w:r>
      <w:r>
        <w:rPr>
          <w:lang w:val="es-AR"/>
        </w:rPr>
        <w:t>17</w:t>
      </w:r>
      <w:r w:rsidRPr="000B6F2B">
        <w:rPr>
          <w:lang w:val="es-AR"/>
        </w:rPr>
        <w:t xml:space="preserve">. </w:t>
      </w:r>
      <w:r w:rsidRPr="00FA07BD">
        <w:t>Optimal Design of Poly(3-</w:t>
      </w:r>
      <w:r>
        <w:t>h</w:t>
      </w:r>
      <w:r w:rsidRPr="00FA07BD">
        <w:t>ydroxybutyrate) Production using alternative Carbon Sources.</w:t>
      </w:r>
      <w:r w:rsidRPr="000B6F2B">
        <w:t xml:space="preserve"> Comput. Aided Chem. Eng. </w:t>
      </w:r>
      <w:r w:rsidRPr="00FA07BD">
        <w:t>40, 877-882</w:t>
      </w:r>
      <w:r w:rsidRPr="000B6F2B">
        <w:t>.</w:t>
      </w:r>
    </w:p>
    <w:p w14:paraId="1208B4A0" w14:textId="77777777" w:rsidR="0090410E" w:rsidRPr="000B6F2B" w:rsidRDefault="0090410E" w:rsidP="0090410E">
      <w:pPr>
        <w:pStyle w:val="Els-referenceno-number"/>
      </w:pPr>
      <w:r w:rsidRPr="000B6F2B">
        <w:t>A. Sarwer, M. Hussain, A. H. Al-Muhtaseb, A. Inayat, S. Rafiq, M. S. Khurram, N. Ul-Haq, N. S. Shah, A. Alaud Din, I. Ahmad, F. Jamil, 2022. Suitability of Biofuels Production on Commercial Scale from Various Feedstocks: A Critical Review. ChemBioEng Rev. 9 (5), 423–441.</w:t>
      </w:r>
    </w:p>
    <w:p w14:paraId="76F477A9" w14:textId="1A8105EA" w:rsidR="005807F9" w:rsidRDefault="000B6F2B" w:rsidP="005807F9">
      <w:pPr>
        <w:pStyle w:val="Els-referenceno-number"/>
      </w:pPr>
      <w:r w:rsidRPr="000B6F2B">
        <w:t xml:space="preserve">Ž. Zore, L. Čuček, D. Širovnik, Z. Novak Pintarič, Z. Kravanja, 2018. Maximizing the </w:t>
      </w:r>
      <w:r w:rsidR="00846FD9">
        <w:t>S</w:t>
      </w:r>
      <w:r w:rsidRPr="000B6F2B">
        <w:t>ustainability Net Present Value of Renewable Energy Supply Networks. Comp. Chem. Eng. 131, 245–265.</w:t>
      </w:r>
    </w:p>
    <w:sectPr w:rsidR="005807F9"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D789" w14:textId="77777777" w:rsidR="00A1664A" w:rsidRDefault="00A1664A">
      <w:r>
        <w:separator/>
      </w:r>
    </w:p>
  </w:endnote>
  <w:endnote w:type="continuationSeparator" w:id="0">
    <w:p w14:paraId="306A550D" w14:textId="77777777" w:rsidR="00A1664A" w:rsidRDefault="00A1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5C38" w14:textId="77777777" w:rsidR="00A1664A" w:rsidRDefault="00A1664A">
      <w:r>
        <w:separator/>
      </w:r>
    </w:p>
  </w:footnote>
  <w:footnote w:type="continuationSeparator" w:id="0">
    <w:p w14:paraId="3310FE1A" w14:textId="77777777" w:rsidR="00A1664A" w:rsidRDefault="00A16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9249647" w:rsidR="00DD3D9E" w:rsidRDefault="00DD3D9E">
    <w:pPr>
      <w:pStyle w:val="Encabezado"/>
      <w:tabs>
        <w:tab w:val="clear" w:pos="7200"/>
        <w:tab w:val="right" w:pos="7088"/>
      </w:tabs>
    </w:pPr>
    <w:r>
      <w:rPr>
        <w:rStyle w:val="Nmerodepgina"/>
      </w:rPr>
      <w:tab/>
    </w:r>
    <w:r>
      <w:rPr>
        <w:rStyle w:val="Nmerodepgina"/>
        <w:i/>
      </w:rPr>
      <w:tab/>
    </w:r>
    <w:r w:rsidR="00BD46C1">
      <w:rPr>
        <w:i/>
      </w:rPr>
      <w:t>M. Ramos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16EF418" w:rsidR="00DD3D9E" w:rsidRDefault="00BD46C1">
    <w:pPr>
      <w:pStyle w:val="Encabezado"/>
      <w:tabs>
        <w:tab w:val="clear" w:pos="7200"/>
        <w:tab w:val="right" w:pos="7088"/>
      </w:tabs>
      <w:jc w:val="right"/>
      <w:rPr>
        <w:sz w:val="24"/>
      </w:rPr>
    </w:pPr>
    <w:r>
      <w:rPr>
        <w:i/>
      </w:rPr>
      <w:t>Minimal Target Indices for Cyanobacteria-Based Biorefineries and Optimal Design of the Metabolic Network</w:t>
    </w:r>
    <w:r w:rsidR="00DD3D9E">
      <w:rPr>
        <w:rStyle w:val="Nmerodepgina"/>
        <w:i/>
        <w:sz w:val="24"/>
      </w:rPr>
      <w:tab/>
    </w:r>
    <w:r w:rsidR="00DD3D9E">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5EA06B2D"/>
    <w:multiLevelType w:val="multilevel"/>
    <w:tmpl w:val="F8BCC8FA"/>
    <w:lvl w:ilvl="0">
      <w:start w:val="1"/>
      <w:numFmt w:val="decimal"/>
      <w:lvlText w:val="Chapter %1"/>
      <w:lvlJc w:val="left"/>
      <w:pPr>
        <w:ind w:left="0" w:firstLine="0"/>
      </w:p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5"/>
  </w:num>
  <w:num w:numId="11" w16cid:durableId="1896693444">
    <w:abstractNumId w:val="14"/>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 w:numId="19" w16cid:durableId="17784070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87C33"/>
    <w:rsid w:val="000A3689"/>
    <w:rsid w:val="000B6F2B"/>
    <w:rsid w:val="000D3D9B"/>
    <w:rsid w:val="0016032F"/>
    <w:rsid w:val="001879F6"/>
    <w:rsid w:val="001A1AFD"/>
    <w:rsid w:val="001C0148"/>
    <w:rsid w:val="001C757E"/>
    <w:rsid w:val="0020390F"/>
    <w:rsid w:val="00214165"/>
    <w:rsid w:val="00264926"/>
    <w:rsid w:val="00332F7E"/>
    <w:rsid w:val="003D1582"/>
    <w:rsid w:val="003D7E4C"/>
    <w:rsid w:val="003E41C2"/>
    <w:rsid w:val="00452C2B"/>
    <w:rsid w:val="0049772C"/>
    <w:rsid w:val="00552EEB"/>
    <w:rsid w:val="005807F9"/>
    <w:rsid w:val="006A50BC"/>
    <w:rsid w:val="006A69BF"/>
    <w:rsid w:val="00711DF4"/>
    <w:rsid w:val="00751F13"/>
    <w:rsid w:val="00764039"/>
    <w:rsid w:val="00764BD0"/>
    <w:rsid w:val="007B6736"/>
    <w:rsid w:val="007D70A1"/>
    <w:rsid w:val="008132E8"/>
    <w:rsid w:val="00823407"/>
    <w:rsid w:val="00846FD9"/>
    <w:rsid w:val="008B0184"/>
    <w:rsid w:val="008C5D02"/>
    <w:rsid w:val="008D2649"/>
    <w:rsid w:val="0090410E"/>
    <w:rsid w:val="0090568D"/>
    <w:rsid w:val="009125C9"/>
    <w:rsid w:val="00913879"/>
    <w:rsid w:val="00917661"/>
    <w:rsid w:val="00970E5D"/>
    <w:rsid w:val="0097701C"/>
    <w:rsid w:val="00980A65"/>
    <w:rsid w:val="00A1664A"/>
    <w:rsid w:val="00A25E70"/>
    <w:rsid w:val="00A33765"/>
    <w:rsid w:val="00A63269"/>
    <w:rsid w:val="00A92377"/>
    <w:rsid w:val="00AB29ED"/>
    <w:rsid w:val="00AE4BD8"/>
    <w:rsid w:val="00B23DFD"/>
    <w:rsid w:val="00B4388F"/>
    <w:rsid w:val="00B61CC4"/>
    <w:rsid w:val="00B63237"/>
    <w:rsid w:val="00BA06B5"/>
    <w:rsid w:val="00BD46C1"/>
    <w:rsid w:val="00BE7123"/>
    <w:rsid w:val="00C52FF6"/>
    <w:rsid w:val="00C960DC"/>
    <w:rsid w:val="00D02C75"/>
    <w:rsid w:val="00D10E22"/>
    <w:rsid w:val="00D13D2C"/>
    <w:rsid w:val="00D50329"/>
    <w:rsid w:val="00DC2F94"/>
    <w:rsid w:val="00DD3D9E"/>
    <w:rsid w:val="00DD7908"/>
    <w:rsid w:val="00E82297"/>
    <w:rsid w:val="00EA346B"/>
    <w:rsid w:val="00EF39FD"/>
    <w:rsid w:val="00F06842"/>
    <w:rsid w:val="00F107FD"/>
    <w:rsid w:val="00FA07BD"/>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Mencinsinresolver">
    <w:name w:val="Unresolved Mention"/>
    <w:basedOn w:val="Fuentedeprrafopredeter"/>
    <w:uiPriority w:val="99"/>
    <w:semiHidden/>
    <w:unhideWhenUsed/>
    <w:rsid w:val="00C52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iaz@plapiqui.edu.a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6</TotalTime>
  <Pages>6</Pages>
  <Words>2905</Words>
  <Characters>15981</Characters>
  <Application>Microsoft Office Word</Application>
  <DocSecurity>0</DocSecurity>
  <Lines>133</Lines>
  <Paragraphs>37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Soledad Diaz</cp:lastModifiedBy>
  <cp:revision>2</cp:revision>
  <cp:lastPrinted>2004-12-17T09:20:00Z</cp:lastPrinted>
  <dcterms:created xsi:type="dcterms:W3CDTF">2023-12-29T19:41:00Z</dcterms:created>
  <dcterms:modified xsi:type="dcterms:W3CDTF">2023-12-29T19:41:00Z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