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722C48A3" w:rsidR="00DD3D9E" w:rsidRPr="00B4388F" w:rsidRDefault="00A37F18" w:rsidP="00A37F18">
      <w:pPr>
        <w:pStyle w:val="Els-Title"/>
        <w:rPr>
          <w:color w:val="000000" w:themeColor="text1"/>
        </w:rPr>
      </w:pPr>
      <w:bookmarkStart w:id="0" w:name="_Hlk151378988"/>
      <w:r w:rsidRPr="00D50D09">
        <w:rPr>
          <w:color w:val="000000" w:themeColor="text1"/>
        </w:rPr>
        <w:t xml:space="preserve">Sustainable Production </w:t>
      </w:r>
      <w:r>
        <w:rPr>
          <w:color w:val="000000" w:themeColor="text1"/>
        </w:rPr>
        <w:t>a</w:t>
      </w:r>
      <w:r w:rsidRPr="00D50D09">
        <w:rPr>
          <w:color w:val="000000" w:themeColor="text1"/>
        </w:rPr>
        <w:t xml:space="preserve">nd Scale-Up </w:t>
      </w:r>
      <w:r>
        <w:rPr>
          <w:color w:val="000000" w:themeColor="text1"/>
        </w:rPr>
        <w:t>o</w:t>
      </w:r>
      <w:r w:rsidR="0052754F">
        <w:rPr>
          <w:color w:val="000000" w:themeColor="text1"/>
        </w:rPr>
        <w:t xml:space="preserve">f Succinic Acid </w:t>
      </w:r>
      <w:r>
        <w:rPr>
          <w:color w:val="000000" w:themeColor="text1"/>
        </w:rPr>
        <w:t>f</w:t>
      </w:r>
      <w:r w:rsidRPr="00D50D09">
        <w:rPr>
          <w:color w:val="000000" w:themeColor="text1"/>
        </w:rPr>
        <w:t>rom Cyanobacteria</w:t>
      </w:r>
    </w:p>
    <w:bookmarkEnd w:id="0"/>
    <w:p w14:paraId="144DE680" w14:textId="4DB28ACB" w:rsidR="00DD3D9E" w:rsidRPr="00A37F18" w:rsidRDefault="00A37F18">
      <w:pPr>
        <w:pStyle w:val="Els-Author"/>
        <w:rPr>
          <w:vertAlign w:val="superscript"/>
        </w:rPr>
      </w:pPr>
      <w:r>
        <w:t>Roja K,</w:t>
      </w:r>
      <w:r>
        <w:rPr>
          <w:vertAlign w:val="superscript"/>
        </w:rPr>
        <w:t xml:space="preserve">a </w:t>
      </w:r>
      <w:r>
        <w:t>Yogendra Shastri</w:t>
      </w:r>
      <w:r>
        <w:rPr>
          <w:vertAlign w:val="superscript"/>
        </w:rPr>
        <w:t>a*</w:t>
      </w:r>
    </w:p>
    <w:p w14:paraId="144DE682" w14:textId="2F02D8C8" w:rsidR="00DD3D9E" w:rsidRDefault="00A37F18">
      <w:pPr>
        <w:pStyle w:val="Els-Affiliation"/>
      </w:pPr>
      <w:r w:rsidRPr="00A37F18">
        <w:rPr>
          <w:vertAlign w:val="superscript"/>
        </w:rPr>
        <w:t>a</w:t>
      </w:r>
      <w:r w:rsidR="00901B1B">
        <w:t>De</w:t>
      </w:r>
      <w:r>
        <w:t>partment of Chemical Engineering, Indian Institute of Technology, Mumbai, 400076, India</w:t>
      </w:r>
    </w:p>
    <w:p w14:paraId="122D937D" w14:textId="1EA5A781" w:rsidR="00A37F18" w:rsidRPr="00A94774" w:rsidRDefault="00A37F18" w:rsidP="008D2649">
      <w:pPr>
        <w:pStyle w:val="Els-Affiliation"/>
        <w:spacing w:after="120"/>
      </w:pPr>
      <w:r>
        <w:t>yshastri@iitb.ac.in</w:t>
      </w:r>
    </w:p>
    <w:p w14:paraId="144DE684" w14:textId="1EA5A781" w:rsidR="008D2649" w:rsidRDefault="008D2649" w:rsidP="008D2649">
      <w:pPr>
        <w:pStyle w:val="Els-Abstract"/>
      </w:pPr>
      <w:r>
        <w:t>Abstract</w:t>
      </w:r>
    </w:p>
    <w:p w14:paraId="144DE685" w14:textId="62EA39F3" w:rsidR="008D2649" w:rsidRDefault="00F343A8" w:rsidP="008D2649">
      <w:pPr>
        <w:pStyle w:val="Els-body-text"/>
        <w:spacing w:after="120"/>
        <w:rPr>
          <w:lang w:val="en-GB"/>
        </w:rPr>
      </w:pPr>
      <w:r w:rsidRPr="00F343A8">
        <w:rPr>
          <w:lang w:val="en-GB"/>
        </w:rPr>
        <w:t>Cyanobacteria, owing to their high growth rates, are considered promising candidates for CO</w:t>
      </w:r>
      <w:r w:rsidRPr="00B019E6">
        <w:rPr>
          <w:vertAlign w:val="subscript"/>
          <w:lang w:val="en-GB"/>
        </w:rPr>
        <w:t>2</w:t>
      </w:r>
      <w:r w:rsidRPr="00F343A8">
        <w:rPr>
          <w:lang w:val="en-GB"/>
        </w:rPr>
        <w:t xml:space="preserve"> capture and its conversion to v</w:t>
      </w:r>
      <w:r w:rsidR="00A773B8">
        <w:rPr>
          <w:lang w:val="en-GB"/>
        </w:rPr>
        <w:t>alue-added chemicals and fuels. T</w:t>
      </w:r>
      <w:r w:rsidR="00A773B8" w:rsidRPr="00A773B8">
        <w:rPr>
          <w:lang w:val="en-GB"/>
        </w:rPr>
        <w:t>his work deals with the design of the cyanobacterial systems' sustainable process for succinic acid production</w:t>
      </w:r>
      <w:r w:rsidR="00A773B8">
        <w:rPr>
          <w:lang w:val="en-GB"/>
        </w:rPr>
        <w:t xml:space="preserve">. </w:t>
      </w:r>
      <w:r w:rsidRPr="00F343A8">
        <w:rPr>
          <w:lang w:val="en-GB"/>
        </w:rPr>
        <w:t xml:space="preserve">The downstream process involving separation and purification of succinic acid was designed based on the experimental data of disodium succinate productivity of 2 g/L from cyanobacteria. Two processes were considered for the purification of succinic acid: high and low temperature </w:t>
      </w:r>
      <w:r w:rsidR="00C701D4">
        <w:rPr>
          <w:lang w:val="en-GB"/>
        </w:rPr>
        <w:t>crystallization</w:t>
      </w:r>
      <w:r w:rsidR="00AA1480">
        <w:rPr>
          <w:lang w:val="en-GB"/>
        </w:rPr>
        <w:t xml:space="preserve"> of succinic acid (Process I)</w:t>
      </w:r>
      <w:r w:rsidRPr="00F343A8">
        <w:rPr>
          <w:lang w:val="en-GB"/>
        </w:rPr>
        <w:t xml:space="preserve"> and purification using methanol addition (Process II). </w:t>
      </w:r>
      <w:bookmarkStart w:id="1" w:name="_Hlk151293496"/>
      <w:r w:rsidRPr="00F343A8">
        <w:rPr>
          <w:lang w:val="en-GB"/>
        </w:rPr>
        <w:t>The detailed commercial scale downstream process was designed and simulated in ASPEN Plus</w:t>
      </w:r>
      <w:r w:rsidRPr="006A1F03">
        <w:rPr>
          <w:vertAlign w:val="superscript"/>
          <w:lang w:val="en-GB"/>
        </w:rPr>
        <w:t>®</w:t>
      </w:r>
      <w:r w:rsidRPr="00F343A8">
        <w:rPr>
          <w:lang w:val="en-GB"/>
        </w:rPr>
        <w:t xml:space="preserve"> </w:t>
      </w:r>
      <w:bookmarkEnd w:id="1"/>
      <w:r w:rsidRPr="00F343A8">
        <w:rPr>
          <w:lang w:val="en-GB"/>
        </w:rPr>
        <w:t xml:space="preserve">for </w:t>
      </w:r>
      <w:r w:rsidR="00AA1480">
        <w:rPr>
          <w:lang w:val="en-GB"/>
        </w:rPr>
        <w:t>100 t/y</w:t>
      </w:r>
      <w:r w:rsidR="009D6E56">
        <w:rPr>
          <w:lang w:val="en-GB"/>
        </w:rPr>
        <w:t xml:space="preserve"> </w:t>
      </w:r>
      <w:r w:rsidRPr="00F343A8">
        <w:rPr>
          <w:lang w:val="en-GB"/>
        </w:rPr>
        <w:t>succinic acid production</w:t>
      </w:r>
      <w:r w:rsidR="00A773B8">
        <w:rPr>
          <w:lang w:val="en-GB"/>
        </w:rPr>
        <w:t xml:space="preserve"> capacity</w:t>
      </w:r>
      <w:r w:rsidRPr="00F343A8">
        <w:rPr>
          <w:lang w:val="en-GB"/>
        </w:rPr>
        <w:t>. Cradle to gate life cycle assessment was also conducted using the experimental and simulation data in combination with Ecoinvent</w:t>
      </w:r>
      <w:r w:rsidRPr="00FF2606">
        <w:rPr>
          <w:vertAlign w:val="superscript"/>
          <w:lang w:val="en-GB"/>
        </w:rPr>
        <w:t xml:space="preserve">® </w:t>
      </w:r>
      <w:r w:rsidRPr="00F343A8">
        <w:rPr>
          <w:lang w:val="en-GB"/>
        </w:rPr>
        <w:t>3.9 database</w:t>
      </w:r>
      <w:r w:rsidR="00630353">
        <w:rPr>
          <w:color w:val="000000" w:themeColor="text1"/>
          <w:lang w:val="en-GB"/>
        </w:rPr>
        <w:t>.</w:t>
      </w:r>
      <w:r w:rsidRPr="00630353">
        <w:rPr>
          <w:color w:val="FF0000"/>
          <w:lang w:val="en-GB"/>
        </w:rPr>
        <w:t xml:space="preserve"> </w:t>
      </w:r>
      <w:r w:rsidRPr="00F343A8">
        <w:rPr>
          <w:lang w:val="en-GB"/>
        </w:rPr>
        <w:t xml:space="preserve">Environmental impacts are high for process I due to the large amount of </w:t>
      </w:r>
      <w:r w:rsidR="00D00758">
        <w:rPr>
          <w:lang w:val="en-GB"/>
        </w:rPr>
        <w:t>feed requirement indicating</w:t>
      </w:r>
      <w:r w:rsidRPr="00F343A8">
        <w:rPr>
          <w:lang w:val="en-GB"/>
        </w:rPr>
        <w:t xml:space="preserve"> that process II is </w:t>
      </w:r>
      <w:r w:rsidR="00D00758">
        <w:rPr>
          <w:lang w:val="en-GB"/>
        </w:rPr>
        <w:t xml:space="preserve">more </w:t>
      </w:r>
      <w:r w:rsidRPr="00F343A8">
        <w:rPr>
          <w:lang w:val="en-GB"/>
        </w:rPr>
        <w:t xml:space="preserve">efficient </w:t>
      </w:r>
      <w:r w:rsidR="00D00758">
        <w:rPr>
          <w:lang w:val="en-GB"/>
        </w:rPr>
        <w:t>than</w:t>
      </w:r>
      <w:r w:rsidRPr="00F343A8">
        <w:rPr>
          <w:lang w:val="en-GB"/>
        </w:rPr>
        <w:t xml:space="preserve"> process I.  </w:t>
      </w:r>
    </w:p>
    <w:p w14:paraId="144DE687" w14:textId="7E213A70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B019E6">
        <w:rPr>
          <w:lang w:val="en-GB"/>
        </w:rPr>
        <w:t>cyanobacteria</w:t>
      </w:r>
      <w:r>
        <w:rPr>
          <w:lang w:val="en-GB"/>
        </w:rPr>
        <w:t xml:space="preserve">, </w:t>
      </w:r>
      <w:r w:rsidR="00B019E6">
        <w:rPr>
          <w:lang w:val="en-GB"/>
        </w:rPr>
        <w:t>succinic acid, life cycle assessment, crystallization</w:t>
      </w:r>
    </w:p>
    <w:p w14:paraId="144DE689" w14:textId="1C93E94C" w:rsidR="008D2649" w:rsidRDefault="00B019E6" w:rsidP="00D739F2">
      <w:pPr>
        <w:pStyle w:val="Els-1storder-head"/>
      </w:pPr>
      <w:r>
        <w:t>Introduction</w:t>
      </w:r>
    </w:p>
    <w:p w14:paraId="4E3C74DC" w14:textId="19AD304A" w:rsidR="00B019E6" w:rsidRDefault="00D10A75" w:rsidP="00D739F2">
      <w:pPr>
        <w:pStyle w:val="Els-body-text"/>
        <w:spacing w:after="60"/>
      </w:pPr>
      <w:r w:rsidRPr="00D10A75">
        <w:t>With the growing population, there is an increase in the demand for energy, food</w:t>
      </w:r>
      <w:r w:rsidR="00445D02">
        <w:t>,</w:t>
      </w:r>
      <w:r w:rsidRPr="00D10A75">
        <w:t xml:space="preserve"> and other resources such as commodity mater</w:t>
      </w:r>
      <w:r w:rsidR="00445D02">
        <w:t xml:space="preserve">ials, </w:t>
      </w:r>
      <w:r w:rsidR="00D52975" w:rsidRPr="00D10A75">
        <w:t xml:space="preserve">construction materials, </w:t>
      </w:r>
      <w:r w:rsidR="00445D02">
        <w:t>and medicines. Humans mainly depend</w:t>
      </w:r>
      <w:r w:rsidRPr="00D10A75">
        <w:t xml:space="preserve"> on fossil fuel-derived products to meet their daily requirements</w:t>
      </w:r>
      <w:r w:rsidR="00445D02">
        <w:t>,</w:t>
      </w:r>
      <w:r w:rsidRPr="00D10A75">
        <w:t xml:space="preserve"> such as fuel, clothing, plastic pr</w:t>
      </w:r>
      <w:r w:rsidR="00445D02">
        <w:t xml:space="preserve">oducts, etc. On average, </w:t>
      </w:r>
      <w:r w:rsidR="00445D02" w:rsidRPr="00445D02">
        <w:t>glob</w:t>
      </w:r>
      <w:r w:rsidR="00445D02">
        <w:t xml:space="preserve">al energy consumption increases by </w:t>
      </w:r>
      <w:r w:rsidR="00445D02" w:rsidRPr="00445D02">
        <w:t>1-2 % yearly</w:t>
      </w:r>
      <w:r w:rsidRPr="00D10A75">
        <w:t>. The increasing consumption of fossil fuels has led to CO</w:t>
      </w:r>
      <w:r w:rsidRPr="00CE4F4D">
        <w:rPr>
          <w:vertAlign w:val="subscript"/>
        </w:rPr>
        <w:t>2</w:t>
      </w:r>
      <w:r w:rsidRPr="00D10A75">
        <w:t xml:space="preserve"> emissions and impacted the env</w:t>
      </w:r>
      <w:r w:rsidR="00445D02">
        <w:t>ironment and human health. G</w:t>
      </w:r>
      <w:r w:rsidRPr="00D10A75">
        <w:t>lobal emissions have rapidly grown</w:t>
      </w:r>
      <w:r w:rsidR="00445D02">
        <w:t>,</w:t>
      </w:r>
      <w:r w:rsidRPr="00D10A75">
        <w:t xml:space="preserve"> and 3</w:t>
      </w:r>
      <w:r w:rsidR="0079542F">
        <w:t>6.8</w:t>
      </w:r>
      <w:r w:rsidRPr="00D10A75">
        <w:t xml:space="preserve"> </w:t>
      </w:r>
      <w:r w:rsidR="0079542F">
        <w:t>Gt</w:t>
      </w:r>
      <w:r w:rsidRPr="00D10A75">
        <w:t xml:space="preserve"> of CO</w:t>
      </w:r>
      <w:r w:rsidRPr="00CE4F4D">
        <w:rPr>
          <w:vertAlign w:val="subscript"/>
        </w:rPr>
        <w:t>2</w:t>
      </w:r>
      <w:r w:rsidR="00445D02">
        <w:t xml:space="preserve"> was emitted in </w:t>
      </w:r>
      <w:r w:rsidRPr="00D10A75">
        <w:t>202</w:t>
      </w:r>
      <w:r w:rsidR="0079542F">
        <w:t>2 (IEA, 2023)</w:t>
      </w:r>
      <w:r w:rsidRPr="00D10A75">
        <w:t>. Most fuels and chemicals such as ethano</w:t>
      </w:r>
      <w:r w:rsidR="00445D02">
        <w:t>l, succinate, and fatty acids</w:t>
      </w:r>
      <w:r w:rsidRPr="00D10A75">
        <w:t xml:space="preserve"> are obtained from petroleum-based chemical processes. In order to meet the energy demands of the growing population and to tackle the ongoing environmental issues, eco-friendly, renewable, and sustainable forms of energy sources and chemical production processes must be developed</w:t>
      </w:r>
      <w:r w:rsidR="00CE4F4D">
        <w:t>.</w:t>
      </w:r>
    </w:p>
    <w:p w14:paraId="64BED6B0" w14:textId="4F5F4135" w:rsidR="00B019E6" w:rsidRDefault="00450E61">
      <w:pPr>
        <w:pStyle w:val="Els-body-text"/>
        <w:spacing w:before="240" w:after="60"/>
      </w:pPr>
      <w:r w:rsidRPr="00450E61">
        <w:t>Presently</w:t>
      </w:r>
      <w:r w:rsidR="008C1061">
        <w:t>,</w:t>
      </w:r>
      <w:r w:rsidRPr="00450E61">
        <w:t xml:space="preserve"> many feedstocks such as palm oil, sugarcane, corn, grass, </w:t>
      </w:r>
      <w:r w:rsidR="008C1061">
        <w:t xml:space="preserve">and </w:t>
      </w:r>
      <w:r w:rsidRPr="00450E61">
        <w:t>agricultura</w:t>
      </w:r>
      <w:r w:rsidR="008C1061">
        <w:t xml:space="preserve">l residue </w:t>
      </w:r>
      <w:r w:rsidRPr="00450E61">
        <w:t xml:space="preserve">are </w:t>
      </w:r>
      <w:r w:rsidR="008C1061">
        <w:t>being studied for the producing</w:t>
      </w:r>
      <w:r w:rsidRPr="00450E61">
        <w:t xml:space="preserve"> biofuels and value-added chemicals. </w:t>
      </w:r>
      <w:r w:rsidR="00172831">
        <w:t>Some of t</w:t>
      </w:r>
      <w:r w:rsidRPr="00450E61">
        <w:t xml:space="preserve">hese feedstocks </w:t>
      </w:r>
      <w:r w:rsidR="00172831">
        <w:t xml:space="preserve">may impact food availability, while others </w:t>
      </w:r>
      <w:r w:rsidRPr="00450E61">
        <w:t>are not viable as the pretreatment cost is very high</w:t>
      </w:r>
      <w:r w:rsidR="004703E5">
        <w:t xml:space="preserve"> </w:t>
      </w:r>
      <w:r w:rsidR="0079542F">
        <w:t>(Hossain et al., 2019)</w:t>
      </w:r>
      <w:r w:rsidRPr="00450E61">
        <w:t xml:space="preserve">. Cyanobacteria are identified as </w:t>
      </w:r>
      <w:r w:rsidR="008C1061">
        <w:t xml:space="preserve">a </w:t>
      </w:r>
      <w:r w:rsidRPr="00450E61">
        <w:t xml:space="preserve">potential source to resolve the issue. These microorganisms </w:t>
      </w:r>
      <w:r w:rsidR="00B1713A">
        <w:t>can</w:t>
      </w:r>
      <w:r w:rsidR="00B109B5">
        <w:t xml:space="preserve"> </w:t>
      </w:r>
      <w:r w:rsidRPr="00450E61">
        <w:t>capture up to 10</w:t>
      </w:r>
      <w:r w:rsidR="008C1061">
        <w:t xml:space="preserve"> </w:t>
      </w:r>
      <w:r w:rsidRPr="00450E61">
        <w:t>% of solar energy</w:t>
      </w:r>
      <w:r w:rsidR="0079542F">
        <w:t xml:space="preserve"> (</w:t>
      </w:r>
      <w:r w:rsidR="0079542F" w:rsidRPr="0079542F">
        <w:t>Niederholtmeyer</w:t>
      </w:r>
      <w:r w:rsidR="0079542F">
        <w:t xml:space="preserve"> et al., 2010)</w:t>
      </w:r>
      <w:r>
        <w:t xml:space="preserve">. </w:t>
      </w:r>
      <w:r w:rsidRPr="00450E61">
        <w:t>There is an increasing attraction toward</w:t>
      </w:r>
      <w:r w:rsidR="00A736C0">
        <w:t>s</w:t>
      </w:r>
      <w:r w:rsidRPr="00450E61">
        <w:t xml:space="preserve"> these organisms because of their ability to produce biofuels and chemicals</w:t>
      </w:r>
      <w:r w:rsidR="00D739F2">
        <w:t xml:space="preserve"> via genetic modification</w:t>
      </w:r>
      <w:r w:rsidRPr="00450E61">
        <w:t>. Due to t</w:t>
      </w:r>
      <w:r w:rsidR="00B1713A">
        <w:t>he ease of genetic modification</w:t>
      </w:r>
      <w:r w:rsidRPr="00450E61">
        <w:t xml:space="preserve"> and substantial stress tolerance, </w:t>
      </w:r>
      <w:r w:rsidRPr="00450E61">
        <w:lastRenderedPageBreak/>
        <w:t>they are considered</w:t>
      </w:r>
      <w:r w:rsidR="00B109B5">
        <w:t xml:space="preserve"> as</w:t>
      </w:r>
      <w:r w:rsidRPr="00450E61">
        <w:t xml:space="preserve"> potential cell factories.</w:t>
      </w:r>
      <w:r>
        <w:t xml:space="preserve"> </w:t>
      </w:r>
      <w:r w:rsidRPr="00450E61">
        <w:t>Several research studies show that various chemicals such as ethylene, succinate, e</w:t>
      </w:r>
      <w:r w:rsidR="00B1713A">
        <w:t xml:space="preserve">thanol, butanol, and hydrogen, </w:t>
      </w:r>
      <w:r w:rsidRPr="00450E61">
        <w:t>are produced in a significant amount from genetically modified cyanobacteria</w:t>
      </w:r>
      <w:r w:rsidR="00741A1D">
        <w:t>.</w:t>
      </w:r>
      <w:r w:rsidR="00741A1D" w:rsidRPr="00741A1D">
        <w:t xml:space="preserve"> </w:t>
      </w:r>
      <w:r w:rsidR="00A736C0">
        <w:t xml:space="preserve">However, </w:t>
      </w:r>
      <w:r w:rsidR="007E2720">
        <w:t xml:space="preserve">limited work has been done on studying the </w:t>
      </w:r>
      <w:r w:rsidR="00741A1D" w:rsidRPr="00741A1D">
        <w:t>enviro</w:t>
      </w:r>
      <w:r w:rsidR="00B1713A">
        <w:t xml:space="preserve">nmental impacts and </w:t>
      </w:r>
      <w:r w:rsidR="00741A1D" w:rsidRPr="00741A1D">
        <w:t>economic feasibility of chemical</w:t>
      </w:r>
      <w:r w:rsidR="00B1713A">
        <w:t xml:space="preserve"> production from cyanobacteria, e</w:t>
      </w:r>
      <w:r w:rsidR="00741A1D" w:rsidRPr="00741A1D">
        <w:t>ven though a lot of experimental studies are being conducted on laboratory scale.</w:t>
      </w:r>
      <w:r w:rsidR="00741A1D">
        <w:t xml:space="preserve"> </w:t>
      </w:r>
      <w:r w:rsidR="00B1713A">
        <w:t>This work focu</w:t>
      </w:r>
      <w:r w:rsidR="00D739F2">
        <w:t xml:space="preserve">ses on the design of succinic acid production from cyanobacteria as well as </w:t>
      </w:r>
      <w:r w:rsidR="00630353">
        <w:t xml:space="preserve">to determine </w:t>
      </w:r>
      <w:r w:rsidR="00D739F2">
        <w:t>the environmental feasibility of the developed process.</w:t>
      </w:r>
    </w:p>
    <w:p w14:paraId="144DE699" w14:textId="25E296A0" w:rsidR="008D2649" w:rsidRDefault="0039204C" w:rsidP="009F0C99">
      <w:pPr>
        <w:pStyle w:val="Els-1storder-head"/>
        <w:spacing w:after="0"/>
      </w:pPr>
      <w:r>
        <w:t>Methodology</w:t>
      </w:r>
    </w:p>
    <w:p w14:paraId="2976D926" w14:textId="73A915D7" w:rsidR="00397986" w:rsidRDefault="001F302B" w:rsidP="009F0C99">
      <w:pPr>
        <w:pStyle w:val="Els-2ndorder-head"/>
        <w:numPr>
          <w:ilvl w:val="0"/>
          <w:numId w:val="0"/>
        </w:numPr>
        <w:spacing w:before="0"/>
      </w:pPr>
      <w:r>
        <w:t xml:space="preserve">2.1 </w:t>
      </w:r>
      <w:r w:rsidR="00E80E95">
        <w:t>Process Description</w:t>
      </w:r>
    </w:p>
    <w:p w14:paraId="64ADBD14" w14:textId="2E0EDA67" w:rsidR="009F0C99" w:rsidRDefault="00E80E95" w:rsidP="009F0C99">
      <w:pPr>
        <w:pStyle w:val="Els-body-text"/>
      </w:pPr>
      <w:r w:rsidRPr="00E80E95">
        <w:t>The engineered cyanobacteria are cultured in a photo bio-reactor (PBR) using energy from a light source, nutrient (BG-11 medium), and air (CO</w:t>
      </w:r>
      <w:r w:rsidRPr="00647BC2">
        <w:rPr>
          <w:vertAlign w:val="subscript"/>
        </w:rPr>
        <w:t>2</w:t>
      </w:r>
      <w:r w:rsidRPr="00E80E95">
        <w:t>) supply</w:t>
      </w:r>
      <w:r w:rsidR="00384112">
        <w:t xml:space="preserve"> with a growth condition of </w:t>
      </w:r>
      <w:r w:rsidR="00384112" w:rsidRPr="00E80E95">
        <w:t>7.5 pH and 38 °C</w:t>
      </w:r>
      <w:r w:rsidR="00384112">
        <w:t xml:space="preserve">. </w:t>
      </w:r>
      <w:r w:rsidRPr="00E80E95">
        <w:t xml:space="preserve">At the end of the fifth day, </w:t>
      </w:r>
      <w:r w:rsidR="00384112">
        <w:t xml:space="preserve">growth of cyanobacteria and production of succinate is completed and </w:t>
      </w:r>
      <w:r w:rsidRPr="00E80E95">
        <w:t xml:space="preserve">the culture is harvested and the succinate salt is separated. </w:t>
      </w:r>
      <w:r w:rsidR="0045544F" w:rsidRPr="00ED08A2">
        <w:t>The filtrate</w:t>
      </w:r>
      <w:r w:rsidR="0045544F">
        <w:t>d disodium succinate solution</w:t>
      </w:r>
      <w:r w:rsidR="0045544F" w:rsidRPr="00ED08A2">
        <w:t xml:space="preserve"> is preheated to 99 °C</w:t>
      </w:r>
      <w:r w:rsidR="0045544F">
        <w:t xml:space="preserve">. </w:t>
      </w:r>
      <w:r w:rsidR="0016260D">
        <w:t>Two methods are considered for t</w:t>
      </w:r>
      <w:r w:rsidR="0072317C">
        <w:t xml:space="preserve">he </w:t>
      </w:r>
      <w:r w:rsidR="00F93843">
        <w:t xml:space="preserve">recovery </w:t>
      </w:r>
      <w:r w:rsidR="0072317C">
        <w:t xml:space="preserve">of succinic acid </w:t>
      </w:r>
      <w:r w:rsidR="0016260D">
        <w:t>from disodium succinate and purification of succinic acid</w:t>
      </w:r>
      <w:r w:rsidR="00D1389B">
        <w:t xml:space="preserve">. </w:t>
      </w:r>
      <w:r w:rsidR="0016260D">
        <w:t>Process I</w:t>
      </w:r>
      <w:r w:rsidR="00D1389B">
        <w:t xml:space="preserve"> uses h</w:t>
      </w:r>
      <w:r w:rsidR="0016260D">
        <w:t>igh and low temperature crystallization</w:t>
      </w:r>
      <w:r w:rsidR="00D1389B">
        <w:t>, while p</w:t>
      </w:r>
      <w:r w:rsidR="0016260D">
        <w:t>rocess II</w:t>
      </w:r>
      <w:r w:rsidR="00D1389B">
        <w:t xml:space="preserve"> uses</w:t>
      </w:r>
      <w:r w:rsidR="0016260D">
        <w:t xml:space="preserve"> </w:t>
      </w:r>
      <w:r w:rsidR="00D1389B">
        <w:t>p</w:t>
      </w:r>
      <w:r w:rsidR="0016260D">
        <w:t>urification via methanol addition</w:t>
      </w:r>
      <w:r w:rsidR="003065B5">
        <w:t>.</w:t>
      </w:r>
    </w:p>
    <w:p w14:paraId="3102AC0F" w14:textId="77777777" w:rsidR="009F0C99" w:rsidRPr="00E80E95" w:rsidRDefault="009F0C99" w:rsidP="009F0C99">
      <w:pPr>
        <w:pStyle w:val="Els-body-text"/>
      </w:pPr>
    </w:p>
    <w:p w14:paraId="134C02AD" w14:textId="52AB5F33" w:rsidR="00E80E95" w:rsidRDefault="00E80E95" w:rsidP="009F0C99">
      <w:pPr>
        <w:pStyle w:val="Els-body-text"/>
        <w:rPr>
          <w:i/>
        </w:rPr>
      </w:pPr>
      <w:r w:rsidRPr="00E80E95">
        <w:rPr>
          <w:i/>
        </w:rPr>
        <w:t>2.1.1</w:t>
      </w:r>
      <w:r>
        <w:rPr>
          <w:i/>
        </w:rPr>
        <w:t xml:space="preserve"> Process I: High and Low Temperature Crystallization</w:t>
      </w:r>
    </w:p>
    <w:p w14:paraId="7FEA409B" w14:textId="160177CB" w:rsidR="00FF3578" w:rsidRDefault="0045544F" w:rsidP="009F0C99">
      <w:pPr>
        <w:pStyle w:val="Els-body-text"/>
      </w:pPr>
      <w:r>
        <w:t>P</w:t>
      </w:r>
      <w:r w:rsidR="00A957A6" w:rsidRPr="00ED08A2">
        <w:t>reheated</w:t>
      </w:r>
      <w:r w:rsidR="00BE074D">
        <w:t xml:space="preserve"> feed is fed to a triple-</w:t>
      </w:r>
      <w:r w:rsidR="00ED08A2" w:rsidRPr="00ED08A2">
        <w:t xml:space="preserve">effect evaporator in which feed is concentrated </w:t>
      </w:r>
      <w:r w:rsidR="00BE074D">
        <w:t xml:space="preserve">to </w:t>
      </w:r>
      <w:r w:rsidR="00ED08A2">
        <w:t xml:space="preserve">16 </w:t>
      </w:r>
      <w:r w:rsidR="00ED08A2" w:rsidRPr="00ED08A2">
        <w:t xml:space="preserve">%. </w:t>
      </w:r>
      <w:r w:rsidR="000E5F24" w:rsidRPr="000E5F24">
        <w:t xml:space="preserve">The </w:t>
      </w:r>
      <w:r w:rsidR="00A957A6">
        <w:t>concentrated</w:t>
      </w:r>
      <w:r w:rsidR="000E5F24" w:rsidRPr="000E5F24">
        <w:t xml:space="preserve"> </w:t>
      </w:r>
      <w:r>
        <w:t>solution</w:t>
      </w:r>
      <w:r w:rsidR="000E5F24" w:rsidRPr="000E5F24">
        <w:t xml:space="preserve"> is </w:t>
      </w:r>
      <w:r w:rsidR="00A957A6">
        <w:t>cooled down to 70</w:t>
      </w:r>
      <w:r w:rsidR="00A957A6" w:rsidRPr="00ED08A2">
        <w:t>°C</w:t>
      </w:r>
      <w:r w:rsidR="00A957A6">
        <w:t xml:space="preserve"> and </w:t>
      </w:r>
      <w:r w:rsidR="000E5F24" w:rsidRPr="000E5F24">
        <w:t>reac</w:t>
      </w:r>
      <w:r w:rsidR="00BE074D">
        <w:t>ted with sulfuric acid producing</w:t>
      </w:r>
      <w:r w:rsidR="000E5F24" w:rsidRPr="000E5F24">
        <w:t xml:space="preserve"> succinic acid and sodium </w:t>
      </w:r>
      <w:r w:rsidR="00A957A6">
        <w:t>sulfate</w:t>
      </w:r>
      <w:r w:rsidR="000E5F24" w:rsidRPr="000E5F24">
        <w:t xml:space="preserve">. </w:t>
      </w:r>
      <w:r w:rsidR="00BE074D">
        <w:t xml:space="preserve">The solution </w:t>
      </w:r>
      <w:r w:rsidR="00A957A6">
        <w:t xml:space="preserve">is </w:t>
      </w:r>
      <w:r w:rsidR="00FF3578" w:rsidRPr="00FF3578">
        <w:t xml:space="preserve">concentrated and heated to obtain </w:t>
      </w:r>
      <w:r w:rsidR="00A957A6">
        <w:t xml:space="preserve">sodium sulfate concentration </w:t>
      </w:r>
      <w:r w:rsidR="00FF3578" w:rsidRPr="00FF3578">
        <w:t>so that the sodium sulfate crystals are precipitated selectively. The precipitated sodium sulfate is filtrated</w:t>
      </w:r>
      <w:r w:rsidR="000D256E">
        <w:t>. S</w:t>
      </w:r>
      <w:r w:rsidR="00A957A6">
        <w:t xml:space="preserve">uccinic acid </w:t>
      </w:r>
      <w:r w:rsidR="000D256E">
        <w:t xml:space="preserve">and </w:t>
      </w:r>
      <w:r w:rsidR="00A957A6">
        <w:t>uncrystallized</w:t>
      </w:r>
      <w:r w:rsidR="00FF3578">
        <w:t xml:space="preserve"> </w:t>
      </w:r>
      <w:r w:rsidR="00A957A6">
        <w:t xml:space="preserve">sodium sulfate </w:t>
      </w:r>
      <w:r w:rsidR="000D256E">
        <w:t xml:space="preserve">solution </w:t>
      </w:r>
      <w:r w:rsidR="00BE074D">
        <w:t>are</w:t>
      </w:r>
      <w:r w:rsidR="00FF3578">
        <w:t xml:space="preserve"> cooled to 35 </w:t>
      </w:r>
      <w:r w:rsidR="00A957A6" w:rsidRPr="00ED08A2">
        <w:t>°C</w:t>
      </w:r>
      <w:r w:rsidR="00FF3578">
        <w:t xml:space="preserve"> </w:t>
      </w:r>
      <w:r w:rsidR="00BE074D">
        <w:t>to precipitate</w:t>
      </w:r>
      <w:r w:rsidR="000D256E">
        <w:t xml:space="preserve"> </w:t>
      </w:r>
      <w:r w:rsidR="00FF3578">
        <w:t xml:space="preserve">succinic acid </w:t>
      </w:r>
      <w:r w:rsidR="00BE074D">
        <w:t>crystals</w:t>
      </w:r>
      <w:r w:rsidR="00275CE4">
        <w:t xml:space="preserve"> (</w:t>
      </w:r>
      <w:r w:rsidR="00F03EF3">
        <w:t>Fujita et al., 2009)</w:t>
      </w:r>
      <w:r w:rsidR="00FF3578">
        <w:t>.</w:t>
      </w:r>
      <w:r w:rsidR="000D256E">
        <w:t xml:space="preserve"> Succinic acid crystals are filtrated and dissolved in water to remove the impurities. Pure succinic acid crystals are obtained by crystallization.</w:t>
      </w:r>
    </w:p>
    <w:p w14:paraId="664EC8EB" w14:textId="5CA8F87E" w:rsidR="00FF3578" w:rsidRDefault="00FF3578" w:rsidP="009F0C99">
      <w:pPr>
        <w:pStyle w:val="Els-body-text"/>
        <w:spacing w:before="240"/>
        <w:rPr>
          <w:i/>
        </w:rPr>
      </w:pPr>
      <w:r w:rsidRPr="00E80E95">
        <w:rPr>
          <w:i/>
        </w:rPr>
        <w:t>2.1.</w:t>
      </w:r>
      <w:r w:rsidR="001F302B">
        <w:rPr>
          <w:i/>
        </w:rPr>
        <w:t xml:space="preserve">2 </w:t>
      </w:r>
      <w:r>
        <w:rPr>
          <w:i/>
        </w:rPr>
        <w:t>Process II: Purification using Methanol</w:t>
      </w:r>
    </w:p>
    <w:p w14:paraId="04A8D967" w14:textId="7A1742D9" w:rsidR="001F302B" w:rsidRPr="00ED08A2" w:rsidRDefault="0045544F" w:rsidP="009F0C99">
      <w:pPr>
        <w:pStyle w:val="Els-body-text"/>
      </w:pPr>
      <w:r>
        <w:t>P</w:t>
      </w:r>
      <w:r w:rsidR="00FF3578" w:rsidRPr="00FF3578">
        <w:t>r</w:t>
      </w:r>
      <w:r w:rsidR="00BE074D">
        <w:t>eheated feed is fed to a triple-</w:t>
      </w:r>
      <w:r w:rsidR="00FF3578" w:rsidRPr="00FF3578">
        <w:t>effect evaporator in which feed is concentrated to 50</w:t>
      </w:r>
      <w:r>
        <w:t xml:space="preserve"> </w:t>
      </w:r>
      <w:r w:rsidR="00FF3578" w:rsidRPr="00FF3578">
        <w:t>%</w:t>
      </w:r>
      <w:r w:rsidR="00F03EF3">
        <w:t xml:space="preserve"> (Berglund et al., 1999)</w:t>
      </w:r>
      <w:r w:rsidR="00FF3578" w:rsidRPr="00FF3578">
        <w:t xml:space="preserve">. The concentrated solution </w:t>
      </w:r>
      <w:r>
        <w:t xml:space="preserve">is cooled down to 40 </w:t>
      </w:r>
      <w:r w:rsidRPr="00FF3578">
        <w:t>°C</w:t>
      </w:r>
      <w:r>
        <w:t xml:space="preserve"> and </w:t>
      </w:r>
      <w:r w:rsidR="00FF3578" w:rsidRPr="00FF3578">
        <w:t xml:space="preserve">is fed to the reactor with </w:t>
      </w:r>
      <w:r>
        <w:t>sulfuric</w:t>
      </w:r>
      <w:r w:rsidR="00FF3578" w:rsidRPr="00FF3578">
        <w:t xml:space="preserve"> acid to </w:t>
      </w:r>
      <w:r>
        <w:t xml:space="preserve">obtain </w:t>
      </w:r>
      <w:r w:rsidR="00FF3578" w:rsidRPr="00FF3578">
        <w:t xml:space="preserve">succinic acid and sodium </w:t>
      </w:r>
      <w:r w:rsidR="00A957A6">
        <w:t>sulfate</w:t>
      </w:r>
      <w:r>
        <w:t xml:space="preserve">. </w:t>
      </w:r>
      <w:r w:rsidR="00E678BB">
        <w:t xml:space="preserve">The pH is maintained at 1.5 – 1.8 </w:t>
      </w:r>
      <w:r w:rsidR="00BE074D">
        <w:t>to precipitate</w:t>
      </w:r>
      <w:r w:rsidR="00E678BB">
        <w:t xml:space="preserve"> </w:t>
      </w:r>
      <w:r w:rsidR="00BE074D">
        <w:t>succinic acid</w:t>
      </w:r>
      <w:r w:rsidR="00E678BB">
        <w:t>. Succinic a</w:t>
      </w:r>
      <w:r w:rsidR="00BE074D">
        <w:t>cid crystals are separated</w:t>
      </w:r>
      <w:r w:rsidR="009F5414">
        <w:t xml:space="preserve"> and the liquid stream containing sodium sulfate is processed to separate sodium sulfate. Methanol</w:t>
      </w:r>
      <w:r w:rsidR="00E678BB">
        <w:t xml:space="preserve"> is added </w:t>
      </w:r>
      <w:r w:rsidR="009F5414">
        <w:t xml:space="preserve">to the succinic acid crystals </w:t>
      </w:r>
      <w:r w:rsidR="00E678BB">
        <w:t>for further purification</w:t>
      </w:r>
      <w:r w:rsidR="00BE074D">
        <w:t>. M</w:t>
      </w:r>
      <w:r w:rsidR="00FF3578" w:rsidRPr="00FF3578">
        <w:t>ethanol is evaporated from the succinic acid stream and finally, succinic acid crystals are obtained. The methanol is recovered and recycled.</w:t>
      </w:r>
    </w:p>
    <w:p w14:paraId="144DE69A" w14:textId="5CECAD34" w:rsidR="008D2649" w:rsidRDefault="00E7023D" w:rsidP="009F0C99">
      <w:pPr>
        <w:pStyle w:val="Els-2ndorder-head"/>
        <w:numPr>
          <w:ilvl w:val="1"/>
          <w:numId w:val="20"/>
        </w:numPr>
        <w:spacing w:before="240"/>
        <w:jc w:val="left"/>
      </w:pPr>
      <w:r>
        <w:t>Design and Simulation of Succinic Acid Downstream Production Process</w:t>
      </w:r>
    </w:p>
    <w:p w14:paraId="7065CD46" w14:textId="3BBC57A9" w:rsidR="001F302B" w:rsidRPr="00895110" w:rsidRDefault="00BC5A50" w:rsidP="009F0C99">
      <w:pPr>
        <w:pStyle w:val="Els-body-text"/>
      </w:pPr>
      <w:r w:rsidRPr="00BC5A50">
        <w:t>The detailed commercial scale downstream process is designed and simulated in ASPEN Plus</w:t>
      </w:r>
      <w:r w:rsidRPr="00895110">
        <w:rPr>
          <w:vertAlign w:val="superscript"/>
        </w:rPr>
        <w:t>®</w:t>
      </w:r>
      <w:r w:rsidRPr="00BC5A50">
        <w:t xml:space="preserve"> using Wilson vol. as the thermodynamic property package</w:t>
      </w:r>
      <w:r>
        <w:t xml:space="preserve">. </w:t>
      </w:r>
      <w:r w:rsidR="001577F4" w:rsidRPr="001577F4">
        <w:t>The simulation provides the material</w:t>
      </w:r>
      <w:r w:rsidR="00BE074D">
        <w:t xml:space="preserve"> and energy balances and </w:t>
      </w:r>
      <w:r w:rsidR="001577F4" w:rsidRPr="001577F4">
        <w:t xml:space="preserve">equipment sizing details using the economic analyzer tool. </w:t>
      </w:r>
      <w:r w:rsidR="00B86043" w:rsidRPr="00B86043">
        <w:t>The flowsheet's basis</w:t>
      </w:r>
      <w:r w:rsidR="00B86043">
        <w:t xml:space="preserve"> is </w:t>
      </w:r>
      <w:r w:rsidR="00BE5615">
        <w:t>2</w:t>
      </w:r>
      <w:r w:rsidR="001577F4" w:rsidRPr="001577F4">
        <w:t xml:space="preserve"> g/L of succinate productivity level</w:t>
      </w:r>
      <w:r w:rsidR="00B86043">
        <w:t xml:space="preserve"> from cyanobacteria. </w:t>
      </w:r>
      <w:r w:rsidR="001577F4" w:rsidRPr="001577F4">
        <w:t>The p</w:t>
      </w:r>
      <w:r w:rsidR="00B86043">
        <w:t xml:space="preserve">roduction capacity of the plant </w:t>
      </w:r>
      <w:r w:rsidR="001577F4" w:rsidRPr="001577F4">
        <w:t xml:space="preserve">based on current succinate productivity is 100 </w:t>
      </w:r>
      <w:r w:rsidR="001577F4">
        <w:t xml:space="preserve">t/y </w:t>
      </w:r>
      <w:r w:rsidR="001577F4" w:rsidRPr="001577F4">
        <w:t>of succinic acid.</w:t>
      </w:r>
      <w:r w:rsidR="00E01EEE">
        <w:t xml:space="preserve"> </w:t>
      </w:r>
      <w:r w:rsidR="00B86043">
        <w:t>The e</w:t>
      </w:r>
      <w:r w:rsidR="00827209">
        <w:t>vaporator is modeled using Aspen flash and</w:t>
      </w:r>
      <w:r w:rsidR="00895110">
        <w:t xml:space="preserve"> </w:t>
      </w:r>
      <w:r w:rsidR="00827209">
        <w:t>heater</w:t>
      </w:r>
      <w:r w:rsidR="00B86043">
        <w:t xml:space="preserve">. Filters given in the flow </w:t>
      </w:r>
      <w:r w:rsidR="00827209">
        <w:t xml:space="preserve">sheet are component separator’s based on split fractions. </w:t>
      </w:r>
      <w:r w:rsidR="00827209" w:rsidRPr="00827209">
        <w:t xml:space="preserve">Steam flow </w:t>
      </w:r>
      <w:r w:rsidR="00B86043">
        <w:t>for triple-</w:t>
      </w:r>
      <w:r w:rsidR="00827209" w:rsidRPr="00827209">
        <w:t xml:space="preserve">effect evaporator system </w:t>
      </w:r>
      <w:r w:rsidR="00827209">
        <w:t xml:space="preserve">is calculated </w:t>
      </w:r>
      <w:r w:rsidR="00B86043">
        <w:t xml:space="preserve">based on varying the steam flow </w:t>
      </w:r>
      <w:r w:rsidR="00827209" w:rsidRPr="00827209">
        <w:t>rate to obtain the concentration in the last effect.</w:t>
      </w:r>
    </w:p>
    <w:p w14:paraId="144DE69D" w14:textId="32B1CA98" w:rsidR="008D2649" w:rsidRDefault="001F302B" w:rsidP="003065B5">
      <w:pPr>
        <w:pStyle w:val="Els-2ndorder-head"/>
        <w:numPr>
          <w:ilvl w:val="0"/>
          <w:numId w:val="0"/>
        </w:numPr>
        <w:spacing w:before="240" w:after="60"/>
      </w:pPr>
      <w:r>
        <w:lastRenderedPageBreak/>
        <w:t xml:space="preserve">2.3. </w:t>
      </w:r>
      <w:r w:rsidR="00E7023D">
        <w:t>Life Cycle Assessment</w:t>
      </w:r>
    </w:p>
    <w:p w14:paraId="144DE69E" w14:textId="7C7425F2" w:rsidR="008D2649" w:rsidRDefault="00FA3E2F" w:rsidP="003065B5">
      <w:pPr>
        <w:pStyle w:val="Els-3rdorder-head"/>
        <w:numPr>
          <w:ilvl w:val="0"/>
          <w:numId w:val="0"/>
        </w:numPr>
        <w:spacing w:before="240" w:after="60"/>
      </w:pPr>
      <w:r>
        <w:t>2.3.1. Goal and Scope Definition</w:t>
      </w:r>
    </w:p>
    <w:p w14:paraId="144DE6A0" w14:textId="6667E0C7" w:rsidR="008D2649" w:rsidRDefault="00F714EE" w:rsidP="00497F2C">
      <w:pPr>
        <w:pStyle w:val="Els-body-text"/>
      </w:pPr>
      <w:r w:rsidRPr="00F714EE">
        <w:t>The present work focuses on studying the environmental impacts of succinic acid production from cyanobacteria</w:t>
      </w:r>
      <w:r>
        <w:t xml:space="preserve"> via two purification processes</w:t>
      </w:r>
      <w:r w:rsidR="00FA3E2F">
        <w:t>. The impact assessment is conducted using OpenLCA 1.11 software with the EcoInvent</w:t>
      </w:r>
      <w:r w:rsidR="004524D4" w:rsidRPr="00FF2606">
        <w:rPr>
          <w:vertAlign w:val="superscript"/>
          <w:lang w:val="en-GB"/>
        </w:rPr>
        <w:t>®</w:t>
      </w:r>
      <w:r w:rsidR="00FA3E2F">
        <w:t xml:space="preserve"> 3.9 database and data collected </w:t>
      </w:r>
      <w:r>
        <w:t xml:space="preserve">from the literature. Cradle to </w:t>
      </w:r>
      <w:r w:rsidR="00FA3E2F">
        <w:t>gate approach is used</w:t>
      </w:r>
      <w:r w:rsidR="00011CA5">
        <w:t xml:space="preserve"> where the impact analysis from the </w:t>
      </w:r>
      <w:r w:rsidR="00D10990">
        <w:t xml:space="preserve">extraction of raw materials to the </w:t>
      </w:r>
      <w:r w:rsidR="00E027ED">
        <w:t>production stage is determined.</w:t>
      </w:r>
      <w:r w:rsidR="00FA3E2F">
        <w:t xml:space="preserve"> Re</w:t>
      </w:r>
      <w:r w:rsidR="000A78F7">
        <w:t>C</w:t>
      </w:r>
      <w:r w:rsidR="00FA3E2F">
        <w:t>i</w:t>
      </w:r>
      <w:r w:rsidR="000A78F7">
        <w:t>P</w:t>
      </w:r>
      <w:r w:rsidR="00FA3E2F">
        <w:t xml:space="preserve">e (H) midpoint using physical allocation </w:t>
      </w:r>
      <w:r w:rsidR="001449A4">
        <w:t>is</w:t>
      </w:r>
      <w:r w:rsidR="00FA3E2F">
        <w:t xml:space="preserve"> used as the impact assessment method</w:t>
      </w:r>
      <w:r w:rsidR="000A78F7">
        <w:t xml:space="preserve"> as </w:t>
      </w:r>
      <w:r w:rsidR="000A78F7" w:rsidRPr="000A78F7">
        <w:t>ReCiPe offers characterization elements that are representative for the global scale</w:t>
      </w:r>
      <w:r w:rsidR="00FA3E2F">
        <w:t>.</w:t>
      </w:r>
      <w:r w:rsidR="00BB1390">
        <w:t xml:space="preserve"> The functional unit of this study is 1 kg of succinic acid. Cyanobacteria cultivation, feed preheating and evaporation, rea</w:t>
      </w:r>
      <w:r w:rsidR="000B27FF">
        <w:t xml:space="preserve">ction, succinic acid separation, </w:t>
      </w:r>
      <w:r w:rsidR="00BB1390">
        <w:t>and purification is considered in the system boundary in both processes. The energy requirement in the evaporation process is calculated in terms of natural gas quantity for the boiler operation.</w:t>
      </w:r>
      <w:r w:rsidR="00191000">
        <w:t xml:space="preserve"> Pure CO</w:t>
      </w:r>
      <w:r w:rsidR="00191000" w:rsidRPr="00191000">
        <w:rPr>
          <w:vertAlign w:val="subscript"/>
        </w:rPr>
        <w:t>2</w:t>
      </w:r>
      <w:r w:rsidR="00191000">
        <w:rPr>
          <w:vertAlign w:val="subscript"/>
        </w:rPr>
        <w:t xml:space="preserve"> </w:t>
      </w:r>
      <w:r w:rsidR="00191000">
        <w:t>is considered in the study with 0.135 vvm</w:t>
      </w:r>
      <w:r w:rsidR="00B04465">
        <w:t xml:space="preserve"> </w:t>
      </w:r>
      <w:r w:rsidR="00B04465" w:rsidRPr="006F1120">
        <w:t xml:space="preserve">for the </w:t>
      </w:r>
      <w:r w:rsidR="006F1120">
        <w:t>cultivation</w:t>
      </w:r>
      <w:r w:rsidR="00B04465" w:rsidRPr="006F1120">
        <w:t xml:space="preserve"> of cyanobacteria</w:t>
      </w:r>
      <w:r w:rsidR="00191000" w:rsidRPr="006F1120">
        <w:t>.</w:t>
      </w:r>
      <w:r w:rsidR="00191000">
        <w:t xml:space="preserve"> </w:t>
      </w:r>
      <w:r w:rsidR="000B27FF" w:rsidRPr="000B27FF">
        <w:t>The heating operations' energy is met through the energy reco</w:t>
      </w:r>
      <w:r w:rsidR="000B27FF">
        <w:t>vered from the vapor from multi-</w:t>
      </w:r>
      <w:r w:rsidR="000B27FF" w:rsidRPr="000B27FF">
        <w:t>effect evaporator</w:t>
      </w:r>
      <w:r w:rsidR="00BB1390">
        <w:t>.</w:t>
      </w:r>
      <w:r w:rsidR="006C5201" w:rsidRPr="006C5201">
        <w:t xml:space="preserve"> </w:t>
      </w:r>
      <w:r w:rsidR="006C5201">
        <w:t>Cooling water and chilled water is considered as the source of cooling.</w:t>
      </w:r>
      <w:r w:rsidR="000B27FF">
        <w:t xml:space="preserve"> The e</w:t>
      </w:r>
      <w:r w:rsidR="00BB1390">
        <w:t xml:space="preserve">lectricity </w:t>
      </w:r>
      <w:r w:rsidR="00E95253">
        <w:t xml:space="preserve">source is from </w:t>
      </w:r>
      <w:r w:rsidR="00BB1390">
        <w:t>a conventional plant with production mix</w:t>
      </w:r>
      <w:r w:rsidR="0011179C">
        <w:t xml:space="preserve"> in India</w:t>
      </w:r>
      <w:r w:rsidR="00BB1390">
        <w:t>.</w:t>
      </w:r>
      <w:r w:rsidR="00E95253">
        <w:t xml:space="preserve"> </w:t>
      </w:r>
      <w:r w:rsidR="00BB1390">
        <w:t>Machinery manufacturing is not considered as a part of system boundary</w:t>
      </w:r>
      <w:r w:rsidR="00191000">
        <w:t>. The condensate from the boiler is recycled back with 5 % loss.</w:t>
      </w:r>
      <w:r w:rsidR="000B27FF">
        <w:t xml:space="preserve"> The system boundaries for </w:t>
      </w:r>
      <w:r w:rsidR="003751B8">
        <w:t>process I and process II are shown in Figure 1 and 2.</w:t>
      </w:r>
      <w:r w:rsidR="006C5201">
        <w:t xml:space="preserve"> </w:t>
      </w:r>
    </w:p>
    <w:p w14:paraId="3D0FE71B" w14:textId="5685CF20" w:rsidR="00497F2C" w:rsidRDefault="003751B8" w:rsidP="00E027ED">
      <w:pPr>
        <w:pStyle w:val="Els-body-text"/>
        <w:spacing w:before="240" w:after="60"/>
      </w:pPr>
      <w:r>
        <w:rPr>
          <w:noProof/>
          <w:lang w:val="en-IN" w:eastAsia="en-IN"/>
        </w:rPr>
        <w:drawing>
          <wp:inline distT="0" distB="0" distL="0" distR="0" wp14:anchorId="431AE0B0" wp14:editId="2AAFC1CA">
            <wp:extent cx="4730938" cy="3781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38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639A1" w14:textId="6299B05E" w:rsidR="004462BB" w:rsidRDefault="003751B8" w:rsidP="0021623D">
      <w:pPr>
        <w:pStyle w:val="Els-body-text"/>
        <w:spacing w:before="240" w:after="60"/>
        <w:jc w:val="center"/>
      </w:pPr>
      <w:r>
        <w:t>Figure 1. System boundary for succinic acid production via process I</w:t>
      </w:r>
    </w:p>
    <w:p w14:paraId="1F8BCA58" w14:textId="51CF4537" w:rsidR="004462BB" w:rsidRDefault="004462BB" w:rsidP="003751B8">
      <w:pPr>
        <w:pStyle w:val="Els-body-text"/>
        <w:spacing w:before="240" w:after="60"/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 wp14:anchorId="29F08919" wp14:editId="27B55C70">
            <wp:extent cx="4667250" cy="3779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44" cy="3780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A5C75" w14:textId="19F80123" w:rsidR="003751B8" w:rsidRDefault="003751B8" w:rsidP="003751B8">
      <w:pPr>
        <w:pStyle w:val="Els-body-text"/>
        <w:spacing w:before="240" w:after="60"/>
        <w:jc w:val="center"/>
      </w:pPr>
      <w:r>
        <w:t>Figure 2. System boundary for succinic acid production via process II</w:t>
      </w:r>
    </w:p>
    <w:p w14:paraId="144DE6A1" w14:textId="6960D395" w:rsidR="008D2649" w:rsidRDefault="0045544F" w:rsidP="003065B5">
      <w:pPr>
        <w:pStyle w:val="Els-1storder-head"/>
      </w:pPr>
      <w:r>
        <w:t>L</w:t>
      </w:r>
      <w:r w:rsidR="004F12E4">
        <w:t>ife Cycle Impact Analysis</w:t>
      </w:r>
    </w:p>
    <w:p w14:paraId="4B132BB2" w14:textId="1F35E05B" w:rsidR="00F06623" w:rsidRDefault="001E2147" w:rsidP="002C7927">
      <w:pPr>
        <w:pStyle w:val="Els-body-text"/>
        <w:rPr>
          <w:lang w:val="en-GB"/>
        </w:rPr>
      </w:pPr>
      <w:r>
        <w:rPr>
          <w:lang w:val="en-GB"/>
        </w:rPr>
        <w:t>The impact analysis is conducted for 1</w:t>
      </w:r>
      <w:r w:rsidR="006F5153">
        <w:rPr>
          <w:lang w:val="en-GB"/>
        </w:rPr>
        <w:t xml:space="preserve"> </w:t>
      </w:r>
      <w:r>
        <w:rPr>
          <w:lang w:val="en-GB"/>
        </w:rPr>
        <w:t xml:space="preserve">kg of succinic acid production based on two downstream methods and is </w:t>
      </w:r>
      <w:r w:rsidR="00932EDA">
        <w:rPr>
          <w:lang w:val="en-GB"/>
        </w:rPr>
        <w:t xml:space="preserve">shown </w:t>
      </w:r>
      <w:r>
        <w:rPr>
          <w:lang w:val="en-GB"/>
        </w:rPr>
        <w:t>in Table 1.</w:t>
      </w:r>
    </w:p>
    <w:p w14:paraId="6EFF93A8" w14:textId="77777777" w:rsidR="002C7927" w:rsidRDefault="002C7927" w:rsidP="002C7927">
      <w:pPr>
        <w:pStyle w:val="Els-body-text"/>
        <w:rPr>
          <w:lang w:val="en-GB"/>
        </w:rPr>
      </w:pPr>
    </w:p>
    <w:p w14:paraId="705F9E30" w14:textId="29319A77" w:rsidR="002C7927" w:rsidRDefault="002C7927" w:rsidP="002C7927">
      <w:pPr>
        <w:pStyle w:val="Els-body-text"/>
      </w:pPr>
      <w:r>
        <w:rPr>
          <w:lang w:val="en-GB"/>
        </w:rPr>
        <w:t>Table 1. Life cycle impact analysis of succinic acid production from cyanobacteria</w:t>
      </w:r>
    </w:p>
    <w:tbl>
      <w:tblPr>
        <w:tblStyle w:val="TableGrid"/>
        <w:tblpPr w:leftFromText="180" w:rightFromText="180" w:vertAnchor="text" w:tblpXSpec="center" w:tblpY="1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1484"/>
        <w:gridCol w:w="1068"/>
      </w:tblGrid>
      <w:tr w:rsidR="001E2147" w:rsidRPr="00E65036" w14:paraId="461E2366" w14:textId="77777777" w:rsidTr="002C7927">
        <w:trPr>
          <w:trHeight w:val="25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C4C591" w14:textId="77777777" w:rsidR="001E2147" w:rsidRPr="00D918A6" w:rsidRDefault="001E2147" w:rsidP="00F37F9D">
            <w:pPr>
              <w:rPr>
                <w:b/>
                <w:bCs/>
                <w:i/>
              </w:rPr>
            </w:pPr>
            <w:bookmarkStart w:id="2" w:name="_Hlk151303488"/>
            <w:r w:rsidRPr="00D918A6">
              <w:rPr>
                <w:b/>
                <w:bCs/>
                <w:i/>
              </w:rPr>
              <w:t>Impact category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DC3BC5" w14:textId="77777777" w:rsidR="001E2147" w:rsidRPr="00D918A6" w:rsidRDefault="001E2147" w:rsidP="00F37F9D">
            <w:pPr>
              <w:rPr>
                <w:b/>
                <w:bCs/>
                <w:i/>
              </w:rPr>
            </w:pPr>
            <w:r w:rsidRPr="00D918A6">
              <w:rPr>
                <w:b/>
                <w:bCs/>
                <w:i/>
              </w:rPr>
              <w:t>Reference unit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EDC438" w14:textId="77777777" w:rsidR="001E2147" w:rsidRPr="00D918A6" w:rsidRDefault="001E2147" w:rsidP="00F37F9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Process I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8D4F0B" w14:textId="77777777" w:rsidR="001E2147" w:rsidRPr="00D918A6" w:rsidRDefault="001E2147" w:rsidP="00F37F9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Process II</w:t>
            </w:r>
          </w:p>
        </w:tc>
      </w:tr>
      <w:tr w:rsidR="001E2147" w:rsidRPr="00E65036" w14:paraId="15D05666" w14:textId="77777777" w:rsidTr="002C7927">
        <w:trPr>
          <w:trHeight w:val="253"/>
        </w:trPr>
        <w:tc>
          <w:tcPr>
            <w:tcW w:w="4536" w:type="dxa"/>
            <w:tcBorders>
              <w:top w:val="single" w:sz="4" w:space="0" w:color="auto"/>
            </w:tcBorders>
            <w:noWrap/>
            <w:hideMark/>
          </w:tcPr>
          <w:p w14:paraId="0D40E80F" w14:textId="77777777" w:rsidR="001E2147" w:rsidRPr="008936F8" w:rsidRDefault="001E2147" w:rsidP="00F37F9D">
            <w:r w:rsidRPr="008936F8">
              <w:t>terrestrial acidification potential (TAP)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0E133F6D" w14:textId="77777777" w:rsidR="001E2147" w:rsidRPr="00A3005E" w:rsidRDefault="001E2147" w:rsidP="00F37F9D">
            <w:r w:rsidRPr="00A3005E">
              <w:t>kg SO</w:t>
            </w:r>
            <w:r w:rsidRPr="009506D9">
              <w:rPr>
                <w:vertAlign w:val="subscript"/>
              </w:rPr>
              <w:t>2</w:t>
            </w:r>
            <w:r w:rsidRPr="00A3005E">
              <w:t>-Eq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hideMark/>
          </w:tcPr>
          <w:p w14:paraId="1374E003" w14:textId="21563D71" w:rsidR="001E2147" w:rsidRPr="00DA2CBD" w:rsidRDefault="001E2147" w:rsidP="00F37F9D">
            <w:pPr>
              <w:jc w:val="center"/>
            </w:pPr>
            <w:r w:rsidRPr="00DA2CBD">
              <w:t>0.01</w:t>
            </w:r>
            <w:r w:rsidR="00487F11">
              <w:t>3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05C29B66" w14:textId="5083B5C4" w:rsidR="001E2147" w:rsidRPr="00504E12" w:rsidRDefault="001E2147" w:rsidP="00F37F9D">
            <w:pPr>
              <w:jc w:val="center"/>
            </w:pPr>
            <w:r w:rsidRPr="00504E12">
              <w:t>0.00</w:t>
            </w:r>
            <w:r w:rsidR="00AC1D2D">
              <w:t>6</w:t>
            </w:r>
          </w:p>
        </w:tc>
      </w:tr>
      <w:tr w:rsidR="001E2147" w:rsidRPr="00E65036" w14:paraId="43927B47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748F3F53" w14:textId="77777777" w:rsidR="001E2147" w:rsidRPr="008936F8" w:rsidRDefault="001E2147" w:rsidP="00F37F9D">
            <w:r w:rsidRPr="008936F8">
              <w:t>global warming potential (GWP100)</w:t>
            </w:r>
          </w:p>
        </w:tc>
        <w:tc>
          <w:tcPr>
            <w:tcW w:w="1559" w:type="dxa"/>
            <w:noWrap/>
            <w:hideMark/>
          </w:tcPr>
          <w:p w14:paraId="367D3CCD" w14:textId="77777777" w:rsidR="001E2147" w:rsidRPr="00A3005E" w:rsidRDefault="001E2147" w:rsidP="00F37F9D">
            <w:r w:rsidRPr="00A3005E">
              <w:t>kg CO</w:t>
            </w:r>
            <w:r w:rsidRPr="009506D9">
              <w:rPr>
                <w:vertAlign w:val="subscript"/>
              </w:rPr>
              <w:t>2</w:t>
            </w:r>
            <w:r w:rsidRPr="00A3005E">
              <w:t>-Eq</w:t>
            </w:r>
          </w:p>
        </w:tc>
        <w:tc>
          <w:tcPr>
            <w:tcW w:w="1484" w:type="dxa"/>
            <w:noWrap/>
            <w:hideMark/>
          </w:tcPr>
          <w:p w14:paraId="7D9262CE" w14:textId="6277D5C0" w:rsidR="001E2147" w:rsidRPr="00DA2CBD" w:rsidRDefault="00396E4E" w:rsidP="00F37F9D">
            <w:pPr>
              <w:jc w:val="center"/>
            </w:pPr>
            <w:r>
              <w:t>6.</w:t>
            </w:r>
            <w:r w:rsidR="00487F11">
              <w:t>540</w:t>
            </w:r>
          </w:p>
        </w:tc>
        <w:tc>
          <w:tcPr>
            <w:tcW w:w="1068" w:type="dxa"/>
            <w:noWrap/>
            <w:hideMark/>
          </w:tcPr>
          <w:p w14:paraId="73E56CF9" w14:textId="396C3E45" w:rsidR="001E2147" w:rsidRPr="00504E12" w:rsidRDefault="00AC1D2D" w:rsidP="00F37F9D">
            <w:pPr>
              <w:jc w:val="center"/>
            </w:pPr>
            <w:r>
              <w:t>2.835</w:t>
            </w:r>
          </w:p>
        </w:tc>
      </w:tr>
      <w:tr w:rsidR="001E2147" w:rsidRPr="00E65036" w14:paraId="79267E89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65901F25" w14:textId="77777777" w:rsidR="001E2147" w:rsidRPr="008936F8" w:rsidRDefault="001E2147" w:rsidP="00F37F9D">
            <w:r w:rsidRPr="008936F8">
              <w:t>freshwater ecotoxicity potential (FETP)</w:t>
            </w:r>
          </w:p>
        </w:tc>
        <w:tc>
          <w:tcPr>
            <w:tcW w:w="1559" w:type="dxa"/>
            <w:noWrap/>
            <w:hideMark/>
          </w:tcPr>
          <w:p w14:paraId="6507ABCD" w14:textId="77777777" w:rsidR="001E2147" w:rsidRPr="00A3005E" w:rsidRDefault="001E2147" w:rsidP="00F37F9D">
            <w:r w:rsidRPr="00A3005E">
              <w:t>kg 1,4-DCB-Eq</w:t>
            </w:r>
          </w:p>
        </w:tc>
        <w:tc>
          <w:tcPr>
            <w:tcW w:w="1484" w:type="dxa"/>
            <w:noWrap/>
            <w:hideMark/>
          </w:tcPr>
          <w:p w14:paraId="7256BDBF" w14:textId="5B4CE740" w:rsidR="001E2147" w:rsidRPr="00DA2CBD" w:rsidRDefault="001E2147" w:rsidP="00F37F9D">
            <w:pPr>
              <w:jc w:val="center"/>
            </w:pPr>
            <w:r w:rsidRPr="00DA2CBD">
              <w:t>0.</w:t>
            </w:r>
            <w:r w:rsidR="00487F11">
              <w:t>170</w:t>
            </w:r>
          </w:p>
        </w:tc>
        <w:tc>
          <w:tcPr>
            <w:tcW w:w="1068" w:type="dxa"/>
            <w:noWrap/>
            <w:hideMark/>
          </w:tcPr>
          <w:p w14:paraId="04BA4645" w14:textId="694C6E7F" w:rsidR="001E2147" w:rsidRPr="00504E12" w:rsidRDefault="00396E4E" w:rsidP="00F37F9D">
            <w:pPr>
              <w:jc w:val="center"/>
            </w:pPr>
            <w:r>
              <w:t>0.0</w:t>
            </w:r>
            <w:r w:rsidR="00AC1D2D">
              <w:t>74</w:t>
            </w:r>
          </w:p>
        </w:tc>
      </w:tr>
      <w:tr w:rsidR="001E2147" w:rsidRPr="00E65036" w14:paraId="268CEA5A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54D133D2" w14:textId="77777777" w:rsidR="001E2147" w:rsidRPr="008936F8" w:rsidRDefault="001E2147" w:rsidP="00F37F9D">
            <w:r>
              <w:t>m</w:t>
            </w:r>
            <w:r w:rsidRPr="008936F8">
              <w:t>arine ecotoxicity potential (METP)</w:t>
            </w:r>
          </w:p>
        </w:tc>
        <w:tc>
          <w:tcPr>
            <w:tcW w:w="1559" w:type="dxa"/>
            <w:noWrap/>
            <w:hideMark/>
          </w:tcPr>
          <w:p w14:paraId="78BDE869" w14:textId="77777777" w:rsidR="001E2147" w:rsidRPr="00A3005E" w:rsidRDefault="001E2147" w:rsidP="00F37F9D">
            <w:r w:rsidRPr="00A3005E">
              <w:t>kg 1,4-DCB-Eq</w:t>
            </w:r>
          </w:p>
        </w:tc>
        <w:tc>
          <w:tcPr>
            <w:tcW w:w="1484" w:type="dxa"/>
            <w:noWrap/>
            <w:hideMark/>
          </w:tcPr>
          <w:p w14:paraId="2889FE48" w14:textId="2E09C257" w:rsidR="001E2147" w:rsidRPr="00DA2CBD" w:rsidRDefault="00396E4E" w:rsidP="00F37F9D">
            <w:pPr>
              <w:jc w:val="center"/>
            </w:pPr>
            <w:r>
              <w:t>0.</w:t>
            </w:r>
            <w:r w:rsidR="000572B3">
              <w:t>221</w:t>
            </w:r>
          </w:p>
        </w:tc>
        <w:tc>
          <w:tcPr>
            <w:tcW w:w="1068" w:type="dxa"/>
            <w:noWrap/>
            <w:hideMark/>
          </w:tcPr>
          <w:p w14:paraId="50ECC6A1" w14:textId="3437FAE5" w:rsidR="001E2147" w:rsidRPr="00504E12" w:rsidRDefault="001E2147" w:rsidP="00F37F9D">
            <w:pPr>
              <w:jc w:val="center"/>
            </w:pPr>
            <w:r w:rsidRPr="00504E12">
              <w:t>0.0</w:t>
            </w:r>
            <w:r w:rsidR="00AC1D2D">
              <w:t>96</w:t>
            </w:r>
          </w:p>
        </w:tc>
      </w:tr>
      <w:tr w:rsidR="001E2147" w:rsidRPr="00E65036" w14:paraId="684DC964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07074CB3" w14:textId="77777777" w:rsidR="001E2147" w:rsidRPr="008936F8" w:rsidRDefault="001E2147" w:rsidP="00F37F9D">
            <w:r w:rsidRPr="008936F8">
              <w:t>terrestrial ecotoxicity potential (TETP)</w:t>
            </w:r>
          </w:p>
        </w:tc>
        <w:tc>
          <w:tcPr>
            <w:tcW w:w="1559" w:type="dxa"/>
            <w:noWrap/>
            <w:hideMark/>
          </w:tcPr>
          <w:p w14:paraId="3E1625E0" w14:textId="77777777" w:rsidR="001E2147" w:rsidRPr="00A3005E" w:rsidRDefault="001E2147" w:rsidP="00F37F9D">
            <w:r w:rsidRPr="00A3005E">
              <w:t>kg 1,4-DCB-Eq</w:t>
            </w:r>
          </w:p>
        </w:tc>
        <w:tc>
          <w:tcPr>
            <w:tcW w:w="1484" w:type="dxa"/>
            <w:noWrap/>
            <w:hideMark/>
          </w:tcPr>
          <w:p w14:paraId="72B7DAB6" w14:textId="36678AA3" w:rsidR="001E2147" w:rsidRPr="00DA2CBD" w:rsidRDefault="000572B3" w:rsidP="00F37F9D">
            <w:pPr>
              <w:jc w:val="center"/>
            </w:pPr>
            <w:r>
              <w:t>6.888</w:t>
            </w:r>
          </w:p>
        </w:tc>
        <w:tc>
          <w:tcPr>
            <w:tcW w:w="1068" w:type="dxa"/>
            <w:noWrap/>
            <w:hideMark/>
          </w:tcPr>
          <w:p w14:paraId="124E7E3E" w14:textId="62A0E739" w:rsidR="001E2147" w:rsidRPr="00504E12" w:rsidRDefault="00AC1D2D" w:rsidP="00F37F9D">
            <w:pPr>
              <w:jc w:val="center"/>
            </w:pPr>
            <w:r>
              <w:t>3.312</w:t>
            </w:r>
          </w:p>
        </w:tc>
      </w:tr>
      <w:tr w:rsidR="001E2147" w:rsidRPr="00E65036" w14:paraId="1E0D3A45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0B33FC5D" w14:textId="77777777" w:rsidR="001E2147" w:rsidRPr="008936F8" w:rsidRDefault="001E2147" w:rsidP="00F37F9D">
            <w:bookmarkStart w:id="3" w:name="_Hlk151392184"/>
            <w:r w:rsidRPr="008936F8">
              <w:t>fossil fuel potential (FFP)</w:t>
            </w:r>
          </w:p>
        </w:tc>
        <w:tc>
          <w:tcPr>
            <w:tcW w:w="1559" w:type="dxa"/>
            <w:noWrap/>
            <w:hideMark/>
          </w:tcPr>
          <w:p w14:paraId="64653900" w14:textId="77777777" w:rsidR="001E2147" w:rsidRPr="00A3005E" w:rsidRDefault="001E2147" w:rsidP="00F37F9D">
            <w:bookmarkStart w:id="4" w:name="_Hlk151392211"/>
            <w:r w:rsidRPr="00A3005E">
              <w:t>kg oil-Eq</w:t>
            </w:r>
            <w:bookmarkEnd w:id="4"/>
          </w:p>
        </w:tc>
        <w:tc>
          <w:tcPr>
            <w:tcW w:w="1484" w:type="dxa"/>
            <w:noWrap/>
            <w:hideMark/>
          </w:tcPr>
          <w:p w14:paraId="1A489E34" w14:textId="51ED3AA8" w:rsidR="001E2147" w:rsidRPr="00DA2CBD" w:rsidRDefault="000572B3" w:rsidP="00F37F9D">
            <w:pPr>
              <w:jc w:val="center"/>
            </w:pPr>
            <w:r>
              <w:t>12.301</w:t>
            </w:r>
          </w:p>
        </w:tc>
        <w:tc>
          <w:tcPr>
            <w:tcW w:w="1068" w:type="dxa"/>
            <w:noWrap/>
            <w:hideMark/>
          </w:tcPr>
          <w:p w14:paraId="6EE9E543" w14:textId="07B3D115" w:rsidR="001E2147" w:rsidRPr="00504E12" w:rsidRDefault="00AC1D2D" w:rsidP="00F37F9D">
            <w:pPr>
              <w:jc w:val="center"/>
            </w:pPr>
            <w:r>
              <w:t>5.116</w:t>
            </w:r>
          </w:p>
        </w:tc>
      </w:tr>
      <w:bookmarkEnd w:id="3"/>
      <w:tr w:rsidR="001E2147" w:rsidRPr="00E65036" w14:paraId="65154700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159CB72B" w14:textId="77777777" w:rsidR="001E2147" w:rsidRPr="008936F8" w:rsidRDefault="001E2147" w:rsidP="00F37F9D">
            <w:r w:rsidRPr="008936F8">
              <w:t>human toxicity potential (</w:t>
            </w:r>
            <w:proofErr w:type="spellStart"/>
            <w:r w:rsidRPr="008936F8">
              <w:t>HTPc</w:t>
            </w:r>
            <w:proofErr w:type="spellEnd"/>
            <w:r w:rsidRPr="008936F8">
              <w:t>)</w:t>
            </w:r>
          </w:p>
        </w:tc>
        <w:tc>
          <w:tcPr>
            <w:tcW w:w="1559" w:type="dxa"/>
            <w:noWrap/>
            <w:hideMark/>
          </w:tcPr>
          <w:p w14:paraId="382BB8D3" w14:textId="77777777" w:rsidR="001E2147" w:rsidRPr="00A3005E" w:rsidRDefault="001E2147" w:rsidP="00F37F9D">
            <w:r w:rsidRPr="00A3005E">
              <w:t>kg 1,4-DCB-Eq</w:t>
            </w:r>
          </w:p>
        </w:tc>
        <w:tc>
          <w:tcPr>
            <w:tcW w:w="1484" w:type="dxa"/>
            <w:noWrap/>
            <w:hideMark/>
          </w:tcPr>
          <w:p w14:paraId="005E4615" w14:textId="290A560A" w:rsidR="001E2147" w:rsidRPr="00DA2CBD" w:rsidRDefault="00396E4E" w:rsidP="00F37F9D">
            <w:pPr>
              <w:jc w:val="center"/>
            </w:pPr>
            <w:r>
              <w:t>0.</w:t>
            </w:r>
            <w:r w:rsidR="000572B3">
              <w:t>116</w:t>
            </w:r>
          </w:p>
        </w:tc>
        <w:tc>
          <w:tcPr>
            <w:tcW w:w="1068" w:type="dxa"/>
            <w:noWrap/>
            <w:hideMark/>
          </w:tcPr>
          <w:p w14:paraId="3BB3356C" w14:textId="1868D671" w:rsidR="001E2147" w:rsidRPr="00504E12" w:rsidRDefault="00396E4E" w:rsidP="00F37F9D">
            <w:pPr>
              <w:jc w:val="center"/>
            </w:pPr>
            <w:r>
              <w:t>0.0</w:t>
            </w:r>
            <w:r w:rsidR="00AC1D2D">
              <w:t>55</w:t>
            </w:r>
          </w:p>
        </w:tc>
      </w:tr>
      <w:tr w:rsidR="001E2147" w:rsidRPr="00E65036" w14:paraId="20A24C48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7C51C042" w14:textId="77777777" w:rsidR="001E2147" w:rsidRPr="008936F8" w:rsidRDefault="001E2147" w:rsidP="00F37F9D">
            <w:r w:rsidRPr="008936F8">
              <w:t>human toxicity potential (</w:t>
            </w:r>
            <w:proofErr w:type="spellStart"/>
            <w:r w:rsidRPr="008936F8">
              <w:t>HTPnc</w:t>
            </w:r>
            <w:proofErr w:type="spellEnd"/>
            <w:r w:rsidRPr="008936F8">
              <w:t>)</w:t>
            </w:r>
          </w:p>
        </w:tc>
        <w:tc>
          <w:tcPr>
            <w:tcW w:w="1559" w:type="dxa"/>
            <w:noWrap/>
            <w:hideMark/>
          </w:tcPr>
          <w:p w14:paraId="6749AE71" w14:textId="77777777" w:rsidR="001E2147" w:rsidRPr="00A3005E" w:rsidRDefault="001E2147" w:rsidP="00F37F9D">
            <w:r w:rsidRPr="00A3005E">
              <w:t>kg 1,4-DCB-Eq</w:t>
            </w:r>
          </w:p>
        </w:tc>
        <w:tc>
          <w:tcPr>
            <w:tcW w:w="1484" w:type="dxa"/>
            <w:noWrap/>
            <w:hideMark/>
          </w:tcPr>
          <w:p w14:paraId="10B618AB" w14:textId="09B5D7D4" w:rsidR="001E2147" w:rsidRPr="00DA2CBD" w:rsidRDefault="000572B3" w:rsidP="00F37F9D">
            <w:pPr>
              <w:jc w:val="center"/>
            </w:pPr>
            <w:r>
              <w:t>5.631</w:t>
            </w:r>
          </w:p>
        </w:tc>
        <w:tc>
          <w:tcPr>
            <w:tcW w:w="1068" w:type="dxa"/>
            <w:noWrap/>
            <w:hideMark/>
          </w:tcPr>
          <w:p w14:paraId="34DD1603" w14:textId="08F76F4B" w:rsidR="001E2147" w:rsidRPr="00504E12" w:rsidRDefault="00AC1D2D" w:rsidP="00F37F9D">
            <w:pPr>
              <w:jc w:val="center"/>
            </w:pPr>
            <w:r>
              <w:t>2.351</w:t>
            </w:r>
          </w:p>
        </w:tc>
      </w:tr>
      <w:tr w:rsidR="001E2147" w:rsidRPr="00E65036" w14:paraId="3596CFA8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0D551BCF" w14:textId="77777777" w:rsidR="001E2147" w:rsidRPr="008936F8" w:rsidRDefault="001E2147" w:rsidP="00F37F9D">
            <w:proofErr w:type="spellStart"/>
            <w:r w:rsidRPr="008936F8">
              <w:t>ionising</w:t>
            </w:r>
            <w:proofErr w:type="spellEnd"/>
            <w:r w:rsidRPr="008936F8">
              <w:t xml:space="preserve"> radiation potential (IRP)</w:t>
            </w:r>
          </w:p>
        </w:tc>
        <w:tc>
          <w:tcPr>
            <w:tcW w:w="1559" w:type="dxa"/>
            <w:noWrap/>
            <w:hideMark/>
          </w:tcPr>
          <w:p w14:paraId="151889C7" w14:textId="77777777" w:rsidR="001E2147" w:rsidRPr="00A3005E" w:rsidRDefault="001E2147" w:rsidP="00F37F9D">
            <w:proofErr w:type="spellStart"/>
            <w:r w:rsidRPr="00A3005E">
              <w:t>kBq</w:t>
            </w:r>
            <w:proofErr w:type="spellEnd"/>
            <w:r w:rsidRPr="00A3005E">
              <w:t xml:space="preserve"> Co-60-Eq</w:t>
            </w:r>
          </w:p>
        </w:tc>
        <w:tc>
          <w:tcPr>
            <w:tcW w:w="1484" w:type="dxa"/>
            <w:noWrap/>
            <w:hideMark/>
          </w:tcPr>
          <w:p w14:paraId="696A45E5" w14:textId="483C780E" w:rsidR="001E2147" w:rsidRPr="00DA2CBD" w:rsidRDefault="001E2147" w:rsidP="00F37F9D">
            <w:pPr>
              <w:jc w:val="center"/>
            </w:pPr>
            <w:r w:rsidRPr="00DA2CBD">
              <w:t>0.0</w:t>
            </w:r>
            <w:r w:rsidR="000572B3">
              <w:t>81</w:t>
            </w:r>
          </w:p>
        </w:tc>
        <w:tc>
          <w:tcPr>
            <w:tcW w:w="1068" w:type="dxa"/>
            <w:noWrap/>
            <w:hideMark/>
          </w:tcPr>
          <w:p w14:paraId="2D0861A5" w14:textId="1046299C" w:rsidR="001E2147" w:rsidRPr="00504E12" w:rsidRDefault="00396E4E" w:rsidP="00F37F9D">
            <w:pPr>
              <w:jc w:val="center"/>
            </w:pPr>
            <w:r>
              <w:t>0.0</w:t>
            </w:r>
            <w:r w:rsidR="00AC1D2D">
              <w:t>35</w:t>
            </w:r>
          </w:p>
        </w:tc>
      </w:tr>
      <w:tr w:rsidR="001E2147" w:rsidRPr="00E65036" w14:paraId="09CFE64B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75A93C44" w14:textId="77777777" w:rsidR="001E2147" w:rsidRPr="008936F8" w:rsidRDefault="001E2147" w:rsidP="00F37F9D">
            <w:r w:rsidRPr="008936F8">
              <w:t>land use - agricultural land occupation (LOP)</w:t>
            </w:r>
          </w:p>
        </w:tc>
        <w:tc>
          <w:tcPr>
            <w:tcW w:w="1559" w:type="dxa"/>
            <w:noWrap/>
            <w:hideMark/>
          </w:tcPr>
          <w:p w14:paraId="7879ED8B" w14:textId="77777777" w:rsidR="001E2147" w:rsidRPr="00A3005E" w:rsidRDefault="001E2147" w:rsidP="00F37F9D">
            <w:r w:rsidRPr="00A3005E">
              <w:t>m</w:t>
            </w:r>
            <w:r w:rsidRPr="00D918A6">
              <w:rPr>
                <w:vertAlign w:val="superscript"/>
              </w:rPr>
              <w:t>2</w:t>
            </w:r>
            <w:r w:rsidRPr="00A3005E">
              <w:t>*a crop-Eq</w:t>
            </w:r>
          </w:p>
        </w:tc>
        <w:tc>
          <w:tcPr>
            <w:tcW w:w="1484" w:type="dxa"/>
            <w:noWrap/>
            <w:hideMark/>
          </w:tcPr>
          <w:p w14:paraId="789ADC9D" w14:textId="160EF12C" w:rsidR="001E2147" w:rsidRPr="00DA2CBD" w:rsidRDefault="00396E4E" w:rsidP="00F37F9D">
            <w:pPr>
              <w:jc w:val="center"/>
            </w:pPr>
            <w:r>
              <w:t>0.0</w:t>
            </w:r>
            <w:r w:rsidR="000572B3">
              <w:t>40</w:t>
            </w:r>
          </w:p>
        </w:tc>
        <w:tc>
          <w:tcPr>
            <w:tcW w:w="1068" w:type="dxa"/>
            <w:noWrap/>
            <w:hideMark/>
          </w:tcPr>
          <w:p w14:paraId="680E5B42" w14:textId="6EB6F28D" w:rsidR="001E2147" w:rsidRPr="00504E12" w:rsidRDefault="00396E4E" w:rsidP="00F37F9D">
            <w:pPr>
              <w:jc w:val="center"/>
            </w:pPr>
            <w:r>
              <w:t>0.01</w:t>
            </w:r>
            <w:r w:rsidR="00AC1D2D">
              <w:t>8</w:t>
            </w:r>
          </w:p>
        </w:tc>
      </w:tr>
      <w:tr w:rsidR="001E2147" w:rsidRPr="00E65036" w14:paraId="7C04EAAE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07C293A1" w14:textId="77777777" w:rsidR="001E2147" w:rsidRPr="008936F8" w:rsidRDefault="001E2147" w:rsidP="00F37F9D">
            <w:r w:rsidRPr="008936F8">
              <w:t>surplus ore potential (SOP)</w:t>
            </w:r>
          </w:p>
        </w:tc>
        <w:tc>
          <w:tcPr>
            <w:tcW w:w="1559" w:type="dxa"/>
            <w:noWrap/>
            <w:hideMark/>
          </w:tcPr>
          <w:p w14:paraId="4EA64CCC" w14:textId="77777777" w:rsidR="001E2147" w:rsidRPr="00A3005E" w:rsidRDefault="001E2147" w:rsidP="00F37F9D">
            <w:r w:rsidRPr="00A3005E">
              <w:t>kg Cu-Eq</w:t>
            </w:r>
          </w:p>
        </w:tc>
        <w:tc>
          <w:tcPr>
            <w:tcW w:w="1484" w:type="dxa"/>
            <w:noWrap/>
            <w:hideMark/>
          </w:tcPr>
          <w:p w14:paraId="5CDD089F" w14:textId="67A40F4E" w:rsidR="001E2147" w:rsidRPr="00DA2CBD" w:rsidRDefault="001E2147" w:rsidP="00F37F9D">
            <w:pPr>
              <w:jc w:val="center"/>
            </w:pPr>
            <w:r w:rsidRPr="00DA2CBD">
              <w:t>0.</w:t>
            </w:r>
            <w:r w:rsidR="000572B3">
              <w:t>331</w:t>
            </w:r>
          </w:p>
        </w:tc>
        <w:tc>
          <w:tcPr>
            <w:tcW w:w="1068" w:type="dxa"/>
            <w:noWrap/>
            <w:hideMark/>
          </w:tcPr>
          <w:p w14:paraId="26A0A5CA" w14:textId="7B9D33FA" w:rsidR="001E2147" w:rsidRPr="00504E12" w:rsidRDefault="001E2147" w:rsidP="00F37F9D">
            <w:pPr>
              <w:jc w:val="center"/>
            </w:pPr>
            <w:r w:rsidRPr="00504E12">
              <w:t>0.</w:t>
            </w:r>
            <w:bookmarkStart w:id="5" w:name="_GoBack"/>
            <w:bookmarkEnd w:id="5"/>
            <w:r w:rsidR="00AC1D2D">
              <w:t>159</w:t>
            </w:r>
          </w:p>
        </w:tc>
      </w:tr>
      <w:tr w:rsidR="001E2147" w:rsidRPr="00E65036" w14:paraId="4AD4C2F0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6621B7CC" w14:textId="77777777" w:rsidR="001E2147" w:rsidRPr="008936F8" w:rsidRDefault="001E2147" w:rsidP="00F37F9D">
            <w:r w:rsidRPr="008936F8">
              <w:t>particulate matter formation potential (PMFP)</w:t>
            </w:r>
          </w:p>
        </w:tc>
        <w:tc>
          <w:tcPr>
            <w:tcW w:w="1559" w:type="dxa"/>
            <w:noWrap/>
            <w:hideMark/>
          </w:tcPr>
          <w:p w14:paraId="3694F184" w14:textId="77777777" w:rsidR="001E2147" w:rsidRPr="00A3005E" w:rsidRDefault="001E2147" w:rsidP="00F37F9D">
            <w:r w:rsidRPr="00A3005E">
              <w:t>kg PM2.5-Eq</w:t>
            </w:r>
          </w:p>
        </w:tc>
        <w:tc>
          <w:tcPr>
            <w:tcW w:w="1484" w:type="dxa"/>
            <w:noWrap/>
            <w:hideMark/>
          </w:tcPr>
          <w:p w14:paraId="0B0217B8" w14:textId="045AE837" w:rsidR="001E2147" w:rsidRPr="00DA2CBD" w:rsidRDefault="001E2147" w:rsidP="00F37F9D">
            <w:pPr>
              <w:jc w:val="center"/>
            </w:pPr>
            <w:r w:rsidRPr="00DA2CBD">
              <w:t>0.0</w:t>
            </w:r>
            <w:r w:rsidR="000572B3">
              <w:t>06</w:t>
            </w:r>
          </w:p>
        </w:tc>
        <w:tc>
          <w:tcPr>
            <w:tcW w:w="1068" w:type="dxa"/>
            <w:noWrap/>
            <w:hideMark/>
          </w:tcPr>
          <w:p w14:paraId="6A549B3F" w14:textId="1294D37C" w:rsidR="001E2147" w:rsidRPr="00504E12" w:rsidRDefault="001E2147" w:rsidP="00F37F9D">
            <w:pPr>
              <w:jc w:val="center"/>
            </w:pPr>
            <w:r w:rsidRPr="00504E12">
              <w:t>0.00</w:t>
            </w:r>
            <w:r w:rsidR="00AC1D2D">
              <w:t>3</w:t>
            </w:r>
          </w:p>
        </w:tc>
      </w:tr>
      <w:tr w:rsidR="001E2147" w:rsidRPr="00E65036" w14:paraId="4FBFF82B" w14:textId="77777777" w:rsidTr="002C7927">
        <w:trPr>
          <w:trHeight w:val="253"/>
        </w:trPr>
        <w:tc>
          <w:tcPr>
            <w:tcW w:w="4536" w:type="dxa"/>
            <w:noWrap/>
            <w:hideMark/>
          </w:tcPr>
          <w:p w14:paraId="515C6DBB" w14:textId="77777777" w:rsidR="001E2147" w:rsidRDefault="001E2147" w:rsidP="00F37F9D">
            <w:bookmarkStart w:id="6" w:name="_Hlk151393149"/>
            <w:r w:rsidRPr="008936F8">
              <w:t>water use - water consumption potential (WCP)</w:t>
            </w:r>
          </w:p>
        </w:tc>
        <w:tc>
          <w:tcPr>
            <w:tcW w:w="1559" w:type="dxa"/>
            <w:noWrap/>
            <w:hideMark/>
          </w:tcPr>
          <w:p w14:paraId="61EA7EEA" w14:textId="77777777" w:rsidR="001E2147" w:rsidRDefault="001E2147" w:rsidP="00F37F9D">
            <w:r w:rsidRPr="00A3005E">
              <w:t>m</w:t>
            </w:r>
            <w:r w:rsidRPr="00D918A6">
              <w:rPr>
                <w:vertAlign w:val="superscript"/>
              </w:rPr>
              <w:t>3</w:t>
            </w:r>
          </w:p>
        </w:tc>
        <w:tc>
          <w:tcPr>
            <w:tcW w:w="1484" w:type="dxa"/>
            <w:noWrap/>
            <w:hideMark/>
          </w:tcPr>
          <w:p w14:paraId="7C13CAFE" w14:textId="35394CF8" w:rsidR="001E2147" w:rsidRDefault="001E2147" w:rsidP="00F37F9D">
            <w:pPr>
              <w:jc w:val="center"/>
            </w:pPr>
            <w:r w:rsidRPr="00DA2CBD">
              <w:t>0.0</w:t>
            </w:r>
            <w:r w:rsidR="000572B3">
              <w:t>32</w:t>
            </w:r>
          </w:p>
        </w:tc>
        <w:tc>
          <w:tcPr>
            <w:tcW w:w="1068" w:type="dxa"/>
            <w:noWrap/>
            <w:hideMark/>
          </w:tcPr>
          <w:p w14:paraId="1E5F795F" w14:textId="4B448FDD" w:rsidR="001E2147" w:rsidRDefault="00396E4E" w:rsidP="00F37F9D">
            <w:pPr>
              <w:jc w:val="center"/>
            </w:pPr>
            <w:r>
              <w:t>0.0</w:t>
            </w:r>
            <w:r w:rsidR="00AC1D2D">
              <w:t>16</w:t>
            </w:r>
          </w:p>
        </w:tc>
      </w:tr>
    </w:tbl>
    <w:bookmarkEnd w:id="2"/>
    <w:bookmarkEnd w:id="6"/>
    <w:p w14:paraId="633181DF" w14:textId="2C6CCAFF" w:rsidR="001E2147" w:rsidRDefault="001E2147" w:rsidP="003751B8">
      <w:pPr>
        <w:pStyle w:val="Els-body-text"/>
        <w:spacing w:after="60"/>
      </w:pPr>
      <w:r>
        <w:lastRenderedPageBreak/>
        <w:t>The total energy consu</w:t>
      </w:r>
      <w:r w:rsidR="00126DC1">
        <w:t xml:space="preserve">mption for processes I and </w:t>
      </w:r>
      <w:r w:rsidR="00C5753A">
        <w:t xml:space="preserve">II are </w:t>
      </w:r>
      <w:r w:rsidR="00A657D3">
        <w:t>2.88</w:t>
      </w:r>
      <w:r w:rsidR="00C5753A">
        <w:t xml:space="preserve"> MJ and </w:t>
      </w:r>
      <w:r w:rsidR="00A657D3">
        <w:t>2.05</w:t>
      </w:r>
      <w:r w:rsidR="00C5753A">
        <w:t xml:space="preserve"> </w:t>
      </w:r>
      <w:r>
        <w:t>MJ</w:t>
      </w:r>
      <w:r w:rsidR="00A657D3">
        <w:t xml:space="preserve"> per kg of succinic acid </w:t>
      </w:r>
      <w:r w:rsidR="00001A1C">
        <w:t xml:space="preserve">respectively </w:t>
      </w:r>
      <w:r w:rsidR="00A657D3">
        <w:t xml:space="preserve">as heat </w:t>
      </w:r>
      <w:r w:rsidR="00B47624">
        <w:t xml:space="preserve">recovery </w:t>
      </w:r>
      <w:r w:rsidR="00A657D3">
        <w:t>is incorporated in the both processes</w:t>
      </w:r>
      <w:r w:rsidR="00F645C2">
        <w:t xml:space="preserve">. </w:t>
      </w:r>
      <w:r>
        <w:t>It is observed that the envir</w:t>
      </w:r>
      <w:r w:rsidR="00126DC1">
        <w:t>onmental impacts of process I are</w:t>
      </w:r>
      <w:r>
        <w:t xml:space="preserve"> more than that of process II. </w:t>
      </w:r>
      <w:r w:rsidR="00126DC1">
        <w:t>The i</w:t>
      </w:r>
      <w:r>
        <w:t>nitial feed requirement for process I is higher than process II. There are two eva</w:t>
      </w:r>
      <w:r w:rsidR="00126DC1">
        <w:t xml:space="preserve">poration processes in process I, </w:t>
      </w:r>
      <w:r>
        <w:t>which resulted in</w:t>
      </w:r>
      <w:r w:rsidR="00126DC1">
        <w:t xml:space="preserve"> higher energy consumption compared to</w:t>
      </w:r>
      <w:r>
        <w:t xml:space="preserve"> process II. The water potential is high for process I as the process requires</w:t>
      </w:r>
      <w:r w:rsidR="00126DC1">
        <w:t xml:space="preserve"> a</w:t>
      </w:r>
      <w:r>
        <w:t xml:space="preserve"> higher amount of water for steam generation and</w:t>
      </w:r>
      <w:r w:rsidR="0047792B">
        <w:t xml:space="preserve"> for the cultivation of cyanobacteria</w:t>
      </w:r>
      <w:r>
        <w:t>. GWP of f</w:t>
      </w:r>
      <w:r w:rsidRPr="004B2A2D">
        <w:t xml:space="preserve">ossil-based </w:t>
      </w:r>
      <w:r>
        <w:t>succinic acid</w:t>
      </w:r>
      <w:r w:rsidRPr="004B2A2D">
        <w:t xml:space="preserve"> production process </w:t>
      </w:r>
      <w:r>
        <w:t xml:space="preserve">is </w:t>
      </w:r>
      <w:r w:rsidRPr="004B2A2D">
        <w:t>1.94 kg CO</w:t>
      </w:r>
      <w:r w:rsidRPr="004B2A2D">
        <w:rPr>
          <w:vertAlign w:val="subscript"/>
        </w:rPr>
        <w:t xml:space="preserve">2 </w:t>
      </w:r>
      <w:r w:rsidRPr="004B2A2D">
        <w:t>eq</w:t>
      </w:r>
      <w:r>
        <w:t>/ kg of succinic acid</w:t>
      </w:r>
      <w:r w:rsidR="00E705C4">
        <w:t xml:space="preserve"> which</w:t>
      </w:r>
      <w:r w:rsidR="00C206D8">
        <w:t xml:space="preserve"> is</w:t>
      </w:r>
      <w:r w:rsidR="00E705C4">
        <w:t xml:space="preserve"> lower than the </w:t>
      </w:r>
      <w:r w:rsidR="00C206D8">
        <w:t>processes considered in this study</w:t>
      </w:r>
      <w:r>
        <w:t>.</w:t>
      </w:r>
      <w:r w:rsidR="00C206D8">
        <w:t xml:space="preserve"> The impacts </w:t>
      </w:r>
      <w:r w:rsidR="00A3089A">
        <w:t xml:space="preserve">of the both methods </w:t>
      </w:r>
      <w:r w:rsidR="00C206D8">
        <w:t xml:space="preserve">can be further reduced by improving the </w:t>
      </w:r>
      <w:r w:rsidR="00A3089A">
        <w:t>process operating conditions.</w:t>
      </w:r>
      <w:r w:rsidR="00C206D8">
        <w:t xml:space="preserve"> </w:t>
      </w:r>
    </w:p>
    <w:p w14:paraId="0439B671" w14:textId="4421F247" w:rsidR="00BF39B6" w:rsidRDefault="00F06623" w:rsidP="00BF39B6">
      <w:pPr>
        <w:pStyle w:val="Els-body-text"/>
        <w:spacing w:before="240"/>
      </w:pPr>
      <w:r>
        <w:t>Figure 3 provides the impact contribution of Process I. 7</w:t>
      </w:r>
      <w:r w:rsidR="0020788C">
        <w:t>3</w:t>
      </w:r>
      <w:r>
        <w:t xml:space="preserve"> % of GWP100</w:t>
      </w:r>
      <w:r w:rsidR="0020788C">
        <w:t xml:space="preserve"> and </w:t>
      </w:r>
      <w:r>
        <w:t>9</w:t>
      </w:r>
      <w:r w:rsidR="0020788C">
        <w:t>4</w:t>
      </w:r>
      <w:r>
        <w:t xml:space="preserve"> % of FFP is due to the </w:t>
      </w:r>
      <w:bookmarkStart w:id="7" w:name="_Hlk154417913"/>
      <w:r>
        <w:t>feed evaporation</w:t>
      </w:r>
      <w:bookmarkEnd w:id="7"/>
      <w:r>
        <w:t>. Natural gas is the source of energy for evaporation</w:t>
      </w:r>
      <w:r w:rsidR="00126DC1">
        <w:t>. 4</w:t>
      </w:r>
      <w:r w:rsidR="0020788C">
        <w:t>5</w:t>
      </w:r>
      <w:r w:rsidR="00126DC1">
        <w:t xml:space="preserve"> % of the WCP</w:t>
      </w:r>
      <w:r w:rsidR="0020788C">
        <w:t xml:space="preserve"> and 77 % of TETP</w:t>
      </w:r>
      <w:r w:rsidR="00126DC1">
        <w:t xml:space="preserve"> contributed </w:t>
      </w:r>
      <w:r w:rsidR="0020788C">
        <w:t xml:space="preserve">by the cyanobacterial cultivation due to the </w:t>
      </w:r>
      <w:r w:rsidR="00B9730F">
        <w:t>use of chemicals for BG-11 media preparation</w:t>
      </w:r>
      <w:r w:rsidR="0020788C">
        <w:t>.</w:t>
      </w:r>
    </w:p>
    <w:p w14:paraId="680242E2" w14:textId="50DE75BB" w:rsidR="00BF39B6" w:rsidRDefault="00E321C0" w:rsidP="00291758">
      <w:pPr>
        <w:pStyle w:val="Els-body-text"/>
        <w:spacing w:before="240"/>
        <w:jc w:val="center"/>
      </w:pPr>
      <w:r>
        <w:rPr>
          <w:noProof/>
        </w:rPr>
        <w:drawing>
          <wp:inline distT="0" distB="0" distL="0" distR="0" wp14:anchorId="3D405D25" wp14:editId="314AF109">
            <wp:extent cx="3859777" cy="28800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777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0A729" w14:textId="6A917A23" w:rsidR="00F06623" w:rsidRDefault="00BF39B6" w:rsidP="00BF39B6">
      <w:pPr>
        <w:pStyle w:val="Els-body-text"/>
        <w:jc w:val="center"/>
      </w:pPr>
      <w:r>
        <w:t>Figure 3</w:t>
      </w:r>
      <w:r w:rsidR="003751B8">
        <w:t>.</w:t>
      </w:r>
      <w:r>
        <w:t xml:space="preserve"> Impact contribution of Process I</w:t>
      </w:r>
    </w:p>
    <w:p w14:paraId="5AD53E15" w14:textId="77777777" w:rsidR="00BF39B6" w:rsidRDefault="00BF39B6" w:rsidP="00BF39B6">
      <w:pPr>
        <w:pStyle w:val="Els-body-text"/>
        <w:spacing w:before="240"/>
        <w:jc w:val="center"/>
      </w:pPr>
    </w:p>
    <w:p w14:paraId="58C51ED0" w14:textId="4607ABCF" w:rsidR="001F302B" w:rsidRDefault="00126DC1" w:rsidP="00F06623">
      <w:pPr>
        <w:pStyle w:val="Els-body-text"/>
        <w:spacing w:after="60"/>
      </w:pPr>
      <w:r>
        <w:t>The i</w:t>
      </w:r>
      <w:r w:rsidR="00D248CA">
        <w:t>mpact contribution of process II is provided in Figure 4. The highest contributor towards GWP100</w:t>
      </w:r>
      <w:r w:rsidR="005B32A7">
        <w:t xml:space="preserve"> (6</w:t>
      </w:r>
      <w:r w:rsidR="009879E7">
        <w:t xml:space="preserve">9 </w:t>
      </w:r>
      <w:r w:rsidR="005B32A7">
        <w:t>%)</w:t>
      </w:r>
      <w:r w:rsidR="00D248CA">
        <w:t>, FFP</w:t>
      </w:r>
      <w:r w:rsidR="005B32A7">
        <w:t xml:space="preserve"> (</w:t>
      </w:r>
      <w:r w:rsidR="009879E7">
        <w:t xml:space="preserve">92 %) </w:t>
      </w:r>
      <w:r w:rsidR="00D248CA">
        <w:t xml:space="preserve">is the </w:t>
      </w:r>
      <w:r w:rsidR="00E00DB1">
        <w:t>feed evaporation</w:t>
      </w:r>
      <w:r w:rsidR="00E00DB1" w:rsidDel="00E00DB1">
        <w:t xml:space="preserve"> </w:t>
      </w:r>
      <w:r w:rsidR="00D248CA">
        <w:t>stage</w:t>
      </w:r>
      <w:r w:rsidR="00E00DB1">
        <w:t xml:space="preserve"> due to the use of natural gas as fuel source</w:t>
      </w:r>
      <w:r w:rsidR="00D248CA">
        <w:t>.</w:t>
      </w:r>
      <w:r w:rsidR="00E00DB1">
        <w:t xml:space="preserve"> The cultivation of cyanobacteria contributed towards </w:t>
      </w:r>
      <w:r w:rsidR="009879E7">
        <w:t>WCP (</w:t>
      </w:r>
      <w:r w:rsidR="00E00DB1">
        <w:t>44</w:t>
      </w:r>
      <w:r w:rsidR="009879E7">
        <w:t xml:space="preserve"> %) and TETP (</w:t>
      </w:r>
      <w:r w:rsidR="00E00DB1">
        <w:t>73</w:t>
      </w:r>
      <w:r w:rsidR="009879E7">
        <w:t xml:space="preserve"> %)</w:t>
      </w:r>
      <w:r w:rsidR="00E00DB1">
        <w:t xml:space="preserve"> as similar to Process I. The cultivation stage requires huge amount of water and nutrients for the growth of cyanobacteria.</w:t>
      </w:r>
    </w:p>
    <w:p w14:paraId="1CEAAEA5" w14:textId="3EDBC696" w:rsidR="00B0266C" w:rsidRDefault="00B0266C" w:rsidP="003065B5">
      <w:pPr>
        <w:pStyle w:val="Els-body-text"/>
        <w:spacing w:before="240" w:after="60"/>
        <w:rPr>
          <w:noProof/>
          <w:lang w:val="en-IN" w:eastAsia="en-IN"/>
        </w:rPr>
      </w:pPr>
    </w:p>
    <w:p w14:paraId="375180AF" w14:textId="5CBA98F2" w:rsidR="00291758" w:rsidRDefault="00487F11" w:rsidP="00291758">
      <w:pPr>
        <w:pStyle w:val="Els-body-text"/>
        <w:spacing w:before="240" w:after="60"/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6B7E7231" wp14:editId="624D100C">
            <wp:extent cx="3857625" cy="28796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955" cy="288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21B5C" w14:textId="2C407CDD" w:rsidR="00291758" w:rsidRDefault="00291758" w:rsidP="00291758">
      <w:pPr>
        <w:pStyle w:val="Els-body-text"/>
        <w:jc w:val="center"/>
      </w:pPr>
      <w:r>
        <w:t>Figure 4. Impact contribution of Process II</w:t>
      </w:r>
    </w:p>
    <w:p w14:paraId="144DE6AE" w14:textId="736F0AB7" w:rsidR="008D2649" w:rsidRDefault="00CB320D" w:rsidP="003065B5">
      <w:pPr>
        <w:pStyle w:val="Els-1storder-head"/>
      </w:pPr>
      <w:r>
        <w:t>Conclusions</w:t>
      </w:r>
    </w:p>
    <w:p w14:paraId="2D3EBE87" w14:textId="0A093E07" w:rsidR="00A24BA4" w:rsidRDefault="000B4F7B" w:rsidP="009F5414">
      <w:pPr>
        <w:pStyle w:val="Els-body-text"/>
      </w:pPr>
      <w:r>
        <w:t xml:space="preserve">In this </w:t>
      </w:r>
      <w:r w:rsidR="003065B5">
        <w:t>work, the downstream processes for the p</w:t>
      </w:r>
      <w:r w:rsidR="001F44E2">
        <w:t xml:space="preserve">roduction of succinic acid from the </w:t>
      </w:r>
      <w:r w:rsidR="003065B5">
        <w:t>cyanobacterial system ha</w:t>
      </w:r>
      <w:r w:rsidR="001F44E2">
        <w:t>ve</w:t>
      </w:r>
      <w:r w:rsidR="003065B5">
        <w:t xml:space="preserve"> been designed and simulated in ASPEN Plus software. Cradle to gate life cycle assessment of cyanobacterial succinic acid production has </w:t>
      </w:r>
      <w:bookmarkStart w:id="8" w:name="_Hlk151404669"/>
      <w:r w:rsidR="00AA456E">
        <w:t>conducted.</w:t>
      </w:r>
      <w:r w:rsidR="00AA456E" w:rsidRPr="00A24BA4">
        <w:t xml:space="preserve"> Energy</w:t>
      </w:r>
      <w:r w:rsidR="00A24BA4" w:rsidRPr="00A24BA4">
        <w:t xml:space="preserve"> consumption is highest f</w:t>
      </w:r>
      <w:r w:rsidR="001F44E2">
        <w:t xml:space="preserve">or the feed evaporation process, </w:t>
      </w:r>
      <w:r w:rsidR="00A24BA4" w:rsidRPr="00A24BA4">
        <w:t xml:space="preserve">and it contributed most to the total </w:t>
      </w:r>
      <w:r w:rsidR="00A24BA4">
        <w:t>impacts in process I</w:t>
      </w:r>
      <w:bookmarkEnd w:id="8"/>
      <w:r w:rsidR="008527FF">
        <w:t xml:space="preserve"> and II</w:t>
      </w:r>
      <w:r w:rsidR="009F5414">
        <w:t xml:space="preserve">. </w:t>
      </w:r>
      <w:r w:rsidR="008527FF">
        <w:t xml:space="preserve">FFP is highest for the feed evaporation stage for both processes as natural gas is used as fuel for steam generation. </w:t>
      </w:r>
      <w:r w:rsidR="009F5414" w:rsidRPr="009F5414">
        <w:t>En</w:t>
      </w:r>
      <w:r w:rsidR="009F5414" w:rsidRPr="001F44E2">
        <w:t>vironmental</w:t>
      </w:r>
      <w:r w:rsidR="001F44E2" w:rsidRPr="001F44E2">
        <w:t xml:space="preserve"> impacts are high for process I due to the large feed requirement, indicating that process II is more efficient than process I</w:t>
      </w:r>
      <w:r w:rsidR="009F5414">
        <w:t xml:space="preserve">. </w:t>
      </w:r>
      <w:r w:rsidR="00001A1C">
        <w:t xml:space="preserve">The </w:t>
      </w:r>
      <w:r w:rsidR="00A24BA4" w:rsidRPr="00A24BA4">
        <w:t xml:space="preserve">climate change impact </w:t>
      </w:r>
      <w:r w:rsidR="00001A1C">
        <w:t>for both processes are high</w:t>
      </w:r>
      <w:r w:rsidR="00A24BA4" w:rsidRPr="00A24BA4">
        <w:t xml:space="preserve"> when compared with the conventional petroleum route succinic acid production.</w:t>
      </w:r>
    </w:p>
    <w:p w14:paraId="28872873" w14:textId="77777777" w:rsidR="009F5414" w:rsidRDefault="009F5414" w:rsidP="009F5414">
      <w:pPr>
        <w:pStyle w:val="Els-body-text"/>
      </w:pPr>
    </w:p>
    <w:p w14:paraId="3C3418AF" w14:textId="5EC2945D" w:rsidR="00EC14CA" w:rsidRPr="000B4F7B" w:rsidRDefault="00EC14CA" w:rsidP="009F5414">
      <w:pPr>
        <w:pStyle w:val="Els-body-text"/>
      </w:pPr>
      <w:r>
        <w:t xml:space="preserve">The work is being extended to perform techno-economic feasibility for the two processes which will provide concrete recommendations for scale-up. Opportunities to improve the economic and environmental performance are also being identified. </w:t>
      </w:r>
    </w:p>
    <w:p w14:paraId="144DE6BF" w14:textId="6A575AAB" w:rsidR="008D2649" w:rsidRDefault="008D2649" w:rsidP="003065B5">
      <w:pPr>
        <w:pStyle w:val="Els-reference-head"/>
      </w:pPr>
      <w:r>
        <w:t>References</w:t>
      </w:r>
    </w:p>
    <w:p w14:paraId="559F0B5E" w14:textId="63B08EF1" w:rsidR="00320686" w:rsidRPr="00F06623" w:rsidRDefault="00320686" w:rsidP="0086356C">
      <w:pPr>
        <w:pStyle w:val="Els-referenceno-number"/>
        <w:jc w:val="both"/>
        <w:rPr>
          <w:sz w:val="20"/>
          <w:lang w:val="en-US"/>
        </w:rPr>
      </w:pPr>
      <w:r w:rsidRPr="00F06623">
        <w:rPr>
          <w:sz w:val="20"/>
          <w:lang w:val="en-US"/>
        </w:rPr>
        <w:t>Berglund, K. A., Yedur, S., and Dunuwila, D. D., 1999, US Patent 5958744.</w:t>
      </w:r>
    </w:p>
    <w:p w14:paraId="54CDBB6B" w14:textId="1710FF70" w:rsidR="00320686" w:rsidRPr="00F06623" w:rsidRDefault="00320686" w:rsidP="00F06623">
      <w:pPr>
        <w:pStyle w:val="Els-referenceno-number"/>
        <w:jc w:val="both"/>
        <w:rPr>
          <w:sz w:val="20"/>
          <w:lang w:val="en-US"/>
        </w:rPr>
      </w:pPr>
      <w:r w:rsidRPr="00F06623">
        <w:rPr>
          <w:sz w:val="20"/>
          <w:lang w:val="en-US"/>
        </w:rPr>
        <w:t>Hossain, N., Zaini, J., Mahlia, T.M.I., &amp; Azad, A.K., 2019, Elemental, morphological and thermal</w:t>
      </w:r>
      <w:r w:rsidR="00F06623">
        <w:rPr>
          <w:sz w:val="20"/>
          <w:lang w:val="en-US"/>
        </w:rPr>
        <w:t xml:space="preserve"> </w:t>
      </w:r>
      <w:r w:rsidRPr="00F06623">
        <w:rPr>
          <w:sz w:val="20"/>
          <w:lang w:val="en-US"/>
        </w:rPr>
        <w:t>analysis of mixed microalgae species from</w:t>
      </w:r>
      <w:r w:rsidR="00F06623">
        <w:rPr>
          <w:sz w:val="20"/>
          <w:lang w:val="en-US"/>
        </w:rPr>
        <w:t xml:space="preserve"> drain water, Renewable Energy,</w:t>
      </w:r>
      <w:r w:rsidRPr="00F06623">
        <w:rPr>
          <w:sz w:val="20"/>
          <w:lang w:val="en-US"/>
        </w:rPr>
        <w:t>131, 617-624.</w:t>
      </w:r>
    </w:p>
    <w:p w14:paraId="37A0AA6F" w14:textId="6B2712DE" w:rsidR="005C1677" w:rsidRPr="00F06623" w:rsidRDefault="005C1677" w:rsidP="0086356C">
      <w:pPr>
        <w:pStyle w:val="Els-referenceno-number"/>
        <w:jc w:val="both"/>
        <w:rPr>
          <w:sz w:val="20"/>
          <w:lang w:val="en-US"/>
        </w:rPr>
      </w:pPr>
      <w:r w:rsidRPr="00F06623">
        <w:rPr>
          <w:sz w:val="20"/>
          <w:lang w:val="en-US"/>
        </w:rPr>
        <w:t>Ichiro Fujita and Kouichi Wada, 2009, US Patent 7915447</w:t>
      </w:r>
      <w:r w:rsidR="002A4B75" w:rsidRPr="00F06623">
        <w:rPr>
          <w:sz w:val="20"/>
          <w:lang w:val="en-US"/>
        </w:rPr>
        <w:t>.</w:t>
      </w:r>
    </w:p>
    <w:p w14:paraId="1DC5ED6C" w14:textId="1080C8B6" w:rsidR="0079542F" w:rsidRPr="00F06623" w:rsidRDefault="0079542F" w:rsidP="0086356C">
      <w:pPr>
        <w:pStyle w:val="Els-referenceno-number"/>
        <w:jc w:val="both"/>
        <w:rPr>
          <w:sz w:val="20"/>
          <w:lang w:val="en-US"/>
        </w:rPr>
      </w:pPr>
      <w:r w:rsidRPr="00F06623">
        <w:rPr>
          <w:sz w:val="20"/>
          <w:lang w:val="en-US"/>
        </w:rPr>
        <w:t>International Energy Agency, 2023, CO</w:t>
      </w:r>
      <w:r w:rsidRPr="00F06623">
        <w:rPr>
          <w:sz w:val="20"/>
          <w:vertAlign w:val="subscript"/>
          <w:lang w:val="en-US"/>
        </w:rPr>
        <w:t>2</w:t>
      </w:r>
      <w:r w:rsidRPr="00F06623">
        <w:rPr>
          <w:sz w:val="20"/>
          <w:lang w:val="en-US"/>
        </w:rPr>
        <w:t xml:space="preserve"> Emmisons in 2022.</w:t>
      </w:r>
    </w:p>
    <w:p w14:paraId="144DE6C3" w14:textId="6B855CBA" w:rsidR="008D2649" w:rsidRPr="00F06623" w:rsidRDefault="0079542F" w:rsidP="00004D43">
      <w:pPr>
        <w:pStyle w:val="Els-referenceno-number"/>
        <w:tabs>
          <w:tab w:val="left" w:pos="5635"/>
        </w:tabs>
        <w:jc w:val="both"/>
        <w:rPr>
          <w:sz w:val="20"/>
          <w:lang w:val="en-US"/>
        </w:rPr>
      </w:pPr>
      <w:r w:rsidRPr="00F06623">
        <w:rPr>
          <w:sz w:val="20"/>
          <w:lang w:val="en-US"/>
        </w:rPr>
        <w:t>Niederholtmeyer H., Wolfstadter B.T., Savage, D.F, 2010, Engineering cyanobacteria to synthesize and export hydrophilic products</w:t>
      </w:r>
      <w:r w:rsidR="00BD113B">
        <w:rPr>
          <w:sz w:val="20"/>
          <w:lang w:val="en-US"/>
        </w:rPr>
        <w:t>,</w:t>
      </w:r>
      <w:r w:rsidRPr="00F06623">
        <w:rPr>
          <w:sz w:val="20"/>
          <w:lang w:val="en-US"/>
        </w:rPr>
        <w:t xml:space="preserve"> Applied and Environmental Microbiology, 76, 3462</w:t>
      </w:r>
      <w:r w:rsidR="00004D43">
        <w:rPr>
          <w:sz w:val="20"/>
          <w:lang w:val="en-US"/>
        </w:rPr>
        <w:t>-</w:t>
      </w:r>
      <w:r w:rsidRPr="00F06623">
        <w:rPr>
          <w:sz w:val="20"/>
          <w:lang w:val="en-US"/>
        </w:rPr>
        <w:t>3466</w:t>
      </w:r>
      <w:r w:rsidR="00BF39B6">
        <w:rPr>
          <w:sz w:val="20"/>
          <w:lang w:val="en-US"/>
        </w:rPr>
        <w:t>.</w:t>
      </w:r>
    </w:p>
    <w:sectPr w:rsidR="008D2649" w:rsidRPr="00F06623" w:rsidSect="00DA0C99">
      <w:headerReference w:type="even" r:id="rId12"/>
      <w:headerReference w:type="default" r:id="rId13"/>
      <w:headerReference w:type="first" r:id="rId14"/>
      <w:type w:val="continuous"/>
      <w:pgSz w:w="11906" w:h="16838" w:code="9"/>
      <w:pgMar w:top="2376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7F58" w14:textId="77777777" w:rsidR="0079184B" w:rsidRDefault="0079184B">
      <w:r>
        <w:separator/>
      </w:r>
    </w:p>
  </w:endnote>
  <w:endnote w:type="continuationSeparator" w:id="0">
    <w:p w14:paraId="1C975161" w14:textId="77777777" w:rsidR="0079184B" w:rsidRDefault="0079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9BB31" w14:textId="77777777" w:rsidR="0079184B" w:rsidRDefault="0079184B">
      <w:r>
        <w:separator/>
      </w:r>
    </w:p>
  </w:footnote>
  <w:footnote w:type="continuationSeparator" w:id="0">
    <w:p w14:paraId="41C74CB2" w14:textId="77777777" w:rsidR="0079184B" w:rsidRDefault="0079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01B14386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DA0C99">
      <w:rPr>
        <w:i/>
      </w:rPr>
      <w:t>Roja K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7092201F" w:rsidR="00DD3D9E" w:rsidRDefault="00DA0C99" w:rsidP="003751B8">
    <w:pPr>
      <w:pStyle w:val="Header"/>
      <w:tabs>
        <w:tab w:val="clear" w:pos="7200"/>
        <w:tab w:val="right" w:pos="7088"/>
      </w:tabs>
      <w:rPr>
        <w:sz w:val="24"/>
      </w:rPr>
    </w:pPr>
    <w:r w:rsidRPr="00DA0C99">
      <w:rPr>
        <w:i/>
      </w:rPr>
      <w:t>Sustainable productio</w:t>
    </w:r>
    <w:r w:rsidR="003751B8">
      <w:rPr>
        <w:i/>
      </w:rPr>
      <w:t xml:space="preserve">n and scale-up of succinic acid from cyanobacteria 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</w:t>
    </w:r>
    <w:proofErr w:type="spellStart"/>
    <w:r w:rsidRPr="0068162C">
      <w:rPr>
        <w:color w:val="auto"/>
        <w:sz w:val="18"/>
        <w:szCs w:val="18"/>
      </w:rPr>
      <w:t>Manenti</w:t>
    </w:r>
    <w:proofErr w:type="spellEnd"/>
    <w:r w:rsidRPr="0068162C">
      <w:rPr>
        <w:color w:val="auto"/>
        <w:sz w:val="18"/>
        <w:szCs w:val="18"/>
      </w:rPr>
      <w:t xml:space="preserve">, </w:t>
    </w:r>
    <w:proofErr w:type="spellStart"/>
    <w:r w:rsidRPr="0068162C">
      <w:rPr>
        <w:color w:val="auto"/>
        <w:sz w:val="18"/>
        <w:szCs w:val="18"/>
      </w:rPr>
      <w:t>Gintaras</w:t>
    </w:r>
    <w:proofErr w:type="spellEnd"/>
    <w:r w:rsidRPr="0068162C">
      <w:rPr>
        <w:color w:val="auto"/>
        <w:sz w:val="18"/>
        <w:szCs w:val="18"/>
      </w:rPr>
      <w:t xml:space="preserve">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1701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1843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318DC"/>
    <w:multiLevelType w:val="hybridMultilevel"/>
    <w:tmpl w:val="CFA46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A73173F"/>
    <w:multiLevelType w:val="multilevel"/>
    <w:tmpl w:val="FE467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CD6AF4"/>
    <w:multiLevelType w:val="hybridMultilevel"/>
    <w:tmpl w:val="C99CF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7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BC4913"/>
    <w:multiLevelType w:val="multilevel"/>
    <w:tmpl w:val="3FAE4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11"/>
  </w:num>
  <w:num w:numId="10">
    <w:abstractNumId w:val="17"/>
  </w:num>
  <w:num w:numId="11">
    <w:abstractNumId w:val="16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  <w:num w:numId="19">
    <w:abstractNumId w:val="14"/>
  </w:num>
  <w:num w:numId="20">
    <w:abstractNumId w:val="18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37"/>
    <w:rsid w:val="00001A1C"/>
    <w:rsid w:val="00004D43"/>
    <w:rsid w:val="00011CA5"/>
    <w:rsid w:val="000224C9"/>
    <w:rsid w:val="00041D92"/>
    <w:rsid w:val="00053361"/>
    <w:rsid w:val="000572B3"/>
    <w:rsid w:val="00072EF9"/>
    <w:rsid w:val="00081A45"/>
    <w:rsid w:val="000A4E72"/>
    <w:rsid w:val="000A7342"/>
    <w:rsid w:val="000A78F7"/>
    <w:rsid w:val="000B27FF"/>
    <w:rsid w:val="000B4F7B"/>
    <w:rsid w:val="000D256E"/>
    <w:rsid w:val="000D3D9B"/>
    <w:rsid w:val="000E008C"/>
    <w:rsid w:val="000E5F24"/>
    <w:rsid w:val="001069A4"/>
    <w:rsid w:val="00106B8B"/>
    <w:rsid w:val="0011179C"/>
    <w:rsid w:val="00116197"/>
    <w:rsid w:val="00126DC1"/>
    <w:rsid w:val="001449A4"/>
    <w:rsid w:val="001577F4"/>
    <w:rsid w:val="0016032F"/>
    <w:rsid w:val="0016260D"/>
    <w:rsid w:val="00172831"/>
    <w:rsid w:val="001879F6"/>
    <w:rsid w:val="00191000"/>
    <w:rsid w:val="001C0148"/>
    <w:rsid w:val="001C757E"/>
    <w:rsid w:val="001E2147"/>
    <w:rsid w:val="001F302B"/>
    <w:rsid w:val="001F44E2"/>
    <w:rsid w:val="0020390F"/>
    <w:rsid w:val="0020788C"/>
    <w:rsid w:val="0021623D"/>
    <w:rsid w:val="00220454"/>
    <w:rsid w:val="00237E88"/>
    <w:rsid w:val="00251E12"/>
    <w:rsid w:val="00264926"/>
    <w:rsid w:val="00275635"/>
    <w:rsid w:val="00275CE4"/>
    <w:rsid w:val="00291758"/>
    <w:rsid w:val="002A4B75"/>
    <w:rsid w:val="002C20A0"/>
    <w:rsid w:val="002C41FA"/>
    <w:rsid w:val="002C7927"/>
    <w:rsid w:val="002F4ECC"/>
    <w:rsid w:val="003065B5"/>
    <w:rsid w:val="00320686"/>
    <w:rsid w:val="00341DD4"/>
    <w:rsid w:val="003556CD"/>
    <w:rsid w:val="003751B8"/>
    <w:rsid w:val="00384112"/>
    <w:rsid w:val="0039134B"/>
    <w:rsid w:val="0039204C"/>
    <w:rsid w:val="00396E4E"/>
    <w:rsid w:val="00397986"/>
    <w:rsid w:val="003D1582"/>
    <w:rsid w:val="003D7E4C"/>
    <w:rsid w:val="003E41C2"/>
    <w:rsid w:val="00445D02"/>
    <w:rsid w:val="004462BB"/>
    <w:rsid w:val="00450E61"/>
    <w:rsid w:val="004524D4"/>
    <w:rsid w:val="0045544F"/>
    <w:rsid w:val="004703E5"/>
    <w:rsid w:val="0047792B"/>
    <w:rsid w:val="00487399"/>
    <w:rsid w:val="00487F11"/>
    <w:rsid w:val="0049772C"/>
    <w:rsid w:val="00497F2C"/>
    <w:rsid w:val="004B2A2D"/>
    <w:rsid w:val="004C26CC"/>
    <w:rsid w:val="004F12E4"/>
    <w:rsid w:val="0052754F"/>
    <w:rsid w:val="00552EEB"/>
    <w:rsid w:val="005535B5"/>
    <w:rsid w:val="00566217"/>
    <w:rsid w:val="005B32A7"/>
    <w:rsid w:val="005C1677"/>
    <w:rsid w:val="005D4728"/>
    <w:rsid w:val="005E54C6"/>
    <w:rsid w:val="00606E0D"/>
    <w:rsid w:val="00630353"/>
    <w:rsid w:val="00635781"/>
    <w:rsid w:val="00635B86"/>
    <w:rsid w:val="00647BC2"/>
    <w:rsid w:val="00653A86"/>
    <w:rsid w:val="00694D14"/>
    <w:rsid w:val="00696BFD"/>
    <w:rsid w:val="006A1F03"/>
    <w:rsid w:val="006A69BF"/>
    <w:rsid w:val="006C034A"/>
    <w:rsid w:val="006C5201"/>
    <w:rsid w:val="006C58B8"/>
    <w:rsid w:val="006F1120"/>
    <w:rsid w:val="006F5153"/>
    <w:rsid w:val="0070276F"/>
    <w:rsid w:val="00711DF4"/>
    <w:rsid w:val="0072317C"/>
    <w:rsid w:val="00741A1D"/>
    <w:rsid w:val="0075410E"/>
    <w:rsid w:val="0078395E"/>
    <w:rsid w:val="0079184B"/>
    <w:rsid w:val="00792E5D"/>
    <w:rsid w:val="0079542F"/>
    <w:rsid w:val="0079719C"/>
    <w:rsid w:val="007C303F"/>
    <w:rsid w:val="007C5810"/>
    <w:rsid w:val="007D70A1"/>
    <w:rsid w:val="007E2720"/>
    <w:rsid w:val="007F44BE"/>
    <w:rsid w:val="008132E8"/>
    <w:rsid w:val="00823407"/>
    <w:rsid w:val="00827209"/>
    <w:rsid w:val="008527FF"/>
    <w:rsid w:val="0086356C"/>
    <w:rsid w:val="00895110"/>
    <w:rsid w:val="008B0184"/>
    <w:rsid w:val="008B38B6"/>
    <w:rsid w:val="008B5D84"/>
    <w:rsid w:val="008C1061"/>
    <w:rsid w:val="008C5D02"/>
    <w:rsid w:val="008D2649"/>
    <w:rsid w:val="008E3964"/>
    <w:rsid w:val="00901B1B"/>
    <w:rsid w:val="0090568D"/>
    <w:rsid w:val="009125C9"/>
    <w:rsid w:val="00913879"/>
    <w:rsid w:val="00917661"/>
    <w:rsid w:val="00932EDA"/>
    <w:rsid w:val="00970E5D"/>
    <w:rsid w:val="009715F9"/>
    <w:rsid w:val="0097701C"/>
    <w:rsid w:val="00980A65"/>
    <w:rsid w:val="009879E7"/>
    <w:rsid w:val="009B3A44"/>
    <w:rsid w:val="009C3D6E"/>
    <w:rsid w:val="009D6344"/>
    <w:rsid w:val="009D6E56"/>
    <w:rsid w:val="009F0C99"/>
    <w:rsid w:val="009F5414"/>
    <w:rsid w:val="009F5B1F"/>
    <w:rsid w:val="00A047FC"/>
    <w:rsid w:val="00A24BA4"/>
    <w:rsid w:val="00A25E70"/>
    <w:rsid w:val="00A3089A"/>
    <w:rsid w:val="00A33765"/>
    <w:rsid w:val="00A37F18"/>
    <w:rsid w:val="00A63269"/>
    <w:rsid w:val="00A657D3"/>
    <w:rsid w:val="00A70C9D"/>
    <w:rsid w:val="00A736C0"/>
    <w:rsid w:val="00A773B8"/>
    <w:rsid w:val="00A92377"/>
    <w:rsid w:val="00A957A6"/>
    <w:rsid w:val="00AA0AA2"/>
    <w:rsid w:val="00AA1480"/>
    <w:rsid w:val="00AA456E"/>
    <w:rsid w:val="00AB29ED"/>
    <w:rsid w:val="00AC035B"/>
    <w:rsid w:val="00AC1D2D"/>
    <w:rsid w:val="00AD4A3C"/>
    <w:rsid w:val="00AE4BD8"/>
    <w:rsid w:val="00B001EF"/>
    <w:rsid w:val="00B019E6"/>
    <w:rsid w:val="00B0266C"/>
    <w:rsid w:val="00B04465"/>
    <w:rsid w:val="00B109B5"/>
    <w:rsid w:val="00B1713A"/>
    <w:rsid w:val="00B428C5"/>
    <w:rsid w:val="00B4388F"/>
    <w:rsid w:val="00B47624"/>
    <w:rsid w:val="00B63237"/>
    <w:rsid w:val="00B645E6"/>
    <w:rsid w:val="00B81CC7"/>
    <w:rsid w:val="00B86043"/>
    <w:rsid w:val="00B9730F"/>
    <w:rsid w:val="00BB1390"/>
    <w:rsid w:val="00BB1CE8"/>
    <w:rsid w:val="00BB6856"/>
    <w:rsid w:val="00BB6EA0"/>
    <w:rsid w:val="00BC5A50"/>
    <w:rsid w:val="00BD113B"/>
    <w:rsid w:val="00BE074D"/>
    <w:rsid w:val="00BE5615"/>
    <w:rsid w:val="00BF39B6"/>
    <w:rsid w:val="00C063CE"/>
    <w:rsid w:val="00C16EDE"/>
    <w:rsid w:val="00C206D8"/>
    <w:rsid w:val="00C30271"/>
    <w:rsid w:val="00C46802"/>
    <w:rsid w:val="00C5753A"/>
    <w:rsid w:val="00C701D4"/>
    <w:rsid w:val="00C960DC"/>
    <w:rsid w:val="00CB320D"/>
    <w:rsid w:val="00CB5CFC"/>
    <w:rsid w:val="00CD3F83"/>
    <w:rsid w:val="00CE4F4D"/>
    <w:rsid w:val="00D00092"/>
    <w:rsid w:val="00D00758"/>
    <w:rsid w:val="00D02C75"/>
    <w:rsid w:val="00D10990"/>
    <w:rsid w:val="00D10A75"/>
    <w:rsid w:val="00D10E22"/>
    <w:rsid w:val="00D1389B"/>
    <w:rsid w:val="00D13D2C"/>
    <w:rsid w:val="00D248CA"/>
    <w:rsid w:val="00D24D27"/>
    <w:rsid w:val="00D50D09"/>
    <w:rsid w:val="00D52975"/>
    <w:rsid w:val="00D542E4"/>
    <w:rsid w:val="00D739F2"/>
    <w:rsid w:val="00D9793A"/>
    <w:rsid w:val="00DA0C99"/>
    <w:rsid w:val="00DC2F94"/>
    <w:rsid w:val="00DD19EC"/>
    <w:rsid w:val="00DD3D9E"/>
    <w:rsid w:val="00DD7908"/>
    <w:rsid w:val="00E00DB1"/>
    <w:rsid w:val="00E01EEE"/>
    <w:rsid w:val="00E027ED"/>
    <w:rsid w:val="00E321C0"/>
    <w:rsid w:val="00E63BE1"/>
    <w:rsid w:val="00E678BB"/>
    <w:rsid w:val="00E7023D"/>
    <w:rsid w:val="00E705C4"/>
    <w:rsid w:val="00E80E95"/>
    <w:rsid w:val="00E82297"/>
    <w:rsid w:val="00E95253"/>
    <w:rsid w:val="00EC14CA"/>
    <w:rsid w:val="00EC3B58"/>
    <w:rsid w:val="00ED08A2"/>
    <w:rsid w:val="00EF39FD"/>
    <w:rsid w:val="00F03EF3"/>
    <w:rsid w:val="00F06623"/>
    <w:rsid w:val="00F06842"/>
    <w:rsid w:val="00F107FD"/>
    <w:rsid w:val="00F21DBE"/>
    <w:rsid w:val="00F233FD"/>
    <w:rsid w:val="00F343A8"/>
    <w:rsid w:val="00F645C2"/>
    <w:rsid w:val="00F714EE"/>
    <w:rsid w:val="00F76DF6"/>
    <w:rsid w:val="00F874A0"/>
    <w:rsid w:val="00F93843"/>
    <w:rsid w:val="00FA1652"/>
    <w:rsid w:val="00FA3E2F"/>
    <w:rsid w:val="00FA40A3"/>
    <w:rsid w:val="00FB64A8"/>
    <w:rsid w:val="00FF2606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F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66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54D0-8112-42D2-92FE-449A87AD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729</TotalTime>
  <Pages>6</Pages>
  <Words>1891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Roja K</cp:lastModifiedBy>
  <cp:revision>45</cp:revision>
  <cp:lastPrinted>2004-12-17T09:20:00Z</cp:lastPrinted>
  <dcterms:created xsi:type="dcterms:W3CDTF">2023-11-29T09:10:00Z</dcterms:created>
  <dcterms:modified xsi:type="dcterms:W3CDTF">2024-01-01T12:20:00Z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