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1E185FE" w:rsidR="00DD3D9E" w:rsidRPr="00381CCD" w:rsidRDefault="53A4E607">
      <w:pPr>
        <w:pStyle w:val="Els-Title"/>
        <w:rPr>
          <w:color w:val="000000" w:themeColor="text1"/>
          <w:lang w:val="en-GB"/>
        </w:rPr>
      </w:pPr>
      <w:r w:rsidRPr="26BE24B0">
        <w:rPr>
          <w:color w:val="000000" w:themeColor="text1"/>
          <w:lang w:val="en-GB"/>
        </w:rPr>
        <w:t>T</w:t>
      </w:r>
      <w:r w:rsidR="01660B02" w:rsidRPr="26BE24B0">
        <w:rPr>
          <w:color w:val="000000" w:themeColor="text1"/>
          <w:lang w:val="en-GB"/>
        </w:rPr>
        <w:t>echno-economic impacts of using alternative carbon</w:t>
      </w:r>
      <w:r w:rsidR="44E641A6" w:rsidRPr="26BE24B0">
        <w:rPr>
          <w:color w:val="000000" w:themeColor="text1"/>
          <w:lang w:val="en-GB"/>
        </w:rPr>
        <w:t>-</w:t>
      </w:r>
      <w:r w:rsidR="01660B02" w:rsidRPr="26BE24B0">
        <w:rPr>
          <w:color w:val="000000" w:themeColor="text1"/>
          <w:lang w:val="en-GB"/>
        </w:rPr>
        <w:t>based feedstocks for the production of methanol</w:t>
      </w:r>
    </w:p>
    <w:p w14:paraId="077BA2A4" w14:textId="4CD3EBFE" w:rsidR="004375FA" w:rsidRPr="00381CCD" w:rsidRDefault="004375FA" w:rsidP="004375FA">
      <w:pPr>
        <w:pStyle w:val="Els-Author"/>
        <w:rPr>
          <w:noProof w:val="0"/>
        </w:rPr>
      </w:pPr>
      <w:r>
        <w:rPr>
          <w:noProof w:val="0"/>
        </w:rPr>
        <w:t>James Tonny Manalal,</w:t>
      </w:r>
      <w:r w:rsidRPr="26BE24B0">
        <w:rPr>
          <w:noProof w:val="0"/>
          <w:vertAlign w:val="superscript"/>
        </w:rPr>
        <w:t>a</w:t>
      </w:r>
      <w:r w:rsidR="09CC4335" w:rsidRPr="26BE24B0">
        <w:rPr>
          <w:noProof w:val="0"/>
          <w:vertAlign w:val="superscript"/>
        </w:rPr>
        <w:t>,*</w:t>
      </w:r>
      <w:r>
        <w:rPr>
          <w:noProof w:val="0"/>
        </w:rPr>
        <w:t xml:space="preserve">  Mar Pérez-Fortes </w:t>
      </w:r>
      <w:r w:rsidRPr="26BE24B0">
        <w:rPr>
          <w:noProof w:val="0"/>
          <w:vertAlign w:val="superscript"/>
        </w:rPr>
        <w:t>a</w:t>
      </w:r>
      <w:r>
        <w:rPr>
          <w:noProof w:val="0"/>
        </w:rPr>
        <w:t xml:space="preserve"> and Andrea Ram</w:t>
      </w:r>
      <w:r w:rsidR="6D249D02">
        <w:rPr>
          <w:noProof w:val="0"/>
        </w:rPr>
        <w:t>í</w:t>
      </w:r>
      <w:r>
        <w:rPr>
          <w:noProof w:val="0"/>
        </w:rPr>
        <w:t>rez Ram</w:t>
      </w:r>
      <w:r w:rsidR="3145B70B">
        <w:rPr>
          <w:noProof w:val="0"/>
        </w:rPr>
        <w:t>í</w:t>
      </w:r>
      <w:r>
        <w:rPr>
          <w:noProof w:val="0"/>
        </w:rPr>
        <w:t xml:space="preserve">rez </w:t>
      </w:r>
      <w:r w:rsidRPr="26BE24B0">
        <w:rPr>
          <w:noProof w:val="0"/>
          <w:vertAlign w:val="superscript"/>
        </w:rPr>
        <w:t>b</w:t>
      </w:r>
    </w:p>
    <w:p w14:paraId="744D1E8F" w14:textId="0C86A5FA" w:rsidR="004375FA" w:rsidRPr="00381CCD" w:rsidRDefault="004375FA" w:rsidP="004375FA">
      <w:pPr>
        <w:pStyle w:val="Els-Affiliation"/>
        <w:rPr>
          <w:noProof w:val="0"/>
        </w:rPr>
      </w:pPr>
      <w:r w:rsidRPr="00381CCD">
        <w:rPr>
          <w:noProof w:val="0"/>
          <w:vertAlign w:val="superscript"/>
        </w:rPr>
        <w:t>a</w:t>
      </w:r>
      <w:r w:rsidRPr="00381CCD">
        <w:rPr>
          <w:noProof w:val="0"/>
        </w:rPr>
        <w:t>Department of Engineering, Systems and Services, Faculty of Technology Policy and Management, Delft University of Technology, Jaffalaan 5, 2628BX, Delft, Netherlands.</w:t>
      </w:r>
    </w:p>
    <w:p w14:paraId="144DE682" w14:textId="095FFC67" w:rsidR="00DD3D9E" w:rsidRPr="00381CCD" w:rsidRDefault="004375FA">
      <w:pPr>
        <w:pStyle w:val="Els-Affiliation"/>
        <w:rPr>
          <w:noProof w:val="0"/>
        </w:rPr>
      </w:pPr>
      <w:r w:rsidRPr="00381CCD">
        <w:rPr>
          <w:noProof w:val="0"/>
          <w:vertAlign w:val="superscript"/>
        </w:rPr>
        <w:t>b</w:t>
      </w:r>
      <w:r w:rsidRPr="00381CCD">
        <w:rPr>
          <w:noProof w:val="0"/>
        </w:rPr>
        <w:t>Department of Chemical Engineering, Faculty of Applied Sciences, Delft University of Technology, Van der Maasweg 9, 2629 HZ, Delft, Netherlands.</w:t>
      </w:r>
    </w:p>
    <w:p w14:paraId="144DE683" w14:textId="70C22C4D" w:rsidR="008D2649" w:rsidRPr="00381CCD" w:rsidRDefault="4E663866" w:rsidP="008D2649">
      <w:pPr>
        <w:pStyle w:val="Els-Affiliation"/>
        <w:spacing w:after="120"/>
        <w:rPr>
          <w:noProof w:val="0"/>
        </w:rPr>
      </w:pPr>
      <w:r>
        <w:rPr>
          <w:noProof w:val="0"/>
        </w:rPr>
        <w:t>*</w:t>
      </w:r>
      <w:r w:rsidR="004375FA">
        <w:rPr>
          <w:noProof w:val="0"/>
        </w:rPr>
        <w:t xml:space="preserve">E-mail: j.t.manalal@tudelft.nl </w:t>
      </w:r>
    </w:p>
    <w:p w14:paraId="144DE684" w14:textId="77777777" w:rsidR="008D2649" w:rsidRPr="005F611A" w:rsidRDefault="008D2649" w:rsidP="005F611A">
      <w:pPr>
        <w:pStyle w:val="Els-Abstract"/>
      </w:pPr>
      <w:r w:rsidRPr="005F611A">
        <w:t>Abstract</w:t>
      </w:r>
    </w:p>
    <w:p w14:paraId="791A3DE3" w14:textId="75DC5143" w:rsidR="005F08BC" w:rsidRPr="00381CCD" w:rsidRDefault="63273D8C" w:rsidP="008D2649">
      <w:pPr>
        <w:pStyle w:val="Els-body-text"/>
        <w:spacing w:after="120"/>
        <w:rPr>
          <w:lang w:val="en-GB"/>
        </w:rPr>
      </w:pPr>
      <w:r w:rsidRPr="26BE24B0">
        <w:rPr>
          <w:lang w:val="en-GB"/>
        </w:rPr>
        <w:t>Different alternative carbon sources</w:t>
      </w:r>
      <w:r w:rsidR="00B91E6F" w:rsidRPr="26BE24B0">
        <w:rPr>
          <w:lang w:val="en-GB"/>
        </w:rPr>
        <w:t xml:space="preserve"> like </w:t>
      </w:r>
      <w:r w:rsidRPr="26BE24B0">
        <w:rPr>
          <w:lang w:val="en-GB"/>
        </w:rPr>
        <w:t>CO</w:t>
      </w:r>
      <w:r w:rsidRPr="26BE24B0">
        <w:rPr>
          <w:vertAlign w:val="subscript"/>
          <w:lang w:val="en-GB"/>
        </w:rPr>
        <w:t>2</w:t>
      </w:r>
      <w:r w:rsidRPr="26BE24B0">
        <w:rPr>
          <w:lang w:val="en-GB"/>
        </w:rPr>
        <w:t>, biomass and plastic waste</w:t>
      </w:r>
      <w:r w:rsidR="2C426643" w:rsidRPr="26BE24B0">
        <w:rPr>
          <w:lang w:val="en-GB"/>
        </w:rPr>
        <w:t>,</w:t>
      </w:r>
      <w:r w:rsidRPr="26BE24B0">
        <w:rPr>
          <w:lang w:val="en-GB"/>
        </w:rPr>
        <w:t xml:space="preserve"> can be used </w:t>
      </w:r>
      <w:r w:rsidR="2DB8AAFF" w:rsidRPr="26BE24B0">
        <w:rPr>
          <w:lang w:val="en-GB"/>
        </w:rPr>
        <w:t>to replace fossil carbon as feedstock</w:t>
      </w:r>
      <w:r w:rsidRPr="26BE24B0">
        <w:rPr>
          <w:lang w:val="en-GB"/>
        </w:rPr>
        <w:t xml:space="preserve"> in the production of methanol. Based on </w:t>
      </w:r>
      <w:r w:rsidR="510084B8" w:rsidRPr="26BE24B0">
        <w:rPr>
          <w:lang w:val="en-GB"/>
        </w:rPr>
        <w:t>current literature</w:t>
      </w:r>
      <w:r w:rsidR="6DF1CF62" w:rsidRPr="26BE24B0">
        <w:rPr>
          <w:lang w:val="en-GB"/>
        </w:rPr>
        <w:t>,</w:t>
      </w:r>
      <w:r w:rsidRPr="26BE24B0">
        <w:rPr>
          <w:lang w:val="en-GB"/>
        </w:rPr>
        <w:t xml:space="preserve"> </w:t>
      </w:r>
      <w:r w:rsidR="48B73C25" w:rsidRPr="26BE24B0">
        <w:rPr>
          <w:lang w:val="en-GB"/>
        </w:rPr>
        <w:t xml:space="preserve">the </w:t>
      </w:r>
      <w:r w:rsidRPr="26BE24B0">
        <w:rPr>
          <w:lang w:val="en-GB"/>
        </w:rPr>
        <w:t>plastic</w:t>
      </w:r>
      <w:r w:rsidR="1BC87A79" w:rsidRPr="26BE24B0">
        <w:rPr>
          <w:lang w:val="en-GB"/>
        </w:rPr>
        <w:t>-</w:t>
      </w:r>
      <w:r w:rsidRPr="26BE24B0">
        <w:rPr>
          <w:lang w:val="en-GB"/>
        </w:rPr>
        <w:t xml:space="preserve">based methanol </w:t>
      </w:r>
      <w:r w:rsidR="75959085" w:rsidRPr="26BE24B0">
        <w:rPr>
          <w:lang w:val="en-GB"/>
        </w:rPr>
        <w:t xml:space="preserve">route </w:t>
      </w:r>
      <w:r w:rsidR="2B13AD60" w:rsidRPr="26BE24B0">
        <w:rPr>
          <w:lang w:val="en-GB"/>
        </w:rPr>
        <w:t>is</w:t>
      </w:r>
      <w:r w:rsidRPr="26BE24B0">
        <w:rPr>
          <w:lang w:val="en-GB"/>
        </w:rPr>
        <w:t xml:space="preserve"> the most competitive </w:t>
      </w:r>
      <w:r w:rsidR="4EBE4AA6" w:rsidRPr="26BE24B0">
        <w:rPr>
          <w:lang w:val="en-GB"/>
        </w:rPr>
        <w:t>one among the three</w:t>
      </w:r>
      <w:r w:rsidR="63BB7240" w:rsidRPr="26BE24B0">
        <w:rPr>
          <w:lang w:val="en-GB"/>
        </w:rPr>
        <w:t xml:space="preserve"> based on </w:t>
      </w:r>
      <w:r w:rsidR="00D37762">
        <w:rPr>
          <w:lang w:val="en-GB"/>
        </w:rPr>
        <w:t>price</w:t>
      </w:r>
      <w:r w:rsidR="63BB7240" w:rsidRPr="26BE24B0">
        <w:rPr>
          <w:lang w:val="en-GB"/>
        </w:rPr>
        <w:t xml:space="preserve"> indicator</w:t>
      </w:r>
      <w:r w:rsidR="4EBE4AA6" w:rsidRPr="26BE24B0">
        <w:rPr>
          <w:lang w:val="en-GB"/>
        </w:rPr>
        <w:t>,</w:t>
      </w:r>
      <w:r w:rsidRPr="26BE24B0">
        <w:rPr>
          <w:lang w:val="en-GB"/>
        </w:rPr>
        <w:t xml:space="preserve"> but there is </w:t>
      </w:r>
      <w:r w:rsidR="1E335CF0" w:rsidRPr="26BE24B0">
        <w:rPr>
          <w:lang w:val="en-GB"/>
        </w:rPr>
        <w:t xml:space="preserve">still </w:t>
      </w:r>
      <w:r w:rsidRPr="26BE24B0">
        <w:rPr>
          <w:lang w:val="en-GB"/>
        </w:rPr>
        <w:t xml:space="preserve">a lack of comprehensive understanding </w:t>
      </w:r>
      <w:r w:rsidR="494B75F1" w:rsidRPr="26BE24B0">
        <w:rPr>
          <w:lang w:val="en-GB"/>
        </w:rPr>
        <w:t>of</w:t>
      </w:r>
      <w:r w:rsidRPr="26BE24B0">
        <w:rPr>
          <w:lang w:val="en-GB"/>
        </w:rPr>
        <w:t xml:space="preserve"> the techno-economic differences between alternative feedstock technologies. In this study, three technologies from each alternative feedstock were assessed to </w:t>
      </w:r>
      <w:r w:rsidR="01C58F45" w:rsidRPr="26BE24B0">
        <w:rPr>
          <w:lang w:val="en-GB"/>
        </w:rPr>
        <w:t>evaluate the</w:t>
      </w:r>
      <w:r w:rsidRPr="26BE24B0">
        <w:rPr>
          <w:lang w:val="en-GB"/>
        </w:rPr>
        <w:t xml:space="preserve"> techno-economic</w:t>
      </w:r>
      <w:r w:rsidR="381A4FB2" w:rsidRPr="26BE24B0">
        <w:rPr>
          <w:lang w:val="en-GB"/>
        </w:rPr>
        <w:t xml:space="preserve"> </w:t>
      </w:r>
      <w:r w:rsidRPr="26BE24B0">
        <w:rPr>
          <w:lang w:val="en-GB"/>
        </w:rPr>
        <w:t>trade-off</w:t>
      </w:r>
      <w:r w:rsidR="6D749C09" w:rsidRPr="26BE24B0">
        <w:rPr>
          <w:lang w:val="en-GB"/>
        </w:rPr>
        <w:t>s</w:t>
      </w:r>
      <w:r w:rsidRPr="26BE24B0">
        <w:rPr>
          <w:lang w:val="en-GB"/>
        </w:rPr>
        <w:t xml:space="preserve"> </w:t>
      </w:r>
      <w:r w:rsidR="381A4FB2" w:rsidRPr="26BE24B0">
        <w:rPr>
          <w:lang w:val="en-GB"/>
        </w:rPr>
        <w:t>between t</w:t>
      </w:r>
      <w:r w:rsidR="5DEADA49" w:rsidRPr="26BE24B0">
        <w:rPr>
          <w:lang w:val="en-GB"/>
        </w:rPr>
        <w:t>hem</w:t>
      </w:r>
      <w:r w:rsidR="381A4FB2" w:rsidRPr="26BE24B0">
        <w:rPr>
          <w:lang w:val="en-GB"/>
        </w:rPr>
        <w:t>. The research shows that even though current</w:t>
      </w:r>
      <w:r w:rsidR="348F1D51" w:rsidRPr="26BE24B0">
        <w:rPr>
          <w:lang w:val="en-GB"/>
        </w:rPr>
        <w:t>ly</w:t>
      </w:r>
      <w:r w:rsidR="247D1121" w:rsidRPr="26BE24B0">
        <w:rPr>
          <w:lang w:val="en-GB"/>
        </w:rPr>
        <w:t xml:space="preserve"> the</w:t>
      </w:r>
      <w:r w:rsidR="381A4FB2" w:rsidRPr="26BE24B0">
        <w:rPr>
          <w:lang w:val="en-GB"/>
        </w:rPr>
        <w:t xml:space="preserve"> plastic</w:t>
      </w:r>
      <w:r w:rsidR="75CE0AEF" w:rsidRPr="26BE24B0">
        <w:rPr>
          <w:lang w:val="en-GB"/>
        </w:rPr>
        <w:t>-</w:t>
      </w:r>
      <w:r w:rsidR="381A4FB2" w:rsidRPr="26BE24B0">
        <w:rPr>
          <w:lang w:val="en-GB"/>
        </w:rPr>
        <w:t>based route is</w:t>
      </w:r>
      <w:r w:rsidR="7017FC9A" w:rsidRPr="26BE24B0">
        <w:rPr>
          <w:lang w:val="en-GB"/>
        </w:rPr>
        <w:t xml:space="preserve"> </w:t>
      </w:r>
      <w:r w:rsidR="006C2C45">
        <w:rPr>
          <w:lang w:val="en-GB"/>
        </w:rPr>
        <w:t xml:space="preserve">comparatively </w:t>
      </w:r>
      <w:r w:rsidR="381A4FB2" w:rsidRPr="26BE24B0">
        <w:rPr>
          <w:lang w:val="en-GB"/>
        </w:rPr>
        <w:t>cost competitive</w:t>
      </w:r>
      <w:r w:rsidR="57099C09" w:rsidRPr="26BE24B0">
        <w:rPr>
          <w:lang w:val="en-GB"/>
        </w:rPr>
        <w:t xml:space="preserve"> with the conventional route of producing methanol</w:t>
      </w:r>
      <w:r w:rsidR="381A4FB2" w:rsidRPr="26BE24B0">
        <w:rPr>
          <w:lang w:val="en-GB"/>
        </w:rPr>
        <w:t xml:space="preserve">, </w:t>
      </w:r>
      <w:r w:rsidR="5E719F2E" w:rsidRPr="26BE24B0">
        <w:rPr>
          <w:lang w:val="en-GB"/>
        </w:rPr>
        <w:t xml:space="preserve">the </w:t>
      </w:r>
      <w:r w:rsidR="381A4FB2" w:rsidRPr="26BE24B0">
        <w:rPr>
          <w:lang w:val="en-GB"/>
        </w:rPr>
        <w:t>CO</w:t>
      </w:r>
      <w:r w:rsidR="381A4FB2" w:rsidRPr="26BE24B0">
        <w:rPr>
          <w:vertAlign w:val="subscript"/>
          <w:lang w:val="en-GB"/>
        </w:rPr>
        <w:t>2</w:t>
      </w:r>
      <w:r w:rsidR="0054544D">
        <w:rPr>
          <w:lang w:val="en-GB"/>
        </w:rPr>
        <w:t>-</w:t>
      </w:r>
      <w:r w:rsidR="381A4FB2" w:rsidRPr="26BE24B0">
        <w:rPr>
          <w:lang w:val="en-GB"/>
        </w:rPr>
        <w:t>based methanol route can</w:t>
      </w:r>
      <w:r w:rsidR="68BF80DC" w:rsidRPr="26BE24B0">
        <w:rPr>
          <w:lang w:val="en-GB"/>
        </w:rPr>
        <w:t xml:space="preserve"> also</w:t>
      </w:r>
      <w:r w:rsidR="381A4FB2" w:rsidRPr="26BE24B0">
        <w:rPr>
          <w:lang w:val="en-GB"/>
        </w:rPr>
        <w:t xml:space="preserve"> be</w:t>
      </w:r>
      <w:r w:rsidR="7513EA6C" w:rsidRPr="26BE24B0">
        <w:rPr>
          <w:lang w:val="en-GB"/>
        </w:rPr>
        <w:t xml:space="preserve"> </w:t>
      </w:r>
      <w:r w:rsidR="381A4FB2" w:rsidRPr="26BE24B0">
        <w:rPr>
          <w:lang w:val="en-GB"/>
        </w:rPr>
        <w:t>competitive with green hydrogen prices</w:t>
      </w:r>
      <w:r w:rsidR="348F1D51" w:rsidRPr="26BE24B0">
        <w:rPr>
          <w:lang w:val="en-GB"/>
        </w:rPr>
        <w:t xml:space="preserve"> in the range of 1</w:t>
      </w:r>
      <w:r w:rsidR="6630BAC9" w:rsidRPr="26BE24B0">
        <w:rPr>
          <w:lang w:val="en-GB"/>
        </w:rPr>
        <w:t>4</w:t>
      </w:r>
      <w:r w:rsidR="348F1D51" w:rsidRPr="26BE24B0">
        <w:rPr>
          <w:lang w:val="en-GB"/>
        </w:rPr>
        <w:t>00-1100 E</w:t>
      </w:r>
      <w:r w:rsidR="6630BAC9" w:rsidRPr="26BE24B0">
        <w:rPr>
          <w:lang w:val="en-GB"/>
        </w:rPr>
        <w:t>UR</w:t>
      </w:r>
      <w:r w:rsidR="348F1D51" w:rsidRPr="26BE24B0">
        <w:rPr>
          <w:lang w:val="en-GB"/>
        </w:rPr>
        <w:t>/t</w:t>
      </w:r>
      <w:r w:rsidR="381A4FB2" w:rsidRPr="26BE24B0">
        <w:rPr>
          <w:lang w:val="en-GB"/>
        </w:rPr>
        <w:t>.</w:t>
      </w:r>
      <w:r w:rsidR="3D0861CD" w:rsidRPr="26BE24B0">
        <w:rPr>
          <w:lang w:val="en-GB"/>
        </w:rPr>
        <w:t xml:space="preserve"> </w:t>
      </w:r>
      <w:r w:rsidR="005F6B24">
        <w:rPr>
          <w:lang w:val="en-GB"/>
        </w:rPr>
        <w:t>While t</w:t>
      </w:r>
      <w:r w:rsidR="3D0861CD" w:rsidRPr="26BE24B0">
        <w:rPr>
          <w:lang w:val="en-GB"/>
        </w:rPr>
        <w:t>he biomass-based route</w:t>
      </w:r>
      <w:r w:rsidR="0054544D">
        <w:rPr>
          <w:lang w:val="en-GB"/>
        </w:rPr>
        <w:t xml:space="preserve"> showed superior </w:t>
      </w:r>
      <w:r w:rsidR="0093502D">
        <w:rPr>
          <w:lang w:val="en-GB"/>
        </w:rPr>
        <w:t xml:space="preserve">energy </w:t>
      </w:r>
      <w:r w:rsidR="0054544D">
        <w:rPr>
          <w:lang w:val="en-GB"/>
        </w:rPr>
        <w:t xml:space="preserve">performance compared </w:t>
      </w:r>
      <w:r w:rsidR="0093502D">
        <w:rPr>
          <w:lang w:val="en-GB"/>
        </w:rPr>
        <w:t>to the other two.</w:t>
      </w:r>
      <w:r w:rsidR="0054544D">
        <w:rPr>
          <w:lang w:val="en-GB"/>
        </w:rPr>
        <w:t xml:space="preserve"> </w:t>
      </w:r>
      <w:r w:rsidR="3D0861CD" w:rsidRPr="26BE24B0">
        <w:rPr>
          <w:lang w:val="en-GB"/>
        </w:rPr>
        <w:t xml:space="preserve"> </w:t>
      </w:r>
    </w:p>
    <w:p w14:paraId="144DE687" w14:textId="1AA53E9A" w:rsidR="008D2649" w:rsidRPr="00381CCD" w:rsidRDefault="542F73A0" w:rsidP="008D2649">
      <w:pPr>
        <w:pStyle w:val="Els-body-text"/>
        <w:spacing w:after="120"/>
        <w:rPr>
          <w:lang w:val="en-GB"/>
        </w:rPr>
      </w:pPr>
      <w:r w:rsidRPr="225775D1">
        <w:rPr>
          <w:b/>
          <w:bCs/>
          <w:lang w:val="en-GB"/>
        </w:rPr>
        <w:t>Keywords</w:t>
      </w:r>
      <w:r w:rsidRPr="225775D1">
        <w:rPr>
          <w:lang w:val="en-GB"/>
        </w:rPr>
        <w:t xml:space="preserve">: </w:t>
      </w:r>
      <w:r w:rsidR="75DCF51B" w:rsidRPr="225775D1">
        <w:rPr>
          <w:lang w:val="en-GB"/>
        </w:rPr>
        <w:t>ex-ante technology assessment, alternative carbon</w:t>
      </w:r>
      <w:r w:rsidR="7DB6FC4F" w:rsidRPr="225775D1">
        <w:rPr>
          <w:lang w:val="en-GB"/>
        </w:rPr>
        <w:t>-</w:t>
      </w:r>
      <w:r w:rsidR="75DCF51B" w:rsidRPr="225775D1">
        <w:rPr>
          <w:lang w:val="en-GB"/>
        </w:rPr>
        <w:t xml:space="preserve">based methanol, </w:t>
      </w:r>
      <w:r w:rsidR="1DD5CF0D" w:rsidRPr="225775D1">
        <w:rPr>
          <w:lang w:val="en-GB"/>
        </w:rPr>
        <w:t xml:space="preserve">comparative </w:t>
      </w:r>
      <w:r w:rsidR="062A9E89" w:rsidRPr="225775D1">
        <w:rPr>
          <w:lang w:val="en-GB"/>
        </w:rPr>
        <w:t xml:space="preserve">process </w:t>
      </w:r>
      <w:r w:rsidR="1DD5CF0D" w:rsidRPr="225775D1">
        <w:rPr>
          <w:lang w:val="en-GB"/>
        </w:rPr>
        <w:t>assessment</w:t>
      </w:r>
      <w:r w:rsidR="75DCF51B" w:rsidRPr="225775D1">
        <w:rPr>
          <w:lang w:val="en-GB"/>
        </w:rPr>
        <w:t>, techno-economic impacts.</w:t>
      </w:r>
    </w:p>
    <w:p w14:paraId="1131CBE1" w14:textId="77777777" w:rsidR="00080D13" w:rsidRDefault="001702D4" w:rsidP="00080D13">
      <w:pPr>
        <w:pStyle w:val="Els-1storder-head"/>
        <w:rPr>
          <w:lang w:val="en-GB"/>
        </w:rPr>
      </w:pPr>
      <w:r w:rsidRPr="00381CCD">
        <w:rPr>
          <w:lang w:val="en-GB"/>
        </w:rPr>
        <w:t>Introduction</w:t>
      </w:r>
    </w:p>
    <w:p w14:paraId="0E7D7ABC" w14:textId="481E53D5" w:rsidR="00080D13" w:rsidRDefault="75DCF51B" w:rsidP="00080D13">
      <w:pPr>
        <w:pStyle w:val="Els-1storder-head"/>
        <w:numPr>
          <w:ilvl w:val="0"/>
          <w:numId w:val="0"/>
        </w:numPr>
        <w:rPr>
          <w:lang w:val="en-GB"/>
        </w:rPr>
      </w:pPr>
      <w:r w:rsidRPr="00080D13">
        <w:rPr>
          <w:b w:val="0"/>
          <w:sz w:val="20"/>
          <w:lang w:val="en-GB"/>
        </w:rPr>
        <w:t xml:space="preserve">Methanol is a widely used chemical solvent and a chemical building block in the petrochemical industry. </w:t>
      </w:r>
      <w:r w:rsidR="2075D485" w:rsidRPr="00080D13">
        <w:rPr>
          <w:b w:val="0"/>
          <w:sz w:val="20"/>
          <w:lang w:val="en-GB"/>
        </w:rPr>
        <w:t>It</w:t>
      </w:r>
      <w:r w:rsidRPr="00080D13">
        <w:rPr>
          <w:b w:val="0"/>
          <w:sz w:val="20"/>
          <w:lang w:val="en-GB"/>
        </w:rPr>
        <w:t xml:space="preserve"> is currently produced at industrial scale using the reforming process </w:t>
      </w:r>
      <w:r w:rsidR="55E08AAF" w:rsidRPr="00080D13">
        <w:rPr>
          <w:b w:val="0"/>
          <w:sz w:val="20"/>
          <w:lang w:val="en-GB"/>
        </w:rPr>
        <w:t xml:space="preserve">of natural gas (methane), </w:t>
      </w:r>
      <w:r w:rsidRPr="00080D13">
        <w:rPr>
          <w:b w:val="0"/>
          <w:sz w:val="20"/>
          <w:lang w:val="en-GB"/>
        </w:rPr>
        <w:t xml:space="preserve">at a minimum selling price (MSP) of 300-550 </w:t>
      </w:r>
      <w:r w:rsidR="4287437F" w:rsidRPr="00080D13">
        <w:rPr>
          <w:b w:val="0"/>
          <w:sz w:val="20"/>
          <w:lang w:val="en-GB"/>
        </w:rPr>
        <w:t>EUR</w:t>
      </w:r>
      <w:r w:rsidRPr="00080D13">
        <w:rPr>
          <w:b w:val="0"/>
          <w:sz w:val="20"/>
          <w:lang w:val="en-GB"/>
        </w:rPr>
        <w:t>/</w:t>
      </w:r>
      <w:r w:rsidR="3A5525E3" w:rsidRPr="00080D13">
        <w:rPr>
          <w:b w:val="0"/>
          <w:sz w:val="20"/>
          <w:lang w:val="en-GB"/>
        </w:rPr>
        <w:t>t</w:t>
      </w:r>
      <w:r w:rsidRPr="00080D13">
        <w:rPr>
          <w:b w:val="0"/>
          <w:sz w:val="20"/>
          <w:lang w:val="en-GB"/>
        </w:rPr>
        <w:t>. To defossilize the methanol production process, different alternative carbon</w:t>
      </w:r>
      <w:r w:rsidR="55E08AAF" w:rsidRPr="00080D13">
        <w:rPr>
          <w:b w:val="0"/>
          <w:sz w:val="20"/>
          <w:lang w:val="en-GB"/>
        </w:rPr>
        <w:t xml:space="preserve"> source</w:t>
      </w:r>
      <w:r w:rsidR="6D1BD120" w:rsidRPr="00080D13">
        <w:rPr>
          <w:b w:val="0"/>
          <w:sz w:val="20"/>
          <w:lang w:val="en-GB"/>
        </w:rPr>
        <w:t>s</w:t>
      </w:r>
      <w:r w:rsidR="55E08AAF" w:rsidRPr="00080D13">
        <w:rPr>
          <w:b w:val="0"/>
          <w:sz w:val="20"/>
          <w:lang w:val="en-GB"/>
        </w:rPr>
        <w:t xml:space="preserve"> (ACS) </w:t>
      </w:r>
      <w:r w:rsidRPr="00080D13">
        <w:rPr>
          <w:b w:val="0"/>
          <w:sz w:val="20"/>
          <w:lang w:val="en-GB"/>
        </w:rPr>
        <w:t>like CO</w:t>
      </w:r>
      <w:r w:rsidRPr="00F672C7">
        <w:rPr>
          <w:b w:val="0"/>
          <w:sz w:val="20"/>
          <w:vertAlign w:val="subscript"/>
          <w:lang w:val="en-GB"/>
        </w:rPr>
        <w:t>2</w:t>
      </w:r>
      <w:r w:rsidRPr="00080D13">
        <w:rPr>
          <w:b w:val="0"/>
          <w:sz w:val="20"/>
          <w:lang w:val="en-GB"/>
        </w:rPr>
        <w:t xml:space="preserve">, biomass and plastic waste are being considered. However, the production processes </w:t>
      </w:r>
      <w:r w:rsidR="4307E6D9" w:rsidRPr="00080D13">
        <w:rPr>
          <w:b w:val="0"/>
          <w:sz w:val="20"/>
          <w:lang w:val="en-GB"/>
        </w:rPr>
        <w:t xml:space="preserve">from ACS </w:t>
      </w:r>
      <w:r w:rsidR="55E08AAF" w:rsidRPr="00080D13">
        <w:rPr>
          <w:b w:val="0"/>
          <w:sz w:val="20"/>
          <w:lang w:val="en-GB"/>
        </w:rPr>
        <w:t>are</w:t>
      </w:r>
      <w:r w:rsidRPr="00080D13">
        <w:rPr>
          <w:b w:val="0"/>
          <w:sz w:val="20"/>
          <w:lang w:val="en-GB"/>
        </w:rPr>
        <w:t xml:space="preserve"> significantly</w:t>
      </w:r>
      <w:r w:rsidR="55E08AAF" w:rsidRPr="00080D13">
        <w:rPr>
          <w:b w:val="0"/>
          <w:sz w:val="20"/>
          <w:lang w:val="en-GB"/>
        </w:rPr>
        <w:t xml:space="preserve"> </w:t>
      </w:r>
      <w:r w:rsidR="2F780B5B" w:rsidRPr="00080D13">
        <w:rPr>
          <w:b w:val="0"/>
          <w:sz w:val="20"/>
          <w:lang w:val="en-GB"/>
        </w:rPr>
        <w:t>d</w:t>
      </w:r>
      <w:r w:rsidR="55E08AAF" w:rsidRPr="00080D13">
        <w:rPr>
          <w:b w:val="0"/>
          <w:sz w:val="20"/>
          <w:lang w:val="en-GB"/>
        </w:rPr>
        <w:t>ifferent</w:t>
      </w:r>
      <w:r w:rsidR="6A798CA9" w:rsidRPr="00080D13">
        <w:rPr>
          <w:b w:val="0"/>
          <w:sz w:val="20"/>
          <w:lang w:val="en-GB"/>
        </w:rPr>
        <w:t xml:space="preserve"> </w:t>
      </w:r>
      <w:r w:rsidR="27F34448" w:rsidRPr="00080D13">
        <w:rPr>
          <w:b w:val="0"/>
          <w:sz w:val="20"/>
          <w:lang w:val="en-GB"/>
        </w:rPr>
        <w:t>compared with</w:t>
      </w:r>
      <w:r w:rsidRPr="00080D13">
        <w:rPr>
          <w:b w:val="0"/>
          <w:sz w:val="20"/>
          <w:lang w:val="en-GB"/>
        </w:rPr>
        <w:t xml:space="preserve"> </w:t>
      </w:r>
      <w:r w:rsidR="21C4ABBA" w:rsidRPr="00080D13">
        <w:rPr>
          <w:b w:val="0"/>
          <w:sz w:val="20"/>
          <w:lang w:val="en-GB"/>
        </w:rPr>
        <w:t>the conventional</w:t>
      </w:r>
      <w:r w:rsidR="536A9D96" w:rsidRPr="00080D13">
        <w:rPr>
          <w:b w:val="0"/>
          <w:sz w:val="20"/>
          <w:lang w:val="en-GB"/>
        </w:rPr>
        <w:t xml:space="preserve"> process</w:t>
      </w:r>
      <w:r w:rsidR="7686AD3E" w:rsidRPr="00080D13">
        <w:rPr>
          <w:b w:val="0"/>
          <w:sz w:val="20"/>
          <w:lang w:val="en-GB"/>
        </w:rPr>
        <w:t>. T</w:t>
      </w:r>
      <w:r w:rsidRPr="00080D13">
        <w:rPr>
          <w:b w:val="0"/>
          <w:sz w:val="20"/>
          <w:lang w:val="en-GB"/>
        </w:rPr>
        <w:t xml:space="preserve">here </w:t>
      </w:r>
      <w:r w:rsidR="00867D87">
        <w:rPr>
          <w:b w:val="0"/>
          <w:sz w:val="20"/>
          <w:lang w:val="en-GB"/>
        </w:rPr>
        <w:t>have</w:t>
      </w:r>
      <w:r w:rsidR="00A45A20">
        <w:rPr>
          <w:b w:val="0"/>
          <w:sz w:val="20"/>
          <w:lang w:val="en-GB"/>
        </w:rPr>
        <w:t xml:space="preserve"> been </w:t>
      </w:r>
      <w:r w:rsidR="00A60821">
        <w:rPr>
          <w:b w:val="0"/>
          <w:sz w:val="20"/>
          <w:lang w:val="en-GB"/>
        </w:rPr>
        <w:t>several</w:t>
      </w:r>
      <w:r w:rsidRPr="00080D13">
        <w:rPr>
          <w:b w:val="0"/>
          <w:sz w:val="20"/>
          <w:lang w:val="en-GB"/>
        </w:rPr>
        <w:t xml:space="preserve"> techno-economic </w:t>
      </w:r>
      <w:r w:rsidR="00A45A20">
        <w:rPr>
          <w:b w:val="0"/>
          <w:sz w:val="20"/>
          <w:lang w:val="en-GB"/>
        </w:rPr>
        <w:t xml:space="preserve">studies to understand the </w:t>
      </w:r>
      <w:r w:rsidR="00A60821">
        <w:rPr>
          <w:b w:val="0"/>
          <w:sz w:val="20"/>
          <w:lang w:val="en-GB"/>
        </w:rPr>
        <w:t xml:space="preserve">feasibility of using ACS for </w:t>
      </w:r>
      <w:r w:rsidR="001D612F">
        <w:rPr>
          <w:b w:val="0"/>
          <w:sz w:val="20"/>
          <w:lang w:val="en-GB"/>
        </w:rPr>
        <w:t xml:space="preserve">the </w:t>
      </w:r>
      <w:r w:rsidR="00A45A20">
        <w:rPr>
          <w:b w:val="0"/>
          <w:sz w:val="20"/>
          <w:lang w:val="en-GB"/>
        </w:rPr>
        <w:t>production of methanol</w:t>
      </w:r>
      <w:r w:rsidR="0478E5FD" w:rsidRPr="00080D13">
        <w:rPr>
          <w:b w:val="0"/>
          <w:sz w:val="20"/>
          <w:lang w:val="en-GB"/>
        </w:rPr>
        <w:t xml:space="preserve">. For instance, </w:t>
      </w:r>
      <w:r w:rsidRPr="00080D13">
        <w:rPr>
          <w:b w:val="0"/>
          <w:sz w:val="20"/>
          <w:lang w:val="en-GB"/>
        </w:rPr>
        <w:fldChar w:fldCharType="begin" w:fldLock="1"/>
      </w:r>
      <w:r w:rsidRPr="00080D13">
        <w:rPr>
          <w:b w:val="0"/>
          <w:sz w:val="20"/>
          <w:lang w:val="en-GB"/>
        </w:rPr>
        <w:instrText>ADDIN CSL_CITATION {"citationItems":[{"id":"ITEM-1","itemData":{"DOI":"10.1016/j.jcou.2022.102345","ISSN":"22129820","abstract":"This paper aims to present a pre-feasibility study of a power-to-fuel plant configuration designed for the production of 500 kg/h of renewable methanol (e-methanol) from green hydrogen and captured carbon dioxide. Hydrogen is obtained by water electrolysis employing the overproduction of renewable electricity. Carbon dioxide is assumed to be separated from the flue gas of a conventional power station by means of an amine-based CO2absorption system. A comprehensive process model has been developed with the support of Aspen Plus tool to simulate all the plant sections and the overall system. After the process optimization, a detailed economic analysis - based on capital and operating costs derived from commercial-scale experience and assuming a 20-year lifetime - has been performed to calculate a levelized cost of methanol (LCoM) of 960 €/t (about 175 €/MWh). The analysis confirms that, today, the technology is still not competitive from the economic point of view, being LCoM more than double than the current methanol price in the international market (450 €/t). However, it indicates that the process is expected to become competitive in a mid-term future, as a consequence of the new European policies. The study also reveals that LCoM is mainly affected by the electricity price and the electrolyser capital cost, as well as the capacity factor of the plant.","author":[{"dropping-particle":"","family":"Sollai","given":"Stefano","non-dropping-particle":"","parse-names":false,"suffix":""},{"dropping-particle":"","family":"Porcu","given":"Andrea","non-dropping-particle":"","parse-names":false,"suffix":""},{"dropping-particle":"","family":"Tola","given":"Vittorio","non-dropping-particle":"","parse-names":false,"suffix":""},{"dropping-particle":"","family":"Ferrara","given":"Francesca","non-dropping-particle":"","parse-names":false,"suffix":""},{"dropping-particle":"","family":"Pettinau","given":"Alberto","non-dropping-particle":"","parse-names":false,"suffix":""}],"container-title":"Journal of CO2 Utilization","id":"ITEM-1","issue":"November 2022","issued":{"date-parts":[["2023","2"]]},"page":"102345","publisher":"Elsevier Ltd","title":"Renewable methanol production from green hydrogen and captured CO2: A techno-economic assessment","type":"article-journal","volume":"68"},"uris":["http://www.mendeley.com/documents/?uuid=2f33957a-330d-45cf-9cb0-a7a4fd85ffb4"]}],"mendeley":{"formattedCitation":"(Sollai et al., 2023)","manualFormatting":"Sollai et al., (2023)","plainTextFormattedCitation":"(Sollai et al., 2023)","previouslyFormattedCitation":"(Sollai et al., 2023)"},"properties":{"noteIndex":0},"schema":"https://github.com/citation-style-language/schema/raw/master/csl-citation.json"}</w:instrText>
      </w:r>
      <w:r w:rsidRPr="00080D13">
        <w:rPr>
          <w:b w:val="0"/>
          <w:sz w:val="20"/>
          <w:lang w:val="en-GB"/>
        </w:rPr>
        <w:fldChar w:fldCharType="separate"/>
      </w:r>
      <w:r w:rsidR="4CCF05E2" w:rsidRPr="00080D13">
        <w:rPr>
          <w:b w:val="0"/>
          <w:sz w:val="20"/>
          <w:lang w:val="en-GB"/>
        </w:rPr>
        <w:t xml:space="preserve">Sollai et al., </w:t>
      </w:r>
      <w:r w:rsidR="50930B7C" w:rsidRPr="00080D13">
        <w:rPr>
          <w:b w:val="0"/>
          <w:sz w:val="20"/>
          <w:lang w:val="en-GB"/>
        </w:rPr>
        <w:t>(</w:t>
      </w:r>
      <w:r w:rsidR="4CCF05E2" w:rsidRPr="00080D13">
        <w:rPr>
          <w:b w:val="0"/>
          <w:sz w:val="20"/>
          <w:lang w:val="en-GB"/>
        </w:rPr>
        <w:t>2023)</w:t>
      </w:r>
      <w:r w:rsidRPr="00080D13">
        <w:rPr>
          <w:b w:val="0"/>
          <w:sz w:val="20"/>
          <w:lang w:val="en-GB"/>
        </w:rPr>
        <w:fldChar w:fldCharType="end"/>
      </w:r>
      <w:r w:rsidR="4CCF05E2" w:rsidRPr="00080D13">
        <w:rPr>
          <w:b w:val="0"/>
          <w:sz w:val="20"/>
          <w:lang w:val="en-GB"/>
        </w:rPr>
        <w:t xml:space="preserve"> </w:t>
      </w:r>
      <w:r w:rsidR="0B980012" w:rsidRPr="00080D13">
        <w:rPr>
          <w:b w:val="0"/>
          <w:sz w:val="20"/>
          <w:lang w:val="en-GB"/>
        </w:rPr>
        <w:t>conducted</w:t>
      </w:r>
      <w:r w:rsidR="54CE450B" w:rsidRPr="00080D13">
        <w:rPr>
          <w:b w:val="0"/>
          <w:sz w:val="20"/>
          <w:lang w:val="en-GB"/>
        </w:rPr>
        <w:t xml:space="preserve"> a</w:t>
      </w:r>
      <w:r w:rsidR="0B980012" w:rsidRPr="00080D13">
        <w:rPr>
          <w:b w:val="0"/>
          <w:sz w:val="20"/>
          <w:lang w:val="en-GB"/>
        </w:rPr>
        <w:t xml:space="preserve"> techno-economic assessment (TEA) for the production of green methanol using </w:t>
      </w:r>
      <w:r w:rsidR="0C1DA183" w:rsidRPr="00080D13">
        <w:rPr>
          <w:b w:val="0"/>
          <w:sz w:val="20"/>
          <w:lang w:val="en-GB"/>
        </w:rPr>
        <w:t xml:space="preserve">captured </w:t>
      </w:r>
      <w:r w:rsidR="0B980012" w:rsidRPr="00080D13">
        <w:rPr>
          <w:b w:val="0"/>
          <w:sz w:val="20"/>
          <w:lang w:val="en-GB"/>
        </w:rPr>
        <w:t>CO</w:t>
      </w:r>
      <w:r w:rsidR="0B980012" w:rsidRPr="00F672C7">
        <w:rPr>
          <w:b w:val="0"/>
          <w:sz w:val="20"/>
          <w:vertAlign w:val="subscript"/>
          <w:lang w:val="en-GB"/>
        </w:rPr>
        <w:t>2</w:t>
      </w:r>
      <w:r w:rsidR="0B980012" w:rsidRPr="00080D13">
        <w:rPr>
          <w:b w:val="0"/>
          <w:sz w:val="20"/>
          <w:lang w:val="en-GB"/>
        </w:rPr>
        <w:t xml:space="preserve"> </w:t>
      </w:r>
      <w:r w:rsidR="4CCF05E2" w:rsidRPr="00080D13">
        <w:rPr>
          <w:b w:val="0"/>
          <w:sz w:val="20"/>
          <w:lang w:val="en-GB"/>
        </w:rPr>
        <w:t xml:space="preserve">from flue gas </w:t>
      </w:r>
      <w:r w:rsidR="0B980012" w:rsidRPr="00080D13">
        <w:rPr>
          <w:b w:val="0"/>
          <w:sz w:val="20"/>
          <w:lang w:val="en-GB"/>
        </w:rPr>
        <w:t xml:space="preserve">and </w:t>
      </w:r>
      <w:r w:rsidR="763F5946" w:rsidRPr="00080D13">
        <w:rPr>
          <w:b w:val="0"/>
          <w:sz w:val="20"/>
          <w:lang w:val="en-GB"/>
        </w:rPr>
        <w:t xml:space="preserve"> hydrogen from a </w:t>
      </w:r>
      <w:r w:rsidR="4CCF05E2" w:rsidRPr="00080D13">
        <w:rPr>
          <w:b w:val="0"/>
          <w:sz w:val="20"/>
          <w:lang w:val="en-GB"/>
        </w:rPr>
        <w:t>proton exchange membrane (PEM)</w:t>
      </w:r>
      <w:r w:rsidR="0B980012" w:rsidRPr="00080D13">
        <w:rPr>
          <w:b w:val="0"/>
          <w:sz w:val="20"/>
          <w:lang w:val="en-GB"/>
        </w:rPr>
        <w:t xml:space="preserve"> water electrolys</w:t>
      </w:r>
      <w:r w:rsidR="3625FF7A" w:rsidRPr="00080D13">
        <w:rPr>
          <w:b w:val="0"/>
          <w:sz w:val="20"/>
          <w:lang w:val="en-GB"/>
        </w:rPr>
        <w:t>er</w:t>
      </w:r>
      <w:r w:rsidR="684103DB" w:rsidRPr="00080D13">
        <w:rPr>
          <w:b w:val="0"/>
          <w:sz w:val="20"/>
          <w:lang w:val="en-GB"/>
        </w:rPr>
        <w:t xml:space="preserve"> (WE)</w:t>
      </w:r>
      <w:r w:rsidR="0B980012" w:rsidRPr="00080D13">
        <w:rPr>
          <w:b w:val="0"/>
          <w:sz w:val="20"/>
          <w:lang w:val="en-GB"/>
        </w:rPr>
        <w:t xml:space="preserve">. </w:t>
      </w:r>
      <w:r w:rsidR="78DDE4F5" w:rsidRPr="00080D13">
        <w:rPr>
          <w:b w:val="0"/>
          <w:sz w:val="20"/>
          <w:lang w:val="en-GB"/>
        </w:rPr>
        <w:t>The study</w:t>
      </w:r>
      <w:r w:rsidR="0B980012" w:rsidRPr="00080D13">
        <w:rPr>
          <w:b w:val="0"/>
          <w:sz w:val="20"/>
          <w:lang w:val="en-GB"/>
        </w:rPr>
        <w:t xml:space="preserve"> </w:t>
      </w:r>
      <w:r w:rsidR="4CCF05E2" w:rsidRPr="00080D13">
        <w:rPr>
          <w:b w:val="0"/>
          <w:sz w:val="20"/>
          <w:lang w:val="en-GB"/>
        </w:rPr>
        <w:t>showed</w:t>
      </w:r>
      <w:r w:rsidR="0B980012" w:rsidRPr="00080D13">
        <w:rPr>
          <w:b w:val="0"/>
          <w:sz w:val="20"/>
          <w:lang w:val="en-GB"/>
        </w:rPr>
        <w:t xml:space="preserve"> that</w:t>
      </w:r>
      <w:r w:rsidR="4CCF05E2" w:rsidRPr="00080D13">
        <w:rPr>
          <w:b w:val="0"/>
          <w:sz w:val="20"/>
          <w:lang w:val="en-GB"/>
        </w:rPr>
        <w:t xml:space="preserve"> </w:t>
      </w:r>
      <w:r w:rsidR="00867D87" w:rsidRPr="00080D13">
        <w:rPr>
          <w:b w:val="0"/>
          <w:sz w:val="20"/>
          <w:lang w:val="en-GB"/>
        </w:rPr>
        <w:t>a</w:t>
      </w:r>
      <w:r w:rsidR="6286815B" w:rsidRPr="00080D13">
        <w:rPr>
          <w:b w:val="0"/>
          <w:sz w:val="20"/>
          <w:lang w:val="en-GB"/>
        </w:rPr>
        <w:t xml:space="preserve"> </w:t>
      </w:r>
      <w:r w:rsidR="0073577E">
        <w:rPr>
          <w:b w:val="0"/>
          <w:sz w:val="20"/>
          <w:lang w:val="en-GB"/>
        </w:rPr>
        <w:t xml:space="preserve">MSP </w:t>
      </w:r>
      <w:r w:rsidR="0B980012" w:rsidRPr="00080D13">
        <w:rPr>
          <w:b w:val="0"/>
          <w:sz w:val="20"/>
          <w:lang w:val="en-GB"/>
        </w:rPr>
        <w:t xml:space="preserve">of </w:t>
      </w:r>
      <w:r w:rsidR="4CCF05E2" w:rsidRPr="00080D13">
        <w:rPr>
          <w:b w:val="0"/>
          <w:sz w:val="20"/>
          <w:lang w:val="en-GB"/>
        </w:rPr>
        <w:t>960</w:t>
      </w:r>
      <w:r w:rsidR="0B980012" w:rsidRPr="00080D13">
        <w:rPr>
          <w:b w:val="0"/>
          <w:sz w:val="20"/>
          <w:lang w:val="en-GB"/>
        </w:rPr>
        <w:t xml:space="preserve"> EUR/t </w:t>
      </w:r>
      <w:r w:rsidR="4CCF05E2" w:rsidRPr="00080D13">
        <w:rPr>
          <w:b w:val="0"/>
          <w:sz w:val="20"/>
          <w:lang w:val="en-GB"/>
        </w:rPr>
        <w:t>is required to achieve break-even in 20 years</w:t>
      </w:r>
      <w:r w:rsidR="005B7796">
        <w:rPr>
          <w:b w:val="0"/>
          <w:sz w:val="20"/>
          <w:lang w:val="en-GB"/>
        </w:rPr>
        <w:t xml:space="preserve"> for a</w:t>
      </w:r>
      <w:r w:rsidR="007D64B9">
        <w:rPr>
          <w:b w:val="0"/>
          <w:sz w:val="20"/>
          <w:lang w:val="en-GB"/>
        </w:rPr>
        <w:t>n</w:t>
      </w:r>
      <w:r w:rsidR="005B7796">
        <w:rPr>
          <w:b w:val="0"/>
          <w:sz w:val="20"/>
          <w:lang w:val="en-GB"/>
        </w:rPr>
        <w:t xml:space="preserve"> </w:t>
      </w:r>
      <w:r w:rsidR="007D64B9" w:rsidRPr="00080D13">
        <w:rPr>
          <w:b w:val="0"/>
          <w:sz w:val="20"/>
          <w:lang w:val="en-GB"/>
        </w:rPr>
        <w:t>internal rate of return (IRR)</w:t>
      </w:r>
      <w:r w:rsidR="007D64B9">
        <w:rPr>
          <w:b w:val="0"/>
          <w:sz w:val="20"/>
          <w:lang w:val="en-GB"/>
        </w:rPr>
        <w:t xml:space="preserve"> </w:t>
      </w:r>
      <w:r w:rsidR="005B7796">
        <w:rPr>
          <w:b w:val="0"/>
          <w:sz w:val="20"/>
          <w:lang w:val="en-GB"/>
        </w:rPr>
        <w:t>of 8%.</w:t>
      </w:r>
      <w:r w:rsidR="5EC018AB" w:rsidRPr="00080D13">
        <w:rPr>
          <w:b w:val="0"/>
          <w:sz w:val="20"/>
          <w:lang w:val="en-GB"/>
        </w:rPr>
        <w:t xml:space="preserve"> </w:t>
      </w:r>
      <w:r w:rsidR="614CF8BC" w:rsidRPr="00080D13">
        <w:rPr>
          <w:b w:val="0"/>
          <w:sz w:val="20"/>
          <w:lang w:val="en-GB"/>
        </w:rPr>
        <w:t>A</w:t>
      </w:r>
      <w:r w:rsidR="50930B7C" w:rsidRPr="00080D13">
        <w:rPr>
          <w:b w:val="0"/>
          <w:sz w:val="20"/>
          <w:lang w:val="en-GB"/>
        </w:rPr>
        <w:t>lmost 97% of the variable cost and 52% of the bare equipment cost was due to the PEM electrolys</w:t>
      </w:r>
      <w:r w:rsidR="21661CE5" w:rsidRPr="00080D13">
        <w:rPr>
          <w:b w:val="0"/>
          <w:sz w:val="20"/>
          <w:lang w:val="en-GB"/>
        </w:rPr>
        <w:t>er</w:t>
      </w:r>
      <w:r w:rsidR="50930B7C" w:rsidRPr="00080D13">
        <w:rPr>
          <w:b w:val="0"/>
          <w:sz w:val="20"/>
          <w:lang w:val="en-GB"/>
        </w:rPr>
        <w:t>.</w:t>
      </w:r>
      <w:r w:rsidR="3536B844" w:rsidRPr="00080D13">
        <w:rPr>
          <w:b w:val="0"/>
          <w:sz w:val="20"/>
          <w:lang w:val="en-GB"/>
        </w:rPr>
        <w:t xml:space="preserve"> </w:t>
      </w:r>
      <w:r w:rsidR="00A60821">
        <w:rPr>
          <w:b w:val="0"/>
          <w:sz w:val="20"/>
          <w:lang w:val="en-GB"/>
        </w:rPr>
        <w:t>I</w:t>
      </w:r>
      <w:r w:rsidR="51074E56" w:rsidRPr="00080D13">
        <w:rPr>
          <w:b w:val="0"/>
          <w:sz w:val="20"/>
          <w:lang w:val="en-GB"/>
        </w:rPr>
        <w:t xml:space="preserve">n </w:t>
      </w:r>
      <w:r w:rsidR="00A60821">
        <w:rPr>
          <w:b w:val="0"/>
          <w:sz w:val="20"/>
          <w:lang w:val="en-GB"/>
        </w:rPr>
        <w:t xml:space="preserve">the case of </w:t>
      </w:r>
      <w:r w:rsidR="3536B844" w:rsidRPr="00080D13">
        <w:rPr>
          <w:b w:val="0"/>
          <w:sz w:val="20"/>
          <w:lang w:val="en-GB"/>
        </w:rPr>
        <w:t>biomass</w:t>
      </w:r>
      <w:r w:rsidR="45E5A333" w:rsidRPr="00080D13">
        <w:rPr>
          <w:b w:val="0"/>
          <w:sz w:val="20"/>
          <w:lang w:val="en-GB"/>
        </w:rPr>
        <w:t>-</w:t>
      </w:r>
      <w:r w:rsidR="3536B844" w:rsidRPr="00080D13">
        <w:rPr>
          <w:b w:val="0"/>
          <w:sz w:val="20"/>
          <w:lang w:val="en-GB"/>
        </w:rPr>
        <w:t xml:space="preserve">based methanol </w:t>
      </w:r>
      <w:r w:rsidR="2BE50495" w:rsidRPr="00080D13">
        <w:rPr>
          <w:b w:val="0"/>
          <w:sz w:val="20"/>
          <w:lang w:val="en-GB"/>
        </w:rPr>
        <w:t xml:space="preserve">the price varied according to the technology. For example, </w:t>
      </w:r>
      <w:r w:rsidRPr="00080D13">
        <w:rPr>
          <w:b w:val="0"/>
          <w:sz w:val="20"/>
          <w:lang w:val="en-GB"/>
        </w:rPr>
        <w:fldChar w:fldCharType="begin" w:fldLock="1"/>
      </w:r>
      <w:r w:rsidRPr="00080D13">
        <w:rPr>
          <w:b w:val="0"/>
          <w:sz w:val="20"/>
          <w:lang w:val="en-GB"/>
        </w:rPr>
        <w:instrText>ADDIN CSL_CITATION {"citationItems":[{"id":"ITEM-1","itemData":{"DOI":"10.1016/j.enconman.2022.115440","ISSN":"01968904","abstract":"At scale, biomass-based fuels are seen as long-term alternatives to conventional shipping fuels to reduce greenhouse gas emissions in the maritime sector. While the operational benefits of renewable methanol as a marine fuel are well-known, its cost and environmental performance depend largely on production method and geographic context. In this study, a techno-economic and environmental assessment of renewable methanol produced by gasification of forestry residues is performed. Two biorefinery systems are modeled thermodynamically for the first time, integrating several design changes to extend past work: (1) methanol synthesized by gasification of torrefied biomass while removing and storing underground a fraction of the carbon initially contained in it, and (2) integration of a polymer electrolyte membrane (PEM) electrolyzer for increased carbon efficiency via hydrogen injection into the methanol synthesis process. The chosen use case is set in California, with forest residue biomass as the feedstock and the ports of Los Angeles and Long Beach as the shipping fuel demand point. Methanol produced by both systems achieves substantial lifecycle greenhouse gas emissions savings compared to traditional shipping fuels, ranging from 38 to 165%, from biomass roadside to methanol combustion. Renewable methanol can be carbon-negative if the CO2 captured during the biomass conversion process is sequestered underground with net greenhouse gas emissions along the lifecycle amounting to −57 gCO2eq/MJ. While the produced methanol in both pathways is still more expensive than conventional fossil fuels, the introduction of CO2eq abatement incentives available in the U.S. and California could bring down minimum fuel selling prices substantially. The produced methanol can be competitive with fossil shipping fuels at credit amounts ranging from $150 to $300/tCO2eq, depending on the eligible credits.","author":[{"dropping-particle":"","family":"Fournas","given":"Nicolas","non-dropping-particle":"de","parse-names":false,"suffix":""},{"dropping-particle":"","family":"Wei","given":"Max","non-dropping-particle":"","parse-names":false,"suffix":""}],"container-title":"Energy Conversion and Management","id":"ITEM-1","issue":"December 2021","issued":{"date-parts":[["2022","4"]]},"page":"115440","publisher":"Elsevier Ltd","title":"Techno-economic assessment of renewable methanol from biomass gasification and PEM electrolysis for decarbonization of the maritime sector in California","type":"article-journal","volume":"257"},"uris":["http://www.mendeley.com/documents/?uuid=cde53781-1ef0-41fd-a235-82aa01baa086"]}],"mendeley":{"formattedCitation":"(de Fournas &amp; Wei, 2022)","manualFormatting":"de Fournas &amp; Wei, (2022)","plainTextFormattedCitation":"(de Fournas &amp; Wei, 2022)","previouslyFormattedCitation":"(de Fournas &amp; Wei, 2022)"},"properties":{"noteIndex":0},"schema":"https://github.com/citation-style-language/schema/raw/master/csl-citation.json"}</w:instrText>
      </w:r>
      <w:r w:rsidRPr="00080D13">
        <w:rPr>
          <w:b w:val="0"/>
          <w:sz w:val="20"/>
          <w:lang w:val="en-GB"/>
        </w:rPr>
        <w:fldChar w:fldCharType="separate"/>
      </w:r>
      <w:r w:rsidR="28D5A16C" w:rsidRPr="00080D13">
        <w:rPr>
          <w:b w:val="0"/>
          <w:sz w:val="20"/>
          <w:lang w:val="en-GB"/>
        </w:rPr>
        <w:t>de Fournas &amp; Wei, (2022)</w:t>
      </w:r>
      <w:r w:rsidRPr="00080D13">
        <w:rPr>
          <w:b w:val="0"/>
          <w:sz w:val="20"/>
          <w:lang w:val="en-GB"/>
        </w:rPr>
        <w:fldChar w:fldCharType="end"/>
      </w:r>
      <w:r w:rsidRPr="00080D13">
        <w:rPr>
          <w:b w:val="0"/>
          <w:sz w:val="20"/>
          <w:lang w:val="en-GB"/>
        </w:rPr>
        <w:t xml:space="preserve"> </w:t>
      </w:r>
      <w:r w:rsidR="2BE50495" w:rsidRPr="00080D13">
        <w:rPr>
          <w:b w:val="0"/>
          <w:sz w:val="20"/>
          <w:lang w:val="en-GB"/>
        </w:rPr>
        <w:t>compared the production of methanol using oxygen gasification</w:t>
      </w:r>
      <w:r w:rsidR="198B478A" w:rsidRPr="00080D13">
        <w:rPr>
          <w:b w:val="0"/>
          <w:sz w:val="20"/>
          <w:lang w:val="en-GB"/>
        </w:rPr>
        <w:t xml:space="preserve"> of biomass</w:t>
      </w:r>
      <w:r w:rsidR="2BE50495" w:rsidRPr="00080D13">
        <w:rPr>
          <w:b w:val="0"/>
          <w:sz w:val="20"/>
          <w:lang w:val="en-GB"/>
        </w:rPr>
        <w:t xml:space="preserve"> </w:t>
      </w:r>
      <w:r w:rsidR="006F4C13">
        <w:rPr>
          <w:b w:val="0"/>
          <w:sz w:val="20"/>
          <w:lang w:val="en-GB"/>
        </w:rPr>
        <w:t>with</w:t>
      </w:r>
      <w:r w:rsidR="2BE50495" w:rsidRPr="00080D13">
        <w:rPr>
          <w:b w:val="0"/>
          <w:sz w:val="20"/>
          <w:lang w:val="en-GB"/>
        </w:rPr>
        <w:t xml:space="preserve"> CO</w:t>
      </w:r>
      <w:r w:rsidR="2BE50495" w:rsidRPr="00F672C7">
        <w:rPr>
          <w:b w:val="0"/>
          <w:sz w:val="20"/>
          <w:vertAlign w:val="subscript"/>
          <w:lang w:val="en-GB"/>
        </w:rPr>
        <w:t>2</w:t>
      </w:r>
      <w:r w:rsidR="2BE50495" w:rsidRPr="00080D13">
        <w:rPr>
          <w:b w:val="0"/>
          <w:sz w:val="20"/>
          <w:lang w:val="en-GB"/>
        </w:rPr>
        <w:t xml:space="preserve"> storage </w:t>
      </w:r>
      <w:r w:rsidR="006F4C13">
        <w:rPr>
          <w:b w:val="0"/>
          <w:sz w:val="20"/>
          <w:lang w:val="en-GB"/>
        </w:rPr>
        <w:t>and</w:t>
      </w:r>
      <w:r w:rsidR="2BE50495" w:rsidRPr="00080D13">
        <w:rPr>
          <w:b w:val="0"/>
          <w:sz w:val="20"/>
          <w:lang w:val="en-GB"/>
        </w:rPr>
        <w:t xml:space="preserve"> PEM</w:t>
      </w:r>
      <w:r w:rsidR="684103DB" w:rsidRPr="00080D13">
        <w:rPr>
          <w:b w:val="0"/>
          <w:sz w:val="20"/>
          <w:lang w:val="en-GB"/>
        </w:rPr>
        <w:t>-WE</w:t>
      </w:r>
      <w:r w:rsidR="2BE50495" w:rsidRPr="00080D13">
        <w:rPr>
          <w:b w:val="0"/>
          <w:sz w:val="20"/>
          <w:lang w:val="en-GB"/>
        </w:rPr>
        <w:t xml:space="preserve"> for </w:t>
      </w:r>
      <w:r w:rsidR="006F4C13">
        <w:rPr>
          <w:b w:val="0"/>
          <w:sz w:val="20"/>
          <w:lang w:val="en-GB"/>
        </w:rPr>
        <w:t>varying</w:t>
      </w:r>
      <w:r w:rsidR="2BE50495" w:rsidRPr="00080D13">
        <w:rPr>
          <w:b w:val="0"/>
          <w:sz w:val="20"/>
          <w:lang w:val="en-GB"/>
        </w:rPr>
        <w:t xml:space="preserve"> </w:t>
      </w:r>
      <w:r w:rsidR="006F4C13">
        <w:rPr>
          <w:b w:val="0"/>
          <w:sz w:val="20"/>
          <w:lang w:val="en-GB"/>
        </w:rPr>
        <w:t xml:space="preserve">feedstock </w:t>
      </w:r>
      <w:r w:rsidR="2BE50495" w:rsidRPr="00080D13">
        <w:rPr>
          <w:b w:val="0"/>
          <w:sz w:val="20"/>
          <w:lang w:val="en-GB"/>
        </w:rPr>
        <w:t xml:space="preserve">carbon </w:t>
      </w:r>
      <w:r w:rsidR="2BE50495" w:rsidRPr="00080D13">
        <w:rPr>
          <w:b w:val="0"/>
          <w:sz w:val="20"/>
          <w:lang w:val="en-GB"/>
        </w:rPr>
        <w:lastRenderedPageBreak/>
        <w:t xml:space="preserve">utilisation. </w:t>
      </w:r>
      <w:r w:rsidR="331F7626" w:rsidRPr="00080D13">
        <w:rPr>
          <w:b w:val="0"/>
          <w:sz w:val="20"/>
          <w:lang w:val="en-GB"/>
        </w:rPr>
        <w:t>F</w:t>
      </w:r>
      <w:r w:rsidR="2BE50495" w:rsidRPr="00080D13">
        <w:rPr>
          <w:b w:val="0"/>
          <w:sz w:val="20"/>
          <w:lang w:val="en-GB"/>
        </w:rPr>
        <w:t xml:space="preserve">or </w:t>
      </w:r>
      <w:r w:rsidR="70CF0928" w:rsidRPr="00080D13">
        <w:rPr>
          <w:b w:val="0"/>
          <w:sz w:val="20"/>
          <w:lang w:val="en-GB"/>
        </w:rPr>
        <w:t xml:space="preserve">the </w:t>
      </w:r>
      <w:r w:rsidR="2BE50495" w:rsidRPr="00080D13">
        <w:rPr>
          <w:b w:val="0"/>
          <w:sz w:val="20"/>
          <w:lang w:val="en-GB"/>
        </w:rPr>
        <w:t xml:space="preserve">biomass </w:t>
      </w:r>
      <w:r w:rsidR="1DD5CF0D" w:rsidRPr="00080D13">
        <w:rPr>
          <w:b w:val="0"/>
          <w:sz w:val="20"/>
          <w:lang w:val="en-GB"/>
        </w:rPr>
        <w:t xml:space="preserve">based </w:t>
      </w:r>
      <w:r w:rsidR="2BE50495" w:rsidRPr="00080D13">
        <w:rPr>
          <w:b w:val="0"/>
          <w:sz w:val="20"/>
          <w:lang w:val="en-GB"/>
        </w:rPr>
        <w:t xml:space="preserve">methanol, </w:t>
      </w:r>
      <w:r w:rsidR="006C5C28">
        <w:rPr>
          <w:b w:val="0"/>
          <w:sz w:val="20"/>
          <w:lang w:val="en-GB"/>
        </w:rPr>
        <w:t xml:space="preserve">they reported that </w:t>
      </w:r>
      <w:r w:rsidR="006F4C13">
        <w:rPr>
          <w:b w:val="0"/>
          <w:sz w:val="20"/>
          <w:lang w:val="en-GB"/>
        </w:rPr>
        <w:t xml:space="preserve">based on the feedstock carbon utilisation, </w:t>
      </w:r>
      <w:r w:rsidR="2BE50495" w:rsidRPr="00080D13">
        <w:rPr>
          <w:b w:val="0"/>
          <w:sz w:val="20"/>
          <w:lang w:val="en-GB"/>
        </w:rPr>
        <w:t xml:space="preserve">a </w:t>
      </w:r>
      <w:r w:rsidR="0073577E">
        <w:rPr>
          <w:b w:val="0"/>
          <w:sz w:val="20"/>
          <w:lang w:val="en-GB"/>
        </w:rPr>
        <w:t xml:space="preserve">MSP </w:t>
      </w:r>
      <w:r w:rsidR="2BE50495" w:rsidRPr="00080D13">
        <w:rPr>
          <w:b w:val="0"/>
          <w:sz w:val="20"/>
          <w:lang w:val="en-GB"/>
        </w:rPr>
        <w:t xml:space="preserve">between 700-1000 </w:t>
      </w:r>
      <w:r w:rsidR="71873677" w:rsidRPr="00080D13">
        <w:rPr>
          <w:b w:val="0"/>
          <w:sz w:val="20"/>
          <w:lang w:val="en-GB"/>
        </w:rPr>
        <w:t>EUR</w:t>
      </w:r>
      <w:r w:rsidR="2BE50495" w:rsidRPr="00080D13">
        <w:rPr>
          <w:b w:val="0"/>
          <w:sz w:val="20"/>
          <w:lang w:val="en-GB"/>
        </w:rPr>
        <w:t>/t is required to achieve break-even in 25 years</w:t>
      </w:r>
      <w:r w:rsidR="005B7796">
        <w:rPr>
          <w:b w:val="0"/>
          <w:sz w:val="20"/>
          <w:lang w:val="en-GB"/>
        </w:rPr>
        <w:t xml:space="preserve"> for a</w:t>
      </w:r>
      <w:r w:rsidR="007D64B9">
        <w:rPr>
          <w:b w:val="0"/>
          <w:sz w:val="20"/>
          <w:lang w:val="en-GB"/>
        </w:rPr>
        <w:t>n</w:t>
      </w:r>
      <w:r w:rsidR="005B7796">
        <w:rPr>
          <w:b w:val="0"/>
          <w:sz w:val="20"/>
          <w:lang w:val="en-GB"/>
        </w:rPr>
        <w:t xml:space="preserve"> </w:t>
      </w:r>
      <w:r w:rsidR="007D64B9">
        <w:rPr>
          <w:b w:val="0"/>
          <w:sz w:val="20"/>
          <w:lang w:val="en-GB"/>
        </w:rPr>
        <w:t xml:space="preserve">IRR </w:t>
      </w:r>
      <w:r w:rsidR="005B7796">
        <w:rPr>
          <w:b w:val="0"/>
          <w:sz w:val="20"/>
          <w:lang w:val="en-GB"/>
        </w:rPr>
        <w:t>of 8%</w:t>
      </w:r>
      <w:r w:rsidR="2BE50495" w:rsidRPr="00080D13">
        <w:rPr>
          <w:b w:val="0"/>
          <w:sz w:val="20"/>
          <w:lang w:val="en-GB"/>
        </w:rPr>
        <w:t xml:space="preserve">. </w:t>
      </w:r>
      <w:r w:rsidRPr="00080D13">
        <w:rPr>
          <w:b w:val="0"/>
          <w:sz w:val="20"/>
          <w:lang w:val="en-GB"/>
        </w:rPr>
        <w:fldChar w:fldCharType="begin" w:fldLock="1"/>
      </w:r>
      <w:r w:rsidRPr="00080D13">
        <w:rPr>
          <w:b w:val="0"/>
          <w:sz w:val="20"/>
          <w:lang w:val="en-GB"/>
        </w:rPr>
        <w:instrText>ADDIN CSL_CITATION {"citationItems":[{"id":"ITEM-1","itemData":{"DOI":"10.1039/D3GC00679D","ISSN":"1463-9262","abstract":"This work examines the feasibility of a greenfield mixed plastics waste gasification facility with process modeling, TEA, and LCA.","author":[{"dropping-particle":"","family":"Afzal","given":"Shaik","non-dropping-particle":"","parse-names":false,"suffix":""},{"dropping-particle":"","family":"Singh","given":"Avantika","non-dropping-particle":"","parse-names":false,"suffix":""},{"dropping-particle":"","family":"Nicholson","given":"Scott R.","non-dropping-particle":"","parse-names":false,"suffix":""},{"dropping-particle":"","family":"Uekert","given":"Taylor","non-dropping-particle":"","parse-names":false,"suffix":""},{"dropping-particle":"","family":"DesVeaux","given":"Jason S.","non-dropping-particle":"","parse-names":false,"suffix":""},{"dropping-particle":"","family":"Tan","given":"Eric C. D.","non-dropping-particle":"","parse-names":false,"suffix":""},{"dropping-particle":"","family":"Dutta","given":"Abhijit","non-dropping-particle":"","parse-names":false,"suffix":""},{"dropping-particle":"","family":"Carpenter","given":"Alberta C.","non-dropping-particle":"","parse-names":false,"suffix":""},{"dropping-particle":"","family":"Baldwin","given":"Robert M.","non-dropping-particle":"","parse-names":false,"suffix":""},{"dropping-particle":"","family":"Beckham","given":"Gregg T.","non-dropping-particle":"","parse-names":false,"suffix":""}],"container-title":"Green Chemistry","id":"ITEM-1","issue":"13","issued":{"date-parts":[["2023"]]},"page":"5068-5085","publisher":"Royal Society of Chemistry","title":"Techno-economic analysis and life cycle assessment of mixed plastic waste gasification for production of methanol and hydrogen","type":"article-journal","volume":"25"},"uris":["http://www.mendeley.com/documents/?uuid=9fa82c79-2b78-49b1-a7ec-27267dd7da5b"]}],"mendeley":{"formattedCitation":"(Afzal et al., 2023)","manualFormatting":"Afzal et al., (2023)","plainTextFormattedCitation":"(Afzal et al., 2023)","previouslyFormattedCitation":"(Afzal et al., 2023)"},"properties":{"noteIndex":0},"schema":"https://github.com/citation-style-language/schema/raw/master/csl-citation.json"}</w:instrText>
      </w:r>
      <w:r w:rsidRPr="00080D13">
        <w:rPr>
          <w:b w:val="0"/>
          <w:sz w:val="20"/>
          <w:lang w:val="en-GB"/>
        </w:rPr>
        <w:fldChar w:fldCharType="separate"/>
      </w:r>
      <w:r w:rsidR="0478E5FD" w:rsidRPr="00080D13">
        <w:rPr>
          <w:b w:val="0"/>
          <w:sz w:val="20"/>
          <w:lang w:val="en-GB"/>
        </w:rPr>
        <w:t xml:space="preserve">Afzal et al., </w:t>
      </w:r>
      <w:r w:rsidR="50930B7C" w:rsidRPr="00080D13">
        <w:rPr>
          <w:b w:val="0"/>
          <w:sz w:val="20"/>
          <w:lang w:val="en-GB"/>
        </w:rPr>
        <w:t>(</w:t>
      </w:r>
      <w:r w:rsidR="0478E5FD" w:rsidRPr="00080D13">
        <w:rPr>
          <w:b w:val="0"/>
          <w:sz w:val="20"/>
          <w:lang w:val="en-GB"/>
        </w:rPr>
        <w:t>2023)</w:t>
      </w:r>
      <w:r w:rsidRPr="00080D13">
        <w:rPr>
          <w:b w:val="0"/>
          <w:sz w:val="20"/>
          <w:lang w:val="en-GB"/>
        </w:rPr>
        <w:fldChar w:fldCharType="end"/>
      </w:r>
      <w:r w:rsidR="0478E5FD" w:rsidRPr="00080D13">
        <w:rPr>
          <w:b w:val="0"/>
          <w:sz w:val="20"/>
          <w:lang w:val="en-GB"/>
        </w:rPr>
        <w:t xml:space="preserve"> </w:t>
      </w:r>
      <w:r w:rsidR="3A038477" w:rsidRPr="00080D13">
        <w:rPr>
          <w:b w:val="0"/>
          <w:sz w:val="20"/>
          <w:lang w:val="en-GB"/>
        </w:rPr>
        <w:t xml:space="preserve">conducted </w:t>
      </w:r>
      <w:r w:rsidR="0073577E">
        <w:rPr>
          <w:b w:val="0"/>
          <w:sz w:val="20"/>
          <w:lang w:val="en-GB"/>
        </w:rPr>
        <w:t xml:space="preserve">similar </w:t>
      </w:r>
      <w:r w:rsidR="3A038477" w:rsidRPr="00080D13">
        <w:rPr>
          <w:b w:val="0"/>
          <w:sz w:val="20"/>
          <w:lang w:val="en-GB"/>
        </w:rPr>
        <w:t xml:space="preserve">TEA on plastic waste to methanol </w:t>
      </w:r>
      <w:r w:rsidR="039EFE73" w:rsidRPr="00080D13">
        <w:rPr>
          <w:b w:val="0"/>
          <w:sz w:val="20"/>
          <w:lang w:val="en-GB"/>
        </w:rPr>
        <w:t>by</w:t>
      </w:r>
      <w:r w:rsidR="3A038477" w:rsidRPr="00080D13">
        <w:rPr>
          <w:b w:val="0"/>
          <w:sz w:val="20"/>
          <w:lang w:val="en-GB"/>
        </w:rPr>
        <w:t xml:space="preserve"> steam gasification and syngas to methanol process. The research showed that at a MSP of 700 </w:t>
      </w:r>
      <w:r w:rsidR="71873677" w:rsidRPr="00080D13">
        <w:rPr>
          <w:b w:val="0"/>
          <w:sz w:val="20"/>
          <w:lang w:val="en-GB"/>
        </w:rPr>
        <w:t>EUR</w:t>
      </w:r>
      <w:r w:rsidR="3A038477" w:rsidRPr="00080D13">
        <w:rPr>
          <w:b w:val="0"/>
          <w:sz w:val="20"/>
          <w:lang w:val="en-GB"/>
        </w:rPr>
        <w:t xml:space="preserve">/t, the process achieves </w:t>
      </w:r>
      <w:r w:rsidR="3E98EDA2" w:rsidRPr="00080D13">
        <w:rPr>
          <w:b w:val="0"/>
          <w:sz w:val="20"/>
          <w:lang w:val="en-GB"/>
        </w:rPr>
        <w:t xml:space="preserve">a </w:t>
      </w:r>
      <w:r w:rsidR="3A038477" w:rsidRPr="00080D13">
        <w:rPr>
          <w:b w:val="0"/>
          <w:sz w:val="20"/>
          <w:lang w:val="en-GB"/>
        </w:rPr>
        <w:t xml:space="preserve">10% IRR. </w:t>
      </w:r>
      <w:r w:rsidR="4CA20829" w:rsidRPr="00080D13">
        <w:rPr>
          <w:b w:val="0"/>
          <w:sz w:val="20"/>
          <w:lang w:val="en-GB"/>
        </w:rPr>
        <w:t>It</w:t>
      </w:r>
      <w:r w:rsidR="3A038477" w:rsidRPr="00080D13">
        <w:rPr>
          <w:b w:val="0"/>
          <w:sz w:val="20"/>
          <w:lang w:val="en-GB"/>
        </w:rPr>
        <w:t xml:space="preserve"> also showed that about 58% of the </w:t>
      </w:r>
      <w:r w:rsidR="6286815B" w:rsidRPr="00080D13">
        <w:rPr>
          <w:b w:val="0"/>
          <w:sz w:val="20"/>
          <w:lang w:val="en-GB"/>
        </w:rPr>
        <w:t>plastic</w:t>
      </w:r>
      <w:r w:rsidR="0C31FB3B" w:rsidRPr="00080D13">
        <w:rPr>
          <w:b w:val="0"/>
          <w:sz w:val="20"/>
          <w:lang w:val="en-GB"/>
        </w:rPr>
        <w:t>-</w:t>
      </w:r>
      <w:r w:rsidR="6286815B" w:rsidRPr="00080D13">
        <w:rPr>
          <w:b w:val="0"/>
          <w:sz w:val="20"/>
          <w:lang w:val="en-GB"/>
        </w:rPr>
        <w:t xml:space="preserve">based </w:t>
      </w:r>
      <w:r w:rsidR="3A038477" w:rsidRPr="00080D13">
        <w:rPr>
          <w:b w:val="0"/>
          <w:sz w:val="20"/>
          <w:lang w:val="en-GB"/>
        </w:rPr>
        <w:t xml:space="preserve">methanol MSP </w:t>
      </w:r>
      <w:r w:rsidR="0C26D107" w:rsidRPr="00080D13">
        <w:rPr>
          <w:b w:val="0"/>
          <w:sz w:val="20"/>
          <w:lang w:val="en-GB"/>
        </w:rPr>
        <w:t>was due to</w:t>
      </w:r>
      <w:r w:rsidR="009C5C9C">
        <w:rPr>
          <w:b w:val="0"/>
          <w:sz w:val="20"/>
          <w:lang w:val="en-GB"/>
        </w:rPr>
        <w:t xml:space="preserve"> </w:t>
      </w:r>
      <w:r w:rsidR="3A038477" w:rsidRPr="00080D13">
        <w:rPr>
          <w:b w:val="0"/>
          <w:sz w:val="20"/>
          <w:lang w:val="en-GB"/>
        </w:rPr>
        <w:t xml:space="preserve">the feedstock cost. </w:t>
      </w:r>
      <w:r w:rsidR="7964B261" w:rsidRPr="00080D13">
        <w:rPr>
          <w:b w:val="0"/>
          <w:sz w:val="20"/>
          <w:lang w:val="en-GB"/>
        </w:rPr>
        <w:t>I</w:t>
      </w:r>
      <w:r w:rsidR="1E9CDC55" w:rsidRPr="00080D13">
        <w:rPr>
          <w:b w:val="0"/>
          <w:sz w:val="20"/>
          <w:lang w:val="en-GB"/>
        </w:rPr>
        <w:t xml:space="preserve">f we compare these </w:t>
      </w:r>
      <w:r w:rsidR="00867D87" w:rsidRPr="00080D13">
        <w:rPr>
          <w:b w:val="0"/>
          <w:sz w:val="20"/>
          <w:lang w:val="en-GB"/>
        </w:rPr>
        <w:t>studies, it</w:t>
      </w:r>
      <w:r w:rsidR="1E9CDC55" w:rsidRPr="00080D13">
        <w:rPr>
          <w:b w:val="0"/>
          <w:sz w:val="20"/>
          <w:lang w:val="en-GB"/>
        </w:rPr>
        <w:t xml:space="preserve"> seems that plastic</w:t>
      </w:r>
      <w:r w:rsidR="71640F1E" w:rsidRPr="00080D13">
        <w:rPr>
          <w:b w:val="0"/>
          <w:sz w:val="20"/>
          <w:lang w:val="en-GB"/>
        </w:rPr>
        <w:t>-</w:t>
      </w:r>
      <w:r w:rsidR="1E9CDC55" w:rsidRPr="00080D13">
        <w:rPr>
          <w:b w:val="0"/>
          <w:sz w:val="20"/>
          <w:lang w:val="en-GB"/>
        </w:rPr>
        <w:t xml:space="preserve">based methanol </w:t>
      </w:r>
      <w:r w:rsidR="30E7F66D" w:rsidRPr="00080D13">
        <w:rPr>
          <w:b w:val="0"/>
          <w:sz w:val="20"/>
          <w:lang w:val="en-GB"/>
        </w:rPr>
        <w:t>is the most</w:t>
      </w:r>
      <w:r w:rsidR="1E9CDC55" w:rsidRPr="00080D13">
        <w:rPr>
          <w:b w:val="0"/>
          <w:sz w:val="20"/>
          <w:lang w:val="en-GB"/>
        </w:rPr>
        <w:t xml:space="preserve"> cost competitive. </w:t>
      </w:r>
      <w:r w:rsidR="26BE71AD" w:rsidRPr="00080D13">
        <w:rPr>
          <w:b w:val="0"/>
          <w:sz w:val="20"/>
          <w:lang w:val="en-GB"/>
        </w:rPr>
        <w:t>However,</w:t>
      </w:r>
      <w:r w:rsidR="1E9CDC55" w:rsidRPr="00080D13">
        <w:rPr>
          <w:b w:val="0"/>
          <w:sz w:val="20"/>
          <w:lang w:val="en-GB"/>
        </w:rPr>
        <w:t xml:space="preserve"> </w:t>
      </w:r>
      <w:r w:rsidR="1DD5CF0D" w:rsidRPr="00080D13">
        <w:rPr>
          <w:b w:val="0"/>
          <w:sz w:val="20"/>
          <w:lang w:val="en-GB"/>
        </w:rPr>
        <w:t xml:space="preserve">because of varying assumptions between such studies, </w:t>
      </w:r>
      <w:r w:rsidR="1E9CDC55" w:rsidRPr="00080D13">
        <w:rPr>
          <w:b w:val="0"/>
          <w:sz w:val="20"/>
          <w:lang w:val="en-GB"/>
        </w:rPr>
        <w:t>such simple comparisons</w:t>
      </w:r>
      <w:r w:rsidR="1DD5CF0D" w:rsidRPr="00080D13">
        <w:rPr>
          <w:b w:val="0"/>
          <w:sz w:val="20"/>
          <w:lang w:val="en-GB"/>
        </w:rPr>
        <w:t xml:space="preserve"> cannot </w:t>
      </w:r>
      <w:r w:rsidR="1E9CDC55" w:rsidRPr="00080D13">
        <w:rPr>
          <w:b w:val="0"/>
          <w:sz w:val="20"/>
          <w:lang w:val="en-GB"/>
        </w:rPr>
        <w:t>help to comprehensively assess them</w:t>
      </w:r>
      <w:r w:rsidR="1DD5CF0D" w:rsidRPr="00080D13">
        <w:rPr>
          <w:b w:val="0"/>
          <w:sz w:val="20"/>
          <w:lang w:val="en-GB"/>
        </w:rPr>
        <w:t xml:space="preserve"> against each other. Hence, in this </w:t>
      </w:r>
      <w:r w:rsidR="4D42C390" w:rsidRPr="00080D13">
        <w:rPr>
          <w:b w:val="0"/>
          <w:sz w:val="20"/>
          <w:lang w:val="en-GB"/>
        </w:rPr>
        <w:t>work</w:t>
      </w:r>
      <w:r w:rsidR="7A929E76" w:rsidRPr="00080D13">
        <w:rPr>
          <w:b w:val="0"/>
          <w:sz w:val="20"/>
          <w:lang w:val="en-GB"/>
        </w:rPr>
        <w:t>,</w:t>
      </w:r>
      <w:r w:rsidR="1DD5CF0D" w:rsidRPr="00080D13">
        <w:rPr>
          <w:b w:val="0"/>
          <w:sz w:val="20"/>
          <w:lang w:val="en-GB"/>
        </w:rPr>
        <w:t xml:space="preserve"> we conducted a comprehensive study including technology screening, ex-ante modelling and TEA to compare the techno-economic performance</w:t>
      </w:r>
      <w:r w:rsidR="4D42C390" w:rsidRPr="00080D13">
        <w:rPr>
          <w:b w:val="0"/>
          <w:sz w:val="20"/>
          <w:lang w:val="en-GB"/>
        </w:rPr>
        <w:t xml:space="preserve"> of different ACS feedstocks</w:t>
      </w:r>
      <w:r w:rsidR="1DD5CF0D" w:rsidRPr="00080D13">
        <w:rPr>
          <w:b w:val="0"/>
          <w:sz w:val="20"/>
          <w:lang w:val="en-GB"/>
        </w:rPr>
        <w:t>.</w:t>
      </w:r>
      <w:r w:rsidR="362C8809" w:rsidRPr="00080D13">
        <w:rPr>
          <w:b w:val="0"/>
          <w:sz w:val="20"/>
          <w:lang w:val="en-GB"/>
        </w:rPr>
        <w:t xml:space="preserve"> The comparison also provides insights into the main hotspots for each route.</w:t>
      </w:r>
      <w:r w:rsidR="684103DB" w:rsidRPr="00080D13">
        <w:rPr>
          <w:lang w:val="en-GB"/>
        </w:rPr>
        <w:t xml:space="preserve"> </w:t>
      </w:r>
    </w:p>
    <w:p w14:paraId="144DE699" w14:textId="69702662" w:rsidR="008D2649" w:rsidRPr="00080D13" w:rsidRDefault="001702D4" w:rsidP="00080D13">
      <w:pPr>
        <w:pStyle w:val="Els-1storder-head"/>
        <w:rPr>
          <w:lang w:val="en-GB"/>
        </w:rPr>
      </w:pPr>
      <w:r w:rsidRPr="00080D13">
        <w:rPr>
          <w:lang w:val="en-GB"/>
        </w:rPr>
        <w:t>Methodology</w:t>
      </w:r>
    </w:p>
    <w:p w14:paraId="1CFC2A10" w14:textId="0D73CBA0" w:rsidR="00B422D8" w:rsidRPr="00B422D8" w:rsidRDefault="00867D87" w:rsidP="002025BC">
      <w:pPr>
        <w:pStyle w:val="Els-body-text"/>
        <w:spacing w:after="120"/>
        <w:rPr>
          <w:lang w:val="en-GB"/>
        </w:rPr>
      </w:pPr>
      <w:r w:rsidRPr="2F9161C8">
        <w:rPr>
          <w:lang w:val="en-GB"/>
        </w:rPr>
        <w:t>Thirty-two</w:t>
      </w:r>
      <w:r w:rsidR="0478E5FD" w:rsidRPr="2F9161C8">
        <w:rPr>
          <w:lang w:val="en-GB"/>
        </w:rPr>
        <w:t xml:space="preserve"> different process routes</w:t>
      </w:r>
      <w:r w:rsidR="04DACD45" w:rsidRPr="2F9161C8">
        <w:rPr>
          <w:lang w:val="en-GB"/>
        </w:rPr>
        <w:t xml:space="preserve"> were identified in literature</w:t>
      </w:r>
      <w:r w:rsidR="0478E5FD" w:rsidRPr="2F9161C8">
        <w:rPr>
          <w:lang w:val="en-GB"/>
        </w:rPr>
        <w:t xml:space="preserve"> to produce methanol from ACS feedstocks. </w:t>
      </w:r>
      <w:r w:rsidR="4A2A01E3" w:rsidRPr="2F9161C8">
        <w:rPr>
          <w:lang w:val="en-GB"/>
        </w:rPr>
        <w:t>T</w:t>
      </w:r>
      <w:r w:rsidR="4D42C390" w:rsidRPr="2F9161C8">
        <w:rPr>
          <w:lang w:val="en-GB"/>
        </w:rPr>
        <w:t xml:space="preserve">o select </w:t>
      </w:r>
      <w:r w:rsidR="519DC2D2" w:rsidRPr="2F9161C8">
        <w:rPr>
          <w:lang w:val="en-GB"/>
        </w:rPr>
        <w:t xml:space="preserve">the most </w:t>
      </w:r>
      <w:r w:rsidR="006C5C28" w:rsidRPr="2F9161C8">
        <w:rPr>
          <w:lang w:val="en-GB"/>
        </w:rPr>
        <w:t>promising</w:t>
      </w:r>
      <w:r w:rsidR="519DC2D2" w:rsidRPr="2F9161C8">
        <w:rPr>
          <w:lang w:val="en-GB"/>
        </w:rPr>
        <w:t xml:space="preserve"> technology</w:t>
      </w:r>
      <w:r w:rsidR="4D42C390" w:rsidRPr="2F9161C8">
        <w:rPr>
          <w:lang w:val="en-GB"/>
        </w:rPr>
        <w:t xml:space="preserve"> from each feedstock for ex-ante modelling and TEA, a</w:t>
      </w:r>
      <w:r w:rsidR="0478E5FD" w:rsidRPr="2F9161C8">
        <w:rPr>
          <w:lang w:val="en-GB"/>
        </w:rPr>
        <w:t xml:space="preserve"> screening methodology based on the stage-gate concept (</w:t>
      </w:r>
      <w:r w:rsidR="07F30B4E" w:rsidRPr="2F9161C8">
        <w:rPr>
          <w:lang w:val="en-GB"/>
        </w:rPr>
        <w:t>section 2.1</w:t>
      </w:r>
      <w:r w:rsidR="0478E5FD" w:rsidRPr="2F9161C8">
        <w:rPr>
          <w:lang w:val="en-GB"/>
        </w:rPr>
        <w:t xml:space="preserve">) was used. The three </w:t>
      </w:r>
      <w:r w:rsidR="49332B9C" w:rsidRPr="2F9161C8">
        <w:rPr>
          <w:lang w:val="en-GB"/>
        </w:rPr>
        <w:t xml:space="preserve">selected </w:t>
      </w:r>
      <w:r w:rsidR="0478E5FD" w:rsidRPr="2F9161C8">
        <w:rPr>
          <w:lang w:val="en-GB"/>
        </w:rPr>
        <w:t xml:space="preserve">process routes were modelled in Aspen </w:t>
      </w:r>
      <w:r w:rsidR="005E8ED5" w:rsidRPr="2F9161C8">
        <w:rPr>
          <w:lang w:val="en-GB"/>
        </w:rPr>
        <w:t>P</w:t>
      </w:r>
      <w:r w:rsidR="0478E5FD" w:rsidRPr="2F9161C8">
        <w:rPr>
          <w:lang w:val="en-GB"/>
        </w:rPr>
        <w:t>lus</w:t>
      </w:r>
      <w:r w:rsidR="1E33E552" w:rsidRPr="2F9161C8">
        <w:rPr>
          <w:lang w:val="en-GB"/>
        </w:rPr>
        <w:t xml:space="preserve"> v.12</w:t>
      </w:r>
      <w:r w:rsidR="00B47CA7" w:rsidRPr="2F9161C8">
        <w:rPr>
          <w:lang w:val="en-GB"/>
        </w:rPr>
        <w:t xml:space="preserve"> (section 2.2)</w:t>
      </w:r>
      <w:r w:rsidR="0478E5FD" w:rsidRPr="2F9161C8">
        <w:rPr>
          <w:lang w:val="en-GB"/>
        </w:rPr>
        <w:t xml:space="preserve"> and </w:t>
      </w:r>
      <w:r w:rsidR="4ED16335" w:rsidRPr="2F9161C8">
        <w:rPr>
          <w:lang w:val="en-GB"/>
        </w:rPr>
        <w:t>their</w:t>
      </w:r>
      <w:r w:rsidR="0478E5FD" w:rsidRPr="2F9161C8">
        <w:rPr>
          <w:lang w:val="en-GB"/>
        </w:rPr>
        <w:t xml:space="preserve"> </w:t>
      </w:r>
      <w:r w:rsidR="32A4E125" w:rsidRPr="2F9161C8">
        <w:rPr>
          <w:lang w:val="en-GB"/>
        </w:rPr>
        <w:t>TEA</w:t>
      </w:r>
      <w:r w:rsidR="0478E5FD" w:rsidRPr="2F9161C8">
        <w:rPr>
          <w:lang w:val="en-GB"/>
        </w:rPr>
        <w:t xml:space="preserve"> at process level</w:t>
      </w:r>
      <w:r w:rsidR="0414BA4C" w:rsidRPr="2F9161C8">
        <w:rPr>
          <w:lang w:val="en-GB"/>
        </w:rPr>
        <w:t xml:space="preserve"> </w:t>
      </w:r>
      <w:r w:rsidR="62C70BFC" w:rsidRPr="2F9161C8">
        <w:rPr>
          <w:lang w:val="en-GB"/>
        </w:rPr>
        <w:t>w</w:t>
      </w:r>
      <w:r w:rsidR="0072300F" w:rsidRPr="2F9161C8">
        <w:rPr>
          <w:lang w:val="en-GB"/>
        </w:rPr>
        <w:t>ere</w:t>
      </w:r>
      <w:r w:rsidR="62C70BFC" w:rsidRPr="2F9161C8">
        <w:rPr>
          <w:lang w:val="en-GB"/>
        </w:rPr>
        <w:t xml:space="preserve"> calculated</w:t>
      </w:r>
      <w:r w:rsidR="1F19BC9C" w:rsidRPr="2F9161C8">
        <w:rPr>
          <w:lang w:val="en-GB"/>
        </w:rPr>
        <w:t xml:space="preserve"> using harmonized conditions</w:t>
      </w:r>
      <w:r w:rsidR="0478E5FD" w:rsidRPr="2F9161C8">
        <w:rPr>
          <w:lang w:val="en-GB"/>
        </w:rPr>
        <w:t xml:space="preserve">. The indicators used for the </w:t>
      </w:r>
      <w:r w:rsidR="32A4E125" w:rsidRPr="2F9161C8">
        <w:rPr>
          <w:lang w:val="en-GB"/>
        </w:rPr>
        <w:t xml:space="preserve">TEA </w:t>
      </w:r>
      <w:r w:rsidR="0478E5FD" w:rsidRPr="2F9161C8">
        <w:rPr>
          <w:lang w:val="en-GB"/>
        </w:rPr>
        <w:t xml:space="preserve">are detailed in </w:t>
      </w:r>
      <w:r w:rsidR="40E703D2" w:rsidRPr="2F9161C8">
        <w:rPr>
          <w:lang w:val="en-GB"/>
        </w:rPr>
        <w:t>section 2.3</w:t>
      </w:r>
      <w:r w:rsidR="0478E5FD" w:rsidRPr="2F9161C8">
        <w:rPr>
          <w:lang w:val="en-GB"/>
        </w:rPr>
        <w:t xml:space="preserve">.  </w:t>
      </w:r>
    </w:p>
    <w:p w14:paraId="144DE69A" w14:textId="55B9D589" w:rsidR="008D2649" w:rsidRPr="00381CCD" w:rsidRDefault="00FE5544" w:rsidP="008D2649">
      <w:pPr>
        <w:pStyle w:val="Els-2ndorder-head"/>
        <w:rPr>
          <w:lang w:val="en-GB"/>
        </w:rPr>
      </w:pPr>
      <w:r w:rsidRPr="00381CCD">
        <w:rPr>
          <w:lang w:val="en-GB"/>
        </w:rPr>
        <w:t>Technology screening</w:t>
      </w:r>
    </w:p>
    <w:p w14:paraId="4FF8B4A0" w14:textId="3BEEEBEF" w:rsidR="0009106B" w:rsidRPr="00F161F3" w:rsidRDefault="28D87945" w:rsidP="225775D1">
      <w:pPr>
        <w:pStyle w:val="Els-body-text"/>
        <w:spacing w:line="259" w:lineRule="auto"/>
        <w:rPr>
          <w:color w:val="000000" w:themeColor="text1"/>
        </w:rPr>
      </w:pPr>
      <w:r>
        <w:t xml:space="preserve">The screening methodology </w:t>
      </w:r>
      <w:r w:rsidR="49332B9C">
        <w:t xml:space="preserve">by </w:t>
      </w:r>
      <w:r w:rsidR="00187C9D">
        <w:fldChar w:fldCharType="begin" w:fldLock="1"/>
      </w:r>
      <w:r w:rsidR="00187C9D">
        <w:instrText>ADDIN CSL_CITATION {"citationItems":[{"id":"ITEM-1","itemData":{"DOI":"10.1016/B978-0-443-15274-0.50390-5","ISBN":"9780443152740","ISSN":"15707946","abstract":"Due to the heavy dependence on fossil-fuels as raw materials, the defossilization of feedstocks in the petrochemical industry represents a challenge. A large number of possible process routes that use alternative carbon sources (ACS) like CO2, biomass, and waste are being developed for the feedstock replacement. For instance, to produce ethylene, more than 40 ACS process routes were identified. These multiple options make the selection of the promising process route a complex task. By replacing feedstocks, a process can change significantly and the impacts related to these changes in a highly interconnected industrial cluster can create cascading effects due to system interdependencies. This work aims to understand the cascading impacts in carbon flows and prices of implementing an ACS production process in an ethylene cluster. The results show that PVC will be the highest impacted and defossilizing one value-chain can have cascading effect on other value-chains as observed for PET.","author":[{"dropping-particle":"","family":"Manalal","given":"James Tonny","non-dropping-particle":"","parse-names":false,"suffix":""},{"dropping-particle":"","family":"Pérez-Fortes","given":"Mar","non-dropping-particle":"","parse-names":false,"suffix":""},{"dropping-particle":"","family":"Gonzalez","given":"Paola Ibarra","non-dropping-particle":"","parse-names":false,"suffix":""},{"dropping-particle":"","family":"Ramirez","given":"Andrea Ramirez","non-dropping-particle":"","parse-names":false,"suffix":""}],"container-title":"Computer Aided Chemical Engineering","id":"ITEM-1","issued":{"date-parts":[["2023"]]},"page":"2453-2458","publisher":"Elsevier Masson SAS","title":"Evaluation of alternative carbon based ethylene production in a petrochemical cluster: Technology screening &amp; value chain impact assessment","type":"chapter","volume":"52"},"uris":["http://www.mendeley.com/documents/?uuid=43832a43-27a8-4ac4-9820-6ea7e798cda5"]}],"mendeley":{"formattedCitation":"(Manalal et al., 2023)","manualFormatting":"Manalal et al., (2023)","plainTextFormattedCitation":"(Manalal et al., 2023)","previouslyFormattedCitation":"(Manalal et al., 2023)"},"properties":{"noteIndex":0},"schema":"https://github.com/citation-style-language/schema/raw/master/csl-citation.json"}</w:instrText>
      </w:r>
      <w:r w:rsidR="00187C9D">
        <w:fldChar w:fldCharType="separate"/>
      </w:r>
      <w:r w:rsidR="49332B9C" w:rsidRPr="225775D1">
        <w:rPr>
          <w:noProof/>
        </w:rPr>
        <w:t>Manalal et al., (2023)</w:t>
      </w:r>
      <w:r w:rsidR="00187C9D">
        <w:fldChar w:fldCharType="end"/>
      </w:r>
      <w:r w:rsidR="49332B9C">
        <w:t xml:space="preserve"> was applied in this study</w:t>
      </w:r>
      <w:r w:rsidR="0D00C67F">
        <w:t>.</w:t>
      </w:r>
      <w:r w:rsidR="0D00C67F" w:rsidRPr="225775D1">
        <w:rPr>
          <w:lang w:val="en-GB"/>
        </w:rPr>
        <w:t xml:space="preserve"> </w:t>
      </w:r>
      <w:r w:rsidR="13A9DCD4" w:rsidRPr="225775D1">
        <w:rPr>
          <w:lang w:val="en-GB"/>
        </w:rPr>
        <w:t>It</w:t>
      </w:r>
      <w:r w:rsidR="0D00C67F" w:rsidRPr="225775D1">
        <w:rPr>
          <w:lang w:val="en-GB"/>
        </w:rPr>
        <w:t xml:space="preserve"> use</w:t>
      </w:r>
      <w:r w:rsidR="5B47CF6A" w:rsidRPr="225775D1">
        <w:rPr>
          <w:lang w:val="en-GB"/>
        </w:rPr>
        <w:t xml:space="preserve">s </w:t>
      </w:r>
      <w:r w:rsidR="168F8705" w:rsidRPr="225775D1">
        <w:rPr>
          <w:lang w:val="en-GB"/>
        </w:rPr>
        <w:t xml:space="preserve">different </w:t>
      </w:r>
      <w:r w:rsidR="5B47CF6A" w:rsidRPr="225775D1">
        <w:rPr>
          <w:lang w:val="en-GB"/>
        </w:rPr>
        <w:t xml:space="preserve">constraints (or gates) to select technologies </w:t>
      </w:r>
      <w:r w:rsidR="168F8705" w:rsidRPr="225775D1">
        <w:rPr>
          <w:lang w:val="en-GB"/>
        </w:rPr>
        <w:t>at each stage</w:t>
      </w:r>
      <w:r w:rsidR="5F967ED4" w:rsidRPr="225775D1">
        <w:rPr>
          <w:lang w:val="en-GB"/>
        </w:rPr>
        <w:t xml:space="preserve">; these are </w:t>
      </w:r>
      <w:r w:rsidR="168F8705">
        <w:t xml:space="preserve">technology readiness level (TRL), </w:t>
      </w:r>
      <w:r w:rsidR="0D00C67F" w:rsidRPr="225775D1">
        <w:rPr>
          <w:lang w:val="en-GB"/>
        </w:rPr>
        <w:t xml:space="preserve">number of reaction steps, theoretical energy need, carbon utilization efficiency </w:t>
      </w:r>
      <w:r w:rsidR="067AF42B" w:rsidRPr="225775D1">
        <w:rPr>
          <w:lang w:val="en-GB"/>
        </w:rPr>
        <w:t xml:space="preserve">(CUE) </w:t>
      </w:r>
      <w:r w:rsidR="0D00C67F" w:rsidRPr="225775D1">
        <w:rPr>
          <w:lang w:val="en-GB"/>
        </w:rPr>
        <w:t>and economic constraint</w:t>
      </w:r>
      <w:r w:rsidR="067AF42B" w:rsidRPr="225775D1">
        <w:rPr>
          <w:lang w:val="en-GB"/>
        </w:rPr>
        <w:t xml:space="preserve"> (EC)</w:t>
      </w:r>
      <w:r w:rsidR="087EA310">
        <w:t xml:space="preserve"> </w:t>
      </w:r>
      <w:r w:rsidR="00187C9D">
        <w:fldChar w:fldCharType="begin" w:fldLock="1"/>
      </w:r>
      <w:r w:rsidR="00187C9D">
        <w:instrText>ADDIN CSL_CITATION {"citationItems":[{"id":"ITEM-1","itemData":{"DOI":"10.1016/B978-0-443-15274-0.50390-5","ISBN":"9780443152740","ISSN":"15707946","abstract":"Due to the heavy dependence on fossil-fuels as raw materials, the defossilization of feedstocks in the petrochemical industry represents a challenge. A large number of possible process routes that use alternative carbon sources (ACS) like CO2, biomass, and waste are being developed for the feedstock replacement. For instance, to produce ethylene, more than 40 ACS process routes were identified. These multiple options make the selection of the promising process route a complex task. By replacing feedstocks, a process can change significantly and the impacts related to these changes in a highly interconnected industrial cluster can create cascading effects due to system interdependencies. This work aims to understand the cascading impacts in carbon flows and prices of implementing an ACS production process in an ethylene cluster. The results show that PVC will be the highest impacted and defossilizing one value-chain can have cascading effect on other value-chains as observed for PET.","author":[{"dropping-particle":"","family":"Manalal","given":"James Tonny","non-dropping-particle":"","parse-names":false,"suffix":""},{"dropping-particle":"","family":"Pérez-Fortes","given":"Mar","non-dropping-particle":"","parse-names":false,"suffix":""},{"dropping-particle":"","family":"Gonzalez","given":"Paola Ibarra","non-dropping-particle":"","parse-names":false,"suffix":""},{"dropping-particle":"","family":"Ramirez","given":"Andrea Ramirez","non-dropping-particle":"","parse-names":false,"suffix":""}],"container-title":"Computer Aided Chemical Engineering","id":"ITEM-1","issued":{"date-parts":[["2023"]]},"page":"2453-2458","publisher":"Elsevier Masson SAS","title":"Evaluation of alternative carbon based ethylene production in a petrochemical cluster: Technology screening &amp; value chain impact assessment","type":"chapter","volume":"52"},"uris":["http://www.mendeley.com/documents/?uuid=43832a43-27a8-4ac4-9820-6ea7e798cda5"]}],"mendeley":{"formattedCitation":"(Manalal et al., 2023)","plainTextFormattedCitation":"(Manalal et al., 2023)","previouslyFormattedCitation":"(Manalal et al., 2023)"},"properties":{"noteIndex":0},"schema":"https://github.com/citation-style-language/schema/raw/master/csl-citation.json"}</w:instrText>
      </w:r>
      <w:r w:rsidR="00187C9D">
        <w:fldChar w:fldCharType="separate"/>
      </w:r>
      <w:r w:rsidR="087EA310" w:rsidRPr="225775D1">
        <w:rPr>
          <w:noProof/>
        </w:rPr>
        <w:t>(Manalal et al., 2023)</w:t>
      </w:r>
      <w:r w:rsidR="00187C9D">
        <w:fldChar w:fldCharType="end"/>
      </w:r>
      <w:r>
        <w:t xml:space="preserve">. </w:t>
      </w:r>
      <w:r w:rsidR="5C2BE9B2">
        <w:t>I</w:t>
      </w:r>
      <w:r w:rsidR="37A66BA4">
        <w:t xml:space="preserve">n </w:t>
      </w:r>
      <w:r>
        <w:t xml:space="preserve">stage-1, technologies with TRL&gt; 3 </w:t>
      </w:r>
      <w:r w:rsidR="38941D0A">
        <w:t>were</w:t>
      </w:r>
      <w:r>
        <w:t xml:space="preserve"> selected to the next stage. In stage-2, the ideal stoichiometric reactions of each process route were used</w:t>
      </w:r>
      <w:r w:rsidR="38941D0A">
        <w:t xml:space="preserve"> and</w:t>
      </w:r>
      <w:r w:rsidRPr="225775D1">
        <w:rPr>
          <w:color w:val="000000" w:themeColor="text1"/>
        </w:rPr>
        <w:t xml:space="preserve"> technologies with less than 4 process steps</w:t>
      </w:r>
      <w:r w:rsidR="560984A5" w:rsidRPr="225775D1">
        <w:rPr>
          <w:color w:val="000000" w:themeColor="text1"/>
        </w:rPr>
        <w:t xml:space="preserve"> (</w:t>
      </w:r>
      <w:r w:rsidR="00867D87" w:rsidRPr="225775D1">
        <w:rPr>
          <w:color w:val="000000" w:themeColor="text1"/>
        </w:rPr>
        <w:t>i.e.,</w:t>
      </w:r>
      <w:r w:rsidR="560984A5" w:rsidRPr="225775D1">
        <w:rPr>
          <w:color w:val="000000" w:themeColor="text1"/>
        </w:rPr>
        <w:t xml:space="preserve"> stoichiometric reactions)</w:t>
      </w:r>
      <w:r w:rsidRPr="225775D1">
        <w:rPr>
          <w:color w:val="000000" w:themeColor="text1"/>
        </w:rPr>
        <w:t xml:space="preserve"> were selected. </w:t>
      </w:r>
      <w:r w:rsidR="38941D0A" w:rsidRPr="225775D1">
        <w:rPr>
          <w:color w:val="000000" w:themeColor="text1"/>
        </w:rPr>
        <w:t>I</w:t>
      </w:r>
      <w:r w:rsidRPr="225775D1">
        <w:rPr>
          <w:color w:val="000000" w:themeColor="text1"/>
        </w:rPr>
        <w:t xml:space="preserve">n stage-3, </w:t>
      </w:r>
      <w:r w:rsidR="6CE01BAC" w:rsidRPr="225775D1">
        <w:rPr>
          <w:color w:val="000000" w:themeColor="text1"/>
        </w:rPr>
        <w:t xml:space="preserve">theoretical heat and electricity requirements were estimated through the standard enthalpy change </w:t>
      </w:r>
      <w:r w:rsidR="2CF4FD6E" w:rsidRPr="225775D1">
        <w:rPr>
          <w:color w:val="000000" w:themeColor="text1"/>
          <w:lang w:val="en-GB"/>
        </w:rPr>
        <w:t>(ΔH</w:t>
      </w:r>
      <w:r w:rsidR="2CF4FD6E" w:rsidRPr="225775D1">
        <w:rPr>
          <w:color w:val="000000" w:themeColor="text1"/>
          <w:vertAlign w:val="superscript"/>
          <w:lang w:val="en-GB"/>
        </w:rPr>
        <w:t>0</w:t>
      </w:r>
      <w:r w:rsidR="2CF4FD6E" w:rsidRPr="225775D1">
        <w:rPr>
          <w:color w:val="000000" w:themeColor="text1"/>
          <w:lang w:val="en-GB"/>
        </w:rPr>
        <w:t>)</w:t>
      </w:r>
      <w:r w:rsidR="6CE01BAC" w:rsidRPr="225775D1">
        <w:rPr>
          <w:color w:val="000000" w:themeColor="text1"/>
        </w:rPr>
        <w:t xml:space="preserve"> and </w:t>
      </w:r>
      <w:r w:rsidRPr="225775D1">
        <w:rPr>
          <w:color w:val="000000" w:themeColor="text1"/>
        </w:rPr>
        <w:t>Gibbs energy change (ΔG</w:t>
      </w:r>
      <w:r w:rsidRPr="225775D1">
        <w:rPr>
          <w:color w:val="000000" w:themeColor="text1"/>
          <w:vertAlign w:val="superscript"/>
        </w:rPr>
        <w:t>0</w:t>
      </w:r>
      <w:r w:rsidRPr="225775D1">
        <w:rPr>
          <w:color w:val="000000" w:themeColor="text1"/>
        </w:rPr>
        <w:t>)</w:t>
      </w:r>
      <w:r w:rsidR="38941D0A" w:rsidRPr="225775D1">
        <w:rPr>
          <w:color w:val="000000" w:themeColor="text1"/>
        </w:rPr>
        <w:t xml:space="preserve">. </w:t>
      </w:r>
      <w:r w:rsidRPr="225775D1">
        <w:rPr>
          <w:color w:val="000000" w:themeColor="text1"/>
        </w:rPr>
        <w:t>At this stage,</w:t>
      </w:r>
      <w:r w:rsidR="38941D0A" w:rsidRPr="225775D1">
        <w:rPr>
          <w:color w:val="000000" w:themeColor="text1"/>
        </w:rPr>
        <w:t xml:space="preserve"> using the ideal stoichiometric reactions,</w:t>
      </w:r>
      <w:r w:rsidRPr="225775D1">
        <w:rPr>
          <w:color w:val="000000" w:themeColor="text1"/>
        </w:rPr>
        <w:t xml:space="preserve"> the </w:t>
      </w:r>
      <w:r w:rsidR="1B9EFBB2" w:rsidRPr="225775D1">
        <w:rPr>
          <w:color w:val="000000" w:themeColor="text1"/>
        </w:rPr>
        <w:t>CUE</w:t>
      </w:r>
      <w:r w:rsidRPr="225775D1">
        <w:rPr>
          <w:color w:val="000000" w:themeColor="text1"/>
        </w:rPr>
        <w:t xml:space="preserve"> of </w:t>
      </w:r>
      <w:r w:rsidR="37CDFB84">
        <w:t>each</w:t>
      </w:r>
      <w:r w:rsidRPr="225775D1">
        <w:rPr>
          <w:color w:val="000000" w:themeColor="text1"/>
        </w:rPr>
        <w:t xml:space="preserve"> process route w</w:t>
      </w:r>
      <w:r w:rsidR="236968C3">
        <w:t>as</w:t>
      </w:r>
      <w:r w:rsidR="38941D0A" w:rsidRPr="225775D1">
        <w:rPr>
          <w:color w:val="000000" w:themeColor="text1"/>
        </w:rPr>
        <w:t xml:space="preserve"> </w:t>
      </w:r>
      <w:r w:rsidR="6CABE9BA" w:rsidRPr="225775D1">
        <w:rPr>
          <w:color w:val="000000" w:themeColor="text1"/>
        </w:rPr>
        <w:t xml:space="preserve">also </w:t>
      </w:r>
      <w:r w:rsidR="38941D0A" w:rsidRPr="225775D1">
        <w:rPr>
          <w:color w:val="000000" w:themeColor="text1"/>
        </w:rPr>
        <w:t>calculated</w:t>
      </w:r>
      <w:r w:rsidR="6921CEF9" w:rsidRPr="225775D1">
        <w:rPr>
          <w:color w:val="000000" w:themeColor="text1"/>
        </w:rPr>
        <w:t xml:space="preserve"> using </w:t>
      </w:r>
      <w:r w:rsidR="009F34FA">
        <w:rPr>
          <w:color w:val="000000" w:themeColor="text1"/>
        </w:rPr>
        <w:t>Eq.</w:t>
      </w:r>
      <w:r w:rsidR="6921CEF9" w:rsidRPr="225775D1">
        <w:rPr>
          <w:color w:val="000000" w:themeColor="text1"/>
        </w:rPr>
        <w:t xml:space="preserve"> </w:t>
      </w:r>
      <w:r w:rsidR="009F34FA">
        <w:rPr>
          <w:color w:val="000000" w:themeColor="text1"/>
        </w:rPr>
        <w:t>(</w:t>
      </w:r>
      <w:r w:rsidR="6921CEF9" w:rsidRPr="225775D1">
        <w:rPr>
          <w:color w:val="000000" w:themeColor="text1"/>
        </w:rPr>
        <w:t>1</w:t>
      </w:r>
      <w:r w:rsidR="009F34FA">
        <w:rPr>
          <w:color w:val="000000" w:themeColor="text1"/>
        </w:rPr>
        <w:t>)</w:t>
      </w:r>
      <w:r w:rsidR="38941D0A" w:rsidRPr="225775D1">
        <w:rPr>
          <w:color w:val="000000" w:themeColor="text1"/>
        </w:rPr>
        <w:t xml:space="preserve">. </w:t>
      </w:r>
      <w:r w:rsidRPr="225775D1">
        <w:rPr>
          <w:color w:val="000000" w:themeColor="text1"/>
        </w:rPr>
        <w:t xml:space="preserve"> </w:t>
      </w:r>
      <w:r w:rsidR="146A3880" w:rsidRPr="225775D1">
        <w:rPr>
          <w:color w:val="000000" w:themeColor="text1"/>
        </w:rPr>
        <w:t>B</w:t>
      </w:r>
      <w:r w:rsidRPr="225775D1">
        <w:rPr>
          <w:color w:val="000000" w:themeColor="text1"/>
        </w:rPr>
        <w:t xml:space="preserve">ased on the </w:t>
      </w:r>
      <w:r w:rsidR="3AFA2A29" w:rsidRPr="225775D1">
        <w:rPr>
          <w:color w:val="000000" w:themeColor="text1"/>
        </w:rPr>
        <w:t xml:space="preserve">needed </w:t>
      </w:r>
      <w:r w:rsidRPr="225775D1">
        <w:rPr>
          <w:color w:val="000000" w:themeColor="text1"/>
        </w:rPr>
        <w:t>energy</w:t>
      </w:r>
      <w:r w:rsidR="006C5C28">
        <w:rPr>
          <w:color w:val="000000" w:themeColor="text1"/>
        </w:rPr>
        <w:t xml:space="preserve"> </w:t>
      </w:r>
      <w:r w:rsidRPr="225775D1">
        <w:rPr>
          <w:color w:val="000000" w:themeColor="text1"/>
        </w:rPr>
        <w:t xml:space="preserve">and CUE, </w:t>
      </w:r>
      <w:r w:rsidR="4CA8874D">
        <w:t>the different process routes</w:t>
      </w:r>
      <w:r w:rsidRPr="225775D1">
        <w:rPr>
          <w:color w:val="000000" w:themeColor="text1"/>
        </w:rPr>
        <w:t xml:space="preserve"> were ranked.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26"/>
      </w:tblGrid>
      <w:tr w:rsidR="0009106B" w14:paraId="060E20C0" w14:textId="77777777">
        <w:tc>
          <w:tcPr>
            <w:tcW w:w="4702" w:type="pct"/>
            <w:vAlign w:val="center"/>
          </w:tcPr>
          <w:p w14:paraId="3410DF9B" w14:textId="77777777" w:rsidR="0009106B" w:rsidRPr="001D10E0" w:rsidRDefault="0009106B" w:rsidP="00E5209C">
            <w:pPr>
              <w:spacing w:after="120"/>
              <w:jc w:val="center"/>
              <w:rPr>
                <w:sz w:val="18"/>
                <w:szCs w:val="18"/>
              </w:rPr>
            </w:pPr>
            <m:oMathPara>
              <m:oMathParaPr>
                <m:jc m:val="left"/>
              </m:oMathParaPr>
              <m:oMath>
                <m:r>
                  <w:rPr>
                    <w:rFonts w:ascii="Cambria Math" w:hAnsi="Cambria Math"/>
                    <w:sz w:val="18"/>
                    <w:szCs w:val="18"/>
                  </w:rPr>
                  <m:t xml:space="preserve">Carbon utilisation efficiency (CUE)= </m:t>
                </m:r>
                <m:f>
                  <m:fPr>
                    <m:ctrlPr>
                      <w:rPr>
                        <w:rFonts w:ascii="Cambria Math" w:hAnsi="Cambria Math"/>
                        <w:i/>
                        <w:sz w:val="18"/>
                        <w:szCs w:val="18"/>
                      </w:rPr>
                    </m:ctrlPr>
                  </m:fPr>
                  <m:num>
                    <m:r>
                      <w:rPr>
                        <w:rFonts w:ascii="Cambria Math" w:hAnsi="Cambria Math"/>
                        <w:sz w:val="18"/>
                        <w:szCs w:val="18"/>
                      </w:rPr>
                      <m:t>Moles of carbon atom in product</m:t>
                    </m:r>
                  </m:num>
                  <m:den>
                    <m:r>
                      <w:rPr>
                        <w:rFonts w:ascii="Cambria Math" w:hAnsi="Cambria Math"/>
                        <w:sz w:val="18"/>
                        <w:szCs w:val="18"/>
                      </w:rPr>
                      <m:t>Moles of carbon atom in feedstock</m:t>
                    </m:r>
                  </m:den>
                </m:f>
              </m:oMath>
            </m:oMathPara>
          </w:p>
        </w:tc>
        <w:tc>
          <w:tcPr>
            <w:tcW w:w="298" w:type="pct"/>
            <w:vAlign w:val="center"/>
          </w:tcPr>
          <w:p w14:paraId="065F034C" w14:textId="25D98A87" w:rsidR="0009106B" w:rsidRPr="00F72D61" w:rsidRDefault="0009106B">
            <w:pPr>
              <w:jc w:val="right"/>
              <w:rPr>
                <w:color w:val="000000"/>
                <w:sz w:val="18"/>
                <w:szCs w:val="18"/>
              </w:rPr>
            </w:pPr>
            <w:r w:rsidRPr="000B6CD1">
              <w:rPr>
                <w:sz w:val="18"/>
                <w:szCs w:val="18"/>
              </w:rPr>
              <w:t>(</w:t>
            </w:r>
            <w:r>
              <w:rPr>
                <w:sz w:val="18"/>
                <w:szCs w:val="18"/>
              </w:rPr>
              <w:t>1</w:t>
            </w:r>
            <w:r w:rsidRPr="000B6CD1">
              <w:rPr>
                <w:sz w:val="18"/>
                <w:szCs w:val="18"/>
              </w:rPr>
              <w:t>)</w:t>
            </w:r>
          </w:p>
        </w:tc>
      </w:tr>
    </w:tbl>
    <w:p w14:paraId="6CFEE8EC" w14:textId="4F1CDEDB" w:rsidR="00187C9D" w:rsidRPr="00587234" w:rsidRDefault="1F495787" w:rsidP="00587234">
      <w:pPr>
        <w:pStyle w:val="Els-body-text"/>
        <w:rPr>
          <w:lang w:val="en-GB"/>
        </w:rPr>
      </w:pPr>
      <w:r w:rsidRPr="225775D1">
        <w:rPr>
          <w:color w:val="000000" w:themeColor="text1"/>
        </w:rPr>
        <w:t xml:space="preserve">Processes with an </w:t>
      </w:r>
      <w:r w:rsidR="28D87945" w:rsidRPr="225775D1">
        <w:rPr>
          <w:color w:val="000000" w:themeColor="text1"/>
        </w:rPr>
        <w:t xml:space="preserve">electricity need </w:t>
      </w:r>
      <w:r w:rsidR="7DAE2F69" w:rsidRPr="225775D1">
        <w:rPr>
          <w:color w:val="000000" w:themeColor="text1"/>
        </w:rPr>
        <w:t xml:space="preserve">below </w:t>
      </w:r>
      <w:r w:rsidR="34A47717" w:rsidRPr="225775D1">
        <w:rPr>
          <w:color w:val="000000" w:themeColor="text1"/>
        </w:rPr>
        <w:t>7</w:t>
      </w:r>
      <w:r w:rsidR="28D87945" w:rsidRPr="225775D1">
        <w:rPr>
          <w:color w:val="000000" w:themeColor="text1"/>
        </w:rPr>
        <w:t xml:space="preserve">50 kJ/mol </w:t>
      </w:r>
      <w:r w:rsidR="34A47717" w:rsidRPr="225775D1">
        <w:rPr>
          <w:color w:val="000000" w:themeColor="text1"/>
        </w:rPr>
        <w:t>methanol</w:t>
      </w:r>
      <w:r w:rsidR="28D87945" w:rsidRPr="225775D1">
        <w:rPr>
          <w:color w:val="000000" w:themeColor="text1"/>
        </w:rPr>
        <w:t xml:space="preserve"> and</w:t>
      </w:r>
      <w:r w:rsidR="2FD6AF1E" w:rsidRPr="225775D1">
        <w:rPr>
          <w:color w:val="000000" w:themeColor="text1"/>
        </w:rPr>
        <w:t xml:space="preserve"> a</w:t>
      </w:r>
      <w:r w:rsidR="28D87945" w:rsidRPr="225775D1">
        <w:rPr>
          <w:color w:val="000000" w:themeColor="text1"/>
        </w:rPr>
        <w:t xml:space="preserve"> CUE </w:t>
      </w:r>
      <w:r w:rsidR="38941D0A" w:rsidRPr="225775D1">
        <w:rPr>
          <w:color w:val="000000" w:themeColor="text1"/>
        </w:rPr>
        <w:t>=10</w:t>
      </w:r>
      <w:r w:rsidR="28D87945" w:rsidRPr="225775D1">
        <w:rPr>
          <w:color w:val="000000" w:themeColor="text1"/>
        </w:rPr>
        <w:t>0% were</w:t>
      </w:r>
      <w:r w:rsidR="0B85BD26" w:rsidRPr="225775D1">
        <w:rPr>
          <w:color w:val="000000" w:themeColor="text1"/>
        </w:rPr>
        <w:t xml:space="preserve"> selected</w:t>
      </w:r>
      <w:r w:rsidR="38941D0A" w:rsidRPr="225775D1">
        <w:rPr>
          <w:color w:val="000000" w:themeColor="text1"/>
        </w:rPr>
        <w:t xml:space="preserve"> from each feedstock </w:t>
      </w:r>
      <w:r w:rsidR="28D87945" w:rsidRPr="225775D1">
        <w:rPr>
          <w:color w:val="000000" w:themeColor="text1"/>
        </w:rPr>
        <w:t xml:space="preserve">to the next stage. In stage-4, </w:t>
      </w:r>
      <w:r w:rsidR="000F51F3">
        <w:rPr>
          <w:color w:val="000000" w:themeColor="text1"/>
        </w:rPr>
        <w:t>EC</w:t>
      </w:r>
      <w:r w:rsidR="28D87945" w:rsidRPr="225775D1">
        <w:rPr>
          <w:color w:val="000000" w:themeColor="text1"/>
        </w:rPr>
        <w:t xml:space="preserve"> was calculated using </w:t>
      </w:r>
      <w:r w:rsidR="009F34FA">
        <w:rPr>
          <w:color w:val="000000" w:themeColor="text1"/>
        </w:rPr>
        <w:t>Eq.</w:t>
      </w:r>
      <w:r w:rsidR="6921CEF9" w:rsidRPr="225775D1">
        <w:rPr>
          <w:color w:val="000000" w:themeColor="text1"/>
        </w:rPr>
        <w:t xml:space="preserve"> </w:t>
      </w:r>
      <w:r w:rsidR="009F34FA">
        <w:rPr>
          <w:color w:val="000000" w:themeColor="text1"/>
        </w:rPr>
        <w:t>(</w:t>
      </w:r>
      <w:r w:rsidR="6921CEF9" w:rsidRPr="225775D1">
        <w:rPr>
          <w:color w:val="000000" w:themeColor="text1"/>
        </w:rPr>
        <w:t>2</w:t>
      </w:r>
      <w:r w:rsidR="009F34FA">
        <w:rPr>
          <w:color w:val="000000" w:themeColor="text1"/>
        </w:rPr>
        <w:t>)</w:t>
      </w:r>
      <w:r w:rsidR="6921CEF9" w:rsidRPr="225775D1">
        <w:rPr>
          <w:color w:val="000000" w:themeColor="text1"/>
        </w:rPr>
        <w:t xml:space="preserve"> and</w:t>
      </w:r>
      <w:r w:rsidR="28D87945">
        <w:t xml:space="preserve"> </w:t>
      </w:r>
      <w:r w:rsidR="6921CEF9">
        <w:t>chemical</w:t>
      </w:r>
      <w:r w:rsidR="28D87945">
        <w:t xml:space="preserve"> prices adjusted to 2018</w:t>
      </w:r>
      <w:r w:rsidR="0054544D">
        <w:t xml:space="preserve"> base year</w:t>
      </w:r>
      <w:r w:rsidR="28D87945">
        <w:t xml:space="preserve">. </w:t>
      </w:r>
    </w:p>
    <w:tbl>
      <w:tblPr>
        <w:tblStyle w:val="TableGrid"/>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7"/>
        <w:gridCol w:w="566"/>
      </w:tblGrid>
      <w:tr w:rsidR="00187C9D" w14:paraId="618F8DBE" w14:textId="77777777" w:rsidTr="00D51F0F">
        <w:tc>
          <w:tcPr>
            <w:tcW w:w="4609" w:type="pct"/>
            <w:vAlign w:val="center"/>
          </w:tcPr>
          <w:p w14:paraId="0A3AA63D" w14:textId="21A6FC0C" w:rsidR="00187C9D" w:rsidRPr="001D10E0" w:rsidRDefault="001D10E0" w:rsidP="00E5209C">
            <w:pPr>
              <w:spacing w:after="120"/>
              <w:ind w:right="34"/>
              <w:jc w:val="center"/>
              <w:rPr>
                <w:sz w:val="18"/>
                <w:szCs w:val="18"/>
              </w:rPr>
            </w:pPr>
            <m:oMathPara>
              <m:oMathParaPr>
                <m:jc m:val="left"/>
              </m:oMathParaPr>
              <m:oMath>
                <m:r>
                  <w:rPr>
                    <w:rFonts w:ascii="Cambria Math" w:hAnsi="Cambria Math"/>
                    <w:sz w:val="18"/>
                    <w:szCs w:val="18"/>
                  </w:rPr>
                  <m:t xml:space="preserve">Economic constraint </m:t>
                </m:r>
                <m:d>
                  <m:dPr>
                    <m:ctrlPr>
                      <w:rPr>
                        <w:rFonts w:ascii="Cambria Math" w:hAnsi="Cambria Math"/>
                        <w:i/>
                        <w:sz w:val="18"/>
                        <w:szCs w:val="18"/>
                      </w:rPr>
                    </m:ctrlPr>
                  </m:dPr>
                  <m:e>
                    <m:r>
                      <w:rPr>
                        <w:rFonts w:ascii="Cambria Math" w:hAnsi="Cambria Math"/>
                        <w:sz w:val="18"/>
                        <w:szCs w:val="18"/>
                      </w:rPr>
                      <m:t>EC</m:t>
                    </m:r>
                  </m:e>
                </m:d>
                <m:r>
                  <w:rPr>
                    <w:rFonts w:ascii="Cambria Math" w:hAnsi="Cambria Math"/>
                    <w:sz w:val="18"/>
                    <w:szCs w:val="18"/>
                  </w:rPr>
                  <m:t>=</m:t>
                </m:r>
                <m:f>
                  <m:fPr>
                    <m:ctrlPr>
                      <w:rPr>
                        <w:rFonts w:ascii="Cambria Math" w:hAnsi="Cambria Math"/>
                        <w:i/>
                        <w:sz w:val="18"/>
                        <w:szCs w:val="18"/>
                      </w:rPr>
                    </m:ctrlPr>
                  </m:fPr>
                  <m:num>
                    <m:nary>
                      <m:naryPr>
                        <m:chr m:val="∑"/>
                        <m:limLoc m:val="undOvr"/>
                        <m:supHide m:val="1"/>
                        <m:ctrlPr>
                          <w:rPr>
                            <w:rFonts w:ascii="Cambria Math" w:hAnsi="Cambria Math"/>
                            <w:i/>
                            <w:sz w:val="18"/>
                            <w:szCs w:val="18"/>
                          </w:rPr>
                        </m:ctrlPr>
                      </m:naryPr>
                      <m:sub>
                        <m:r>
                          <w:rPr>
                            <w:rFonts w:ascii="Cambria Math" w:hAnsi="Cambria Math"/>
                            <w:sz w:val="18"/>
                            <w:szCs w:val="18"/>
                          </w:rPr>
                          <m:t>reactants</m:t>
                        </m:r>
                      </m:sub>
                      <m:sup/>
                      <m:e>
                        <m:r>
                          <w:rPr>
                            <w:rFonts w:ascii="Cambria Math" w:hAnsi="Cambria Math"/>
                            <w:sz w:val="18"/>
                            <w:szCs w:val="18"/>
                          </w:rPr>
                          <m:t>mass flow*Component price</m:t>
                        </m:r>
                      </m:e>
                    </m:nary>
                    <m:r>
                      <w:rPr>
                        <w:rFonts w:ascii="Cambria Math" w:hAnsi="Cambria Math"/>
                        <w:sz w:val="18"/>
                        <w:szCs w:val="18"/>
                      </w:rPr>
                      <m:t>+</m:t>
                    </m:r>
                    <m:sSub>
                      <m:sSubPr>
                        <m:ctrlPr>
                          <w:rPr>
                            <w:rFonts w:ascii="Cambria Math" w:hAnsi="Cambria Math"/>
                            <w:i/>
                            <w:sz w:val="18"/>
                            <w:szCs w:val="18"/>
                          </w:rPr>
                        </m:ctrlPr>
                      </m:sSub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ΔH</m:t>
                                </m:r>
                              </m:e>
                              <m:sup>
                                <m:r>
                                  <w:rPr>
                                    <w:rFonts w:ascii="Cambria Math" w:hAnsi="Cambria Math"/>
                                    <w:sz w:val="18"/>
                                    <w:szCs w:val="18"/>
                                  </w:rPr>
                                  <m:t>0</m:t>
                                </m:r>
                              </m:sup>
                            </m:sSup>
                            <m:r>
                              <w:rPr>
                                <w:rFonts w:ascii="Cambria Math" w:hAnsi="Cambria Math"/>
                                <w:sz w:val="18"/>
                                <w:szCs w:val="18"/>
                              </w:rPr>
                              <m:t xml:space="preserve">or </m:t>
                            </m:r>
                            <m:sSup>
                              <m:sSupPr>
                                <m:ctrlPr>
                                  <w:rPr>
                                    <w:rFonts w:ascii="Cambria Math" w:hAnsi="Cambria Math"/>
                                    <w:i/>
                                    <w:sz w:val="18"/>
                                    <w:szCs w:val="18"/>
                                  </w:rPr>
                                </m:ctrlPr>
                              </m:sSupPr>
                              <m:e>
                                <m:r>
                                  <w:rPr>
                                    <w:rFonts w:ascii="Cambria Math" w:hAnsi="Cambria Math"/>
                                    <w:sz w:val="18"/>
                                    <w:szCs w:val="18"/>
                                  </w:rPr>
                                  <m:t>∆G</m:t>
                                </m:r>
                              </m:e>
                              <m:sup>
                                <m:r>
                                  <w:rPr>
                                    <w:rFonts w:ascii="Cambria Math" w:hAnsi="Cambria Math"/>
                                    <w:sz w:val="18"/>
                                    <w:szCs w:val="18"/>
                                  </w:rPr>
                                  <m:t>0</m:t>
                                </m:r>
                              </m:sup>
                            </m:sSup>
                          </m:e>
                        </m:d>
                      </m:e>
                      <m:sub>
                        <m:r>
                          <w:rPr>
                            <w:rFonts w:ascii="Cambria Math" w:hAnsi="Cambria Math"/>
                            <w:sz w:val="18"/>
                            <w:szCs w:val="18"/>
                          </w:rPr>
                          <m:t>endergonic</m:t>
                        </m:r>
                      </m:sub>
                    </m:sSub>
                    <m:r>
                      <w:rPr>
                        <w:rFonts w:ascii="Cambria Math" w:hAnsi="Cambria Math"/>
                        <w:sz w:val="18"/>
                        <w:szCs w:val="18"/>
                      </w:rPr>
                      <m:t>*Utility price</m:t>
                    </m:r>
                  </m:num>
                  <m:den>
                    <m:nary>
                      <m:naryPr>
                        <m:chr m:val="∑"/>
                        <m:limLoc m:val="undOvr"/>
                        <m:supHide m:val="1"/>
                        <m:ctrlPr>
                          <w:rPr>
                            <w:rFonts w:ascii="Cambria Math" w:hAnsi="Cambria Math"/>
                            <w:i/>
                            <w:sz w:val="18"/>
                            <w:szCs w:val="18"/>
                          </w:rPr>
                        </m:ctrlPr>
                      </m:naryPr>
                      <m:sub>
                        <m:r>
                          <w:rPr>
                            <w:rFonts w:ascii="Cambria Math" w:hAnsi="Cambria Math"/>
                            <w:sz w:val="18"/>
                            <w:szCs w:val="18"/>
                          </w:rPr>
                          <m:t>products</m:t>
                        </m:r>
                      </m:sub>
                      <m:sup/>
                      <m:e>
                        <m:r>
                          <w:rPr>
                            <w:rFonts w:ascii="Cambria Math" w:hAnsi="Cambria Math"/>
                            <w:sz w:val="18"/>
                            <w:szCs w:val="18"/>
                          </w:rPr>
                          <m:t>mass flow*Component price</m:t>
                        </m:r>
                      </m:e>
                    </m:nary>
                  </m:den>
                </m:f>
              </m:oMath>
            </m:oMathPara>
          </w:p>
        </w:tc>
        <w:tc>
          <w:tcPr>
            <w:tcW w:w="391" w:type="pct"/>
            <w:vAlign w:val="center"/>
          </w:tcPr>
          <w:p w14:paraId="0708396C" w14:textId="274D741D" w:rsidR="00187C9D" w:rsidRPr="00F72D61" w:rsidRDefault="00187C9D" w:rsidP="001D10E0">
            <w:pPr>
              <w:jc w:val="right"/>
              <w:rPr>
                <w:color w:val="000000"/>
                <w:sz w:val="18"/>
                <w:szCs w:val="18"/>
              </w:rPr>
            </w:pPr>
            <w:r w:rsidRPr="000B6CD1">
              <w:rPr>
                <w:sz w:val="18"/>
                <w:szCs w:val="18"/>
              </w:rPr>
              <w:t>(</w:t>
            </w:r>
            <w:r w:rsidR="0009106B">
              <w:rPr>
                <w:sz w:val="18"/>
                <w:szCs w:val="18"/>
              </w:rPr>
              <w:t>2</w:t>
            </w:r>
            <w:r w:rsidRPr="000B6CD1">
              <w:rPr>
                <w:sz w:val="18"/>
                <w:szCs w:val="18"/>
              </w:rPr>
              <w:t>)</w:t>
            </w:r>
          </w:p>
        </w:tc>
      </w:tr>
    </w:tbl>
    <w:p w14:paraId="144DE69C" w14:textId="1F9F4EA2" w:rsidR="008D2649" w:rsidRPr="00381CCD" w:rsidRDefault="28D87945" w:rsidP="00C01B5B">
      <w:pPr>
        <w:jc w:val="both"/>
      </w:pPr>
      <w:r>
        <w:t xml:space="preserve">Technologies with </w:t>
      </w:r>
      <w:r w:rsidR="02CAAFAB">
        <w:t>EC</w:t>
      </w:r>
      <w:r>
        <w:t xml:space="preserve"> &lt; 1 were selected</w:t>
      </w:r>
      <w:r w:rsidR="6921CEF9">
        <w:t xml:space="preserve"> in stage-4</w:t>
      </w:r>
      <w:r>
        <w:t xml:space="preserve">. In stage-5, the technologies were ranked based on </w:t>
      </w:r>
      <w:r w:rsidR="6921CEF9">
        <w:t>TRL,</w:t>
      </w:r>
      <w:r>
        <w:t xml:space="preserve"> number of process steps and </w:t>
      </w:r>
      <w:r w:rsidR="6921CEF9">
        <w:t>EC</w:t>
      </w:r>
      <w:r w:rsidR="00BC39F5">
        <w:t xml:space="preserve">; only </w:t>
      </w:r>
      <w:r>
        <w:t>one process route f</w:t>
      </w:r>
      <w:r w:rsidR="002A07B0">
        <w:t>or</w:t>
      </w:r>
      <w:r>
        <w:t xml:space="preserve"> each feedstock </w:t>
      </w:r>
      <w:r w:rsidR="0FBD940A">
        <w:t>was</w:t>
      </w:r>
      <w:r>
        <w:t xml:space="preserve"> selected. </w:t>
      </w:r>
    </w:p>
    <w:p w14:paraId="58620F65" w14:textId="676888A6" w:rsidR="00FE5544" w:rsidRDefault="00FE5544" w:rsidP="008D2649">
      <w:pPr>
        <w:pStyle w:val="Els-2ndorder-head"/>
        <w:rPr>
          <w:lang w:val="en-GB"/>
        </w:rPr>
      </w:pPr>
      <w:r w:rsidRPr="00381CCD">
        <w:rPr>
          <w:lang w:val="en-GB"/>
        </w:rPr>
        <w:t>Ex-ante modelling</w:t>
      </w:r>
    </w:p>
    <w:p w14:paraId="3C165B6F" w14:textId="0F969F8E" w:rsidR="00037519" w:rsidRDefault="002C36C9" w:rsidP="00C01B5B">
      <w:pPr>
        <w:pStyle w:val="Els-body-text"/>
        <w:rPr>
          <w:lang w:val="en-GB"/>
        </w:rPr>
      </w:pPr>
      <w:r w:rsidRPr="2F9161C8">
        <w:rPr>
          <w:lang w:val="en-GB"/>
        </w:rPr>
        <w:t xml:space="preserve">The </w:t>
      </w:r>
      <w:r w:rsidR="00FC12AC" w:rsidRPr="2F9161C8">
        <w:rPr>
          <w:lang w:val="en-GB"/>
        </w:rPr>
        <w:t xml:space="preserve">methanol </w:t>
      </w:r>
      <w:r w:rsidRPr="2F9161C8">
        <w:rPr>
          <w:lang w:val="en-GB"/>
        </w:rPr>
        <w:t xml:space="preserve">production capacity of </w:t>
      </w:r>
      <w:r w:rsidR="009455DB" w:rsidRPr="2F9161C8">
        <w:rPr>
          <w:lang w:val="en-GB"/>
        </w:rPr>
        <w:t xml:space="preserve">each of </w:t>
      </w:r>
      <w:r w:rsidRPr="2F9161C8">
        <w:rPr>
          <w:lang w:val="en-GB"/>
        </w:rPr>
        <w:t xml:space="preserve">the three </w:t>
      </w:r>
      <w:r w:rsidR="00FC12AC" w:rsidRPr="2F9161C8">
        <w:rPr>
          <w:lang w:val="en-GB"/>
        </w:rPr>
        <w:t>selected technologies</w:t>
      </w:r>
      <w:r w:rsidRPr="2F9161C8">
        <w:rPr>
          <w:lang w:val="en-GB"/>
        </w:rPr>
        <w:t xml:space="preserve"> </w:t>
      </w:r>
      <w:r w:rsidR="00086F2B" w:rsidRPr="2F9161C8">
        <w:rPr>
          <w:lang w:val="en-GB"/>
        </w:rPr>
        <w:t>was</w:t>
      </w:r>
      <w:r w:rsidRPr="2F9161C8">
        <w:rPr>
          <w:lang w:val="en-GB"/>
        </w:rPr>
        <w:t xml:space="preserve"> 400 kt/y</w:t>
      </w:r>
      <w:r w:rsidR="007826AB" w:rsidRPr="2F9161C8">
        <w:rPr>
          <w:lang w:val="en-GB"/>
        </w:rPr>
        <w:t xml:space="preserve">, as it </w:t>
      </w:r>
      <w:r w:rsidR="006B175E" w:rsidRPr="2F9161C8">
        <w:rPr>
          <w:lang w:val="en-GB"/>
        </w:rPr>
        <w:t>corresponds to</w:t>
      </w:r>
      <w:r w:rsidR="007826AB" w:rsidRPr="2F9161C8">
        <w:rPr>
          <w:lang w:val="en-GB"/>
        </w:rPr>
        <w:t xml:space="preserve"> </w:t>
      </w:r>
      <w:r w:rsidRPr="2F9161C8">
        <w:rPr>
          <w:lang w:val="en-GB"/>
        </w:rPr>
        <w:t xml:space="preserve">the </w:t>
      </w:r>
      <w:r w:rsidR="00FC12AC" w:rsidRPr="2F9161C8">
        <w:rPr>
          <w:lang w:val="en-GB"/>
        </w:rPr>
        <w:t xml:space="preserve">total </w:t>
      </w:r>
      <w:r w:rsidRPr="2F9161C8">
        <w:rPr>
          <w:lang w:val="en-GB"/>
        </w:rPr>
        <w:t>methanol demand in the port of Rotterdam</w:t>
      </w:r>
      <w:r w:rsidR="002F6879" w:rsidRPr="2F9161C8">
        <w:rPr>
          <w:lang w:val="en-GB"/>
        </w:rPr>
        <w:t>, with a</w:t>
      </w:r>
      <w:r w:rsidR="00894BA3" w:rsidRPr="2F9161C8">
        <w:rPr>
          <w:lang w:val="en-GB"/>
        </w:rPr>
        <w:t xml:space="preserve"> </w:t>
      </w:r>
      <w:r w:rsidR="00124241" w:rsidRPr="2F9161C8">
        <w:rPr>
          <w:lang w:val="en-GB"/>
        </w:rPr>
        <w:t>purity</w:t>
      </w:r>
      <w:r w:rsidR="00FC12AC" w:rsidRPr="2F9161C8">
        <w:rPr>
          <w:lang w:val="en-GB"/>
        </w:rPr>
        <w:t xml:space="preserve"> &gt; </w:t>
      </w:r>
      <w:r w:rsidR="00FC12AC" w:rsidRPr="2F9161C8">
        <w:rPr>
          <w:lang w:val="en-GB"/>
        </w:rPr>
        <w:lastRenderedPageBreak/>
        <w:t xml:space="preserve">99 wt%. The three selected technologies </w:t>
      </w:r>
      <w:r w:rsidR="006735BF" w:rsidRPr="2F9161C8">
        <w:rPr>
          <w:lang w:val="en-GB"/>
        </w:rPr>
        <w:t xml:space="preserve">modelled in </w:t>
      </w:r>
      <w:r w:rsidR="00255BE3" w:rsidRPr="2F9161C8">
        <w:rPr>
          <w:lang w:val="en-GB"/>
        </w:rPr>
        <w:t>Aspen Plus</w:t>
      </w:r>
      <w:r w:rsidR="006735BF" w:rsidRPr="2F9161C8">
        <w:rPr>
          <w:lang w:val="en-GB"/>
        </w:rPr>
        <w:t xml:space="preserve"> </w:t>
      </w:r>
      <w:r w:rsidR="00FC12AC" w:rsidRPr="2F9161C8">
        <w:rPr>
          <w:lang w:val="en-GB"/>
        </w:rPr>
        <w:t>were: CO</w:t>
      </w:r>
      <w:r w:rsidR="00FC12AC" w:rsidRPr="2F9161C8">
        <w:rPr>
          <w:vertAlign w:val="subscript"/>
          <w:lang w:val="en-GB"/>
        </w:rPr>
        <w:t>2</w:t>
      </w:r>
      <w:r w:rsidR="00FC12AC" w:rsidRPr="2F9161C8">
        <w:rPr>
          <w:lang w:val="en-GB"/>
        </w:rPr>
        <w:t xml:space="preserve"> direct hydrogenation to methanol (C2M), biomass steam gasification (BSG) with syngas to methanol</w:t>
      </w:r>
      <w:r w:rsidR="0041055B" w:rsidRPr="2F9161C8">
        <w:rPr>
          <w:lang w:val="en-GB"/>
        </w:rPr>
        <w:t xml:space="preserve"> (S2M)</w:t>
      </w:r>
      <w:r w:rsidR="00FC12AC" w:rsidRPr="2F9161C8">
        <w:rPr>
          <w:lang w:val="en-GB"/>
        </w:rPr>
        <w:t xml:space="preserve"> and</w:t>
      </w:r>
      <w:r w:rsidR="005F7186" w:rsidRPr="2F9161C8">
        <w:rPr>
          <w:lang w:val="en-GB"/>
        </w:rPr>
        <w:t>,</w:t>
      </w:r>
      <w:r w:rsidR="00FC12AC" w:rsidRPr="2F9161C8">
        <w:rPr>
          <w:lang w:val="en-GB"/>
        </w:rPr>
        <w:t xml:space="preserve"> plastic steam gasification (PSG) with S2M. </w:t>
      </w:r>
      <w:r w:rsidR="00631A0B" w:rsidRPr="2F9161C8">
        <w:rPr>
          <w:lang w:val="en-GB"/>
        </w:rPr>
        <w:t>G</w:t>
      </w:r>
      <w:r w:rsidR="00FC12AC" w:rsidRPr="2F9161C8">
        <w:rPr>
          <w:lang w:val="en-GB"/>
        </w:rPr>
        <w:t>reen hydrogen</w:t>
      </w:r>
      <w:r w:rsidR="00AE4AE7" w:rsidRPr="2F9161C8">
        <w:rPr>
          <w:lang w:val="en-GB"/>
        </w:rPr>
        <w:t xml:space="preserve"> from WE</w:t>
      </w:r>
      <w:r w:rsidR="00FC12AC" w:rsidRPr="2F9161C8">
        <w:rPr>
          <w:lang w:val="en-GB"/>
        </w:rPr>
        <w:t xml:space="preserve"> was considered as hydrogen feedstock source in all three cases. </w:t>
      </w:r>
      <w:r w:rsidR="00A74662" w:rsidRPr="2F9161C8">
        <w:rPr>
          <w:lang w:val="en-GB"/>
        </w:rPr>
        <w:t xml:space="preserve">The C2M </w:t>
      </w:r>
      <w:r w:rsidR="0060164B" w:rsidRPr="2F9161C8">
        <w:rPr>
          <w:lang w:val="en-GB"/>
        </w:rPr>
        <w:t xml:space="preserve"> process</w:t>
      </w:r>
      <w:r w:rsidRPr="2F9161C8">
        <w:rPr>
          <w:lang w:val="en-GB"/>
        </w:rPr>
        <w:t xml:space="preserve"> w</w:t>
      </w:r>
      <w:r w:rsidR="0060164B" w:rsidRPr="2F9161C8">
        <w:rPr>
          <w:lang w:val="en-GB"/>
        </w:rPr>
        <w:t>as</w:t>
      </w:r>
      <w:r w:rsidRPr="2F9161C8">
        <w:rPr>
          <w:lang w:val="en-GB"/>
        </w:rPr>
        <w:t xml:space="preserve"> </w:t>
      </w:r>
      <w:r w:rsidR="00E04FB1" w:rsidRPr="2F9161C8">
        <w:rPr>
          <w:lang w:val="en-GB"/>
        </w:rPr>
        <w:t xml:space="preserve">modelled </w:t>
      </w:r>
      <w:r w:rsidR="0060164B" w:rsidRPr="2F9161C8">
        <w:rPr>
          <w:lang w:val="en-GB"/>
        </w:rPr>
        <w:t>following the work by</w:t>
      </w:r>
      <w:r w:rsidR="005A27EE" w:rsidRPr="2F9161C8">
        <w:rPr>
          <w:lang w:val="en-GB"/>
        </w:rPr>
        <w:t xml:space="preserve"> </w:t>
      </w:r>
      <w:r w:rsidRPr="2F9161C8">
        <w:rPr>
          <w:lang w:val="en-GB"/>
        </w:rPr>
        <w:fldChar w:fldCharType="begin" w:fldLock="1"/>
      </w:r>
      <w:r w:rsidRPr="2F9161C8">
        <w:rPr>
          <w:lang w:val="en-GB"/>
        </w:rPr>
        <w:instrText>ADDIN CSL_CITATION {"citationItems":[{"id":"ITEM-1","itemData":{"author":[{"dropping-particle":"","family":"E. Lücking","given":"Leonie","non-dropping-particle":"","parse-names":false,"suffix":""},{"dropping-particle":"","family":"Jong","given":"Wiebren","non-dropping-particle":"de","parse-names":false,"suffix":""}],"id":"ITEM-1","issued":{"date-parts":[["2017"]]},"title":"Methanol Production from Syngas: Process modelling and design utilising biomass gasification and integrating hydrogen supply","type":"thesis"},"uris":["http://www.mendeley.com/documents/?uuid=ea06ca2e-eea9-48a0-8931-610b0effe6de"]}],"mendeley":{"formattedCitation":"(E. Lücking &amp; de Jong, 2017)","manualFormatting":"E. Lücking &amp; de Jong, (2017","plainTextFormattedCitation":"(E. Lücking &amp; de Jong, 2017)","previouslyFormattedCitation":"(E. Lücking &amp; de Jong, 2017)"},"properties":{"noteIndex":0},"schema":"https://github.com/citation-style-language/schema/raw/master/csl-citation.json"}</w:instrText>
      </w:r>
      <w:r w:rsidRPr="2F9161C8">
        <w:rPr>
          <w:lang w:val="en-GB"/>
        </w:rPr>
        <w:fldChar w:fldCharType="separate"/>
      </w:r>
      <w:r w:rsidR="005A27EE" w:rsidRPr="2F9161C8">
        <w:rPr>
          <w:noProof/>
          <w:lang w:val="en-GB"/>
        </w:rPr>
        <w:t xml:space="preserve">E. Lücking &amp; de Jong, </w:t>
      </w:r>
      <w:r w:rsidRPr="2F9161C8">
        <w:rPr>
          <w:noProof/>
          <w:lang w:val="en-GB"/>
        </w:rPr>
        <w:t>(</w:t>
      </w:r>
      <w:r w:rsidR="005A27EE" w:rsidRPr="2F9161C8">
        <w:rPr>
          <w:noProof/>
          <w:lang w:val="en-GB"/>
        </w:rPr>
        <w:t>2017</w:t>
      </w:r>
      <w:r w:rsidRPr="2F9161C8">
        <w:rPr>
          <w:lang w:val="en-GB"/>
        </w:rPr>
        <w:fldChar w:fldCharType="end"/>
      </w:r>
      <w:r w:rsidRPr="2F9161C8">
        <w:rPr>
          <w:lang w:val="en-GB"/>
        </w:rPr>
        <w:t>)</w:t>
      </w:r>
      <w:r w:rsidR="0060164B" w:rsidRPr="2F9161C8">
        <w:rPr>
          <w:lang w:val="en-GB"/>
        </w:rPr>
        <w:t>,  using</w:t>
      </w:r>
      <w:r w:rsidRPr="2F9161C8">
        <w:rPr>
          <w:lang w:val="en-GB"/>
        </w:rPr>
        <w:t xml:space="preserve"> </w:t>
      </w:r>
      <w:r w:rsidR="0060164B" w:rsidRPr="2F9161C8">
        <w:rPr>
          <w:lang w:val="en-GB"/>
        </w:rPr>
        <w:t>a</w:t>
      </w:r>
      <w:r w:rsidR="008B5E37" w:rsidRPr="2F9161C8">
        <w:rPr>
          <w:lang w:val="en-GB"/>
        </w:rPr>
        <w:t>n</w:t>
      </w:r>
      <w:r w:rsidR="0060164B" w:rsidRPr="2F9161C8">
        <w:rPr>
          <w:lang w:val="en-GB"/>
        </w:rPr>
        <w:t xml:space="preserve"> </w:t>
      </w:r>
      <w:r w:rsidR="00E66D93" w:rsidRPr="2F9161C8">
        <w:rPr>
          <w:lang w:val="en-GB"/>
        </w:rPr>
        <w:t xml:space="preserve">RPlug reactor </w:t>
      </w:r>
      <w:r w:rsidRPr="2F9161C8">
        <w:rPr>
          <w:lang w:val="en-GB"/>
        </w:rPr>
        <w:t>w</w:t>
      </w:r>
      <w:r w:rsidR="00E66D93" w:rsidRPr="2F9161C8">
        <w:rPr>
          <w:lang w:val="en-GB"/>
        </w:rPr>
        <w:t>ith</w:t>
      </w:r>
      <w:r w:rsidRPr="2F9161C8">
        <w:rPr>
          <w:lang w:val="en-GB"/>
        </w:rPr>
        <w:t xml:space="preserve"> kinetic input data. The </w:t>
      </w:r>
      <w:r w:rsidR="0060164B" w:rsidRPr="2F9161C8">
        <w:rPr>
          <w:lang w:val="en-GB"/>
        </w:rPr>
        <w:t>B</w:t>
      </w:r>
      <w:r w:rsidR="00947349" w:rsidRPr="2F9161C8">
        <w:rPr>
          <w:lang w:val="en-GB"/>
        </w:rPr>
        <w:t>SG</w:t>
      </w:r>
      <w:r w:rsidR="00E04FB1" w:rsidRPr="2F9161C8">
        <w:rPr>
          <w:lang w:val="en-GB"/>
        </w:rPr>
        <w:t xml:space="preserve"> </w:t>
      </w:r>
      <w:r w:rsidRPr="2F9161C8">
        <w:rPr>
          <w:lang w:val="en-GB"/>
        </w:rPr>
        <w:t xml:space="preserve">process was </w:t>
      </w:r>
      <w:r w:rsidR="00E04FB1" w:rsidRPr="2F9161C8">
        <w:rPr>
          <w:lang w:val="en-GB"/>
        </w:rPr>
        <w:t xml:space="preserve">modelled as per </w:t>
      </w:r>
      <w:r w:rsidRPr="2F9161C8">
        <w:rPr>
          <w:lang w:val="en-GB"/>
        </w:rPr>
        <w:t>the GoBiGas Project in Sweden</w:t>
      </w:r>
      <w:r w:rsidR="005451CA" w:rsidRPr="2F9161C8">
        <w:rPr>
          <w:lang w:val="en-GB"/>
        </w:rPr>
        <w:t xml:space="preserve"> </w:t>
      </w:r>
      <w:r w:rsidRPr="2F9161C8">
        <w:rPr>
          <w:lang w:val="en-GB"/>
        </w:rPr>
        <w:fldChar w:fldCharType="begin" w:fldLock="1"/>
      </w:r>
      <w:r w:rsidRPr="2F9161C8">
        <w:rPr>
          <w:lang w:val="en-GB"/>
        </w:rPr>
        <w:instrText>ADDIN CSL_CITATION {"citationItems":[{"id":"ITEM-1","itemData":{"author":[{"dropping-particle":"","family":"Larsson","given":"Aton","non-dropping-particle":"","parse-names":false,"suffix":""},{"dropping-particle":"","family":"Gunnasrsson","given":"Ingemar","non-dropping-particle":"","parse-names":false,"suffix":""},{"dropping-particle":"","family":"Tengberg","given":"Freddy","non-dropping-particle":"","parse-names":false,"suffix":""}],"container-title":"Goteborg Energi AB, Gothenburg, Sweden","id":"ITEM-1","issued":{"date-parts":[["2018"]]},"title":"The GoBiGas Project-Demonstration of the Production of Biomethane from Biomass via Gasification","type":"report"},"uris":["http://www.mendeley.com/documents/?uuid=32d47e1a-3a3c-4fed-8e1d-e335cc7cc91b"]}],"mendeley":{"formattedCitation":"(Larsson et al., 2018)","plainTextFormattedCitation":"(Larsson et al., 2018)","previouslyFormattedCitation":"(Larsson et al., 2018)"},"properties":{"noteIndex":0},"schema":"https://github.com/citation-style-language/schema/raw/master/csl-citation.json"}</w:instrText>
      </w:r>
      <w:r w:rsidRPr="2F9161C8">
        <w:rPr>
          <w:lang w:val="en-GB"/>
        </w:rPr>
        <w:fldChar w:fldCharType="separate"/>
      </w:r>
      <w:r w:rsidR="005451CA" w:rsidRPr="2F9161C8">
        <w:rPr>
          <w:noProof/>
          <w:lang w:val="en-GB"/>
        </w:rPr>
        <w:t>(Larsson et al., 2018)</w:t>
      </w:r>
      <w:r w:rsidRPr="2F9161C8">
        <w:rPr>
          <w:lang w:val="en-GB"/>
        </w:rPr>
        <w:fldChar w:fldCharType="end"/>
      </w:r>
      <w:r w:rsidR="00840B31" w:rsidRPr="2F9161C8">
        <w:rPr>
          <w:lang w:val="en-GB"/>
        </w:rPr>
        <w:t>,</w:t>
      </w:r>
      <w:r w:rsidR="00E66D93" w:rsidRPr="2F9161C8">
        <w:rPr>
          <w:lang w:val="en-GB"/>
        </w:rPr>
        <w:t xml:space="preserve"> with the gasification section modelled as a combination of </w:t>
      </w:r>
      <w:r w:rsidR="000072D6" w:rsidRPr="2F9161C8">
        <w:rPr>
          <w:lang w:val="en-GB"/>
        </w:rPr>
        <w:t xml:space="preserve">an </w:t>
      </w:r>
      <w:r w:rsidR="00E66D93" w:rsidRPr="2F9161C8">
        <w:rPr>
          <w:lang w:val="en-GB"/>
        </w:rPr>
        <w:t>R</w:t>
      </w:r>
      <w:r w:rsidR="000072D6" w:rsidRPr="2F9161C8">
        <w:rPr>
          <w:lang w:val="en-GB"/>
        </w:rPr>
        <w:t>S</w:t>
      </w:r>
      <w:r w:rsidR="00E66D93" w:rsidRPr="2F9161C8">
        <w:rPr>
          <w:lang w:val="en-GB"/>
        </w:rPr>
        <w:t>toic (gasification &amp; char formation section) and R</w:t>
      </w:r>
      <w:r w:rsidR="008B5E37" w:rsidRPr="2F9161C8">
        <w:rPr>
          <w:lang w:val="en-GB"/>
        </w:rPr>
        <w:t>G</w:t>
      </w:r>
      <w:r w:rsidR="00E66D93" w:rsidRPr="2F9161C8">
        <w:rPr>
          <w:lang w:val="en-GB"/>
        </w:rPr>
        <w:t>ibbs reactors (tar formation section)</w:t>
      </w:r>
      <w:r w:rsidRPr="2F9161C8">
        <w:rPr>
          <w:lang w:val="en-GB"/>
        </w:rPr>
        <w:t xml:space="preserve">.  </w:t>
      </w:r>
      <w:r w:rsidR="00113F43" w:rsidRPr="2F9161C8">
        <w:rPr>
          <w:lang w:val="en-GB"/>
        </w:rPr>
        <w:t xml:space="preserve">After gasification, </w:t>
      </w:r>
      <w:r w:rsidR="0077614A" w:rsidRPr="2F9161C8">
        <w:rPr>
          <w:lang w:val="en-GB"/>
        </w:rPr>
        <w:t>a</w:t>
      </w:r>
      <w:r w:rsidR="00113F43" w:rsidRPr="2F9161C8">
        <w:rPr>
          <w:lang w:val="en-GB"/>
        </w:rPr>
        <w:t xml:space="preserve"> Rectisol process and cryogenic distillation were used for syngas cleaning. </w:t>
      </w:r>
      <w:r w:rsidR="003C3E99" w:rsidRPr="2F9161C8">
        <w:rPr>
          <w:lang w:val="en-GB"/>
        </w:rPr>
        <w:t>The P2G</w:t>
      </w:r>
      <w:r w:rsidR="0053043E" w:rsidRPr="2F9161C8">
        <w:rPr>
          <w:lang w:val="en-GB"/>
        </w:rPr>
        <w:t xml:space="preserve"> process </w:t>
      </w:r>
      <w:r w:rsidR="007B7CBF" w:rsidRPr="2F9161C8">
        <w:rPr>
          <w:lang w:val="en-GB"/>
        </w:rPr>
        <w:t xml:space="preserve">was modelled as per </w:t>
      </w:r>
      <w:r w:rsidRPr="2F9161C8">
        <w:rPr>
          <w:lang w:val="en-GB"/>
        </w:rPr>
        <w:t>Quevedo</w:t>
      </w:r>
      <w:r w:rsidR="007B7CBF" w:rsidRPr="2F9161C8">
        <w:rPr>
          <w:lang w:val="en-GB"/>
        </w:rPr>
        <w:t xml:space="preserve"> et al</w:t>
      </w:r>
      <w:r w:rsidR="008E518A" w:rsidRPr="2F9161C8">
        <w:rPr>
          <w:lang w:val="en-GB"/>
        </w:rPr>
        <w:t>.</w:t>
      </w:r>
      <w:r w:rsidR="007B7CBF" w:rsidRPr="2F9161C8">
        <w:rPr>
          <w:lang w:val="en-GB"/>
        </w:rPr>
        <w:t xml:space="preserve">  </w:t>
      </w:r>
      <w:r w:rsidRPr="2F9161C8">
        <w:rPr>
          <w:lang w:val="en-GB"/>
        </w:rPr>
        <w:fldChar w:fldCharType="begin" w:fldLock="1"/>
      </w:r>
      <w:r w:rsidRPr="2F9161C8">
        <w:rPr>
          <w:lang w:val="en-GB"/>
        </w:rPr>
        <w:instrText>ADDIN CSL_CITATION {"citationItems":[{"id":"ITEM-1","itemData":{"author":[{"dropping-particle":"","family":"Quevedo","given":"Sebastian","non-dropping-particle":"","parse-names":false,"suffix":""},{"dropping-particle":"","family":"Ibarra Gonzales","given":"Paola","non-dropping-particle":"","parse-names":false,"suffix":""},{"dropping-particle":"","family":"Rameriz","given":"Andrea","non-dropping-particle":"","parse-names":false,"suffix":""}],"id":"ITEM-1","issued":{"date-parts":[["2021"]]},"publisher":"TU Delft","title":"Techno-economic and environmental comparative assessment of two renewable methanol production routes","type":"thesis"},"uris":["http://www.mendeley.com/documents/?uuid=9ed5c5f5-815e-4858-afe6-aa3142eea5f9"]}],"mendeley":{"formattedCitation":"(Quevedo et al., 2021)","plainTextFormattedCitation":"(Quevedo et al., 2021)","previouslyFormattedCitation":"(Quevedo et al., 2021)"},"properties":{"noteIndex":0},"schema":"https://github.com/citation-style-language/schema/raw/master/csl-citation.json"}</w:instrText>
      </w:r>
      <w:r w:rsidRPr="2F9161C8">
        <w:rPr>
          <w:lang w:val="en-GB"/>
        </w:rPr>
        <w:fldChar w:fldCharType="separate"/>
      </w:r>
      <w:r w:rsidR="007B7CBF" w:rsidRPr="2F9161C8">
        <w:rPr>
          <w:noProof/>
          <w:lang w:val="en-GB"/>
        </w:rPr>
        <w:t>(Quevedo et al., 2021)</w:t>
      </w:r>
      <w:r w:rsidRPr="2F9161C8">
        <w:rPr>
          <w:lang w:val="en-GB"/>
        </w:rPr>
        <w:fldChar w:fldCharType="end"/>
      </w:r>
      <w:r w:rsidR="0081195A" w:rsidRPr="2F9161C8">
        <w:rPr>
          <w:lang w:val="en-GB"/>
        </w:rPr>
        <w:t>, combining an RStoic</w:t>
      </w:r>
      <w:r w:rsidR="00E66D93" w:rsidRPr="2F9161C8">
        <w:rPr>
          <w:lang w:val="en-GB"/>
        </w:rPr>
        <w:t xml:space="preserve"> and </w:t>
      </w:r>
      <w:r w:rsidR="0081195A" w:rsidRPr="2F9161C8">
        <w:rPr>
          <w:lang w:val="en-GB"/>
        </w:rPr>
        <w:t xml:space="preserve">an </w:t>
      </w:r>
      <w:r w:rsidR="00E66D93" w:rsidRPr="2F9161C8">
        <w:rPr>
          <w:lang w:val="en-GB"/>
        </w:rPr>
        <w:t>R</w:t>
      </w:r>
      <w:r w:rsidR="0081195A" w:rsidRPr="2F9161C8">
        <w:rPr>
          <w:lang w:val="en-GB"/>
        </w:rPr>
        <w:t>G</w:t>
      </w:r>
      <w:r w:rsidR="00E66D93" w:rsidRPr="2F9161C8">
        <w:rPr>
          <w:lang w:val="en-GB"/>
        </w:rPr>
        <w:t>ibbs reactor</w:t>
      </w:r>
      <w:r w:rsidRPr="2F9161C8">
        <w:rPr>
          <w:lang w:val="en-GB"/>
        </w:rPr>
        <w:t xml:space="preserve">. </w:t>
      </w:r>
      <w:r w:rsidR="00113F43" w:rsidRPr="2F9161C8">
        <w:rPr>
          <w:lang w:val="en-GB"/>
        </w:rPr>
        <w:t xml:space="preserve">The methanol </w:t>
      </w:r>
      <w:r w:rsidR="002E1626" w:rsidRPr="2F9161C8">
        <w:rPr>
          <w:lang w:val="en-GB"/>
        </w:rPr>
        <w:t>synthesis section</w:t>
      </w:r>
      <w:r w:rsidR="00227757" w:rsidRPr="2F9161C8">
        <w:rPr>
          <w:lang w:val="en-GB"/>
        </w:rPr>
        <w:t xml:space="preserve"> (S</w:t>
      </w:r>
      <w:r w:rsidR="00E757E7" w:rsidRPr="2F9161C8">
        <w:rPr>
          <w:lang w:val="en-GB"/>
        </w:rPr>
        <w:t>2M)</w:t>
      </w:r>
      <w:r w:rsidR="00113F43" w:rsidRPr="2F9161C8">
        <w:rPr>
          <w:lang w:val="en-GB"/>
        </w:rPr>
        <w:t xml:space="preserve"> in both</w:t>
      </w:r>
      <w:r w:rsidR="00547294" w:rsidRPr="2F9161C8">
        <w:rPr>
          <w:lang w:val="en-GB"/>
        </w:rPr>
        <w:t>,</w:t>
      </w:r>
      <w:r w:rsidR="00113F43" w:rsidRPr="2F9161C8">
        <w:rPr>
          <w:lang w:val="en-GB"/>
        </w:rPr>
        <w:t xml:space="preserve"> biomass and plastic</w:t>
      </w:r>
      <w:r w:rsidR="00023DDA" w:rsidRPr="2F9161C8">
        <w:rPr>
          <w:lang w:val="en-GB"/>
        </w:rPr>
        <w:t>-</w:t>
      </w:r>
      <w:r w:rsidR="00113F43" w:rsidRPr="2F9161C8">
        <w:rPr>
          <w:lang w:val="en-GB"/>
        </w:rPr>
        <w:t>based routes</w:t>
      </w:r>
      <w:r w:rsidR="00547294" w:rsidRPr="2F9161C8">
        <w:rPr>
          <w:lang w:val="en-GB"/>
        </w:rPr>
        <w:t>,</w:t>
      </w:r>
      <w:r w:rsidR="00113F43" w:rsidRPr="2F9161C8">
        <w:rPr>
          <w:lang w:val="en-GB"/>
        </w:rPr>
        <w:t xml:space="preserve"> </w:t>
      </w:r>
      <w:r w:rsidR="00547294" w:rsidRPr="2F9161C8">
        <w:rPr>
          <w:lang w:val="en-GB"/>
        </w:rPr>
        <w:t xml:space="preserve">was </w:t>
      </w:r>
      <w:r w:rsidR="00113F43" w:rsidRPr="2F9161C8">
        <w:rPr>
          <w:lang w:val="en-GB"/>
        </w:rPr>
        <w:t xml:space="preserve">modelled </w:t>
      </w:r>
      <w:r w:rsidR="005C38C8" w:rsidRPr="2F9161C8">
        <w:rPr>
          <w:lang w:val="en-GB"/>
        </w:rPr>
        <w:t>based on</w:t>
      </w:r>
      <w:r w:rsidR="003132DC" w:rsidRPr="2F9161C8">
        <w:rPr>
          <w:lang w:val="en-GB"/>
        </w:rPr>
        <w:t xml:space="preserve"> the work by</w:t>
      </w:r>
      <w:r w:rsidR="00113F43" w:rsidRPr="2F9161C8">
        <w:rPr>
          <w:lang w:val="en-GB"/>
        </w:rPr>
        <w:t xml:space="preserve"> </w:t>
      </w:r>
      <w:r w:rsidRPr="2F9161C8">
        <w:rPr>
          <w:lang w:val="en-GB"/>
        </w:rPr>
        <w:fldChar w:fldCharType="begin" w:fldLock="1"/>
      </w:r>
      <w:r w:rsidRPr="2F9161C8">
        <w:rPr>
          <w:lang w:val="en-GB"/>
        </w:rPr>
        <w:instrText>ADDIN CSL_CITATION {"citationItems":[{"id":"ITEM-1","itemData":{"author":[{"dropping-particle":"","family":"E. Lücking","given":"Leonie","non-dropping-particle":"","parse-names":false,"suffix":""},{"dropping-particle":"","family":"Jong","given":"Wiebren","non-dropping-particle":"de","parse-names":false,"suffix":""}],"id":"ITEM-1","issued":{"date-parts":[["2017"]]},"title":"Methanol Production from Syngas: Process modelling and design utilising biomass gasification and integrating hydrogen supply","type":"thesis"},"uris":["http://www.mendeley.com/documents/?uuid=ea06ca2e-eea9-48a0-8931-610b0effe6de"]}],"mendeley":{"formattedCitation":"(E. Lücking &amp; de Jong, 2017)","manualFormatting":"E. Lücking &amp; de Jong, (2017","plainTextFormattedCitation":"(E. Lücking &amp; de Jong, 2017)","previouslyFormattedCitation":"(E. Lücking &amp; de Jong, 2017)"},"properties":{"noteIndex":0},"schema":"https://github.com/citation-style-language/schema/raw/master/csl-citation.json"}</w:instrText>
      </w:r>
      <w:r w:rsidRPr="2F9161C8">
        <w:rPr>
          <w:lang w:val="en-GB"/>
        </w:rPr>
        <w:fldChar w:fldCharType="separate"/>
      </w:r>
      <w:r w:rsidR="00113F43" w:rsidRPr="2F9161C8">
        <w:rPr>
          <w:noProof/>
          <w:lang w:val="en-GB"/>
        </w:rPr>
        <w:t>E. Lücking &amp; de Jong, (2017</w:t>
      </w:r>
      <w:r w:rsidRPr="2F9161C8">
        <w:rPr>
          <w:lang w:val="en-GB"/>
        </w:rPr>
        <w:fldChar w:fldCharType="end"/>
      </w:r>
      <w:r w:rsidR="00113F43" w:rsidRPr="2F9161C8">
        <w:rPr>
          <w:lang w:val="en-GB"/>
        </w:rPr>
        <w:t xml:space="preserve">). </w:t>
      </w:r>
    </w:p>
    <w:p w14:paraId="1AE1248B" w14:textId="5D97DB00" w:rsidR="00C01B5B" w:rsidRPr="00C01B5B" w:rsidRDefault="001C4565" w:rsidP="00C01B5B">
      <w:pPr>
        <w:pStyle w:val="Els-body-text"/>
        <w:rPr>
          <w:lang w:val="en-GB"/>
        </w:rPr>
      </w:pPr>
      <w:r>
        <w:rPr>
          <w:lang w:val="en-GB"/>
        </w:rPr>
        <w:t xml:space="preserve">Four different steam levels </w:t>
      </w:r>
      <w:r w:rsidR="003048F7">
        <w:rPr>
          <w:lang w:val="en-GB"/>
        </w:rPr>
        <w:t xml:space="preserve">were used </w:t>
      </w:r>
      <w:r w:rsidR="005E6BC8">
        <w:rPr>
          <w:lang w:val="en-GB"/>
        </w:rPr>
        <w:t>as heating utilities,</w:t>
      </w:r>
      <w:r w:rsidR="003048F7">
        <w:rPr>
          <w:lang w:val="en-GB"/>
        </w:rPr>
        <w:t xml:space="preserve"> </w:t>
      </w:r>
      <w:r>
        <w:rPr>
          <w:lang w:val="en-GB"/>
        </w:rPr>
        <w:t>namely:</w:t>
      </w:r>
      <w:r w:rsidR="00360304">
        <w:rPr>
          <w:lang w:val="en-GB"/>
        </w:rPr>
        <w:t xml:space="preserve"> </w:t>
      </w:r>
      <w:r w:rsidR="001908AE">
        <w:rPr>
          <w:lang w:val="en-GB"/>
        </w:rPr>
        <w:t xml:space="preserve">low low pressure </w:t>
      </w:r>
      <w:r w:rsidR="002D2CBB">
        <w:rPr>
          <w:lang w:val="en-GB"/>
        </w:rPr>
        <w:t>(</w:t>
      </w:r>
      <w:r w:rsidR="00360304">
        <w:rPr>
          <w:lang w:val="en-GB"/>
        </w:rPr>
        <w:t>LLP</w:t>
      </w:r>
      <w:r w:rsidR="002D2CBB">
        <w:rPr>
          <w:lang w:val="en-GB"/>
        </w:rPr>
        <w:t xml:space="preserve"> at 3.9 bar)</w:t>
      </w:r>
      <w:r w:rsidR="00360304">
        <w:rPr>
          <w:lang w:val="en-GB"/>
        </w:rPr>
        <w:t xml:space="preserve">, </w:t>
      </w:r>
      <w:r w:rsidR="002D2CBB">
        <w:rPr>
          <w:lang w:val="en-GB"/>
        </w:rPr>
        <w:t>low pressure (</w:t>
      </w:r>
      <w:r w:rsidR="00360304">
        <w:rPr>
          <w:lang w:val="en-GB"/>
        </w:rPr>
        <w:t>LP</w:t>
      </w:r>
      <w:r w:rsidR="002D2CBB">
        <w:rPr>
          <w:lang w:val="en-GB"/>
        </w:rPr>
        <w:t xml:space="preserve"> at 5.5 bar)</w:t>
      </w:r>
      <w:r w:rsidR="00360304">
        <w:rPr>
          <w:lang w:val="en-GB"/>
        </w:rPr>
        <w:t xml:space="preserve">, </w:t>
      </w:r>
      <w:r w:rsidR="002D2CBB">
        <w:rPr>
          <w:lang w:val="en-GB"/>
        </w:rPr>
        <w:t>medium pressure (</w:t>
      </w:r>
      <w:r w:rsidR="00360304">
        <w:rPr>
          <w:lang w:val="en-GB"/>
        </w:rPr>
        <w:t>MP</w:t>
      </w:r>
      <w:r w:rsidR="002D2CBB">
        <w:rPr>
          <w:lang w:val="en-GB"/>
        </w:rPr>
        <w:t xml:space="preserve"> at 21 bar)</w:t>
      </w:r>
      <w:r>
        <w:rPr>
          <w:lang w:val="en-GB"/>
        </w:rPr>
        <w:t xml:space="preserve"> &amp; </w:t>
      </w:r>
      <w:r w:rsidR="002D2CBB">
        <w:rPr>
          <w:lang w:val="en-GB"/>
        </w:rPr>
        <w:t>high pressure (</w:t>
      </w:r>
      <w:r w:rsidR="00360304">
        <w:rPr>
          <w:lang w:val="en-GB"/>
        </w:rPr>
        <w:t>HP</w:t>
      </w:r>
      <w:r>
        <w:rPr>
          <w:lang w:val="en-GB"/>
        </w:rPr>
        <w:t xml:space="preserve"> </w:t>
      </w:r>
      <w:r w:rsidR="002D2CBB">
        <w:rPr>
          <w:lang w:val="en-GB"/>
        </w:rPr>
        <w:t xml:space="preserve">at 51 bar) </w:t>
      </w:r>
      <w:r>
        <w:rPr>
          <w:lang w:val="en-GB"/>
        </w:rPr>
        <w:t>steam</w:t>
      </w:r>
      <w:r w:rsidR="00360304">
        <w:rPr>
          <w:lang w:val="en-GB"/>
        </w:rPr>
        <w:t>s</w:t>
      </w:r>
      <w:r w:rsidR="009E7F02">
        <w:rPr>
          <w:lang w:val="en-GB"/>
        </w:rPr>
        <w:t xml:space="preserve">. </w:t>
      </w:r>
      <w:r w:rsidR="009963E8">
        <w:rPr>
          <w:lang w:val="en-GB"/>
        </w:rPr>
        <w:t>To supply heating needs</w:t>
      </w:r>
      <w:r w:rsidR="001448D3">
        <w:rPr>
          <w:lang w:val="en-GB"/>
        </w:rPr>
        <w:t xml:space="preserve"> at a temperature</w:t>
      </w:r>
      <w:r w:rsidR="003048F7">
        <w:rPr>
          <w:lang w:val="en-GB"/>
        </w:rPr>
        <w:t xml:space="preserve"> </w:t>
      </w:r>
      <w:r w:rsidR="00D0186C">
        <w:rPr>
          <w:lang w:val="en-GB"/>
        </w:rPr>
        <w:t xml:space="preserve">above </w:t>
      </w:r>
      <w:r w:rsidR="003048F7">
        <w:rPr>
          <w:lang w:val="en-GB"/>
        </w:rPr>
        <w:t xml:space="preserve">250 </w:t>
      </w:r>
      <w:r w:rsidR="003048F7" w:rsidRPr="003048F7">
        <w:rPr>
          <w:vertAlign w:val="superscript"/>
          <w:lang w:val="en-GB"/>
        </w:rPr>
        <w:t>o</w:t>
      </w:r>
      <w:r w:rsidR="003048F7">
        <w:rPr>
          <w:lang w:val="en-GB"/>
        </w:rPr>
        <w:t>C</w:t>
      </w:r>
      <w:r w:rsidR="0036457E">
        <w:rPr>
          <w:lang w:val="en-GB"/>
        </w:rPr>
        <w:t xml:space="preserve"> when the process could not provide </w:t>
      </w:r>
      <w:r w:rsidR="00EB661A">
        <w:rPr>
          <w:lang w:val="en-GB"/>
        </w:rPr>
        <w:t>them</w:t>
      </w:r>
      <w:r w:rsidR="00957E15">
        <w:rPr>
          <w:lang w:val="en-GB"/>
        </w:rPr>
        <w:t>,</w:t>
      </w:r>
      <w:r w:rsidR="003048F7">
        <w:rPr>
          <w:lang w:val="en-GB"/>
        </w:rPr>
        <w:t xml:space="preserve"> </w:t>
      </w:r>
      <w:r w:rsidR="00867D87">
        <w:rPr>
          <w:lang w:val="en-GB"/>
        </w:rPr>
        <w:t>combustion-based</w:t>
      </w:r>
      <w:r w:rsidR="003048F7">
        <w:rPr>
          <w:lang w:val="en-GB"/>
        </w:rPr>
        <w:t xml:space="preserve"> heat was provided and natural gas </w:t>
      </w:r>
      <w:r w:rsidR="002D2CBB">
        <w:rPr>
          <w:lang w:val="en-GB"/>
        </w:rPr>
        <w:t>(81.4 wt% CH</w:t>
      </w:r>
      <w:r w:rsidR="002D2CBB" w:rsidRPr="007A375E">
        <w:rPr>
          <w:vertAlign w:val="subscript"/>
          <w:lang w:val="en-GB"/>
        </w:rPr>
        <w:t>4</w:t>
      </w:r>
      <w:r w:rsidR="002D2CBB">
        <w:rPr>
          <w:lang w:val="en-GB"/>
        </w:rPr>
        <w:t>, 14.4 wt% N</w:t>
      </w:r>
      <w:r w:rsidR="002D2CBB" w:rsidRPr="00360304">
        <w:rPr>
          <w:vertAlign w:val="subscript"/>
          <w:lang w:val="en-GB"/>
        </w:rPr>
        <w:t>2</w:t>
      </w:r>
      <w:r w:rsidR="002D2CBB">
        <w:rPr>
          <w:lang w:val="en-GB"/>
        </w:rPr>
        <w:t>, 3 wt% C</w:t>
      </w:r>
      <w:r w:rsidR="002D2CBB" w:rsidRPr="007A375E">
        <w:rPr>
          <w:vertAlign w:val="subscript"/>
          <w:lang w:val="en-GB"/>
        </w:rPr>
        <w:t>2</w:t>
      </w:r>
      <w:r w:rsidR="002D2CBB">
        <w:rPr>
          <w:lang w:val="en-GB"/>
        </w:rPr>
        <w:t>H</w:t>
      </w:r>
      <w:r w:rsidR="002D2CBB" w:rsidRPr="007A375E">
        <w:rPr>
          <w:vertAlign w:val="subscript"/>
          <w:lang w:val="en-GB"/>
        </w:rPr>
        <w:t>6</w:t>
      </w:r>
      <w:r w:rsidR="002D2CBB">
        <w:rPr>
          <w:lang w:val="en-GB"/>
        </w:rPr>
        <w:t>, 1 wt% CO</w:t>
      </w:r>
      <w:r w:rsidR="002D2CBB" w:rsidRPr="00360304">
        <w:rPr>
          <w:vertAlign w:val="subscript"/>
          <w:lang w:val="en-GB"/>
        </w:rPr>
        <w:t>2</w:t>
      </w:r>
      <w:r w:rsidR="002D2CBB">
        <w:rPr>
          <w:lang w:val="en-GB"/>
        </w:rPr>
        <w:t>, 0.2 wt% C</w:t>
      </w:r>
      <w:r w:rsidR="002D2CBB" w:rsidRPr="007A375E">
        <w:rPr>
          <w:vertAlign w:val="subscript"/>
          <w:lang w:val="en-GB"/>
        </w:rPr>
        <w:t>3</w:t>
      </w:r>
      <w:r w:rsidR="002D2CBB">
        <w:rPr>
          <w:lang w:val="en-GB"/>
        </w:rPr>
        <w:t>H</w:t>
      </w:r>
      <w:r w:rsidR="002D2CBB" w:rsidRPr="007A375E">
        <w:rPr>
          <w:vertAlign w:val="subscript"/>
          <w:lang w:val="en-GB"/>
        </w:rPr>
        <w:t>8</w:t>
      </w:r>
      <w:r w:rsidR="002D2CBB">
        <w:rPr>
          <w:lang w:val="en-GB"/>
        </w:rPr>
        <w:t>)</w:t>
      </w:r>
      <w:r w:rsidR="002D2CBB">
        <w:rPr>
          <w:vertAlign w:val="subscript"/>
          <w:lang w:val="en-GB"/>
        </w:rPr>
        <w:t xml:space="preserve"> </w:t>
      </w:r>
      <w:r w:rsidR="003048F7">
        <w:rPr>
          <w:lang w:val="en-GB"/>
        </w:rPr>
        <w:t xml:space="preserve">was used as utility. </w:t>
      </w:r>
      <w:r w:rsidR="000A6FB8">
        <w:rPr>
          <w:lang w:val="en-GB"/>
        </w:rPr>
        <w:t>C</w:t>
      </w:r>
      <w:r w:rsidR="00360304">
        <w:rPr>
          <w:lang w:val="en-GB"/>
        </w:rPr>
        <w:t>ooling water</w:t>
      </w:r>
      <w:r w:rsidR="002D2CBB">
        <w:rPr>
          <w:lang w:val="en-GB"/>
        </w:rPr>
        <w:t xml:space="preserve"> (25 </w:t>
      </w:r>
      <w:r w:rsidR="002D2CBB">
        <w:rPr>
          <w:vertAlign w:val="superscript"/>
          <w:lang w:val="en-GB"/>
        </w:rPr>
        <w:t>o</w:t>
      </w:r>
      <w:r w:rsidR="002D2CBB">
        <w:rPr>
          <w:lang w:val="en-GB"/>
        </w:rPr>
        <w:t xml:space="preserve">C to 40 </w:t>
      </w:r>
      <w:r w:rsidR="002D2CBB">
        <w:rPr>
          <w:vertAlign w:val="superscript"/>
          <w:lang w:val="en-GB"/>
        </w:rPr>
        <w:t>o</w:t>
      </w:r>
      <w:r w:rsidR="002D2CBB">
        <w:rPr>
          <w:lang w:val="en-GB"/>
        </w:rPr>
        <w:t>C)</w:t>
      </w:r>
      <w:r w:rsidR="00360304">
        <w:rPr>
          <w:lang w:val="en-GB"/>
        </w:rPr>
        <w:t xml:space="preserve">, chilled water </w:t>
      </w:r>
      <w:r w:rsidR="00937FA7">
        <w:rPr>
          <w:lang w:val="en-GB"/>
        </w:rPr>
        <w:t xml:space="preserve">(propylene glycol mixture) </w:t>
      </w:r>
      <w:r w:rsidR="00360304">
        <w:rPr>
          <w:lang w:val="en-GB"/>
        </w:rPr>
        <w:t xml:space="preserve">and refrigerants </w:t>
      </w:r>
      <w:r w:rsidR="00937FA7">
        <w:rPr>
          <w:lang w:val="en-GB"/>
        </w:rPr>
        <w:t xml:space="preserve">(R134a, R1150 &amp; R50) </w:t>
      </w:r>
      <w:r w:rsidR="00360304">
        <w:rPr>
          <w:lang w:val="en-GB"/>
        </w:rPr>
        <w:t xml:space="preserve">were used </w:t>
      </w:r>
      <w:r w:rsidR="003B0DC7">
        <w:rPr>
          <w:lang w:val="en-GB"/>
        </w:rPr>
        <w:t>as cooling utilities</w:t>
      </w:r>
      <w:r w:rsidR="00360304">
        <w:rPr>
          <w:lang w:val="en-GB"/>
        </w:rPr>
        <w:t xml:space="preserve">. </w:t>
      </w:r>
      <w:r w:rsidR="005F55D3">
        <w:rPr>
          <w:lang w:val="en-GB"/>
        </w:rPr>
        <w:t xml:space="preserve">Electricity was the only non-thermal utility defined in the simulation models. </w:t>
      </w:r>
      <w:r w:rsidR="00B462A5">
        <w:rPr>
          <w:lang w:val="en-GB"/>
        </w:rPr>
        <w:t>The model</w:t>
      </w:r>
      <w:r w:rsidR="00562558">
        <w:rPr>
          <w:lang w:val="en-GB"/>
        </w:rPr>
        <w:t xml:space="preserve">s considered process heat integration, </w:t>
      </w:r>
      <w:r w:rsidR="00B1788A">
        <w:rPr>
          <w:lang w:val="en-GB"/>
        </w:rPr>
        <w:t>maximising</w:t>
      </w:r>
      <w:r w:rsidR="00374E2C">
        <w:rPr>
          <w:lang w:val="en-GB"/>
        </w:rPr>
        <w:t xml:space="preserve"> the</w:t>
      </w:r>
      <w:r w:rsidR="0027063A">
        <w:rPr>
          <w:lang w:val="en-GB"/>
        </w:rPr>
        <w:t xml:space="preserve"> internal</w:t>
      </w:r>
      <w:r w:rsidR="00374E2C">
        <w:rPr>
          <w:lang w:val="en-GB"/>
        </w:rPr>
        <w:t xml:space="preserve"> use of</w:t>
      </w:r>
      <w:r w:rsidR="0027063A">
        <w:rPr>
          <w:lang w:val="en-GB"/>
        </w:rPr>
        <w:t xml:space="preserve"> heat</w:t>
      </w:r>
      <w:r w:rsidR="00374E2C">
        <w:rPr>
          <w:lang w:val="en-GB"/>
        </w:rPr>
        <w:t xml:space="preserve">. </w:t>
      </w:r>
    </w:p>
    <w:p w14:paraId="144DE69E" w14:textId="7E161CD0" w:rsidR="008D2649" w:rsidRPr="00381CCD" w:rsidRDefault="00FE5544" w:rsidP="00FE5544">
      <w:pPr>
        <w:pStyle w:val="Els-2ndorder-head"/>
        <w:rPr>
          <w:lang w:val="en-GB"/>
        </w:rPr>
      </w:pPr>
      <w:r w:rsidRPr="00381CCD">
        <w:rPr>
          <w:lang w:val="en-GB"/>
        </w:rPr>
        <w:t>Techno-economic assessment</w:t>
      </w:r>
      <w:r w:rsidR="008D2649" w:rsidRPr="00381CCD">
        <w:rPr>
          <w:lang w:val="en-GB"/>
        </w:rPr>
        <w:t xml:space="preserve"> </w:t>
      </w:r>
    </w:p>
    <w:p w14:paraId="144DE6A0" w14:textId="731651C1" w:rsidR="008D2649" w:rsidRDefault="00677930" w:rsidP="008D2649">
      <w:pPr>
        <w:pStyle w:val="Els-body-text"/>
        <w:rPr>
          <w:lang w:val="en-GB"/>
        </w:rPr>
      </w:pPr>
      <w:r w:rsidRPr="2F9161C8">
        <w:rPr>
          <w:lang w:val="en-GB"/>
        </w:rPr>
        <w:t>T</w:t>
      </w:r>
      <w:r w:rsidR="00730013" w:rsidRPr="2F9161C8">
        <w:rPr>
          <w:lang w:val="en-GB"/>
        </w:rPr>
        <w:t xml:space="preserve">he indicators used </w:t>
      </w:r>
      <w:r w:rsidR="00155EB2" w:rsidRPr="2F9161C8">
        <w:rPr>
          <w:lang w:val="en-GB"/>
        </w:rPr>
        <w:t xml:space="preserve">to compare the three processes </w:t>
      </w:r>
      <w:r w:rsidR="00730013" w:rsidRPr="2F9161C8">
        <w:rPr>
          <w:lang w:val="en-GB"/>
        </w:rPr>
        <w:t>were</w:t>
      </w:r>
      <w:r w:rsidR="00254935" w:rsidRPr="2F9161C8">
        <w:rPr>
          <w:lang w:val="en-GB"/>
        </w:rPr>
        <w:t>:</w:t>
      </w:r>
      <w:r w:rsidR="00730013" w:rsidRPr="2F9161C8">
        <w:rPr>
          <w:lang w:val="en-GB"/>
        </w:rPr>
        <w:t xml:space="preserve"> </w:t>
      </w:r>
      <w:r w:rsidR="00254935" w:rsidRPr="2F9161C8">
        <w:rPr>
          <w:lang w:val="en-GB"/>
        </w:rPr>
        <w:t>CUE</w:t>
      </w:r>
      <w:r w:rsidR="006422A1" w:rsidRPr="2F9161C8">
        <w:rPr>
          <w:lang w:val="en-GB"/>
        </w:rPr>
        <w:t xml:space="preserve"> of the process</w:t>
      </w:r>
      <w:r w:rsidR="659FC7F8" w:rsidRPr="2F9161C8">
        <w:rPr>
          <w:lang w:val="en-GB"/>
        </w:rPr>
        <w:t xml:space="preserve"> (</w:t>
      </w:r>
      <w:r w:rsidR="009F34FA">
        <w:rPr>
          <w:lang w:val="en-GB"/>
        </w:rPr>
        <w:t>Eq.</w:t>
      </w:r>
      <w:r w:rsidR="659FC7F8" w:rsidRPr="2F9161C8">
        <w:rPr>
          <w:lang w:val="en-GB"/>
        </w:rPr>
        <w:t xml:space="preserve"> </w:t>
      </w:r>
      <w:r w:rsidR="009F34FA">
        <w:rPr>
          <w:lang w:val="en-GB"/>
        </w:rPr>
        <w:t>(</w:t>
      </w:r>
      <w:r w:rsidR="00B410CD">
        <w:rPr>
          <w:lang w:val="en-GB"/>
        </w:rPr>
        <w:t>1</w:t>
      </w:r>
      <w:r w:rsidR="009F34FA">
        <w:rPr>
          <w:lang w:val="en-GB"/>
        </w:rPr>
        <w:t>)</w:t>
      </w:r>
      <w:r w:rsidR="659FC7F8" w:rsidRPr="2F9161C8">
        <w:rPr>
          <w:lang w:val="en-GB"/>
        </w:rPr>
        <w:t>)</w:t>
      </w:r>
      <w:r w:rsidR="00730013" w:rsidRPr="2F9161C8">
        <w:rPr>
          <w:lang w:val="en-GB"/>
        </w:rPr>
        <w:t>, energy requirements, MSP, capital expenditure (CAPEX)</w:t>
      </w:r>
      <w:r w:rsidR="008A4FBA">
        <w:rPr>
          <w:lang w:val="en-GB"/>
        </w:rPr>
        <w:t xml:space="preserve"> and</w:t>
      </w:r>
      <w:r w:rsidR="00730013" w:rsidRPr="2F9161C8">
        <w:rPr>
          <w:lang w:val="en-GB"/>
        </w:rPr>
        <w:t xml:space="preserve"> operational expenditure (OPEX).</w:t>
      </w:r>
      <w:r w:rsidR="00B83ADB">
        <w:rPr>
          <w:lang w:val="en-GB"/>
        </w:rPr>
        <w:t xml:space="preserve"> </w:t>
      </w:r>
      <w:r w:rsidR="008A4FBA">
        <w:rPr>
          <w:lang w:val="en-GB"/>
        </w:rPr>
        <w:t xml:space="preserve">A sensitivity analysis by varying the electricity price was conducted to understand the impact of hydrogen price on MSP. </w:t>
      </w:r>
      <w:r w:rsidR="00730013">
        <w:rPr>
          <w:lang w:val="en-GB"/>
        </w:rPr>
        <w:t xml:space="preserve">The CAPEX </w:t>
      </w:r>
      <w:r w:rsidR="00654010">
        <w:rPr>
          <w:lang w:val="en-GB"/>
        </w:rPr>
        <w:t xml:space="preserve">was </w:t>
      </w:r>
      <w:r w:rsidR="00254935">
        <w:rPr>
          <w:lang w:val="en-GB"/>
        </w:rPr>
        <w:t xml:space="preserve">calculated based on working capital, inside battery limit (ISBL), outside battery limit (OSBL), engineering </w:t>
      </w:r>
      <w:r w:rsidR="001908AE">
        <w:rPr>
          <w:lang w:val="en-GB"/>
        </w:rPr>
        <w:t xml:space="preserve">(EN) </w:t>
      </w:r>
      <w:r w:rsidR="00254935">
        <w:rPr>
          <w:lang w:val="en-GB"/>
        </w:rPr>
        <w:t xml:space="preserve">and contingency </w:t>
      </w:r>
      <w:r w:rsidR="001908AE">
        <w:rPr>
          <w:lang w:val="en-GB"/>
        </w:rPr>
        <w:t xml:space="preserve">(CN) </w:t>
      </w:r>
      <w:r w:rsidR="00254935">
        <w:rPr>
          <w:lang w:val="en-GB"/>
        </w:rPr>
        <w:t xml:space="preserve">costs with estimates from </w:t>
      </w:r>
      <w:r w:rsidR="00254935">
        <w:rPr>
          <w:lang w:val="en-GB"/>
        </w:rPr>
        <w:fldChar w:fldCharType="begin" w:fldLock="1"/>
      </w:r>
      <w:r w:rsidR="00254935">
        <w:rPr>
          <w:lang w:val="en-GB"/>
        </w:rPr>
        <w:instrText>ADDIN CSL_CITATION {"citationItems":[{"id":"ITEM-1","itemData":{"ISBN":"978-0-08-096659-5","author":[{"dropping-particle":"","family":"Towler","given":"Gavin","non-dropping-particle":"","parse-names":false,"suffix":""},{"dropping-particle":"","family":"Sinnott","given":"Ray","non-dropping-particle":"","parse-names":false,"suffix":""}],"edition":"2nd","id":"ITEM-1","issued":{"date-parts":[["2013"]]},"publisher":"Elsevier","title":"Chemical Engineering Design: Principles, Practice and Economics of Plant and Process Design","type":"book"},"uris":["http://www.mendeley.com/documents/?uuid=17a30576-a98d-425c-ab8b-cdc91fdc87c4"]}],"mendeley":{"formattedCitation":"(Towler &amp; Sinnott, 2013)","plainTextFormattedCitation":"(Towler &amp; Sinnott, 2013)","previouslyFormattedCitation":"(Towler &amp; Sinnott, 2013)"},"properties":{"noteIndex":0},"schema":"https://github.com/citation-style-language/schema/raw/master/csl-citation.json"}</w:instrText>
      </w:r>
      <w:r w:rsidR="00254935">
        <w:rPr>
          <w:lang w:val="en-GB"/>
        </w:rPr>
        <w:fldChar w:fldCharType="separate"/>
      </w:r>
      <w:r w:rsidR="00254935" w:rsidRPr="004E0FC9">
        <w:rPr>
          <w:noProof/>
          <w:lang w:val="en-GB"/>
        </w:rPr>
        <w:t xml:space="preserve">Towler &amp; Sinnott, </w:t>
      </w:r>
      <w:r w:rsidR="00254935">
        <w:rPr>
          <w:noProof/>
          <w:lang w:val="en-GB"/>
        </w:rPr>
        <w:t>(</w:t>
      </w:r>
      <w:r w:rsidR="00254935" w:rsidRPr="004E0FC9">
        <w:rPr>
          <w:noProof/>
          <w:lang w:val="en-GB"/>
        </w:rPr>
        <w:t>2013)</w:t>
      </w:r>
      <w:r w:rsidR="00254935">
        <w:rPr>
          <w:lang w:val="en-GB"/>
        </w:rPr>
        <w:fldChar w:fldCharType="end"/>
      </w:r>
      <w:r w:rsidR="008B0C6E">
        <w:rPr>
          <w:lang w:val="en-GB"/>
        </w:rPr>
        <w:t>,</w:t>
      </w:r>
      <w:r w:rsidR="00F323A0">
        <w:rPr>
          <w:lang w:val="en-GB"/>
        </w:rPr>
        <w:t xml:space="preserve"> as shown in Table </w:t>
      </w:r>
      <w:r w:rsidR="00483F44">
        <w:rPr>
          <w:lang w:val="en-GB"/>
        </w:rPr>
        <w:t>1</w:t>
      </w:r>
      <w:r w:rsidR="00254935">
        <w:rPr>
          <w:lang w:val="en-GB"/>
        </w:rPr>
        <w:t xml:space="preserve">. </w:t>
      </w:r>
      <w:r w:rsidR="006735BF">
        <w:rPr>
          <w:lang w:val="en-GB"/>
        </w:rPr>
        <w:t xml:space="preserve">The bare equipment </w:t>
      </w:r>
      <w:r w:rsidR="00894BA3">
        <w:rPr>
          <w:lang w:val="en-GB"/>
        </w:rPr>
        <w:t xml:space="preserve">(BE) </w:t>
      </w:r>
      <w:r w:rsidR="006735BF">
        <w:rPr>
          <w:lang w:val="en-GB"/>
        </w:rPr>
        <w:t xml:space="preserve">cost for ISBL cost calculations were obtained from Aspen Economic Analyzer. </w:t>
      </w:r>
      <w:r w:rsidR="00254935">
        <w:rPr>
          <w:lang w:val="en-GB"/>
        </w:rPr>
        <w:t>The</w:t>
      </w:r>
      <w:r w:rsidR="00730013">
        <w:rPr>
          <w:lang w:val="en-GB"/>
        </w:rPr>
        <w:t xml:space="preserve"> OPEX calculation </w:t>
      </w:r>
      <w:r w:rsidR="0046187D">
        <w:rPr>
          <w:lang w:val="en-GB"/>
        </w:rPr>
        <w:t xml:space="preserve">was </w:t>
      </w:r>
      <w:r w:rsidR="00F323A0">
        <w:rPr>
          <w:lang w:val="en-GB"/>
        </w:rPr>
        <w:t>based on variable and fixed OPEX</w:t>
      </w:r>
      <w:r w:rsidR="00730013">
        <w:rPr>
          <w:lang w:val="en-GB"/>
        </w:rPr>
        <w:t xml:space="preserve"> </w:t>
      </w:r>
      <w:r w:rsidR="00F323A0">
        <w:rPr>
          <w:lang w:val="en-GB"/>
        </w:rPr>
        <w:t>with</w:t>
      </w:r>
      <w:r w:rsidR="00730013">
        <w:rPr>
          <w:lang w:val="en-GB"/>
        </w:rPr>
        <w:t xml:space="preserve"> estimates </w:t>
      </w:r>
      <w:r w:rsidR="00A5754B">
        <w:rPr>
          <w:lang w:val="en-GB"/>
        </w:rPr>
        <w:t xml:space="preserve">also </w:t>
      </w:r>
      <w:r w:rsidR="00730013">
        <w:rPr>
          <w:lang w:val="en-GB"/>
        </w:rPr>
        <w:t xml:space="preserve">from </w:t>
      </w:r>
      <w:r w:rsidR="004E0FC9">
        <w:rPr>
          <w:lang w:val="en-GB"/>
        </w:rPr>
        <w:fldChar w:fldCharType="begin" w:fldLock="1"/>
      </w:r>
      <w:r w:rsidR="00B1482D">
        <w:rPr>
          <w:lang w:val="en-GB"/>
        </w:rPr>
        <w:instrText>ADDIN CSL_CITATION {"citationItems":[{"id":"ITEM-1","itemData":{"ISBN":"978-0-08-096659-5","author":[{"dropping-particle":"","family":"Towler","given":"Gavin","non-dropping-particle":"","parse-names":false,"suffix":""},{"dropping-particle":"","family":"Sinnott","given":"Ray","non-dropping-particle":"","parse-names":false,"suffix":""}],"edition":"2nd","id":"ITEM-1","issued":{"date-parts":[["2013"]]},"publisher":"Elsevier","title":"Chemical Engineering Design: Principles, Practice and Economics of Plant and Process Design","type":"book"},"uris":["http://www.mendeley.com/documents/?uuid=17a30576-a98d-425c-ab8b-cdc91fdc87c4"]}],"mendeley":{"formattedCitation":"(Towler &amp; Sinnott, 2013)","plainTextFormattedCitation":"(Towler &amp; Sinnott, 2013)","previouslyFormattedCitation":"(Towler &amp; Sinnott, 2013)"},"properties":{"noteIndex":0},"schema":"https://github.com/citation-style-language/schema/raw/master/csl-citation.json"}</w:instrText>
      </w:r>
      <w:r w:rsidR="004E0FC9">
        <w:rPr>
          <w:lang w:val="en-GB"/>
        </w:rPr>
        <w:fldChar w:fldCharType="separate"/>
      </w:r>
      <w:r w:rsidR="004E0FC9" w:rsidRPr="004E0FC9">
        <w:rPr>
          <w:noProof/>
          <w:lang w:val="en-GB"/>
        </w:rPr>
        <w:t xml:space="preserve">Towler &amp; Sinnott, </w:t>
      </w:r>
      <w:r w:rsidR="00F323A0">
        <w:rPr>
          <w:noProof/>
          <w:lang w:val="en-GB"/>
        </w:rPr>
        <w:t>(</w:t>
      </w:r>
      <w:r w:rsidR="004E0FC9" w:rsidRPr="004E0FC9">
        <w:rPr>
          <w:noProof/>
          <w:lang w:val="en-GB"/>
        </w:rPr>
        <w:t>2013)</w:t>
      </w:r>
      <w:r w:rsidR="004E0FC9">
        <w:rPr>
          <w:lang w:val="en-GB"/>
        </w:rPr>
        <w:fldChar w:fldCharType="end"/>
      </w:r>
      <w:r w:rsidR="00806EBC">
        <w:rPr>
          <w:lang w:val="en-GB"/>
        </w:rPr>
        <w:t>,</w:t>
      </w:r>
      <w:r w:rsidR="00F323A0">
        <w:rPr>
          <w:lang w:val="en-GB"/>
        </w:rPr>
        <w:t xml:space="preserve"> as shown in Table </w:t>
      </w:r>
      <w:r w:rsidR="00483F44">
        <w:rPr>
          <w:lang w:val="en-GB"/>
        </w:rPr>
        <w:t>1</w:t>
      </w:r>
      <w:r w:rsidR="00E83652">
        <w:rPr>
          <w:lang w:val="en-GB"/>
        </w:rPr>
        <w:t>.</w:t>
      </w:r>
    </w:p>
    <w:p w14:paraId="0A806400" w14:textId="3E4A006E" w:rsidR="00351BF5" w:rsidRDefault="00351BF5" w:rsidP="00351BF5">
      <w:pPr>
        <w:pStyle w:val="Caption"/>
        <w:keepNext/>
      </w:pPr>
      <w:r>
        <w:t xml:space="preserve">Table </w:t>
      </w:r>
      <w:r>
        <w:fldChar w:fldCharType="begin"/>
      </w:r>
      <w:r>
        <w:instrText xml:space="preserve"> SEQ Table \* ARABIC </w:instrText>
      </w:r>
      <w:r>
        <w:fldChar w:fldCharType="separate"/>
      </w:r>
      <w:r w:rsidR="00627221">
        <w:rPr>
          <w:noProof/>
        </w:rPr>
        <w:t>1</w:t>
      </w:r>
      <w:r>
        <w:fldChar w:fldCharType="end"/>
      </w:r>
      <w:r>
        <w:t xml:space="preserve">: </w:t>
      </w:r>
      <w:r w:rsidR="008E6B20">
        <w:t>A</w:t>
      </w:r>
      <w:r>
        <w:t>ssumptions for economic calculations</w:t>
      </w:r>
      <w:r w:rsidR="00671DFC">
        <w:t xml:space="preserve"> </w:t>
      </w:r>
      <w:r w:rsidR="00671DFC">
        <w:fldChar w:fldCharType="begin" w:fldLock="1"/>
      </w:r>
      <w:r w:rsidR="00A20C3F">
        <w:instrText>ADDIN CSL_CITATION {"citationItems":[{"id":"ITEM-1","itemData":{"ISBN":"978-0-08-096659-5","author":[{"dropping-particle":"","family":"Towler","given":"Gavin","non-dropping-particle":"","parse-names":false,"suffix":""},{"dropping-particle":"","family":"Sinnott","given":"Ray","non-dropping-particle":"","parse-names":false,"suffix":""}],"edition":"2nd","id":"ITEM-1","issued":{"date-parts":[["2013"]]},"publisher":"Elsevier","title":"Chemical Engineering Design: Principles, Practice and Economics of Plant and Process Design","type":"book"},"uris":["http://www.mendeley.com/documents/?uuid=17a30576-a98d-425c-ab8b-cdc91fdc87c4"]}],"mendeley":{"formattedCitation":"(Towler &amp; Sinnott, 2013)","plainTextFormattedCitation":"(Towler &amp; Sinnott, 2013)","previouslyFormattedCitation":"(Towler &amp; Sinnott, 2013)"},"properties":{"noteIndex":0},"schema":"https://github.com/citation-style-language/schema/raw/master/csl-citation.json"}</w:instrText>
      </w:r>
      <w:r w:rsidR="00671DFC">
        <w:fldChar w:fldCharType="separate"/>
      </w:r>
      <w:r w:rsidR="00671DFC" w:rsidRPr="00671DFC">
        <w:rPr>
          <w:noProof/>
        </w:rPr>
        <w:t>(Towler &amp; Sinnott, 2013)</w:t>
      </w:r>
      <w:r w:rsidR="00671DFC">
        <w:fldChar w:fldCharType="end"/>
      </w:r>
      <w:r w:rsidR="00806EBC">
        <w:t>.</w:t>
      </w:r>
    </w:p>
    <w:tbl>
      <w:tblPr>
        <w:tblStyle w:val="TableGrid"/>
        <w:tblW w:w="7077" w:type="dxa"/>
        <w:tblLayout w:type="fixed"/>
        <w:tblLook w:val="04A0" w:firstRow="1" w:lastRow="0" w:firstColumn="1" w:lastColumn="0" w:noHBand="0" w:noVBand="1"/>
      </w:tblPr>
      <w:tblGrid>
        <w:gridCol w:w="1239"/>
        <w:gridCol w:w="1820"/>
        <w:gridCol w:w="2323"/>
        <w:gridCol w:w="1695"/>
      </w:tblGrid>
      <w:tr w:rsidR="00351BF5" w:rsidRPr="004A064E" w14:paraId="32C274A8" w14:textId="3159D905" w:rsidTr="23834317">
        <w:tc>
          <w:tcPr>
            <w:tcW w:w="3059" w:type="dxa"/>
            <w:gridSpan w:val="2"/>
          </w:tcPr>
          <w:p w14:paraId="70922C82" w14:textId="7DB0DC94" w:rsidR="00351BF5" w:rsidRPr="00080D13" w:rsidRDefault="00351BF5" w:rsidP="23834317">
            <w:pPr>
              <w:pStyle w:val="Els-body-text"/>
              <w:jc w:val="center"/>
              <w:rPr>
                <w:b/>
                <w:bCs/>
                <w:sz w:val="18"/>
                <w:szCs w:val="18"/>
                <w:lang w:val="en-GB"/>
              </w:rPr>
            </w:pPr>
            <w:r w:rsidRPr="00080D13">
              <w:rPr>
                <w:b/>
                <w:bCs/>
                <w:sz w:val="18"/>
                <w:szCs w:val="18"/>
                <w:lang w:val="en-GB"/>
              </w:rPr>
              <w:t>CAPEX</w:t>
            </w:r>
          </w:p>
        </w:tc>
        <w:tc>
          <w:tcPr>
            <w:tcW w:w="4018" w:type="dxa"/>
            <w:gridSpan w:val="2"/>
          </w:tcPr>
          <w:p w14:paraId="5EE77147" w14:textId="12A895BF" w:rsidR="00351BF5" w:rsidRPr="00080D13" w:rsidRDefault="008E6B20" w:rsidP="23834317">
            <w:pPr>
              <w:pStyle w:val="Els-body-text"/>
              <w:jc w:val="center"/>
              <w:rPr>
                <w:b/>
                <w:bCs/>
                <w:sz w:val="18"/>
                <w:szCs w:val="18"/>
                <w:lang w:val="en-GB"/>
              </w:rPr>
            </w:pPr>
            <w:r>
              <w:rPr>
                <w:b/>
                <w:bCs/>
                <w:sz w:val="18"/>
                <w:szCs w:val="18"/>
                <w:lang w:val="en-GB"/>
              </w:rPr>
              <w:t xml:space="preserve">Fixed </w:t>
            </w:r>
            <w:r w:rsidR="00351BF5" w:rsidRPr="00080D13">
              <w:rPr>
                <w:b/>
                <w:bCs/>
                <w:sz w:val="18"/>
                <w:szCs w:val="18"/>
                <w:lang w:val="en-GB"/>
              </w:rPr>
              <w:t>OPEX</w:t>
            </w:r>
          </w:p>
        </w:tc>
      </w:tr>
      <w:tr w:rsidR="00A821E6" w:rsidRPr="004A064E" w14:paraId="5EB96A20" w14:textId="6FF1902D" w:rsidTr="00080D13">
        <w:tc>
          <w:tcPr>
            <w:tcW w:w="1239" w:type="dxa"/>
            <w:vAlign w:val="center"/>
          </w:tcPr>
          <w:p w14:paraId="58781D91" w14:textId="3B4109E5" w:rsidR="00351BF5" w:rsidRPr="00080D13" w:rsidRDefault="00351BF5" w:rsidP="00080D13">
            <w:pPr>
              <w:pStyle w:val="Els-body-text"/>
              <w:jc w:val="left"/>
              <w:rPr>
                <w:sz w:val="18"/>
                <w:szCs w:val="18"/>
                <w:lang w:val="en-GB"/>
              </w:rPr>
            </w:pPr>
            <w:r w:rsidRPr="00080D13">
              <w:rPr>
                <w:sz w:val="18"/>
                <w:szCs w:val="18"/>
                <w:lang w:val="en-GB"/>
              </w:rPr>
              <w:t>ISBL cost</w:t>
            </w:r>
          </w:p>
        </w:tc>
        <w:tc>
          <w:tcPr>
            <w:tcW w:w="1820" w:type="dxa"/>
            <w:vAlign w:val="center"/>
          </w:tcPr>
          <w:p w14:paraId="1313192C" w14:textId="2150DCD3" w:rsidR="00351BF5" w:rsidRPr="00080D13" w:rsidRDefault="00351BF5" w:rsidP="00080D13">
            <w:pPr>
              <w:pStyle w:val="Els-body-text"/>
              <w:jc w:val="left"/>
              <w:rPr>
                <w:sz w:val="18"/>
                <w:szCs w:val="18"/>
                <w:lang w:val="en-GB"/>
              </w:rPr>
            </w:pPr>
            <w:r w:rsidRPr="00080D13">
              <w:rPr>
                <w:sz w:val="18"/>
                <w:szCs w:val="18"/>
                <w:lang w:val="en-GB"/>
              </w:rPr>
              <w:t>3.3</w:t>
            </w:r>
            <w:r w:rsidR="00985917">
              <w:rPr>
                <w:sz w:val="18"/>
                <w:szCs w:val="18"/>
                <w:lang w:val="en-GB"/>
              </w:rPr>
              <w:t>*</w:t>
            </w:r>
            <w:r w:rsidR="00894BA3" w:rsidRPr="00080D13">
              <w:rPr>
                <w:sz w:val="18"/>
                <w:szCs w:val="18"/>
                <w:lang w:val="en-GB"/>
              </w:rPr>
              <w:t>BE</w:t>
            </w:r>
          </w:p>
        </w:tc>
        <w:tc>
          <w:tcPr>
            <w:tcW w:w="2323" w:type="dxa"/>
            <w:vAlign w:val="center"/>
          </w:tcPr>
          <w:p w14:paraId="570CD3EE" w14:textId="6239306E" w:rsidR="00351BF5" w:rsidRPr="00080D13" w:rsidRDefault="00351BF5" w:rsidP="00080D13">
            <w:pPr>
              <w:pStyle w:val="Els-body-text"/>
              <w:jc w:val="left"/>
              <w:rPr>
                <w:sz w:val="18"/>
                <w:szCs w:val="18"/>
                <w:lang w:val="en-GB"/>
              </w:rPr>
            </w:pPr>
            <w:r w:rsidRPr="00080D13">
              <w:rPr>
                <w:sz w:val="18"/>
                <w:szCs w:val="18"/>
                <w:lang w:val="en-GB"/>
              </w:rPr>
              <w:t>Maintenance cost</w:t>
            </w:r>
          </w:p>
        </w:tc>
        <w:tc>
          <w:tcPr>
            <w:tcW w:w="1695" w:type="dxa"/>
            <w:vAlign w:val="center"/>
          </w:tcPr>
          <w:p w14:paraId="2134F0F5" w14:textId="7BB475E4" w:rsidR="00351BF5" w:rsidRPr="00080D13" w:rsidRDefault="21BD353D" w:rsidP="00080D13">
            <w:pPr>
              <w:pStyle w:val="Els-body-text"/>
              <w:jc w:val="left"/>
              <w:rPr>
                <w:sz w:val="18"/>
                <w:szCs w:val="18"/>
                <w:lang w:val="en-GB"/>
              </w:rPr>
            </w:pPr>
            <w:r w:rsidRPr="00080D13">
              <w:rPr>
                <w:sz w:val="18"/>
                <w:szCs w:val="18"/>
                <w:lang w:val="en-GB"/>
              </w:rPr>
              <w:t>3</w:t>
            </w:r>
            <w:r w:rsidR="00351BF5" w:rsidRPr="00080D13">
              <w:rPr>
                <w:sz w:val="18"/>
                <w:szCs w:val="18"/>
                <w:lang w:val="en-GB"/>
              </w:rPr>
              <w:t>%</w:t>
            </w:r>
            <w:r w:rsidR="1B40A04F" w:rsidRPr="00080D13">
              <w:rPr>
                <w:sz w:val="18"/>
                <w:szCs w:val="18"/>
                <w:lang w:val="en-GB"/>
              </w:rPr>
              <w:t>*</w:t>
            </w:r>
            <w:r w:rsidR="00351BF5" w:rsidRPr="00080D13">
              <w:rPr>
                <w:sz w:val="18"/>
                <w:szCs w:val="18"/>
                <w:lang w:val="en-GB"/>
              </w:rPr>
              <w:t xml:space="preserve">ISBL </w:t>
            </w:r>
          </w:p>
        </w:tc>
      </w:tr>
      <w:tr w:rsidR="00A821E6" w:rsidRPr="004A064E" w14:paraId="35DEB810" w14:textId="070C9BFB" w:rsidTr="00080D13">
        <w:tc>
          <w:tcPr>
            <w:tcW w:w="1239" w:type="dxa"/>
            <w:vAlign w:val="center"/>
          </w:tcPr>
          <w:p w14:paraId="0A292FDC" w14:textId="29E872AF" w:rsidR="00351BF5" w:rsidRPr="00080D13" w:rsidRDefault="00351BF5" w:rsidP="00080D13">
            <w:pPr>
              <w:pStyle w:val="Els-body-text"/>
              <w:jc w:val="left"/>
              <w:rPr>
                <w:sz w:val="18"/>
                <w:szCs w:val="18"/>
                <w:lang w:val="en-GB"/>
              </w:rPr>
            </w:pPr>
            <w:r w:rsidRPr="00080D13">
              <w:rPr>
                <w:sz w:val="18"/>
                <w:szCs w:val="18"/>
                <w:lang w:val="en-GB"/>
              </w:rPr>
              <w:t>OSBL cost</w:t>
            </w:r>
          </w:p>
        </w:tc>
        <w:tc>
          <w:tcPr>
            <w:tcW w:w="1820" w:type="dxa"/>
            <w:vAlign w:val="center"/>
          </w:tcPr>
          <w:p w14:paraId="691DC36A" w14:textId="773E5F3C" w:rsidR="00351BF5" w:rsidRPr="00080D13" w:rsidRDefault="117468AF" w:rsidP="00080D13">
            <w:pPr>
              <w:pStyle w:val="Els-body-text"/>
              <w:jc w:val="left"/>
              <w:rPr>
                <w:sz w:val="18"/>
                <w:szCs w:val="18"/>
                <w:lang w:val="en-GB"/>
              </w:rPr>
            </w:pPr>
            <w:r w:rsidRPr="00080D13">
              <w:rPr>
                <w:sz w:val="18"/>
                <w:szCs w:val="18"/>
                <w:lang w:val="en-GB"/>
              </w:rPr>
              <w:t>4</w:t>
            </w:r>
            <w:r w:rsidR="00351BF5" w:rsidRPr="00080D13">
              <w:rPr>
                <w:sz w:val="18"/>
                <w:szCs w:val="18"/>
                <w:lang w:val="en-GB"/>
              </w:rPr>
              <w:t>0</w:t>
            </w:r>
            <w:r w:rsidR="01A54D7C" w:rsidRPr="00080D13">
              <w:rPr>
                <w:sz w:val="18"/>
                <w:szCs w:val="18"/>
                <w:lang w:val="en-GB"/>
              </w:rPr>
              <w:t>%</w:t>
            </w:r>
            <w:r w:rsidR="000506A2">
              <w:rPr>
                <w:sz w:val="18"/>
                <w:szCs w:val="18"/>
                <w:lang w:val="en-GB"/>
              </w:rPr>
              <w:t>*</w:t>
            </w:r>
            <w:r w:rsidR="00351BF5" w:rsidRPr="00080D13">
              <w:rPr>
                <w:sz w:val="18"/>
                <w:szCs w:val="18"/>
                <w:lang w:val="en-GB"/>
              </w:rPr>
              <w:t xml:space="preserve">SBL </w:t>
            </w:r>
          </w:p>
        </w:tc>
        <w:tc>
          <w:tcPr>
            <w:tcW w:w="2323" w:type="dxa"/>
            <w:vAlign w:val="center"/>
          </w:tcPr>
          <w:p w14:paraId="6E5F6CAD" w14:textId="4E6226F2" w:rsidR="00351BF5" w:rsidRPr="00080D13" w:rsidRDefault="00351BF5" w:rsidP="00080D13">
            <w:pPr>
              <w:pStyle w:val="Els-body-text"/>
              <w:jc w:val="left"/>
              <w:rPr>
                <w:sz w:val="18"/>
                <w:szCs w:val="18"/>
                <w:lang w:val="en-GB"/>
              </w:rPr>
            </w:pPr>
            <w:r w:rsidRPr="00080D13">
              <w:rPr>
                <w:sz w:val="18"/>
                <w:szCs w:val="18"/>
                <w:lang w:val="en-GB"/>
              </w:rPr>
              <w:t>Capital charges</w:t>
            </w:r>
            <w:r w:rsidR="21BD353D" w:rsidRPr="00080D13">
              <w:rPr>
                <w:sz w:val="18"/>
                <w:szCs w:val="18"/>
                <w:lang w:val="en-GB"/>
              </w:rPr>
              <w:t xml:space="preserve"> &amp; royalt</w:t>
            </w:r>
            <w:r w:rsidR="00A821E6" w:rsidRPr="00080D13">
              <w:rPr>
                <w:sz w:val="18"/>
                <w:szCs w:val="18"/>
                <w:lang w:val="en-GB"/>
              </w:rPr>
              <w:t>ies</w:t>
            </w:r>
          </w:p>
        </w:tc>
        <w:tc>
          <w:tcPr>
            <w:tcW w:w="1695" w:type="dxa"/>
            <w:vAlign w:val="center"/>
          </w:tcPr>
          <w:p w14:paraId="09C8AFC6" w14:textId="6EAF1A5D" w:rsidR="00351BF5" w:rsidRPr="00080D13" w:rsidRDefault="21BD353D" w:rsidP="00080D13">
            <w:pPr>
              <w:pStyle w:val="Els-body-text"/>
              <w:jc w:val="left"/>
              <w:rPr>
                <w:sz w:val="18"/>
                <w:szCs w:val="18"/>
                <w:lang w:val="en-GB"/>
              </w:rPr>
            </w:pPr>
            <w:r w:rsidRPr="00080D13">
              <w:rPr>
                <w:sz w:val="18"/>
                <w:szCs w:val="18"/>
                <w:lang w:val="en-GB"/>
              </w:rPr>
              <w:t>4</w:t>
            </w:r>
            <w:r w:rsidR="00351BF5" w:rsidRPr="00080D13">
              <w:rPr>
                <w:sz w:val="18"/>
                <w:szCs w:val="18"/>
                <w:lang w:val="en-GB"/>
              </w:rPr>
              <w:t>%</w:t>
            </w:r>
            <w:r w:rsidR="1B40A04F" w:rsidRPr="00080D13">
              <w:rPr>
                <w:sz w:val="18"/>
                <w:szCs w:val="18"/>
                <w:lang w:val="en-GB"/>
              </w:rPr>
              <w:t>*(</w:t>
            </w:r>
            <w:r w:rsidR="00351BF5" w:rsidRPr="00080D13">
              <w:rPr>
                <w:sz w:val="18"/>
                <w:szCs w:val="18"/>
                <w:lang w:val="en-GB"/>
              </w:rPr>
              <w:t>ISBL+</w:t>
            </w:r>
            <w:r w:rsidR="00A821E6" w:rsidRPr="00080D13">
              <w:rPr>
                <w:sz w:val="18"/>
                <w:szCs w:val="18"/>
                <w:lang w:val="en-GB"/>
              </w:rPr>
              <w:t xml:space="preserve"> </w:t>
            </w:r>
            <w:r w:rsidR="00351BF5" w:rsidRPr="00080D13">
              <w:rPr>
                <w:sz w:val="18"/>
                <w:szCs w:val="18"/>
                <w:lang w:val="en-GB"/>
              </w:rPr>
              <w:t>OSBL+E</w:t>
            </w:r>
            <w:r w:rsidR="001908AE" w:rsidRPr="00080D13">
              <w:rPr>
                <w:sz w:val="18"/>
                <w:szCs w:val="18"/>
                <w:lang w:val="en-GB"/>
              </w:rPr>
              <w:t>N</w:t>
            </w:r>
            <w:r w:rsidR="1B40A04F" w:rsidRPr="00080D13">
              <w:rPr>
                <w:sz w:val="18"/>
                <w:szCs w:val="18"/>
                <w:lang w:val="en-GB"/>
              </w:rPr>
              <w:t>)</w:t>
            </w:r>
          </w:p>
        </w:tc>
      </w:tr>
      <w:tr w:rsidR="00A821E6" w:rsidRPr="004A064E" w14:paraId="351027B2" w14:textId="730BEC42" w:rsidTr="00080D13">
        <w:tc>
          <w:tcPr>
            <w:tcW w:w="1239" w:type="dxa"/>
            <w:vAlign w:val="center"/>
          </w:tcPr>
          <w:p w14:paraId="3C480FA2" w14:textId="05168B23" w:rsidR="00351BF5" w:rsidRPr="00080D13" w:rsidRDefault="00351BF5" w:rsidP="00080D13">
            <w:pPr>
              <w:pStyle w:val="Els-body-text"/>
              <w:jc w:val="left"/>
              <w:rPr>
                <w:sz w:val="18"/>
                <w:szCs w:val="18"/>
                <w:lang w:val="en-GB"/>
              </w:rPr>
            </w:pPr>
            <w:r w:rsidRPr="00080D13">
              <w:rPr>
                <w:sz w:val="18"/>
                <w:szCs w:val="18"/>
                <w:lang w:val="en-GB"/>
              </w:rPr>
              <w:t>Engineering costs</w:t>
            </w:r>
          </w:p>
        </w:tc>
        <w:tc>
          <w:tcPr>
            <w:tcW w:w="1820" w:type="dxa"/>
            <w:vAlign w:val="center"/>
          </w:tcPr>
          <w:p w14:paraId="338CA12E" w14:textId="1C2E1029" w:rsidR="00351BF5" w:rsidRPr="00080D13" w:rsidRDefault="00351BF5" w:rsidP="00080D13">
            <w:pPr>
              <w:pStyle w:val="Els-body-text"/>
              <w:jc w:val="left"/>
              <w:rPr>
                <w:sz w:val="18"/>
                <w:szCs w:val="18"/>
                <w:lang w:val="en-GB"/>
              </w:rPr>
            </w:pPr>
            <w:r w:rsidRPr="00080D13">
              <w:rPr>
                <w:sz w:val="18"/>
                <w:szCs w:val="18"/>
                <w:lang w:val="en-GB"/>
              </w:rPr>
              <w:t>10%</w:t>
            </w:r>
            <w:r w:rsidR="1B40A04F" w:rsidRPr="00080D13">
              <w:rPr>
                <w:sz w:val="18"/>
                <w:szCs w:val="18"/>
                <w:lang w:val="en-GB"/>
              </w:rPr>
              <w:t>*</w:t>
            </w:r>
            <w:r w:rsidR="6F4270BC" w:rsidRPr="00080D13">
              <w:rPr>
                <w:sz w:val="18"/>
                <w:szCs w:val="18"/>
                <w:lang w:val="en-GB"/>
              </w:rPr>
              <w:t xml:space="preserve"> </w:t>
            </w:r>
            <w:r w:rsidR="1B40A04F" w:rsidRPr="00080D13">
              <w:rPr>
                <w:sz w:val="18"/>
                <w:szCs w:val="18"/>
                <w:lang w:val="en-GB"/>
              </w:rPr>
              <w:t>(</w:t>
            </w:r>
            <w:r w:rsidRPr="00080D13">
              <w:rPr>
                <w:sz w:val="18"/>
                <w:szCs w:val="18"/>
                <w:lang w:val="en-GB"/>
              </w:rPr>
              <w:t>ISBL+OSBL</w:t>
            </w:r>
            <w:r w:rsidR="1B40A04F" w:rsidRPr="00080D13">
              <w:rPr>
                <w:sz w:val="18"/>
                <w:szCs w:val="18"/>
                <w:lang w:val="en-GB"/>
              </w:rPr>
              <w:t>)</w:t>
            </w:r>
            <w:r w:rsidRPr="00080D13">
              <w:rPr>
                <w:sz w:val="18"/>
                <w:szCs w:val="18"/>
                <w:lang w:val="en-GB"/>
              </w:rPr>
              <w:t xml:space="preserve"> </w:t>
            </w:r>
          </w:p>
        </w:tc>
        <w:tc>
          <w:tcPr>
            <w:tcW w:w="2323" w:type="dxa"/>
            <w:vAlign w:val="center"/>
          </w:tcPr>
          <w:p w14:paraId="6B821213" w14:textId="6A243282" w:rsidR="00351BF5" w:rsidRPr="00080D13" w:rsidRDefault="21BD353D" w:rsidP="00080D13">
            <w:pPr>
              <w:pStyle w:val="Els-body-text"/>
              <w:jc w:val="left"/>
              <w:rPr>
                <w:sz w:val="18"/>
                <w:szCs w:val="18"/>
                <w:lang w:val="en-GB"/>
              </w:rPr>
            </w:pPr>
            <w:r w:rsidRPr="00080D13">
              <w:rPr>
                <w:sz w:val="18"/>
                <w:szCs w:val="18"/>
                <w:lang w:val="en-GB"/>
              </w:rPr>
              <w:t xml:space="preserve">Labour, supervision &amp; overhead cost </w:t>
            </w:r>
          </w:p>
        </w:tc>
        <w:tc>
          <w:tcPr>
            <w:tcW w:w="1695" w:type="dxa"/>
            <w:vAlign w:val="center"/>
          </w:tcPr>
          <w:p w14:paraId="2B739C0F" w14:textId="6E8EF9AB" w:rsidR="00351BF5" w:rsidRPr="00080D13" w:rsidRDefault="21BD353D" w:rsidP="00080D13">
            <w:pPr>
              <w:pStyle w:val="Els-body-text"/>
              <w:jc w:val="left"/>
              <w:rPr>
                <w:sz w:val="18"/>
                <w:szCs w:val="18"/>
                <w:lang w:val="en-GB"/>
              </w:rPr>
            </w:pPr>
            <w:r w:rsidRPr="00080D13">
              <w:rPr>
                <w:sz w:val="18"/>
                <w:szCs w:val="18"/>
                <w:lang w:val="en-GB"/>
              </w:rPr>
              <w:t>1.875</w:t>
            </w:r>
            <w:r w:rsidR="000506A2">
              <w:rPr>
                <w:sz w:val="18"/>
                <w:szCs w:val="18"/>
                <w:lang w:val="en-GB"/>
              </w:rPr>
              <w:t>*</w:t>
            </w:r>
            <w:r w:rsidR="00985917">
              <w:rPr>
                <w:sz w:val="18"/>
                <w:szCs w:val="18"/>
                <w:lang w:val="en-GB"/>
              </w:rPr>
              <w:t xml:space="preserve">Labour </w:t>
            </w:r>
            <w:r w:rsidRPr="00080D13">
              <w:rPr>
                <w:sz w:val="18"/>
                <w:szCs w:val="18"/>
                <w:lang w:val="en-GB"/>
              </w:rPr>
              <w:t>estimates</w:t>
            </w:r>
          </w:p>
        </w:tc>
      </w:tr>
      <w:tr w:rsidR="00A821E6" w:rsidRPr="004A064E" w14:paraId="553C879F" w14:textId="0D36BD80" w:rsidTr="00080D13">
        <w:tc>
          <w:tcPr>
            <w:tcW w:w="1239" w:type="dxa"/>
            <w:vAlign w:val="center"/>
          </w:tcPr>
          <w:p w14:paraId="47CFA42A" w14:textId="6D981299" w:rsidR="00432621" w:rsidRPr="00080D13" w:rsidRDefault="24D0768C" w:rsidP="00080D13">
            <w:pPr>
              <w:pStyle w:val="Els-body-text"/>
              <w:jc w:val="left"/>
              <w:rPr>
                <w:sz w:val="18"/>
                <w:szCs w:val="18"/>
                <w:lang w:val="en-GB"/>
              </w:rPr>
            </w:pPr>
            <w:r w:rsidRPr="00080D13">
              <w:rPr>
                <w:sz w:val="18"/>
                <w:szCs w:val="18"/>
                <w:lang w:val="en-GB"/>
              </w:rPr>
              <w:t>Contingency</w:t>
            </w:r>
          </w:p>
        </w:tc>
        <w:tc>
          <w:tcPr>
            <w:tcW w:w="1820" w:type="dxa"/>
            <w:vAlign w:val="center"/>
          </w:tcPr>
          <w:p w14:paraId="03D9CA8F" w14:textId="1A643BA2" w:rsidR="00432621" w:rsidRPr="00080D13" w:rsidRDefault="24D0768C" w:rsidP="00080D13">
            <w:pPr>
              <w:pStyle w:val="Els-body-text"/>
              <w:jc w:val="left"/>
              <w:rPr>
                <w:sz w:val="18"/>
                <w:szCs w:val="18"/>
                <w:lang w:val="en-GB"/>
              </w:rPr>
            </w:pPr>
            <w:r w:rsidRPr="00080D13">
              <w:rPr>
                <w:sz w:val="18"/>
                <w:szCs w:val="18"/>
                <w:lang w:val="en-GB"/>
              </w:rPr>
              <w:t>10%</w:t>
            </w:r>
            <w:r w:rsidR="1B40A04F" w:rsidRPr="00080D13">
              <w:rPr>
                <w:sz w:val="18"/>
                <w:szCs w:val="18"/>
                <w:lang w:val="en-GB"/>
              </w:rPr>
              <w:t>*</w:t>
            </w:r>
            <w:r w:rsidR="6F4270BC" w:rsidRPr="00080D13">
              <w:rPr>
                <w:sz w:val="18"/>
                <w:szCs w:val="18"/>
                <w:lang w:val="en-GB"/>
              </w:rPr>
              <w:t xml:space="preserve"> </w:t>
            </w:r>
            <w:r w:rsidR="1B40A04F" w:rsidRPr="00080D13">
              <w:rPr>
                <w:sz w:val="18"/>
                <w:szCs w:val="18"/>
                <w:lang w:val="en-GB"/>
              </w:rPr>
              <w:t>(</w:t>
            </w:r>
            <w:r w:rsidRPr="00080D13">
              <w:rPr>
                <w:sz w:val="18"/>
                <w:szCs w:val="18"/>
                <w:lang w:val="en-GB"/>
              </w:rPr>
              <w:t>ISBL+OSBL</w:t>
            </w:r>
            <w:r w:rsidR="1B40A04F" w:rsidRPr="00080D13">
              <w:rPr>
                <w:sz w:val="18"/>
                <w:szCs w:val="18"/>
                <w:lang w:val="en-GB"/>
              </w:rPr>
              <w:t>)</w:t>
            </w:r>
            <w:r w:rsidRPr="00080D13">
              <w:rPr>
                <w:sz w:val="18"/>
                <w:szCs w:val="18"/>
                <w:lang w:val="en-GB"/>
              </w:rPr>
              <w:t xml:space="preserve"> </w:t>
            </w:r>
          </w:p>
        </w:tc>
        <w:tc>
          <w:tcPr>
            <w:tcW w:w="2323" w:type="dxa"/>
            <w:vAlign w:val="center"/>
          </w:tcPr>
          <w:p w14:paraId="27E03B14" w14:textId="1E4F202C" w:rsidR="00432621" w:rsidRPr="00080D13" w:rsidRDefault="24D0768C" w:rsidP="00080D13">
            <w:pPr>
              <w:pStyle w:val="Els-body-text"/>
              <w:jc w:val="left"/>
              <w:rPr>
                <w:sz w:val="18"/>
                <w:szCs w:val="18"/>
                <w:lang w:val="en-GB"/>
              </w:rPr>
            </w:pPr>
            <w:r w:rsidRPr="00080D13">
              <w:rPr>
                <w:sz w:val="18"/>
                <w:szCs w:val="18"/>
                <w:lang w:val="en-GB"/>
              </w:rPr>
              <w:t>Corporate income tax (CIT)</w:t>
            </w:r>
          </w:p>
        </w:tc>
        <w:tc>
          <w:tcPr>
            <w:tcW w:w="1695" w:type="dxa"/>
            <w:vAlign w:val="center"/>
          </w:tcPr>
          <w:p w14:paraId="08108702" w14:textId="650AA655" w:rsidR="00432621" w:rsidRPr="00080D13" w:rsidRDefault="24D0768C" w:rsidP="00080D13">
            <w:pPr>
              <w:pStyle w:val="Els-body-text"/>
              <w:jc w:val="left"/>
              <w:rPr>
                <w:sz w:val="18"/>
                <w:szCs w:val="18"/>
                <w:lang w:val="en-GB"/>
              </w:rPr>
            </w:pPr>
            <w:r w:rsidRPr="00080D13">
              <w:rPr>
                <w:sz w:val="18"/>
                <w:szCs w:val="18"/>
                <w:lang w:val="en-GB"/>
              </w:rPr>
              <w:t>25%</w:t>
            </w:r>
            <w:r w:rsidR="1B40A04F" w:rsidRPr="00080D13">
              <w:rPr>
                <w:sz w:val="18"/>
                <w:szCs w:val="18"/>
                <w:lang w:val="en-GB"/>
              </w:rPr>
              <w:t>*O</w:t>
            </w:r>
            <w:r w:rsidRPr="00080D13">
              <w:rPr>
                <w:sz w:val="18"/>
                <w:szCs w:val="18"/>
                <w:lang w:val="en-GB"/>
              </w:rPr>
              <w:t>perating income</w:t>
            </w:r>
          </w:p>
        </w:tc>
      </w:tr>
      <w:tr w:rsidR="00A821E6" w:rsidRPr="004A064E" w14:paraId="6E918015" w14:textId="7D181158" w:rsidTr="00080D13">
        <w:tc>
          <w:tcPr>
            <w:tcW w:w="1239" w:type="dxa"/>
            <w:vAlign w:val="center"/>
          </w:tcPr>
          <w:p w14:paraId="0E2BB708" w14:textId="6A07C252" w:rsidR="00432621" w:rsidRPr="00080D13" w:rsidRDefault="24D0768C" w:rsidP="00080D13">
            <w:pPr>
              <w:pStyle w:val="Els-body-text"/>
              <w:jc w:val="left"/>
              <w:rPr>
                <w:sz w:val="18"/>
                <w:szCs w:val="18"/>
                <w:lang w:val="en-GB"/>
              </w:rPr>
            </w:pPr>
            <w:r w:rsidRPr="00080D13">
              <w:rPr>
                <w:sz w:val="18"/>
                <w:szCs w:val="18"/>
                <w:lang w:val="en-GB"/>
              </w:rPr>
              <w:t>Working capital</w:t>
            </w:r>
          </w:p>
        </w:tc>
        <w:tc>
          <w:tcPr>
            <w:tcW w:w="1820" w:type="dxa"/>
            <w:vAlign w:val="center"/>
          </w:tcPr>
          <w:p w14:paraId="3E196055" w14:textId="614BB848" w:rsidR="00432621" w:rsidRPr="00080D13" w:rsidRDefault="24D0768C" w:rsidP="00080D13">
            <w:pPr>
              <w:pStyle w:val="Els-body-text"/>
              <w:jc w:val="left"/>
              <w:rPr>
                <w:sz w:val="18"/>
                <w:szCs w:val="18"/>
                <w:lang w:val="en-GB"/>
              </w:rPr>
            </w:pPr>
            <w:r w:rsidRPr="00080D13">
              <w:rPr>
                <w:sz w:val="18"/>
                <w:szCs w:val="18"/>
                <w:lang w:val="en-GB"/>
              </w:rPr>
              <w:t>5%</w:t>
            </w:r>
            <w:r w:rsidR="1B40A04F" w:rsidRPr="00080D13">
              <w:rPr>
                <w:sz w:val="18"/>
                <w:szCs w:val="18"/>
                <w:lang w:val="en-GB"/>
              </w:rPr>
              <w:t>*(</w:t>
            </w:r>
            <w:r w:rsidRPr="00080D13">
              <w:rPr>
                <w:sz w:val="18"/>
                <w:szCs w:val="18"/>
                <w:lang w:val="en-GB"/>
              </w:rPr>
              <w:t>ISBL+OSBL+</w:t>
            </w:r>
            <w:r w:rsidR="1B40A04F" w:rsidRPr="00080D13">
              <w:rPr>
                <w:sz w:val="18"/>
                <w:szCs w:val="18"/>
                <w:lang w:val="en-GB"/>
              </w:rPr>
              <w:t xml:space="preserve"> </w:t>
            </w:r>
            <w:r w:rsidR="001908AE" w:rsidRPr="00080D13">
              <w:rPr>
                <w:sz w:val="18"/>
                <w:szCs w:val="18"/>
                <w:lang w:val="en-GB"/>
              </w:rPr>
              <w:t>EN</w:t>
            </w:r>
            <w:r w:rsidRPr="00080D13">
              <w:rPr>
                <w:sz w:val="18"/>
                <w:szCs w:val="18"/>
                <w:lang w:val="en-GB"/>
              </w:rPr>
              <w:t>+</w:t>
            </w:r>
            <w:r w:rsidR="1B40A04F" w:rsidRPr="00080D13">
              <w:rPr>
                <w:sz w:val="18"/>
                <w:szCs w:val="18"/>
                <w:lang w:val="en-GB"/>
              </w:rPr>
              <w:t xml:space="preserve"> </w:t>
            </w:r>
            <w:r w:rsidR="00E83652" w:rsidRPr="00080D13">
              <w:rPr>
                <w:sz w:val="18"/>
                <w:szCs w:val="18"/>
                <w:lang w:val="en-GB"/>
              </w:rPr>
              <w:t>C</w:t>
            </w:r>
            <w:r w:rsidR="001908AE" w:rsidRPr="00080D13">
              <w:rPr>
                <w:sz w:val="18"/>
                <w:szCs w:val="18"/>
                <w:lang w:val="en-GB"/>
              </w:rPr>
              <w:t>N</w:t>
            </w:r>
            <w:r w:rsidR="1B40A04F" w:rsidRPr="00080D13">
              <w:rPr>
                <w:sz w:val="18"/>
                <w:szCs w:val="18"/>
                <w:lang w:val="en-GB"/>
              </w:rPr>
              <w:t>)</w:t>
            </w:r>
          </w:p>
        </w:tc>
        <w:tc>
          <w:tcPr>
            <w:tcW w:w="2323" w:type="dxa"/>
            <w:vAlign w:val="center"/>
          </w:tcPr>
          <w:p w14:paraId="269828A9" w14:textId="68C5D436" w:rsidR="00432621" w:rsidRPr="00080D13" w:rsidRDefault="24D0768C" w:rsidP="00080D13">
            <w:pPr>
              <w:pStyle w:val="Els-body-text"/>
              <w:jc w:val="left"/>
              <w:rPr>
                <w:sz w:val="18"/>
                <w:szCs w:val="18"/>
                <w:lang w:val="en-GB"/>
              </w:rPr>
            </w:pPr>
            <w:r w:rsidRPr="00080D13">
              <w:rPr>
                <w:sz w:val="18"/>
                <w:szCs w:val="18"/>
                <w:lang w:val="en-GB"/>
              </w:rPr>
              <w:t>Land &amp; building rents, insurance, property taxes &amp; environmental charges</w:t>
            </w:r>
          </w:p>
        </w:tc>
        <w:tc>
          <w:tcPr>
            <w:tcW w:w="1695" w:type="dxa"/>
            <w:vAlign w:val="center"/>
          </w:tcPr>
          <w:p w14:paraId="1F5E50F6" w14:textId="267CE589" w:rsidR="00432621" w:rsidRPr="00080D13" w:rsidRDefault="24D0768C" w:rsidP="00080D13">
            <w:pPr>
              <w:pStyle w:val="Els-body-text"/>
              <w:jc w:val="left"/>
              <w:rPr>
                <w:sz w:val="18"/>
                <w:szCs w:val="18"/>
                <w:lang w:val="en-GB"/>
              </w:rPr>
            </w:pPr>
            <w:r w:rsidRPr="00080D13">
              <w:rPr>
                <w:sz w:val="18"/>
                <w:szCs w:val="18"/>
                <w:lang w:val="en-GB"/>
              </w:rPr>
              <w:t>5%</w:t>
            </w:r>
            <w:r w:rsidR="1B40A04F" w:rsidRPr="00080D13">
              <w:rPr>
                <w:sz w:val="18"/>
                <w:szCs w:val="18"/>
                <w:lang w:val="en-GB"/>
              </w:rPr>
              <w:t>*(</w:t>
            </w:r>
            <w:r w:rsidRPr="00080D13">
              <w:rPr>
                <w:sz w:val="18"/>
                <w:szCs w:val="18"/>
                <w:lang w:val="en-GB"/>
              </w:rPr>
              <w:t>ISBL+</w:t>
            </w:r>
            <w:r w:rsidR="00A821E6" w:rsidRPr="00080D13">
              <w:rPr>
                <w:sz w:val="18"/>
                <w:szCs w:val="18"/>
                <w:lang w:val="en-GB"/>
              </w:rPr>
              <w:t xml:space="preserve"> </w:t>
            </w:r>
            <w:r w:rsidRPr="00080D13">
              <w:rPr>
                <w:sz w:val="18"/>
                <w:szCs w:val="18"/>
                <w:lang w:val="en-GB"/>
              </w:rPr>
              <w:t>OSBL</w:t>
            </w:r>
            <w:r w:rsidR="1B40A04F" w:rsidRPr="00080D13">
              <w:rPr>
                <w:sz w:val="18"/>
                <w:szCs w:val="18"/>
                <w:lang w:val="en-GB"/>
              </w:rPr>
              <w:t>)</w:t>
            </w:r>
          </w:p>
        </w:tc>
      </w:tr>
    </w:tbl>
    <w:p w14:paraId="1D795B21" w14:textId="7744F111" w:rsidR="001C4565" w:rsidRPr="00381CCD" w:rsidRDefault="00244756" w:rsidP="008D2649">
      <w:pPr>
        <w:pStyle w:val="Els-body-text"/>
        <w:rPr>
          <w:lang w:val="en-GB"/>
        </w:rPr>
      </w:pPr>
      <w:r w:rsidRPr="2F9161C8">
        <w:rPr>
          <w:lang w:val="en-GB"/>
        </w:rPr>
        <w:t>V</w:t>
      </w:r>
      <w:r w:rsidR="006735BF" w:rsidRPr="2F9161C8">
        <w:rPr>
          <w:lang w:val="en-GB"/>
        </w:rPr>
        <w:t>ariable OPEX such as r</w:t>
      </w:r>
      <w:r w:rsidR="009033A5" w:rsidRPr="2F9161C8">
        <w:rPr>
          <w:lang w:val="en-GB"/>
        </w:rPr>
        <w:t>aw material</w:t>
      </w:r>
      <w:r w:rsidR="006735BF" w:rsidRPr="2F9161C8">
        <w:rPr>
          <w:lang w:val="en-GB"/>
        </w:rPr>
        <w:t>s</w:t>
      </w:r>
      <w:r w:rsidR="009033A5" w:rsidRPr="2F9161C8">
        <w:rPr>
          <w:lang w:val="en-GB"/>
        </w:rPr>
        <w:t>, utilit</w:t>
      </w:r>
      <w:r w:rsidR="006735BF" w:rsidRPr="2F9161C8">
        <w:rPr>
          <w:lang w:val="en-GB"/>
        </w:rPr>
        <w:t>ies</w:t>
      </w:r>
      <w:r w:rsidR="009033A5" w:rsidRPr="2F9161C8">
        <w:rPr>
          <w:lang w:val="en-GB"/>
        </w:rPr>
        <w:t xml:space="preserve"> and wastewater treatment cost</w:t>
      </w:r>
      <w:r w:rsidR="006735BF" w:rsidRPr="2F9161C8">
        <w:rPr>
          <w:lang w:val="en-GB"/>
        </w:rPr>
        <w:t>s</w:t>
      </w:r>
      <w:r w:rsidR="009033A5" w:rsidRPr="2F9161C8">
        <w:rPr>
          <w:lang w:val="en-GB"/>
        </w:rPr>
        <w:t xml:space="preserve"> </w:t>
      </w:r>
      <w:r w:rsidR="006735BF" w:rsidRPr="2F9161C8">
        <w:rPr>
          <w:lang w:val="en-GB"/>
        </w:rPr>
        <w:t>were calculated based on mass flows</w:t>
      </w:r>
      <w:r w:rsidR="784F5902" w:rsidRPr="2F9161C8">
        <w:rPr>
          <w:lang w:val="en-GB"/>
        </w:rPr>
        <w:t>, obtained from Aspen,</w:t>
      </w:r>
      <w:r w:rsidR="006735BF" w:rsidRPr="2F9161C8">
        <w:rPr>
          <w:lang w:val="en-GB"/>
        </w:rPr>
        <w:t xml:space="preserve"> and</w:t>
      </w:r>
      <w:r w:rsidR="00E12948" w:rsidRPr="2F9161C8">
        <w:rPr>
          <w:lang w:val="en-GB"/>
        </w:rPr>
        <w:t xml:space="preserve"> </w:t>
      </w:r>
      <w:r w:rsidR="006735BF" w:rsidRPr="2F9161C8">
        <w:rPr>
          <w:lang w:val="en-GB"/>
        </w:rPr>
        <w:t>prices</w:t>
      </w:r>
      <w:r w:rsidR="009033A5" w:rsidRPr="2F9161C8">
        <w:rPr>
          <w:lang w:val="en-GB"/>
        </w:rPr>
        <w:t xml:space="preserve">. </w:t>
      </w:r>
      <w:r w:rsidR="10A47DBF" w:rsidRPr="2F9161C8">
        <w:rPr>
          <w:lang w:val="en-GB"/>
        </w:rPr>
        <w:t>The r</w:t>
      </w:r>
      <w:r w:rsidR="009033A5" w:rsidRPr="2F9161C8">
        <w:rPr>
          <w:lang w:val="en-GB"/>
        </w:rPr>
        <w:t xml:space="preserve">evenue </w:t>
      </w:r>
      <w:r w:rsidR="006735BF" w:rsidRPr="2F9161C8">
        <w:rPr>
          <w:lang w:val="en-GB"/>
        </w:rPr>
        <w:t>wa</w:t>
      </w:r>
      <w:r w:rsidR="009033A5" w:rsidRPr="2F9161C8">
        <w:rPr>
          <w:lang w:val="en-GB"/>
        </w:rPr>
        <w:t>s calculated from products and excess utilities</w:t>
      </w:r>
      <w:r w:rsidR="00A821E6" w:rsidRPr="2F9161C8">
        <w:rPr>
          <w:lang w:val="en-GB"/>
        </w:rPr>
        <w:t>,</w:t>
      </w:r>
      <w:r w:rsidR="009033A5" w:rsidRPr="2F9161C8">
        <w:rPr>
          <w:lang w:val="en-GB"/>
        </w:rPr>
        <w:t xml:space="preserve"> </w:t>
      </w:r>
      <w:r w:rsidR="00270021" w:rsidRPr="2F9161C8">
        <w:rPr>
          <w:lang w:val="en-GB"/>
        </w:rPr>
        <w:t xml:space="preserve">and using </w:t>
      </w:r>
      <w:r w:rsidR="34F5CFF9" w:rsidRPr="2F9161C8">
        <w:rPr>
          <w:lang w:val="en-GB"/>
        </w:rPr>
        <w:t>a</w:t>
      </w:r>
      <w:r w:rsidR="00270021" w:rsidRPr="2F9161C8">
        <w:rPr>
          <w:lang w:val="en-GB"/>
        </w:rPr>
        <w:t xml:space="preserve"> payback</w:t>
      </w:r>
      <w:r w:rsidR="765B86DF" w:rsidRPr="2F9161C8">
        <w:rPr>
          <w:lang w:val="en-GB"/>
        </w:rPr>
        <w:t xml:space="preserve"> period</w:t>
      </w:r>
      <w:r w:rsidR="0057441A">
        <w:rPr>
          <w:lang w:val="en-GB"/>
        </w:rPr>
        <w:t xml:space="preserve"> of 12 years</w:t>
      </w:r>
      <w:r w:rsidR="00270021" w:rsidRPr="2F9161C8">
        <w:rPr>
          <w:lang w:val="en-GB"/>
        </w:rPr>
        <w:t>, the MSP of methanol was calculated</w:t>
      </w:r>
      <w:r w:rsidR="009033A5" w:rsidRPr="2F9161C8">
        <w:rPr>
          <w:lang w:val="en-GB"/>
        </w:rPr>
        <w:t>.</w:t>
      </w:r>
      <w:r w:rsidR="00270021" w:rsidRPr="2F9161C8">
        <w:rPr>
          <w:lang w:val="en-GB"/>
        </w:rPr>
        <w:t xml:space="preserve"> In this study, it was assumed that only the methanol price varied</w:t>
      </w:r>
      <w:r w:rsidR="004A064E" w:rsidRPr="2F9161C8">
        <w:rPr>
          <w:lang w:val="en-GB"/>
        </w:rPr>
        <w:t xml:space="preserve"> </w:t>
      </w:r>
      <w:r w:rsidR="00270021" w:rsidRPr="2F9161C8">
        <w:rPr>
          <w:lang w:val="en-GB"/>
        </w:rPr>
        <w:t>and the other product prices remained unchanged</w:t>
      </w:r>
      <w:r w:rsidR="0057441A">
        <w:rPr>
          <w:lang w:val="en-GB"/>
        </w:rPr>
        <w:t xml:space="preserve">, </w:t>
      </w:r>
      <w:r w:rsidR="0057441A" w:rsidRPr="2F9161C8">
        <w:rPr>
          <w:lang w:val="en-GB"/>
        </w:rPr>
        <w:t xml:space="preserve">among the lifetime of the </w:t>
      </w:r>
      <w:r w:rsidR="0057441A" w:rsidRPr="2F9161C8">
        <w:rPr>
          <w:lang w:val="en-GB"/>
        </w:rPr>
        <w:lastRenderedPageBreak/>
        <w:t>plant (</w:t>
      </w:r>
      <w:r w:rsidR="00867D87" w:rsidRPr="2F9161C8">
        <w:rPr>
          <w:lang w:val="en-GB"/>
        </w:rPr>
        <w:t>i.e.,</w:t>
      </w:r>
      <w:r w:rsidR="0057441A">
        <w:rPr>
          <w:lang w:val="en-GB"/>
        </w:rPr>
        <w:t xml:space="preserve"> 25</w:t>
      </w:r>
      <w:r w:rsidR="0057441A" w:rsidRPr="2F9161C8">
        <w:rPr>
          <w:lang w:val="en-GB"/>
        </w:rPr>
        <w:t xml:space="preserve"> years)</w:t>
      </w:r>
      <w:r w:rsidR="00270021" w:rsidRPr="2F9161C8">
        <w:rPr>
          <w:lang w:val="en-GB"/>
        </w:rPr>
        <w:t>.</w:t>
      </w:r>
      <w:r w:rsidR="009033A5" w:rsidRPr="2F9161C8">
        <w:rPr>
          <w:lang w:val="en-GB"/>
        </w:rPr>
        <w:t xml:space="preserve"> </w:t>
      </w:r>
      <w:r w:rsidR="00F31E52">
        <w:rPr>
          <w:lang w:val="en-GB"/>
        </w:rPr>
        <w:t>The economic calculation</w:t>
      </w:r>
      <w:r w:rsidR="00915017">
        <w:rPr>
          <w:lang w:val="en-GB"/>
        </w:rPr>
        <w:t>s</w:t>
      </w:r>
      <w:r w:rsidR="00F31E52">
        <w:rPr>
          <w:lang w:val="en-GB"/>
        </w:rPr>
        <w:t xml:space="preserve"> w</w:t>
      </w:r>
      <w:r w:rsidR="00915017">
        <w:rPr>
          <w:lang w:val="en-GB"/>
        </w:rPr>
        <w:t>ere</w:t>
      </w:r>
      <w:r w:rsidR="00F31E52">
        <w:rPr>
          <w:lang w:val="en-GB"/>
        </w:rPr>
        <w:t xml:space="preserve"> based on 2018 as the base year and Netherlands as the plant location. </w:t>
      </w:r>
    </w:p>
    <w:p w14:paraId="144DE6A1" w14:textId="59130CF0" w:rsidR="008D2649" w:rsidRPr="00381CCD" w:rsidRDefault="001702D4" w:rsidP="008D2649">
      <w:pPr>
        <w:pStyle w:val="Els-1storder-head"/>
        <w:spacing w:after="120"/>
        <w:rPr>
          <w:lang w:val="en-GB"/>
        </w:rPr>
      </w:pPr>
      <w:r w:rsidRPr="09DE3CDB">
        <w:rPr>
          <w:lang w:val="en-GB"/>
        </w:rPr>
        <w:t xml:space="preserve">Results </w:t>
      </w:r>
      <w:r w:rsidR="46BD5625" w:rsidRPr="09DE3CDB">
        <w:rPr>
          <w:lang w:val="en-GB"/>
        </w:rPr>
        <w:t>and</w:t>
      </w:r>
      <w:r w:rsidRPr="09DE3CDB">
        <w:rPr>
          <w:lang w:val="en-GB"/>
        </w:rPr>
        <w:t xml:space="preserve"> discussion</w:t>
      </w:r>
    </w:p>
    <w:p w14:paraId="5831DCCE" w14:textId="0ABC2805" w:rsidR="00DE5118" w:rsidRPr="00201A38" w:rsidRDefault="00FE5544" w:rsidP="00FE5544">
      <w:pPr>
        <w:pStyle w:val="Els-2ndorder-head"/>
        <w:rPr>
          <w:lang w:val="en-GB"/>
        </w:rPr>
      </w:pPr>
      <w:r w:rsidRPr="2F9161C8">
        <w:rPr>
          <w:lang w:val="en-GB"/>
        </w:rPr>
        <w:t>Technology screening</w:t>
      </w:r>
    </w:p>
    <w:p w14:paraId="3C612C7F" w14:textId="24C93AAF" w:rsidR="00E92E5F" w:rsidRPr="00E92E5F" w:rsidRDefault="00E92E5F" w:rsidP="00E92E5F">
      <w:pPr>
        <w:pStyle w:val="Els-body-text"/>
        <w:rPr>
          <w:lang w:val="en-GB"/>
        </w:rPr>
      </w:pPr>
      <w:r>
        <w:rPr>
          <w:lang w:val="en-GB"/>
        </w:rPr>
        <w:t>From the literature</w:t>
      </w:r>
      <w:r w:rsidR="004A064E">
        <w:rPr>
          <w:lang w:val="en-GB"/>
        </w:rPr>
        <w:t>,</w:t>
      </w:r>
      <w:r>
        <w:rPr>
          <w:lang w:val="en-GB"/>
        </w:rPr>
        <w:t xml:space="preserve"> 11, 15 </w:t>
      </w:r>
      <w:r w:rsidR="004A064E">
        <w:rPr>
          <w:lang w:val="en-GB"/>
        </w:rPr>
        <w:t xml:space="preserve">and </w:t>
      </w:r>
      <w:r>
        <w:rPr>
          <w:lang w:val="en-GB"/>
        </w:rPr>
        <w:t>6 possible 3-step routes</w:t>
      </w:r>
      <w:r w:rsidR="004A064E">
        <w:rPr>
          <w:lang w:val="en-GB"/>
        </w:rPr>
        <w:t xml:space="preserve"> were identified to synthesise methanol from </w:t>
      </w:r>
      <w:r>
        <w:rPr>
          <w:lang w:val="en-GB"/>
        </w:rPr>
        <w:t>CO</w:t>
      </w:r>
      <w:r w:rsidRPr="00E92E5F">
        <w:rPr>
          <w:vertAlign w:val="subscript"/>
          <w:lang w:val="en-GB"/>
        </w:rPr>
        <w:t>2</w:t>
      </w:r>
      <w:r>
        <w:rPr>
          <w:lang w:val="en-GB"/>
        </w:rPr>
        <w:t>, biomass and plastic waste</w:t>
      </w:r>
      <w:r w:rsidR="004A064E">
        <w:rPr>
          <w:lang w:val="en-GB"/>
        </w:rPr>
        <w:t>,</w:t>
      </w:r>
      <w:r>
        <w:rPr>
          <w:lang w:val="en-GB"/>
        </w:rPr>
        <w:t xml:space="preserve"> respectively. </w:t>
      </w:r>
      <w:r w:rsidR="00F04CEE">
        <w:rPr>
          <w:lang w:val="en-GB"/>
        </w:rPr>
        <w:t>Regarding</w:t>
      </w:r>
      <w:r w:rsidR="009F34FA">
        <w:rPr>
          <w:lang w:val="en-GB"/>
        </w:rPr>
        <w:t xml:space="preserve"> H</w:t>
      </w:r>
      <w:r w:rsidR="009F34FA" w:rsidRPr="009F34FA">
        <w:rPr>
          <w:vertAlign w:val="subscript"/>
          <w:lang w:val="en-GB"/>
        </w:rPr>
        <w:t>2</w:t>
      </w:r>
      <w:r w:rsidR="00F04CEE">
        <w:rPr>
          <w:lang w:val="en-GB"/>
        </w:rPr>
        <w:t xml:space="preserve"> feedstock, e</w:t>
      </w:r>
      <w:r w:rsidR="004A064E">
        <w:rPr>
          <w:lang w:val="en-GB"/>
        </w:rPr>
        <w:t>lectrochemical-</w:t>
      </w:r>
      <w:r>
        <w:rPr>
          <w:lang w:val="en-GB"/>
        </w:rPr>
        <w:t xml:space="preserve">based technologies were </w:t>
      </w:r>
      <w:r w:rsidR="00F04CEE">
        <w:rPr>
          <w:lang w:val="en-GB"/>
        </w:rPr>
        <w:t>crucial</w:t>
      </w:r>
      <w:r>
        <w:rPr>
          <w:lang w:val="en-GB"/>
        </w:rPr>
        <w:t xml:space="preserve"> for CO</w:t>
      </w:r>
      <w:r w:rsidRPr="00201A38">
        <w:rPr>
          <w:vertAlign w:val="subscript"/>
          <w:lang w:val="en-GB"/>
        </w:rPr>
        <w:t>2</w:t>
      </w:r>
      <w:r>
        <w:rPr>
          <w:lang w:val="en-GB"/>
        </w:rPr>
        <w:t xml:space="preserve"> routes, while due to the inherent hydrogen </w:t>
      </w:r>
      <w:r w:rsidR="00F04CEE">
        <w:rPr>
          <w:lang w:val="en-GB"/>
        </w:rPr>
        <w:t>content</w:t>
      </w:r>
      <w:r w:rsidR="004A064E">
        <w:rPr>
          <w:lang w:val="en-GB"/>
        </w:rPr>
        <w:t xml:space="preserve"> </w:t>
      </w:r>
      <w:r>
        <w:rPr>
          <w:lang w:val="en-GB"/>
        </w:rPr>
        <w:t>in biomass and plastic</w:t>
      </w:r>
      <w:r w:rsidR="004A064E">
        <w:rPr>
          <w:lang w:val="en-GB"/>
        </w:rPr>
        <w:t xml:space="preserve"> </w:t>
      </w:r>
      <w:r w:rsidR="00F04CEE">
        <w:rPr>
          <w:lang w:val="en-GB"/>
        </w:rPr>
        <w:t>molecules</w:t>
      </w:r>
      <w:r w:rsidR="00E5209C">
        <w:rPr>
          <w:lang w:val="en-GB"/>
        </w:rPr>
        <w:t>;</w:t>
      </w:r>
      <w:r>
        <w:rPr>
          <w:lang w:val="en-GB"/>
        </w:rPr>
        <w:t xml:space="preserve"> </w:t>
      </w:r>
      <w:r w:rsidR="00201A38">
        <w:rPr>
          <w:lang w:val="en-GB"/>
        </w:rPr>
        <w:t>electrochemical, biochemical and thermal routes were possible. The three selected technologies for further assessment were:</w:t>
      </w:r>
    </w:p>
    <w:p w14:paraId="4073910C" w14:textId="707861CB" w:rsidR="00F85E52" w:rsidRPr="00381CCD" w:rsidRDefault="00F85E52" w:rsidP="00F85E52">
      <w:pPr>
        <w:pStyle w:val="Caption"/>
        <w:keepNext/>
        <w:rPr>
          <w:lang w:val="en-GB"/>
        </w:rPr>
      </w:pPr>
      <w:r w:rsidRPr="00381CCD">
        <w:rPr>
          <w:lang w:val="en-GB"/>
        </w:rPr>
        <w:t xml:space="preserve">Table </w:t>
      </w:r>
      <w:r w:rsidRPr="00381CCD">
        <w:rPr>
          <w:lang w:val="en-GB"/>
        </w:rPr>
        <w:fldChar w:fldCharType="begin"/>
      </w:r>
      <w:r w:rsidRPr="00381CCD">
        <w:rPr>
          <w:lang w:val="en-GB"/>
        </w:rPr>
        <w:instrText xml:space="preserve"> SEQ Table \* ARABIC </w:instrText>
      </w:r>
      <w:r w:rsidRPr="00381CCD">
        <w:rPr>
          <w:lang w:val="en-GB"/>
        </w:rPr>
        <w:fldChar w:fldCharType="separate"/>
      </w:r>
      <w:r w:rsidR="00627221">
        <w:rPr>
          <w:noProof/>
          <w:lang w:val="en-GB"/>
        </w:rPr>
        <w:t>2</w:t>
      </w:r>
      <w:r w:rsidRPr="00381CCD">
        <w:rPr>
          <w:lang w:val="en-GB"/>
        </w:rPr>
        <w:fldChar w:fldCharType="end"/>
      </w:r>
      <w:r w:rsidRPr="00381CCD">
        <w:rPr>
          <w:lang w:val="en-GB"/>
        </w:rPr>
        <w:t xml:space="preserve">: </w:t>
      </w:r>
      <w:r w:rsidR="004A064E">
        <w:rPr>
          <w:lang w:val="en-GB"/>
        </w:rPr>
        <w:t>S</w:t>
      </w:r>
      <w:r w:rsidRPr="00381CCD">
        <w:rPr>
          <w:lang w:val="en-GB"/>
        </w:rPr>
        <w:t xml:space="preserve">elected technologies </w:t>
      </w:r>
      <w:r w:rsidR="004A064E">
        <w:rPr>
          <w:lang w:val="en-GB"/>
        </w:rPr>
        <w:t xml:space="preserve">for each </w:t>
      </w:r>
      <w:r w:rsidR="00325809">
        <w:rPr>
          <w:lang w:val="en-GB"/>
        </w:rPr>
        <w:t>ACS</w:t>
      </w:r>
      <w:r w:rsidR="00F04CEE">
        <w:rPr>
          <w:lang w:val="en-GB"/>
        </w:rPr>
        <w:t xml:space="preserve"> and their corresponding screening values</w:t>
      </w:r>
      <w:r w:rsidR="004A064E">
        <w:rPr>
          <w:lang w:val="en-GB"/>
        </w:rPr>
        <w:t>.</w:t>
      </w:r>
    </w:p>
    <w:tbl>
      <w:tblPr>
        <w:tblStyle w:val="TableGrid"/>
        <w:tblW w:w="5000" w:type="pct"/>
        <w:tblLook w:val="0420" w:firstRow="1" w:lastRow="0" w:firstColumn="0" w:lastColumn="0" w:noHBand="0" w:noVBand="1"/>
      </w:tblPr>
      <w:tblGrid>
        <w:gridCol w:w="1797"/>
        <w:gridCol w:w="1458"/>
        <w:gridCol w:w="1417"/>
        <w:gridCol w:w="1153"/>
        <w:gridCol w:w="684"/>
        <w:gridCol w:w="567"/>
      </w:tblGrid>
      <w:tr w:rsidR="00683229" w:rsidRPr="004A064E" w14:paraId="4AE2771C" w14:textId="77777777" w:rsidTr="23834317">
        <w:trPr>
          <w:trHeight w:val="236"/>
        </w:trPr>
        <w:tc>
          <w:tcPr>
            <w:tcW w:w="1270" w:type="pct"/>
            <w:vAlign w:val="center"/>
            <w:hideMark/>
          </w:tcPr>
          <w:p w14:paraId="4BBC0145" w14:textId="77777777" w:rsidR="00DE5118" w:rsidRPr="00080D13" w:rsidRDefault="2CE2EB59" w:rsidP="23834317">
            <w:pPr>
              <w:pStyle w:val="Els-body-text"/>
              <w:jc w:val="center"/>
              <w:rPr>
                <w:sz w:val="18"/>
                <w:szCs w:val="18"/>
                <w:lang w:val="en-GB"/>
              </w:rPr>
            </w:pPr>
            <w:r w:rsidRPr="00080D13">
              <w:rPr>
                <w:b/>
                <w:bCs/>
                <w:sz w:val="18"/>
                <w:szCs w:val="18"/>
                <w:lang w:val="en-GB"/>
              </w:rPr>
              <w:t>Technology</w:t>
            </w:r>
          </w:p>
        </w:tc>
        <w:tc>
          <w:tcPr>
            <w:tcW w:w="1030" w:type="pct"/>
            <w:vAlign w:val="center"/>
            <w:hideMark/>
          </w:tcPr>
          <w:p w14:paraId="06899E78" w14:textId="4FB4F3E0" w:rsidR="00DE5118" w:rsidRPr="00080D13" w:rsidRDefault="243FA9C6" w:rsidP="23834317">
            <w:pPr>
              <w:pStyle w:val="Els-body-text"/>
              <w:jc w:val="center"/>
              <w:rPr>
                <w:sz w:val="18"/>
                <w:szCs w:val="18"/>
                <w:lang w:val="en-GB"/>
              </w:rPr>
            </w:pPr>
            <w:r w:rsidRPr="00080D13">
              <w:rPr>
                <w:b/>
                <w:bCs/>
                <w:sz w:val="18"/>
                <w:szCs w:val="18"/>
                <w:lang w:val="en-GB"/>
              </w:rPr>
              <w:t>R</w:t>
            </w:r>
            <w:r w:rsidR="1B40A04F" w:rsidRPr="00080D13">
              <w:rPr>
                <w:b/>
                <w:bCs/>
                <w:sz w:val="18"/>
                <w:szCs w:val="18"/>
                <w:lang w:val="en-GB"/>
              </w:rPr>
              <w:t>eaction</w:t>
            </w:r>
            <w:r w:rsidR="2CE2EB59" w:rsidRPr="00080D13">
              <w:rPr>
                <w:b/>
                <w:bCs/>
                <w:sz w:val="18"/>
                <w:szCs w:val="18"/>
                <w:lang w:val="en-GB"/>
              </w:rPr>
              <w:t xml:space="preserve"> steps</w:t>
            </w:r>
          </w:p>
        </w:tc>
        <w:tc>
          <w:tcPr>
            <w:tcW w:w="1001" w:type="pct"/>
            <w:vAlign w:val="center"/>
            <w:hideMark/>
          </w:tcPr>
          <w:p w14:paraId="6891125F" w14:textId="72C154A9" w:rsidR="00DE5118" w:rsidRPr="00080D13" w:rsidRDefault="2CE2EB59" w:rsidP="23834317">
            <w:pPr>
              <w:pStyle w:val="Els-body-text"/>
              <w:jc w:val="center"/>
              <w:rPr>
                <w:sz w:val="18"/>
                <w:szCs w:val="18"/>
                <w:lang w:val="en-GB"/>
              </w:rPr>
            </w:pPr>
            <w:r w:rsidRPr="00080D13">
              <w:rPr>
                <w:b/>
                <w:bCs/>
                <w:sz w:val="18"/>
                <w:szCs w:val="18"/>
                <w:lang w:val="en-GB"/>
              </w:rPr>
              <w:t>Electricity</w:t>
            </w:r>
          </w:p>
        </w:tc>
        <w:tc>
          <w:tcPr>
            <w:tcW w:w="815" w:type="pct"/>
            <w:vAlign w:val="center"/>
            <w:hideMark/>
          </w:tcPr>
          <w:p w14:paraId="207AA9DE" w14:textId="7C6E8D89" w:rsidR="00DE5118" w:rsidRPr="00080D13" w:rsidRDefault="2CE2EB59" w:rsidP="23834317">
            <w:pPr>
              <w:pStyle w:val="Els-body-text"/>
              <w:jc w:val="center"/>
              <w:rPr>
                <w:sz w:val="18"/>
                <w:szCs w:val="18"/>
                <w:lang w:val="en-GB"/>
              </w:rPr>
            </w:pPr>
            <w:r w:rsidRPr="00080D13">
              <w:rPr>
                <w:b/>
                <w:bCs/>
                <w:sz w:val="18"/>
                <w:szCs w:val="18"/>
                <w:lang w:val="en-GB"/>
              </w:rPr>
              <w:t xml:space="preserve">Heat </w:t>
            </w:r>
          </w:p>
        </w:tc>
        <w:tc>
          <w:tcPr>
            <w:tcW w:w="483" w:type="pct"/>
            <w:vAlign w:val="center"/>
            <w:hideMark/>
          </w:tcPr>
          <w:p w14:paraId="1CD37DF2" w14:textId="7DBCB93B" w:rsidR="00DE5118" w:rsidRPr="00080D13" w:rsidRDefault="00187C9D" w:rsidP="23834317">
            <w:pPr>
              <w:pStyle w:val="Els-body-text"/>
              <w:jc w:val="center"/>
              <w:rPr>
                <w:sz w:val="18"/>
                <w:szCs w:val="18"/>
                <w:lang w:val="en-GB"/>
              </w:rPr>
            </w:pPr>
            <w:r w:rsidRPr="00080D13">
              <w:rPr>
                <w:b/>
                <w:bCs/>
                <w:sz w:val="18"/>
                <w:szCs w:val="18"/>
                <w:lang w:val="en-GB"/>
              </w:rPr>
              <w:t>CUE</w:t>
            </w:r>
          </w:p>
        </w:tc>
        <w:tc>
          <w:tcPr>
            <w:tcW w:w="400" w:type="pct"/>
            <w:vAlign w:val="center"/>
            <w:hideMark/>
          </w:tcPr>
          <w:p w14:paraId="78936DA6" w14:textId="34953F93" w:rsidR="00DE5118" w:rsidRPr="00080D13" w:rsidRDefault="00187C9D" w:rsidP="23834317">
            <w:pPr>
              <w:pStyle w:val="Els-body-text"/>
              <w:jc w:val="center"/>
              <w:rPr>
                <w:sz w:val="18"/>
                <w:szCs w:val="18"/>
                <w:lang w:val="en-GB"/>
              </w:rPr>
            </w:pPr>
            <w:r w:rsidRPr="00080D13">
              <w:rPr>
                <w:b/>
                <w:bCs/>
                <w:sz w:val="18"/>
                <w:szCs w:val="18"/>
                <w:lang w:val="en-GB"/>
              </w:rPr>
              <w:t>EC</w:t>
            </w:r>
          </w:p>
        </w:tc>
      </w:tr>
      <w:tr w:rsidR="00683229" w:rsidRPr="004A064E" w14:paraId="77F0E85A" w14:textId="77777777" w:rsidTr="23834317">
        <w:trPr>
          <w:trHeight w:val="70"/>
        </w:trPr>
        <w:tc>
          <w:tcPr>
            <w:tcW w:w="1270" w:type="pct"/>
            <w:vAlign w:val="center"/>
            <w:hideMark/>
          </w:tcPr>
          <w:p w14:paraId="6D00461C" w14:textId="478D0676" w:rsidR="00DE5118" w:rsidRPr="00080D13" w:rsidRDefault="2CE2EB59" w:rsidP="23834317">
            <w:pPr>
              <w:pStyle w:val="Els-body-text"/>
              <w:jc w:val="center"/>
              <w:rPr>
                <w:sz w:val="18"/>
                <w:szCs w:val="18"/>
                <w:lang w:val="en-GB"/>
              </w:rPr>
            </w:pPr>
            <w:r w:rsidRPr="00080D13">
              <w:rPr>
                <w:sz w:val="18"/>
                <w:szCs w:val="18"/>
                <w:lang w:val="en-GB"/>
              </w:rPr>
              <w:t>W</w:t>
            </w:r>
            <w:r w:rsidR="11525231" w:rsidRPr="00080D13">
              <w:rPr>
                <w:sz w:val="18"/>
                <w:szCs w:val="18"/>
                <w:lang w:val="en-GB"/>
              </w:rPr>
              <w:t>E</w:t>
            </w:r>
            <w:r w:rsidRPr="00080D13">
              <w:rPr>
                <w:sz w:val="18"/>
                <w:szCs w:val="18"/>
                <w:lang w:val="en-GB"/>
              </w:rPr>
              <w:t xml:space="preserve"> + C</w:t>
            </w:r>
            <w:r w:rsidR="11525231" w:rsidRPr="00080D13">
              <w:rPr>
                <w:sz w:val="18"/>
                <w:szCs w:val="18"/>
                <w:lang w:val="en-GB"/>
              </w:rPr>
              <w:t>2M</w:t>
            </w:r>
          </w:p>
        </w:tc>
        <w:tc>
          <w:tcPr>
            <w:tcW w:w="1030" w:type="pct"/>
            <w:vAlign w:val="center"/>
            <w:hideMark/>
          </w:tcPr>
          <w:p w14:paraId="3E8E9150" w14:textId="77777777" w:rsidR="00DE5118" w:rsidRPr="00080D13" w:rsidRDefault="2CE2EB59" w:rsidP="23834317">
            <w:pPr>
              <w:pStyle w:val="Els-body-text"/>
              <w:jc w:val="center"/>
              <w:rPr>
                <w:sz w:val="18"/>
                <w:szCs w:val="18"/>
                <w:lang w:val="en-GB"/>
              </w:rPr>
            </w:pPr>
            <w:r w:rsidRPr="00080D13">
              <w:rPr>
                <w:sz w:val="18"/>
                <w:szCs w:val="18"/>
                <w:lang w:val="en-GB"/>
              </w:rPr>
              <w:t>2</w:t>
            </w:r>
          </w:p>
        </w:tc>
        <w:tc>
          <w:tcPr>
            <w:tcW w:w="1001" w:type="pct"/>
            <w:vAlign w:val="center"/>
            <w:hideMark/>
          </w:tcPr>
          <w:p w14:paraId="7E698EB0" w14:textId="43C2D58C" w:rsidR="00DE5118" w:rsidRPr="00080D13" w:rsidRDefault="2CE2EB59" w:rsidP="23834317">
            <w:pPr>
              <w:pStyle w:val="Els-body-text"/>
              <w:jc w:val="center"/>
              <w:rPr>
                <w:sz w:val="18"/>
                <w:szCs w:val="18"/>
                <w:lang w:val="en-GB"/>
              </w:rPr>
            </w:pPr>
            <w:r w:rsidRPr="00080D13">
              <w:rPr>
                <w:sz w:val="18"/>
                <w:szCs w:val="18"/>
                <w:lang w:val="en-GB"/>
              </w:rPr>
              <w:t>712</w:t>
            </w:r>
            <w:r w:rsidR="0034656D" w:rsidRPr="00080D13">
              <w:rPr>
                <w:sz w:val="18"/>
                <w:szCs w:val="18"/>
                <w:lang w:val="en-GB"/>
              </w:rPr>
              <w:t xml:space="preserve"> kJ/mol</w:t>
            </w:r>
          </w:p>
        </w:tc>
        <w:tc>
          <w:tcPr>
            <w:tcW w:w="815" w:type="pct"/>
            <w:vAlign w:val="center"/>
            <w:hideMark/>
          </w:tcPr>
          <w:p w14:paraId="3293F3F8" w14:textId="0EA1F094" w:rsidR="00DE5118" w:rsidRPr="00080D13" w:rsidRDefault="2CE2EB59" w:rsidP="23834317">
            <w:pPr>
              <w:pStyle w:val="Els-body-text"/>
              <w:jc w:val="center"/>
              <w:rPr>
                <w:sz w:val="18"/>
                <w:szCs w:val="18"/>
                <w:lang w:val="en-GB"/>
              </w:rPr>
            </w:pPr>
            <w:r w:rsidRPr="00080D13">
              <w:rPr>
                <w:sz w:val="18"/>
                <w:szCs w:val="18"/>
                <w:lang w:val="en-GB"/>
              </w:rPr>
              <w:t>-93</w:t>
            </w:r>
            <w:r w:rsidR="0034656D" w:rsidRPr="00080D13">
              <w:rPr>
                <w:sz w:val="18"/>
                <w:szCs w:val="18"/>
                <w:lang w:val="en-GB"/>
              </w:rPr>
              <w:t xml:space="preserve"> kJ/mol</w:t>
            </w:r>
          </w:p>
        </w:tc>
        <w:tc>
          <w:tcPr>
            <w:tcW w:w="483" w:type="pct"/>
            <w:vAlign w:val="center"/>
            <w:hideMark/>
          </w:tcPr>
          <w:p w14:paraId="710338A6" w14:textId="77777777" w:rsidR="00DE5118" w:rsidRPr="00080D13" w:rsidRDefault="2CE2EB59" w:rsidP="23834317">
            <w:pPr>
              <w:pStyle w:val="Els-body-text"/>
              <w:jc w:val="center"/>
              <w:rPr>
                <w:sz w:val="18"/>
                <w:szCs w:val="18"/>
                <w:lang w:val="en-GB"/>
              </w:rPr>
            </w:pPr>
            <w:r w:rsidRPr="00080D13">
              <w:rPr>
                <w:sz w:val="18"/>
                <w:szCs w:val="18"/>
                <w:lang w:val="en-GB"/>
              </w:rPr>
              <w:t>100%</w:t>
            </w:r>
          </w:p>
        </w:tc>
        <w:tc>
          <w:tcPr>
            <w:tcW w:w="400" w:type="pct"/>
            <w:vAlign w:val="center"/>
            <w:hideMark/>
          </w:tcPr>
          <w:p w14:paraId="23A1240E" w14:textId="77777777" w:rsidR="00DE5118" w:rsidRPr="00080D13" w:rsidRDefault="2CE2EB59" w:rsidP="23834317">
            <w:pPr>
              <w:pStyle w:val="Els-body-text"/>
              <w:jc w:val="center"/>
              <w:rPr>
                <w:sz w:val="18"/>
                <w:szCs w:val="18"/>
                <w:lang w:val="en-GB"/>
              </w:rPr>
            </w:pPr>
            <w:r w:rsidRPr="00080D13">
              <w:rPr>
                <w:sz w:val="18"/>
                <w:szCs w:val="18"/>
                <w:lang w:val="en-GB"/>
              </w:rPr>
              <w:t>0.89</w:t>
            </w:r>
          </w:p>
        </w:tc>
      </w:tr>
      <w:tr w:rsidR="00683229" w:rsidRPr="004A064E" w14:paraId="7716F69A" w14:textId="77777777" w:rsidTr="23834317">
        <w:trPr>
          <w:trHeight w:val="98"/>
        </w:trPr>
        <w:tc>
          <w:tcPr>
            <w:tcW w:w="1270" w:type="pct"/>
            <w:vAlign w:val="center"/>
            <w:hideMark/>
          </w:tcPr>
          <w:p w14:paraId="700EB888" w14:textId="144EA463" w:rsidR="00DE5118" w:rsidRPr="00080D13" w:rsidRDefault="2CE2EB59" w:rsidP="23834317">
            <w:pPr>
              <w:pStyle w:val="Els-body-text"/>
              <w:jc w:val="center"/>
              <w:rPr>
                <w:sz w:val="18"/>
                <w:szCs w:val="18"/>
                <w:lang w:val="en-GB"/>
              </w:rPr>
            </w:pPr>
            <w:r w:rsidRPr="00080D13">
              <w:rPr>
                <w:sz w:val="18"/>
                <w:szCs w:val="18"/>
                <w:lang w:val="en-GB"/>
              </w:rPr>
              <w:t>B</w:t>
            </w:r>
            <w:r w:rsidR="11525231" w:rsidRPr="00080D13">
              <w:rPr>
                <w:sz w:val="18"/>
                <w:szCs w:val="18"/>
                <w:lang w:val="en-GB"/>
              </w:rPr>
              <w:t>SG</w:t>
            </w:r>
            <w:r w:rsidRPr="00080D13">
              <w:rPr>
                <w:sz w:val="18"/>
                <w:szCs w:val="18"/>
                <w:lang w:val="en-GB"/>
              </w:rPr>
              <w:t xml:space="preserve"> + </w:t>
            </w:r>
            <w:r w:rsidR="11525231" w:rsidRPr="00080D13">
              <w:rPr>
                <w:sz w:val="18"/>
                <w:szCs w:val="18"/>
                <w:lang w:val="en-GB"/>
              </w:rPr>
              <w:t>WE</w:t>
            </w:r>
            <w:r w:rsidRPr="00080D13">
              <w:rPr>
                <w:sz w:val="18"/>
                <w:szCs w:val="18"/>
                <w:lang w:val="en-GB"/>
              </w:rPr>
              <w:t xml:space="preserve"> + </w:t>
            </w:r>
            <w:r w:rsidR="11525231" w:rsidRPr="00080D13">
              <w:rPr>
                <w:sz w:val="18"/>
                <w:szCs w:val="18"/>
                <w:lang w:val="en-GB"/>
              </w:rPr>
              <w:t>S2M</w:t>
            </w:r>
          </w:p>
        </w:tc>
        <w:tc>
          <w:tcPr>
            <w:tcW w:w="1030" w:type="pct"/>
            <w:vAlign w:val="center"/>
            <w:hideMark/>
          </w:tcPr>
          <w:p w14:paraId="7FCA32B6" w14:textId="77777777" w:rsidR="00DE5118" w:rsidRPr="00080D13" w:rsidRDefault="2CE2EB59" w:rsidP="23834317">
            <w:pPr>
              <w:pStyle w:val="Els-body-text"/>
              <w:jc w:val="center"/>
              <w:rPr>
                <w:sz w:val="18"/>
                <w:szCs w:val="18"/>
                <w:lang w:val="en-GB"/>
              </w:rPr>
            </w:pPr>
            <w:r w:rsidRPr="00080D13">
              <w:rPr>
                <w:sz w:val="18"/>
                <w:szCs w:val="18"/>
                <w:lang w:val="en-GB"/>
              </w:rPr>
              <w:t>3</w:t>
            </w:r>
          </w:p>
        </w:tc>
        <w:tc>
          <w:tcPr>
            <w:tcW w:w="1001" w:type="pct"/>
            <w:vAlign w:val="center"/>
            <w:hideMark/>
          </w:tcPr>
          <w:p w14:paraId="0B087352" w14:textId="197F5301" w:rsidR="00DE5118" w:rsidRPr="00080D13" w:rsidRDefault="2CE2EB59" w:rsidP="23834317">
            <w:pPr>
              <w:pStyle w:val="Els-body-text"/>
              <w:jc w:val="center"/>
              <w:rPr>
                <w:sz w:val="18"/>
                <w:szCs w:val="18"/>
                <w:lang w:val="en-GB"/>
              </w:rPr>
            </w:pPr>
            <w:r w:rsidRPr="00080D13">
              <w:rPr>
                <w:sz w:val="18"/>
                <w:szCs w:val="18"/>
                <w:lang w:val="en-GB"/>
              </w:rPr>
              <w:t>237</w:t>
            </w:r>
            <w:r w:rsidR="0034656D" w:rsidRPr="00080D13">
              <w:rPr>
                <w:sz w:val="18"/>
                <w:szCs w:val="18"/>
                <w:lang w:val="en-GB"/>
              </w:rPr>
              <w:t xml:space="preserve"> kJ/mol</w:t>
            </w:r>
          </w:p>
        </w:tc>
        <w:tc>
          <w:tcPr>
            <w:tcW w:w="815" w:type="pct"/>
            <w:vAlign w:val="center"/>
            <w:hideMark/>
          </w:tcPr>
          <w:p w14:paraId="5E3CC65C" w14:textId="3F15CDDA" w:rsidR="00DE5118" w:rsidRPr="00080D13" w:rsidRDefault="2CE2EB59" w:rsidP="23834317">
            <w:pPr>
              <w:pStyle w:val="Els-body-text"/>
              <w:jc w:val="center"/>
              <w:rPr>
                <w:sz w:val="18"/>
                <w:szCs w:val="18"/>
                <w:lang w:val="en-GB"/>
              </w:rPr>
            </w:pPr>
            <w:r w:rsidRPr="00080D13">
              <w:rPr>
                <w:sz w:val="18"/>
                <w:szCs w:val="18"/>
                <w:lang w:val="en-GB"/>
              </w:rPr>
              <w:t>-19</w:t>
            </w:r>
            <w:r w:rsidR="0034656D" w:rsidRPr="00080D13">
              <w:rPr>
                <w:sz w:val="18"/>
                <w:szCs w:val="18"/>
                <w:lang w:val="en-GB"/>
              </w:rPr>
              <w:t xml:space="preserve"> kJ/mol</w:t>
            </w:r>
          </w:p>
        </w:tc>
        <w:tc>
          <w:tcPr>
            <w:tcW w:w="483" w:type="pct"/>
            <w:vAlign w:val="center"/>
            <w:hideMark/>
          </w:tcPr>
          <w:p w14:paraId="5C92B2C1" w14:textId="77777777" w:rsidR="00DE5118" w:rsidRPr="00080D13" w:rsidRDefault="2CE2EB59" w:rsidP="23834317">
            <w:pPr>
              <w:pStyle w:val="Els-body-text"/>
              <w:jc w:val="center"/>
              <w:rPr>
                <w:sz w:val="18"/>
                <w:szCs w:val="18"/>
                <w:lang w:val="en-GB"/>
              </w:rPr>
            </w:pPr>
            <w:r w:rsidRPr="00080D13">
              <w:rPr>
                <w:sz w:val="18"/>
                <w:szCs w:val="18"/>
                <w:lang w:val="en-GB"/>
              </w:rPr>
              <w:t>100%</w:t>
            </w:r>
          </w:p>
        </w:tc>
        <w:tc>
          <w:tcPr>
            <w:tcW w:w="400" w:type="pct"/>
            <w:vAlign w:val="center"/>
            <w:hideMark/>
          </w:tcPr>
          <w:p w14:paraId="02E06F35" w14:textId="77777777" w:rsidR="00DE5118" w:rsidRPr="00080D13" w:rsidRDefault="2CE2EB59" w:rsidP="23834317">
            <w:pPr>
              <w:pStyle w:val="Els-body-text"/>
              <w:jc w:val="center"/>
              <w:rPr>
                <w:sz w:val="18"/>
                <w:szCs w:val="18"/>
                <w:lang w:val="en-GB"/>
              </w:rPr>
            </w:pPr>
            <w:r w:rsidRPr="00080D13">
              <w:rPr>
                <w:sz w:val="18"/>
                <w:szCs w:val="18"/>
                <w:lang w:val="en-GB"/>
              </w:rPr>
              <w:t>0.39</w:t>
            </w:r>
          </w:p>
        </w:tc>
      </w:tr>
      <w:tr w:rsidR="00683229" w:rsidRPr="004A064E" w14:paraId="727C4F2C" w14:textId="77777777" w:rsidTr="000D557B">
        <w:trPr>
          <w:trHeight w:val="70"/>
        </w:trPr>
        <w:tc>
          <w:tcPr>
            <w:tcW w:w="1270" w:type="pct"/>
            <w:tcBorders>
              <w:bottom w:val="single" w:sz="4" w:space="0" w:color="auto"/>
            </w:tcBorders>
            <w:vAlign w:val="center"/>
            <w:hideMark/>
          </w:tcPr>
          <w:p w14:paraId="46FF748C" w14:textId="37A89246" w:rsidR="00DE5118" w:rsidRPr="00080D13" w:rsidRDefault="2CE2EB59" w:rsidP="23834317">
            <w:pPr>
              <w:pStyle w:val="Els-body-text"/>
              <w:jc w:val="center"/>
              <w:rPr>
                <w:sz w:val="18"/>
                <w:szCs w:val="18"/>
                <w:lang w:val="en-GB"/>
              </w:rPr>
            </w:pPr>
            <w:r w:rsidRPr="00080D13">
              <w:rPr>
                <w:sz w:val="18"/>
                <w:szCs w:val="18"/>
                <w:lang w:val="en-GB"/>
              </w:rPr>
              <w:t>P</w:t>
            </w:r>
            <w:r w:rsidR="11525231" w:rsidRPr="00080D13">
              <w:rPr>
                <w:sz w:val="18"/>
                <w:szCs w:val="18"/>
                <w:lang w:val="en-GB"/>
              </w:rPr>
              <w:t>SG</w:t>
            </w:r>
            <w:r w:rsidRPr="00080D13">
              <w:rPr>
                <w:sz w:val="18"/>
                <w:szCs w:val="18"/>
                <w:lang w:val="en-GB"/>
              </w:rPr>
              <w:t xml:space="preserve"> + </w:t>
            </w:r>
            <w:r w:rsidR="11525231" w:rsidRPr="00080D13">
              <w:rPr>
                <w:sz w:val="18"/>
                <w:szCs w:val="18"/>
                <w:lang w:val="en-GB"/>
              </w:rPr>
              <w:t>S2M</w:t>
            </w:r>
          </w:p>
        </w:tc>
        <w:tc>
          <w:tcPr>
            <w:tcW w:w="1030" w:type="pct"/>
            <w:tcBorders>
              <w:bottom w:val="single" w:sz="4" w:space="0" w:color="auto"/>
            </w:tcBorders>
            <w:vAlign w:val="center"/>
            <w:hideMark/>
          </w:tcPr>
          <w:p w14:paraId="51270057" w14:textId="77777777" w:rsidR="00DE5118" w:rsidRPr="00080D13" w:rsidRDefault="2CE2EB59" w:rsidP="23834317">
            <w:pPr>
              <w:pStyle w:val="Els-body-text"/>
              <w:jc w:val="center"/>
              <w:rPr>
                <w:sz w:val="18"/>
                <w:szCs w:val="18"/>
                <w:lang w:val="en-GB"/>
              </w:rPr>
            </w:pPr>
            <w:r w:rsidRPr="00080D13">
              <w:rPr>
                <w:sz w:val="18"/>
                <w:szCs w:val="18"/>
                <w:lang w:val="en-GB"/>
              </w:rPr>
              <w:t>2</w:t>
            </w:r>
          </w:p>
        </w:tc>
        <w:tc>
          <w:tcPr>
            <w:tcW w:w="1001" w:type="pct"/>
            <w:tcBorders>
              <w:bottom w:val="single" w:sz="4" w:space="0" w:color="auto"/>
            </w:tcBorders>
            <w:vAlign w:val="center"/>
            <w:hideMark/>
          </w:tcPr>
          <w:p w14:paraId="6044EF82" w14:textId="4C71E591" w:rsidR="00DE5118" w:rsidRPr="00080D13" w:rsidRDefault="2CE2EB59" w:rsidP="23834317">
            <w:pPr>
              <w:pStyle w:val="Els-body-text"/>
              <w:jc w:val="center"/>
              <w:rPr>
                <w:sz w:val="18"/>
                <w:szCs w:val="18"/>
                <w:lang w:val="en-GB"/>
              </w:rPr>
            </w:pPr>
            <w:r w:rsidRPr="00080D13">
              <w:rPr>
                <w:sz w:val="18"/>
                <w:szCs w:val="18"/>
                <w:lang w:val="en-GB"/>
              </w:rPr>
              <w:t>0</w:t>
            </w:r>
            <w:r w:rsidR="0034656D" w:rsidRPr="00080D13">
              <w:rPr>
                <w:sz w:val="18"/>
                <w:szCs w:val="18"/>
                <w:lang w:val="en-GB"/>
              </w:rPr>
              <w:t xml:space="preserve"> kJ/mol</w:t>
            </w:r>
          </w:p>
        </w:tc>
        <w:tc>
          <w:tcPr>
            <w:tcW w:w="815" w:type="pct"/>
            <w:tcBorders>
              <w:bottom w:val="single" w:sz="4" w:space="0" w:color="auto"/>
            </w:tcBorders>
            <w:vAlign w:val="center"/>
            <w:hideMark/>
          </w:tcPr>
          <w:p w14:paraId="4FA52944" w14:textId="6242FBE0" w:rsidR="00DE5118" w:rsidRPr="00080D13" w:rsidRDefault="2CE2EB59" w:rsidP="23834317">
            <w:pPr>
              <w:pStyle w:val="Els-body-text"/>
              <w:jc w:val="center"/>
              <w:rPr>
                <w:sz w:val="18"/>
                <w:szCs w:val="18"/>
                <w:lang w:val="en-GB"/>
              </w:rPr>
            </w:pPr>
            <w:r w:rsidRPr="00080D13">
              <w:rPr>
                <w:sz w:val="18"/>
                <w:szCs w:val="18"/>
                <w:lang w:val="en-GB"/>
              </w:rPr>
              <w:t>112</w:t>
            </w:r>
            <w:r w:rsidR="0034656D" w:rsidRPr="00080D13">
              <w:rPr>
                <w:sz w:val="18"/>
                <w:szCs w:val="18"/>
                <w:lang w:val="en-GB"/>
              </w:rPr>
              <w:t xml:space="preserve"> kJ/mol</w:t>
            </w:r>
          </w:p>
        </w:tc>
        <w:tc>
          <w:tcPr>
            <w:tcW w:w="483" w:type="pct"/>
            <w:tcBorders>
              <w:bottom w:val="single" w:sz="4" w:space="0" w:color="auto"/>
            </w:tcBorders>
            <w:vAlign w:val="center"/>
            <w:hideMark/>
          </w:tcPr>
          <w:p w14:paraId="0E2CE3C8" w14:textId="77777777" w:rsidR="00DE5118" w:rsidRPr="00080D13" w:rsidRDefault="2CE2EB59" w:rsidP="23834317">
            <w:pPr>
              <w:pStyle w:val="Els-body-text"/>
              <w:jc w:val="center"/>
              <w:rPr>
                <w:sz w:val="18"/>
                <w:szCs w:val="18"/>
                <w:lang w:val="en-GB"/>
              </w:rPr>
            </w:pPr>
            <w:r w:rsidRPr="00080D13">
              <w:rPr>
                <w:sz w:val="18"/>
                <w:szCs w:val="18"/>
                <w:lang w:val="en-GB"/>
              </w:rPr>
              <w:t>100%</w:t>
            </w:r>
          </w:p>
        </w:tc>
        <w:tc>
          <w:tcPr>
            <w:tcW w:w="400" w:type="pct"/>
            <w:tcBorders>
              <w:bottom w:val="single" w:sz="4" w:space="0" w:color="auto"/>
            </w:tcBorders>
            <w:vAlign w:val="center"/>
            <w:hideMark/>
          </w:tcPr>
          <w:p w14:paraId="6B2B2D78" w14:textId="77777777" w:rsidR="00DE5118" w:rsidRPr="00080D13" w:rsidRDefault="2CE2EB59" w:rsidP="23834317">
            <w:pPr>
              <w:pStyle w:val="Els-body-text"/>
              <w:jc w:val="center"/>
              <w:rPr>
                <w:sz w:val="18"/>
                <w:szCs w:val="18"/>
                <w:lang w:val="en-GB"/>
              </w:rPr>
            </w:pPr>
            <w:r w:rsidRPr="00080D13">
              <w:rPr>
                <w:sz w:val="18"/>
                <w:szCs w:val="18"/>
                <w:lang w:val="en-GB"/>
              </w:rPr>
              <w:t>0.34</w:t>
            </w:r>
          </w:p>
        </w:tc>
      </w:tr>
      <w:tr w:rsidR="000D557B" w:rsidRPr="004A064E" w14:paraId="2B4CAB40" w14:textId="77777777" w:rsidTr="000D557B">
        <w:trPr>
          <w:trHeight w:val="70"/>
        </w:trPr>
        <w:tc>
          <w:tcPr>
            <w:tcW w:w="5000" w:type="pct"/>
            <w:gridSpan w:val="6"/>
            <w:tcBorders>
              <w:top w:val="single" w:sz="4" w:space="0" w:color="auto"/>
              <w:left w:val="nil"/>
              <w:bottom w:val="nil"/>
              <w:right w:val="nil"/>
            </w:tcBorders>
            <w:vAlign w:val="center"/>
          </w:tcPr>
          <w:p w14:paraId="1E39D27C" w14:textId="7788902D" w:rsidR="000D557B" w:rsidRPr="00080D13" w:rsidRDefault="000D557B" w:rsidP="000D557B">
            <w:pPr>
              <w:pStyle w:val="Els-body-text"/>
              <w:jc w:val="left"/>
              <w:rPr>
                <w:sz w:val="18"/>
                <w:szCs w:val="18"/>
                <w:lang w:val="en-GB"/>
              </w:rPr>
            </w:pPr>
            <w:r>
              <w:rPr>
                <w:sz w:val="18"/>
                <w:szCs w:val="18"/>
                <w:lang w:val="en-GB"/>
              </w:rPr>
              <w:t>Note: WE- Water electrolysis, C2M- CO</w:t>
            </w:r>
            <w:r w:rsidRPr="000D557B">
              <w:rPr>
                <w:sz w:val="18"/>
                <w:szCs w:val="18"/>
                <w:vertAlign w:val="subscript"/>
                <w:lang w:val="en-GB"/>
              </w:rPr>
              <w:t>2</w:t>
            </w:r>
            <w:r>
              <w:rPr>
                <w:sz w:val="18"/>
                <w:szCs w:val="18"/>
                <w:lang w:val="en-GB"/>
              </w:rPr>
              <w:t xml:space="preserve"> to methanol, BSG- Biomass steam gasification, S2M- Syngas to methanol, PSG- Plastic steam gasification</w:t>
            </w:r>
          </w:p>
        </w:tc>
      </w:tr>
    </w:tbl>
    <w:p w14:paraId="167A9C09" w14:textId="52FAD4D2" w:rsidR="00FE5544" w:rsidRPr="00381CCD" w:rsidRDefault="00F23253" w:rsidP="00FE5544">
      <w:pPr>
        <w:pStyle w:val="Els-2ndorder-head"/>
        <w:rPr>
          <w:lang w:val="en-GB"/>
        </w:rPr>
      </w:pPr>
      <w:r w:rsidRPr="23834317">
        <w:rPr>
          <w:lang w:val="en-GB"/>
        </w:rPr>
        <w:t xml:space="preserve">Ex-ante modelling </w:t>
      </w:r>
      <w:r w:rsidR="6FF6F057" w:rsidRPr="23834317">
        <w:rPr>
          <w:lang w:val="en-GB"/>
        </w:rPr>
        <w:t>and</w:t>
      </w:r>
      <w:r w:rsidRPr="23834317">
        <w:rPr>
          <w:lang w:val="en-GB"/>
        </w:rPr>
        <w:t xml:space="preserve"> </w:t>
      </w:r>
      <w:r w:rsidR="004A064E">
        <w:rPr>
          <w:lang w:val="en-GB"/>
        </w:rPr>
        <w:t>t</w:t>
      </w:r>
      <w:r w:rsidR="004A064E" w:rsidRPr="23834317">
        <w:rPr>
          <w:lang w:val="en-GB"/>
        </w:rPr>
        <w:t>echno</w:t>
      </w:r>
      <w:r w:rsidR="00FE5544" w:rsidRPr="23834317">
        <w:rPr>
          <w:lang w:val="en-GB"/>
        </w:rPr>
        <w:t xml:space="preserve">-economic assessment </w:t>
      </w:r>
    </w:p>
    <w:p w14:paraId="614C8F56" w14:textId="78CB57F5" w:rsidR="004B5AA2" w:rsidRPr="00381CCD" w:rsidRDefault="595A4ADD" w:rsidP="004B5AA2">
      <w:pPr>
        <w:pStyle w:val="Els-body-text"/>
        <w:rPr>
          <w:lang w:val="en-GB"/>
        </w:rPr>
      </w:pPr>
      <w:r>
        <w:t>A</w:t>
      </w:r>
      <w:r w:rsidR="00A562AF">
        <w:t xml:space="preserve"> comparative assessment </w:t>
      </w:r>
      <w:r w:rsidR="0034656D">
        <w:t xml:space="preserve">of </w:t>
      </w:r>
      <w:r w:rsidR="49115062">
        <w:t xml:space="preserve">mass flows for </w:t>
      </w:r>
      <w:r w:rsidR="0034656D">
        <w:t xml:space="preserve">the selected technologies </w:t>
      </w:r>
      <w:r w:rsidR="00A562AF">
        <w:t>show</w:t>
      </w:r>
      <w:r w:rsidR="02782BE8">
        <w:t>s</w:t>
      </w:r>
      <w:r w:rsidR="00A562AF">
        <w:t xml:space="preserve"> that the CO</w:t>
      </w:r>
      <w:r w:rsidR="00A562AF" w:rsidRPr="2F9161C8">
        <w:rPr>
          <w:vertAlign w:val="subscript"/>
        </w:rPr>
        <w:t>2</w:t>
      </w:r>
      <w:r w:rsidR="00A562AF">
        <w:t xml:space="preserve"> and plastic</w:t>
      </w:r>
      <w:r w:rsidR="00F04CEE">
        <w:t>-</w:t>
      </w:r>
      <w:r w:rsidR="00A562AF">
        <w:t xml:space="preserve">based methanol </w:t>
      </w:r>
      <w:r w:rsidR="00F04CEE">
        <w:t>routes</w:t>
      </w:r>
      <w:r w:rsidR="00A562AF">
        <w:t xml:space="preserve"> h</w:t>
      </w:r>
      <w:r w:rsidR="0034656D">
        <w:t>ave</w:t>
      </w:r>
      <w:r w:rsidR="2C8C4C68">
        <w:t xml:space="preserve"> a</w:t>
      </w:r>
      <w:r w:rsidR="00A562AF">
        <w:t xml:space="preserve"> higher</w:t>
      </w:r>
      <w:r w:rsidR="00A76C55">
        <w:t xml:space="preserve"> CUE</w:t>
      </w:r>
      <w:r w:rsidR="00A562AF">
        <w:t xml:space="preserve">. </w:t>
      </w:r>
      <w:r w:rsidR="00F04CEE">
        <w:t>Moreover, t</w:t>
      </w:r>
      <w:r w:rsidR="00A562AF">
        <w:t>he CO</w:t>
      </w:r>
      <w:r w:rsidR="00A562AF" w:rsidRPr="2F9161C8">
        <w:rPr>
          <w:vertAlign w:val="subscript"/>
        </w:rPr>
        <w:t>2</w:t>
      </w:r>
      <w:r w:rsidR="00F04CEE">
        <w:t>-</w:t>
      </w:r>
      <w:r w:rsidR="00A562AF">
        <w:t xml:space="preserve">based </w:t>
      </w:r>
      <w:r w:rsidR="00867D87">
        <w:t>route showed</w:t>
      </w:r>
      <w:r w:rsidR="00A562AF">
        <w:t xml:space="preserve"> least technical complexity in terms of number of process streams and temperature range. </w:t>
      </w:r>
      <w:r w:rsidR="00F04CEE">
        <w:t>T</w:t>
      </w:r>
      <w:r w:rsidR="00A562AF">
        <w:t>he biomass</w:t>
      </w:r>
      <w:r w:rsidR="00F04CEE">
        <w:t>-</w:t>
      </w:r>
      <w:r w:rsidR="00A562AF">
        <w:t xml:space="preserve">based route showed the lowest </w:t>
      </w:r>
      <w:r w:rsidR="00A76C55">
        <w:t>CUE</w:t>
      </w:r>
      <w:r w:rsidR="00A562AF">
        <w:t xml:space="preserve"> and the highest process complexity. This </w:t>
      </w:r>
      <w:r w:rsidR="00F04CEE">
        <w:t>is</w:t>
      </w:r>
      <w:r w:rsidR="00A562AF">
        <w:t xml:space="preserve"> due to </w:t>
      </w:r>
      <w:r w:rsidR="00F04CEE">
        <w:t xml:space="preserve">a </w:t>
      </w:r>
      <w:r w:rsidR="00A562AF">
        <w:t>higher</w:t>
      </w:r>
      <w:r w:rsidR="00F04CEE">
        <w:t xml:space="preserve"> range of</w:t>
      </w:r>
      <w:r w:rsidR="00A562AF">
        <w:t xml:space="preserve"> waste and by-product </w:t>
      </w:r>
      <w:r w:rsidR="00F04CEE">
        <w:t xml:space="preserve">streams, </w:t>
      </w:r>
      <w:r w:rsidR="00A562AF">
        <w:t xml:space="preserve">as shown in Table </w:t>
      </w:r>
      <w:r w:rsidR="00483F44">
        <w:t>3</w:t>
      </w:r>
      <w:r w:rsidR="00A562AF">
        <w:t>.</w:t>
      </w:r>
    </w:p>
    <w:p w14:paraId="0E2CFD40" w14:textId="2CECAFFA" w:rsidR="00225B25" w:rsidRDefault="00225B25" w:rsidP="00225B25">
      <w:pPr>
        <w:pStyle w:val="Caption"/>
        <w:keepNext/>
      </w:pPr>
      <w:r>
        <w:t xml:space="preserve">Table </w:t>
      </w:r>
      <w:r>
        <w:fldChar w:fldCharType="begin"/>
      </w:r>
      <w:r>
        <w:instrText xml:space="preserve"> SEQ Table \* ARABIC </w:instrText>
      </w:r>
      <w:r>
        <w:fldChar w:fldCharType="separate"/>
      </w:r>
      <w:r w:rsidR="00627221" w:rsidRPr="2F9161C8">
        <w:rPr>
          <w:noProof/>
        </w:rPr>
        <w:t>3</w:t>
      </w:r>
      <w:r>
        <w:fldChar w:fldCharType="end"/>
      </w:r>
      <w:r>
        <w:t>: Ma</w:t>
      </w:r>
      <w:r w:rsidR="0925859B">
        <w:t>ss</w:t>
      </w:r>
      <w:r>
        <w:t xml:space="preserve"> </w:t>
      </w:r>
      <w:r w:rsidR="00D03E51">
        <w:t>flow comparison</w:t>
      </w:r>
      <w:r w:rsidR="00F04CEE">
        <w:t xml:space="preserve"> of the s</w:t>
      </w:r>
      <w:r w:rsidR="00F04CEE" w:rsidRPr="2F9161C8">
        <w:rPr>
          <w:lang w:val="en-GB"/>
        </w:rPr>
        <w:t xml:space="preserve">elected technologies for each </w:t>
      </w:r>
      <w:r w:rsidR="00D03E51">
        <w:rPr>
          <w:lang w:val="en-GB"/>
        </w:rPr>
        <w:t>ACS</w:t>
      </w:r>
      <w:r w:rsidR="00F04CEE" w:rsidRPr="2F9161C8">
        <w:rPr>
          <w:lang w:val="en-GB"/>
        </w:rPr>
        <w:t xml:space="preserve"> </w:t>
      </w:r>
      <w:r w:rsidR="00D03E51">
        <w:rPr>
          <w:lang w:val="en-GB"/>
        </w:rPr>
        <w:t>vs</w:t>
      </w:r>
      <w:r w:rsidR="00F04CEE" w:rsidRPr="2F9161C8">
        <w:rPr>
          <w:lang w:val="en-GB"/>
        </w:rPr>
        <w:t xml:space="preserve"> </w:t>
      </w:r>
      <w:r w:rsidR="00D03E51">
        <w:rPr>
          <w:lang w:val="en-GB"/>
        </w:rPr>
        <w:t xml:space="preserve">base-case </w:t>
      </w:r>
      <w:r w:rsidR="00D03E51" w:rsidRPr="2F9161C8">
        <w:rPr>
          <w:lang w:val="en-GB"/>
        </w:rPr>
        <w:t xml:space="preserve">natural gas </w:t>
      </w:r>
      <w:r w:rsidR="00D03E51">
        <w:rPr>
          <w:lang w:val="en-GB"/>
        </w:rPr>
        <w:t xml:space="preserve">for </w:t>
      </w:r>
      <w:r w:rsidR="00F04CEE" w:rsidRPr="2F9161C8">
        <w:rPr>
          <w:lang w:val="en-GB"/>
        </w:rPr>
        <w:t>the synthesis of methanol</w:t>
      </w:r>
      <w:r w:rsidR="004A064E">
        <w:t>.</w:t>
      </w:r>
    </w:p>
    <w:tbl>
      <w:tblPr>
        <w:tblStyle w:val="TableGrid"/>
        <w:tblW w:w="5000" w:type="pct"/>
        <w:tblLook w:val="0420" w:firstRow="1" w:lastRow="0" w:firstColumn="0" w:lastColumn="0" w:noHBand="0" w:noVBand="1"/>
      </w:tblPr>
      <w:tblGrid>
        <w:gridCol w:w="956"/>
        <w:gridCol w:w="1066"/>
        <w:gridCol w:w="1517"/>
        <w:gridCol w:w="1134"/>
        <w:gridCol w:w="1135"/>
        <w:gridCol w:w="1268"/>
      </w:tblGrid>
      <w:tr w:rsidR="00DE56BA" w:rsidRPr="004A064E" w14:paraId="087548A9" w14:textId="77777777" w:rsidTr="00CE79D2">
        <w:trPr>
          <w:trHeight w:val="580"/>
        </w:trPr>
        <w:tc>
          <w:tcPr>
            <w:tcW w:w="1429" w:type="pct"/>
            <w:gridSpan w:val="2"/>
            <w:vAlign w:val="center"/>
            <w:hideMark/>
          </w:tcPr>
          <w:p w14:paraId="62D66F8C" w14:textId="77777777" w:rsidR="00DE56BA" w:rsidRPr="00080D13" w:rsidRDefault="2FCA2A07" w:rsidP="23834317">
            <w:pPr>
              <w:pStyle w:val="Els-body-text"/>
              <w:jc w:val="center"/>
              <w:rPr>
                <w:sz w:val="18"/>
                <w:szCs w:val="18"/>
                <w:lang w:val="en-GB"/>
              </w:rPr>
            </w:pPr>
            <w:r w:rsidRPr="00080D13">
              <w:rPr>
                <w:b/>
                <w:bCs/>
                <w:sz w:val="18"/>
                <w:szCs w:val="18"/>
                <w:lang w:val="en-GB"/>
              </w:rPr>
              <w:t>Parameter</w:t>
            </w:r>
          </w:p>
        </w:tc>
        <w:tc>
          <w:tcPr>
            <w:tcW w:w="1072" w:type="pct"/>
            <w:vAlign w:val="center"/>
            <w:hideMark/>
          </w:tcPr>
          <w:p w14:paraId="5782478B" w14:textId="01D86196" w:rsidR="00DE56BA" w:rsidRPr="00080D13" w:rsidRDefault="007A1488" w:rsidP="23834317">
            <w:pPr>
              <w:pStyle w:val="Els-body-text"/>
              <w:jc w:val="center"/>
              <w:rPr>
                <w:sz w:val="18"/>
                <w:szCs w:val="18"/>
                <w:lang w:val="en-GB"/>
              </w:rPr>
            </w:pPr>
            <w:r w:rsidRPr="00080D13">
              <w:rPr>
                <w:b/>
                <w:bCs/>
                <w:sz w:val="18"/>
                <w:szCs w:val="18"/>
                <w:lang w:val="en-GB"/>
              </w:rPr>
              <w:t>Base case</w:t>
            </w:r>
            <w:r w:rsidRPr="2F9161C8">
              <w:rPr>
                <w:b/>
                <w:bCs/>
                <w:sz w:val="18"/>
                <w:szCs w:val="18"/>
                <w:lang w:val="en-GB"/>
              </w:rPr>
              <w:t xml:space="preserve"> </w:t>
            </w:r>
            <w:r w:rsidR="00867D87" w:rsidRPr="2F9161C8">
              <w:rPr>
                <w:b/>
                <w:bCs/>
                <w:sz w:val="18"/>
                <w:szCs w:val="18"/>
                <w:lang w:val="en-GB"/>
              </w:rPr>
              <w:t xml:space="preserve">fossil </w:t>
            </w:r>
            <w:r w:rsidR="00867D87" w:rsidRPr="00080D13">
              <w:rPr>
                <w:b/>
                <w:bCs/>
                <w:sz w:val="18"/>
                <w:szCs w:val="18"/>
                <w:lang w:val="en-GB"/>
              </w:rPr>
              <w:t>methanol</w:t>
            </w:r>
          </w:p>
        </w:tc>
        <w:tc>
          <w:tcPr>
            <w:tcW w:w="801" w:type="pct"/>
            <w:vAlign w:val="center"/>
            <w:hideMark/>
          </w:tcPr>
          <w:p w14:paraId="3BFF78BC" w14:textId="77777777" w:rsidR="00DE56BA" w:rsidRPr="00080D13" w:rsidRDefault="2FCA2A07" w:rsidP="23834317">
            <w:pPr>
              <w:pStyle w:val="Els-body-text"/>
              <w:jc w:val="center"/>
              <w:rPr>
                <w:sz w:val="18"/>
                <w:szCs w:val="18"/>
                <w:lang w:val="en-GB"/>
              </w:rPr>
            </w:pPr>
            <w:r w:rsidRPr="00080D13">
              <w:rPr>
                <w:b/>
                <w:bCs/>
                <w:sz w:val="18"/>
                <w:szCs w:val="18"/>
                <w:lang w:val="en-GB"/>
              </w:rPr>
              <w:t>CO</w:t>
            </w:r>
            <w:r w:rsidRPr="00080D13">
              <w:rPr>
                <w:b/>
                <w:bCs/>
                <w:sz w:val="18"/>
                <w:szCs w:val="18"/>
                <w:vertAlign w:val="subscript"/>
                <w:lang w:val="en-GB"/>
              </w:rPr>
              <w:t>2</w:t>
            </w:r>
            <w:r w:rsidRPr="00080D13">
              <w:rPr>
                <w:b/>
                <w:bCs/>
                <w:sz w:val="18"/>
                <w:szCs w:val="18"/>
                <w:lang w:val="en-GB"/>
              </w:rPr>
              <w:t xml:space="preserve"> to methanol</w:t>
            </w:r>
          </w:p>
        </w:tc>
        <w:tc>
          <w:tcPr>
            <w:tcW w:w="802" w:type="pct"/>
            <w:vAlign w:val="center"/>
            <w:hideMark/>
          </w:tcPr>
          <w:p w14:paraId="52C7AAF3" w14:textId="77777777" w:rsidR="00DE56BA" w:rsidRPr="00080D13" w:rsidRDefault="2FCA2A07" w:rsidP="23834317">
            <w:pPr>
              <w:pStyle w:val="Els-body-text"/>
              <w:jc w:val="center"/>
              <w:rPr>
                <w:sz w:val="18"/>
                <w:szCs w:val="18"/>
                <w:lang w:val="en-GB"/>
              </w:rPr>
            </w:pPr>
            <w:r w:rsidRPr="00080D13">
              <w:rPr>
                <w:b/>
                <w:bCs/>
                <w:sz w:val="18"/>
                <w:szCs w:val="18"/>
                <w:lang w:val="en-GB"/>
              </w:rPr>
              <w:t>Biomass to methanol</w:t>
            </w:r>
          </w:p>
        </w:tc>
        <w:tc>
          <w:tcPr>
            <w:tcW w:w="896" w:type="pct"/>
            <w:vAlign w:val="center"/>
            <w:hideMark/>
          </w:tcPr>
          <w:p w14:paraId="50F60045" w14:textId="77777777" w:rsidR="00DE56BA" w:rsidRPr="00080D13" w:rsidRDefault="2FCA2A07" w:rsidP="23834317">
            <w:pPr>
              <w:pStyle w:val="Els-body-text"/>
              <w:jc w:val="center"/>
              <w:rPr>
                <w:sz w:val="18"/>
                <w:szCs w:val="18"/>
                <w:lang w:val="en-GB"/>
              </w:rPr>
            </w:pPr>
            <w:r w:rsidRPr="00080D13">
              <w:rPr>
                <w:b/>
                <w:bCs/>
                <w:sz w:val="18"/>
                <w:szCs w:val="18"/>
                <w:lang w:val="en-GB"/>
              </w:rPr>
              <w:t>Plastic waste to methanol</w:t>
            </w:r>
          </w:p>
        </w:tc>
      </w:tr>
      <w:tr w:rsidR="00CF6EA9" w:rsidRPr="004A064E" w14:paraId="7E75C8F0" w14:textId="77777777" w:rsidTr="00CE79D2">
        <w:trPr>
          <w:trHeight w:val="576"/>
        </w:trPr>
        <w:tc>
          <w:tcPr>
            <w:tcW w:w="676" w:type="pct"/>
            <w:vMerge w:val="restart"/>
            <w:vAlign w:val="center"/>
            <w:hideMark/>
          </w:tcPr>
          <w:p w14:paraId="16713CF6" w14:textId="5E3E0D85" w:rsidR="00CF6EA9" w:rsidRPr="00080D13" w:rsidRDefault="00CF6EA9" w:rsidP="23834317">
            <w:pPr>
              <w:pStyle w:val="Els-body-text"/>
              <w:jc w:val="left"/>
              <w:rPr>
                <w:sz w:val="18"/>
                <w:szCs w:val="18"/>
                <w:lang w:val="en-GB"/>
              </w:rPr>
            </w:pPr>
            <w:r>
              <w:rPr>
                <w:sz w:val="18"/>
                <w:szCs w:val="18"/>
                <w:lang w:val="en-GB"/>
              </w:rPr>
              <w:t>F</w:t>
            </w:r>
            <w:r w:rsidRPr="00080D13">
              <w:rPr>
                <w:sz w:val="18"/>
                <w:szCs w:val="18"/>
                <w:lang w:val="en-GB"/>
              </w:rPr>
              <w:t>eedstock</w:t>
            </w:r>
          </w:p>
        </w:tc>
        <w:tc>
          <w:tcPr>
            <w:tcW w:w="753" w:type="pct"/>
            <w:vAlign w:val="center"/>
            <w:hideMark/>
          </w:tcPr>
          <w:p w14:paraId="113C5A60" w14:textId="3A9D1405" w:rsidR="00CF6EA9" w:rsidRPr="00080D13" w:rsidRDefault="00CF6EA9" w:rsidP="23834317">
            <w:pPr>
              <w:pStyle w:val="Els-body-text"/>
              <w:jc w:val="left"/>
              <w:rPr>
                <w:sz w:val="18"/>
                <w:szCs w:val="18"/>
                <w:lang w:val="en-GB"/>
              </w:rPr>
            </w:pPr>
            <w:r w:rsidRPr="00080D13">
              <w:rPr>
                <w:sz w:val="18"/>
                <w:szCs w:val="18"/>
                <w:lang w:val="en-GB"/>
              </w:rPr>
              <w:t>Carbon feed</w:t>
            </w:r>
            <w:r>
              <w:rPr>
                <w:sz w:val="18"/>
                <w:szCs w:val="18"/>
                <w:lang w:val="en-GB"/>
              </w:rPr>
              <w:t>stock</w:t>
            </w:r>
          </w:p>
        </w:tc>
        <w:tc>
          <w:tcPr>
            <w:tcW w:w="1072" w:type="pct"/>
            <w:vAlign w:val="center"/>
            <w:hideMark/>
          </w:tcPr>
          <w:p w14:paraId="1CF0363B" w14:textId="77777777" w:rsidR="00CE79D2" w:rsidRDefault="00CF6EA9" w:rsidP="23834317">
            <w:pPr>
              <w:pStyle w:val="Els-body-text"/>
              <w:jc w:val="center"/>
              <w:rPr>
                <w:sz w:val="18"/>
                <w:szCs w:val="18"/>
                <w:lang w:val="en-GB"/>
              </w:rPr>
            </w:pPr>
            <w:r w:rsidRPr="00080D13">
              <w:rPr>
                <w:sz w:val="18"/>
                <w:szCs w:val="18"/>
                <w:lang w:val="en-GB"/>
              </w:rPr>
              <w:t xml:space="preserve">330 kt </w:t>
            </w:r>
          </w:p>
          <w:p w14:paraId="5363C068" w14:textId="672F4ED5" w:rsidR="00CF6EA9" w:rsidRPr="00080D13" w:rsidRDefault="00CF6EA9" w:rsidP="23834317">
            <w:pPr>
              <w:pStyle w:val="Els-body-text"/>
              <w:jc w:val="center"/>
              <w:rPr>
                <w:sz w:val="18"/>
                <w:szCs w:val="18"/>
                <w:lang w:val="en-GB"/>
              </w:rPr>
            </w:pPr>
            <w:r w:rsidRPr="00080D13">
              <w:rPr>
                <w:sz w:val="18"/>
                <w:szCs w:val="18"/>
                <w:lang w:val="en-GB"/>
              </w:rPr>
              <w:t>(natural gas)</w:t>
            </w:r>
          </w:p>
        </w:tc>
        <w:tc>
          <w:tcPr>
            <w:tcW w:w="801" w:type="pct"/>
            <w:vAlign w:val="center"/>
            <w:hideMark/>
          </w:tcPr>
          <w:p w14:paraId="0E157522" w14:textId="6CB659CE" w:rsidR="00CF6EA9" w:rsidRPr="00080D13" w:rsidRDefault="00CF6EA9" w:rsidP="23834317">
            <w:pPr>
              <w:pStyle w:val="Els-body-text"/>
              <w:jc w:val="center"/>
              <w:rPr>
                <w:sz w:val="18"/>
                <w:szCs w:val="18"/>
                <w:lang w:val="en-GB"/>
              </w:rPr>
            </w:pPr>
            <w:r w:rsidRPr="00080D13">
              <w:rPr>
                <w:sz w:val="18"/>
                <w:szCs w:val="18"/>
                <w:lang w:val="en-GB"/>
              </w:rPr>
              <w:t>800 kt (CO</w:t>
            </w:r>
            <w:r w:rsidRPr="00080D13">
              <w:rPr>
                <w:sz w:val="18"/>
                <w:szCs w:val="18"/>
                <w:vertAlign w:val="subscript"/>
                <w:lang w:val="en-GB"/>
              </w:rPr>
              <w:t>2</w:t>
            </w:r>
            <w:r w:rsidRPr="00080D13">
              <w:rPr>
                <w:sz w:val="18"/>
                <w:szCs w:val="18"/>
                <w:lang w:val="en-GB"/>
              </w:rPr>
              <w:t>)</w:t>
            </w:r>
          </w:p>
        </w:tc>
        <w:tc>
          <w:tcPr>
            <w:tcW w:w="802" w:type="pct"/>
            <w:vAlign w:val="center"/>
            <w:hideMark/>
          </w:tcPr>
          <w:p w14:paraId="440DE910" w14:textId="07D48B58" w:rsidR="00CF6EA9" w:rsidRPr="00080D13" w:rsidRDefault="00CF6EA9" w:rsidP="23834317">
            <w:pPr>
              <w:pStyle w:val="Els-body-text"/>
              <w:jc w:val="center"/>
              <w:rPr>
                <w:sz w:val="18"/>
                <w:szCs w:val="18"/>
                <w:lang w:val="en-GB"/>
              </w:rPr>
            </w:pPr>
            <w:r w:rsidRPr="00080D13">
              <w:rPr>
                <w:sz w:val="18"/>
                <w:szCs w:val="18"/>
                <w:lang w:val="en-GB"/>
              </w:rPr>
              <w:t>860 kt (</w:t>
            </w:r>
            <w:r>
              <w:rPr>
                <w:sz w:val="18"/>
                <w:szCs w:val="18"/>
                <w:lang w:val="en-GB"/>
              </w:rPr>
              <w:t>b</w:t>
            </w:r>
            <w:r w:rsidRPr="00080D13">
              <w:rPr>
                <w:sz w:val="18"/>
                <w:szCs w:val="18"/>
                <w:lang w:val="en-GB"/>
              </w:rPr>
              <w:t>iomass)</w:t>
            </w:r>
          </w:p>
        </w:tc>
        <w:tc>
          <w:tcPr>
            <w:tcW w:w="896" w:type="pct"/>
            <w:vAlign w:val="center"/>
            <w:hideMark/>
          </w:tcPr>
          <w:p w14:paraId="64B2D43E" w14:textId="2223444C" w:rsidR="00CF6EA9" w:rsidRPr="00080D13" w:rsidRDefault="00CF6EA9" w:rsidP="23834317">
            <w:pPr>
              <w:pStyle w:val="Els-body-text"/>
              <w:jc w:val="center"/>
              <w:rPr>
                <w:sz w:val="18"/>
                <w:szCs w:val="18"/>
                <w:lang w:val="en-GB"/>
              </w:rPr>
            </w:pPr>
            <w:r w:rsidRPr="00080D13">
              <w:rPr>
                <w:sz w:val="18"/>
                <w:szCs w:val="18"/>
                <w:lang w:val="en-GB"/>
              </w:rPr>
              <w:t>310 kt</w:t>
            </w:r>
          </w:p>
          <w:p w14:paraId="3B8528AA" w14:textId="77777777" w:rsidR="00CF6EA9" w:rsidRPr="00080D13" w:rsidRDefault="00CF6EA9" w:rsidP="23834317">
            <w:pPr>
              <w:pStyle w:val="Els-body-text"/>
              <w:rPr>
                <w:sz w:val="18"/>
                <w:szCs w:val="18"/>
                <w:lang w:val="en-GB"/>
              </w:rPr>
            </w:pPr>
            <w:r w:rsidRPr="00080D13">
              <w:rPr>
                <w:sz w:val="18"/>
                <w:szCs w:val="18"/>
                <w:lang w:val="en-GB"/>
              </w:rPr>
              <w:t>(plastic waste)</w:t>
            </w:r>
          </w:p>
        </w:tc>
      </w:tr>
      <w:tr w:rsidR="00CF6EA9" w:rsidRPr="004A064E" w14:paraId="57E2D5E1" w14:textId="77777777" w:rsidTr="00CE79D2">
        <w:trPr>
          <w:trHeight w:val="144"/>
        </w:trPr>
        <w:tc>
          <w:tcPr>
            <w:tcW w:w="676" w:type="pct"/>
            <w:vMerge/>
            <w:vAlign w:val="center"/>
          </w:tcPr>
          <w:p w14:paraId="2DEA579A" w14:textId="77777777" w:rsidR="00CF6EA9" w:rsidRPr="00080D13" w:rsidRDefault="00CF6EA9" w:rsidP="23834317">
            <w:pPr>
              <w:pStyle w:val="Els-body-text"/>
              <w:jc w:val="left"/>
              <w:rPr>
                <w:sz w:val="18"/>
                <w:szCs w:val="18"/>
                <w:lang w:val="en-GB"/>
              </w:rPr>
            </w:pPr>
          </w:p>
        </w:tc>
        <w:tc>
          <w:tcPr>
            <w:tcW w:w="753" w:type="pct"/>
            <w:vAlign w:val="center"/>
          </w:tcPr>
          <w:p w14:paraId="122F84BE" w14:textId="775BB4FA" w:rsidR="00CF6EA9" w:rsidRPr="00080D13" w:rsidRDefault="00CF6EA9" w:rsidP="23834317">
            <w:pPr>
              <w:pStyle w:val="Els-body-text"/>
              <w:jc w:val="left"/>
              <w:rPr>
                <w:sz w:val="18"/>
                <w:szCs w:val="18"/>
                <w:lang w:val="en-GB"/>
              </w:rPr>
            </w:pPr>
            <w:r>
              <w:rPr>
                <w:sz w:val="18"/>
                <w:szCs w:val="18"/>
                <w:lang w:val="en-GB"/>
              </w:rPr>
              <w:t>Water</w:t>
            </w:r>
          </w:p>
        </w:tc>
        <w:tc>
          <w:tcPr>
            <w:tcW w:w="1072" w:type="pct"/>
            <w:vAlign w:val="center"/>
          </w:tcPr>
          <w:p w14:paraId="44041FAD" w14:textId="6018A61D" w:rsidR="00CF6EA9" w:rsidRPr="00080D13" w:rsidRDefault="00CF6EA9" w:rsidP="23834317">
            <w:pPr>
              <w:pStyle w:val="Els-body-text"/>
              <w:jc w:val="center"/>
              <w:rPr>
                <w:sz w:val="18"/>
                <w:szCs w:val="18"/>
                <w:lang w:val="en-GB"/>
              </w:rPr>
            </w:pPr>
            <w:r>
              <w:rPr>
                <w:sz w:val="18"/>
                <w:szCs w:val="18"/>
                <w:lang w:val="en-GB"/>
              </w:rPr>
              <w:t>899 kt</w:t>
            </w:r>
          </w:p>
        </w:tc>
        <w:tc>
          <w:tcPr>
            <w:tcW w:w="801" w:type="pct"/>
            <w:vAlign w:val="center"/>
          </w:tcPr>
          <w:p w14:paraId="6D400198" w14:textId="60BDC6BB" w:rsidR="00CF6EA9" w:rsidRPr="00080D13" w:rsidRDefault="00CF6EA9" w:rsidP="23834317">
            <w:pPr>
              <w:pStyle w:val="Els-body-text"/>
              <w:jc w:val="center"/>
              <w:rPr>
                <w:sz w:val="18"/>
                <w:szCs w:val="18"/>
                <w:lang w:val="en-GB"/>
              </w:rPr>
            </w:pPr>
            <w:r>
              <w:rPr>
                <w:sz w:val="18"/>
                <w:szCs w:val="18"/>
                <w:lang w:val="en-GB"/>
              </w:rPr>
              <w:t>981 kt</w:t>
            </w:r>
          </w:p>
        </w:tc>
        <w:tc>
          <w:tcPr>
            <w:tcW w:w="802" w:type="pct"/>
            <w:vAlign w:val="center"/>
          </w:tcPr>
          <w:p w14:paraId="4B8A0493" w14:textId="6580FA5B" w:rsidR="00CF6EA9" w:rsidRPr="00080D13" w:rsidRDefault="00CF6EA9" w:rsidP="23834317">
            <w:pPr>
              <w:pStyle w:val="Els-body-text"/>
              <w:jc w:val="center"/>
              <w:rPr>
                <w:sz w:val="18"/>
                <w:szCs w:val="18"/>
                <w:lang w:val="en-GB"/>
              </w:rPr>
            </w:pPr>
            <w:r>
              <w:rPr>
                <w:sz w:val="18"/>
                <w:szCs w:val="18"/>
                <w:lang w:val="en-GB"/>
              </w:rPr>
              <w:t>881 kt</w:t>
            </w:r>
          </w:p>
        </w:tc>
        <w:tc>
          <w:tcPr>
            <w:tcW w:w="896" w:type="pct"/>
            <w:vAlign w:val="center"/>
          </w:tcPr>
          <w:p w14:paraId="08DE6C06" w14:textId="2F5710E5" w:rsidR="00CF6EA9" w:rsidRPr="00080D13" w:rsidRDefault="00CF6EA9" w:rsidP="23834317">
            <w:pPr>
              <w:pStyle w:val="Els-body-text"/>
              <w:jc w:val="center"/>
              <w:rPr>
                <w:sz w:val="18"/>
                <w:szCs w:val="18"/>
                <w:lang w:val="en-GB"/>
              </w:rPr>
            </w:pPr>
            <w:r>
              <w:rPr>
                <w:sz w:val="18"/>
                <w:szCs w:val="18"/>
                <w:lang w:val="en-GB"/>
              </w:rPr>
              <w:t>220 kt</w:t>
            </w:r>
          </w:p>
        </w:tc>
      </w:tr>
      <w:tr w:rsidR="006A514B" w:rsidRPr="004A064E" w14:paraId="633BBC37" w14:textId="77777777" w:rsidTr="00CE79D2">
        <w:trPr>
          <w:trHeight w:val="70"/>
        </w:trPr>
        <w:tc>
          <w:tcPr>
            <w:tcW w:w="676" w:type="pct"/>
            <w:vMerge w:val="restart"/>
            <w:vAlign w:val="center"/>
            <w:hideMark/>
          </w:tcPr>
          <w:p w14:paraId="0F5D3425" w14:textId="77777777" w:rsidR="00DE56BA" w:rsidRPr="00080D13" w:rsidRDefault="2FCA2A07" w:rsidP="23834317">
            <w:pPr>
              <w:pStyle w:val="Els-body-text"/>
              <w:jc w:val="left"/>
              <w:rPr>
                <w:sz w:val="18"/>
                <w:szCs w:val="18"/>
                <w:lang w:val="en-GB"/>
              </w:rPr>
            </w:pPr>
            <w:r w:rsidRPr="00080D13">
              <w:rPr>
                <w:sz w:val="18"/>
                <w:szCs w:val="18"/>
                <w:lang w:val="en-GB"/>
              </w:rPr>
              <w:t>Products</w:t>
            </w:r>
          </w:p>
        </w:tc>
        <w:tc>
          <w:tcPr>
            <w:tcW w:w="753" w:type="pct"/>
            <w:vAlign w:val="center"/>
            <w:hideMark/>
          </w:tcPr>
          <w:p w14:paraId="05A630EF" w14:textId="77777777" w:rsidR="00DE56BA" w:rsidRPr="00080D13" w:rsidRDefault="2FCA2A07" w:rsidP="23834317">
            <w:pPr>
              <w:pStyle w:val="Els-body-text"/>
              <w:jc w:val="left"/>
              <w:rPr>
                <w:sz w:val="18"/>
                <w:szCs w:val="18"/>
                <w:lang w:val="en-GB"/>
              </w:rPr>
            </w:pPr>
            <w:r w:rsidRPr="00080D13">
              <w:rPr>
                <w:sz w:val="18"/>
                <w:szCs w:val="18"/>
                <w:lang w:val="en-GB"/>
              </w:rPr>
              <w:t>Methanol</w:t>
            </w:r>
          </w:p>
        </w:tc>
        <w:tc>
          <w:tcPr>
            <w:tcW w:w="1072" w:type="pct"/>
            <w:vAlign w:val="center"/>
            <w:hideMark/>
          </w:tcPr>
          <w:p w14:paraId="53AFEADC" w14:textId="77777777" w:rsidR="00DE56BA" w:rsidRPr="00080D13" w:rsidRDefault="2FCA2A07" w:rsidP="23834317">
            <w:pPr>
              <w:pStyle w:val="Els-body-text"/>
              <w:jc w:val="center"/>
              <w:rPr>
                <w:sz w:val="18"/>
                <w:szCs w:val="18"/>
                <w:lang w:val="en-GB"/>
              </w:rPr>
            </w:pPr>
            <w:r w:rsidRPr="00080D13">
              <w:rPr>
                <w:sz w:val="18"/>
                <w:szCs w:val="18"/>
                <w:lang w:val="en-GB"/>
              </w:rPr>
              <w:t>405 kt</w:t>
            </w:r>
          </w:p>
        </w:tc>
        <w:tc>
          <w:tcPr>
            <w:tcW w:w="801" w:type="pct"/>
            <w:vAlign w:val="center"/>
            <w:hideMark/>
          </w:tcPr>
          <w:p w14:paraId="1ED1CFF1" w14:textId="77777777" w:rsidR="00DE56BA" w:rsidRPr="00080D13" w:rsidRDefault="2FCA2A07" w:rsidP="23834317">
            <w:pPr>
              <w:pStyle w:val="Els-body-text"/>
              <w:jc w:val="center"/>
              <w:rPr>
                <w:sz w:val="18"/>
                <w:szCs w:val="18"/>
                <w:lang w:val="en-GB"/>
              </w:rPr>
            </w:pPr>
            <w:r w:rsidRPr="00080D13">
              <w:rPr>
                <w:sz w:val="18"/>
                <w:szCs w:val="18"/>
                <w:lang w:val="en-GB"/>
              </w:rPr>
              <w:t>406 kt</w:t>
            </w:r>
          </w:p>
        </w:tc>
        <w:tc>
          <w:tcPr>
            <w:tcW w:w="802" w:type="pct"/>
            <w:vAlign w:val="center"/>
            <w:hideMark/>
          </w:tcPr>
          <w:p w14:paraId="7223181B" w14:textId="55BBA051" w:rsidR="00DE56BA" w:rsidRPr="00080D13" w:rsidRDefault="2FCA2A07" w:rsidP="23834317">
            <w:pPr>
              <w:pStyle w:val="Els-body-text"/>
              <w:jc w:val="center"/>
              <w:rPr>
                <w:sz w:val="18"/>
                <w:szCs w:val="18"/>
                <w:lang w:val="en-GB"/>
              </w:rPr>
            </w:pPr>
            <w:r w:rsidRPr="00080D13">
              <w:rPr>
                <w:sz w:val="18"/>
                <w:szCs w:val="18"/>
                <w:lang w:val="en-GB"/>
              </w:rPr>
              <w:t>41</w:t>
            </w:r>
            <w:r w:rsidR="00CF6EA9">
              <w:rPr>
                <w:sz w:val="18"/>
                <w:szCs w:val="18"/>
                <w:lang w:val="en-GB"/>
              </w:rPr>
              <w:t>1</w:t>
            </w:r>
            <w:r w:rsidRPr="00080D13">
              <w:rPr>
                <w:sz w:val="18"/>
                <w:szCs w:val="18"/>
                <w:lang w:val="en-GB"/>
              </w:rPr>
              <w:t xml:space="preserve"> kt</w:t>
            </w:r>
          </w:p>
        </w:tc>
        <w:tc>
          <w:tcPr>
            <w:tcW w:w="896" w:type="pct"/>
            <w:vAlign w:val="center"/>
            <w:hideMark/>
          </w:tcPr>
          <w:p w14:paraId="4760AF8E" w14:textId="77777777" w:rsidR="00DE56BA" w:rsidRPr="00080D13" w:rsidRDefault="2FCA2A07" w:rsidP="23834317">
            <w:pPr>
              <w:pStyle w:val="Els-body-text"/>
              <w:jc w:val="center"/>
              <w:rPr>
                <w:sz w:val="18"/>
                <w:szCs w:val="18"/>
                <w:lang w:val="en-GB"/>
              </w:rPr>
            </w:pPr>
            <w:r w:rsidRPr="00080D13">
              <w:rPr>
                <w:sz w:val="18"/>
                <w:szCs w:val="18"/>
                <w:lang w:val="en-GB"/>
              </w:rPr>
              <w:t>408 kt</w:t>
            </w:r>
          </w:p>
        </w:tc>
      </w:tr>
      <w:tr w:rsidR="006A514B" w:rsidRPr="004A064E" w14:paraId="1461DD5A" w14:textId="77777777" w:rsidTr="00CE79D2">
        <w:trPr>
          <w:trHeight w:val="241"/>
        </w:trPr>
        <w:tc>
          <w:tcPr>
            <w:tcW w:w="676" w:type="pct"/>
            <w:vMerge/>
            <w:vAlign w:val="center"/>
            <w:hideMark/>
          </w:tcPr>
          <w:p w14:paraId="05B07DD3" w14:textId="77777777" w:rsidR="00DE56BA" w:rsidRPr="00080D13" w:rsidRDefault="00DE56BA" w:rsidP="00DE56BA">
            <w:pPr>
              <w:pStyle w:val="Els-body-text"/>
              <w:jc w:val="left"/>
              <w:rPr>
                <w:sz w:val="18"/>
                <w:szCs w:val="18"/>
                <w:lang w:val="en-GB"/>
              </w:rPr>
            </w:pPr>
          </w:p>
        </w:tc>
        <w:tc>
          <w:tcPr>
            <w:tcW w:w="753" w:type="pct"/>
            <w:vAlign w:val="center"/>
            <w:hideMark/>
          </w:tcPr>
          <w:p w14:paraId="5ED7B415" w14:textId="77777777" w:rsidR="00DE56BA" w:rsidRPr="00080D13" w:rsidRDefault="2FCA2A07" w:rsidP="23834317">
            <w:pPr>
              <w:pStyle w:val="Els-body-text"/>
              <w:jc w:val="left"/>
              <w:rPr>
                <w:sz w:val="18"/>
                <w:szCs w:val="18"/>
                <w:lang w:val="en-GB"/>
              </w:rPr>
            </w:pPr>
            <w:r w:rsidRPr="00080D13">
              <w:rPr>
                <w:sz w:val="18"/>
                <w:szCs w:val="18"/>
                <w:lang w:val="en-GB"/>
              </w:rPr>
              <w:t>Oxygen</w:t>
            </w:r>
          </w:p>
        </w:tc>
        <w:tc>
          <w:tcPr>
            <w:tcW w:w="1072" w:type="pct"/>
            <w:vAlign w:val="center"/>
            <w:hideMark/>
          </w:tcPr>
          <w:p w14:paraId="14247ED2" w14:textId="77777777" w:rsidR="00DE56BA" w:rsidRPr="00080D13" w:rsidRDefault="2FCA2A07" w:rsidP="23834317">
            <w:pPr>
              <w:pStyle w:val="Els-body-text"/>
              <w:jc w:val="center"/>
              <w:rPr>
                <w:sz w:val="18"/>
                <w:szCs w:val="18"/>
                <w:lang w:val="en-GB"/>
              </w:rPr>
            </w:pPr>
            <w:r w:rsidRPr="00080D13">
              <w:rPr>
                <w:sz w:val="18"/>
                <w:szCs w:val="18"/>
                <w:lang w:val="en-GB"/>
              </w:rPr>
              <w:t>-</w:t>
            </w:r>
          </w:p>
        </w:tc>
        <w:tc>
          <w:tcPr>
            <w:tcW w:w="801" w:type="pct"/>
            <w:vAlign w:val="center"/>
            <w:hideMark/>
          </w:tcPr>
          <w:p w14:paraId="5721F510" w14:textId="77777777" w:rsidR="00DE56BA" w:rsidRPr="00080D13" w:rsidRDefault="2FCA2A07" w:rsidP="23834317">
            <w:pPr>
              <w:pStyle w:val="Els-body-text"/>
              <w:jc w:val="center"/>
              <w:rPr>
                <w:sz w:val="18"/>
                <w:szCs w:val="18"/>
                <w:lang w:val="en-GB"/>
              </w:rPr>
            </w:pPr>
            <w:r w:rsidRPr="00080D13">
              <w:rPr>
                <w:sz w:val="18"/>
                <w:szCs w:val="18"/>
                <w:lang w:val="en-GB"/>
              </w:rPr>
              <w:t>871 kt</w:t>
            </w:r>
          </w:p>
        </w:tc>
        <w:tc>
          <w:tcPr>
            <w:tcW w:w="802" w:type="pct"/>
            <w:vAlign w:val="center"/>
            <w:hideMark/>
          </w:tcPr>
          <w:p w14:paraId="4CC3382F" w14:textId="77777777" w:rsidR="00DE56BA" w:rsidRPr="00080D13" w:rsidRDefault="2FCA2A07" w:rsidP="23834317">
            <w:pPr>
              <w:pStyle w:val="Els-body-text"/>
              <w:jc w:val="center"/>
              <w:rPr>
                <w:sz w:val="18"/>
                <w:szCs w:val="18"/>
                <w:lang w:val="en-GB"/>
              </w:rPr>
            </w:pPr>
            <w:r w:rsidRPr="00080D13">
              <w:rPr>
                <w:sz w:val="18"/>
                <w:szCs w:val="18"/>
                <w:lang w:val="en-GB"/>
              </w:rPr>
              <w:t>334 kt</w:t>
            </w:r>
          </w:p>
        </w:tc>
        <w:tc>
          <w:tcPr>
            <w:tcW w:w="896" w:type="pct"/>
            <w:vAlign w:val="center"/>
            <w:hideMark/>
          </w:tcPr>
          <w:p w14:paraId="784F46F3" w14:textId="77777777" w:rsidR="00DE56BA" w:rsidRPr="00080D13" w:rsidRDefault="2FCA2A07" w:rsidP="23834317">
            <w:pPr>
              <w:pStyle w:val="Els-body-text"/>
              <w:jc w:val="center"/>
              <w:rPr>
                <w:sz w:val="18"/>
                <w:szCs w:val="18"/>
                <w:lang w:val="en-GB"/>
              </w:rPr>
            </w:pPr>
            <w:r w:rsidRPr="00080D13">
              <w:rPr>
                <w:sz w:val="18"/>
                <w:szCs w:val="18"/>
                <w:lang w:val="en-GB"/>
              </w:rPr>
              <w:t>-</w:t>
            </w:r>
          </w:p>
        </w:tc>
      </w:tr>
      <w:tr w:rsidR="006A514B" w:rsidRPr="004A064E" w14:paraId="3A8C1CB3" w14:textId="77777777" w:rsidTr="00CE79D2">
        <w:trPr>
          <w:trHeight w:val="70"/>
        </w:trPr>
        <w:tc>
          <w:tcPr>
            <w:tcW w:w="676" w:type="pct"/>
            <w:vMerge/>
            <w:vAlign w:val="center"/>
            <w:hideMark/>
          </w:tcPr>
          <w:p w14:paraId="09758FF4" w14:textId="77777777" w:rsidR="00DE56BA" w:rsidRPr="00080D13" w:rsidRDefault="00DE56BA" w:rsidP="00DE56BA">
            <w:pPr>
              <w:pStyle w:val="Els-body-text"/>
              <w:jc w:val="left"/>
              <w:rPr>
                <w:sz w:val="18"/>
                <w:szCs w:val="18"/>
                <w:lang w:val="en-GB"/>
              </w:rPr>
            </w:pPr>
          </w:p>
        </w:tc>
        <w:tc>
          <w:tcPr>
            <w:tcW w:w="753" w:type="pct"/>
            <w:vAlign w:val="center"/>
            <w:hideMark/>
          </w:tcPr>
          <w:p w14:paraId="7E203756" w14:textId="77777777" w:rsidR="00DE56BA" w:rsidRPr="00080D13" w:rsidRDefault="2FCA2A07" w:rsidP="23834317">
            <w:pPr>
              <w:pStyle w:val="Els-body-text"/>
              <w:jc w:val="left"/>
              <w:rPr>
                <w:sz w:val="18"/>
                <w:szCs w:val="18"/>
                <w:lang w:val="en-GB"/>
              </w:rPr>
            </w:pPr>
            <w:r w:rsidRPr="00080D13">
              <w:rPr>
                <w:sz w:val="18"/>
                <w:szCs w:val="18"/>
                <w:lang w:val="en-GB"/>
              </w:rPr>
              <w:t>Methane</w:t>
            </w:r>
          </w:p>
        </w:tc>
        <w:tc>
          <w:tcPr>
            <w:tcW w:w="1072" w:type="pct"/>
            <w:vAlign w:val="center"/>
            <w:hideMark/>
          </w:tcPr>
          <w:p w14:paraId="34F7EB2F" w14:textId="77777777" w:rsidR="00DE56BA" w:rsidRPr="00080D13" w:rsidRDefault="2FCA2A07" w:rsidP="23834317">
            <w:pPr>
              <w:pStyle w:val="Els-body-text"/>
              <w:jc w:val="center"/>
              <w:rPr>
                <w:sz w:val="18"/>
                <w:szCs w:val="18"/>
                <w:lang w:val="en-GB"/>
              </w:rPr>
            </w:pPr>
            <w:r w:rsidRPr="00080D13">
              <w:rPr>
                <w:sz w:val="18"/>
                <w:szCs w:val="18"/>
                <w:lang w:val="en-GB"/>
              </w:rPr>
              <w:t>-</w:t>
            </w:r>
          </w:p>
        </w:tc>
        <w:tc>
          <w:tcPr>
            <w:tcW w:w="801" w:type="pct"/>
            <w:vAlign w:val="center"/>
            <w:hideMark/>
          </w:tcPr>
          <w:p w14:paraId="2606372D" w14:textId="77777777" w:rsidR="00DE56BA" w:rsidRPr="00080D13" w:rsidRDefault="2FCA2A07" w:rsidP="23834317">
            <w:pPr>
              <w:pStyle w:val="Els-body-text"/>
              <w:jc w:val="center"/>
              <w:rPr>
                <w:sz w:val="18"/>
                <w:szCs w:val="18"/>
                <w:lang w:val="en-GB"/>
              </w:rPr>
            </w:pPr>
            <w:r w:rsidRPr="00080D13">
              <w:rPr>
                <w:sz w:val="18"/>
                <w:szCs w:val="18"/>
                <w:lang w:val="en-GB"/>
              </w:rPr>
              <w:t>-</w:t>
            </w:r>
          </w:p>
        </w:tc>
        <w:tc>
          <w:tcPr>
            <w:tcW w:w="802" w:type="pct"/>
            <w:vAlign w:val="center"/>
            <w:hideMark/>
          </w:tcPr>
          <w:p w14:paraId="577F8FAA" w14:textId="77777777" w:rsidR="00DE56BA" w:rsidRPr="00080D13" w:rsidRDefault="2FCA2A07" w:rsidP="23834317">
            <w:pPr>
              <w:pStyle w:val="Els-body-text"/>
              <w:jc w:val="center"/>
              <w:rPr>
                <w:sz w:val="18"/>
                <w:szCs w:val="18"/>
                <w:lang w:val="en-GB"/>
              </w:rPr>
            </w:pPr>
            <w:r w:rsidRPr="00080D13">
              <w:rPr>
                <w:sz w:val="18"/>
                <w:szCs w:val="18"/>
                <w:lang w:val="en-GB"/>
              </w:rPr>
              <w:t>44 kt</w:t>
            </w:r>
          </w:p>
        </w:tc>
        <w:tc>
          <w:tcPr>
            <w:tcW w:w="896" w:type="pct"/>
            <w:vAlign w:val="center"/>
            <w:hideMark/>
          </w:tcPr>
          <w:p w14:paraId="53B75030" w14:textId="77777777" w:rsidR="00DE56BA" w:rsidRPr="00080D13" w:rsidRDefault="2FCA2A07" w:rsidP="23834317">
            <w:pPr>
              <w:pStyle w:val="Els-body-text"/>
              <w:jc w:val="center"/>
              <w:rPr>
                <w:sz w:val="18"/>
                <w:szCs w:val="18"/>
                <w:lang w:val="en-GB"/>
              </w:rPr>
            </w:pPr>
            <w:r w:rsidRPr="00080D13">
              <w:rPr>
                <w:sz w:val="18"/>
                <w:szCs w:val="18"/>
                <w:lang w:val="en-GB"/>
              </w:rPr>
              <w:t>-</w:t>
            </w:r>
          </w:p>
        </w:tc>
      </w:tr>
      <w:tr w:rsidR="006A514B" w:rsidRPr="004A064E" w14:paraId="5512DC6C" w14:textId="77777777" w:rsidTr="00CE79D2">
        <w:trPr>
          <w:trHeight w:val="70"/>
        </w:trPr>
        <w:tc>
          <w:tcPr>
            <w:tcW w:w="676" w:type="pct"/>
            <w:vMerge w:val="restart"/>
            <w:vAlign w:val="center"/>
            <w:hideMark/>
          </w:tcPr>
          <w:p w14:paraId="2C35E202" w14:textId="77777777" w:rsidR="00DE56BA" w:rsidRPr="00080D13" w:rsidRDefault="2FCA2A07" w:rsidP="23834317">
            <w:pPr>
              <w:pStyle w:val="Els-body-text"/>
              <w:jc w:val="left"/>
              <w:rPr>
                <w:sz w:val="18"/>
                <w:szCs w:val="18"/>
                <w:lang w:val="en-GB"/>
              </w:rPr>
            </w:pPr>
            <w:r w:rsidRPr="00080D13">
              <w:rPr>
                <w:sz w:val="18"/>
                <w:szCs w:val="18"/>
                <w:lang w:val="en-GB"/>
              </w:rPr>
              <w:t>Waste</w:t>
            </w:r>
          </w:p>
        </w:tc>
        <w:tc>
          <w:tcPr>
            <w:tcW w:w="753" w:type="pct"/>
            <w:vAlign w:val="center"/>
            <w:hideMark/>
          </w:tcPr>
          <w:p w14:paraId="2A2C3E8B" w14:textId="77777777" w:rsidR="00DE56BA" w:rsidRPr="00080D13" w:rsidRDefault="2FCA2A07" w:rsidP="23834317">
            <w:pPr>
              <w:pStyle w:val="Els-body-text"/>
              <w:jc w:val="left"/>
              <w:rPr>
                <w:sz w:val="18"/>
                <w:szCs w:val="18"/>
                <w:lang w:val="en-GB"/>
              </w:rPr>
            </w:pPr>
            <w:r w:rsidRPr="00080D13">
              <w:rPr>
                <w:sz w:val="18"/>
                <w:szCs w:val="18"/>
                <w:lang w:val="en-GB"/>
              </w:rPr>
              <w:t>Wastewater</w:t>
            </w:r>
          </w:p>
        </w:tc>
        <w:tc>
          <w:tcPr>
            <w:tcW w:w="1072" w:type="pct"/>
            <w:vAlign w:val="center"/>
            <w:hideMark/>
          </w:tcPr>
          <w:p w14:paraId="7E682FD6" w14:textId="77777777" w:rsidR="00DE56BA" w:rsidRPr="00080D13" w:rsidRDefault="2FCA2A07" w:rsidP="23834317">
            <w:pPr>
              <w:pStyle w:val="Els-body-text"/>
              <w:jc w:val="center"/>
              <w:rPr>
                <w:sz w:val="18"/>
                <w:szCs w:val="18"/>
                <w:lang w:val="en-GB"/>
              </w:rPr>
            </w:pPr>
            <w:r w:rsidRPr="00080D13">
              <w:rPr>
                <w:sz w:val="18"/>
                <w:szCs w:val="18"/>
                <w:lang w:val="en-GB"/>
              </w:rPr>
              <w:t>614 kt</w:t>
            </w:r>
          </w:p>
        </w:tc>
        <w:tc>
          <w:tcPr>
            <w:tcW w:w="801" w:type="pct"/>
            <w:vAlign w:val="center"/>
            <w:hideMark/>
          </w:tcPr>
          <w:p w14:paraId="7E0020AC" w14:textId="77777777" w:rsidR="00DE56BA" w:rsidRPr="00080D13" w:rsidRDefault="2FCA2A07" w:rsidP="23834317">
            <w:pPr>
              <w:pStyle w:val="Els-body-text"/>
              <w:jc w:val="center"/>
              <w:rPr>
                <w:sz w:val="18"/>
                <w:szCs w:val="18"/>
                <w:lang w:val="en-GB"/>
              </w:rPr>
            </w:pPr>
            <w:r w:rsidRPr="00080D13">
              <w:rPr>
                <w:sz w:val="18"/>
                <w:szCs w:val="18"/>
                <w:lang w:val="en-GB"/>
              </w:rPr>
              <w:t>240 kt</w:t>
            </w:r>
          </w:p>
        </w:tc>
        <w:tc>
          <w:tcPr>
            <w:tcW w:w="802" w:type="pct"/>
            <w:vAlign w:val="center"/>
            <w:hideMark/>
          </w:tcPr>
          <w:p w14:paraId="65F2511B" w14:textId="77777777" w:rsidR="00DE56BA" w:rsidRPr="00080D13" w:rsidRDefault="2FCA2A07" w:rsidP="23834317">
            <w:pPr>
              <w:pStyle w:val="Els-body-text"/>
              <w:jc w:val="center"/>
              <w:rPr>
                <w:sz w:val="18"/>
                <w:szCs w:val="18"/>
                <w:lang w:val="en-GB"/>
              </w:rPr>
            </w:pPr>
            <w:r w:rsidRPr="00080D13">
              <w:rPr>
                <w:sz w:val="18"/>
                <w:szCs w:val="18"/>
                <w:lang w:val="en-GB"/>
              </w:rPr>
              <w:t>670 kt</w:t>
            </w:r>
          </w:p>
        </w:tc>
        <w:tc>
          <w:tcPr>
            <w:tcW w:w="896" w:type="pct"/>
            <w:vAlign w:val="center"/>
            <w:hideMark/>
          </w:tcPr>
          <w:p w14:paraId="1C1E64EF" w14:textId="77777777" w:rsidR="00DE56BA" w:rsidRPr="00080D13" w:rsidRDefault="2FCA2A07" w:rsidP="23834317">
            <w:pPr>
              <w:pStyle w:val="Els-body-text"/>
              <w:jc w:val="center"/>
              <w:rPr>
                <w:sz w:val="18"/>
                <w:szCs w:val="18"/>
                <w:lang w:val="en-GB"/>
              </w:rPr>
            </w:pPr>
            <w:r w:rsidRPr="00080D13">
              <w:rPr>
                <w:sz w:val="18"/>
                <w:szCs w:val="18"/>
                <w:lang w:val="en-GB"/>
              </w:rPr>
              <w:t>5 kt</w:t>
            </w:r>
          </w:p>
        </w:tc>
      </w:tr>
      <w:tr w:rsidR="006A514B" w:rsidRPr="004A064E" w14:paraId="411CB55D" w14:textId="77777777" w:rsidTr="00CE79D2">
        <w:trPr>
          <w:trHeight w:val="93"/>
        </w:trPr>
        <w:tc>
          <w:tcPr>
            <w:tcW w:w="676" w:type="pct"/>
            <w:vMerge/>
            <w:vAlign w:val="center"/>
            <w:hideMark/>
          </w:tcPr>
          <w:p w14:paraId="4F9EEC88" w14:textId="77777777" w:rsidR="00DE56BA" w:rsidRPr="00080D13" w:rsidRDefault="00DE56BA" w:rsidP="00DE56BA">
            <w:pPr>
              <w:pStyle w:val="Els-body-text"/>
              <w:jc w:val="left"/>
              <w:rPr>
                <w:sz w:val="18"/>
                <w:szCs w:val="18"/>
                <w:lang w:val="en-GB"/>
              </w:rPr>
            </w:pPr>
          </w:p>
        </w:tc>
        <w:tc>
          <w:tcPr>
            <w:tcW w:w="753" w:type="pct"/>
            <w:vAlign w:val="center"/>
            <w:hideMark/>
          </w:tcPr>
          <w:p w14:paraId="1EE4FA52" w14:textId="77777777" w:rsidR="00DE56BA" w:rsidRPr="00080D13" w:rsidRDefault="2FCA2A07" w:rsidP="23834317">
            <w:pPr>
              <w:pStyle w:val="Els-body-text"/>
              <w:jc w:val="left"/>
              <w:rPr>
                <w:sz w:val="18"/>
                <w:szCs w:val="18"/>
                <w:lang w:val="en-GB"/>
              </w:rPr>
            </w:pPr>
            <w:r w:rsidRPr="00080D13">
              <w:rPr>
                <w:sz w:val="18"/>
                <w:szCs w:val="18"/>
                <w:lang w:val="en-GB"/>
              </w:rPr>
              <w:t>Purge</w:t>
            </w:r>
          </w:p>
        </w:tc>
        <w:tc>
          <w:tcPr>
            <w:tcW w:w="1072" w:type="pct"/>
            <w:vAlign w:val="center"/>
            <w:hideMark/>
          </w:tcPr>
          <w:p w14:paraId="5163D841" w14:textId="77777777" w:rsidR="00DE56BA" w:rsidRPr="00080D13" w:rsidRDefault="2FCA2A07" w:rsidP="23834317">
            <w:pPr>
              <w:pStyle w:val="Els-body-text"/>
              <w:jc w:val="center"/>
              <w:rPr>
                <w:sz w:val="18"/>
                <w:szCs w:val="18"/>
                <w:lang w:val="en-GB"/>
              </w:rPr>
            </w:pPr>
            <w:r w:rsidRPr="00080D13">
              <w:rPr>
                <w:sz w:val="18"/>
                <w:szCs w:val="18"/>
                <w:lang w:val="en-GB"/>
              </w:rPr>
              <w:t>198 kt</w:t>
            </w:r>
          </w:p>
        </w:tc>
        <w:tc>
          <w:tcPr>
            <w:tcW w:w="801" w:type="pct"/>
            <w:vAlign w:val="center"/>
            <w:hideMark/>
          </w:tcPr>
          <w:p w14:paraId="7E6C25DA" w14:textId="77777777" w:rsidR="00DE56BA" w:rsidRPr="00080D13" w:rsidRDefault="2FCA2A07" w:rsidP="23834317">
            <w:pPr>
              <w:pStyle w:val="Els-body-text"/>
              <w:jc w:val="center"/>
              <w:rPr>
                <w:sz w:val="18"/>
                <w:szCs w:val="18"/>
                <w:lang w:val="en-GB"/>
              </w:rPr>
            </w:pPr>
            <w:r w:rsidRPr="00080D13">
              <w:rPr>
                <w:sz w:val="18"/>
                <w:szCs w:val="18"/>
                <w:lang w:val="en-GB"/>
              </w:rPr>
              <w:t>248 kt</w:t>
            </w:r>
          </w:p>
        </w:tc>
        <w:tc>
          <w:tcPr>
            <w:tcW w:w="802" w:type="pct"/>
            <w:vAlign w:val="center"/>
            <w:hideMark/>
          </w:tcPr>
          <w:p w14:paraId="15F52026" w14:textId="77777777" w:rsidR="00DE56BA" w:rsidRPr="00080D13" w:rsidRDefault="2FCA2A07" w:rsidP="23834317">
            <w:pPr>
              <w:pStyle w:val="Els-body-text"/>
              <w:jc w:val="center"/>
              <w:rPr>
                <w:sz w:val="18"/>
                <w:szCs w:val="18"/>
                <w:lang w:val="en-GB"/>
              </w:rPr>
            </w:pPr>
            <w:r w:rsidRPr="00080D13">
              <w:rPr>
                <w:sz w:val="18"/>
                <w:szCs w:val="18"/>
                <w:lang w:val="en-GB"/>
              </w:rPr>
              <w:t>70 kt</w:t>
            </w:r>
          </w:p>
        </w:tc>
        <w:tc>
          <w:tcPr>
            <w:tcW w:w="896" w:type="pct"/>
            <w:vAlign w:val="center"/>
            <w:hideMark/>
          </w:tcPr>
          <w:p w14:paraId="77DF0055" w14:textId="77777777" w:rsidR="00DE56BA" w:rsidRPr="00080D13" w:rsidRDefault="2FCA2A07" w:rsidP="23834317">
            <w:pPr>
              <w:pStyle w:val="Els-body-text"/>
              <w:jc w:val="center"/>
              <w:rPr>
                <w:sz w:val="18"/>
                <w:szCs w:val="18"/>
                <w:lang w:val="en-GB"/>
              </w:rPr>
            </w:pPr>
            <w:r w:rsidRPr="00080D13">
              <w:rPr>
                <w:sz w:val="18"/>
                <w:szCs w:val="18"/>
                <w:lang w:val="en-GB"/>
              </w:rPr>
              <w:t>34 kt</w:t>
            </w:r>
          </w:p>
        </w:tc>
      </w:tr>
      <w:tr w:rsidR="006A514B" w:rsidRPr="004A064E" w14:paraId="43D69833" w14:textId="77777777" w:rsidTr="00CE79D2">
        <w:trPr>
          <w:trHeight w:val="138"/>
        </w:trPr>
        <w:tc>
          <w:tcPr>
            <w:tcW w:w="676" w:type="pct"/>
            <w:vMerge/>
            <w:vAlign w:val="center"/>
            <w:hideMark/>
          </w:tcPr>
          <w:p w14:paraId="05668DA0" w14:textId="77777777" w:rsidR="00DE56BA" w:rsidRPr="00080D13" w:rsidRDefault="00DE56BA" w:rsidP="00DE56BA">
            <w:pPr>
              <w:pStyle w:val="Els-body-text"/>
              <w:jc w:val="left"/>
              <w:rPr>
                <w:sz w:val="18"/>
                <w:szCs w:val="18"/>
                <w:lang w:val="en-GB"/>
              </w:rPr>
            </w:pPr>
          </w:p>
        </w:tc>
        <w:tc>
          <w:tcPr>
            <w:tcW w:w="753" w:type="pct"/>
            <w:vAlign w:val="center"/>
            <w:hideMark/>
          </w:tcPr>
          <w:p w14:paraId="4A53E8A0" w14:textId="5E70EFCE" w:rsidR="00DE56BA" w:rsidRPr="00080D13" w:rsidRDefault="2FCA2A07" w:rsidP="23834317">
            <w:pPr>
              <w:pStyle w:val="Els-body-text"/>
              <w:jc w:val="left"/>
              <w:rPr>
                <w:sz w:val="18"/>
                <w:szCs w:val="18"/>
                <w:lang w:val="en-GB"/>
              </w:rPr>
            </w:pPr>
            <w:r w:rsidRPr="00080D13">
              <w:rPr>
                <w:sz w:val="18"/>
                <w:szCs w:val="18"/>
                <w:lang w:val="en-GB"/>
              </w:rPr>
              <w:t>Off gas</w:t>
            </w:r>
            <w:r w:rsidR="56C7BB55" w:rsidRPr="00080D13">
              <w:rPr>
                <w:sz w:val="18"/>
                <w:szCs w:val="18"/>
                <w:lang w:val="en-GB"/>
              </w:rPr>
              <w:t>es</w:t>
            </w:r>
          </w:p>
        </w:tc>
        <w:tc>
          <w:tcPr>
            <w:tcW w:w="1072" w:type="pct"/>
            <w:vAlign w:val="center"/>
            <w:hideMark/>
          </w:tcPr>
          <w:p w14:paraId="10101021" w14:textId="77777777" w:rsidR="00DE56BA" w:rsidRPr="00080D13" w:rsidRDefault="2FCA2A07" w:rsidP="23834317">
            <w:pPr>
              <w:pStyle w:val="Els-body-text"/>
              <w:jc w:val="center"/>
              <w:rPr>
                <w:sz w:val="18"/>
                <w:szCs w:val="18"/>
                <w:lang w:val="en-GB"/>
              </w:rPr>
            </w:pPr>
            <w:r w:rsidRPr="00080D13">
              <w:rPr>
                <w:sz w:val="18"/>
                <w:szCs w:val="18"/>
                <w:lang w:val="en-GB"/>
              </w:rPr>
              <w:t>12 kt</w:t>
            </w:r>
          </w:p>
        </w:tc>
        <w:tc>
          <w:tcPr>
            <w:tcW w:w="801" w:type="pct"/>
            <w:vAlign w:val="center"/>
            <w:hideMark/>
          </w:tcPr>
          <w:p w14:paraId="534778D6" w14:textId="77777777" w:rsidR="00DE56BA" w:rsidRPr="00080D13" w:rsidRDefault="2FCA2A07" w:rsidP="23834317">
            <w:pPr>
              <w:pStyle w:val="Els-body-text"/>
              <w:jc w:val="center"/>
              <w:rPr>
                <w:sz w:val="18"/>
                <w:szCs w:val="18"/>
                <w:lang w:val="en-GB"/>
              </w:rPr>
            </w:pPr>
            <w:r w:rsidRPr="00080D13">
              <w:rPr>
                <w:sz w:val="18"/>
                <w:szCs w:val="18"/>
                <w:lang w:val="en-GB"/>
              </w:rPr>
              <w:t>16 kt</w:t>
            </w:r>
          </w:p>
        </w:tc>
        <w:tc>
          <w:tcPr>
            <w:tcW w:w="802" w:type="pct"/>
            <w:vAlign w:val="center"/>
            <w:hideMark/>
          </w:tcPr>
          <w:p w14:paraId="77F38214" w14:textId="77777777" w:rsidR="00DE56BA" w:rsidRPr="00080D13" w:rsidRDefault="2FCA2A07" w:rsidP="23834317">
            <w:pPr>
              <w:pStyle w:val="Els-body-text"/>
              <w:jc w:val="center"/>
              <w:rPr>
                <w:sz w:val="18"/>
                <w:szCs w:val="18"/>
                <w:lang w:val="en-GB"/>
              </w:rPr>
            </w:pPr>
            <w:r w:rsidRPr="00080D13">
              <w:rPr>
                <w:sz w:val="18"/>
                <w:szCs w:val="18"/>
                <w:lang w:val="en-GB"/>
              </w:rPr>
              <w:t>48 kt</w:t>
            </w:r>
          </w:p>
        </w:tc>
        <w:tc>
          <w:tcPr>
            <w:tcW w:w="896" w:type="pct"/>
            <w:vAlign w:val="center"/>
            <w:hideMark/>
          </w:tcPr>
          <w:p w14:paraId="53D23F63" w14:textId="77777777" w:rsidR="00DE56BA" w:rsidRPr="00080D13" w:rsidRDefault="2FCA2A07" w:rsidP="23834317">
            <w:pPr>
              <w:pStyle w:val="Els-body-text"/>
              <w:jc w:val="center"/>
              <w:rPr>
                <w:sz w:val="18"/>
                <w:szCs w:val="18"/>
                <w:lang w:val="en-GB"/>
              </w:rPr>
            </w:pPr>
            <w:r w:rsidRPr="00080D13">
              <w:rPr>
                <w:sz w:val="18"/>
                <w:szCs w:val="18"/>
                <w:lang w:val="en-GB"/>
              </w:rPr>
              <w:t>8 kt</w:t>
            </w:r>
          </w:p>
        </w:tc>
      </w:tr>
      <w:tr w:rsidR="006A514B" w:rsidRPr="004A064E" w14:paraId="23406CC5" w14:textId="77777777" w:rsidTr="00CE79D2">
        <w:trPr>
          <w:trHeight w:val="70"/>
        </w:trPr>
        <w:tc>
          <w:tcPr>
            <w:tcW w:w="676" w:type="pct"/>
            <w:vMerge/>
            <w:vAlign w:val="center"/>
            <w:hideMark/>
          </w:tcPr>
          <w:p w14:paraId="1A99B133" w14:textId="77777777" w:rsidR="00DE56BA" w:rsidRPr="00080D13" w:rsidRDefault="00DE56BA" w:rsidP="00DE56BA">
            <w:pPr>
              <w:pStyle w:val="Els-body-text"/>
              <w:jc w:val="left"/>
              <w:rPr>
                <w:sz w:val="18"/>
                <w:szCs w:val="18"/>
                <w:lang w:val="en-GB"/>
              </w:rPr>
            </w:pPr>
          </w:p>
        </w:tc>
        <w:tc>
          <w:tcPr>
            <w:tcW w:w="753" w:type="pct"/>
            <w:vAlign w:val="center"/>
            <w:hideMark/>
          </w:tcPr>
          <w:p w14:paraId="152FAEBF" w14:textId="77777777" w:rsidR="00DE56BA" w:rsidRPr="00080D13" w:rsidRDefault="2FCA2A07" w:rsidP="23834317">
            <w:pPr>
              <w:pStyle w:val="Els-body-text"/>
              <w:jc w:val="left"/>
              <w:rPr>
                <w:sz w:val="18"/>
                <w:szCs w:val="18"/>
                <w:lang w:val="en-GB"/>
              </w:rPr>
            </w:pPr>
            <w:r w:rsidRPr="00080D13">
              <w:rPr>
                <w:sz w:val="18"/>
                <w:szCs w:val="18"/>
                <w:lang w:val="en-GB"/>
              </w:rPr>
              <w:t>Char &amp; ash</w:t>
            </w:r>
          </w:p>
        </w:tc>
        <w:tc>
          <w:tcPr>
            <w:tcW w:w="1072" w:type="pct"/>
            <w:vAlign w:val="center"/>
            <w:hideMark/>
          </w:tcPr>
          <w:p w14:paraId="614F9839" w14:textId="77777777" w:rsidR="00DE56BA" w:rsidRPr="00080D13" w:rsidRDefault="2FCA2A07" w:rsidP="23834317">
            <w:pPr>
              <w:pStyle w:val="Els-body-text"/>
              <w:jc w:val="center"/>
              <w:rPr>
                <w:sz w:val="18"/>
                <w:szCs w:val="18"/>
                <w:lang w:val="en-GB"/>
              </w:rPr>
            </w:pPr>
            <w:r w:rsidRPr="00080D13">
              <w:rPr>
                <w:sz w:val="18"/>
                <w:szCs w:val="18"/>
                <w:lang w:val="en-GB"/>
              </w:rPr>
              <w:t>-</w:t>
            </w:r>
          </w:p>
        </w:tc>
        <w:tc>
          <w:tcPr>
            <w:tcW w:w="801" w:type="pct"/>
            <w:vAlign w:val="center"/>
            <w:hideMark/>
          </w:tcPr>
          <w:p w14:paraId="458F9D72" w14:textId="77777777" w:rsidR="00DE56BA" w:rsidRPr="00080D13" w:rsidRDefault="2FCA2A07" w:rsidP="23834317">
            <w:pPr>
              <w:pStyle w:val="Els-body-text"/>
              <w:jc w:val="center"/>
              <w:rPr>
                <w:sz w:val="18"/>
                <w:szCs w:val="18"/>
                <w:lang w:val="en-GB"/>
              </w:rPr>
            </w:pPr>
            <w:r w:rsidRPr="00080D13">
              <w:rPr>
                <w:sz w:val="18"/>
                <w:szCs w:val="18"/>
                <w:lang w:val="en-GB"/>
              </w:rPr>
              <w:t>-</w:t>
            </w:r>
          </w:p>
        </w:tc>
        <w:tc>
          <w:tcPr>
            <w:tcW w:w="802" w:type="pct"/>
            <w:vAlign w:val="center"/>
            <w:hideMark/>
          </w:tcPr>
          <w:p w14:paraId="3197F6FB" w14:textId="77777777" w:rsidR="00DE56BA" w:rsidRPr="00080D13" w:rsidRDefault="2FCA2A07" w:rsidP="23834317">
            <w:pPr>
              <w:pStyle w:val="Els-body-text"/>
              <w:jc w:val="center"/>
              <w:rPr>
                <w:sz w:val="18"/>
                <w:szCs w:val="18"/>
                <w:lang w:val="en-GB"/>
              </w:rPr>
            </w:pPr>
            <w:r w:rsidRPr="00080D13">
              <w:rPr>
                <w:sz w:val="18"/>
                <w:szCs w:val="18"/>
                <w:lang w:val="en-GB"/>
              </w:rPr>
              <w:t>143 kt</w:t>
            </w:r>
          </w:p>
        </w:tc>
        <w:tc>
          <w:tcPr>
            <w:tcW w:w="896" w:type="pct"/>
            <w:vAlign w:val="center"/>
            <w:hideMark/>
          </w:tcPr>
          <w:p w14:paraId="2DEAC97C" w14:textId="77777777" w:rsidR="00DE56BA" w:rsidRPr="00080D13" w:rsidRDefault="2FCA2A07" w:rsidP="23834317">
            <w:pPr>
              <w:pStyle w:val="Els-body-text"/>
              <w:jc w:val="center"/>
              <w:rPr>
                <w:sz w:val="18"/>
                <w:szCs w:val="18"/>
                <w:lang w:val="en-GB"/>
              </w:rPr>
            </w:pPr>
            <w:r w:rsidRPr="00080D13">
              <w:rPr>
                <w:sz w:val="18"/>
                <w:szCs w:val="18"/>
                <w:lang w:val="en-GB"/>
              </w:rPr>
              <w:t>13 kt</w:t>
            </w:r>
          </w:p>
        </w:tc>
      </w:tr>
      <w:tr w:rsidR="006A514B" w:rsidRPr="004A064E" w14:paraId="20ED3F13" w14:textId="77777777" w:rsidTr="00CE79D2">
        <w:trPr>
          <w:trHeight w:val="89"/>
        </w:trPr>
        <w:tc>
          <w:tcPr>
            <w:tcW w:w="676" w:type="pct"/>
            <w:vMerge/>
            <w:vAlign w:val="center"/>
            <w:hideMark/>
          </w:tcPr>
          <w:p w14:paraId="7999896B" w14:textId="77777777" w:rsidR="00DE56BA" w:rsidRPr="00080D13" w:rsidRDefault="00DE56BA" w:rsidP="00DE56BA">
            <w:pPr>
              <w:pStyle w:val="Els-body-text"/>
              <w:jc w:val="left"/>
              <w:rPr>
                <w:sz w:val="18"/>
                <w:szCs w:val="18"/>
                <w:lang w:val="en-GB"/>
              </w:rPr>
            </w:pPr>
          </w:p>
        </w:tc>
        <w:tc>
          <w:tcPr>
            <w:tcW w:w="753" w:type="pct"/>
            <w:vAlign w:val="center"/>
            <w:hideMark/>
          </w:tcPr>
          <w:p w14:paraId="1239D57F" w14:textId="77777777" w:rsidR="00DE56BA" w:rsidRPr="00080D13" w:rsidRDefault="2FCA2A07" w:rsidP="23834317">
            <w:pPr>
              <w:pStyle w:val="Els-body-text"/>
              <w:jc w:val="left"/>
              <w:rPr>
                <w:sz w:val="18"/>
                <w:szCs w:val="18"/>
                <w:lang w:val="en-GB"/>
              </w:rPr>
            </w:pPr>
            <w:r w:rsidRPr="00080D13">
              <w:rPr>
                <w:sz w:val="18"/>
                <w:szCs w:val="18"/>
                <w:lang w:val="en-GB"/>
              </w:rPr>
              <w:t>Tar</w:t>
            </w:r>
          </w:p>
        </w:tc>
        <w:tc>
          <w:tcPr>
            <w:tcW w:w="1072" w:type="pct"/>
            <w:vAlign w:val="center"/>
            <w:hideMark/>
          </w:tcPr>
          <w:p w14:paraId="4FC013EC" w14:textId="77777777" w:rsidR="00DE56BA" w:rsidRPr="00080D13" w:rsidRDefault="2FCA2A07" w:rsidP="23834317">
            <w:pPr>
              <w:pStyle w:val="Els-body-text"/>
              <w:jc w:val="center"/>
              <w:rPr>
                <w:sz w:val="18"/>
                <w:szCs w:val="18"/>
                <w:lang w:val="en-GB"/>
              </w:rPr>
            </w:pPr>
            <w:r w:rsidRPr="00080D13">
              <w:rPr>
                <w:sz w:val="18"/>
                <w:szCs w:val="18"/>
                <w:lang w:val="en-GB"/>
              </w:rPr>
              <w:t>-</w:t>
            </w:r>
          </w:p>
        </w:tc>
        <w:tc>
          <w:tcPr>
            <w:tcW w:w="801" w:type="pct"/>
            <w:vAlign w:val="center"/>
            <w:hideMark/>
          </w:tcPr>
          <w:p w14:paraId="16C913B6" w14:textId="77777777" w:rsidR="00DE56BA" w:rsidRPr="00080D13" w:rsidRDefault="2FCA2A07" w:rsidP="23834317">
            <w:pPr>
              <w:pStyle w:val="Els-body-text"/>
              <w:jc w:val="center"/>
              <w:rPr>
                <w:sz w:val="18"/>
                <w:szCs w:val="18"/>
                <w:lang w:val="en-GB"/>
              </w:rPr>
            </w:pPr>
            <w:r w:rsidRPr="00080D13">
              <w:rPr>
                <w:sz w:val="18"/>
                <w:szCs w:val="18"/>
                <w:lang w:val="en-GB"/>
              </w:rPr>
              <w:t>-</w:t>
            </w:r>
          </w:p>
        </w:tc>
        <w:tc>
          <w:tcPr>
            <w:tcW w:w="802" w:type="pct"/>
            <w:vAlign w:val="center"/>
            <w:hideMark/>
          </w:tcPr>
          <w:p w14:paraId="3B05F1D4" w14:textId="77777777" w:rsidR="00DE56BA" w:rsidRPr="00080D13" w:rsidRDefault="2FCA2A07" w:rsidP="23834317">
            <w:pPr>
              <w:pStyle w:val="Els-body-text"/>
              <w:jc w:val="center"/>
              <w:rPr>
                <w:sz w:val="18"/>
                <w:szCs w:val="18"/>
                <w:lang w:val="en-GB"/>
              </w:rPr>
            </w:pPr>
            <w:r w:rsidRPr="00080D13">
              <w:rPr>
                <w:sz w:val="18"/>
                <w:szCs w:val="18"/>
                <w:lang w:val="en-GB"/>
              </w:rPr>
              <w:t>21 kt</w:t>
            </w:r>
          </w:p>
        </w:tc>
        <w:tc>
          <w:tcPr>
            <w:tcW w:w="896" w:type="pct"/>
            <w:vAlign w:val="center"/>
            <w:hideMark/>
          </w:tcPr>
          <w:p w14:paraId="6E1B1B25" w14:textId="77777777" w:rsidR="00DE56BA" w:rsidRPr="00080D13" w:rsidRDefault="2FCA2A07" w:rsidP="23834317">
            <w:pPr>
              <w:pStyle w:val="Els-body-text"/>
              <w:jc w:val="center"/>
              <w:rPr>
                <w:sz w:val="18"/>
                <w:szCs w:val="18"/>
                <w:lang w:val="en-GB"/>
              </w:rPr>
            </w:pPr>
            <w:r w:rsidRPr="00080D13">
              <w:rPr>
                <w:sz w:val="18"/>
                <w:szCs w:val="18"/>
                <w:lang w:val="en-GB"/>
              </w:rPr>
              <w:t>62 kt</w:t>
            </w:r>
          </w:p>
        </w:tc>
      </w:tr>
      <w:tr w:rsidR="001908AE" w:rsidRPr="004A064E" w14:paraId="206DB465" w14:textId="77777777" w:rsidTr="00CE79D2">
        <w:trPr>
          <w:trHeight w:val="263"/>
        </w:trPr>
        <w:tc>
          <w:tcPr>
            <w:tcW w:w="1429" w:type="pct"/>
            <w:gridSpan w:val="2"/>
            <w:vAlign w:val="center"/>
            <w:hideMark/>
          </w:tcPr>
          <w:p w14:paraId="41023188" w14:textId="02338D73" w:rsidR="001908AE" w:rsidRPr="00080D13" w:rsidRDefault="001908AE" w:rsidP="23834317">
            <w:pPr>
              <w:pStyle w:val="Els-body-text"/>
              <w:jc w:val="center"/>
              <w:rPr>
                <w:sz w:val="18"/>
                <w:szCs w:val="18"/>
                <w:lang w:val="en-GB"/>
              </w:rPr>
            </w:pPr>
            <w:r w:rsidRPr="00080D13">
              <w:rPr>
                <w:sz w:val="18"/>
                <w:szCs w:val="18"/>
                <w:lang w:val="en-GB"/>
              </w:rPr>
              <w:t>Process CUE</w:t>
            </w:r>
          </w:p>
        </w:tc>
        <w:tc>
          <w:tcPr>
            <w:tcW w:w="1072" w:type="pct"/>
            <w:vAlign w:val="center"/>
            <w:hideMark/>
          </w:tcPr>
          <w:p w14:paraId="0C330819" w14:textId="77777777" w:rsidR="001908AE" w:rsidRPr="00080D13" w:rsidRDefault="001908AE" w:rsidP="23834317">
            <w:pPr>
              <w:pStyle w:val="Els-body-text"/>
              <w:jc w:val="center"/>
              <w:rPr>
                <w:sz w:val="18"/>
                <w:szCs w:val="18"/>
                <w:lang w:val="en-GB"/>
              </w:rPr>
            </w:pPr>
            <w:r w:rsidRPr="00080D13">
              <w:rPr>
                <w:sz w:val="18"/>
                <w:szCs w:val="18"/>
                <w:lang w:val="en-GB"/>
              </w:rPr>
              <w:t>80%</w:t>
            </w:r>
          </w:p>
        </w:tc>
        <w:tc>
          <w:tcPr>
            <w:tcW w:w="801" w:type="pct"/>
            <w:vAlign w:val="center"/>
            <w:hideMark/>
          </w:tcPr>
          <w:p w14:paraId="1CCA6AD2" w14:textId="77777777" w:rsidR="001908AE" w:rsidRPr="00080D13" w:rsidRDefault="001908AE" w:rsidP="23834317">
            <w:pPr>
              <w:pStyle w:val="Els-body-text"/>
              <w:jc w:val="center"/>
              <w:rPr>
                <w:sz w:val="18"/>
                <w:szCs w:val="18"/>
                <w:lang w:val="en-GB"/>
              </w:rPr>
            </w:pPr>
            <w:r w:rsidRPr="00080D13">
              <w:rPr>
                <w:sz w:val="18"/>
                <w:szCs w:val="18"/>
                <w:lang w:val="en-GB"/>
              </w:rPr>
              <w:t>69%</w:t>
            </w:r>
          </w:p>
        </w:tc>
        <w:tc>
          <w:tcPr>
            <w:tcW w:w="802" w:type="pct"/>
            <w:vAlign w:val="center"/>
            <w:hideMark/>
          </w:tcPr>
          <w:p w14:paraId="1C70B58F" w14:textId="77777777" w:rsidR="001908AE" w:rsidRPr="00080D13" w:rsidRDefault="001908AE" w:rsidP="23834317">
            <w:pPr>
              <w:pStyle w:val="Els-body-text"/>
              <w:jc w:val="center"/>
              <w:rPr>
                <w:sz w:val="18"/>
                <w:szCs w:val="18"/>
                <w:lang w:val="en-GB"/>
              </w:rPr>
            </w:pPr>
            <w:r w:rsidRPr="00080D13">
              <w:rPr>
                <w:sz w:val="18"/>
                <w:szCs w:val="18"/>
                <w:lang w:val="en-GB"/>
              </w:rPr>
              <w:t>49%</w:t>
            </w:r>
          </w:p>
        </w:tc>
        <w:tc>
          <w:tcPr>
            <w:tcW w:w="896" w:type="pct"/>
            <w:vAlign w:val="center"/>
            <w:hideMark/>
          </w:tcPr>
          <w:p w14:paraId="2AF1FC6D" w14:textId="77777777" w:rsidR="001908AE" w:rsidRPr="00080D13" w:rsidRDefault="001908AE" w:rsidP="23834317">
            <w:pPr>
              <w:pStyle w:val="Els-body-text"/>
              <w:jc w:val="center"/>
              <w:rPr>
                <w:sz w:val="18"/>
                <w:szCs w:val="18"/>
                <w:lang w:val="en-GB"/>
              </w:rPr>
            </w:pPr>
            <w:r w:rsidRPr="00080D13">
              <w:rPr>
                <w:sz w:val="18"/>
                <w:szCs w:val="18"/>
                <w:lang w:val="en-GB"/>
              </w:rPr>
              <w:t>68%</w:t>
            </w:r>
          </w:p>
        </w:tc>
      </w:tr>
    </w:tbl>
    <w:p w14:paraId="65CCF1C2" w14:textId="3E0C4197" w:rsidR="004B5AA2" w:rsidRPr="00381CCD" w:rsidRDefault="3FB76893" w:rsidP="004B5AA2">
      <w:pPr>
        <w:pStyle w:val="Els-body-text"/>
        <w:rPr>
          <w:lang w:val="en-GB"/>
        </w:rPr>
      </w:pPr>
      <w:r w:rsidRPr="2F9161C8">
        <w:rPr>
          <w:lang w:val="en-GB"/>
        </w:rPr>
        <w:t>Two</w:t>
      </w:r>
      <w:r w:rsidR="004548F6" w:rsidRPr="2F9161C8">
        <w:rPr>
          <w:lang w:val="en-GB"/>
        </w:rPr>
        <w:t xml:space="preserve"> </w:t>
      </w:r>
      <w:r w:rsidR="00A562AF" w:rsidRPr="2F9161C8">
        <w:rPr>
          <w:lang w:val="en-GB"/>
        </w:rPr>
        <w:t>difference</w:t>
      </w:r>
      <w:r w:rsidR="63A8B54A" w:rsidRPr="2F9161C8">
        <w:rPr>
          <w:lang w:val="en-GB"/>
        </w:rPr>
        <w:t>s</w:t>
      </w:r>
      <w:r w:rsidR="00A562AF" w:rsidRPr="2F9161C8">
        <w:rPr>
          <w:lang w:val="en-GB"/>
        </w:rPr>
        <w:t xml:space="preserve"> can be observed between CO</w:t>
      </w:r>
      <w:r w:rsidR="00A562AF" w:rsidRPr="2F9161C8">
        <w:rPr>
          <w:vertAlign w:val="subscript"/>
          <w:lang w:val="en-GB"/>
        </w:rPr>
        <w:t>2</w:t>
      </w:r>
      <w:r w:rsidR="00A562AF" w:rsidRPr="2F9161C8">
        <w:rPr>
          <w:lang w:val="en-GB"/>
        </w:rPr>
        <w:t xml:space="preserve"> and biomass</w:t>
      </w:r>
      <w:r w:rsidR="00042E12" w:rsidRPr="2F9161C8">
        <w:rPr>
          <w:lang w:val="en-GB"/>
        </w:rPr>
        <w:t>-</w:t>
      </w:r>
      <w:r w:rsidR="00A562AF" w:rsidRPr="2F9161C8">
        <w:rPr>
          <w:lang w:val="en-GB"/>
        </w:rPr>
        <w:t>based routes</w:t>
      </w:r>
      <w:r w:rsidR="39F4FC3A" w:rsidRPr="2F9161C8">
        <w:rPr>
          <w:lang w:val="en-GB"/>
        </w:rPr>
        <w:t>. First is</w:t>
      </w:r>
      <w:r w:rsidR="00A562AF" w:rsidRPr="2F9161C8">
        <w:rPr>
          <w:lang w:val="en-GB"/>
        </w:rPr>
        <w:t xml:space="preserve"> the</w:t>
      </w:r>
      <w:r w:rsidR="00042E12" w:rsidRPr="2F9161C8">
        <w:rPr>
          <w:lang w:val="en-GB"/>
        </w:rPr>
        <w:t xml:space="preserve"> </w:t>
      </w:r>
      <w:r w:rsidR="3950D22F" w:rsidRPr="2F9161C8">
        <w:rPr>
          <w:lang w:val="en-GB"/>
        </w:rPr>
        <w:t xml:space="preserve">significant </w:t>
      </w:r>
      <w:r w:rsidR="00042E12" w:rsidRPr="2F9161C8">
        <w:rPr>
          <w:lang w:val="en-GB"/>
        </w:rPr>
        <w:t>amount of</w:t>
      </w:r>
      <w:r w:rsidR="00A562AF" w:rsidRPr="2F9161C8">
        <w:rPr>
          <w:lang w:val="en-GB"/>
        </w:rPr>
        <w:t xml:space="preserve"> </w:t>
      </w:r>
      <w:r w:rsidR="004548F6" w:rsidRPr="2F9161C8">
        <w:rPr>
          <w:lang w:val="en-GB"/>
        </w:rPr>
        <w:t>oxygen</w:t>
      </w:r>
      <w:r w:rsidR="00042E12" w:rsidRPr="2F9161C8">
        <w:rPr>
          <w:lang w:val="en-GB"/>
        </w:rPr>
        <w:t xml:space="preserve"> produced</w:t>
      </w:r>
      <w:r w:rsidR="7B7C4774" w:rsidRPr="2F9161C8">
        <w:rPr>
          <w:lang w:val="en-GB"/>
        </w:rPr>
        <w:t xml:space="preserve"> compared to other routes</w:t>
      </w:r>
      <w:r w:rsidR="004548F6" w:rsidRPr="2F9161C8">
        <w:rPr>
          <w:lang w:val="en-GB"/>
        </w:rPr>
        <w:t>.</w:t>
      </w:r>
      <w:r w:rsidR="38ACD84E" w:rsidRPr="2F9161C8">
        <w:rPr>
          <w:lang w:val="en-GB"/>
        </w:rPr>
        <w:t xml:space="preserve"> </w:t>
      </w:r>
      <w:r w:rsidR="01A67774" w:rsidRPr="2F9161C8">
        <w:rPr>
          <w:lang w:val="en-GB"/>
        </w:rPr>
        <w:t>The second differen</w:t>
      </w:r>
      <w:r w:rsidR="009D4CB2">
        <w:rPr>
          <w:lang w:val="en-GB"/>
        </w:rPr>
        <w:t>ce</w:t>
      </w:r>
      <w:r w:rsidR="01A67774" w:rsidRPr="2F9161C8">
        <w:rPr>
          <w:lang w:val="en-GB"/>
        </w:rPr>
        <w:t xml:space="preserve"> regards </w:t>
      </w:r>
      <w:r w:rsidR="009D4CB2">
        <w:rPr>
          <w:lang w:val="en-GB"/>
        </w:rPr>
        <w:t xml:space="preserve">to the </w:t>
      </w:r>
      <w:r w:rsidR="01A67774" w:rsidRPr="2F9161C8">
        <w:rPr>
          <w:lang w:val="en-GB"/>
        </w:rPr>
        <w:t xml:space="preserve">hydrogen requirement. </w:t>
      </w:r>
      <w:r w:rsidR="2B52D5D2" w:rsidRPr="2F9161C8">
        <w:rPr>
          <w:lang w:val="en-GB"/>
        </w:rPr>
        <w:t>A</w:t>
      </w:r>
      <w:r w:rsidR="004548F6" w:rsidRPr="2F9161C8">
        <w:rPr>
          <w:lang w:val="en-GB"/>
        </w:rPr>
        <w:t xml:space="preserve">s </w:t>
      </w:r>
      <w:r w:rsidR="7E5C4DC4" w:rsidRPr="2F9161C8">
        <w:rPr>
          <w:lang w:val="en-GB"/>
        </w:rPr>
        <w:t xml:space="preserve">the </w:t>
      </w:r>
      <w:r w:rsidR="004548F6" w:rsidRPr="2F9161C8">
        <w:rPr>
          <w:lang w:val="en-GB"/>
        </w:rPr>
        <w:t>biomass</w:t>
      </w:r>
      <w:r w:rsidR="00042E12" w:rsidRPr="2F9161C8">
        <w:rPr>
          <w:lang w:val="en-GB"/>
        </w:rPr>
        <w:t>-</w:t>
      </w:r>
      <w:r w:rsidR="004548F6" w:rsidRPr="2F9161C8">
        <w:rPr>
          <w:lang w:val="en-GB"/>
        </w:rPr>
        <w:t xml:space="preserve">based route </w:t>
      </w:r>
      <w:r w:rsidR="00042E12" w:rsidRPr="2F9161C8">
        <w:rPr>
          <w:lang w:val="en-GB"/>
        </w:rPr>
        <w:t>produces</w:t>
      </w:r>
      <w:r w:rsidR="004548F6" w:rsidRPr="2F9161C8">
        <w:rPr>
          <w:lang w:val="en-GB"/>
        </w:rPr>
        <w:t xml:space="preserve"> hydrogen during steam gasification, only part of the</w:t>
      </w:r>
      <w:r w:rsidR="00042E12" w:rsidRPr="2F9161C8">
        <w:rPr>
          <w:lang w:val="en-GB"/>
        </w:rPr>
        <w:t xml:space="preserve"> total amount of</w:t>
      </w:r>
      <w:r w:rsidR="004548F6" w:rsidRPr="2F9161C8">
        <w:rPr>
          <w:lang w:val="en-GB"/>
        </w:rPr>
        <w:t xml:space="preserve"> hydrogen</w:t>
      </w:r>
      <w:r w:rsidR="00042E12" w:rsidRPr="2F9161C8">
        <w:rPr>
          <w:lang w:val="en-GB"/>
        </w:rPr>
        <w:t xml:space="preserve"> required</w:t>
      </w:r>
      <w:r w:rsidR="004548F6" w:rsidRPr="2F9161C8">
        <w:rPr>
          <w:lang w:val="en-GB"/>
        </w:rPr>
        <w:t xml:space="preserve"> for methanol production was </w:t>
      </w:r>
      <w:r w:rsidR="00042E12" w:rsidRPr="2F9161C8">
        <w:rPr>
          <w:lang w:val="en-GB"/>
        </w:rPr>
        <w:t>provided by WE, while in the CO</w:t>
      </w:r>
      <w:r w:rsidR="00042E12" w:rsidRPr="00080D13">
        <w:rPr>
          <w:vertAlign w:val="subscript"/>
          <w:lang w:val="en-GB"/>
        </w:rPr>
        <w:t>2</w:t>
      </w:r>
      <w:r w:rsidR="00042E12" w:rsidRPr="2F9161C8">
        <w:rPr>
          <w:lang w:val="en-GB"/>
        </w:rPr>
        <w:t xml:space="preserve">-based route the hydrogen is </w:t>
      </w:r>
      <w:r w:rsidR="69F7BB03" w:rsidRPr="2F9161C8">
        <w:rPr>
          <w:lang w:val="en-GB"/>
        </w:rPr>
        <w:t>fully</w:t>
      </w:r>
      <w:r w:rsidR="00042E12" w:rsidRPr="2F9161C8">
        <w:rPr>
          <w:lang w:val="en-GB"/>
        </w:rPr>
        <w:t xml:space="preserve"> provided by WE.</w:t>
      </w:r>
      <w:r w:rsidR="004548F6" w:rsidRPr="2F9161C8">
        <w:rPr>
          <w:lang w:val="en-GB"/>
        </w:rPr>
        <w:t xml:space="preserve"> </w:t>
      </w:r>
      <w:r w:rsidR="009D4CB2">
        <w:rPr>
          <w:lang w:val="en-GB"/>
        </w:rPr>
        <w:t xml:space="preserve">For the </w:t>
      </w:r>
      <w:r w:rsidR="00867D87">
        <w:rPr>
          <w:lang w:val="en-GB"/>
        </w:rPr>
        <w:t>plastic-based</w:t>
      </w:r>
      <w:r w:rsidR="009D4CB2">
        <w:rPr>
          <w:lang w:val="en-GB"/>
        </w:rPr>
        <w:t xml:space="preserve"> route, no external hydrogen was needed as all the required hydrogen was produced during the plastic steam gasification process.</w:t>
      </w:r>
    </w:p>
    <w:p w14:paraId="2969E968" w14:textId="5D47AD3B" w:rsidR="00225B25" w:rsidRDefault="00225B25" w:rsidP="00225B25">
      <w:pPr>
        <w:pStyle w:val="Caption"/>
        <w:keepNext/>
      </w:pPr>
      <w:r>
        <w:lastRenderedPageBreak/>
        <w:t xml:space="preserve">Table </w:t>
      </w:r>
      <w:r>
        <w:fldChar w:fldCharType="begin"/>
      </w:r>
      <w:r>
        <w:instrText xml:space="preserve"> SEQ Table \* ARABIC </w:instrText>
      </w:r>
      <w:r>
        <w:fldChar w:fldCharType="separate"/>
      </w:r>
      <w:r w:rsidR="00627221" w:rsidRPr="2F9161C8">
        <w:rPr>
          <w:noProof/>
        </w:rPr>
        <w:t>4</w:t>
      </w:r>
      <w:r>
        <w:fldChar w:fldCharType="end"/>
      </w:r>
      <w:r>
        <w:t xml:space="preserve">: Energy </w:t>
      </w:r>
      <w:r w:rsidR="00F04CEE">
        <w:t>flow</w:t>
      </w:r>
      <w:r w:rsidR="007A1488">
        <w:t xml:space="preserve"> comparison </w:t>
      </w:r>
      <w:r w:rsidR="00F04CEE">
        <w:t>of the s</w:t>
      </w:r>
      <w:r w:rsidR="00F04CEE" w:rsidRPr="2F9161C8">
        <w:rPr>
          <w:lang w:val="en-GB"/>
        </w:rPr>
        <w:t>elected technologies f</w:t>
      </w:r>
      <w:r w:rsidR="007A1488">
        <w:rPr>
          <w:lang w:val="en-GB"/>
        </w:rPr>
        <w:t>or each ACS</w:t>
      </w:r>
      <w:r w:rsidR="00F04CEE" w:rsidRPr="2F9161C8">
        <w:rPr>
          <w:lang w:val="en-GB"/>
        </w:rPr>
        <w:t xml:space="preserve"> </w:t>
      </w:r>
      <w:r w:rsidR="007A1488">
        <w:rPr>
          <w:lang w:val="en-GB"/>
        </w:rPr>
        <w:t>vs base-case natural gas for</w:t>
      </w:r>
      <w:r w:rsidR="00F04CEE" w:rsidRPr="2F9161C8">
        <w:rPr>
          <w:lang w:val="en-GB"/>
        </w:rPr>
        <w:t xml:space="preserve"> the synthesis of methanol</w:t>
      </w:r>
      <w:r w:rsidR="00F04CEE">
        <w:t>.</w:t>
      </w:r>
      <w:r w:rsidR="004F6C0D">
        <w:t xml:space="preserve"> </w:t>
      </w:r>
      <w:r w:rsidR="007A1488">
        <w:t xml:space="preserve">(Note: </w:t>
      </w:r>
      <w:r w:rsidR="004F6C0D" w:rsidRPr="00080D13">
        <w:rPr>
          <w:i/>
          <w:iCs/>
        </w:rPr>
        <w:t xml:space="preserve">A negative sign means </w:t>
      </w:r>
      <w:r w:rsidR="004F6C0D" w:rsidRPr="2F9161C8">
        <w:rPr>
          <w:i/>
          <w:iCs/>
        </w:rPr>
        <w:t>generation</w:t>
      </w:r>
      <w:r w:rsidR="004F6C0D" w:rsidRPr="007A1488">
        <w:t>.</w:t>
      </w:r>
      <w:r w:rsidR="007A1488" w:rsidRPr="007A1488">
        <w:t>)</w:t>
      </w:r>
    </w:p>
    <w:tbl>
      <w:tblPr>
        <w:tblStyle w:val="TableGrid"/>
        <w:tblW w:w="5000" w:type="pct"/>
        <w:tblLook w:val="0420" w:firstRow="1" w:lastRow="0" w:firstColumn="0" w:lastColumn="0" w:noHBand="0" w:noVBand="1"/>
      </w:tblPr>
      <w:tblGrid>
        <w:gridCol w:w="1555"/>
        <w:gridCol w:w="1438"/>
        <w:gridCol w:w="1260"/>
        <w:gridCol w:w="1310"/>
        <w:gridCol w:w="1513"/>
      </w:tblGrid>
      <w:tr w:rsidR="004034D4" w:rsidRPr="004A064E" w14:paraId="6F9FCF2E" w14:textId="77777777" w:rsidTr="00CE79D2">
        <w:trPr>
          <w:trHeight w:val="429"/>
        </w:trPr>
        <w:tc>
          <w:tcPr>
            <w:tcW w:w="1099" w:type="pct"/>
            <w:vAlign w:val="center"/>
          </w:tcPr>
          <w:p w14:paraId="133A2021" w14:textId="1DC790E5" w:rsidR="004034D4" w:rsidRPr="00080D13" w:rsidRDefault="6A148C15" w:rsidP="23834317">
            <w:pPr>
              <w:pStyle w:val="Els-body-text"/>
              <w:jc w:val="center"/>
              <w:rPr>
                <w:sz w:val="18"/>
                <w:szCs w:val="18"/>
                <w:lang w:val="en-GB"/>
              </w:rPr>
            </w:pPr>
            <w:r w:rsidRPr="00080D13">
              <w:rPr>
                <w:b/>
                <w:bCs/>
                <w:sz w:val="18"/>
                <w:szCs w:val="18"/>
                <w:lang w:val="en-GB"/>
              </w:rPr>
              <w:t>Main utilities</w:t>
            </w:r>
          </w:p>
        </w:tc>
        <w:tc>
          <w:tcPr>
            <w:tcW w:w="1016" w:type="pct"/>
            <w:vAlign w:val="center"/>
            <w:hideMark/>
          </w:tcPr>
          <w:p w14:paraId="37EF5EF1" w14:textId="07815E8B" w:rsidR="004034D4" w:rsidRPr="00080D13" w:rsidRDefault="4349D0DF" w:rsidP="23834317">
            <w:pPr>
              <w:pStyle w:val="Els-body-text"/>
              <w:jc w:val="center"/>
              <w:rPr>
                <w:sz w:val="18"/>
                <w:szCs w:val="18"/>
                <w:lang w:val="en-GB"/>
              </w:rPr>
            </w:pPr>
            <w:r w:rsidRPr="00080D13">
              <w:rPr>
                <w:b/>
                <w:bCs/>
                <w:sz w:val="18"/>
                <w:szCs w:val="18"/>
                <w:lang w:val="en-GB"/>
              </w:rPr>
              <w:t>Base case</w:t>
            </w:r>
            <w:r w:rsidR="781DEDF4" w:rsidRPr="2F9161C8">
              <w:rPr>
                <w:b/>
                <w:bCs/>
                <w:sz w:val="18"/>
                <w:szCs w:val="18"/>
                <w:lang w:val="en-GB"/>
              </w:rPr>
              <w:t xml:space="preserve"> </w:t>
            </w:r>
            <w:r w:rsidR="00867D87" w:rsidRPr="2F9161C8">
              <w:rPr>
                <w:b/>
                <w:bCs/>
                <w:sz w:val="18"/>
                <w:szCs w:val="18"/>
                <w:lang w:val="en-GB"/>
              </w:rPr>
              <w:t xml:space="preserve">fossil </w:t>
            </w:r>
            <w:r w:rsidR="00867D87" w:rsidRPr="00080D13">
              <w:rPr>
                <w:b/>
                <w:bCs/>
                <w:sz w:val="18"/>
                <w:szCs w:val="18"/>
                <w:lang w:val="en-GB"/>
              </w:rPr>
              <w:t>methanol</w:t>
            </w:r>
          </w:p>
        </w:tc>
        <w:tc>
          <w:tcPr>
            <w:tcW w:w="890" w:type="pct"/>
            <w:vAlign w:val="center"/>
            <w:hideMark/>
          </w:tcPr>
          <w:p w14:paraId="751A0BEE" w14:textId="77777777" w:rsidR="004034D4" w:rsidRPr="00080D13" w:rsidRDefault="6A148C15" w:rsidP="23834317">
            <w:pPr>
              <w:pStyle w:val="Els-body-text"/>
              <w:jc w:val="center"/>
              <w:rPr>
                <w:sz w:val="18"/>
                <w:szCs w:val="18"/>
                <w:lang w:val="en-GB"/>
              </w:rPr>
            </w:pPr>
            <w:r w:rsidRPr="00080D13">
              <w:rPr>
                <w:b/>
                <w:bCs/>
                <w:sz w:val="18"/>
                <w:szCs w:val="18"/>
                <w:lang w:val="en-GB"/>
              </w:rPr>
              <w:t>CO</w:t>
            </w:r>
            <w:r w:rsidRPr="00080D13">
              <w:rPr>
                <w:b/>
                <w:bCs/>
                <w:sz w:val="18"/>
                <w:szCs w:val="18"/>
                <w:vertAlign w:val="subscript"/>
                <w:lang w:val="en-GB"/>
              </w:rPr>
              <w:t>2</w:t>
            </w:r>
            <w:r w:rsidRPr="00080D13">
              <w:rPr>
                <w:b/>
                <w:bCs/>
                <w:sz w:val="18"/>
                <w:szCs w:val="18"/>
                <w:lang w:val="en-GB"/>
              </w:rPr>
              <w:t xml:space="preserve"> to methanol</w:t>
            </w:r>
          </w:p>
        </w:tc>
        <w:tc>
          <w:tcPr>
            <w:tcW w:w="926" w:type="pct"/>
            <w:vAlign w:val="center"/>
            <w:hideMark/>
          </w:tcPr>
          <w:p w14:paraId="03489523" w14:textId="77777777" w:rsidR="004034D4" w:rsidRPr="00080D13" w:rsidRDefault="6A148C15" w:rsidP="23834317">
            <w:pPr>
              <w:pStyle w:val="Els-body-text"/>
              <w:jc w:val="center"/>
              <w:rPr>
                <w:sz w:val="18"/>
                <w:szCs w:val="18"/>
                <w:lang w:val="en-GB"/>
              </w:rPr>
            </w:pPr>
            <w:r w:rsidRPr="00080D13">
              <w:rPr>
                <w:b/>
                <w:bCs/>
                <w:sz w:val="18"/>
                <w:szCs w:val="18"/>
                <w:lang w:val="en-GB"/>
              </w:rPr>
              <w:t>Biomass to methanol</w:t>
            </w:r>
          </w:p>
        </w:tc>
        <w:tc>
          <w:tcPr>
            <w:tcW w:w="1069" w:type="pct"/>
            <w:vAlign w:val="center"/>
            <w:hideMark/>
          </w:tcPr>
          <w:p w14:paraId="128E13F1" w14:textId="77777777" w:rsidR="004034D4" w:rsidRPr="00080D13" w:rsidRDefault="6A148C15" w:rsidP="23834317">
            <w:pPr>
              <w:pStyle w:val="Els-body-text"/>
              <w:jc w:val="center"/>
              <w:rPr>
                <w:sz w:val="18"/>
                <w:szCs w:val="18"/>
                <w:lang w:val="en-GB"/>
              </w:rPr>
            </w:pPr>
            <w:r w:rsidRPr="00080D13">
              <w:rPr>
                <w:b/>
                <w:bCs/>
                <w:sz w:val="18"/>
                <w:szCs w:val="18"/>
                <w:lang w:val="en-GB"/>
              </w:rPr>
              <w:t>Plastic waste to methanol</w:t>
            </w:r>
          </w:p>
        </w:tc>
      </w:tr>
      <w:tr w:rsidR="004034D4" w:rsidRPr="004A064E" w14:paraId="56E5EF57" w14:textId="77777777" w:rsidTr="00CE79D2">
        <w:trPr>
          <w:trHeight w:val="284"/>
        </w:trPr>
        <w:tc>
          <w:tcPr>
            <w:tcW w:w="1099" w:type="pct"/>
            <w:vAlign w:val="center"/>
            <w:hideMark/>
          </w:tcPr>
          <w:p w14:paraId="6AA2AAB3" w14:textId="77777777" w:rsidR="004034D4" w:rsidRPr="00080D13" w:rsidRDefault="6A148C15" w:rsidP="23834317">
            <w:pPr>
              <w:pStyle w:val="Els-body-text"/>
              <w:jc w:val="left"/>
              <w:rPr>
                <w:sz w:val="18"/>
                <w:szCs w:val="18"/>
                <w:lang w:val="en-GB"/>
              </w:rPr>
            </w:pPr>
            <w:r w:rsidRPr="00080D13">
              <w:rPr>
                <w:sz w:val="18"/>
                <w:szCs w:val="18"/>
                <w:lang w:val="en-GB"/>
              </w:rPr>
              <w:t>Electricity</w:t>
            </w:r>
          </w:p>
        </w:tc>
        <w:tc>
          <w:tcPr>
            <w:tcW w:w="1016" w:type="pct"/>
            <w:vAlign w:val="center"/>
            <w:hideMark/>
          </w:tcPr>
          <w:p w14:paraId="7D7B7335" w14:textId="77777777" w:rsidR="004034D4" w:rsidRPr="00080D13" w:rsidRDefault="6A148C15" w:rsidP="23834317">
            <w:pPr>
              <w:pStyle w:val="Els-body-text"/>
              <w:jc w:val="center"/>
              <w:rPr>
                <w:sz w:val="18"/>
                <w:szCs w:val="18"/>
                <w:lang w:val="en-GB"/>
              </w:rPr>
            </w:pPr>
            <w:r w:rsidRPr="00080D13">
              <w:rPr>
                <w:sz w:val="18"/>
                <w:szCs w:val="18"/>
                <w:lang w:val="en-GB"/>
              </w:rPr>
              <w:t>198 GWh/y</w:t>
            </w:r>
          </w:p>
        </w:tc>
        <w:tc>
          <w:tcPr>
            <w:tcW w:w="890" w:type="pct"/>
            <w:vAlign w:val="center"/>
            <w:hideMark/>
          </w:tcPr>
          <w:p w14:paraId="03FFC4D3" w14:textId="01E752E3" w:rsidR="004034D4" w:rsidRPr="00080D13" w:rsidRDefault="6A148C15" w:rsidP="23834317">
            <w:pPr>
              <w:pStyle w:val="Els-body-text"/>
              <w:jc w:val="center"/>
              <w:rPr>
                <w:sz w:val="18"/>
                <w:szCs w:val="18"/>
                <w:lang w:val="en-GB"/>
              </w:rPr>
            </w:pPr>
            <w:r w:rsidRPr="00080D13">
              <w:rPr>
                <w:sz w:val="18"/>
                <w:szCs w:val="18"/>
                <w:lang w:val="en-GB"/>
              </w:rPr>
              <w:t>7168 GWh/y</w:t>
            </w:r>
          </w:p>
        </w:tc>
        <w:tc>
          <w:tcPr>
            <w:tcW w:w="926" w:type="pct"/>
            <w:vAlign w:val="center"/>
            <w:hideMark/>
          </w:tcPr>
          <w:p w14:paraId="062E7CD7" w14:textId="77777777" w:rsidR="004034D4" w:rsidRPr="00080D13" w:rsidRDefault="6A148C15" w:rsidP="23834317">
            <w:pPr>
              <w:pStyle w:val="Els-body-text"/>
              <w:jc w:val="center"/>
              <w:rPr>
                <w:sz w:val="18"/>
                <w:szCs w:val="18"/>
                <w:lang w:val="en-GB"/>
              </w:rPr>
            </w:pPr>
            <w:r w:rsidRPr="00080D13">
              <w:rPr>
                <w:sz w:val="18"/>
                <w:szCs w:val="18"/>
                <w:lang w:val="en-GB"/>
              </w:rPr>
              <w:t>3553 GWh/y</w:t>
            </w:r>
          </w:p>
        </w:tc>
        <w:tc>
          <w:tcPr>
            <w:tcW w:w="1069" w:type="pct"/>
            <w:vAlign w:val="center"/>
            <w:hideMark/>
          </w:tcPr>
          <w:p w14:paraId="407801B2" w14:textId="22638BD5" w:rsidR="004034D4" w:rsidRPr="00080D13" w:rsidRDefault="6A148C15" w:rsidP="23834317">
            <w:pPr>
              <w:pStyle w:val="Els-body-text"/>
              <w:jc w:val="center"/>
              <w:rPr>
                <w:sz w:val="18"/>
                <w:szCs w:val="18"/>
                <w:lang w:val="en-GB"/>
              </w:rPr>
            </w:pPr>
            <w:r w:rsidRPr="00080D13">
              <w:rPr>
                <w:sz w:val="18"/>
                <w:szCs w:val="18"/>
                <w:lang w:val="en-GB"/>
              </w:rPr>
              <w:t>220 GWh/y</w:t>
            </w:r>
          </w:p>
        </w:tc>
      </w:tr>
      <w:tr w:rsidR="004034D4" w:rsidRPr="004A064E" w14:paraId="292D5FD7" w14:textId="77777777" w:rsidTr="00CE79D2">
        <w:trPr>
          <w:trHeight w:val="105"/>
        </w:trPr>
        <w:tc>
          <w:tcPr>
            <w:tcW w:w="1099" w:type="pct"/>
            <w:vAlign w:val="center"/>
            <w:hideMark/>
          </w:tcPr>
          <w:p w14:paraId="1AFEC4E3" w14:textId="77777777" w:rsidR="004034D4" w:rsidRPr="00080D13" w:rsidRDefault="6A148C15" w:rsidP="23834317">
            <w:pPr>
              <w:pStyle w:val="Els-body-text"/>
              <w:jc w:val="left"/>
              <w:rPr>
                <w:sz w:val="18"/>
                <w:szCs w:val="18"/>
                <w:lang w:val="en-GB"/>
              </w:rPr>
            </w:pPr>
            <w:r w:rsidRPr="00080D13">
              <w:rPr>
                <w:sz w:val="18"/>
                <w:szCs w:val="18"/>
                <w:lang w:val="en-GB"/>
              </w:rPr>
              <w:t>LLP steam</w:t>
            </w:r>
          </w:p>
        </w:tc>
        <w:tc>
          <w:tcPr>
            <w:tcW w:w="1016" w:type="pct"/>
            <w:vAlign w:val="center"/>
            <w:hideMark/>
          </w:tcPr>
          <w:p w14:paraId="3AD3F528" w14:textId="77777777" w:rsidR="004034D4" w:rsidRPr="00080D13" w:rsidRDefault="6A148C15" w:rsidP="23834317">
            <w:pPr>
              <w:pStyle w:val="Els-body-text"/>
              <w:jc w:val="center"/>
              <w:rPr>
                <w:sz w:val="18"/>
                <w:szCs w:val="18"/>
                <w:lang w:val="en-GB"/>
              </w:rPr>
            </w:pPr>
            <w:r w:rsidRPr="00080D13">
              <w:rPr>
                <w:sz w:val="18"/>
                <w:szCs w:val="18"/>
                <w:lang w:val="en-GB"/>
              </w:rPr>
              <w:t>-385 TJ/y</w:t>
            </w:r>
          </w:p>
        </w:tc>
        <w:tc>
          <w:tcPr>
            <w:tcW w:w="890" w:type="pct"/>
            <w:vAlign w:val="center"/>
            <w:hideMark/>
          </w:tcPr>
          <w:p w14:paraId="7070DE50" w14:textId="77777777" w:rsidR="004034D4" w:rsidRPr="00080D13" w:rsidRDefault="6A148C15" w:rsidP="23834317">
            <w:pPr>
              <w:pStyle w:val="Els-body-text"/>
              <w:jc w:val="center"/>
              <w:rPr>
                <w:sz w:val="18"/>
                <w:szCs w:val="18"/>
                <w:lang w:val="en-GB"/>
              </w:rPr>
            </w:pPr>
            <w:r w:rsidRPr="00080D13">
              <w:rPr>
                <w:sz w:val="18"/>
                <w:szCs w:val="18"/>
                <w:lang w:val="en-GB"/>
              </w:rPr>
              <w:t>-76 TJ/y</w:t>
            </w:r>
          </w:p>
        </w:tc>
        <w:tc>
          <w:tcPr>
            <w:tcW w:w="926" w:type="pct"/>
            <w:vAlign w:val="center"/>
            <w:hideMark/>
          </w:tcPr>
          <w:p w14:paraId="350D9AA6" w14:textId="77777777" w:rsidR="004034D4" w:rsidRPr="00080D13" w:rsidRDefault="6A148C15" w:rsidP="23834317">
            <w:pPr>
              <w:pStyle w:val="Els-body-text"/>
              <w:jc w:val="center"/>
              <w:rPr>
                <w:sz w:val="18"/>
                <w:szCs w:val="18"/>
                <w:lang w:val="en-GB"/>
              </w:rPr>
            </w:pPr>
            <w:r w:rsidRPr="00080D13">
              <w:rPr>
                <w:sz w:val="18"/>
                <w:szCs w:val="18"/>
                <w:lang w:val="en-GB"/>
              </w:rPr>
              <w:t>-89 TJ/y</w:t>
            </w:r>
          </w:p>
        </w:tc>
        <w:tc>
          <w:tcPr>
            <w:tcW w:w="1069" w:type="pct"/>
            <w:vAlign w:val="center"/>
            <w:hideMark/>
          </w:tcPr>
          <w:p w14:paraId="65F2A83F" w14:textId="77777777" w:rsidR="004034D4" w:rsidRPr="00080D13" w:rsidRDefault="6A148C15" w:rsidP="23834317">
            <w:pPr>
              <w:pStyle w:val="Els-body-text"/>
              <w:jc w:val="center"/>
              <w:rPr>
                <w:sz w:val="18"/>
                <w:szCs w:val="18"/>
                <w:lang w:val="en-GB"/>
              </w:rPr>
            </w:pPr>
            <w:r w:rsidRPr="00080D13">
              <w:rPr>
                <w:sz w:val="18"/>
                <w:szCs w:val="18"/>
                <w:lang w:val="en-GB"/>
              </w:rPr>
              <w:t>-</w:t>
            </w:r>
          </w:p>
        </w:tc>
      </w:tr>
      <w:tr w:rsidR="004034D4" w:rsidRPr="004A064E" w14:paraId="2DE69235" w14:textId="77777777" w:rsidTr="00CE79D2">
        <w:trPr>
          <w:trHeight w:val="152"/>
        </w:trPr>
        <w:tc>
          <w:tcPr>
            <w:tcW w:w="1099" w:type="pct"/>
            <w:vAlign w:val="center"/>
            <w:hideMark/>
          </w:tcPr>
          <w:p w14:paraId="5D6635C7" w14:textId="77777777" w:rsidR="004034D4" w:rsidRPr="00080D13" w:rsidRDefault="6A148C15" w:rsidP="23834317">
            <w:pPr>
              <w:pStyle w:val="Els-body-text"/>
              <w:jc w:val="left"/>
              <w:rPr>
                <w:sz w:val="18"/>
                <w:szCs w:val="18"/>
                <w:lang w:val="en-GB"/>
              </w:rPr>
            </w:pPr>
            <w:r w:rsidRPr="00080D13">
              <w:rPr>
                <w:sz w:val="18"/>
                <w:szCs w:val="18"/>
                <w:lang w:val="en-GB"/>
              </w:rPr>
              <w:t xml:space="preserve">LP steam </w:t>
            </w:r>
          </w:p>
        </w:tc>
        <w:tc>
          <w:tcPr>
            <w:tcW w:w="1016" w:type="pct"/>
            <w:vAlign w:val="center"/>
            <w:hideMark/>
          </w:tcPr>
          <w:p w14:paraId="3529FCB8" w14:textId="77777777" w:rsidR="004034D4" w:rsidRPr="00080D13" w:rsidRDefault="6A148C15" w:rsidP="23834317">
            <w:pPr>
              <w:pStyle w:val="Els-body-text"/>
              <w:jc w:val="center"/>
              <w:rPr>
                <w:sz w:val="18"/>
                <w:szCs w:val="18"/>
                <w:lang w:val="en-GB"/>
              </w:rPr>
            </w:pPr>
            <w:r w:rsidRPr="00080D13">
              <w:rPr>
                <w:sz w:val="18"/>
                <w:szCs w:val="18"/>
                <w:lang w:val="en-GB"/>
              </w:rPr>
              <w:t>259 TJ/y</w:t>
            </w:r>
          </w:p>
        </w:tc>
        <w:tc>
          <w:tcPr>
            <w:tcW w:w="890" w:type="pct"/>
            <w:vAlign w:val="center"/>
            <w:hideMark/>
          </w:tcPr>
          <w:p w14:paraId="26D0E820" w14:textId="77777777" w:rsidR="004034D4" w:rsidRPr="00080D13" w:rsidRDefault="6A148C15" w:rsidP="23834317">
            <w:pPr>
              <w:pStyle w:val="Els-body-text"/>
              <w:jc w:val="center"/>
              <w:rPr>
                <w:sz w:val="18"/>
                <w:szCs w:val="18"/>
                <w:lang w:val="en-GB"/>
              </w:rPr>
            </w:pPr>
            <w:r w:rsidRPr="00080D13">
              <w:rPr>
                <w:sz w:val="18"/>
                <w:szCs w:val="18"/>
                <w:lang w:val="en-GB"/>
              </w:rPr>
              <w:t>-1895 TJ/y</w:t>
            </w:r>
          </w:p>
        </w:tc>
        <w:tc>
          <w:tcPr>
            <w:tcW w:w="926" w:type="pct"/>
            <w:vAlign w:val="center"/>
            <w:hideMark/>
          </w:tcPr>
          <w:p w14:paraId="3765DFD4" w14:textId="77777777" w:rsidR="004034D4" w:rsidRPr="00080D13" w:rsidRDefault="6A148C15" w:rsidP="23834317">
            <w:pPr>
              <w:pStyle w:val="Els-body-text"/>
              <w:jc w:val="center"/>
              <w:rPr>
                <w:sz w:val="18"/>
                <w:szCs w:val="18"/>
                <w:lang w:val="en-GB"/>
              </w:rPr>
            </w:pPr>
            <w:r w:rsidRPr="00080D13">
              <w:rPr>
                <w:sz w:val="18"/>
                <w:szCs w:val="18"/>
                <w:lang w:val="en-GB"/>
              </w:rPr>
              <w:t>-1899 TJ/y</w:t>
            </w:r>
          </w:p>
        </w:tc>
        <w:tc>
          <w:tcPr>
            <w:tcW w:w="1069" w:type="pct"/>
            <w:vAlign w:val="center"/>
            <w:hideMark/>
          </w:tcPr>
          <w:p w14:paraId="5A489770" w14:textId="77777777" w:rsidR="004034D4" w:rsidRPr="00080D13" w:rsidRDefault="6A148C15" w:rsidP="23834317">
            <w:pPr>
              <w:pStyle w:val="Els-body-text"/>
              <w:jc w:val="center"/>
              <w:rPr>
                <w:sz w:val="18"/>
                <w:szCs w:val="18"/>
                <w:lang w:val="en-GB"/>
              </w:rPr>
            </w:pPr>
            <w:r w:rsidRPr="00080D13">
              <w:rPr>
                <w:sz w:val="18"/>
                <w:szCs w:val="18"/>
                <w:lang w:val="en-GB"/>
              </w:rPr>
              <w:t>1792 TJ/y</w:t>
            </w:r>
          </w:p>
        </w:tc>
      </w:tr>
      <w:tr w:rsidR="004034D4" w:rsidRPr="004A064E" w14:paraId="06978049" w14:textId="77777777" w:rsidTr="00CE79D2">
        <w:trPr>
          <w:trHeight w:val="197"/>
        </w:trPr>
        <w:tc>
          <w:tcPr>
            <w:tcW w:w="1099" w:type="pct"/>
            <w:vAlign w:val="center"/>
            <w:hideMark/>
          </w:tcPr>
          <w:p w14:paraId="391CF0B2" w14:textId="77777777" w:rsidR="004034D4" w:rsidRPr="00080D13" w:rsidRDefault="6A148C15" w:rsidP="23834317">
            <w:pPr>
              <w:pStyle w:val="Els-body-text"/>
              <w:jc w:val="left"/>
              <w:rPr>
                <w:sz w:val="18"/>
                <w:szCs w:val="18"/>
                <w:lang w:val="en-GB"/>
              </w:rPr>
            </w:pPr>
            <w:r w:rsidRPr="00080D13">
              <w:rPr>
                <w:sz w:val="18"/>
                <w:szCs w:val="18"/>
                <w:lang w:val="en-GB"/>
              </w:rPr>
              <w:t xml:space="preserve">MP steam </w:t>
            </w:r>
          </w:p>
        </w:tc>
        <w:tc>
          <w:tcPr>
            <w:tcW w:w="1016" w:type="pct"/>
            <w:vAlign w:val="center"/>
            <w:hideMark/>
          </w:tcPr>
          <w:p w14:paraId="264A9F34" w14:textId="77777777" w:rsidR="004034D4" w:rsidRPr="00080D13" w:rsidRDefault="6A148C15" w:rsidP="23834317">
            <w:pPr>
              <w:pStyle w:val="Els-body-text"/>
              <w:jc w:val="center"/>
              <w:rPr>
                <w:sz w:val="18"/>
                <w:szCs w:val="18"/>
                <w:lang w:val="en-GB"/>
              </w:rPr>
            </w:pPr>
            <w:r w:rsidRPr="00080D13">
              <w:rPr>
                <w:sz w:val="18"/>
                <w:szCs w:val="18"/>
                <w:lang w:val="en-GB"/>
              </w:rPr>
              <w:t>-1085 TJ/y</w:t>
            </w:r>
          </w:p>
        </w:tc>
        <w:tc>
          <w:tcPr>
            <w:tcW w:w="890" w:type="pct"/>
            <w:vAlign w:val="center"/>
            <w:hideMark/>
          </w:tcPr>
          <w:p w14:paraId="17CA5839" w14:textId="77777777" w:rsidR="004034D4" w:rsidRPr="00080D13" w:rsidRDefault="6A148C15" w:rsidP="23834317">
            <w:pPr>
              <w:pStyle w:val="Els-body-text"/>
              <w:jc w:val="center"/>
              <w:rPr>
                <w:sz w:val="18"/>
                <w:szCs w:val="18"/>
                <w:lang w:val="en-GB"/>
              </w:rPr>
            </w:pPr>
            <w:r w:rsidRPr="00080D13">
              <w:rPr>
                <w:sz w:val="18"/>
                <w:szCs w:val="18"/>
                <w:lang w:val="en-GB"/>
              </w:rPr>
              <w:t>-269 TJ/y</w:t>
            </w:r>
          </w:p>
        </w:tc>
        <w:tc>
          <w:tcPr>
            <w:tcW w:w="926" w:type="pct"/>
            <w:vAlign w:val="center"/>
            <w:hideMark/>
          </w:tcPr>
          <w:p w14:paraId="48A73D60" w14:textId="77777777" w:rsidR="004034D4" w:rsidRPr="00080D13" w:rsidRDefault="6A148C15" w:rsidP="23834317">
            <w:pPr>
              <w:pStyle w:val="Els-body-text"/>
              <w:jc w:val="center"/>
              <w:rPr>
                <w:sz w:val="18"/>
                <w:szCs w:val="18"/>
                <w:lang w:val="en-GB"/>
              </w:rPr>
            </w:pPr>
            <w:r w:rsidRPr="00080D13">
              <w:rPr>
                <w:sz w:val="18"/>
                <w:szCs w:val="18"/>
                <w:lang w:val="en-GB"/>
              </w:rPr>
              <w:t>-1127 TJ/y</w:t>
            </w:r>
          </w:p>
        </w:tc>
        <w:tc>
          <w:tcPr>
            <w:tcW w:w="1069" w:type="pct"/>
            <w:vAlign w:val="center"/>
            <w:hideMark/>
          </w:tcPr>
          <w:p w14:paraId="52EA6E54" w14:textId="77777777" w:rsidR="004034D4" w:rsidRPr="00080D13" w:rsidRDefault="6A148C15" w:rsidP="23834317">
            <w:pPr>
              <w:pStyle w:val="Els-body-text"/>
              <w:jc w:val="center"/>
              <w:rPr>
                <w:sz w:val="18"/>
                <w:szCs w:val="18"/>
                <w:lang w:val="en-GB"/>
              </w:rPr>
            </w:pPr>
            <w:r w:rsidRPr="00080D13">
              <w:rPr>
                <w:sz w:val="18"/>
                <w:szCs w:val="18"/>
                <w:lang w:val="en-GB"/>
              </w:rPr>
              <w:t>-1389 TJ/y</w:t>
            </w:r>
          </w:p>
        </w:tc>
      </w:tr>
      <w:tr w:rsidR="004034D4" w:rsidRPr="004A064E" w14:paraId="5A8E86D6" w14:textId="77777777" w:rsidTr="00CE79D2">
        <w:trPr>
          <w:trHeight w:val="70"/>
        </w:trPr>
        <w:tc>
          <w:tcPr>
            <w:tcW w:w="1099" w:type="pct"/>
            <w:vAlign w:val="center"/>
            <w:hideMark/>
          </w:tcPr>
          <w:p w14:paraId="7955377D" w14:textId="77777777" w:rsidR="004034D4" w:rsidRPr="00080D13" w:rsidRDefault="6A148C15" w:rsidP="23834317">
            <w:pPr>
              <w:pStyle w:val="Els-body-text"/>
              <w:jc w:val="left"/>
              <w:rPr>
                <w:sz w:val="18"/>
                <w:szCs w:val="18"/>
                <w:lang w:val="en-GB"/>
              </w:rPr>
            </w:pPr>
            <w:r w:rsidRPr="00080D13">
              <w:rPr>
                <w:sz w:val="18"/>
                <w:szCs w:val="18"/>
                <w:lang w:val="en-GB"/>
              </w:rPr>
              <w:t>HP steam</w:t>
            </w:r>
          </w:p>
        </w:tc>
        <w:tc>
          <w:tcPr>
            <w:tcW w:w="1016" w:type="pct"/>
            <w:vAlign w:val="center"/>
            <w:hideMark/>
          </w:tcPr>
          <w:p w14:paraId="553EB99C" w14:textId="77777777" w:rsidR="004034D4" w:rsidRPr="00080D13" w:rsidRDefault="6A148C15" w:rsidP="23834317">
            <w:pPr>
              <w:pStyle w:val="Els-body-text"/>
              <w:jc w:val="center"/>
              <w:rPr>
                <w:sz w:val="18"/>
                <w:szCs w:val="18"/>
                <w:lang w:val="en-GB"/>
              </w:rPr>
            </w:pPr>
            <w:r w:rsidRPr="00080D13">
              <w:rPr>
                <w:sz w:val="18"/>
                <w:szCs w:val="18"/>
                <w:lang w:val="en-GB"/>
              </w:rPr>
              <w:t>-36 TJ/y</w:t>
            </w:r>
          </w:p>
        </w:tc>
        <w:tc>
          <w:tcPr>
            <w:tcW w:w="890" w:type="pct"/>
            <w:vAlign w:val="center"/>
            <w:hideMark/>
          </w:tcPr>
          <w:p w14:paraId="6263719B" w14:textId="77777777" w:rsidR="004034D4" w:rsidRPr="00080D13" w:rsidRDefault="6A148C15" w:rsidP="23834317">
            <w:pPr>
              <w:pStyle w:val="Els-body-text"/>
              <w:jc w:val="center"/>
              <w:rPr>
                <w:sz w:val="18"/>
                <w:szCs w:val="18"/>
                <w:lang w:val="en-GB"/>
              </w:rPr>
            </w:pPr>
            <w:r w:rsidRPr="00080D13">
              <w:rPr>
                <w:sz w:val="18"/>
                <w:szCs w:val="18"/>
                <w:lang w:val="en-GB"/>
              </w:rPr>
              <w:t>-</w:t>
            </w:r>
          </w:p>
        </w:tc>
        <w:tc>
          <w:tcPr>
            <w:tcW w:w="926" w:type="pct"/>
            <w:vAlign w:val="center"/>
            <w:hideMark/>
          </w:tcPr>
          <w:p w14:paraId="1C0A42A5" w14:textId="77777777" w:rsidR="004034D4" w:rsidRPr="00080D13" w:rsidRDefault="6A148C15" w:rsidP="23834317">
            <w:pPr>
              <w:pStyle w:val="Els-body-text"/>
              <w:jc w:val="center"/>
              <w:rPr>
                <w:sz w:val="18"/>
                <w:szCs w:val="18"/>
                <w:lang w:val="en-GB"/>
              </w:rPr>
            </w:pPr>
            <w:r w:rsidRPr="00080D13">
              <w:rPr>
                <w:sz w:val="18"/>
                <w:szCs w:val="18"/>
                <w:lang w:val="en-GB"/>
              </w:rPr>
              <w:t>-3203 TJ/y</w:t>
            </w:r>
          </w:p>
        </w:tc>
        <w:tc>
          <w:tcPr>
            <w:tcW w:w="1069" w:type="pct"/>
            <w:vAlign w:val="center"/>
            <w:hideMark/>
          </w:tcPr>
          <w:p w14:paraId="50AB66AB" w14:textId="77777777" w:rsidR="004034D4" w:rsidRPr="00080D13" w:rsidRDefault="6A148C15" w:rsidP="23834317">
            <w:pPr>
              <w:pStyle w:val="Els-body-text"/>
              <w:jc w:val="center"/>
              <w:rPr>
                <w:sz w:val="18"/>
                <w:szCs w:val="18"/>
                <w:lang w:val="en-GB"/>
              </w:rPr>
            </w:pPr>
            <w:r w:rsidRPr="00080D13">
              <w:rPr>
                <w:sz w:val="18"/>
                <w:szCs w:val="18"/>
                <w:lang w:val="en-GB"/>
              </w:rPr>
              <w:t>-615 TJ/y</w:t>
            </w:r>
          </w:p>
        </w:tc>
      </w:tr>
      <w:tr w:rsidR="004034D4" w:rsidRPr="004A064E" w14:paraId="41F76CF2" w14:textId="77777777" w:rsidTr="00CE79D2">
        <w:trPr>
          <w:trHeight w:val="134"/>
        </w:trPr>
        <w:tc>
          <w:tcPr>
            <w:tcW w:w="1099" w:type="pct"/>
            <w:vAlign w:val="center"/>
            <w:hideMark/>
          </w:tcPr>
          <w:p w14:paraId="7287B6A9" w14:textId="6B7A26DD" w:rsidR="004034D4" w:rsidRPr="00080D13" w:rsidRDefault="6A148C15" w:rsidP="23834317">
            <w:pPr>
              <w:pStyle w:val="Els-body-text"/>
              <w:jc w:val="left"/>
              <w:rPr>
                <w:sz w:val="18"/>
                <w:szCs w:val="18"/>
                <w:lang w:val="en-GB"/>
              </w:rPr>
            </w:pPr>
            <w:r w:rsidRPr="00080D13">
              <w:rPr>
                <w:sz w:val="18"/>
                <w:szCs w:val="18"/>
                <w:lang w:val="en-GB"/>
              </w:rPr>
              <w:t xml:space="preserve">Natural gas </w:t>
            </w:r>
          </w:p>
        </w:tc>
        <w:tc>
          <w:tcPr>
            <w:tcW w:w="1016" w:type="pct"/>
            <w:vAlign w:val="center"/>
            <w:hideMark/>
          </w:tcPr>
          <w:p w14:paraId="5B77605D" w14:textId="77777777" w:rsidR="004034D4" w:rsidRPr="00080D13" w:rsidRDefault="6A148C15" w:rsidP="23834317">
            <w:pPr>
              <w:pStyle w:val="Els-body-text"/>
              <w:jc w:val="center"/>
              <w:rPr>
                <w:sz w:val="18"/>
                <w:szCs w:val="18"/>
                <w:lang w:val="en-GB"/>
              </w:rPr>
            </w:pPr>
            <w:r w:rsidRPr="00080D13">
              <w:rPr>
                <w:sz w:val="18"/>
                <w:szCs w:val="18"/>
                <w:lang w:val="en-GB"/>
              </w:rPr>
              <w:t>2635 TJ/y</w:t>
            </w:r>
          </w:p>
        </w:tc>
        <w:tc>
          <w:tcPr>
            <w:tcW w:w="890" w:type="pct"/>
            <w:vAlign w:val="center"/>
            <w:hideMark/>
          </w:tcPr>
          <w:p w14:paraId="0DB8AA14" w14:textId="77777777" w:rsidR="004034D4" w:rsidRPr="00080D13" w:rsidRDefault="6A148C15" w:rsidP="23834317">
            <w:pPr>
              <w:pStyle w:val="Els-body-text"/>
              <w:jc w:val="center"/>
              <w:rPr>
                <w:sz w:val="18"/>
                <w:szCs w:val="18"/>
                <w:lang w:val="en-GB"/>
              </w:rPr>
            </w:pPr>
            <w:r w:rsidRPr="00080D13">
              <w:rPr>
                <w:sz w:val="18"/>
                <w:szCs w:val="18"/>
                <w:lang w:val="en-GB"/>
              </w:rPr>
              <w:t>-</w:t>
            </w:r>
          </w:p>
        </w:tc>
        <w:tc>
          <w:tcPr>
            <w:tcW w:w="926" w:type="pct"/>
            <w:vAlign w:val="center"/>
            <w:hideMark/>
          </w:tcPr>
          <w:p w14:paraId="00617006" w14:textId="77777777" w:rsidR="004034D4" w:rsidRPr="00080D13" w:rsidRDefault="6A148C15" w:rsidP="23834317">
            <w:pPr>
              <w:pStyle w:val="Els-body-text"/>
              <w:jc w:val="center"/>
              <w:rPr>
                <w:sz w:val="18"/>
                <w:szCs w:val="18"/>
                <w:lang w:val="en-GB"/>
              </w:rPr>
            </w:pPr>
            <w:r w:rsidRPr="00080D13">
              <w:rPr>
                <w:sz w:val="18"/>
                <w:szCs w:val="18"/>
                <w:lang w:val="en-GB"/>
              </w:rPr>
              <w:t>-</w:t>
            </w:r>
          </w:p>
        </w:tc>
        <w:tc>
          <w:tcPr>
            <w:tcW w:w="1069" w:type="pct"/>
            <w:vAlign w:val="center"/>
            <w:hideMark/>
          </w:tcPr>
          <w:p w14:paraId="351356D8" w14:textId="77777777" w:rsidR="004034D4" w:rsidRPr="00080D13" w:rsidRDefault="6A148C15" w:rsidP="23834317">
            <w:pPr>
              <w:pStyle w:val="Els-body-text"/>
              <w:jc w:val="center"/>
              <w:rPr>
                <w:sz w:val="18"/>
                <w:szCs w:val="18"/>
                <w:lang w:val="en-GB"/>
              </w:rPr>
            </w:pPr>
            <w:r w:rsidRPr="00080D13">
              <w:rPr>
                <w:sz w:val="18"/>
                <w:szCs w:val="18"/>
                <w:lang w:val="en-GB"/>
              </w:rPr>
              <w:t>2509 TJ/y</w:t>
            </w:r>
          </w:p>
        </w:tc>
      </w:tr>
      <w:tr w:rsidR="004034D4" w:rsidRPr="004A064E" w14:paraId="1827F128" w14:textId="77777777" w:rsidTr="00CE79D2">
        <w:trPr>
          <w:trHeight w:val="239"/>
        </w:trPr>
        <w:tc>
          <w:tcPr>
            <w:tcW w:w="1099" w:type="pct"/>
            <w:vAlign w:val="center"/>
            <w:hideMark/>
          </w:tcPr>
          <w:p w14:paraId="4D2FF6BD" w14:textId="77777777" w:rsidR="004034D4" w:rsidRPr="00080D13" w:rsidRDefault="6A148C15" w:rsidP="23834317">
            <w:pPr>
              <w:pStyle w:val="Els-body-text"/>
              <w:jc w:val="left"/>
              <w:rPr>
                <w:sz w:val="18"/>
                <w:szCs w:val="18"/>
                <w:lang w:val="en-GB"/>
              </w:rPr>
            </w:pPr>
            <w:r w:rsidRPr="00080D13">
              <w:rPr>
                <w:sz w:val="18"/>
                <w:szCs w:val="18"/>
                <w:lang w:val="en-GB"/>
              </w:rPr>
              <w:t>Cooling water</w:t>
            </w:r>
          </w:p>
        </w:tc>
        <w:tc>
          <w:tcPr>
            <w:tcW w:w="1016" w:type="pct"/>
            <w:vAlign w:val="center"/>
            <w:hideMark/>
          </w:tcPr>
          <w:p w14:paraId="441984CE" w14:textId="77777777" w:rsidR="004034D4" w:rsidRPr="00080D13" w:rsidRDefault="6A148C15" w:rsidP="23834317">
            <w:pPr>
              <w:pStyle w:val="Els-body-text"/>
              <w:jc w:val="center"/>
              <w:rPr>
                <w:sz w:val="18"/>
                <w:szCs w:val="18"/>
                <w:lang w:val="en-GB"/>
              </w:rPr>
            </w:pPr>
            <w:r w:rsidRPr="00080D13">
              <w:rPr>
                <w:sz w:val="18"/>
                <w:szCs w:val="18"/>
                <w:lang w:val="en-GB"/>
              </w:rPr>
              <w:t>3894 TJ/y</w:t>
            </w:r>
          </w:p>
        </w:tc>
        <w:tc>
          <w:tcPr>
            <w:tcW w:w="890" w:type="pct"/>
            <w:vAlign w:val="center"/>
            <w:hideMark/>
          </w:tcPr>
          <w:p w14:paraId="2208AC01" w14:textId="77777777" w:rsidR="004034D4" w:rsidRPr="00080D13" w:rsidRDefault="6A148C15" w:rsidP="23834317">
            <w:pPr>
              <w:pStyle w:val="Els-body-text"/>
              <w:jc w:val="center"/>
              <w:rPr>
                <w:sz w:val="18"/>
                <w:szCs w:val="18"/>
                <w:lang w:val="en-GB"/>
              </w:rPr>
            </w:pPr>
            <w:r w:rsidRPr="00080D13">
              <w:rPr>
                <w:sz w:val="18"/>
                <w:szCs w:val="18"/>
                <w:lang w:val="en-GB"/>
              </w:rPr>
              <w:t>6209 TJ/y</w:t>
            </w:r>
          </w:p>
        </w:tc>
        <w:tc>
          <w:tcPr>
            <w:tcW w:w="926" w:type="pct"/>
            <w:vAlign w:val="center"/>
            <w:hideMark/>
          </w:tcPr>
          <w:p w14:paraId="41BB5BAF" w14:textId="77777777" w:rsidR="004034D4" w:rsidRPr="00080D13" w:rsidRDefault="6A148C15" w:rsidP="23834317">
            <w:pPr>
              <w:pStyle w:val="Els-body-text"/>
              <w:jc w:val="center"/>
              <w:rPr>
                <w:sz w:val="18"/>
                <w:szCs w:val="18"/>
                <w:lang w:val="en-GB"/>
              </w:rPr>
            </w:pPr>
            <w:r w:rsidRPr="00080D13">
              <w:rPr>
                <w:sz w:val="18"/>
                <w:szCs w:val="18"/>
                <w:lang w:val="en-GB"/>
              </w:rPr>
              <w:t>10543 TJ/y</w:t>
            </w:r>
          </w:p>
        </w:tc>
        <w:tc>
          <w:tcPr>
            <w:tcW w:w="1069" w:type="pct"/>
            <w:vAlign w:val="center"/>
            <w:hideMark/>
          </w:tcPr>
          <w:p w14:paraId="4BB920B1" w14:textId="77777777" w:rsidR="004034D4" w:rsidRPr="00080D13" w:rsidRDefault="6A148C15" w:rsidP="23834317">
            <w:pPr>
              <w:pStyle w:val="Els-body-text"/>
              <w:jc w:val="center"/>
              <w:rPr>
                <w:sz w:val="18"/>
                <w:szCs w:val="18"/>
                <w:lang w:val="en-GB"/>
              </w:rPr>
            </w:pPr>
            <w:r w:rsidRPr="00080D13">
              <w:rPr>
                <w:sz w:val="18"/>
                <w:szCs w:val="18"/>
                <w:lang w:val="en-GB"/>
              </w:rPr>
              <w:t>2565 TJ/y</w:t>
            </w:r>
          </w:p>
        </w:tc>
      </w:tr>
    </w:tbl>
    <w:p w14:paraId="74C735FB" w14:textId="0470F348" w:rsidR="004F6C0D" w:rsidRPr="00627221" w:rsidRDefault="00042E12" w:rsidP="00627221">
      <w:pPr>
        <w:pStyle w:val="Els-body-text"/>
        <w:rPr>
          <w:lang w:val="en-GB"/>
        </w:rPr>
      </w:pPr>
      <w:r w:rsidRPr="2F9161C8">
        <w:rPr>
          <w:lang w:val="en-GB"/>
        </w:rPr>
        <w:t xml:space="preserve">Table 4 highlights </w:t>
      </w:r>
      <w:r w:rsidR="004548F6" w:rsidRPr="2F9161C8">
        <w:rPr>
          <w:lang w:val="en-GB"/>
        </w:rPr>
        <w:t>that the need and</w:t>
      </w:r>
      <w:r w:rsidR="00763A30" w:rsidRPr="2F9161C8">
        <w:rPr>
          <w:lang w:val="en-GB"/>
        </w:rPr>
        <w:t>/or</w:t>
      </w:r>
      <w:r w:rsidR="004548F6" w:rsidRPr="2F9161C8">
        <w:rPr>
          <w:lang w:val="en-GB"/>
        </w:rPr>
        <w:t xml:space="preserve"> production of </w:t>
      </w:r>
      <w:r w:rsidR="004F6C0D" w:rsidRPr="2F9161C8">
        <w:rPr>
          <w:lang w:val="en-GB"/>
        </w:rPr>
        <w:t>utilities</w:t>
      </w:r>
      <w:r w:rsidR="004548F6" w:rsidRPr="2F9161C8">
        <w:rPr>
          <w:lang w:val="en-GB"/>
        </w:rPr>
        <w:t xml:space="preserve"> are significantly different</w:t>
      </w:r>
      <w:r w:rsidR="004F6C0D" w:rsidRPr="2F9161C8">
        <w:rPr>
          <w:lang w:val="en-GB"/>
        </w:rPr>
        <w:t xml:space="preserve"> between the different ACS routes</w:t>
      </w:r>
      <w:r w:rsidR="004548F6" w:rsidRPr="2F9161C8">
        <w:rPr>
          <w:lang w:val="en-GB"/>
        </w:rPr>
        <w:t>. Thus, changing from conventional methanol production to ACS routes, can affect other interlinked utility providers</w:t>
      </w:r>
      <w:r w:rsidR="00A821E6" w:rsidRPr="2F9161C8">
        <w:rPr>
          <w:lang w:val="en-GB"/>
        </w:rPr>
        <w:t xml:space="preserve"> or users</w:t>
      </w:r>
      <w:r w:rsidR="004F6C0D" w:rsidRPr="2F9161C8">
        <w:rPr>
          <w:lang w:val="en-GB"/>
        </w:rPr>
        <w:t xml:space="preserve"> in an existing industrial cluster</w:t>
      </w:r>
      <w:r w:rsidR="4FC92022" w:rsidRPr="2F9161C8">
        <w:rPr>
          <w:lang w:val="en-GB"/>
        </w:rPr>
        <w:t xml:space="preserve"> thereby</w:t>
      </w:r>
      <w:r w:rsidR="004548F6" w:rsidRPr="2F9161C8">
        <w:rPr>
          <w:lang w:val="en-GB"/>
        </w:rPr>
        <w:t xml:space="preserve"> lead</w:t>
      </w:r>
      <w:r w:rsidR="7701847D" w:rsidRPr="2F9161C8">
        <w:rPr>
          <w:lang w:val="en-GB"/>
        </w:rPr>
        <w:t>ing</w:t>
      </w:r>
      <w:r w:rsidR="004548F6" w:rsidRPr="2F9161C8">
        <w:rPr>
          <w:lang w:val="en-GB"/>
        </w:rPr>
        <w:t xml:space="preserve"> to </w:t>
      </w:r>
      <w:r w:rsidR="313055EA" w:rsidRPr="2F9161C8">
        <w:rPr>
          <w:lang w:val="en-GB"/>
        </w:rPr>
        <w:t xml:space="preserve">potential </w:t>
      </w:r>
      <w:r w:rsidR="004548F6" w:rsidRPr="2F9161C8">
        <w:rPr>
          <w:lang w:val="en-GB"/>
        </w:rPr>
        <w:t>cascading impacts.</w:t>
      </w:r>
      <w:r w:rsidR="00A821E6" w:rsidRPr="2F9161C8">
        <w:rPr>
          <w:lang w:val="en-GB"/>
        </w:rPr>
        <w:t xml:space="preserve"> In terms of steam generation, </w:t>
      </w:r>
      <w:r w:rsidR="004F6C0D" w:rsidRPr="2F9161C8">
        <w:rPr>
          <w:lang w:val="en-GB"/>
        </w:rPr>
        <w:t xml:space="preserve">the </w:t>
      </w:r>
      <w:r w:rsidR="00A821E6" w:rsidRPr="2F9161C8">
        <w:rPr>
          <w:lang w:val="en-GB"/>
        </w:rPr>
        <w:t>biomass</w:t>
      </w:r>
      <w:r w:rsidR="4966FEAE" w:rsidRPr="2F9161C8">
        <w:rPr>
          <w:lang w:val="en-GB"/>
        </w:rPr>
        <w:t>-</w:t>
      </w:r>
      <w:r w:rsidR="00A821E6" w:rsidRPr="2F9161C8">
        <w:rPr>
          <w:lang w:val="en-GB"/>
        </w:rPr>
        <w:t xml:space="preserve">based routes </w:t>
      </w:r>
      <w:r w:rsidR="004F6C0D" w:rsidRPr="2F9161C8">
        <w:rPr>
          <w:lang w:val="en-GB"/>
        </w:rPr>
        <w:t>out</w:t>
      </w:r>
      <w:r w:rsidR="00A821E6" w:rsidRPr="2F9161C8">
        <w:rPr>
          <w:lang w:val="en-GB"/>
        </w:rPr>
        <w:t xml:space="preserve">performed </w:t>
      </w:r>
      <w:r w:rsidR="004F6C0D" w:rsidRPr="2F9161C8">
        <w:rPr>
          <w:lang w:val="en-GB"/>
        </w:rPr>
        <w:t>the other two</w:t>
      </w:r>
      <w:r w:rsidR="00A821E6" w:rsidRPr="2F9161C8">
        <w:rPr>
          <w:lang w:val="en-GB"/>
        </w:rPr>
        <w:t>.</w:t>
      </w:r>
      <w:r w:rsidR="004548F6" w:rsidRPr="2F9161C8">
        <w:rPr>
          <w:lang w:val="en-GB"/>
        </w:rPr>
        <w:t xml:space="preserve"> </w:t>
      </w:r>
    </w:p>
    <w:p w14:paraId="42E86A8C" w14:textId="28EABAB7" w:rsidR="00627221" w:rsidRDefault="00627221" w:rsidP="00627221">
      <w:pPr>
        <w:pStyle w:val="Caption"/>
        <w:keepNext/>
      </w:pPr>
      <w:r>
        <w:t xml:space="preserve">Table </w:t>
      </w:r>
      <w:r>
        <w:fldChar w:fldCharType="begin"/>
      </w:r>
      <w:r>
        <w:instrText xml:space="preserve"> SEQ Table \* ARABIC </w:instrText>
      </w:r>
      <w:r>
        <w:fldChar w:fldCharType="separate"/>
      </w:r>
      <w:r>
        <w:rPr>
          <w:noProof/>
        </w:rPr>
        <w:t>5</w:t>
      </w:r>
      <w:r>
        <w:fldChar w:fldCharType="end"/>
      </w:r>
      <w:r w:rsidRPr="00993707">
        <w:t xml:space="preserve">: Economic </w:t>
      </w:r>
      <w:r w:rsidR="007A1488">
        <w:t>comparison</w:t>
      </w:r>
      <w:r w:rsidR="00F04CEE" w:rsidRPr="00993707">
        <w:t xml:space="preserve"> </w:t>
      </w:r>
      <w:r w:rsidR="00F04CEE">
        <w:t>of the s</w:t>
      </w:r>
      <w:r w:rsidR="00F04CEE" w:rsidRPr="00381CCD">
        <w:rPr>
          <w:lang w:val="en-GB"/>
        </w:rPr>
        <w:t xml:space="preserve">elected technologies </w:t>
      </w:r>
      <w:r w:rsidR="00F04CEE">
        <w:rPr>
          <w:lang w:val="en-GB"/>
        </w:rPr>
        <w:t xml:space="preserve">for each </w:t>
      </w:r>
      <w:r w:rsidR="00D91402">
        <w:rPr>
          <w:lang w:val="en-GB"/>
        </w:rPr>
        <w:t>ACS vs base-case natural gas for</w:t>
      </w:r>
      <w:r w:rsidR="00F04CEE">
        <w:rPr>
          <w:lang w:val="en-GB"/>
        </w:rPr>
        <w:t xml:space="preserve"> the synthesis of methanol</w:t>
      </w:r>
      <w:r w:rsidR="00F04CEE">
        <w:t>.</w:t>
      </w:r>
    </w:p>
    <w:tbl>
      <w:tblPr>
        <w:tblStyle w:val="TableGrid"/>
        <w:tblW w:w="5000" w:type="pct"/>
        <w:tblLook w:val="0420" w:firstRow="1" w:lastRow="0" w:firstColumn="0" w:lastColumn="0" w:noHBand="0" w:noVBand="1"/>
      </w:tblPr>
      <w:tblGrid>
        <w:gridCol w:w="2122"/>
        <w:gridCol w:w="1404"/>
        <w:gridCol w:w="1016"/>
        <w:gridCol w:w="1199"/>
        <w:gridCol w:w="1335"/>
      </w:tblGrid>
      <w:tr w:rsidR="00E771DA" w:rsidRPr="004A064E" w14:paraId="0CD92BA4" w14:textId="77777777" w:rsidTr="00CE79D2">
        <w:trPr>
          <w:trHeight w:val="220"/>
        </w:trPr>
        <w:tc>
          <w:tcPr>
            <w:tcW w:w="1499" w:type="pct"/>
            <w:vAlign w:val="center"/>
            <w:hideMark/>
          </w:tcPr>
          <w:p w14:paraId="2E9DA882" w14:textId="77777777" w:rsidR="00E771DA" w:rsidRPr="00080D13" w:rsidRDefault="05306F4D" w:rsidP="23834317">
            <w:pPr>
              <w:pStyle w:val="Els-body-text"/>
              <w:jc w:val="center"/>
              <w:rPr>
                <w:sz w:val="18"/>
                <w:szCs w:val="18"/>
                <w:lang w:val="en-GB"/>
              </w:rPr>
            </w:pPr>
            <w:r w:rsidRPr="00080D13">
              <w:rPr>
                <w:b/>
                <w:bCs/>
                <w:sz w:val="18"/>
                <w:szCs w:val="18"/>
                <w:lang w:val="en-GB"/>
              </w:rPr>
              <w:t>Economic indicators</w:t>
            </w:r>
          </w:p>
        </w:tc>
        <w:tc>
          <w:tcPr>
            <w:tcW w:w="992" w:type="pct"/>
            <w:vAlign w:val="center"/>
            <w:hideMark/>
          </w:tcPr>
          <w:p w14:paraId="3CFEFFCF" w14:textId="1C8E1406" w:rsidR="00E771DA" w:rsidRPr="00080D13" w:rsidRDefault="05306F4D" w:rsidP="23834317">
            <w:pPr>
              <w:pStyle w:val="Els-body-text"/>
              <w:jc w:val="center"/>
              <w:rPr>
                <w:sz w:val="18"/>
                <w:szCs w:val="18"/>
                <w:lang w:val="en-GB"/>
              </w:rPr>
            </w:pPr>
            <w:r w:rsidRPr="00080D13">
              <w:rPr>
                <w:b/>
                <w:bCs/>
                <w:sz w:val="18"/>
                <w:szCs w:val="18"/>
                <w:lang w:val="en-GB"/>
              </w:rPr>
              <w:t>Base case</w:t>
            </w:r>
            <w:r w:rsidR="007A1488">
              <w:rPr>
                <w:b/>
                <w:bCs/>
                <w:sz w:val="18"/>
                <w:szCs w:val="18"/>
                <w:lang w:val="en-GB"/>
              </w:rPr>
              <w:t xml:space="preserve"> fossil</w:t>
            </w:r>
            <w:r w:rsidRPr="00080D13">
              <w:rPr>
                <w:b/>
                <w:bCs/>
                <w:sz w:val="18"/>
                <w:szCs w:val="18"/>
                <w:lang w:val="en-GB"/>
              </w:rPr>
              <w:t xml:space="preserve"> methanol</w:t>
            </w:r>
          </w:p>
        </w:tc>
        <w:tc>
          <w:tcPr>
            <w:tcW w:w="718" w:type="pct"/>
            <w:vAlign w:val="center"/>
            <w:hideMark/>
          </w:tcPr>
          <w:p w14:paraId="1DA87860" w14:textId="77777777" w:rsidR="00E771DA" w:rsidRPr="00080D13" w:rsidRDefault="05306F4D" w:rsidP="23834317">
            <w:pPr>
              <w:pStyle w:val="Els-body-text"/>
              <w:jc w:val="center"/>
              <w:rPr>
                <w:sz w:val="18"/>
                <w:szCs w:val="18"/>
                <w:lang w:val="en-GB"/>
              </w:rPr>
            </w:pPr>
            <w:r w:rsidRPr="00080D13">
              <w:rPr>
                <w:b/>
                <w:bCs/>
                <w:sz w:val="18"/>
                <w:szCs w:val="18"/>
                <w:lang w:val="en-GB"/>
              </w:rPr>
              <w:t>CO</w:t>
            </w:r>
            <w:r w:rsidRPr="00080D13">
              <w:rPr>
                <w:b/>
                <w:bCs/>
                <w:sz w:val="18"/>
                <w:szCs w:val="18"/>
                <w:vertAlign w:val="subscript"/>
                <w:lang w:val="en-GB"/>
              </w:rPr>
              <w:t>2</w:t>
            </w:r>
            <w:r w:rsidRPr="00080D13">
              <w:rPr>
                <w:b/>
                <w:bCs/>
                <w:sz w:val="18"/>
                <w:szCs w:val="18"/>
                <w:lang w:val="en-GB"/>
              </w:rPr>
              <w:t xml:space="preserve"> to methanol</w:t>
            </w:r>
          </w:p>
        </w:tc>
        <w:tc>
          <w:tcPr>
            <w:tcW w:w="847" w:type="pct"/>
            <w:vAlign w:val="center"/>
            <w:hideMark/>
          </w:tcPr>
          <w:p w14:paraId="631EBBFC" w14:textId="77777777" w:rsidR="00E771DA" w:rsidRPr="00080D13" w:rsidRDefault="05306F4D" w:rsidP="23834317">
            <w:pPr>
              <w:pStyle w:val="Els-body-text"/>
              <w:jc w:val="center"/>
              <w:rPr>
                <w:sz w:val="18"/>
                <w:szCs w:val="18"/>
                <w:lang w:val="en-GB"/>
              </w:rPr>
            </w:pPr>
            <w:r w:rsidRPr="00080D13">
              <w:rPr>
                <w:b/>
                <w:bCs/>
                <w:sz w:val="18"/>
                <w:szCs w:val="18"/>
                <w:lang w:val="en-GB"/>
              </w:rPr>
              <w:t>Biomass to methanol</w:t>
            </w:r>
          </w:p>
        </w:tc>
        <w:tc>
          <w:tcPr>
            <w:tcW w:w="943" w:type="pct"/>
            <w:vAlign w:val="center"/>
            <w:hideMark/>
          </w:tcPr>
          <w:p w14:paraId="2D1EACD5" w14:textId="77777777" w:rsidR="00E771DA" w:rsidRPr="00080D13" w:rsidRDefault="05306F4D" w:rsidP="23834317">
            <w:pPr>
              <w:pStyle w:val="Els-body-text"/>
              <w:jc w:val="center"/>
              <w:rPr>
                <w:sz w:val="18"/>
                <w:szCs w:val="18"/>
                <w:lang w:val="en-GB"/>
              </w:rPr>
            </w:pPr>
            <w:r w:rsidRPr="00080D13">
              <w:rPr>
                <w:b/>
                <w:bCs/>
                <w:sz w:val="18"/>
                <w:szCs w:val="18"/>
                <w:lang w:val="en-GB"/>
              </w:rPr>
              <w:t>Plastic waste to methanol</w:t>
            </w:r>
          </w:p>
        </w:tc>
      </w:tr>
      <w:tr w:rsidR="00E771DA" w:rsidRPr="004A064E" w14:paraId="6A3FF087" w14:textId="77777777" w:rsidTr="00CE79D2">
        <w:trPr>
          <w:trHeight w:val="172"/>
        </w:trPr>
        <w:tc>
          <w:tcPr>
            <w:tcW w:w="1499" w:type="pct"/>
            <w:vAlign w:val="center"/>
            <w:hideMark/>
          </w:tcPr>
          <w:p w14:paraId="6E1C0D0E" w14:textId="204ECE51" w:rsidR="00E771DA" w:rsidRPr="00080D13" w:rsidRDefault="05306F4D" w:rsidP="23834317">
            <w:pPr>
              <w:pStyle w:val="Els-body-text"/>
              <w:jc w:val="left"/>
              <w:rPr>
                <w:sz w:val="18"/>
                <w:szCs w:val="18"/>
                <w:lang w:val="en-GB"/>
              </w:rPr>
            </w:pPr>
            <w:r w:rsidRPr="00080D13">
              <w:rPr>
                <w:sz w:val="18"/>
                <w:szCs w:val="18"/>
                <w:lang w:val="en-GB"/>
              </w:rPr>
              <w:t>Methanol MSP (EUR/t)</w:t>
            </w:r>
          </w:p>
        </w:tc>
        <w:tc>
          <w:tcPr>
            <w:tcW w:w="992" w:type="pct"/>
            <w:vAlign w:val="center"/>
            <w:hideMark/>
          </w:tcPr>
          <w:p w14:paraId="078D8DCB" w14:textId="2D4E26FB" w:rsidR="00E771DA" w:rsidRPr="00080D13" w:rsidRDefault="05306F4D" w:rsidP="23834317">
            <w:pPr>
              <w:pStyle w:val="Els-body-text"/>
              <w:jc w:val="center"/>
              <w:rPr>
                <w:sz w:val="18"/>
                <w:szCs w:val="18"/>
                <w:lang w:val="en-GB"/>
              </w:rPr>
            </w:pPr>
            <w:r w:rsidRPr="00080D13">
              <w:rPr>
                <w:sz w:val="18"/>
                <w:szCs w:val="18"/>
                <w:lang w:val="en-GB"/>
              </w:rPr>
              <w:t>5</w:t>
            </w:r>
            <w:r w:rsidR="2E831AE8" w:rsidRPr="00080D13">
              <w:rPr>
                <w:sz w:val="18"/>
                <w:szCs w:val="18"/>
                <w:lang w:val="en-GB"/>
              </w:rPr>
              <w:t>2</w:t>
            </w:r>
            <w:r w:rsidRPr="00080D13">
              <w:rPr>
                <w:sz w:val="18"/>
                <w:szCs w:val="18"/>
                <w:lang w:val="en-GB"/>
              </w:rPr>
              <w:t>0</w:t>
            </w:r>
          </w:p>
        </w:tc>
        <w:tc>
          <w:tcPr>
            <w:tcW w:w="718" w:type="pct"/>
            <w:vAlign w:val="center"/>
            <w:hideMark/>
          </w:tcPr>
          <w:p w14:paraId="5C854DCE" w14:textId="7FF20900" w:rsidR="00E771DA" w:rsidRPr="00080D13" w:rsidRDefault="05306F4D" w:rsidP="23834317">
            <w:pPr>
              <w:pStyle w:val="Els-body-text"/>
              <w:jc w:val="center"/>
              <w:rPr>
                <w:sz w:val="18"/>
                <w:szCs w:val="18"/>
                <w:lang w:val="en-GB"/>
              </w:rPr>
            </w:pPr>
            <w:r w:rsidRPr="00080D13">
              <w:rPr>
                <w:sz w:val="18"/>
                <w:szCs w:val="18"/>
                <w:lang w:val="en-GB"/>
              </w:rPr>
              <w:t>19</w:t>
            </w:r>
            <w:r w:rsidR="00495254" w:rsidRPr="00080D13">
              <w:rPr>
                <w:sz w:val="18"/>
                <w:szCs w:val="18"/>
                <w:lang w:val="en-GB"/>
              </w:rPr>
              <w:t>5</w:t>
            </w:r>
            <w:r w:rsidRPr="00080D13">
              <w:rPr>
                <w:sz w:val="18"/>
                <w:szCs w:val="18"/>
                <w:lang w:val="en-GB"/>
              </w:rPr>
              <w:t>0</w:t>
            </w:r>
          </w:p>
        </w:tc>
        <w:tc>
          <w:tcPr>
            <w:tcW w:w="847" w:type="pct"/>
            <w:vAlign w:val="center"/>
            <w:hideMark/>
          </w:tcPr>
          <w:p w14:paraId="0106C65C" w14:textId="3753C678" w:rsidR="00E771DA" w:rsidRPr="00080D13" w:rsidRDefault="05306F4D" w:rsidP="23834317">
            <w:pPr>
              <w:pStyle w:val="Els-body-text"/>
              <w:jc w:val="center"/>
              <w:rPr>
                <w:sz w:val="18"/>
                <w:szCs w:val="18"/>
                <w:lang w:val="en-GB"/>
              </w:rPr>
            </w:pPr>
            <w:r w:rsidRPr="00080D13">
              <w:rPr>
                <w:sz w:val="18"/>
                <w:szCs w:val="18"/>
                <w:lang w:val="en-GB"/>
              </w:rPr>
              <w:t>13</w:t>
            </w:r>
            <w:r w:rsidR="00495254" w:rsidRPr="00080D13">
              <w:rPr>
                <w:sz w:val="18"/>
                <w:szCs w:val="18"/>
                <w:lang w:val="en-GB"/>
              </w:rPr>
              <w:t>9</w:t>
            </w:r>
            <w:r w:rsidRPr="00080D13">
              <w:rPr>
                <w:sz w:val="18"/>
                <w:szCs w:val="18"/>
                <w:lang w:val="en-GB"/>
              </w:rPr>
              <w:t>0</w:t>
            </w:r>
          </w:p>
        </w:tc>
        <w:tc>
          <w:tcPr>
            <w:tcW w:w="943" w:type="pct"/>
            <w:vAlign w:val="center"/>
            <w:hideMark/>
          </w:tcPr>
          <w:p w14:paraId="7BF467D2" w14:textId="0BB58F95" w:rsidR="00E771DA" w:rsidRPr="00080D13" w:rsidRDefault="05306F4D" w:rsidP="23834317">
            <w:pPr>
              <w:pStyle w:val="Els-body-text"/>
              <w:jc w:val="center"/>
              <w:rPr>
                <w:sz w:val="18"/>
                <w:szCs w:val="18"/>
                <w:lang w:val="en-GB"/>
              </w:rPr>
            </w:pPr>
            <w:r w:rsidRPr="00080D13">
              <w:rPr>
                <w:sz w:val="18"/>
                <w:szCs w:val="18"/>
                <w:lang w:val="en-GB"/>
              </w:rPr>
              <w:t>8</w:t>
            </w:r>
            <w:r w:rsidR="00495254" w:rsidRPr="00080D13">
              <w:rPr>
                <w:sz w:val="18"/>
                <w:szCs w:val="18"/>
                <w:lang w:val="en-GB"/>
              </w:rPr>
              <w:t>6</w:t>
            </w:r>
            <w:r w:rsidRPr="00080D13">
              <w:rPr>
                <w:sz w:val="18"/>
                <w:szCs w:val="18"/>
                <w:lang w:val="en-GB"/>
              </w:rPr>
              <w:t>0</w:t>
            </w:r>
          </w:p>
        </w:tc>
      </w:tr>
      <w:tr w:rsidR="00E771DA" w:rsidRPr="004A064E" w14:paraId="5B541176" w14:textId="77777777" w:rsidTr="00CE79D2">
        <w:trPr>
          <w:trHeight w:val="85"/>
        </w:trPr>
        <w:tc>
          <w:tcPr>
            <w:tcW w:w="1499" w:type="pct"/>
            <w:vAlign w:val="center"/>
            <w:hideMark/>
          </w:tcPr>
          <w:p w14:paraId="02A0CA51" w14:textId="6949A271" w:rsidR="00E771DA" w:rsidRPr="00080D13" w:rsidRDefault="05306F4D" w:rsidP="23834317">
            <w:pPr>
              <w:pStyle w:val="Els-body-text"/>
              <w:jc w:val="left"/>
              <w:rPr>
                <w:sz w:val="18"/>
                <w:szCs w:val="18"/>
                <w:lang w:val="en-GB"/>
              </w:rPr>
            </w:pPr>
            <w:r w:rsidRPr="00080D13">
              <w:rPr>
                <w:sz w:val="18"/>
                <w:szCs w:val="18"/>
                <w:lang w:val="en-GB"/>
              </w:rPr>
              <w:t>CAPEX</w:t>
            </w:r>
            <w:r w:rsidR="47B35044" w:rsidRPr="00080D13">
              <w:rPr>
                <w:sz w:val="18"/>
                <w:szCs w:val="18"/>
                <w:lang w:val="en-GB"/>
              </w:rPr>
              <w:t>*</w:t>
            </w:r>
            <w:r w:rsidRPr="00080D13">
              <w:rPr>
                <w:sz w:val="18"/>
                <w:szCs w:val="18"/>
                <w:lang w:val="en-GB"/>
              </w:rPr>
              <w:t xml:space="preserve"> (MEUR)</w:t>
            </w:r>
          </w:p>
        </w:tc>
        <w:tc>
          <w:tcPr>
            <w:tcW w:w="992" w:type="pct"/>
            <w:vAlign w:val="center"/>
            <w:hideMark/>
          </w:tcPr>
          <w:p w14:paraId="1C2C20AF" w14:textId="446F84A0" w:rsidR="00E771DA" w:rsidRPr="00080D13" w:rsidRDefault="05306F4D" w:rsidP="23834317">
            <w:pPr>
              <w:pStyle w:val="Els-body-text"/>
              <w:jc w:val="center"/>
              <w:rPr>
                <w:sz w:val="18"/>
                <w:szCs w:val="18"/>
                <w:lang w:val="en-GB"/>
              </w:rPr>
            </w:pPr>
            <w:r w:rsidRPr="00080D13">
              <w:rPr>
                <w:sz w:val="18"/>
                <w:szCs w:val="18"/>
                <w:lang w:val="en-GB"/>
              </w:rPr>
              <w:t>3</w:t>
            </w:r>
            <w:r w:rsidR="2E831AE8" w:rsidRPr="00080D13">
              <w:rPr>
                <w:sz w:val="18"/>
                <w:szCs w:val="18"/>
                <w:lang w:val="en-GB"/>
              </w:rPr>
              <w:t>58</w:t>
            </w:r>
          </w:p>
        </w:tc>
        <w:tc>
          <w:tcPr>
            <w:tcW w:w="718" w:type="pct"/>
            <w:vAlign w:val="center"/>
            <w:hideMark/>
          </w:tcPr>
          <w:p w14:paraId="63EE9D88" w14:textId="64CE375C" w:rsidR="00E771DA" w:rsidRPr="00080D13" w:rsidRDefault="06D633E1" w:rsidP="23834317">
            <w:pPr>
              <w:pStyle w:val="Els-body-text"/>
              <w:jc w:val="center"/>
              <w:rPr>
                <w:sz w:val="18"/>
                <w:szCs w:val="18"/>
                <w:lang w:val="en-GB"/>
              </w:rPr>
            </w:pPr>
            <w:r w:rsidRPr="00080D13">
              <w:rPr>
                <w:sz w:val="18"/>
                <w:szCs w:val="18"/>
                <w:lang w:val="en-GB"/>
              </w:rPr>
              <w:t>432</w:t>
            </w:r>
          </w:p>
        </w:tc>
        <w:tc>
          <w:tcPr>
            <w:tcW w:w="847" w:type="pct"/>
            <w:vAlign w:val="center"/>
            <w:hideMark/>
          </w:tcPr>
          <w:p w14:paraId="541E60F1" w14:textId="1078D36E" w:rsidR="00E771DA" w:rsidRPr="00080D13" w:rsidRDefault="06D633E1" w:rsidP="23834317">
            <w:pPr>
              <w:pStyle w:val="Els-body-text"/>
              <w:jc w:val="center"/>
              <w:rPr>
                <w:sz w:val="18"/>
                <w:szCs w:val="18"/>
                <w:lang w:val="en-GB"/>
              </w:rPr>
            </w:pPr>
            <w:r w:rsidRPr="00080D13">
              <w:rPr>
                <w:sz w:val="18"/>
                <w:szCs w:val="18"/>
                <w:lang w:val="en-GB"/>
              </w:rPr>
              <w:t>957</w:t>
            </w:r>
          </w:p>
        </w:tc>
        <w:tc>
          <w:tcPr>
            <w:tcW w:w="943" w:type="pct"/>
            <w:vAlign w:val="center"/>
            <w:hideMark/>
          </w:tcPr>
          <w:p w14:paraId="2C79E507" w14:textId="4FCBE6EA" w:rsidR="00E771DA" w:rsidRPr="00080D13" w:rsidRDefault="06D633E1" w:rsidP="23834317">
            <w:pPr>
              <w:pStyle w:val="Els-body-text"/>
              <w:jc w:val="center"/>
              <w:rPr>
                <w:sz w:val="18"/>
                <w:szCs w:val="18"/>
                <w:lang w:val="en-GB"/>
              </w:rPr>
            </w:pPr>
            <w:r w:rsidRPr="00080D13">
              <w:rPr>
                <w:sz w:val="18"/>
                <w:szCs w:val="18"/>
                <w:lang w:val="en-GB"/>
              </w:rPr>
              <w:t>403</w:t>
            </w:r>
          </w:p>
        </w:tc>
      </w:tr>
      <w:tr w:rsidR="00B555CE" w:rsidRPr="004A064E" w14:paraId="575397FD" w14:textId="77777777" w:rsidTr="00CE79D2">
        <w:trPr>
          <w:trHeight w:val="85"/>
        </w:trPr>
        <w:tc>
          <w:tcPr>
            <w:tcW w:w="1499" w:type="pct"/>
            <w:vAlign w:val="center"/>
          </w:tcPr>
          <w:p w14:paraId="641762AC" w14:textId="48E9BD6A" w:rsidR="00B555CE" w:rsidRPr="00080D13" w:rsidRDefault="00B555CE" w:rsidP="23834317">
            <w:pPr>
              <w:pStyle w:val="Els-body-text"/>
              <w:jc w:val="left"/>
              <w:rPr>
                <w:sz w:val="18"/>
                <w:szCs w:val="18"/>
                <w:lang w:val="en-GB"/>
              </w:rPr>
            </w:pPr>
            <w:r w:rsidRPr="00080D13">
              <w:rPr>
                <w:sz w:val="18"/>
                <w:szCs w:val="18"/>
                <w:lang w:val="en-GB"/>
              </w:rPr>
              <w:t>OPEX (MEUR/y)</w:t>
            </w:r>
          </w:p>
        </w:tc>
        <w:tc>
          <w:tcPr>
            <w:tcW w:w="992" w:type="pct"/>
            <w:vAlign w:val="center"/>
          </w:tcPr>
          <w:p w14:paraId="7031560B" w14:textId="4CF892B6" w:rsidR="00B555CE" w:rsidRPr="00080D13" w:rsidRDefault="2E831AE8" w:rsidP="23834317">
            <w:pPr>
              <w:pStyle w:val="Els-body-text"/>
              <w:jc w:val="center"/>
              <w:rPr>
                <w:sz w:val="18"/>
                <w:szCs w:val="18"/>
                <w:lang w:val="en-GB"/>
              </w:rPr>
            </w:pPr>
            <w:r w:rsidRPr="00080D13">
              <w:rPr>
                <w:sz w:val="18"/>
                <w:szCs w:val="18"/>
                <w:lang w:val="en-GB"/>
              </w:rPr>
              <w:t>171</w:t>
            </w:r>
          </w:p>
        </w:tc>
        <w:tc>
          <w:tcPr>
            <w:tcW w:w="718" w:type="pct"/>
            <w:vAlign w:val="center"/>
          </w:tcPr>
          <w:p w14:paraId="2FBEE3FA" w14:textId="6E8F3B38" w:rsidR="00B555CE" w:rsidRPr="00080D13" w:rsidRDefault="2E831AE8" w:rsidP="23834317">
            <w:pPr>
              <w:pStyle w:val="Els-body-text"/>
              <w:jc w:val="center"/>
              <w:rPr>
                <w:sz w:val="18"/>
                <w:szCs w:val="18"/>
                <w:lang w:val="en-GB"/>
              </w:rPr>
            </w:pPr>
            <w:r w:rsidRPr="00080D13">
              <w:rPr>
                <w:sz w:val="18"/>
                <w:szCs w:val="18"/>
                <w:lang w:val="en-GB"/>
              </w:rPr>
              <w:t>746</w:t>
            </w:r>
          </w:p>
        </w:tc>
        <w:tc>
          <w:tcPr>
            <w:tcW w:w="847" w:type="pct"/>
            <w:vAlign w:val="center"/>
          </w:tcPr>
          <w:p w14:paraId="493CAA96" w14:textId="3F25EBD3" w:rsidR="00B555CE" w:rsidRPr="00080D13" w:rsidRDefault="07F9F507" w:rsidP="23834317">
            <w:pPr>
              <w:pStyle w:val="Els-body-text"/>
              <w:jc w:val="center"/>
              <w:rPr>
                <w:sz w:val="18"/>
                <w:szCs w:val="18"/>
                <w:lang w:val="en-GB"/>
              </w:rPr>
            </w:pPr>
            <w:r w:rsidRPr="00080D13">
              <w:rPr>
                <w:sz w:val="18"/>
                <w:szCs w:val="18"/>
                <w:lang w:val="en-GB"/>
              </w:rPr>
              <w:t>495</w:t>
            </w:r>
          </w:p>
        </w:tc>
        <w:tc>
          <w:tcPr>
            <w:tcW w:w="943" w:type="pct"/>
            <w:vAlign w:val="center"/>
          </w:tcPr>
          <w:p w14:paraId="3769223F" w14:textId="5F5A38A2" w:rsidR="00B555CE" w:rsidRPr="00080D13" w:rsidRDefault="07F9F507" w:rsidP="23834317">
            <w:pPr>
              <w:pStyle w:val="Els-body-text"/>
              <w:jc w:val="center"/>
              <w:rPr>
                <w:sz w:val="18"/>
                <w:szCs w:val="18"/>
                <w:lang w:val="en-GB"/>
              </w:rPr>
            </w:pPr>
            <w:r w:rsidRPr="00080D13">
              <w:rPr>
                <w:sz w:val="18"/>
                <w:szCs w:val="18"/>
                <w:lang w:val="en-GB"/>
              </w:rPr>
              <w:t>309</w:t>
            </w:r>
          </w:p>
        </w:tc>
      </w:tr>
    </w:tbl>
    <w:p w14:paraId="610CEF5E" w14:textId="4BDA059F" w:rsidR="004A064E" w:rsidRPr="007A1488" w:rsidRDefault="00B555CE" w:rsidP="007A1488">
      <w:pPr>
        <w:pStyle w:val="Els-body-text"/>
        <w:rPr>
          <w:sz w:val="18"/>
          <w:szCs w:val="18"/>
          <w:lang w:val="en-GB"/>
        </w:rPr>
      </w:pPr>
      <w:r w:rsidRPr="00080D13">
        <w:rPr>
          <w:sz w:val="18"/>
          <w:szCs w:val="18"/>
          <w:lang w:val="en-GB"/>
        </w:rPr>
        <w:t xml:space="preserve"> </w:t>
      </w:r>
      <w:r w:rsidR="007A1488">
        <w:rPr>
          <w:sz w:val="18"/>
          <w:szCs w:val="18"/>
          <w:lang w:val="en-GB"/>
        </w:rPr>
        <w:t>*</w:t>
      </w:r>
      <w:r w:rsidRPr="00080D13">
        <w:rPr>
          <w:sz w:val="18"/>
          <w:szCs w:val="18"/>
          <w:lang w:val="en-GB"/>
        </w:rPr>
        <w:t>H</w:t>
      </w:r>
      <w:r w:rsidRPr="00080D13">
        <w:rPr>
          <w:sz w:val="18"/>
          <w:szCs w:val="18"/>
          <w:vertAlign w:val="subscript"/>
          <w:lang w:val="en-GB"/>
        </w:rPr>
        <w:t>2</w:t>
      </w:r>
      <w:r w:rsidRPr="00080D13">
        <w:rPr>
          <w:sz w:val="18"/>
          <w:szCs w:val="18"/>
          <w:lang w:val="en-GB"/>
        </w:rPr>
        <w:t xml:space="preserve"> </w:t>
      </w:r>
      <w:r w:rsidR="007A1488">
        <w:rPr>
          <w:sz w:val="18"/>
          <w:szCs w:val="18"/>
          <w:lang w:val="en-GB"/>
        </w:rPr>
        <w:t xml:space="preserve">is considered as raw material &amp; </w:t>
      </w:r>
      <w:r w:rsidRPr="00080D13">
        <w:rPr>
          <w:sz w:val="18"/>
          <w:szCs w:val="18"/>
          <w:lang w:val="en-GB"/>
        </w:rPr>
        <w:t>cost is included in OPEX</w:t>
      </w:r>
    </w:p>
    <w:p w14:paraId="028F8AF7" w14:textId="23514CED" w:rsidR="001C4565" w:rsidRPr="00381CCD" w:rsidRDefault="001C4565" w:rsidP="001C4565">
      <w:pPr>
        <w:spacing w:after="120"/>
        <w:jc w:val="both"/>
      </w:pPr>
      <w:r>
        <w:t xml:space="preserve">The economic assessment showed that </w:t>
      </w:r>
      <w:r w:rsidR="08076EF0">
        <w:t>none of the alternati</w:t>
      </w:r>
      <w:r w:rsidR="46AC5421">
        <w:t>v</w:t>
      </w:r>
      <w:r w:rsidR="08076EF0">
        <w:t xml:space="preserve">e routes is competitive at the moment with the </w:t>
      </w:r>
      <w:r w:rsidR="00867D87">
        <w:t>fossil-based</w:t>
      </w:r>
      <w:r w:rsidR="08076EF0">
        <w:t xml:space="preserve"> route. </w:t>
      </w:r>
      <w:r w:rsidR="25FEC6BA">
        <w:t>T</w:t>
      </w:r>
      <w:r>
        <w:t>he plastic</w:t>
      </w:r>
      <w:r w:rsidR="0A511502">
        <w:t>-</w:t>
      </w:r>
      <w:r>
        <w:t>based methanol could be produced at the lowest MSP (8</w:t>
      </w:r>
      <w:r w:rsidR="00495254">
        <w:t>6</w:t>
      </w:r>
      <w:r>
        <w:t>0 EUR/t) compared to biomass (13</w:t>
      </w:r>
      <w:r w:rsidR="00495254">
        <w:t>9</w:t>
      </w:r>
      <w:r>
        <w:t>0 EUR/t) and CO</w:t>
      </w:r>
      <w:r w:rsidRPr="2F9161C8">
        <w:rPr>
          <w:vertAlign w:val="subscript"/>
        </w:rPr>
        <w:t>2</w:t>
      </w:r>
      <w:r>
        <w:t xml:space="preserve"> (19</w:t>
      </w:r>
      <w:r w:rsidR="00495254">
        <w:t>5</w:t>
      </w:r>
      <w:r>
        <w:t>0 EUR/t)</w:t>
      </w:r>
      <w:r w:rsidR="00DA306A">
        <w:t xml:space="preserve"> based methanol</w:t>
      </w:r>
      <w:r>
        <w:t>. For the biomass</w:t>
      </w:r>
      <w:r w:rsidR="004F6C0D">
        <w:t>-based</w:t>
      </w:r>
      <w:r>
        <w:t xml:space="preserve"> route, the higher price was due to the higher capital expenditure </w:t>
      </w:r>
      <w:r w:rsidR="004F6C0D">
        <w:t xml:space="preserve">on </w:t>
      </w:r>
      <w:r w:rsidR="00495254">
        <w:t xml:space="preserve">the biomass gasification and </w:t>
      </w:r>
      <w:r w:rsidR="000D7BA9">
        <w:t xml:space="preserve">syngas </w:t>
      </w:r>
      <w:r w:rsidR="00495254">
        <w:t>cleaning steps</w:t>
      </w:r>
      <w:r>
        <w:t>. For the CO</w:t>
      </w:r>
      <w:r w:rsidRPr="2F9161C8">
        <w:rPr>
          <w:vertAlign w:val="subscript"/>
        </w:rPr>
        <w:t>2</w:t>
      </w:r>
      <w:r w:rsidR="004F6C0D">
        <w:t xml:space="preserve">-based </w:t>
      </w:r>
      <w:r>
        <w:t xml:space="preserve">route, the higher price was due to the high operational expenditure </w:t>
      </w:r>
      <w:r w:rsidR="004F6C0D">
        <w:t xml:space="preserve">affected </w:t>
      </w:r>
      <w:r>
        <w:t xml:space="preserve">by </w:t>
      </w:r>
      <w:r w:rsidR="004F6C0D">
        <w:t xml:space="preserve">the </w:t>
      </w:r>
      <w:r>
        <w:t xml:space="preserve">high price of green hydrogen (4000-6000 EUR/t). A sensitivity analysis to understand the impact of </w:t>
      </w:r>
      <w:r w:rsidR="004F6C0D">
        <w:t xml:space="preserve">the </w:t>
      </w:r>
      <w:r>
        <w:t>price of green hydrogen on these technologies was conducted</w:t>
      </w:r>
      <w:r w:rsidR="004F6C0D">
        <w:t xml:space="preserve"> </w:t>
      </w:r>
      <w:r w:rsidR="006C3100">
        <w:t xml:space="preserve">by varying the electricity price </w:t>
      </w:r>
      <w:r w:rsidR="002D6782">
        <w:t xml:space="preserve">used for green hydrogen production </w:t>
      </w:r>
      <w:r w:rsidR="004F6C0D">
        <w:t>and it is shown in Figure 1</w:t>
      </w:r>
      <w:r>
        <w:t xml:space="preserve">. </w:t>
      </w:r>
    </w:p>
    <w:p w14:paraId="6A8D9061" w14:textId="5ED91942" w:rsidR="00F177DA" w:rsidRDefault="00204CF4" w:rsidP="00F177DA">
      <w:pPr>
        <w:pStyle w:val="Els-body-text"/>
        <w:keepNext/>
      </w:pPr>
      <w:r>
        <w:rPr>
          <w:noProof/>
        </w:rPr>
        <w:drawing>
          <wp:inline distT="0" distB="0" distL="0" distR="0" wp14:anchorId="49AAE4CC" wp14:editId="0C8DD063">
            <wp:extent cx="4499610" cy="2105025"/>
            <wp:effectExtent l="0" t="0" r="15240" b="9525"/>
            <wp:docPr id="674288058" name="Chart 1">
              <a:extLst xmlns:a="http://schemas.openxmlformats.org/drawingml/2006/main">
                <a:ext uri="{FF2B5EF4-FFF2-40B4-BE49-F238E27FC236}">
                  <a16:creationId xmlns:a16="http://schemas.microsoft.com/office/drawing/2014/main" id="{9C340549-99A0-4953-AB33-B257CCB1D8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6F41AF" w14:textId="1F6E8C1C" w:rsidR="00B34167" w:rsidRDefault="00F177DA" w:rsidP="00F177DA">
      <w:pPr>
        <w:pStyle w:val="Caption"/>
        <w:jc w:val="both"/>
      </w:pPr>
      <w:r>
        <w:t xml:space="preserve">Figure </w:t>
      </w:r>
      <w:r>
        <w:fldChar w:fldCharType="begin"/>
      </w:r>
      <w:r>
        <w:instrText xml:space="preserve"> SEQ Figure \* ARABIC </w:instrText>
      </w:r>
      <w:r>
        <w:fldChar w:fldCharType="separate"/>
      </w:r>
      <w:r>
        <w:rPr>
          <w:noProof/>
        </w:rPr>
        <w:t>1</w:t>
      </w:r>
      <w:r>
        <w:fldChar w:fldCharType="end"/>
      </w:r>
      <w:r>
        <w:t xml:space="preserve">: </w:t>
      </w:r>
      <w:r w:rsidRPr="000548F9">
        <w:t>Impact of electricity price</w:t>
      </w:r>
      <w:r w:rsidR="00045367">
        <w:t xml:space="preserve"> </w:t>
      </w:r>
      <w:r w:rsidRPr="000548F9">
        <w:t>on CO</w:t>
      </w:r>
      <w:r w:rsidRPr="00F177DA">
        <w:rPr>
          <w:vertAlign w:val="subscript"/>
        </w:rPr>
        <w:t>2</w:t>
      </w:r>
      <w:r w:rsidR="00045367">
        <w:t xml:space="preserve">, biomass &amp; plastic </w:t>
      </w:r>
      <w:r w:rsidRPr="000548F9">
        <w:t>based methanol price</w:t>
      </w:r>
      <w:r w:rsidR="0066216E">
        <w:t>s</w:t>
      </w:r>
      <w:r w:rsidR="004A064E">
        <w:t>.</w:t>
      </w:r>
    </w:p>
    <w:p w14:paraId="71B610FB" w14:textId="2BB91DEE" w:rsidR="00EB1570" w:rsidRPr="00EB1570" w:rsidRDefault="00EB1570" w:rsidP="00EB1570">
      <w:pPr>
        <w:spacing w:after="120"/>
        <w:jc w:val="both"/>
      </w:pPr>
      <w:r>
        <w:lastRenderedPageBreak/>
        <w:t>The analysis shows that at a green hydrogen price of</w:t>
      </w:r>
      <w:r w:rsidR="004B125C">
        <w:t xml:space="preserve"> 1400-1100 EUR/t</w:t>
      </w:r>
      <w:r w:rsidR="009263F1">
        <w:t>,</w:t>
      </w:r>
      <w:r w:rsidR="004B125C">
        <w:t xml:space="preserve"> the CO</w:t>
      </w:r>
      <w:r w:rsidR="004B125C" w:rsidRPr="2F9161C8">
        <w:rPr>
          <w:vertAlign w:val="subscript"/>
        </w:rPr>
        <w:t>2</w:t>
      </w:r>
      <w:r w:rsidR="004B125C">
        <w:t xml:space="preserve"> route can be cost-competitive. For instance, at a </w:t>
      </w:r>
      <w:r w:rsidR="009263F1">
        <w:t xml:space="preserve">green </w:t>
      </w:r>
      <w:r w:rsidR="004B125C">
        <w:t>hydrogen price of</w:t>
      </w:r>
      <w:r>
        <w:t xml:space="preserve"> 1350 EUR/t, </w:t>
      </w:r>
      <w:r w:rsidR="004B125C">
        <w:t>CO</w:t>
      </w:r>
      <w:r w:rsidR="004B125C" w:rsidRPr="004B125C">
        <w:rPr>
          <w:vertAlign w:val="subscript"/>
        </w:rPr>
        <w:t>2</w:t>
      </w:r>
      <w:r w:rsidR="004B125C">
        <w:t xml:space="preserve"> route had</w:t>
      </w:r>
      <w:r>
        <w:t xml:space="preserve"> a</w:t>
      </w:r>
      <w:r w:rsidR="1140992A">
        <w:t>n</w:t>
      </w:r>
      <w:r>
        <w:t xml:space="preserve"> MSP of 735 EUR/t, compared to </w:t>
      </w:r>
      <w:r w:rsidR="00B51878">
        <w:t xml:space="preserve">the </w:t>
      </w:r>
      <w:r>
        <w:t xml:space="preserve">biomass route (930 EUR/t) and </w:t>
      </w:r>
      <w:r w:rsidR="00B51878">
        <w:t xml:space="preserve">the </w:t>
      </w:r>
      <w:r>
        <w:t>plastic route (860 EUR/t).</w:t>
      </w:r>
    </w:p>
    <w:p w14:paraId="144DE6BA" w14:textId="77777777" w:rsidR="008D2649" w:rsidRPr="00381CCD" w:rsidRDefault="008D2649" w:rsidP="008D2649">
      <w:pPr>
        <w:pStyle w:val="Els-1storder-head"/>
        <w:spacing w:after="120"/>
        <w:rPr>
          <w:lang w:val="en-GB"/>
        </w:rPr>
      </w:pPr>
      <w:r w:rsidRPr="00381CCD">
        <w:rPr>
          <w:lang w:val="en-GB"/>
        </w:rPr>
        <w:t>Conclusions</w:t>
      </w:r>
    </w:p>
    <w:p w14:paraId="2E0EA383" w14:textId="079779D1" w:rsidR="00FE5544" w:rsidRPr="00381CCD" w:rsidRDefault="00A70C82" w:rsidP="00FE5544">
      <w:pPr>
        <w:pStyle w:val="Els-body-text"/>
        <w:spacing w:after="120"/>
        <w:rPr>
          <w:lang w:val="en-GB"/>
        </w:rPr>
      </w:pPr>
      <w:r w:rsidRPr="2F9161C8">
        <w:rPr>
          <w:lang w:val="en-GB"/>
        </w:rPr>
        <w:t>Th</w:t>
      </w:r>
      <w:r w:rsidR="009263F1">
        <w:rPr>
          <w:lang w:val="en-GB"/>
        </w:rPr>
        <w:t xml:space="preserve">is </w:t>
      </w:r>
      <w:r w:rsidRPr="2F9161C8">
        <w:rPr>
          <w:lang w:val="en-GB"/>
        </w:rPr>
        <w:t>paper</w:t>
      </w:r>
      <w:r w:rsidR="00FE5544" w:rsidRPr="2F9161C8">
        <w:rPr>
          <w:lang w:val="en-GB"/>
        </w:rPr>
        <w:t xml:space="preserve"> </w:t>
      </w:r>
      <w:r w:rsidR="6AB0A780" w:rsidRPr="2F9161C8">
        <w:rPr>
          <w:lang w:val="en-GB"/>
        </w:rPr>
        <w:t>indicate</w:t>
      </w:r>
      <w:r w:rsidR="009263F1">
        <w:rPr>
          <w:lang w:val="en-GB"/>
        </w:rPr>
        <w:t>s</w:t>
      </w:r>
      <w:r w:rsidR="009C5C9C">
        <w:rPr>
          <w:lang w:val="en-GB"/>
        </w:rPr>
        <w:t xml:space="preserve"> </w:t>
      </w:r>
      <w:r w:rsidRPr="2F9161C8">
        <w:rPr>
          <w:lang w:val="en-GB"/>
        </w:rPr>
        <w:t xml:space="preserve">that </w:t>
      </w:r>
      <w:r w:rsidR="00FE5544" w:rsidRPr="2F9161C8">
        <w:rPr>
          <w:lang w:val="en-GB"/>
        </w:rPr>
        <w:t>plastic</w:t>
      </w:r>
      <w:r w:rsidRPr="2F9161C8">
        <w:rPr>
          <w:lang w:val="en-GB"/>
        </w:rPr>
        <w:t xml:space="preserve"> waste</w:t>
      </w:r>
      <w:r w:rsidR="00FE5544" w:rsidRPr="2F9161C8">
        <w:rPr>
          <w:lang w:val="en-GB"/>
        </w:rPr>
        <w:t xml:space="preserve"> gasification </w:t>
      </w:r>
      <w:r w:rsidRPr="2F9161C8">
        <w:rPr>
          <w:lang w:val="en-GB"/>
        </w:rPr>
        <w:t>to produce m</w:t>
      </w:r>
      <w:r w:rsidR="00FE5544" w:rsidRPr="2F9161C8">
        <w:rPr>
          <w:lang w:val="en-GB"/>
        </w:rPr>
        <w:t xml:space="preserve">ethanol </w:t>
      </w:r>
      <w:r w:rsidR="005C5C18" w:rsidRPr="2F9161C8">
        <w:rPr>
          <w:lang w:val="en-GB"/>
        </w:rPr>
        <w:t xml:space="preserve">currently </w:t>
      </w:r>
      <w:r w:rsidR="00FE5544" w:rsidRPr="2F9161C8">
        <w:rPr>
          <w:lang w:val="en-GB"/>
        </w:rPr>
        <w:t xml:space="preserve">performs </w:t>
      </w:r>
      <w:r w:rsidR="00B41E25" w:rsidRPr="2F9161C8">
        <w:rPr>
          <w:lang w:val="en-GB"/>
        </w:rPr>
        <w:t>technically and economically</w:t>
      </w:r>
      <w:r w:rsidR="00FE5544" w:rsidRPr="2F9161C8">
        <w:rPr>
          <w:lang w:val="en-GB"/>
        </w:rPr>
        <w:t xml:space="preserve"> better than CO</w:t>
      </w:r>
      <w:r w:rsidR="00FE5544" w:rsidRPr="2F9161C8">
        <w:rPr>
          <w:vertAlign w:val="subscript"/>
          <w:lang w:val="en-GB"/>
        </w:rPr>
        <w:t xml:space="preserve">2 </w:t>
      </w:r>
      <w:r w:rsidR="00FE5544" w:rsidRPr="2F9161C8">
        <w:rPr>
          <w:lang w:val="en-GB"/>
        </w:rPr>
        <w:t>and biomass</w:t>
      </w:r>
      <w:r w:rsidR="00B41E25" w:rsidRPr="2F9161C8">
        <w:rPr>
          <w:lang w:val="en-GB"/>
        </w:rPr>
        <w:t>-based synthesis routes</w:t>
      </w:r>
      <w:r w:rsidR="00FE5544" w:rsidRPr="2F9161C8">
        <w:rPr>
          <w:lang w:val="en-GB"/>
        </w:rPr>
        <w:t xml:space="preserve">. The work also shows </w:t>
      </w:r>
      <w:r w:rsidR="00B41E25" w:rsidRPr="2F9161C8">
        <w:rPr>
          <w:lang w:val="en-GB"/>
        </w:rPr>
        <w:t xml:space="preserve">that the </w:t>
      </w:r>
      <w:r w:rsidR="00FE5544" w:rsidRPr="2F9161C8">
        <w:rPr>
          <w:lang w:val="en-GB"/>
        </w:rPr>
        <w:t>CO</w:t>
      </w:r>
      <w:r w:rsidR="00FE5544" w:rsidRPr="2F9161C8">
        <w:rPr>
          <w:vertAlign w:val="subscript"/>
          <w:lang w:val="en-GB"/>
        </w:rPr>
        <w:t>2</w:t>
      </w:r>
      <w:r w:rsidR="00FE5544" w:rsidRPr="2F9161C8">
        <w:rPr>
          <w:lang w:val="en-GB"/>
        </w:rPr>
        <w:t xml:space="preserve"> </w:t>
      </w:r>
      <w:r w:rsidR="00867D87" w:rsidRPr="2F9161C8">
        <w:rPr>
          <w:lang w:val="en-GB"/>
        </w:rPr>
        <w:t>hydrogenation-based</w:t>
      </w:r>
      <w:r w:rsidR="00FE5544" w:rsidRPr="2F9161C8">
        <w:rPr>
          <w:lang w:val="en-GB"/>
        </w:rPr>
        <w:t xml:space="preserve"> route can potentially become competitive </w:t>
      </w:r>
      <w:r w:rsidR="564C14BF" w:rsidRPr="2F9161C8">
        <w:rPr>
          <w:lang w:val="en-GB"/>
        </w:rPr>
        <w:t xml:space="preserve">in </w:t>
      </w:r>
      <w:r w:rsidR="00867D87" w:rsidRPr="2F9161C8">
        <w:rPr>
          <w:lang w:val="en-GB"/>
        </w:rPr>
        <w:t>a</w:t>
      </w:r>
      <w:r w:rsidR="564C14BF" w:rsidRPr="2F9161C8">
        <w:rPr>
          <w:lang w:val="en-GB"/>
        </w:rPr>
        <w:t xml:space="preserve"> scenario </w:t>
      </w:r>
      <w:r w:rsidR="00FE5544" w:rsidRPr="2F9161C8">
        <w:rPr>
          <w:lang w:val="en-GB"/>
        </w:rPr>
        <w:t xml:space="preserve">with </w:t>
      </w:r>
      <w:r w:rsidR="00F172D7">
        <w:rPr>
          <w:lang w:val="en-GB"/>
        </w:rPr>
        <w:t>renewable electricity prices below 0.02 EUR/kWh</w:t>
      </w:r>
      <w:r w:rsidR="00FE5544" w:rsidRPr="2F9161C8">
        <w:rPr>
          <w:lang w:val="en-GB"/>
        </w:rPr>
        <w:t xml:space="preserve">, outperforming biomass </w:t>
      </w:r>
      <w:r w:rsidR="005C5C18" w:rsidRPr="2F9161C8">
        <w:rPr>
          <w:lang w:val="en-GB"/>
        </w:rPr>
        <w:t xml:space="preserve">&amp; plastic </w:t>
      </w:r>
      <w:r w:rsidR="00867D87" w:rsidRPr="2F9161C8">
        <w:rPr>
          <w:lang w:val="en-GB"/>
        </w:rPr>
        <w:t>gasification-based</w:t>
      </w:r>
      <w:r w:rsidR="00FE5544" w:rsidRPr="2F9161C8">
        <w:rPr>
          <w:lang w:val="en-GB"/>
        </w:rPr>
        <w:t xml:space="preserve"> methanol.  </w:t>
      </w:r>
      <w:r w:rsidR="004F2E4B" w:rsidRPr="2F9161C8">
        <w:rPr>
          <w:lang w:val="en-GB"/>
        </w:rPr>
        <w:t>The bio-based rout</w:t>
      </w:r>
      <w:r w:rsidR="00F172D7">
        <w:rPr>
          <w:lang w:val="en-GB"/>
        </w:rPr>
        <w:t xml:space="preserve">e can be competitive when demand of heat/steam along with methanol is critical. </w:t>
      </w:r>
    </w:p>
    <w:p w14:paraId="144DE6BF" w14:textId="608D0AD6" w:rsidR="008D2649" w:rsidRPr="000C5F37" w:rsidRDefault="008D2649" w:rsidP="008D2649">
      <w:pPr>
        <w:pStyle w:val="Els-reference-head"/>
        <w:rPr>
          <w:lang w:val="en-GB"/>
        </w:rPr>
      </w:pPr>
      <w:r w:rsidRPr="000C5F37">
        <w:rPr>
          <w:lang w:val="en-GB"/>
        </w:rPr>
        <w:t>References</w:t>
      </w:r>
    </w:p>
    <w:p w14:paraId="52C54534" w14:textId="74F8A7F0" w:rsidR="00A20C3F" w:rsidRPr="00A20C3F" w:rsidRDefault="00E04FB1" w:rsidP="00683229">
      <w:pPr>
        <w:widowControl w:val="0"/>
        <w:autoSpaceDE w:val="0"/>
        <w:autoSpaceDN w:val="0"/>
        <w:adjustRightInd w:val="0"/>
        <w:spacing w:after="120"/>
        <w:jc w:val="both"/>
        <w:rPr>
          <w:noProof/>
          <w:sz w:val="18"/>
          <w:szCs w:val="24"/>
        </w:rPr>
      </w:pPr>
      <w:r>
        <w:fldChar w:fldCharType="begin" w:fldLock="1"/>
      </w:r>
      <w:r w:rsidRPr="000C5F37">
        <w:instrText xml:space="preserve">ADDIN Mendeley Bibliography CSL_BIBLIOGRAPHY </w:instrText>
      </w:r>
      <w:r>
        <w:fldChar w:fldCharType="separate"/>
      </w:r>
      <w:r w:rsidR="00A20C3F" w:rsidRPr="00A20C3F">
        <w:rPr>
          <w:noProof/>
          <w:sz w:val="18"/>
          <w:szCs w:val="24"/>
        </w:rPr>
        <w:t xml:space="preserve">Afzal, S., Singh, A., Nicholson, S. R., Uekert, T., DesVeaux, J. S., Tan, E. C. D., Dutta, A., Carpenter, A. C., Baldwin, R. M., &amp; Beckham, G. T. (2023). Techno-economic analysis and life cycle assessment of mixed plastic waste gasification for production of methanol and hydrogen. </w:t>
      </w:r>
      <w:r w:rsidR="00A20C3F" w:rsidRPr="00A20C3F">
        <w:rPr>
          <w:i/>
          <w:iCs/>
          <w:noProof/>
          <w:sz w:val="18"/>
          <w:szCs w:val="24"/>
        </w:rPr>
        <w:t>Green Chemistry</w:t>
      </w:r>
      <w:r w:rsidR="00A20C3F" w:rsidRPr="00A20C3F">
        <w:rPr>
          <w:noProof/>
          <w:sz w:val="18"/>
          <w:szCs w:val="24"/>
        </w:rPr>
        <w:t xml:space="preserve">, </w:t>
      </w:r>
      <w:r w:rsidR="00A20C3F" w:rsidRPr="00A20C3F">
        <w:rPr>
          <w:i/>
          <w:iCs/>
          <w:noProof/>
          <w:sz w:val="18"/>
          <w:szCs w:val="24"/>
        </w:rPr>
        <w:t>25</w:t>
      </w:r>
      <w:r w:rsidR="00A20C3F" w:rsidRPr="00A20C3F">
        <w:rPr>
          <w:noProof/>
          <w:sz w:val="18"/>
          <w:szCs w:val="24"/>
        </w:rPr>
        <w:t>(13), 5068–5085. https://doi.org/10.1039/D3GC00679D</w:t>
      </w:r>
    </w:p>
    <w:p w14:paraId="74FCC3D0" w14:textId="77777777" w:rsidR="00A20C3F" w:rsidRPr="00A20C3F" w:rsidRDefault="00A20C3F" w:rsidP="00683229">
      <w:pPr>
        <w:widowControl w:val="0"/>
        <w:autoSpaceDE w:val="0"/>
        <w:autoSpaceDN w:val="0"/>
        <w:adjustRightInd w:val="0"/>
        <w:spacing w:after="120"/>
        <w:jc w:val="both"/>
        <w:rPr>
          <w:noProof/>
          <w:sz w:val="18"/>
          <w:szCs w:val="24"/>
        </w:rPr>
      </w:pPr>
      <w:r w:rsidRPr="00A20C3F">
        <w:rPr>
          <w:noProof/>
          <w:sz w:val="18"/>
          <w:szCs w:val="24"/>
        </w:rPr>
        <w:t xml:space="preserve">de Fournas, N., &amp; Wei, M. (2022). Techno-economic assessment of renewable methanol from biomass gasification and PEM electrolysis for decarbonization of the maritime sector in California. </w:t>
      </w:r>
      <w:r w:rsidRPr="00A20C3F">
        <w:rPr>
          <w:i/>
          <w:iCs/>
          <w:noProof/>
          <w:sz w:val="18"/>
          <w:szCs w:val="24"/>
        </w:rPr>
        <w:t>Energy Conversion and Management</w:t>
      </w:r>
      <w:r w:rsidRPr="00A20C3F">
        <w:rPr>
          <w:noProof/>
          <w:sz w:val="18"/>
          <w:szCs w:val="24"/>
        </w:rPr>
        <w:t xml:space="preserve">, </w:t>
      </w:r>
      <w:r w:rsidRPr="00A20C3F">
        <w:rPr>
          <w:i/>
          <w:iCs/>
          <w:noProof/>
          <w:sz w:val="18"/>
          <w:szCs w:val="24"/>
        </w:rPr>
        <w:t>257</w:t>
      </w:r>
      <w:r w:rsidRPr="00A20C3F">
        <w:rPr>
          <w:noProof/>
          <w:sz w:val="18"/>
          <w:szCs w:val="24"/>
        </w:rPr>
        <w:t>(December 2021), 115440. https://doi.org/10.1016/j.enconman.2022.115440</w:t>
      </w:r>
    </w:p>
    <w:p w14:paraId="1FF1004B" w14:textId="77777777" w:rsidR="00A20C3F" w:rsidRPr="00A20C3F" w:rsidRDefault="00A20C3F" w:rsidP="00683229">
      <w:pPr>
        <w:widowControl w:val="0"/>
        <w:autoSpaceDE w:val="0"/>
        <w:autoSpaceDN w:val="0"/>
        <w:adjustRightInd w:val="0"/>
        <w:spacing w:after="120"/>
        <w:jc w:val="both"/>
        <w:rPr>
          <w:noProof/>
          <w:sz w:val="18"/>
          <w:szCs w:val="24"/>
        </w:rPr>
      </w:pPr>
      <w:r w:rsidRPr="00254935">
        <w:rPr>
          <w:noProof/>
          <w:sz w:val="18"/>
          <w:szCs w:val="24"/>
          <w:lang w:val="nl-NL"/>
        </w:rPr>
        <w:t xml:space="preserve">E. Lücking, L., &amp; de Jong, W. (2017). </w:t>
      </w:r>
      <w:r w:rsidRPr="00A20C3F">
        <w:rPr>
          <w:i/>
          <w:iCs/>
          <w:noProof/>
          <w:sz w:val="18"/>
          <w:szCs w:val="24"/>
        </w:rPr>
        <w:t>Methanol Production from Syngas: Process modelling and design utilising biomass gasification and integrating hydrogen supply</w:t>
      </w:r>
      <w:r w:rsidRPr="00A20C3F">
        <w:rPr>
          <w:noProof/>
          <w:sz w:val="18"/>
          <w:szCs w:val="24"/>
        </w:rPr>
        <w:t>. https://repository.tudelft.nl/islandora/object/uuid%3Ac0c5ebd2-c336-4f2d-85d1-014dae9fdf24</w:t>
      </w:r>
    </w:p>
    <w:p w14:paraId="7BA50F4A" w14:textId="77777777" w:rsidR="00A20C3F" w:rsidRPr="008E6B20" w:rsidRDefault="00A20C3F" w:rsidP="00683229">
      <w:pPr>
        <w:widowControl w:val="0"/>
        <w:autoSpaceDE w:val="0"/>
        <w:autoSpaceDN w:val="0"/>
        <w:adjustRightInd w:val="0"/>
        <w:spacing w:after="120"/>
        <w:jc w:val="both"/>
        <w:rPr>
          <w:noProof/>
          <w:sz w:val="18"/>
          <w:szCs w:val="24"/>
          <w:lang w:val="nl-NL"/>
        </w:rPr>
      </w:pPr>
      <w:r w:rsidRPr="00A20C3F">
        <w:rPr>
          <w:noProof/>
          <w:sz w:val="18"/>
          <w:szCs w:val="24"/>
        </w:rPr>
        <w:t xml:space="preserve">Larsson, A., Gunnasrsson, I., &amp; Tengberg, F. (2018). The GoBiGas Project-Demonstration of the Production of Biomethane from Biomass via Gasification. </w:t>
      </w:r>
      <w:r w:rsidRPr="008E6B20">
        <w:rPr>
          <w:noProof/>
          <w:sz w:val="18"/>
          <w:szCs w:val="24"/>
          <w:lang w:val="nl-NL"/>
        </w:rPr>
        <w:t xml:space="preserve">In </w:t>
      </w:r>
      <w:r w:rsidRPr="008E6B20">
        <w:rPr>
          <w:i/>
          <w:iCs/>
          <w:noProof/>
          <w:sz w:val="18"/>
          <w:szCs w:val="24"/>
          <w:lang w:val="nl-NL"/>
        </w:rPr>
        <w:t>Goteborg Energi AB, Gothenburg, Sweden</w:t>
      </w:r>
      <w:r w:rsidRPr="008E6B20">
        <w:rPr>
          <w:noProof/>
          <w:sz w:val="18"/>
          <w:szCs w:val="24"/>
          <w:lang w:val="nl-NL"/>
        </w:rPr>
        <w:t>.</w:t>
      </w:r>
    </w:p>
    <w:p w14:paraId="0648861E" w14:textId="77777777" w:rsidR="00A20C3F" w:rsidRPr="00A20C3F" w:rsidRDefault="00A20C3F" w:rsidP="00683229">
      <w:pPr>
        <w:widowControl w:val="0"/>
        <w:autoSpaceDE w:val="0"/>
        <w:autoSpaceDN w:val="0"/>
        <w:adjustRightInd w:val="0"/>
        <w:spacing w:after="120"/>
        <w:jc w:val="both"/>
        <w:rPr>
          <w:noProof/>
          <w:sz w:val="18"/>
          <w:szCs w:val="24"/>
        </w:rPr>
      </w:pPr>
      <w:r w:rsidRPr="008E6B20">
        <w:rPr>
          <w:noProof/>
          <w:sz w:val="18"/>
          <w:szCs w:val="24"/>
          <w:lang w:val="nl-NL"/>
        </w:rPr>
        <w:t xml:space="preserve">Manalal, J. T., Pérez-Fortes, M., Gonzalez, P. I., &amp; Ramirez, A. R. (2023). </w:t>
      </w:r>
      <w:r w:rsidRPr="00A20C3F">
        <w:rPr>
          <w:noProof/>
          <w:sz w:val="18"/>
          <w:szCs w:val="24"/>
        </w:rPr>
        <w:t xml:space="preserve">Evaluation of alternative carbon based ethylene production in a petrochemical cluster: Technology screening &amp; value chain impact assessment. In </w:t>
      </w:r>
      <w:r w:rsidRPr="00A20C3F">
        <w:rPr>
          <w:i/>
          <w:iCs/>
          <w:noProof/>
          <w:sz w:val="18"/>
          <w:szCs w:val="24"/>
        </w:rPr>
        <w:t>Computer Aided Chemical Engineering</w:t>
      </w:r>
      <w:r w:rsidRPr="00A20C3F">
        <w:rPr>
          <w:noProof/>
          <w:sz w:val="18"/>
          <w:szCs w:val="24"/>
        </w:rPr>
        <w:t xml:space="preserve"> (Vol. 52, pp. 2453–2458). Elsevier Masson SAS. https://doi.org/10.1016/B978-0-443-15274-0.50390-5</w:t>
      </w:r>
    </w:p>
    <w:p w14:paraId="274DE6AC" w14:textId="77777777" w:rsidR="00A20C3F" w:rsidRPr="00A20C3F" w:rsidRDefault="00A20C3F" w:rsidP="00683229">
      <w:pPr>
        <w:widowControl w:val="0"/>
        <w:autoSpaceDE w:val="0"/>
        <w:autoSpaceDN w:val="0"/>
        <w:adjustRightInd w:val="0"/>
        <w:spacing w:after="120"/>
        <w:jc w:val="both"/>
        <w:rPr>
          <w:noProof/>
          <w:sz w:val="18"/>
          <w:szCs w:val="24"/>
        </w:rPr>
      </w:pPr>
      <w:r w:rsidRPr="00080D13">
        <w:rPr>
          <w:noProof/>
          <w:sz w:val="18"/>
          <w:szCs w:val="24"/>
          <w:lang w:val="es-ES"/>
        </w:rPr>
        <w:t xml:space="preserve">Quevedo, S., Ibarra Gonzales, P., &amp; Rameriz, A. (2021). </w:t>
      </w:r>
      <w:r w:rsidRPr="00A20C3F">
        <w:rPr>
          <w:i/>
          <w:iCs/>
          <w:noProof/>
          <w:sz w:val="18"/>
          <w:szCs w:val="24"/>
        </w:rPr>
        <w:t>Techno-economic and environmental comparative assessment of two renewable methanol production routes</w:t>
      </w:r>
      <w:r w:rsidRPr="00A20C3F">
        <w:rPr>
          <w:noProof/>
          <w:sz w:val="18"/>
          <w:szCs w:val="24"/>
        </w:rPr>
        <w:t xml:space="preserve"> [TU Delft]. http://resolver.tudelft.nl/uuid:923d22dd-b711-46ff-9fc3-a3ba695e31bd</w:t>
      </w:r>
    </w:p>
    <w:p w14:paraId="729709AE" w14:textId="77777777" w:rsidR="00A20C3F" w:rsidRPr="00A20C3F" w:rsidRDefault="00A20C3F" w:rsidP="00683229">
      <w:pPr>
        <w:widowControl w:val="0"/>
        <w:autoSpaceDE w:val="0"/>
        <w:autoSpaceDN w:val="0"/>
        <w:adjustRightInd w:val="0"/>
        <w:spacing w:after="120"/>
        <w:jc w:val="both"/>
        <w:rPr>
          <w:noProof/>
          <w:sz w:val="18"/>
          <w:szCs w:val="24"/>
        </w:rPr>
      </w:pPr>
      <w:r w:rsidRPr="00080D13">
        <w:rPr>
          <w:noProof/>
          <w:sz w:val="18"/>
          <w:szCs w:val="24"/>
          <w:lang w:val="es-ES"/>
        </w:rPr>
        <w:t xml:space="preserve">Sollai, S., Porcu, A., Tola, V., Ferrara, F., &amp; Pettinau, A. (2023). </w:t>
      </w:r>
      <w:r w:rsidRPr="00A20C3F">
        <w:rPr>
          <w:noProof/>
          <w:sz w:val="18"/>
          <w:szCs w:val="24"/>
        </w:rPr>
        <w:t xml:space="preserve">Renewable methanol production from green hydrogen and captured CO2: A techno-economic assessment. </w:t>
      </w:r>
      <w:r w:rsidRPr="00A20C3F">
        <w:rPr>
          <w:i/>
          <w:iCs/>
          <w:noProof/>
          <w:sz w:val="18"/>
          <w:szCs w:val="24"/>
        </w:rPr>
        <w:t>Journal of CO2 Utilization</w:t>
      </w:r>
      <w:r w:rsidRPr="00A20C3F">
        <w:rPr>
          <w:noProof/>
          <w:sz w:val="18"/>
          <w:szCs w:val="24"/>
        </w:rPr>
        <w:t xml:space="preserve">, </w:t>
      </w:r>
      <w:r w:rsidRPr="00A20C3F">
        <w:rPr>
          <w:i/>
          <w:iCs/>
          <w:noProof/>
          <w:sz w:val="18"/>
          <w:szCs w:val="24"/>
        </w:rPr>
        <w:t>68</w:t>
      </w:r>
      <w:r w:rsidRPr="00A20C3F">
        <w:rPr>
          <w:noProof/>
          <w:sz w:val="18"/>
          <w:szCs w:val="24"/>
        </w:rPr>
        <w:t>(November 2022), 102345. https://doi.org/10.1016/j.jcou.2022.102345</w:t>
      </w:r>
    </w:p>
    <w:p w14:paraId="275B5711" w14:textId="77777777" w:rsidR="00A20C3F" w:rsidRPr="00A20C3F" w:rsidRDefault="00A20C3F" w:rsidP="00683229">
      <w:pPr>
        <w:widowControl w:val="0"/>
        <w:autoSpaceDE w:val="0"/>
        <w:autoSpaceDN w:val="0"/>
        <w:adjustRightInd w:val="0"/>
        <w:spacing w:after="120"/>
        <w:jc w:val="both"/>
        <w:rPr>
          <w:noProof/>
          <w:sz w:val="18"/>
        </w:rPr>
      </w:pPr>
      <w:r w:rsidRPr="00A20C3F">
        <w:rPr>
          <w:noProof/>
          <w:sz w:val="18"/>
          <w:szCs w:val="24"/>
        </w:rPr>
        <w:t xml:space="preserve">Towler, G., &amp; Sinnott, R. (2013). </w:t>
      </w:r>
      <w:r w:rsidRPr="00A20C3F">
        <w:rPr>
          <w:i/>
          <w:iCs/>
          <w:noProof/>
          <w:sz w:val="18"/>
          <w:szCs w:val="24"/>
        </w:rPr>
        <w:t>Chemical Engineering Design: Principles, Practice and Economics of Plant and Process Design</w:t>
      </w:r>
      <w:r w:rsidRPr="00A20C3F">
        <w:rPr>
          <w:noProof/>
          <w:sz w:val="18"/>
          <w:szCs w:val="24"/>
        </w:rPr>
        <w:t xml:space="preserve"> (2nd ed.). Elsevier.</w:t>
      </w:r>
    </w:p>
    <w:p w14:paraId="46F6A071" w14:textId="317EDA24" w:rsidR="00137FD0" w:rsidRPr="000C5F37" w:rsidRDefault="00E04FB1" w:rsidP="0040198F">
      <w:pPr>
        <w:pStyle w:val="Els-referenceno-number"/>
        <w:spacing w:after="120"/>
        <w:ind w:left="0" w:firstLine="0"/>
        <w:jc w:val="both"/>
        <w:rPr>
          <w:b/>
          <w:noProof w:val="0"/>
          <w:sz w:val="22"/>
          <w:szCs w:val="22"/>
        </w:rPr>
      </w:pPr>
      <w:r>
        <w:rPr>
          <w:noProof w:val="0"/>
        </w:rPr>
        <w:fldChar w:fldCharType="end"/>
      </w:r>
      <w:r w:rsidR="00137FD0" w:rsidRPr="000C5F37">
        <w:rPr>
          <w:b/>
          <w:noProof w:val="0"/>
          <w:sz w:val="22"/>
          <w:szCs w:val="22"/>
        </w:rPr>
        <w:t>Acknowledgements</w:t>
      </w:r>
    </w:p>
    <w:p w14:paraId="144DE6C3" w14:textId="49BB8001" w:rsidR="008D2649" w:rsidRDefault="00137FD0" w:rsidP="2F9161C8">
      <w:pPr>
        <w:pStyle w:val="NormalWeb"/>
        <w:shd w:val="clear" w:color="auto" w:fill="FFFFFF" w:themeFill="background1"/>
        <w:spacing w:before="0" w:beforeAutospacing="0" w:after="0" w:afterAutospacing="0" w:line="240" w:lineRule="auto"/>
        <w:jc w:val="both"/>
        <w:rPr>
          <w:rFonts w:ascii="Times New Roman" w:eastAsia="Times New Roman" w:hAnsi="Times New Roman" w:cs="Times New Roman"/>
          <w:kern w:val="0"/>
          <w:sz w:val="20"/>
          <w:szCs w:val="20"/>
          <w:lang w:eastAsia="en-US"/>
          <w14:ligatures w14:val="none"/>
        </w:rPr>
      </w:pPr>
      <w:r w:rsidRPr="007068A3">
        <w:rPr>
          <w:rFonts w:ascii="Times New Roman" w:eastAsia="Times New Roman" w:hAnsi="Times New Roman" w:cs="Times New Roman"/>
          <w:kern w:val="0"/>
          <w:sz w:val="20"/>
          <w:szCs w:val="20"/>
          <w:lang w:eastAsia="en-US"/>
          <w14:ligatures w14:val="none"/>
        </w:rPr>
        <w:t>This publication is part of the project Unravelling the impacts of using alternative raw materials in industrial clusters (with project number VI.C.183.010 of the research programme Vici DO which is (partly) financed by the Dutch Research Council (NWO).</w:t>
      </w:r>
      <w:r w:rsidR="0097093C">
        <w:rPr>
          <w:rFonts w:ascii="Times New Roman" w:eastAsia="Times New Roman" w:hAnsi="Times New Roman" w:cs="Times New Roman"/>
          <w:sz w:val="20"/>
          <w:szCs w:val="20"/>
          <w:lang w:eastAsia="en-US"/>
        </w:rPr>
        <w:t xml:space="preserve"> </w:t>
      </w:r>
      <w:r w:rsidR="00F11107">
        <w:rPr>
          <w:rFonts w:ascii="Times New Roman" w:eastAsia="Times New Roman" w:hAnsi="Times New Roman" w:cs="Times New Roman"/>
          <w:kern w:val="0"/>
          <w:sz w:val="20"/>
          <w:szCs w:val="20"/>
          <w:lang w:eastAsia="en-US"/>
          <w14:ligatures w14:val="none"/>
        </w:rPr>
        <w:t>We thank Michael Tan and Sebastian Quevedo</w:t>
      </w:r>
      <w:r w:rsidR="00895C7E">
        <w:rPr>
          <w:rFonts w:ascii="Times New Roman" w:eastAsia="Times New Roman" w:hAnsi="Times New Roman" w:cs="Times New Roman"/>
          <w:kern w:val="0"/>
          <w:sz w:val="20"/>
          <w:szCs w:val="20"/>
          <w:lang w:eastAsia="en-US"/>
          <w14:ligatures w14:val="none"/>
        </w:rPr>
        <w:t xml:space="preserve"> for sharing their Aspen plus models which were modified for the purpose of this study.</w:t>
      </w:r>
    </w:p>
    <w:p w14:paraId="125A3B0D" w14:textId="0FDE8502" w:rsidR="00096EDA" w:rsidRPr="00895C7E" w:rsidRDefault="00096EDA" w:rsidP="007068A3">
      <w:pPr>
        <w:pStyle w:val="NormalWeb"/>
        <w:shd w:val="clear" w:color="auto" w:fill="FFFFFF"/>
        <w:spacing w:before="0" w:beforeAutospacing="0" w:after="0" w:afterAutospacing="0" w:line="240" w:lineRule="auto"/>
        <w:jc w:val="both"/>
        <w:rPr>
          <w:rFonts w:ascii="Times New Roman" w:eastAsia="Times New Roman" w:hAnsi="Times New Roman" w:cs="Times New Roman"/>
          <w:color w:val="FF0000"/>
          <w:kern w:val="0"/>
          <w:sz w:val="20"/>
          <w:szCs w:val="20"/>
          <w:lang w:eastAsia="en-US"/>
          <w14:ligatures w14:val="none"/>
        </w:rPr>
      </w:pPr>
    </w:p>
    <w:sectPr w:rsidR="00096EDA" w:rsidRPr="00895C7E"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DA85" w14:textId="77777777" w:rsidR="0023324B" w:rsidRPr="00381CCD" w:rsidRDefault="0023324B">
      <w:r w:rsidRPr="00381CCD">
        <w:separator/>
      </w:r>
    </w:p>
  </w:endnote>
  <w:endnote w:type="continuationSeparator" w:id="0">
    <w:p w14:paraId="194098D6" w14:textId="77777777" w:rsidR="0023324B" w:rsidRPr="00381CCD" w:rsidRDefault="0023324B">
      <w:r w:rsidRPr="00381CCD">
        <w:continuationSeparator/>
      </w:r>
    </w:p>
  </w:endnote>
  <w:endnote w:type="continuationNotice" w:id="1">
    <w:p w14:paraId="100F6AC5" w14:textId="77777777" w:rsidR="0023324B" w:rsidRDefault="00233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88BE" w14:textId="77777777" w:rsidR="0023324B" w:rsidRPr="00381CCD" w:rsidRDefault="0023324B">
      <w:r w:rsidRPr="00381CCD">
        <w:separator/>
      </w:r>
    </w:p>
  </w:footnote>
  <w:footnote w:type="continuationSeparator" w:id="0">
    <w:p w14:paraId="4C0645C8" w14:textId="77777777" w:rsidR="0023324B" w:rsidRPr="00381CCD" w:rsidRDefault="0023324B">
      <w:r w:rsidRPr="00381CCD">
        <w:continuationSeparator/>
      </w:r>
    </w:p>
  </w:footnote>
  <w:footnote w:type="continuationNotice" w:id="1">
    <w:p w14:paraId="203EC1C1" w14:textId="77777777" w:rsidR="0023324B" w:rsidRDefault="00233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D8C55AD" w:rsidR="00DD3D9E" w:rsidRPr="00381CCD" w:rsidRDefault="00DD3D9E">
    <w:pPr>
      <w:pStyle w:val="Header"/>
      <w:tabs>
        <w:tab w:val="clear" w:pos="7200"/>
        <w:tab w:val="right" w:pos="7088"/>
      </w:tabs>
      <w:rPr>
        <w:noProof w:val="0"/>
      </w:rPr>
    </w:pPr>
    <w:r w:rsidRPr="00381CCD">
      <w:rPr>
        <w:rStyle w:val="PageNumber"/>
        <w:noProof w:val="0"/>
      </w:rPr>
      <w:tab/>
    </w:r>
    <w:r w:rsidRPr="00381CCD">
      <w:rPr>
        <w:rStyle w:val="PageNumber"/>
        <w:i/>
        <w:noProof w:val="0"/>
      </w:rPr>
      <w:tab/>
    </w:r>
    <w:r w:rsidR="004375FA" w:rsidRPr="00381CCD">
      <w:rPr>
        <w:i/>
        <w:noProof w:val="0"/>
      </w:rPr>
      <w:t>J. T. Manalal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B1214C1" w:rsidR="00DD3D9E" w:rsidRPr="00381CCD" w:rsidRDefault="004375FA">
    <w:pPr>
      <w:pStyle w:val="Header"/>
      <w:tabs>
        <w:tab w:val="clear" w:pos="7200"/>
        <w:tab w:val="right" w:pos="7088"/>
      </w:tabs>
      <w:jc w:val="right"/>
      <w:rPr>
        <w:noProof w:val="0"/>
        <w:sz w:val="24"/>
      </w:rPr>
    </w:pPr>
    <w:r w:rsidRPr="00381CCD">
      <w:rPr>
        <w:i/>
        <w:noProof w:val="0"/>
      </w:rPr>
      <w:t>Process level techno-economic impacts of using alternative carbon based feedstocks for the production of methanol</w:t>
    </w:r>
    <w:r w:rsidR="00DD3D9E" w:rsidRPr="00381CCD">
      <w:rPr>
        <w:rStyle w:val="PageNumber"/>
        <w:i/>
        <w:noProof w:val="0"/>
        <w:sz w:val="24"/>
      </w:rPr>
      <w:tab/>
    </w:r>
    <w:r w:rsidR="00DD3D9E" w:rsidRPr="00381CCD">
      <w:rPr>
        <w:rStyle w:val="PageNumber"/>
        <w:noProof w:val="0"/>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81CCD" w:rsidRDefault="00F06842" w:rsidP="00F06842">
    <w:pPr>
      <w:pStyle w:val="ElsevierBodyTextCentredNospace"/>
      <w:jc w:val="left"/>
      <w:rPr>
        <w:sz w:val="18"/>
        <w:szCs w:val="18"/>
        <w:lang w:val="en-GB"/>
      </w:rPr>
    </w:pPr>
    <w:r w:rsidRPr="00381CCD">
      <w:rPr>
        <w:color w:val="auto"/>
        <w:sz w:val="18"/>
        <w:szCs w:val="18"/>
        <w:lang w:val="en-GB"/>
      </w:rPr>
      <w:t>Flavio Manenti, Gintaras V. Reklaitis (Eds.),</w:t>
    </w:r>
    <w:r w:rsidRPr="00381CCD">
      <w:rPr>
        <w:color w:val="auto"/>
        <w:lang w:val="en-GB"/>
      </w:rPr>
      <w:t xml:space="preserve"> </w:t>
    </w:r>
    <w:r w:rsidRPr="00381CCD">
      <w:rPr>
        <w:sz w:val="18"/>
        <w:szCs w:val="18"/>
        <w:lang w:val="en-GB"/>
      </w:rPr>
      <w:t xml:space="preserve">Proceedings of the </w:t>
    </w:r>
    <w:r w:rsidRPr="00381CCD">
      <w:rPr>
        <w:rStyle w:val="underline1"/>
        <w:sz w:val="18"/>
        <w:szCs w:val="18"/>
        <w:u w:val="none"/>
        <w:lang w:val="en-GB"/>
      </w:rPr>
      <w:t>34</w:t>
    </w:r>
    <w:r w:rsidRPr="00381CCD">
      <w:rPr>
        <w:rStyle w:val="underline1"/>
        <w:sz w:val="18"/>
        <w:szCs w:val="18"/>
        <w:u w:val="none"/>
        <w:vertAlign w:val="superscript"/>
        <w:lang w:val="en-GB"/>
      </w:rPr>
      <w:t>th</w:t>
    </w:r>
    <w:r w:rsidRPr="00381CCD">
      <w:rPr>
        <w:rStyle w:val="underline1"/>
        <w:sz w:val="18"/>
        <w:szCs w:val="18"/>
        <w:u w:val="none"/>
        <w:lang w:val="en-GB"/>
      </w:rPr>
      <w:t xml:space="preserve"> European Symposium on Computer Aided Process Engineering / 15</w:t>
    </w:r>
    <w:r w:rsidRPr="00381CCD">
      <w:rPr>
        <w:rStyle w:val="underline1"/>
        <w:sz w:val="18"/>
        <w:szCs w:val="18"/>
        <w:u w:val="none"/>
        <w:vertAlign w:val="superscript"/>
        <w:lang w:val="en-GB"/>
      </w:rPr>
      <w:t>th</w:t>
    </w:r>
    <w:r w:rsidRPr="00381CCD">
      <w:rPr>
        <w:rStyle w:val="underline1"/>
        <w:sz w:val="18"/>
        <w:szCs w:val="18"/>
        <w:u w:val="none"/>
        <w:lang w:val="en-GB"/>
      </w:rPr>
      <w:t xml:space="preserve"> International Symposium on Process Systems Engineerin</w:t>
    </w:r>
    <w:r w:rsidRPr="00381CCD">
      <w:rPr>
        <w:rStyle w:val="underline1"/>
        <w:sz w:val="18"/>
        <w:szCs w:val="18"/>
        <w:lang w:val="en-GB"/>
      </w:rPr>
      <w:t>g</w:t>
    </w:r>
    <w:r w:rsidRPr="00381CCD">
      <w:rPr>
        <w:sz w:val="18"/>
        <w:szCs w:val="18"/>
        <w:lang w:val="en-GB"/>
      </w:rPr>
      <w:t xml:space="preserve"> (ESCAPE34/PSE24), June 2-6, 2024, Florence, Italy</w:t>
    </w:r>
  </w:p>
  <w:p w14:paraId="144DE6CC" w14:textId="77777777" w:rsidR="00DD3D9E" w:rsidRPr="00381CCD" w:rsidRDefault="00F06842" w:rsidP="00F06842">
    <w:pPr>
      <w:tabs>
        <w:tab w:val="right" w:pos="7086"/>
      </w:tabs>
    </w:pPr>
    <w:r w:rsidRPr="00381CCD">
      <w:rPr>
        <w:sz w:val="18"/>
        <w:szCs w:val="18"/>
      </w:rPr>
      <w:t>© 2024 Elsevier B.V. All rights reserved.</w:t>
    </w:r>
    <w:r w:rsidR="00DD3D9E" w:rsidRPr="00381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NDK0NDA1MDEwNjdT0lEKTi0uzszPAykwqgUAgT0zLywAAAA="/>
  </w:docVars>
  <w:rsids>
    <w:rsidRoot w:val="00B63237"/>
    <w:rsid w:val="00000F95"/>
    <w:rsid w:val="000072D6"/>
    <w:rsid w:val="00022DB3"/>
    <w:rsid w:val="00023DDA"/>
    <w:rsid w:val="00030C24"/>
    <w:rsid w:val="00037519"/>
    <w:rsid w:val="00042E12"/>
    <w:rsid w:val="00045367"/>
    <w:rsid w:val="000506A2"/>
    <w:rsid w:val="00061361"/>
    <w:rsid w:val="00064965"/>
    <w:rsid w:val="00067270"/>
    <w:rsid w:val="0007607E"/>
    <w:rsid w:val="00076E47"/>
    <w:rsid w:val="00080D13"/>
    <w:rsid w:val="00086F2B"/>
    <w:rsid w:val="0009106B"/>
    <w:rsid w:val="00096EDA"/>
    <w:rsid w:val="000A36C2"/>
    <w:rsid w:val="000A6432"/>
    <w:rsid w:val="000A6FB8"/>
    <w:rsid w:val="000B42CE"/>
    <w:rsid w:val="000B7684"/>
    <w:rsid w:val="000C07B5"/>
    <w:rsid w:val="000C5C5B"/>
    <w:rsid w:val="000C5F37"/>
    <w:rsid w:val="000C6BC3"/>
    <w:rsid w:val="000D3D9B"/>
    <w:rsid w:val="000D4CDA"/>
    <w:rsid w:val="000D557B"/>
    <w:rsid w:val="000D7BA9"/>
    <w:rsid w:val="000E2CAF"/>
    <w:rsid w:val="000E4A11"/>
    <w:rsid w:val="000E708C"/>
    <w:rsid w:val="000F09CD"/>
    <w:rsid w:val="000F0F16"/>
    <w:rsid w:val="000F1D73"/>
    <w:rsid w:val="000F51F3"/>
    <w:rsid w:val="00102B0C"/>
    <w:rsid w:val="00112ED5"/>
    <w:rsid w:val="00113F43"/>
    <w:rsid w:val="001214EC"/>
    <w:rsid w:val="00124241"/>
    <w:rsid w:val="00124E53"/>
    <w:rsid w:val="001252D3"/>
    <w:rsid w:val="00137FD0"/>
    <w:rsid w:val="001448D3"/>
    <w:rsid w:val="00147A73"/>
    <w:rsid w:val="001538DA"/>
    <w:rsid w:val="00155EB2"/>
    <w:rsid w:val="0016032F"/>
    <w:rsid w:val="001702D4"/>
    <w:rsid w:val="00172402"/>
    <w:rsid w:val="001879F6"/>
    <w:rsid w:val="00187C9D"/>
    <w:rsid w:val="001908AE"/>
    <w:rsid w:val="001C0148"/>
    <w:rsid w:val="001C4565"/>
    <w:rsid w:val="001C757E"/>
    <w:rsid w:val="001D10E0"/>
    <w:rsid w:val="001D1D63"/>
    <w:rsid w:val="001D612F"/>
    <w:rsid w:val="001E4424"/>
    <w:rsid w:val="001E71DF"/>
    <w:rsid w:val="00200F72"/>
    <w:rsid w:val="00201A38"/>
    <w:rsid w:val="002025BC"/>
    <w:rsid w:val="0020390F"/>
    <w:rsid w:val="00204CF4"/>
    <w:rsid w:val="002075FE"/>
    <w:rsid w:val="00207BAA"/>
    <w:rsid w:val="0021185F"/>
    <w:rsid w:val="00213DB4"/>
    <w:rsid w:val="00225B25"/>
    <w:rsid w:val="002266F4"/>
    <w:rsid w:val="00227757"/>
    <w:rsid w:val="0023307B"/>
    <w:rsid w:val="0023324B"/>
    <w:rsid w:val="002341BA"/>
    <w:rsid w:val="00234754"/>
    <w:rsid w:val="00244756"/>
    <w:rsid w:val="00254935"/>
    <w:rsid w:val="00255265"/>
    <w:rsid w:val="002553B8"/>
    <w:rsid w:val="00255BE3"/>
    <w:rsid w:val="00262EF7"/>
    <w:rsid w:val="00264926"/>
    <w:rsid w:val="00270021"/>
    <w:rsid w:val="00270377"/>
    <w:rsid w:val="0027063A"/>
    <w:rsid w:val="002824B0"/>
    <w:rsid w:val="00291901"/>
    <w:rsid w:val="002A07B0"/>
    <w:rsid w:val="002A73CF"/>
    <w:rsid w:val="002C36C9"/>
    <w:rsid w:val="002C680C"/>
    <w:rsid w:val="002C76B2"/>
    <w:rsid w:val="002D2CBB"/>
    <w:rsid w:val="002D4A3B"/>
    <w:rsid w:val="002D6782"/>
    <w:rsid w:val="002E1626"/>
    <w:rsid w:val="002E732C"/>
    <w:rsid w:val="002F0333"/>
    <w:rsid w:val="002F6879"/>
    <w:rsid w:val="003048F7"/>
    <w:rsid w:val="003132DC"/>
    <w:rsid w:val="00325809"/>
    <w:rsid w:val="0034656D"/>
    <w:rsid w:val="00347588"/>
    <w:rsid w:val="00351BF5"/>
    <w:rsid w:val="00360304"/>
    <w:rsid w:val="0036457E"/>
    <w:rsid w:val="00374E2C"/>
    <w:rsid w:val="00381CCD"/>
    <w:rsid w:val="0039707C"/>
    <w:rsid w:val="003A04FA"/>
    <w:rsid w:val="003B0DC7"/>
    <w:rsid w:val="003B3B74"/>
    <w:rsid w:val="003C3E99"/>
    <w:rsid w:val="003C4CD1"/>
    <w:rsid w:val="003C528A"/>
    <w:rsid w:val="003C6998"/>
    <w:rsid w:val="003D1582"/>
    <w:rsid w:val="003D4AA0"/>
    <w:rsid w:val="003D7E4C"/>
    <w:rsid w:val="003E2FAF"/>
    <w:rsid w:val="003E41C2"/>
    <w:rsid w:val="003F2194"/>
    <w:rsid w:val="0040198F"/>
    <w:rsid w:val="004034D4"/>
    <w:rsid w:val="0041055B"/>
    <w:rsid w:val="004218DD"/>
    <w:rsid w:val="004224D7"/>
    <w:rsid w:val="00423F6F"/>
    <w:rsid w:val="004300C5"/>
    <w:rsid w:val="00432621"/>
    <w:rsid w:val="004375FA"/>
    <w:rsid w:val="00444696"/>
    <w:rsid w:val="004548F6"/>
    <w:rsid w:val="0045642F"/>
    <w:rsid w:val="0046187D"/>
    <w:rsid w:val="00464DA5"/>
    <w:rsid w:val="0047218B"/>
    <w:rsid w:val="00483F44"/>
    <w:rsid w:val="004840B9"/>
    <w:rsid w:val="00495254"/>
    <w:rsid w:val="0049772C"/>
    <w:rsid w:val="004A064E"/>
    <w:rsid w:val="004A11AE"/>
    <w:rsid w:val="004B125C"/>
    <w:rsid w:val="004B2DDE"/>
    <w:rsid w:val="004B5AA2"/>
    <w:rsid w:val="004C0818"/>
    <w:rsid w:val="004D12FE"/>
    <w:rsid w:val="004E0FC9"/>
    <w:rsid w:val="004F2E4B"/>
    <w:rsid w:val="004F6C0D"/>
    <w:rsid w:val="00505698"/>
    <w:rsid w:val="00510682"/>
    <w:rsid w:val="0053043E"/>
    <w:rsid w:val="00531D7D"/>
    <w:rsid w:val="005451CA"/>
    <w:rsid w:val="0054544D"/>
    <w:rsid w:val="00547294"/>
    <w:rsid w:val="00552EEB"/>
    <w:rsid w:val="00554BAC"/>
    <w:rsid w:val="00555C1C"/>
    <w:rsid w:val="00562558"/>
    <w:rsid w:val="005664DA"/>
    <w:rsid w:val="00572D50"/>
    <w:rsid w:val="0057441A"/>
    <w:rsid w:val="0057594A"/>
    <w:rsid w:val="00587234"/>
    <w:rsid w:val="005A27EE"/>
    <w:rsid w:val="005A44F7"/>
    <w:rsid w:val="005A4589"/>
    <w:rsid w:val="005A644C"/>
    <w:rsid w:val="005B332B"/>
    <w:rsid w:val="005B7796"/>
    <w:rsid w:val="005C3798"/>
    <w:rsid w:val="005C38C8"/>
    <w:rsid w:val="005C5C18"/>
    <w:rsid w:val="005D1270"/>
    <w:rsid w:val="005E6BC8"/>
    <w:rsid w:val="005E8ED5"/>
    <w:rsid w:val="005F08BC"/>
    <w:rsid w:val="005F55D3"/>
    <w:rsid w:val="005F611A"/>
    <w:rsid w:val="005F6B24"/>
    <w:rsid w:val="005F7186"/>
    <w:rsid w:val="0060164B"/>
    <w:rsid w:val="0062387F"/>
    <w:rsid w:val="00625917"/>
    <w:rsid w:val="00626F67"/>
    <w:rsid w:val="00627221"/>
    <w:rsid w:val="00631A0B"/>
    <w:rsid w:val="00631DAE"/>
    <w:rsid w:val="0063287C"/>
    <w:rsid w:val="00636B90"/>
    <w:rsid w:val="00640EC3"/>
    <w:rsid w:val="006422A1"/>
    <w:rsid w:val="0064684C"/>
    <w:rsid w:val="00654010"/>
    <w:rsid w:val="0066216E"/>
    <w:rsid w:val="00671DFC"/>
    <w:rsid w:val="006735BF"/>
    <w:rsid w:val="00677930"/>
    <w:rsid w:val="006815B1"/>
    <w:rsid w:val="00683229"/>
    <w:rsid w:val="006851D8"/>
    <w:rsid w:val="00686CAC"/>
    <w:rsid w:val="00687F75"/>
    <w:rsid w:val="006A0459"/>
    <w:rsid w:val="006A514B"/>
    <w:rsid w:val="006A69BF"/>
    <w:rsid w:val="006B175E"/>
    <w:rsid w:val="006C2C45"/>
    <w:rsid w:val="006C3100"/>
    <w:rsid w:val="006C5C28"/>
    <w:rsid w:val="006F4C13"/>
    <w:rsid w:val="006F6888"/>
    <w:rsid w:val="006F75FE"/>
    <w:rsid w:val="007068A3"/>
    <w:rsid w:val="00707663"/>
    <w:rsid w:val="00711DF4"/>
    <w:rsid w:val="0072300F"/>
    <w:rsid w:val="00723654"/>
    <w:rsid w:val="00730013"/>
    <w:rsid w:val="0073577E"/>
    <w:rsid w:val="00741C76"/>
    <w:rsid w:val="00763A30"/>
    <w:rsid w:val="0077614A"/>
    <w:rsid w:val="007826AB"/>
    <w:rsid w:val="0079444F"/>
    <w:rsid w:val="00796870"/>
    <w:rsid w:val="00796A48"/>
    <w:rsid w:val="007A1488"/>
    <w:rsid w:val="007A375E"/>
    <w:rsid w:val="007B7CBF"/>
    <w:rsid w:val="007D64B9"/>
    <w:rsid w:val="007D70A1"/>
    <w:rsid w:val="007D7EF2"/>
    <w:rsid w:val="007E0687"/>
    <w:rsid w:val="007E3AFE"/>
    <w:rsid w:val="00806EBC"/>
    <w:rsid w:val="0081195A"/>
    <w:rsid w:val="008132E8"/>
    <w:rsid w:val="00823407"/>
    <w:rsid w:val="00827DE9"/>
    <w:rsid w:val="00840B31"/>
    <w:rsid w:val="00845359"/>
    <w:rsid w:val="00850575"/>
    <w:rsid w:val="008550BA"/>
    <w:rsid w:val="00867A07"/>
    <w:rsid w:val="00867D87"/>
    <w:rsid w:val="00890A9B"/>
    <w:rsid w:val="00894BA3"/>
    <w:rsid w:val="00895C7E"/>
    <w:rsid w:val="008A2CB6"/>
    <w:rsid w:val="008A4FBA"/>
    <w:rsid w:val="008B0184"/>
    <w:rsid w:val="008B0C6E"/>
    <w:rsid w:val="008B5E37"/>
    <w:rsid w:val="008C4013"/>
    <w:rsid w:val="008C5D02"/>
    <w:rsid w:val="008D2649"/>
    <w:rsid w:val="008D6EC4"/>
    <w:rsid w:val="008E518A"/>
    <w:rsid w:val="008E6B20"/>
    <w:rsid w:val="009025CE"/>
    <w:rsid w:val="009033A5"/>
    <w:rsid w:val="0090568D"/>
    <w:rsid w:val="009125C9"/>
    <w:rsid w:val="00913879"/>
    <w:rsid w:val="00915017"/>
    <w:rsid w:val="00915701"/>
    <w:rsid w:val="00917661"/>
    <w:rsid w:val="0092436D"/>
    <w:rsid w:val="0092459C"/>
    <w:rsid w:val="009263F1"/>
    <w:rsid w:val="0093502D"/>
    <w:rsid w:val="00937FA7"/>
    <w:rsid w:val="00940869"/>
    <w:rsid w:val="00940B0A"/>
    <w:rsid w:val="00942882"/>
    <w:rsid w:val="009455DB"/>
    <w:rsid w:val="00947349"/>
    <w:rsid w:val="009514CF"/>
    <w:rsid w:val="009574EC"/>
    <w:rsid w:val="00957E15"/>
    <w:rsid w:val="0097093C"/>
    <w:rsid w:val="009709CA"/>
    <w:rsid w:val="00970E5D"/>
    <w:rsid w:val="0097564D"/>
    <w:rsid w:val="00976843"/>
    <w:rsid w:val="0097701C"/>
    <w:rsid w:val="00980A65"/>
    <w:rsid w:val="00982043"/>
    <w:rsid w:val="00985917"/>
    <w:rsid w:val="009963E8"/>
    <w:rsid w:val="00996ACD"/>
    <w:rsid w:val="009A62E9"/>
    <w:rsid w:val="009B34CE"/>
    <w:rsid w:val="009C0C6A"/>
    <w:rsid w:val="009C57D9"/>
    <w:rsid w:val="009C5C9C"/>
    <w:rsid w:val="009D4CB2"/>
    <w:rsid w:val="009D77A3"/>
    <w:rsid w:val="009E7F02"/>
    <w:rsid w:val="009F34FA"/>
    <w:rsid w:val="00A04E75"/>
    <w:rsid w:val="00A11FEC"/>
    <w:rsid w:val="00A20C3F"/>
    <w:rsid w:val="00A25E70"/>
    <w:rsid w:val="00A33765"/>
    <w:rsid w:val="00A45A20"/>
    <w:rsid w:val="00A4639A"/>
    <w:rsid w:val="00A536FA"/>
    <w:rsid w:val="00A53CE4"/>
    <w:rsid w:val="00A56009"/>
    <w:rsid w:val="00A562AF"/>
    <w:rsid w:val="00A5754B"/>
    <w:rsid w:val="00A60821"/>
    <w:rsid w:val="00A63269"/>
    <w:rsid w:val="00A66A7D"/>
    <w:rsid w:val="00A70C82"/>
    <w:rsid w:val="00A74662"/>
    <w:rsid w:val="00A76C55"/>
    <w:rsid w:val="00A80921"/>
    <w:rsid w:val="00A821E6"/>
    <w:rsid w:val="00A86C58"/>
    <w:rsid w:val="00A92377"/>
    <w:rsid w:val="00AA308B"/>
    <w:rsid w:val="00AA3AA9"/>
    <w:rsid w:val="00AB29ED"/>
    <w:rsid w:val="00AB314D"/>
    <w:rsid w:val="00AE4AE7"/>
    <w:rsid w:val="00AE4BD8"/>
    <w:rsid w:val="00B103D6"/>
    <w:rsid w:val="00B1482D"/>
    <w:rsid w:val="00B165E7"/>
    <w:rsid w:val="00B1788A"/>
    <w:rsid w:val="00B2132C"/>
    <w:rsid w:val="00B22664"/>
    <w:rsid w:val="00B34167"/>
    <w:rsid w:val="00B410CD"/>
    <w:rsid w:val="00B41E25"/>
    <w:rsid w:val="00B422D8"/>
    <w:rsid w:val="00B4388F"/>
    <w:rsid w:val="00B444D3"/>
    <w:rsid w:val="00B44A76"/>
    <w:rsid w:val="00B462A5"/>
    <w:rsid w:val="00B46F8D"/>
    <w:rsid w:val="00B47CA7"/>
    <w:rsid w:val="00B51878"/>
    <w:rsid w:val="00B53809"/>
    <w:rsid w:val="00B555CE"/>
    <w:rsid w:val="00B6130B"/>
    <w:rsid w:val="00B63237"/>
    <w:rsid w:val="00B83ADB"/>
    <w:rsid w:val="00B84F60"/>
    <w:rsid w:val="00B91E6F"/>
    <w:rsid w:val="00BA0D26"/>
    <w:rsid w:val="00BB1BE2"/>
    <w:rsid w:val="00BC39F5"/>
    <w:rsid w:val="00C01B5B"/>
    <w:rsid w:val="00C04D30"/>
    <w:rsid w:val="00C16E27"/>
    <w:rsid w:val="00C20472"/>
    <w:rsid w:val="00C303B3"/>
    <w:rsid w:val="00C31D95"/>
    <w:rsid w:val="00C34BF0"/>
    <w:rsid w:val="00C35372"/>
    <w:rsid w:val="00C74B47"/>
    <w:rsid w:val="00C960DC"/>
    <w:rsid w:val="00CB2DB6"/>
    <w:rsid w:val="00CC577F"/>
    <w:rsid w:val="00CE44F4"/>
    <w:rsid w:val="00CE79D2"/>
    <w:rsid w:val="00CF6EA9"/>
    <w:rsid w:val="00D0186C"/>
    <w:rsid w:val="00D02C75"/>
    <w:rsid w:val="00D03E51"/>
    <w:rsid w:val="00D10A91"/>
    <w:rsid w:val="00D10E22"/>
    <w:rsid w:val="00D13D2C"/>
    <w:rsid w:val="00D37762"/>
    <w:rsid w:val="00D448B0"/>
    <w:rsid w:val="00D51F0F"/>
    <w:rsid w:val="00D62B93"/>
    <w:rsid w:val="00D675F5"/>
    <w:rsid w:val="00D762F6"/>
    <w:rsid w:val="00D76BDC"/>
    <w:rsid w:val="00D82582"/>
    <w:rsid w:val="00D8798C"/>
    <w:rsid w:val="00D91402"/>
    <w:rsid w:val="00DA306A"/>
    <w:rsid w:val="00DC2F94"/>
    <w:rsid w:val="00DD14C7"/>
    <w:rsid w:val="00DD2257"/>
    <w:rsid w:val="00DD3D9E"/>
    <w:rsid w:val="00DD7908"/>
    <w:rsid w:val="00DE049B"/>
    <w:rsid w:val="00DE190E"/>
    <w:rsid w:val="00DE5118"/>
    <w:rsid w:val="00DE56BA"/>
    <w:rsid w:val="00DF199F"/>
    <w:rsid w:val="00E04158"/>
    <w:rsid w:val="00E04FB1"/>
    <w:rsid w:val="00E071C6"/>
    <w:rsid w:val="00E12948"/>
    <w:rsid w:val="00E43983"/>
    <w:rsid w:val="00E5209C"/>
    <w:rsid w:val="00E557CB"/>
    <w:rsid w:val="00E66D93"/>
    <w:rsid w:val="00E757E7"/>
    <w:rsid w:val="00E763F1"/>
    <w:rsid w:val="00E76A72"/>
    <w:rsid w:val="00E771DA"/>
    <w:rsid w:val="00E800BA"/>
    <w:rsid w:val="00E80B77"/>
    <w:rsid w:val="00E82297"/>
    <w:rsid w:val="00E83652"/>
    <w:rsid w:val="00E92E5F"/>
    <w:rsid w:val="00EA2566"/>
    <w:rsid w:val="00EB1570"/>
    <w:rsid w:val="00EB661A"/>
    <w:rsid w:val="00ED2702"/>
    <w:rsid w:val="00EE58D0"/>
    <w:rsid w:val="00EF39FD"/>
    <w:rsid w:val="00F01596"/>
    <w:rsid w:val="00F04CEE"/>
    <w:rsid w:val="00F06842"/>
    <w:rsid w:val="00F107FD"/>
    <w:rsid w:val="00F11107"/>
    <w:rsid w:val="00F12185"/>
    <w:rsid w:val="00F161F3"/>
    <w:rsid w:val="00F172D7"/>
    <w:rsid w:val="00F177DA"/>
    <w:rsid w:val="00F23253"/>
    <w:rsid w:val="00F24FCB"/>
    <w:rsid w:val="00F27196"/>
    <w:rsid w:val="00F27237"/>
    <w:rsid w:val="00F3147D"/>
    <w:rsid w:val="00F31E52"/>
    <w:rsid w:val="00F323A0"/>
    <w:rsid w:val="00F332A7"/>
    <w:rsid w:val="00F672C7"/>
    <w:rsid w:val="00F85E52"/>
    <w:rsid w:val="00FA7431"/>
    <w:rsid w:val="00FB64A8"/>
    <w:rsid w:val="00FC12AC"/>
    <w:rsid w:val="00FC5D78"/>
    <w:rsid w:val="00FD03BF"/>
    <w:rsid w:val="00FD07D9"/>
    <w:rsid w:val="00FD4993"/>
    <w:rsid w:val="00FD7496"/>
    <w:rsid w:val="00FE5544"/>
    <w:rsid w:val="00FF4008"/>
    <w:rsid w:val="01660B02"/>
    <w:rsid w:val="01A54D7C"/>
    <w:rsid w:val="01A67774"/>
    <w:rsid w:val="01C58F45"/>
    <w:rsid w:val="02782BE8"/>
    <w:rsid w:val="02CAAFAB"/>
    <w:rsid w:val="038E87C1"/>
    <w:rsid w:val="039EFE73"/>
    <w:rsid w:val="040DF0C8"/>
    <w:rsid w:val="0414BA4C"/>
    <w:rsid w:val="042F2669"/>
    <w:rsid w:val="0478E5FD"/>
    <w:rsid w:val="04DACD45"/>
    <w:rsid w:val="05306F4D"/>
    <w:rsid w:val="062A9E89"/>
    <w:rsid w:val="0632EEE6"/>
    <w:rsid w:val="067AF42B"/>
    <w:rsid w:val="06D633E1"/>
    <w:rsid w:val="079EA52F"/>
    <w:rsid w:val="07C7829E"/>
    <w:rsid w:val="07F30B4E"/>
    <w:rsid w:val="07F9F507"/>
    <w:rsid w:val="08076EF0"/>
    <w:rsid w:val="083BB9F8"/>
    <w:rsid w:val="087EA310"/>
    <w:rsid w:val="0925859B"/>
    <w:rsid w:val="09CC4335"/>
    <w:rsid w:val="09DE3CDB"/>
    <w:rsid w:val="0A511502"/>
    <w:rsid w:val="0AEA6DFA"/>
    <w:rsid w:val="0B85BD26"/>
    <w:rsid w:val="0B980012"/>
    <w:rsid w:val="0C1DA183"/>
    <w:rsid w:val="0C26D107"/>
    <w:rsid w:val="0C31FB3B"/>
    <w:rsid w:val="0D00C67F"/>
    <w:rsid w:val="0F6D6239"/>
    <w:rsid w:val="0FBD940A"/>
    <w:rsid w:val="10675577"/>
    <w:rsid w:val="10A47DBF"/>
    <w:rsid w:val="1140992A"/>
    <w:rsid w:val="11525231"/>
    <w:rsid w:val="117468AF"/>
    <w:rsid w:val="119489D4"/>
    <w:rsid w:val="11F26960"/>
    <w:rsid w:val="139EF639"/>
    <w:rsid w:val="13A9DCD4"/>
    <w:rsid w:val="13B55C0F"/>
    <w:rsid w:val="140F36FB"/>
    <w:rsid w:val="146A3880"/>
    <w:rsid w:val="14F9C122"/>
    <w:rsid w:val="1514D795"/>
    <w:rsid w:val="153AC69A"/>
    <w:rsid w:val="1603DEC8"/>
    <w:rsid w:val="168F8705"/>
    <w:rsid w:val="17A21CCD"/>
    <w:rsid w:val="17A72F8E"/>
    <w:rsid w:val="1808BE67"/>
    <w:rsid w:val="1868756E"/>
    <w:rsid w:val="18B1412E"/>
    <w:rsid w:val="198B478A"/>
    <w:rsid w:val="19D2204B"/>
    <w:rsid w:val="1A380E11"/>
    <w:rsid w:val="1B40A04F"/>
    <w:rsid w:val="1B9EFBB2"/>
    <w:rsid w:val="1BC87A79"/>
    <w:rsid w:val="1BE8E1F0"/>
    <w:rsid w:val="1C1D78B3"/>
    <w:rsid w:val="1CD9186F"/>
    <w:rsid w:val="1D1F102B"/>
    <w:rsid w:val="1D870481"/>
    <w:rsid w:val="1D92EECA"/>
    <w:rsid w:val="1DD5CF0D"/>
    <w:rsid w:val="1E335CF0"/>
    <w:rsid w:val="1E33E552"/>
    <w:rsid w:val="1E6B8578"/>
    <w:rsid w:val="1E9CDC55"/>
    <w:rsid w:val="1ED749B5"/>
    <w:rsid w:val="1F19BC9C"/>
    <w:rsid w:val="1F1FD50F"/>
    <w:rsid w:val="1F495787"/>
    <w:rsid w:val="1FD8B18C"/>
    <w:rsid w:val="20731A16"/>
    <w:rsid w:val="2075D485"/>
    <w:rsid w:val="20CA8F8C"/>
    <w:rsid w:val="21661CE5"/>
    <w:rsid w:val="21BD353D"/>
    <w:rsid w:val="21C4ABBA"/>
    <w:rsid w:val="22213728"/>
    <w:rsid w:val="225775D1"/>
    <w:rsid w:val="22665FED"/>
    <w:rsid w:val="22C7D8AD"/>
    <w:rsid w:val="236968C3"/>
    <w:rsid w:val="23834317"/>
    <w:rsid w:val="23AABAD8"/>
    <w:rsid w:val="242226CB"/>
    <w:rsid w:val="243FA9C6"/>
    <w:rsid w:val="246F2AFF"/>
    <w:rsid w:val="247D1121"/>
    <w:rsid w:val="24D0768C"/>
    <w:rsid w:val="254B7D97"/>
    <w:rsid w:val="25A9E523"/>
    <w:rsid w:val="25FEC6BA"/>
    <w:rsid w:val="26BE24B0"/>
    <w:rsid w:val="26BE71AD"/>
    <w:rsid w:val="26CD621D"/>
    <w:rsid w:val="27F34448"/>
    <w:rsid w:val="28D5A16C"/>
    <w:rsid w:val="28D87945"/>
    <w:rsid w:val="295B61DA"/>
    <w:rsid w:val="2AC46818"/>
    <w:rsid w:val="2B13AD60"/>
    <w:rsid w:val="2B52D5D2"/>
    <w:rsid w:val="2BE50495"/>
    <w:rsid w:val="2C426643"/>
    <w:rsid w:val="2C59C106"/>
    <w:rsid w:val="2C7A3CE4"/>
    <w:rsid w:val="2C8C4C68"/>
    <w:rsid w:val="2CE2EB59"/>
    <w:rsid w:val="2CF4FD6E"/>
    <w:rsid w:val="2DB8AAFF"/>
    <w:rsid w:val="2E831AE8"/>
    <w:rsid w:val="2F4359F6"/>
    <w:rsid w:val="2F780B5B"/>
    <w:rsid w:val="2F9161C8"/>
    <w:rsid w:val="2FCA2A07"/>
    <w:rsid w:val="2FD6AF1E"/>
    <w:rsid w:val="30E7F66D"/>
    <w:rsid w:val="313055EA"/>
    <w:rsid w:val="31329A91"/>
    <w:rsid w:val="3145B70B"/>
    <w:rsid w:val="31520B26"/>
    <w:rsid w:val="3284D522"/>
    <w:rsid w:val="329FF6C7"/>
    <w:rsid w:val="32A4E125"/>
    <w:rsid w:val="331F7626"/>
    <w:rsid w:val="33F8DCC8"/>
    <w:rsid w:val="3469C0F1"/>
    <w:rsid w:val="34740177"/>
    <w:rsid w:val="348F1D51"/>
    <w:rsid w:val="34A47717"/>
    <w:rsid w:val="34F5CFF9"/>
    <w:rsid w:val="3536B844"/>
    <w:rsid w:val="35705AE8"/>
    <w:rsid w:val="360FD1D8"/>
    <w:rsid w:val="3625FF7A"/>
    <w:rsid w:val="362C8809"/>
    <w:rsid w:val="37A66BA4"/>
    <w:rsid w:val="37ABA239"/>
    <w:rsid w:val="37CDFB84"/>
    <w:rsid w:val="381A4FB2"/>
    <w:rsid w:val="38941D0A"/>
    <w:rsid w:val="38ACD84E"/>
    <w:rsid w:val="38B04FD9"/>
    <w:rsid w:val="3950D22F"/>
    <w:rsid w:val="39585D47"/>
    <w:rsid w:val="39B775B5"/>
    <w:rsid w:val="39F4FC3A"/>
    <w:rsid w:val="3A038477"/>
    <w:rsid w:val="3A50D7CD"/>
    <w:rsid w:val="3A5525E3"/>
    <w:rsid w:val="3AFA2A29"/>
    <w:rsid w:val="3B0ABABC"/>
    <w:rsid w:val="3D0861CD"/>
    <w:rsid w:val="3DBD396A"/>
    <w:rsid w:val="3DD3072C"/>
    <w:rsid w:val="3DF87D20"/>
    <w:rsid w:val="3E29FD6A"/>
    <w:rsid w:val="3E98EDA2"/>
    <w:rsid w:val="3F06CBA5"/>
    <w:rsid w:val="3FB76893"/>
    <w:rsid w:val="400C4DC5"/>
    <w:rsid w:val="40203CA5"/>
    <w:rsid w:val="40A23961"/>
    <w:rsid w:val="40E703D2"/>
    <w:rsid w:val="40E9F0D5"/>
    <w:rsid w:val="41AA0CE0"/>
    <w:rsid w:val="422B35E8"/>
    <w:rsid w:val="423E09C2"/>
    <w:rsid w:val="42823466"/>
    <w:rsid w:val="4287437F"/>
    <w:rsid w:val="42990C08"/>
    <w:rsid w:val="4307E6D9"/>
    <w:rsid w:val="4349D0DF"/>
    <w:rsid w:val="44E641A6"/>
    <w:rsid w:val="45E5A333"/>
    <w:rsid w:val="46AC5421"/>
    <w:rsid w:val="46BD5625"/>
    <w:rsid w:val="47117AE5"/>
    <w:rsid w:val="47B35044"/>
    <w:rsid w:val="47FA1E8C"/>
    <w:rsid w:val="48AD4B46"/>
    <w:rsid w:val="48B73C25"/>
    <w:rsid w:val="49115062"/>
    <w:rsid w:val="49332B9C"/>
    <w:rsid w:val="494A2D9C"/>
    <w:rsid w:val="494B75F1"/>
    <w:rsid w:val="4966FEAE"/>
    <w:rsid w:val="49895033"/>
    <w:rsid w:val="49C2E92C"/>
    <w:rsid w:val="4A2A01E3"/>
    <w:rsid w:val="4A491BA7"/>
    <w:rsid w:val="4A6C33F0"/>
    <w:rsid w:val="4B715766"/>
    <w:rsid w:val="4B991837"/>
    <w:rsid w:val="4BA78F79"/>
    <w:rsid w:val="4C47EA38"/>
    <w:rsid w:val="4C5D9477"/>
    <w:rsid w:val="4CA20829"/>
    <w:rsid w:val="4CA8874D"/>
    <w:rsid w:val="4CAE0F59"/>
    <w:rsid w:val="4CCF05E2"/>
    <w:rsid w:val="4D42C390"/>
    <w:rsid w:val="4DDAC6A7"/>
    <w:rsid w:val="4E2179F0"/>
    <w:rsid w:val="4E5350E0"/>
    <w:rsid w:val="4E663866"/>
    <w:rsid w:val="4E907D6E"/>
    <w:rsid w:val="4EBE4AA6"/>
    <w:rsid w:val="4ED16335"/>
    <w:rsid w:val="4F5A5AA3"/>
    <w:rsid w:val="4FBD4A51"/>
    <w:rsid w:val="4FC92022"/>
    <w:rsid w:val="50930B7C"/>
    <w:rsid w:val="510084B8"/>
    <w:rsid w:val="51074E56"/>
    <w:rsid w:val="519DC2D2"/>
    <w:rsid w:val="51C7708D"/>
    <w:rsid w:val="52525C8C"/>
    <w:rsid w:val="536A9D96"/>
    <w:rsid w:val="53A4E607"/>
    <w:rsid w:val="53EFFDED"/>
    <w:rsid w:val="54284D1C"/>
    <w:rsid w:val="542F73A0"/>
    <w:rsid w:val="54B0F875"/>
    <w:rsid w:val="54CE450B"/>
    <w:rsid w:val="54FF114F"/>
    <w:rsid w:val="5512F24A"/>
    <w:rsid w:val="5573A29B"/>
    <w:rsid w:val="5589FD4E"/>
    <w:rsid w:val="55E08AAF"/>
    <w:rsid w:val="560984A5"/>
    <w:rsid w:val="564C14BF"/>
    <w:rsid w:val="56C7BB55"/>
    <w:rsid w:val="57099C09"/>
    <w:rsid w:val="570F72FC"/>
    <w:rsid w:val="58AB435D"/>
    <w:rsid w:val="595A4ADD"/>
    <w:rsid w:val="5A672CF7"/>
    <w:rsid w:val="5B10E6E2"/>
    <w:rsid w:val="5B47CF6A"/>
    <w:rsid w:val="5BF93ED2"/>
    <w:rsid w:val="5C035FFD"/>
    <w:rsid w:val="5C2BE9B2"/>
    <w:rsid w:val="5DEADA49"/>
    <w:rsid w:val="5E719F2E"/>
    <w:rsid w:val="5EC018AB"/>
    <w:rsid w:val="5F5E4D50"/>
    <w:rsid w:val="5F967ED4"/>
    <w:rsid w:val="60BF2010"/>
    <w:rsid w:val="613F5C31"/>
    <w:rsid w:val="614CF8BC"/>
    <w:rsid w:val="61BA6A8B"/>
    <w:rsid w:val="6286815B"/>
    <w:rsid w:val="6295EE12"/>
    <w:rsid w:val="62C70BFC"/>
    <w:rsid w:val="63273D8C"/>
    <w:rsid w:val="63A8B54A"/>
    <w:rsid w:val="63BB7240"/>
    <w:rsid w:val="642C38F5"/>
    <w:rsid w:val="6454ACF1"/>
    <w:rsid w:val="659FC7F8"/>
    <w:rsid w:val="65A80E9E"/>
    <w:rsid w:val="6630BAC9"/>
    <w:rsid w:val="66795AE8"/>
    <w:rsid w:val="682FB46C"/>
    <w:rsid w:val="684103DB"/>
    <w:rsid w:val="68AE7739"/>
    <w:rsid w:val="68BF80DC"/>
    <w:rsid w:val="68E1EF31"/>
    <w:rsid w:val="6921CEF9"/>
    <w:rsid w:val="69281E14"/>
    <w:rsid w:val="69F7BB03"/>
    <w:rsid w:val="6A148C15"/>
    <w:rsid w:val="6A798CA9"/>
    <w:rsid w:val="6AB0A780"/>
    <w:rsid w:val="6C5F1133"/>
    <w:rsid w:val="6C5FBED6"/>
    <w:rsid w:val="6CABE9BA"/>
    <w:rsid w:val="6CCC0867"/>
    <w:rsid w:val="6CDD0D89"/>
    <w:rsid w:val="6CE01BAC"/>
    <w:rsid w:val="6CF3BBB8"/>
    <w:rsid w:val="6D1BD120"/>
    <w:rsid w:val="6D249D02"/>
    <w:rsid w:val="6D4FF555"/>
    <w:rsid w:val="6D749C09"/>
    <w:rsid w:val="6DF1CF62"/>
    <w:rsid w:val="6E09CBB0"/>
    <w:rsid w:val="6E99D482"/>
    <w:rsid w:val="6F4270BC"/>
    <w:rsid w:val="6FF6F057"/>
    <w:rsid w:val="7017FC9A"/>
    <w:rsid w:val="702BBF1F"/>
    <w:rsid w:val="70CF0928"/>
    <w:rsid w:val="70DF356C"/>
    <w:rsid w:val="714CF9A6"/>
    <w:rsid w:val="71640F1E"/>
    <w:rsid w:val="716D0366"/>
    <w:rsid w:val="71873677"/>
    <w:rsid w:val="71B45901"/>
    <w:rsid w:val="721EBF67"/>
    <w:rsid w:val="725E4F9C"/>
    <w:rsid w:val="72CF005A"/>
    <w:rsid w:val="7362EFDC"/>
    <w:rsid w:val="73FA1FFD"/>
    <w:rsid w:val="746AD0BB"/>
    <w:rsid w:val="75101C9D"/>
    <w:rsid w:val="7513EA6C"/>
    <w:rsid w:val="7560AA94"/>
    <w:rsid w:val="75930C32"/>
    <w:rsid w:val="75959085"/>
    <w:rsid w:val="75A58F05"/>
    <w:rsid w:val="75CE0AEF"/>
    <w:rsid w:val="75CFB4D0"/>
    <w:rsid w:val="75DCF51B"/>
    <w:rsid w:val="75EBA024"/>
    <w:rsid w:val="761C66C8"/>
    <w:rsid w:val="763F5946"/>
    <w:rsid w:val="765B86DF"/>
    <w:rsid w:val="7686AD3E"/>
    <w:rsid w:val="7701847D"/>
    <w:rsid w:val="77593880"/>
    <w:rsid w:val="77F75740"/>
    <w:rsid w:val="781DEDF4"/>
    <w:rsid w:val="784F5902"/>
    <w:rsid w:val="788A8458"/>
    <w:rsid w:val="789F5C15"/>
    <w:rsid w:val="78B681B6"/>
    <w:rsid w:val="78DDE4F5"/>
    <w:rsid w:val="79075592"/>
    <w:rsid w:val="7964B261"/>
    <w:rsid w:val="79B97908"/>
    <w:rsid w:val="79D23EC0"/>
    <w:rsid w:val="7A3489EF"/>
    <w:rsid w:val="7A929E76"/>
    <w:rsid w:val="7ABC432D"/>
    <w:rsid w:val="7B7C4774"/>
    <w:rsid w:val="7BD05A50"/>
    <w:rsid w:val="7C7BC8EB"/>
    <w:rsid w:val="7C9EED67"/>
    <w:rsid w:val="7CF119CA"/>
    <w:rsid w:val="7D09DF82"/>
    <w:rsid w:val="7D91E26F"/>
    <w:rsid w:val="7DAE2F69"/>
    <w:rsid w:val="7DB6FC4F"/>
    <w:rsid w:val="7E5C4DC4"/>
    <w:rsid w:val="7F0575F4"/>
    <w:rsid w:val="7F46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C914C84F-7F65-4663-98AF-BE20B686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5F611A"/>
    <w:pPr>
      <w:numPr>
        <w:ilvl w:val="0"/>
        <w:numId w:val="0"/>
      </w:numPr>
    </w:pPr>
    <w:rPr>
      <w:lang w:val="en-GB"/>
    </w:r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NormalWeb">
    <w:name w:val="Normal (Web)"/>
    <w:basedOn w:val="Normal"/>
    <w:uiPriority w:val="99"/>
    <w:unhideWhenUsed/>
    <w:rsid w:val="00137FD0"/>
    <w:pPr>
      <w:spacing w:before="100" w:beforeAutospacing="1" w:after="100" w:afterAutospacing="1" w:line="259" w:lineRule="auto"/>
    </w:pPr>
    <w:rPr>
      <w:rFonts w:asciiTheme="minorHAnsi" w:eastAsiaTheme="minorHAnsi" w:hAnsiTheme="minorHAnsi" w:cstheme="minorBidi"/>
      <w:kern w:val="2"/>
      <w:sz w:val="22"/>
      <w:szCs w:val="22"/>
      <w:lang w:eastAsia="en-GB"/>
      <w14:ligatures w14:val="standardContextual"/>
    </w:rPr>
  </w:style>
  <w:style w:type="character" w:styleId="Emphasis">
    <w:name w:val="Emphasis"/>
    <w:basedOn w:val="DefaultParagraphFont"/>
    <w:uiPriority w:val="20"/>
    <w:qFormat/>
    <w:rsid w:val="00137FD0"/>
    <w:rPr>
      <w:i/>
      <w:iCs/>
    </w:rPr>
  </w:style>
  <w:style w:type="table" w:styleId="TableGrid">
    <w:name w:val="Table Grid"/>
    <w:basedOn w:val="TableNormal"/>
    <w:uiPriority w:val="59"/>
    <w:rsid w:val="00DE5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CB02ArticleText">
    <w:name w:val="RSC B02 Article Text"/>
    <w:basedOn w:val="Normal"/>
    <w:link w:val="RSCB02ArticleTextChar"/>
    <w:qFormat/>
    <w:rsid w:val="00187C9D"/>
    <w:pPr>
      <w:spacing w:after="160" w:line="240" w:lineRule="exact"/>
      <w:jc w:val="both"/>
    </w:pPr>
    <w:rPr>
      <w:rFonts w:asciiTheme="minorHAnsi" w:eastAsiaTheme="minorHAnsi" w:hAnsiTheme="minorHAnsi"/>
      <w:w w:val="108"/>
      <w:kern w:val="2"/>
      <w:sz w:val="18"/>
      <w:szCs w:val="18"/>
      <w14:ligatures w14:val="standardContextual"/>
    </w:rPr>
  </w:style>
  <w:style w:type="character" w:customStyle="1" w:styleId="RSCB02ArticleTextChar">
    <w:name w:val="RSC B02 Article Text Char"/>
    <w:basedOn w:val="DefaultParagraphFont"/>
    <w:link w:val="RSCB02ArticleText"/>
    <w:rsid w:val="00187C9D"/>
    <w:rPr>
      <w:rFonts w:asciiTheme="minorHAnsi" w:eastAsiaTheme="minorHAnsi" w:hAnsiTheme="minorHAnsi"/>
      <w:w w:val="108"/>
      <w:kern w:val="2"/>
      <w:sz w:val="18"/>
      <w:szCs w:val="18"/>
      <w:lang w:eastAsia="en-US"/>
      <w14:ligatures w14:val="standardContextual"/>
    </w:rPr>
  </w:style>
  <w:style w:type="paragraph" w:styleId="Revision">
    <w:name w:val="Revision"/>
    <w:hidden/>
    <w:uiPriority w:val="99"/>
    <w:semiHidden/>
    <w:rsid w:val="00EA25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4648">
      <w:bodyDiv w:val="1"/>
      <w:marLeft w:val="0"/>
      <w:marRight w:val="0"/>
      <w:marTop w:val="0"/>
      <w:marBottom w:val="0"/>
      <w:divBdr>
        <w:top w:val="none" w:sz="0" w:space="0" w:color="auto"/>
        <w:left w:val="none" w:sz="0" w:space="0" w:color="auto"/>
        <w:bottom w:val="none" w:sz="0" w:space="0" w:color="auto"/>
        <w:right w:val="none" w:sz="0" w:space="0" w:color="auto"/>
      </w:divBdr>
    </w:div>
    <w:div w:id="1006128213">
      <w:bodyDiv w:val="1"/>
      <w:marLeft w:val="0"/>
      <w:marRight w:val="0"/>
      <w:marTop w:val="0"/>
      <w:marBottom w:val="0"/>
      <w:divBdr>
        <w:top w:val="none" w:sz="0" w:space="0" w:color="auto"/>
        <w:left w:val="none" w:sz="0" w:space="0" w:color="auto"/>
        <w:bottom w:val="none" w:sz="0" w:space="0" w:color="auto"/>
        <w:right w:val="none" w:sz="0" w:space="0" w:color="auto"/>
      </w:divBdr>
    </w:div>
    <w:div w:id="1260262475">
      <w:bodyDiv w:val="1"/>
      <w:marLeft w:val="0"/>
      <w:marRight w:val="0"/>
      <w:marTop w:val="0"/>
      <w:marBottom w:val="0"/>
      <w:divBdr>
        <w:top w:val="none" w:sz="0" w:space="0" w:color="auto"/>
        <w:left w:val="none" w:sz="0" w:space="0" w:color="auto"/>
        <w:bottom w:val="none" w:sz="0" w:space="0" w:color="auto"/>
        <w:right w:val="none" w:sz="0" w:space="0" w:color="auto"/>
      </w:divBdr>
    </w:div>
    <w:div w:id="1500580441">
      <w:bodyDiv w:val="1"/>
      <w:marLeft w:val="0"/>
      <w:marRight w:val="0"/>
      <w:marTop w:val="0"/>
      <w:marBottom w:val="0"/>
      <w:divBdr>
        <w:top w:val="none" w:sz="0" w:space="0" w:color="auto"/>
        <w:left w:val="none" w:sz="0" w:space="0" w:color="auto"/>
        <w:bottom w:val="none" w:sz="0" w:space="0" w:color="auto"/>
        <w:right w:val="none" w:sz="0" w:space="0" w:color="auto"/>
      </w:divBdr>
    </w:div>
    <w:div w:id="1803425023">
      <w:bodyDiv w:val="1"/>
      <w:marLeft w:val="0"/>
      <w:marRight w:val="0"/>
      <w:marTop w:val="0"/>
      <w:marBottom w:val="0"/>
      <w:divBdr>
        <w:top w:val="none" w:sz="0" w:space="0" w:color="auto"/>
        <w:left w:val="none" w:sz="0" w:space="0" w:color="auto"/>
        <w:bottom w:val="none" w:sz="0" w:space="0" w:color="auto"/>
        <w:right w:val="none" w:sz="0" w:space="0" w:color="auto"/>
      </w:divBdr>
    </w:div>
    <w:div w:id="19236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manalal\Desktop\PhD\ESCAPE%2034\Supplemetary%20file_CO2%20to%20Methanol_2050%20scenar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2435033258438"/>
          <c:y val="4.547499435873683E-2"/>
          <c:w val="0.79320029958151927"/>
          <c:h val="0.5503697105735087"/>
        </c:manualLayout>
      </c:layout>
      <c:scatterChart>
        <c:scatterStyle val="smoothMarker"/>
        <c:varyColors val="0"/>
        <c:ser>
          <c:idx val="0"/>
          <c:order val="0"/>
          <c:tx>
            <c:strRef>
              <c:f>Graph!$C$1</c:f>
              <c:strCache>
                <c:ptCount val="1"/>
                <c:pt idx="0">
                  <c:v>CO₂ based Methanol MSP (with O₂ sales @ 120 EUR/t)</c:v>
                </c:pt>
              </c:strCache>
            </c:strRef>
          </c:tx>
          <c:spPr>
            <a:ln w="19050" cap="rnd">
              <a:solidFill>
                <a:schemeClr val="accent1"/>
              </a:solidFill>
              <a:round/>
            </a:ln>
            <a:effectLst/>
          </c:spPr>
          <c:marker>
            <c:symbol val="circle"/>
            <c:size val="4"/>
          </c:marker>
          <c:xVal>
            <c:numRef>
              <c:f>Graph!$A$2:$A$8</c:f>
              <c:numCache>
                <c:formatCode>0.000</c:formatCode>
                <c:ptCount val="7"/>
                <c:pt idx="0">
                  <c:v>8.3599999999999994E-2</c:v>
                </c:pt>
                <c:pt idx="1">
                  <c:v>5.5733333333333329E-2</c:v>
                </c:pt>
                <c:pt idx="2">
                  <c:v>4.1799999999999997E-2</c:v>
                </c:pt>
                <c:pt idx="3">
                  <c:v>2.7866666666666665E-2</c:v>
                </c:pt>
                <c:pt idx="4">
                  <c:v>2.0899999999999998E-2</c:v>
                </c:pt>
                <c:pt idx="5">
                  <c:v>1.6719999999999999E-2</c:v>
                </c:pt>
                <c:pt idx="6">
                  <c:v>1.1140000000000001E-2</c:v>
                </c:pt>
              </c:numCache>
            </c:numRef>
          </c:xVal>
          <c:yVal>
            <c:numRef>
              <c:f>Graph!$C$2:$C$8</c:f>
              <c:numCache>
                <c:formatCode>General</c:formatCode>
                <c:ptCount val="7"/>
                <c:pt idx="0">
                  <c:v>1950</c:v>
                </c:pt>
                <c:pt idx="1">
                  <c:v>1485</c:v>
                </c:pt>
                <c:pt idx="2">
                  <c:v>1255</c:v>
                </c:pt>
                <c:pt idx="3">
                  <c:v>1020</c:v>
                </c:pt>
                <c:pt idx="4">
                  <c:v>900</c:v>
                </c:pt>
                <c:pt idx="5">
                  <c:v>830</c:v>
                </c:pt>
                <c:pt idx="6">
                  <c:v>735</c:v>
                </c:pt>
              </c:numCache>
            </c:numRef>
          </c:yVal>
          <c:smooth val="1"/>
          <c:extLst>
            <c:ext xmlns:c16="http://schemas.microsoft.com/office/drawing/2014/chart" uri="{C3380CC4-5D6E-409C-BE32-E72D297353CC}">
              <c16:uniqueId val="{00000000-D7A2-4FA0-90F3-92C50E0B0876}"/>
            </c:ext>
          </c:extLst>
        </c:ser>
        <c:ser>
          <c:idx val="4"/>
          <c:order val="1"/>
          <c:tx>
            <c:strRef>
              <c:f>Graph!$F$1</c:f>
              <c:strCache>
                <c:ptCount val="1"/>
                <c:pt idx="0">
                  <c:v>Biomass based Methanol MSP (with O₂ sales @ 120 EUR/t)</c:v>
                </c:pt>
              </c:strCache>
            </c:strRef>
          </c:tx>
          <c:spPr>
            <a:ln>
              <a:solidFill>
                <a:schemeClr val="accent2"/>
              </a:solidFill>
            </a:ln>
          </c:spPr>
          <c:marker>
            <c:symbol val="star"/>
            <c:size val="4"/>
            <c:spPr>
              <a:solidFill>
                <a:schemeClr val="accent2"/>
              </a:solidFill>
              <a:ln>
                <a:solidFill>
                  <a:schemeClr val="accent2"/>
                </a:solidFill>
              </a:ln>
            </c:spPr>
          </c:marker>
          <c:xVal>
            <c:numRef>
              <c:f>Graph!$A$2:$A$8</c:f>
              <c:numCache>
                <c:formatCode>0.000</c:formatCode>
                <c:ptCount val="7"/>
                <c:pt idx="0">
                  <c:v>8.3599999999999994E-2</c:v>
                </c:pt>
                <c:pt idx="1">
                  <c:v>5.5733333333333329E-2</c:v>
                </c:pt>
                <c:pt idx="2">
                  <c:v>4.1799999999999997E-2</c:v>
                </c:pt>
                <c:pt idx="3">
                  <c:v>2.7866666666666665E-2</c:v>
                </c:pt>
                <c:pt idx="4">
                  <c:v>2.0899999999999998E-2</c:v>
                </c:pt>
                <c:pt idx="5">
                  <c:v>1.6719999999999999E-2</c:v>
                </c:pt>
                <c:pt idx="6">
                  <c:v>1.1140000000000001E-2</c:v>
                </c:pt>
              </c:numCache>
            </c:numRef>
          </c:xVal>
          <c:yVal>
            <c:numRef>
              <c:f>Graph!$F$2:$F$8</c:f>
              <c:numCache>
                <c:formatCode>General</c:formatCode>
                <c:ptCount val="7"/>
                <c:pt idx="0">
                  <c:v>1390</c:v>
                </c:pt>
                <c:pt idx="1">
                  <c:v>1220</c:v>
                </c:pt>
                <c:pt idx="2">
                  <c:v>1130</c:v>
                </c:pt>
                <c:pt idx="3">
                  <c:v>1040</c:v>
                </c:pt>
                <c:pt idx="4">
                  <c:v>990</c:v>
                </c:pt>
                <c:pt idx="5">
                  <c:v>960</c:v>
                </c:pt>
                <c:pt idx="6">
                  <c:v>930</c:v>
                </c:pt>
              </c:numCache>
            </c:numRef>
          </c:yVal>
          <c:smooth val="1"/>
          <c:extLst>
            <c:ext xmlns:c16="http://schemas.microsoft.com/office/drawing/2014/chart" uri="{C3380CC4-5D6E-409C-BE32-E72D297353CC}">
              <c16:uniqueId val="{00000001-D7A2-4FA0-90F3-92C50E0B0876}"/>
            </c:ext>
          </c:extLst>
        </c:ser>
        <c:ser>
          <c:idx val="3"/>
          <c:order val="2"/>
          <c:tx>
            <c:strRef>
              <c:f>Graph!$H$1</c:f>
              <c:strCache>
                <c:ptCount val="1"/>
                <c:pt idx="0">
                  <c:v>Plastic based methanol MSP</c:v>
                </c:pt>
              </c:strCache>
            </c:strRef>
          </c:tx>
          <c:spPr>
            <a:ln w="19050" cap="rnd">
              <a:solidFill>
                <a:schemeClr val="accent4"/>
              </a:solidFill>
              <a:prstDash val="solid"/>
              <a:round/>
            </a:ln>
            <a:effectLst/>
          </c:spPr>
          <c:marker>
            <c:symbol val="none"/>
          </c:marker>
          <c:xVal>
            <c:numRef>
              <c:f>Graph!$A$2:$A$8</c:f>
              <c:numCache>
                <c:formatCode>0.000</c:formatCode>
                <c:ptCount val="7"/>
                <c:pt idx="0">
                  <c:v>8.3599999999999994E-2</c:v>
                </c:pt>
                <c:pt idx="1">
                  <c:v>5.5733333333333329E-2</c:v>
                </c:pt>
                <c:pt idx="2">
                  <c:v>4.1799999999999997E-2</c:v>
                </c:pt>
                <c:pt idx="3">
                  <c:v>2.7866666666666665E-2</c:v>
                </c:pt>
                <c:pt idx="4">
                  <c:v>2.0899999999999998E-2</c:v>
                </c:pt>
                <c:pt idx="5">
                  <c:v>1.6719999999999999E-2</c:v>
                </c:pt>
                <c:pt idx="6">
                  <c:v>1.1140000000000001E-2</c:v>
                </c:pt>
              </c:numCache>
            </c:numRef>
          </c:xVal>
          <c:yVal>
            <c:numRef>
              <c:f>Graph!$H$2:$H$8</c:f>
              <c:numCache>
                <c:formatCode>General</c:formatCode>
                <c:ptCount val="7"/>
                <c:pt idx="0">
                  <c:v>860</c:v>
                </c:pt>
                <c:pt idx="1">
                  <c:v>860</c:v>
                </c:pt>
                <c:pt idx="2">
                  <c:v>860</c:v>
                </c:pt>
                <c:pt idx="3">
                  <c:v>860</c:v>
                </c:pt>
                <c:pt idx="4">
                  <c:v>860</c:v>
                </c:pt>
                <c:pt idx="5">
                  <c:v>860</c:v>
                </c:pt>
                <c:pt idx="6">
                  <c:v>860</c:v>
                </c:pt>
              </c:numCache>
            </c:numRef>
          </c:yVal>
          <c:smooth val="1"/>
          <c:extLst>
            <c:ext xmlns:c16="http://schemas.microsoft.com/office/drawing/2014/chart" uri="{C3380CC4-5D6E-409C-BE32-E72D297353CC}">
              <c16:uniqueId val="{00000002-D7A2-4FA0-90F3-92C50E0B0876}"/>
            </c:ext>
          </c:extLst>
        </c:ser>
        <c:ser>
          <c:idx val="2"/>
          <c:order val="3"/>
          <c:tx>
            <c:strRef>
              <c:f>Graph!$G$1</c:f>
              <c:strCache>
                <c:ptCount val="1"/>
                <c:pt idx="0">
                  <c:v>Base-case methanol price</c:v>
                </c:pt>
              </c:strCache>
            </c:strRef>
          </c:tx>
          <c:spPr>
            <a:ln w="19050" cap="rnd">
              <a:solidFill>
                <a:srgbClr val="7030A0"/>
              </a:solidFill>
              <a:prstDash val="sysDot"/>
              <a:round/>
            </a:ln>
            <a:effectLst/>
          </c:spPr>
          <c:marker>
            <c:symbol val="none"/>
          </c:marker>
          <c:dLbls>
            <c:dLbl>
              <c:idx val="0"/>
              <c:layout>
                <c:manualLayout>
                  <c:x val="-8.4051284444651889E-2"/>
                  <c:y val="2.8745406824146922E-2"/>
                </c:manualLayout>
              </c:layout>
              <c:showLegendKey val="0"/>
              <c:showVal val="0"/>
              <c:showCatName val="0"/>
              <c:showSerName val="1"/>
              <c:showPercent val="0"/>
              <c:showBubbleSize val="0"/>
              <c:extLst>
                <c:ext xmlns:c15="http://schemas.microsoft.com/office/drawing/2012/chart" uri="{CE6537A1-D6FC-4f65-9D91-7224C49458BB}">
                  <c15:layout>
                    <c:manualLayout>
                      <c:w val="0.3084385091152344"/>
                      <c:h val="0.10484797092671108"/>
                    </c:manualLayout>
                  </c15:layout>
                </c:ext>
                <c:ext xmlns:c16="http://schemas.microsoft.com/office/drawing/2014/chart" uri="{C3380CC4-5D6E-409C-BE32-E72D297353CC}">
                  <c16:uniqueId val="{00000003-D7A2-4FA0-90F3-92C50E0B0876}"/>
                </c:ext>
              </c:extLst>
            </c:dLbl>
            <c:dLbl>
              <c:idx val="1"/>
              <c:delete val="1"/>
              <c:extLst>
                <c:ext xmlns:c15="http://schemas.microsoft.com/office/drawing/2012/chart" uri="{CE6537A1-D6FC-4f65-9D91-7224C49458BB}"/>
                <c:ext xmlns:c16="http://schemas.microsoft.com/office/drawing/2014/chart" uri="{C3380CC4-5D6E-409C-BE32-E72D297353CC}">
                  <c16:uniqueId val="{00000004-D7A2-4FA0-90F3-92C50E0B0876}"/>
                </c:ext>
              </c:extLst>
            </c:dLbl>
            <c:dLbl>
              <c:idx val="2"/>
              <c:delete val="1"/>
              <c:extLst>
                <c:ext xmlns:c15="http://schemas.microsoft.com/office/drawing/2012/chart" uri="{CE6537A1-D6FC-4f65-9D91-7224C49458BB}"/>
                <c:ext xmlns:c16="http://schemas.microsoft.com/office/drawing/2014/chart" uri="{C3380CC4-5D6E-409C-BE32-E72D297353CC}">
                  <c16:uniqueId val="{00000005-D7A2-4FA0-90F3-92C50E0B0876}"/>
                </c:ext>
              </c:extLst>
            </c:dLbl>
            <c:dLbl>
              <c:idx val="3"/>
              <c:delete val="1"/>
              <c:extLst>
                <c:ext xmlns:c15="http://schemas.microsoft.com/office/drawing/2012/chart" uri="{CE6537A1-D6FC-4f65-9D91-7224C49458BB}"/>
                <c:ext xmlns:c16="http://schemas.microsoft.com/office/drawing/2014/chart" uri="{C3380CC4-5D6E-409C-BE32-E72D297353CC}">
                  <c16:uniqueId val="{00000006-D7A2-4FA0-90F3-92C50E0B0876}"/>
                </c:ext>
              </c:extLst>
            </c:dLbl>
            <c:dLbl>
              <c:idx val="4"/>
              <c:delete val="1"/>
              <c:extLst>
                <c:ext xmlns:c15="http://schemas.microsoft.com/office/drawing/2012/chart" uri="{CE6537A1-D6FC-4f65-9D91-7224C49458BB}"/>
                <c:ext xmlns:c16="http://schemas.microsoft.com/office/drawing/2014/chart" uri="{C3380CC4-5D6E-409C-BE32-E72D297353CC}">
                  <c16:uniqueId val="{00000007-D7A2-4FA0-90F3-92C50E0B0876}"/>
                </c:ext>
              </c:extLst>
            </c:dLbl>
            <c:dLbl>
              <c:idx val="5"/>
              <c:delete val="1"/>
              <c:extLst>
                <c:ext xmlns:c15="http://schemas.microsoft.com/office/drawing/2012/chart" uri="{CE6537A1-D6FC-4f65-9D91-7224C49458BB}"/>
                <c:ext xmlns:c16="http://schemas.microsoft.com/office/drawing/2014/chart" uri="{C3380CC4-5D6E-409C-BE32-E72D297353CC}">
                  <c16:uniqueId val="{00000008-D7A2-4FA0-90F3-92C50E0B0876}"/>
                </c:ext>
              </c:extLst>
            </c:dLbl>
            <c:dLbl>
              <c:idx val="6"/>
              <c:delete val="1"/>
              <c:extLst>
                <c:ext xmlns:c15="http://schemas.microsoft.com/office/drawing/2012/chart" uri="{CE6537A1-D6FC-4f65-9D91-7224C49458BB}"/>
                <c:ext xmlns:c16="http://schemas.microsoft.com/office/drawing/2014/chart" uri="{C3380CC4-5D6E-409C-BE32-E72D297353CC}">
                  <c16:uniqueId val="{00000009-D7A2-4FA0-90F3-92C50E0B0876}"/>
                </c:ext>
              </c:extLst>
            </c:dLbl>
            <c:spPr>
              <a:noFill/>
              <a:ln>
                <a:noFill/>
              </a:ln>
              <a:effectLst/>
            </c:spPr>
            <c:txPr>
              <a:bodyPr rot="0" vert="horz"/>
              <a:lstStyle/>
              <a:p>
                <a:pPr>
                  <a:defRPr/>
                </a:pPr>
                <a:endParaRPr lang="nl-NL"/>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Graph!$A$2:$A$8</c:f>
              <c:numCache>
                <c:formatCode>0.000</c:formatCode>
                <c:ptCount val="7"/>
                <c:pt idx="0">
                  <c:v>8.3599999999999994E-2</c:v>
                </c:pt>
                <c:pt idx="1">
                  <c:v>5.5733333333333329E-2</c:v>
                </c:pt>
                <c:pt idx="2">
                  <c:v>4.1799999999999997E-2</c:v>
                </c:pt>
                <c:pt idx="3">
                  <c:v>2.7866666666666665E-2</c:v>
                </c:pt>
                <c:pt idx="4">
                  <c:v>2.0899999999999998E-2</c:v>
                </c:pt>
                <c:pt idx="5">
                  <c:v>1.6719999999999999E-2</c:v>
                </c:pt>
                <c:pt idx="6">
                  <c:v>1.1140000000000001E-2</c:v>
                </c:pt>
              </c:numCache>
            </c:numRef>
          </c:xVal>
          <c:yVal>
            <c:numRef>
              <c:f>Graph!$G$2:$G$8</c:f>
              <c:numCache>
                <c:formatCode>General</c:formatCode>
                <c:ptCount val="7"/>
                <c:pt idx="0">
                  <c:v>520</c:v>
                </c:pt>
                <c:pt idx="1">
                  <c:v>520</c:v>
                </c:pt>
                <c:pt idx="2">
                  <c:v>520</c:v>
                </c:pt>
                <c:pt idx="3">
                  <c:v>520</c:v>
                </c:pt>
                <c:pt idx="4">
                  <c:v>520</c:v>
                </c:pt>
                <c:pt idx="5">
                  <c:v>520</c:v>
                </c:pt>
                <c:pt idx="6">
                  <c:v>520</c:v>
                </c:pt>
              </c:numCache>
            </c:numRef>
          </c:yVal>
          <c:smooth val="1"/>
          <c:extLst>
            <c:ext xmlns:c16="http://schemas.microsoft.com/office/drawing/2014/chart" uri="{C3380CC4-5D6E-409C-BE32-E72D297353CC}">
              <c16:uniqueId val="{0000000A-D7A2-4FA0-90F3-92C50E0B0876}"/>
            </c:ext>
          </c:extLst>
        </c:ser>
        <c:dLbls>
          <c:showLegendKey val="0"/>
          <c:showVal val="0"/>
          <c:showCatName val="0"/>
          <c:showSerName val="0"/>
          <c:showPercent val="0"/>
          <c:showBubbleSize val="0"/>
        </c:dLbls>
        <c:axId val="1487935760"/>
        <c:axId val="1487936240"/>
      </c:scatterChart>
      <c:valAx>
        <c:axId val="1487935760"/>
        <c:scaling>
          <c:orientation val="minMax"/>
          <c:max val="8.500000000000002E-2"/>
          <c:min val="1.0000000000000002E-2"/>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b="0"/>
                </a:pPr>
                <a:r>
                  <a:rPr lang="nl-NL" b="0"/>
                  <a:t>Electricity price (EUR/kWh)</a:t>
                </a:r>
              </a:p>
            </c:rich>
          </c:tx>
          <c:layout>
            <c:manualLayout>
              <c:xMode val="edge"/>
              <c:yMode val="edge"/>
              <c:x val="0.38046741828736269"/>
              <c:y val="0.67884609446443622"/>
            </c:manualLayout>
          </c:layout>
          <c:overlay val="0"/>
          <c:spPr>
            <a:noFill/>
            <a:ln>
              <a:noFill/>
            </a:ln>
            <a:effectLst/>
          </c:sp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nl-NL"/>
          </a:p>
        </c:txPr>
        <c:crossAx val="1487936240"/>
        <c:crosses val="autoZero"/>
        <c:crossBetween val="midCat"/>
        <c:majorUnit val="1.0000000000000002E-2"/>
      </c:valAx>
      <c:valAx>
        <c:axId val="1487936240"/>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nl-NL" b="0"/>
                  <a:t>Methanol MSP (EUR/t)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nl-NL"/>
          </a:p>
        </c:txPr>
        <c:crossAx val="1487935760"/>
        <c:crosses val="autoZero"/>
        <c:crossBetween val="midCat"/>
        <c:majorUnit val="500"/>
      </c:valAx>
      <c:spPr>
        <a:noFill/>
        <a:ln>
          <a:solidFill>
            <a:schemeClr val="bg1">
              <a:lumMod val="85000"/>
            </a:schemeClr>
          </a:solidFill>
          <a:prstDash val="solid"/>
        </a:ln>
        <a:effectLst/>
      </c:spPr>
    </c:plotArea>
    <c:legend>
      <c:legendPos val="b"/>
      <c:legendEntry>
        <c:idx val="3"/>
        <c:delete val="1"/>
      </c:legendEntry>
      <c:layout>
        <c:manualLayout>
          <c:xMode val="edge"/>
          <c:yMode val="edge"/>
          <c:x val="0.12990392500683393"/>
          <c:y val="0.76229735988883751"/>
          <c:w val="0.79946373130115722"/>
          <c:h val="0.2323160374183996"/>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nl-N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23ED2CFBFC64CBA62E8898FEDC10A" ma:contentTypeVersion="3" ma:contentTypeDescription="Een nieuw document maken." ma:contentTypeScope="" ma:versionID="64366dbe9dd709d8c8c0afba47e425c8">
  <xsd:schema xmlns:xsd="http://www.w3.org/2001/XMLSchema" xmlns:xs="http://www.w3.org/2001/XMLSchema" xmlns:p="http://schemas.microsoft.com/office/2006/metadata/properties" xmlns:ns2="c89609bc-01d6-4db8-b063-900ea49ddd2a" targetNamespace="http://schemas.microsoft.com/office/2006/metadata/properties" ma:root="true" ma:fieldsID="7db036752689604f3027a4bb8758e235" ns2:_="">
    <xsd:import namespace="c89609bc-01d6-4db8-b063-900ea49dd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609bc-01d6-4db8-b063-900ea49d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475E-4617-42A7-84D6-7E8F936026A7}">
  <ds:schemaRefs>
    <ds:schemaRef ds:uri="http://schemas.microsoft.com/sharepoint/v3/contenttype/forms"/>
  </ds:schemaRefs>
</ds:datastoreItem>
</file>

<file path=customXml/itemProps2.xml><?xml version="1.0" encoding="utf-8"?>
<ds:datastoreItem xmlns:ds="http://schemas.openxmlformats.org/officeDocument/2006/customXml" ds:itemID="{4B93FF55-57B7-49B7-9C0D-B1229505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609bc-01d6-4db8-b063-900ea49dd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3547C-B86E-4165-80B7-782A93EB88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446</TotalTime>
  <Pages>6</Pages>
  <Words>5896</Words>
  <Characters>32434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Tonny Manalal</cp:lastModifiedBy>
  <cp:revision>50</cp:revision>
  <cp:lastPrinted>2004-12-17T18:20:00Z</cp:lastPrinted>
  <dcterms:created xsi:type="dcterms:W3CDTF">2023-11-29T09:19:00Z</dcterms:created>
  <dcterms:modified xsi:type="dcterms:W3CDTF">2023-12-14T08:18:00Z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http://www.zotero.org/styles/harvard-cite-them-right</vt:lpwstr>
  </property>
  <property fmtid="{D5CDD505-2E9C-101B-9397-08002B2CF9AE}" pid="17" name="Mendeley Recent Style Name 3_1">
    <vt:lpwstr>Cite Them Right 10th edition - Harvard</vt:lpwstr>
  </property>
  <property fmtid="{D5CDD505-2E9C-101B-9397-08002B2CF9AE}" pid="18" name="Mendeley Recent Style Id 4_1">
    <vt:lpwstr>http://www.zotero.org/styles/ieee</vt:lpwstr>
  </property>
  <property fmtid="{D5CDD505-2E9C-101B-9397-08002B2CF9AE}" pid="19" name="Mendeley Recent Style Name 4_1">
    <vt:lpwstr>IEEE</vt:lpwstr>
  </property>
  <property fmtid="{D5CDD505-2E9C-101B-9397-08002B2CF9AE}" pid="20" name="Mendeley Recent Style Id 5_1">
    <vt:lpwstr>http://www.zotero.org/styles/modern-humanities-research-association</vt:lpwstr>
  </property>
  <property fmtid="{D5CDD505-2E9C-101B-9397-08002B2CF9AE}" pid="21" name="Mendeley Recent Style Name 5_1">
    <vt:lpwstr>Modern Humanities Research Association 3rd edition (note with bibliography)</vt:lpwstr>
  </property>
  <property fmtid="{D5CDD505-2E9C-101B-9397-08002B2CF9AE}" pid="22" name="Mendeley Recent Style Id 6_1">
    <vt:lpwstr>http://www.zotero.org/styles/modern-language-association</vt:lpwstr>
  </property>
  <property fmtid="{D5CDD505-2E9C-101B-9397-08002B2CF9AE}" pid="23" name="Mendeley Recent Style Name 6_1">
    <vt:lpwstr>Modern Language Association 8th edition</vt:lpwstr>
  </property>
  <property fmtid="{D5CDD505-2E9C-101B-9397-08002B2CF9AE}" pid="24" name="Mendeley Recent Style Id 7_1">
    <vt:lpwstr>http://www.zotero.org/styles/nature</vt:lpwstr>
  </property>
  <property fmtid="{D5CDD505-2E9C-101B-9397-08002B2CF9AE}" pid="25" name="Mendeley Recent Style Name 7_1">
    <vt:lpwstr>Nature</vt:lpwstr>
  </property>
  <property fmtid="{D5CDD505-2E9C-101B-9397-08002B2CF9AE}" pid="26" name="Mendeley Recent Style Id 8_1">
    <vt:lpwstr>http://www.zotero.org/styles/vancouver</vt:lpwstr>
  </property>
  <property fmtid="{D5CDD505-2E9C-101B-9397-08002B2CF9AE}" pid="27" name="Mendeley Recent Style Name 8_1">
    <vt:lpwstr>Vancouver</vt:lpwstr>
  </property>
  <property fmtid="{D5CDD505-2E9C-101B-9397-08002B2CF9AE}" pid="28" name="Mendeley Recent Style Id 9_1">
    <vt:lpwstr>http://www.zotero.org/styles/vancouver-superscript</vt:lpwstr>
  </property>
  <property fmtid="{D5CDD505-2E9C-101B-9397-08002B2CF9AE}" pid="29" name="Mendeley Recent Style Name 9_1">
    <vt:lpwstr>Vancouver (superscript)</vt:lpwstr>
  </property>
  <property fmtid="{D5CDD505-2E9C-101B-9397-08002B2CF9AE}" pid="30" name="Mendeley Document_1">
    <vt:lpwstr>True</vt:lpwstr>
  </property>
  <property fmtid="{D5CDD505-2E9C-101B-9397-08002B2CF9AE}" pid="31" name="Mendeley Unique User Id_1">
    <vt:lpwstr>13292d8d-2555-3101-b9a4-d574fd1211d5</vt:lpwstr>
  </property>
  <property fmtid="{D5CDD505-2E9C-101B-9397-08002B2CF9AE}" pid="32" name="Mendeley Citation Style_1">
    <vt:lpwstr>http://www.zotero.org/styles/apa</vt:lpwstr>
  </property>
  <property fmtid="{D5CDD505-2E9C-101B-9397-08002B2CF9AE}" pid="33" name="ContentTypeId">
    <vt:lpwstr>0x0101006F123ED2CFBFC64CBA62E8898FEDC10A</vt:lpwstr>
  </property>
</Properties>
</file>