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E67F" w14:textId="15E4DF31" w:rsidR="00DD3D9E" w:rsidRPr="00B4388F" w:rsidRDefault="00C07EDA">
      <w:pPr>
        <w:pStyle w:val="Els-Title"/>
        <w:rPr>
          <w:color w:val="000000" w:themeColor="text1"/>
        </w:rPr>
      </w:pPr>
      <w:r>
        <w:rPr>
          <w:color w:val="000000" w:themeColor="text1"/>
        </w:rPr>
        <w:t xml:space="preserve">Parameter estimation </w:t>
      </w:r>
      <w:r w:rsidR="0013709A">
        <w:rPr>
          <w:color w:val="000000" w:themeColor="text1"/>
        </w:rPr>
        <w:t>of</w:t>
      </w:r>
      <w:r w:rsidR="009A688F">
        <w:rPr>
          <w:color w:val="000000" w:themeColor="text1"/>
        </w:rPr>
        <w:t xml:space="preserve"> multi-substrate</w:t>
      </w:r>
      <w:r>
        <w:rPr>
          <w:color w:val="000000" w:themeColor="text1"/>
        </w:rPr>
        <w:t xml:space="preserve"> </w:t>
      </w:r>
      <w:r w:rsidR="005D5D91">
        <w:rPr>
          <w:color w:val="000000" w:themeColor="text1"/>
        </w:rPr>
        <w:t>bio</w:t>
      </w:r>
      <w:r w:rsidR="0013709A">
        <w:rPr>
          <w:color w:val="000000" w:themeColor="text1"/>
        </w:rPr>
        <w:t>kinetic models</w:t>
      </w:r>
      <w:r>
        <w:rPr>
          <w:color w:val="000000" w:themeColor="text1"/>
        </w:rPr>
        <w:t xml:space="preserve"> </w:t>
      </w:r>
      <w:r w:rsidR="003443CF">
        <w:rPr>
          <w:color w:val="000000" w:themeColor="text1"/>
        </w:rPr>
        <w:t>of</w:t>
      </w:r>
      <w:r w:rsidR="005D5D9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lignocellulosic </w:t>
      </w:r>
      <w:r w:rsidR="005D5D91">
        <w:rPr>
          <w:color w:val="000000" w:themeColor="text1"/>
        </w:rPr>
        <w:t>microbial protein systems</w:t>
      </w:r>
    </w:p>
    <w:p w14:paraId="144DE680" w14:textId="139CFA5F" w:rsidR="00DD3D9E" w:rsidRPr="00A713C4" w:rsidRDefault="00A713C4">
      <w:pPr>
        <w:pStyle w:val="Els-Author"/>
        <w:rPr>
          <w:vertAlign w:val="superscript"/>
        </w:rPr>
      </w:pPr>
      <w:r>
        <w:t>Mason Banks,</w:t>
      </w:r>
      <w:r>
        <w:rPr>
          <w:vertAlign w:val="superscript"/>
        </w:rPr>
        <w:t>a</w:t>
      </w:r>
      <w:r>
        <w:t xml:space="preserve"> Mark Taylor,</w:t>
      </w:r>
      <w:r>
        <w:rPr>
          <w:vertAlign w:val="superscript"/>
        </w:rPr>
        <w:t>b</w:t>
      </w:r>
      <w:r>
        <w:t xml:space="preserve"> Miao Guo</w:t>
      </w:r>
      <w:r>
        <w:rPr>
          <w:vertAlign w:val="superscript"/>
        </w:rPr>
        <w:t>a*</w:t>
      </w:r>
    </w:p>
    <w:p w14:paraId="144DE681" w14:textId="3BFBD5C6" w:rsidR="00DD3D9E" w:rsidRDefault="00A713C4">
      <w:pPr>
        <w:pStyle w:val="Els-Affiliation"/>
      </w:pPr>
      <w:r>
        <w:rPr>
          <w:vertAlign w:val="superscript"/>
        </w:rPr>
        <w:t>a</w:t>
      </w:r>
      <w:r>
        <w:t xml:space="preserve">King’s College London, Strand, London </w:t>
      </w:r>
      <w:r w:rsidRPr="00A713C4">
        <w:t>WC2R 2LS</w:t>
      </w:r>
      <w:r>
        <w:t>, United Kingdom</w:t>
      </w:r>
    </w:p>
    <w:p w14:paraId="144DE682" w14:textId="427BB171" w:rsidR="00DD3D9E" w:rsidRDefault="00A713C4">
      <w:pPr>
        <w:pStyle w:val="Els-Affiliation"/>
      </w:pPr>
      <w:r>
        <w:rPr>
          <w:vertAlign w:val="superscript"/>
        </w:rPr>
        <w:t>b</w:t>
      </w:r>
      <w:r w:rsidRPr="00A713C4">
        <w:t xml:space="preserve">Marlow </w:t>
      </w:r>
      <w:r w:rsidR="00016B83">
        <w:t>Ingredients</w:t>
      </w:r>
      <w:r w:rsidRPr="00A713C4">
        <w:t xml:space="preserve"> Ltd</w:t>
      </w:r>
      <w:r>
        <w:t>, Nelson Ave, Billingham TS23 4HA, United Kingdom</w:t>
      </w:r>
    </w:p>
    <w:p w14:paraId="144DE683" w14:textId="255BA5DF" w:rsidR="008D2649" w:rsidRPr="00A94774" w:rsidRDefault="00A713C4" w:rsidP="008D2649">
      <w:pPr>
        <w:pStyle w:val="Els-Affiliation"/>
        <w:spacing w:after="120"/>
      </w:pPr>
      <w:r>
        <w:rPr>
          <w:vertAlign w:val="superscript"/>
        </w:rPr>
        <w:t>*</w:t>
      </w:r>
      <w:r>
        <w:t>miao.guo@kcl.ac.uk</w:t>
      </w:r>
    </w:p>
    <w:p w14:paraId="144DE684" w14:textId="77777777" w:rsidR="008D2649" w:rsidRDefault="008D2649" w:rsidP="008D2649">
      <w:pPr>
        <w:pStyle w:val="Els-Abstract"/>
      </w:pPr>
      <w:r>
        <w:t>Abstract</w:t>
      </w:r>
    </w:p>
    <w:p w14:paraId="451B1277" w14:textId="7AECF31A" w:rsidR="004D2FDA" w:rsidRPr="004D2FDA" w:rsidRDefault="004D2FDA" w:rsidP="004D2FDA">
      <w:pPr>
        <w:pStyle w:val="Els-body-text"/>
        <w:spacing w:after="120"/>
      </w:pPr>
      <w:r w:rsidRPr="004D2FDA">
        <w:t xml:space="preserve">The current global food system faces significant challenges related to waste production, carbon emissions, and resource inefficiency. This </w:t>
      </w:r>
      <w:r>
        <w:t>work aims to address</w:t>
      </w:r>
      <w:r w:rsidRPr="004D2FDA">
        <w:t xml:space="preserve"> these issues by focusing on the application of microbial protein technology for sustainable protein production from organic waste, thereby promoting a circular economy. The study </w:t>
      </w:r>
      <w:r>
        <w:t>focuses</w:t>
      </w:r>
      <w:r w:rsidRPr="004D2FDA">
        <w:t xml:space="preserve"> </w:t>
      </w:r>
      <w:r>
        <w:t>on a</w:t>
      </w:r>
      <w:r w:rsidRPr="004D2FDA">
        <w:t xml:space="preserve"> critical bottleneck in bioprocess development, specifically in waste carbon utili</w:t>
      </w:r>
      <w:r>
        <w:t>s</w:t>
      </w:r>
      <w:r w:rsidRPr="004D2FDA">
        <w:t>ation, emphasi</w:t>
      </w:r>
      <w:r>
        <w:t>s</w:t>
      </w:r>
      <w:r w:rsidRPr="004D2FDA">
        <w:t xml:space="preserve">ing the need for precise biokinetic models. </w:t>
      </w:r>
      <w:r>
        <w:t>U</w:t>
      </w:r>
      <w:r w:rsidRPr="004D2FDA">
        <w:t>nstructured</w:t>
      </w:r>
      <w:r>
        <w:t xml:space="preserve"> </w:t>
      </w:r>
      <w:r w:rsidRPr="004D2FDA">
        <w:t>model</w:t>
      </w:r>
      <w:r>
        <w:t>s</w:t>
      </w:r>
      <w:r w:rsidRPr="004D2FDA">
        <w:t xml:space="preserve"> </w:t>
      </w:r>
      <w:r>
        <w:t>are to be</w:t>
      </w:r>
      <w:r w:rsidRPr="004D2FDA">
        <w:t xml:space="preserve"> employed for </w:t>
      </w:r>
      <w:r>
        <w:t>their</w:t>
      </w:r>
      <w:r w:rsidRPr="004D2FDA">
        <w:t xml:space="preserve"> simplicity and widespread applicability, but challenges in parameter estimation</w:t>
      </w:r>
      <w:r>
        <w:t xml:space="preserve"> persist</w:t>
      </w:r>
      <w:r w:rsidRPr="004D2FDA">
        <w:t>, especially for multi-substrate systems</w:t>
      </w:r>
      <w:r>
        <w:t xml:space="preserve">. </w:t>
      </w:r>
      <w:r w:rsidRPr="004D2FDA">
        <w:t>The research introduces an experimental-computational methodology for high-throughput screening, utili</w:t>
      </w:r>
      <w:r>
        <w:t>s</w:t>
      </w:r>
      <w:r w:rsidRPr="004D2FDA">
        <w:t>ing absorbance spectroscopy and HPLC analysis</w:t>
      </w:r>
      <w:r>
        <w:t xml:space="preserve"> from batch 96 well plate fermentations</w:t>
      </w:r>
      <w:r w:rsidRPr="004D2FDA">
        <w:t>. The study expands parameter estimation techniques towards multi-substrate biokinetic models for the conversion of lignocellulosic hydrolysates to mycoprotein</w:t>
      </w:r>
      <w:r>
        <w:t xml:space="preserve"> (</w:t>
      </w:r>
      <w:r w:rsidRPr="004D2FDA">
        <w:rPr>
          <w:i/>
          <w:iCs/>
        </w:rPr>
        <w:t xml:space="preserve">Fusarium venenatum </w:t>
      </w:r>
      <w:r w:rsidRPr="00016B83">
        <w:t>A3/5</w:t>
      </w:r>
      <w:r>
        <w:t>)</w:t>
      </w:r>
      <w:r w:rsidRPr="004D2FDA">
        <w:t xml:space="preserve">. Various experimental designs explore the influence of sugar composition, pre-culture environment, and substrate-to-biomass ratio on model performance. The </w:t>
      </w:r>
      <w:proofErr w:type="gramStart"/>
      <w:r w:rsidRPr="004D2FDA">
        <w:t>ultimate goal</w:t>
      </w:r>
      <w:proofErr w:type="gramEnd"/>
      <w:r w:rsidRPr="004D2FDA">
        <w:t xml:space="preserve"> is to inform decision-making for the viable scale-up of industrial waste-to-mycoprotein processes, considering sustainability and technoeconomic constraints.</w:t>
      </w:r>
    </w:p>
    <w:p w14:paraId="144DE687" w14:textId="633F6F48" w:rsidR="008D2649" w:rsidRDefault="008D2649" w:rsidP="008D2649">
      <w:pPr>
        <w:pStyle w:val="Els-body-text"/>
        <w:spacing w:after="120"/>
        <w:rPr>
          <w:lang w:val="en-GB"/>
        </w:rPr>
      </w:pPr>
      <w:r>
        <w:rPr>
          <w:b/>
          <w:bCs/>
          <w:lang w:val="en-GB"/>
        </w:rPr>
        <w:t>Keywords</w:t>
      </w:r>
      <w:r>
        <w:rPr>
          <w:lang w:val="en-GB"/>
        </w:rPr>
        <w:t xml:space="preserve">: </w:t>
      </w:r>
      <w:r w:rsidR="00A713C4">
        <w:rPr>
          <w:lang w:val="en-GB"/>
        </w:rPr>
        <w:t>Lignocellulose, Microbial Protein, Parameter Estimation, Waste-to-Protein</w:t>
      </w:r>
    </w:p>
    <w:p w14:paraId="22AF8DF3" w14:textId="77777777" w:rsidR="002E7896" w:rsidRDefault="009F4CFC" w:rsidP="002E7896">
      <w:pPr>
        <w:pStyle w:val="Els-1storder-head"/>
      </w:pPr>
      <w:r>
        <w:t>Introduction</w:t>
      </w:r>
    </w:p>
    <w:p w14:paraId="6B022623" w14:textId="036DF899" w:rsidR="007F7C0F" w:rsidRPr="007F7C0F" w:rsidRDefault="007F7C0F" w:rsidP="007F7C0F">
      <w:pPr>
        <w:pStyle w:val="Els-2ndorder-head"/>
      </w:pPr>
      <w:r>
        <w:t>Background</w:t>
      </w:r>
    </w:p>
    <w:p w14:paraId="1321522E" w14:textId="435FBDD9" w:rsidR="007F7C0F" w:rsidRPr="00F036DC" w:rsidRDefault="002E7896" w:rsidP="007F7C0F">
      <w:pPr>
        <w:pStyle w:val="Els-body-text"/>
        <w:rPr>
          <w:color w:val="000000"/>
        </w:rPr>
      </w:pPr>
      <w:r w:rsidRPr="002E7896">
        <w:t>The current global food system produces substantial waste and carbon emissions and relies on excessive use of arable land and freshwater supplie</w:t>
      </w:r>
      <w:r w:rsidR="000469DA">
        <w:t xml:space="preserve">s </w:t>
      </w:r>
      <w:r w:rsidR="007A4743" w:rsidRPr="007A4743">
        <w:rPr>
          <w:color w:val="000000"/>
        </w:rPr>
        <w:t>(Holden et al., 2018)</w:t>
      </w:r>
      <w:r w:rsidR="00154FA1">
        <w:rPr>
          <w:color w:val="000000"/>
        </w:rPr>
        <w:t xml:space="preserve">. </w:t>
      </w:r>
      <w:r w:rsidRPr="002E7896">
        <w:t>These factors not only result in environmental degradation but also exacerbate the issues of increasing global hunger and protein deficiency</w:t>
      </w:r>
      <w:r w:rsidR="000469DA">
        <w:rPr>
          <w:color w:val="000000"/>
        </w:rPr>
        <w:t xml:space="preserve"> according to a recent meta-analysis</w:t>
      </w:r>
      <w:r w:rsidR="007572CD">
        <w:rPr>
          <w:color w:val="000000"/>
        </w:rPr>
        <w:t xml:space="preserve"> by</w:t>
      </w:r>
      <w:r w:rsidR="00154FA1">
        <w:rPr>
          <w:color w:val="000000"/>
        </w:rPr>
        <w:t xml:space="preserve"> </w:t>
      </w:r>
      <w:r w:rsidR="007A4743" w:rsidRPr="007A4743">
        <w:rPr>
          <w:color w:val="000000"/>
        </w:rPr>
        <w:t xml:space="preserve">Van Dijk et al. </w:t>
      </w:r>
      <w:r w:rsidR="00957D6B">
        <w:rPr>
          <w:color w:val="000000"/>
        </w:rPr>
        <w:t>(</w:t>
      </w:r>
      <w:r w:rsidR="007A4743" w:rsidRPr="007A4743">
        <w:rPr>
          <w:color w:val="000000"/>
        </w:rPr>
        <w:t>2021)</w:t>
      </w:r>
      <w:r w:rsidR="00957D6B">
        <w:rPr>
          <w:color w:val="000000"/>
        </w:rPr>
        <w:t>.</w:t>
      </w:r>
      <w:r w:rsidR="00154FA1">
        <w:rPr>
          <w:color w:val="000000"/>
        </w:rPr>
        <w:t xml:space="preserve"> </w:t>
      </w:r>
      <w:r w:rsidRPr="002E7896">
        <w:t xml:space="preserve">A potential solution </w:t>
      </w:r>
      <w:r w:rsidR="000469DA">
        <w:t xml:space="preserve">to this global challenge </w:t>
      </w:r>
      <w:r w:rsidR="009A688F">
        <w:t>was</w:t>
      </w:r>
      <w:r w:rsidR="000469DA">
        <w:t xml:space="preserve"> explored by </w:t>
      </w:r>
      <w:r w:rsidR="007A4743" w:rsidRPr="007A4743">
        <w:rPr>
          <w:color w:val="000000"/>
        </w:rPr>
        <w:t xml:space="preserve">Durkin et al. </w:t>
      </w:r>
      <w:r w:rsidR="00957D6B">
        <w:rPr>
          <w:color w:val="000000"/>
        </w:rPr>
        <w:t>(</w:t>
      </w:r>
      <w:r w:rsidR="007A4743" w:rsidRPr="007A4743">
        <w:rPr>
          <w:color w:val="000000"/>
        </w:rPr>
        <w:t>2022)</w:t>
      </w:r>
      <w:r w:rsidR="007572CD">
        <w:rPr>
          <w:color w:val="000000"/>
        </w:rPr>
        <w:t xml:space="preserve"> </w:t>
      </w:r>
      <w:r w:rsidR="00963B23">
        <w:t>who demonstrated</w:t>
      </w:r>
      <w:r w:rsidR="000469DA">
        <w:t xml:space="preserve"> </w:t>
      </w:r>
      <w:r w:rsidR="00963B23">
        <w:t xml:space="preserve">high potential for recovery of carbon and nutrients from global by-product streams (i.e. organic waste) using microbial protein technology to produce sustainable, high-quality </w:t>
      </w:r>
      <w:r w:rsidRPr="002E7896">
        <w:t xml:space="preserve">protein </w:t>
      </w:r>
      <w:r w:rsidR="00963B23">
        <w:t xml:space="preserve">while </w:t>
      </w:r>
      <w:r w:rsidRPr="002E7896">
        <w:t>promoting a circular economy</w:t>
      </w:r>
      <w:r w:rsidR="000469DA">
        <w:rPr>
          <w:color w:val="000000"/>
        </w:rPr>
        <w:t>.</w:t>
      </w:r>
      <w:r w:rsidR="008D6CE7">
        <w:rPr>
          <w:color w:val="000000"/>
        </w:rPr>
        <w:t xml:space="preserve"> </w:t>
      </w:r>
      <w:r w:rsidRPr="002E7896">
        <w:rPr>
          <w:bCs/>
          <w:szCs w:val="16"/>
        </w:rPr>
        <w:t>However, despite increasing research attention in waste valorisation and microbial protein technologies, several critical bottlenecks exist at each stage of bioprocess development that hinder rapid and viable scale-up</w:t>
      </w:r>
      <w:r w:rsidR="007572CD">
        <w:rPr>
          <w:bCs/>
          <w:szCs w:val="16"/>
        </w:rPr>
        <w:t xml:space="preserve"> </w:t>
      </w:r>
      <w:r w:rsidR="007A4743" w:rsidRPr="007A4743">
        <w:rPr>
          <w:bCs/>
          <w:color w:val="000000"/>
          <w:szCs w:val="16"/>
        </w:rPr>
        <w:t>(Piercy et al., 2023)</w:t>
      </w:r>
      <w:r w:rsidR="007572CD">
        <w:rPr>
          <w:bCs/>
          <w:color w:val="000000"/>
          <w:szCs w:val="16"/>
        </w:rPr>
        <w:t xml:space="preserve">. </w:t>
      </w:r>
      <w:r w:rsidRPr="00AB55A2">
        <w:rPr>
          <w:bCs/>
          <w:szCs w:val="16"/>
        </w:rPr>
        <w:t xml:space="preserve">In the context of waste carbon utilisation, the development of </w:t>
      </w:r>
      <w:r w:rsidR="00450556" w:rsidRPr="00AB55A2">
        <w:rPr>
          <w:bCs/>
          <w:szCs w:val="16"/>
        </w:rPr>
        <w:t xml:space="preserve">precise and </w:t>
      </w:r>
      <w:r w:rsidRPr="00AB55A2">
        <w:rPr>
          <w:bCs/>
          <w:szCs w:val="16"/>
        </w:rPr>
        <w:t xml:space="preserve">accurate </w:t>
      </w:r>
      <w:r w:rsidR="0088273D">
        <w:rPr>
          <w:bCs/>
          <w:szCs w:val="16"/>
        </w:rPr>
        <w:t>bio</w:t>
      </w:r>
      <w:r w:rsidRPr="00AB55A2">
        <w:rPr>
          <w:bCs/>
          <w:szCs w:val="16"/>
        </w:rPr>
        <w:t xml:space="preserve">kinetic models is critical to informing decision makers </w:t>
      </w:r>
      <w:r w:rsidR="009F0B0F" w:rsidRPr="00AB55A2">
        <w:rPr>
          <w:bCs/>
          <w:szCs w:val="16"/>
        </w:rPr>
        <w:t xml:space="preserve">in fermentation process </w:t>
      </w:r>
      <w:r w:rsidR="00AB55A2" w:rsidRPr="00AB55A2">
        <w:rPr>
          <w:bCs/>
          <w:szCs w:val="16"/>
        </w:rPr>
        <w:t>design</w:t>
      </w:r>
      <w:r w:rsidR="007734B0">
        <w:rPr>
          <w:bCs/>
          <w:szCs w:val="16"/>
        </w:rPr>
        <w:t xml:space="preserve"> </w:t>
      </w:r>
      <w:r w:rsidR="007A4743" w:rsidRPr="007A4743">
        <w:rPr>
          <w:bCs/>
          <w:color w:val="000000"/>
          <w:szCs w:val="16"/>
        </w:rPr>
        <w:t>(Narayanan et al., 2019)</w:t>
      </w:r>
      <w:r w:rsidR="00AB55A2" w:rsidRPr="00AB55A2">
        <w:rPr>
          <w:bCs/>
          <w:szCs w:val="16"/>
        </w:rPr>
        <w:t xml:space="preserve"> but</w:t>
      </w:r>
      <w:r w:rsidRPr="00AB55A2">
        <w:rPr>
          <w:bCs/>
          <w:szCs w:val="16"/>
        </w:rPr>
        <w:t xml:space="preserve"> </w:t>
      </w:r>
      <w:r w:rsidR="00AB55A2" w:rsidRPr="00AB55A2">
        <w:rPr>
          <w:bCs/>
          <w:szCs w:val="16"/>
        </w:rPr>
        <w:t>remains</w:t>
      </w:r>
      <w:r w:rsidRPr="00AB55A2">
        <w:rPr>
          <w:bCs/>
          <w:szCs w:val="16"/>
        </w:rPr>
        <w:t xml:space="preserve"> a challenging task due to compositional variation of feedstock substrates </w:t>
      </w:r>
      <w:r w:rsidR="007F7C0F" w:rsidRPr="00AB55A2">
        <w:rPr>
          <w:bCs/>
          <w:szCs w:val="16"/>
        </w:rPr>
        <w:t xml:space="preserve">utilised via </w:t>
      </w:r>
      <w:r w:rsidR="00AB55A2" w:rsidRPr="00AB55A2">
        <w:rPr>
          <w:bCs/>
          <w:szCs w:val="16"/>
        </w:rPr>
        <w:t xml:space="preserve">complex </w:t>
      </w:r>
      <w:r w:rsidR="00355921">
        <w:rPr>
          <w:bCs/>
          <w:szCs w:val="16"/>
        </w:rPr>
        <w:t xml:space="preserve">gene regulatory </w:t>
      </w:r>
      <w:r w:rsidR="00AB55A2" w:rsidRPr="00AB55A2">
        <w:rPr>
          <w:bCs/>
          <w:szCs w:val="16"/>
        </w:rPr>
        <w:t>pathways which are experimentally</w:t>
      </w:r>
      <w:r w:rsidR="00F036DC">
        <w:rPr>
          <w:bCs/>
          <w:szCs w:val="16"/>
        </w:rPr>
        <w:t xml:space="preserve"> </w:t>
      </w:r>
      <w:r w:rsidR="00AB55A2" w:rsidRPr="00AB55A2">
        <w:rPr>
          <w:bCs/>
          <w:szCs w:val="16"/>
        </w:rPr>
        <w:lastRenderedPageBreak/>
        <w:t>demanding to characterise</w:t>
      </w:r>
      <w:r w:rsidR="00355921">
        <w:rPr>
          <w:bCs/>
          <w:szCs w:val="16"/>
        </w:rPr>
        <w:t xml:space="preserve"> particularly for non-model microorganisms</w:t>
      </w:r>
      <w:r w:rsidR="007572CD">
        <w:rPr>
          <w:bCs/>
          <w:szCs w:val="16"/>
        </w:rPr>
        <w:t xml:space="preserve"> </w:t>
      </w:r>
      <w:r w:rsidR="007A4743" w:rsidRPr="007A4743">
        <w:rPr>
          <w:bCs/>
          <w:color w:val="000000"/>
          <w:szCs w:val="16"/>
        </w:rPr>
        <w:t>(</w:t>
      </w:r>
      <w:proofErr w:type="spellStart"/>
      <w:r w:rsidR="007A4743" w:rsidRPr="007A4743">
        <w:rPr>
          <w:bCs/>
          <w:color w:val="000000"/>
          <w:szCs w:val="16"/>
        </w:rPr>
        <w:t>Panikov</w:t>
      </w:r>
      <w:proofErr w:type="spellEnd"/>
      <w:r w:rsidR="007A4743" w:rsidRPr="007A4743">
        <w:rPr>
          <w:bCs/>
          <w:color w:val="000000"/>
          <w:szCs w:val="16"/>
        </w:rPr>
        <w:t>, 2021)</w:t>
      </w:r>
      <w:r w:rsidR="007572CD">
        <w:rPr>
          <w:bCs/>
          <w:szCs w:val="16"/>
        </w:rPr>
        <w:t xml:space="preserve">, </w:t>
      </w:r>
      <w:r w:rsidR="0088273D">
        <w:rPr>
          <w:bCs/>
          <w:szCs w:val="16"/>
        </w:rPr>
        <w:t>in addition to outstanding challenges in model identification and parameter</w:t>
      </w:r>
      <w:r w:rsidR="00355921">
        <w:rPr>
          <w:bCs/>
          <w:szCs w:val="16"/>
        </w:rPr>
        <w:t xml:space="preserve"> estimation</w:t>
      </w:r>
      <w:r w:rsidR="0088273D">
        <w:rPr>
          <w:bCs/>
          <w:szCs w:val="16"/>
        </w:rPr>
        <w:t xml:space="preserve"> </w:t>
      </w:r>
      <w:r w:rsidR="00355921">
        <w:rPr>
          <w:bCs/>
          <w:szCs w:val="16"/>
        </w:rPr>
        <w:t>of microbial processes</w:t>
      </w:r>
      <w:r w:rsidR="007572CD">
        <w:rPr>
          <w:bCs/>
          <w:color w:val="000000"/>
          <w:szCs w:val="16"/>
        </w:rPr>
        <w:t xml:space="preserve"> </w:t>
      </w:r>
      <w:r w:rsidR="007A4743" w:rsidRPr="007A4743">
        <w:rPr>
          <w:bCs/>
          <w:color w:val="000000"/>
          <w:szCs w:val="16"/>
        </w:rPr>
        <w:t>(Wieland et al., 2021)</w:t>
      </w:r>
      <w:r w:rsidRPr="00AB55A2">
        <w:rPr>
          <w:bCs/>
          <w:szCs w:val="16"/>
        </w:rPr>
        <w:t>.</w:t>
      </w:r>
    </w:p>
    <w:p w14:paraId="29021FC1" w14:textId="3247305E" w:rsidR="007F7C0F" w:rsidRDefault="00AB55A2" w:rsidP="007F7C0F">
      <w:pPr>
        <w:pStyle w:val="Els-2ndorder-head"/>
      </w:pPr>
      <w:r>
        <w:t>Parameter estimation of biokinetic models</w:t>
      </w:r>
    </w:p>
    <w:p w14:paraId="0EE1D2F5" w14:textId="14A686FF" w:rsidR="007F7C0F" w:rsidRDefault="007F7C0F" w:rsidP="00935CD5">
      <w:pPr>
        <w:pStyle w:val="Els-body-text"/>
        <w:rPr>
          <w:shd w:val="clear" w:color="auto" w:fill="FFFFFF"/>
        </w:rPr>
      </w:pPr>
      <w:r>
        <w:t>Biokinetic models</w:t>
      </w:r>
      <w:r w:rsidRPr="00060FCF">
        <w:t xml:space="preserve"> describe the behavio</w:t>
      </w:r>
      <w:r>
        <w:t>u</w:t>
      </w:r>
      <w:r w:rsidRPr="00060FCF">
        <w:t>r of a biological system, such as cell growth, substrate consumption, and product formation.</w:t>
      </w:r>
      <w:r>
        <w:t xml:space="preserve"> </w:t>
      </w:r>
      <w:r w:rsidRPr="00EC619F">
        <w:t xml:space="preserve">Unstructured </w:t>
      </w:r>
      <w:r>
        <w:t>models</w:t>
      </w:r>
      <w:r w:rsidRPr="00EC619F">
        <w:t xml:space="preserve"> </w:t>
      </w:r>
      <w:r>
        <w:t>p</w:t>
      </w:r>
      <w:r w:rsidRPr="00EC619F">
        <w:t>redict microbial growth and metabolism without considering detailed intracellular processes or population structures</w:t>
      </w:r>
      <w:r w:rsidR="00B447C1">
        <w:t xml:space="preserve"> </w:t>
      </w:r>
      <w:r w:rsidR="007A4743" w:rsidRPr="007A4743">
        <w:rPr>
          <w:color w:val="000000"/>
        </w:rPr>
        <w:t>(</w:t>
      </w:r>
      <w:proofErr w:type="spellStart"/>
      <w:r w:rsidR="007A4743" w:rsidRPr="007A4743">
        <w:rPr>
          <w:color w:val="000000"/>
        </w:rPr>
        <w:t>Muloiwa</w:t>
      </w:r>
      <w:proofErr w:type="spellEnd"/>
      <w:r w:rsidR="007A4743" w:rsidRPr="007A4743">
        <w:rPr>
          <w:color w:val="000000"/>
        </w:rPr>
        <w:t xml:space="preserve"> et al., 2020)</w:t>
      </w:r>
      <w:r>
        <w:t>. Eq. (1) is the model empirically determined by</w:t>
      </w:r>
      <w:r>
        <w:rPr>
          <w:shd w:val="clear" w:color="auto" w:fill="FFFFFF"/>
        </w:rPr>
        <w:t xml:space="preserve"> </w:t>
      </w:r>
      <w:r w:rsidR="007A4743" w:rsidRPr="007A4743">
        <w:rPr>
          <w:color w:val="000000"/>
          <w:shd w:val="clear" w:color="auto" w:fill="FFFFFF"/>
        </w:rPr>
        <w:t>Monod</w:t>
      </w:r>
      <w:r w:rsidR="00221B14">
        <w:rPr>
          <w:color w:val="000000"/>
          <w:shd w:val="clear" w:color="auto" w:fill="FFFFFF"/>
        </w:rPr>
        <w:t xml:space="preserve"> (</w:t>
      </w:r>
      <w:r w:rsidR="007A4743" w:rsidRPr="007A4743">
        <w:rPr>
          <w:color w:val="000000"/>
          <w:shd w:val="clear" w:color="auto" w:fill="FFFFFF"/>
        </w:rPr>
        <w:t>1949)</w:t>
      </w:r>
      <w:r>
        <w:rPr>
          <w:shd w:val="clear" w:color="auto" w:fill="FFFFFF"/>
        </w:rPr>
        <w:t>, a hyperbolic expression relating specific growth rate (</w:t>
      </w:r>
      <m:oMath>
        <m:r>
          <w:rPr>
            <w:rFonts w:ascii="Cambria Math" w:hAnsi="Cambria Math" w:cs="Segoe UI"/>
            <w:color w:val="000000" w:themeColor="text1"/>
          </w:rPr>
          <m:t>μ</m:t>
        </m:r>
      </m:oMath>
      <w:r>
        <w:rPr>
          <w:shd w:val="clear" w:color="auto" w:fill="FFFFFF"/>
        </w:rPr>
        <w:t>) to the concentration of the limiting substrate (</w:t>
      </w:r>
      <m:oMath>
        <m:r>
          <w:rPr>
            <w:rFonts w:ascii="Cambria Math" w:hAnsi="Cambria Math" w:cs="Segoe UI"/>
            <w:color w:val="000000" w:themeColor="text1"/>
          </w:rPr>
          <m:t>S</m:t>
        </m:r>
      </m:oMath>
      <w:r>
        <w:rPr>
          <w:shd w:val="clear" w:color="auto" w:fill="FFFFFF"/>
        </w:rPr>
        <w:t>) defined by two parameters, the maximum specific growth rate (</w:t>
      </w:r>
      <m:oMath>
        <m:sSub>
          <m:sSubPr>
            <m:ctrlPr>
              <w:rPr>
                <w:rFonts w:ascii="Cambria Math" w:hAnsi="Cambria Math" w:cs="Segoe U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Segoe UI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 w:cs="Segoe UI"/>
                <w:color w:val="000000" w:themeColor="text1"/>
              </w:rPr>
              <m:t>max</m:t>
            </m:r>
          </m:sub>
        </m:sSub>
      </m:oMath>
      <w:r>
        <w:rPr>
          <w:shd w:val="clear" w:color="auto" w:fill="FFFFFF"/>
        </w:rPr>
        <w:t>)</w:t>
      </w:r>
      <w:r>
        <w:rPr>
          <w:shd w:val="clear" w:color="auto" w:fill="FFFFFF"/>
          <w:vertAlign w:val="subscript"/>
        </w:rPr>
        <w:t xml:space="preserve"> </w:t>
      </w:r>
      <w:r>
        <w:rPr>
          <w:shd w:val="clear" w:color="auto" w:fill="FFFFFF"/>
        </w:rPr>
        <w:t>and the half-saturation constant (</w:t>
      </w:r>
      <m:oMath>
        <m:sSub>
          <m:sSubPr>
            <m:ctrlPr>
              <w:rPr>
                <w:rFonts w:ascii="Cambria Math" w:hAnsi="Cambria Math" w:cs="Segoe U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Segoe UI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 w:cs="Segoe UI"/>
                <w:color w:val="000000" w:themeColor="text1"/>
              </w:rPr>
              <m:t>s</m:t>
            </m:r>
          </m:sub>
        </m:sSub>
      </m:oMath>
      <w:r>
        <w:rPr>
          <w:shd w:val="clear" w:color="auto" w:fill="FFFFFF"/>
        </w:rPr>
        <w:t>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2"/>
        <w:gridCol w:w="964"/>
      </w:tblGrid>
      <w:tr w:rsidR="007F7C0F" w:rsidRPr="00A94774" w14:paraId="040028EE" w14:textId="77777777">
        <w:tc>
          <w:tcPr>
            <w:tcW w:w="6317" w:type="dxa"/>
            <w:shd w:val="clear" w:color="auto" w:fill="auto"/>
            <w:vAlign w:val="center"/>
          </w:tcPr>
          <w:p w14:paraId="0866A7D2" w14:textId="77777777" w:rsidR="007F7C0F" w:rsidRPr="007D4A23" w:rsidRDefault="007F7C0F">
            <w:pPr>
              <w:pStyle w:val="Els-body-text"/>
              <w:spacing w:before="120" w:after="120" w:line="264" w:lineRule="auto"/>
              <w:rPr>
                <w:lang w:val="en-GB"/>
              </w:rPr>
            </w:pPr>
            <w:bookmarkStart w:id="0" w:name="OLE_LINK16"/>
            <w:bookmarkStart w:id="1" w:name="OLE_LINK17"/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Segoe UI"/>
                    <w:color w:val="000000" w:themeColor="text1"/>
                  </w:rPr>
                  <m:t>μ</m:t>
                </m:r>
                <w:bookmarkEnd w:id="0"/>
                <w:bookmarkEnd w:id="1"/>
                <m:r>
                  <w:rPr>
                    <w:rFonts w:ascii="Cambria Math" w:hAnsi="Cambria Math" w:cs="Segoe UI"/>
                    <w:color w:val="000000" w:themeColor="text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Segoe U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Segoe UI"/>
                        <w:color w:val="000000" w:themeColor="text1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Segoe UI"/>
                        <w:color w:val="000000" w:themeColor="text1"/>
                      </w:rPr>
                      <m:t>max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Segoe U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="Segoe UI"/>
                        <w:color w:val="000000" w:themeColor="text1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 w:cs="Segoe UI"/>
                        <w:color w:val="000000" w:themeColor="text1"/>
                      </w:rPr>
                      <m:t>S+</m:t>
                    </m:r>
                    <m:sSub>
                      <m:sSubPr>
                        <m:ctrlPr>
                          <w:rPr>
                            <w:rFonts w:ascii="Cambria Math" w:hAnsi="Cambria Math" w:cs="Segoe UI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egoe UI"/>
                            <w:color w:val="000000" w:themeColor="text1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Segoe UI"/>
                            <w:color w:val="000000" w:themeColor="text1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85" w:type="dxa"/>
            <w:shd w:val="clear" w:color="auto" w:fill="auto"/>
            <w:vAlign w:val="center"/>
          </w:tcPr>
          <w:p w14:paraId="6540DA36" w14:textId="77777777" w:rsidR="007F7C0F" w:rsidRPr="00A94774" w:rsidRDefault="007F7C0F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(1)</w:t>
            </w:r>
          </w:p>
        </w:tc>
      </w:tr>
    </w:tbl>
    <w:p w14:paraId="2C1333B0" w14:textId="4C4261DA" w:rsidR="007F7C0F" w:rsidRDefault="00AA2E20" w:rsidP="007F7C0F">
      <w:pPr>
        <w:rPr>
          <w:shd w:val="clear" w:color="auto" w:fill="FFFFFF"/>
        </w:rPr>
      </w:pPr>
      <w:r>
        <w:rPr>
          <w:shd w:val="clear" w:color="auto" w:fill="FFFFFF"/>
        </w:rPr>
        <w:t>For a single substrate system, growth of biomass (</w:t>
      </w:r>
      <m:oMath>
        <m:r>
          <w:rPr>
            <w:rFonts w:ascii="Cambria Math" w:hAnsi="Cambria Math" w:cs="Segoe UI"/>
            <w:color w:val="000000" w:themeColor="text1"/>
          </w:rPr>
          <m:t>X</m:t>
        </m:r>
      </m:oMath>
      <w:r>
        <w:rPr>
          <w:shd w:val="clear" w:color="auto" w:fill="FFFFFF"/>
        </w:rPr>
        <w:t>) and substrate depletion can be described by a pair of ODEs</w:t>
      </w:r>
      <w:r w:rsidR="00EB5F83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Eq. </w:t>
      </w:r>
      <w:r w:rsidR="00EB5F83">
        <w:rPr>
          <w:shd w:val="clear" w:color="auto" w:fill="FFFFFF"/>
        </w:rPr>
        <w:t>(</w:t>
      </w:r>
      <w:r>
        <w:rPr>
          <w:shd w:val="clear" w:color="auto" w:fill="FFFFFF"/>
        </w:rPr>
        <w:t>2</w:t>
      </w:r>
      <w:r w:rsidR="00EB5F83">
        <w:rPr>
          <w:shd w:val="clear" w:color="auto" w:fill="FFFFFF"/>
        </w:rPr>
        <w:t>)</w:t>
      </w:r>
      <w:r>
        <w:rPr>
          <w:shd w:val="clear" w:color="auto" w:fill="FFFFFF"/>
        </w:rPr>
        <w:t xml:space="preserve">. </w:t>
      </w:r>
      <w:r w:rsidR="007F7C0F">
        <w:rPr>
          <w:shd w:val="clear" w:color="auto" w:fill="FFFFFF"/>
        </w:rPr>
        <w:t>A yield coefficient (</w:t>
      </w:r>
      <m:oMath>
        <m:sSub>
          <m:sSubPr>
            <m:ctrlPr>
              <w:rPr>
                <w:rFonts w:ascii="Cambria Math" w:hAnsi="Cambria Math" w:cs="Segoe U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Segoe UI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 w:cs="Segoe UI"/>
                <w:color w:val="000000" w:themeColor="text1"/>
              </w:rPr>
              <m:t>X/S</m:t>
            </m:r>
          </m:sub>
        </m:sSub>
      </m:oMath>
      <w:r w:rsidR="007F7C0F">
        <w:rPr>
          <w:shd w:val="clear" w:color="auto" w:fill="FFFFFF"/>
        </w:rPr>
        <w:t xml:space="preserve">) </w:t>
      </w:r>
      <w:r>
        <w:rPr>
          <w:shd w:val="clear" w:color="auto" w:fill="FFFFFF"/>
        </w:rPr>
        <w:t>is introduced as a third parameter to define the conversion efficiency from substrate to biomass.</w:t>
      </w:r>
    </w:p>
    <w:tbl>
      <w:tblPr>
        <w:tblW w:w="7101" w:type="dxa"/>
        <w:tblLook w:val="04A0" w:firstRow="1" w:lastRow="0" w:firstColumn="1" w:lastColumn="0" w:noHBand="0" w:noVBand="1"/>
      </w:tblPr>
      <w:tblGrid>
        <w:gridCol w:w="6134"/>
        <w:gridCol w:w="967"/>
      </w:tblGrid>
      <w:tr w:rsidR="007F7C0F" w:rsidRPr="00A94774" w14:paraId="6D595A05" w14:textId="77777777" w:rsidTr="00F036DC">
        <w:trPr>
          <w:trHeight w:val="603"/>
        </w:trPr>
        <w:tc>
          <w:tcPr>
            <w:tcW w:w="6134" w:type="dxa"/>
            <w:shd w:val="clear" w:color="auto" w:fill="auto"/>
            <w:vAlign w:val="center"/>
          </w:tcPr>
          <w:bookmarkStart w:id="2" w:name="OLE_LINK18"/>
          <w:bookmarkStart w:id="3" w:name="OLE_LINK19"/>
          <w:bookmarkStart w:id="4" w:name="OLE_LINK1"/>
          <w:bookmarkStart w:id="5" w:name="OLE_LINK5"/>
          <w:p w14:paraId="77B2BE27" w14:textId="4AA485B1" w:rsidR="007F7C0F" w:rsidRPr="007D4A23" w:rsidRDefault="00000000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w:bookmarkEnd w:id="4"/>
                <w:bookmarkEnd w:id="5"/>
                <m:r>
                  <w:rPr>
                    <w:rFonts w:ascii="Cambria Math" w:hAnsi="Cambria Math"/>
                  </w:rPr>
                  <m:t xml:space="preserve"> = </m:t>
                </m:r>
                <m:r>
                  <w:rPr>
                    <w:rFonts w:ascii="Cambria Math" w:hAnsi="Cambria Math" w:cs="Segoe UI"/>
                    <w:color w:val="000000" w:themeColor="text1"/>
                  </w:rPr>
                  <m:t>μX</m:t>
                </m:r>
                <m:r>
                  <w:rPr>
                    <w:rFonts w:ascii="Cambria Math" w:hAnsi="Cambria Math" w:cs="Segoe UI"/>
                    <w:color w:val="000000" w:themeColor="text1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dS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= -</m:t>
                </m:r>
                <m:f>
                  <m:fPr>
                    <m:ctrlPr>
                      <w:rPr>
                        <w:rFonts w:ascii="Cambria Math" w:hAnsi="Cambria Math" w:cs="Segoe U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="Segoe UI"/>
                        <w:color w:val="000000" w:themeColor="text1"/>
                      </w:rPr>
                      <m:t>μX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Segoe UI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egoe UI"/>
                            <w:color w:val="000000" w:themeColor="text1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Segoe UI"/>
                            <w:color w:val="000000" w:themeColor="text1"/>
                          </w:rPr>
                          <m:t>X/S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67" w:type="dxa"/>
            <w:shd w:val="clear" w:color="auto" w:fill="auto"/>
            <w:vAlign w:val="center"/>
          </w:tcPr>
          <w:p w14:paraId="1F35C87E" w14:textId="4267CE97" w:rsidR="007F7C0F" w:rsidRPr="00A94774" w:rsidRDefault="007F7C0F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 w:rsidR="00AA2E20">
              <w:rPr>
                <w:lang w:val="en-GB"/>
              </w:rPr>
              <w:t>2</w:t>
            </w:r>
            <w:r w:rsidRPr="00A94774">
              <w:rPr>
                <w:lang w:val="en-GB"/>
              </w:rPr>
              <w:t>)</w:t>
            </w:r>
          </w:p>
        </w:tc>
      </w:tr>
    </w:tbl>
    <w:bookmarkEnd w:id="2"/>
    <w:bookmarkEnd w:id="3"/>
    <w:p w14:paraId="139074E4" w14:textId="6A531D73" w:rsidR="00EB5F83" w:rsidRDefault="00EB5F83" w:rsidP="00F036DC">
      <w:pPr>
        <w:keepNext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DAA29" wp14:editId="67AC14F1">
                <wp:simplePos x="0" y="0"/>
                <wp:positionH relativeFrom="column">
                  <wp:posOffset>43180</wp:posOffset>
                </wp:positionH>
                <wp:positionV relativeFrom="paragraph">
                  <wp:posOffset>3573780</wp:posOffset>
                </wp:positionV>
                <wp:extent cx="4431030" cy="635"/>
                <wp:effectExtent l="0" t="0" r="1270" b="12065"/>
                <wp:wrapSquare wrapText="bothSides"/>
                <wp:docPr id="2547283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EF468" w14:textId="45DA06B0" w:rsidR="00EB5F83" w:rsidRPr="003B67D5" w:rsidRDefault="00EB5F83" w:rsidP="00EB5F83">
                            <w:pPr>
                              <w:pStyle w:val="Caption"/>
                              <w:rPr>
                                <w:noProof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B829F7">
                              <w:t>Experimental-computational methodology workflow (Solid arrows = Material flows; Dashed arrows = Data flows).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DAA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4pt;margin-top:281.4pt;width:348.9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" stroked="f">
                <v:textbox style="mso-fit-shape-to-text:t" inset="0,0,0,0">
                  <w:txbxContent>
                    <w:p w14:paraId="01CEF468" w14:textId="45DA06B0" w:rsidR="00EB5F83" w:rsidRPr="003B67D5" w:rsidRDefault="00EB5F83" w:rsidP="00EB5F83">
                      <w:pPr>
                        <w:pStyle w:val="Caption"/>
                        <w:rPr>
                          <w:noProof/>
                          <w:sz w:val="20"/>
                          <w:shd w:val="clear" w:color="auto" w:fill="FFFFFF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: </w:t>
                      </w:r>
                      <w:r w:rsidRPr="00B829F7">
                        <w:t>Experimental-computational methodology workflow (Solid arrows = Material flows; Dashed arrows = Data flows).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FC32E63" wp14:editId="7E500811">
            <wp:simplePos x="0" y="0"/>
            <wp:positionH relativeFrom="column">
              <wp:posOffset>43180</wp:posOffset>
            </wp:positionH>
            <wp:positionV relativeFrom="paragraph">
              <wp:posOffset>1732280</wp:posOffset>
            </wp:positionV>
            <wp:extent cx="4431030" cy="1784350"/>
            <wp:effectExtent l="0" t="0" r="1270" b="6350"/>
            <wp:wrapSquare wrapText="bothSides"/>
            <wp:docPr id="1347927636" name="Picture 3" descr="A diagram of a subst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27636" name="Picture 3" descr="A diagram of a substance&#10;&#10;Description automatically generated with medium confidence"/>
                    <pic:cNvPicPr/>
                  </pic:nvPicPr>
                  <pic:blipFill rotWithShape="1">
                    <a:blip r:embed="rId8"/>
                    <a:srcRect l="3260" t="2440" r="1783" b="2960"/>
                    <a:stretch/>
                  </pic:blipFill>
                  <pic:spPr bwMode="auto">
                    <a:xfrm>
                      <a:off x="0" y="0"/>
                      <a:ext cx="443103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C0F">
        <w:rPr>
          <w:shd w:val="clear" w:color="auto" w:fill="FFFFFF"/>
        </w:rPr>
        <w:t>This unstructured model is predominantly employed for design and simulation of industrial bioprocesses due to its simplicity and good performance when applied to a wide range of microorganisms and environmental conditions. Previous r</w:t>
      </w:r>
      <w:r w:rsidR="007F7C0F" w:rsidRPr="00CC4691">
        <w:rPr>
          <w:shd w:val="clear" w:color="auto" w:fill="FFFFFF"/>
        </w:rPr>
        <w:t xml:space="preserve">esearch </w:t>
      </w:r>
      <w:r w:rsidR="007F7C0F">
        <w:rPr>
          <w:shd w:val="clear" w:color="auto" w:fill="FFFFFF"/>
        </w:rPr>
        <w:t>has focused</w:t>
      </w:r>
      <w:r w:rsidR="007F7C0F" w:rsidRPr="00CC4691">
        <w:rPr>
          <w:shd w:val="clear" w:color="auto" w:fill="FFFFFF"/>
        </w:rPr>
        <w:t xml:space="preserve"> </w:t>
      </w:r>
      <w:r w:rsidR="007F7C0F">
        <w:rPr>
          <w:shd w:val="clear" w:color="auto" w:fill="FFFFFF"/>
        </w:rPr>
        <w:t>on</w:t>
      </w:r>
      <w:r w:rsidR="007F7C0F" w:rsidRPr="00CC4691">
        <w:rPr>
          <w:shd w:val="clear" w:color="auto" w:fill="FFFFFF"/>
        </w:rPr>
        <w:t xml:space="preserve"> incorporating </w:t>
      </w:r>
      <w:r w:rsidR="007F7C0F">
        <w:rPr>
          <w:shd w:val="clear" w:color="auto" w:fill="FFFFFF"/>
        </w:rPr>
        <w:t xml:space="preserve">the influence of </w:t>
      </w:r>
      <w:r w:rsidR="002061CA">
        <w:rPr>
          <w:shd w:val="clear" w:color="auto" w:fill="FFFFFF"/>
        </w:rPr>
        <w:t xml:space="preserve">other </w:t>
      </w:r>
      <w:r w:rsidR="007F7C0F" w:rsidRPr="00CC4691">
        <w:rPr>
          <w:shd w:val="clear" w:color="auto" w:fill="FFFFFF"/>
        </w:rPr>
        <w:t>variables</w:t>
      </w:r>
      <w:r w:rsidR="002061CA">
        <w:rPr>
          <w:shd w:val="clear" w:color="auto" w:fill="FFFFFF"/>
        </w:rPr>
        <w:t xml:space="preserve"> into unstructured models,</w:t>
      </w:r>
      <w:r w:rsidR="007F7C0F" w:rsidRPr="00CC4691">
        <w:rPr>
          <w:shd w:val="clear" w:color="auto" w:fill="FFFFFF"/>
        </w:rPr>
        <w:t xml:space="preserve"> </w:t>
      </w:r>
      <w:r w:rsidR="002061CA">
        <w:rPr>
          <w:shd w:val="clear" w:color="auto" w:fill="FFFFFF"/>
        </w:rPr>
        <w:t>including pH and temperature</w:t>
      </w:r>
      <w:r w:rsidR="00883FA0">
        <w:rPr>
          <w:shd w:val="clear" w:color="auto" w:fill="FFFFFF"/>
        </w:rPr>
        <w:t xml:space="preserve"> </w:t>
      </w:r>
      <w:r w:rsidR="007A4743" w:rsidRPr="007A4743">
        <w:rPr>
          <w:color w:val="000000"/>
          <w:shd w:val="clear" w:color="auto" w:fill="FFFFFF"/>
        </w:rPr>
        <w:t>(Infantes et al., 2012)</w:t>
      </w:r>
      <w:r w:rsidR="002061CA">
        <w:rPr>
          <w:shd w:val="clear" w:color="auto" w:fill="FFFFFF"/>
        </w:rPr>
        <w:t xml:space="preserve">, </w:t>
      </w:r>
      <w:r w:rsidR="007F7C0F">
        <w:rPr>
          <w:shd w:val="clear" w:color="auto" w:fill="FFFFFF"/>
        </w:rPr>
        <w:t>cell maintenance</w:t>
      </w:r>
      <w:r w:rsidR="00883FA0">
        <w:rPr>
          <w:shd w:val="clear" w:color="auto" w:fill="FFFFFF"/>
        </w:rPr>
        <w:t xml:space="preserve"> </w:t>
      </w:r>
      <w:r w:rsidR="007A4743" w:rsidRPr="007A4743">
        <w:rPr>
          <w:color w:val="000000"/>
          <w:shd w:val="clear" w:color="auto" w:fill="FFFFFF"/>
        </w:rPr>
        <w:t xml:space="preserve">(van </w:t>
      </w:r>
      <w:proofErr w:type="spellStart"/>
      <w:r w:rsidR="007A4743" w:rsidRPr="007A4743">
        <w:rPr>
          <w:color w:val="000000"/>
          <w:shd w:val="clear" w:color="auto" w:fill="FFFFFF"/>
        </w:rPr>
        <w:t>Bodegom</w:t>
      </w:r>
      <w:proofErr w:type="spellEnd"/>
      <w:r w:rsidR="007A4743" w:rsidRPr="007A4743">
        <w:rPr>
          <w:color w:val="000000"/>
          <w:shd w:val="clear" w:color="auto" w:fill="FFFFFF"/>
        </w:rPr>
        <w:t>, 2007)</w:t>
      </w:r>
      <w:r w:rsidR="007F7C0F">
        <w:rPr>
          <w:shd w:val="clear" w:color="auto" w:fill="FFFFFF"/>
        </w:rPr>
        <w:t>, endogenous decay</w:t>
      </w:r>
      <w:r w:rsidR="00883FA0">
        <w:rPr>
          <w:shd w:val="clear" w:color="auto" w:fill="FFFFFF"/>
        </w:rPr>
        <w:t xml:space="preserve"> </w:t>
      </w:r>
      <w:r w:rsidR="007A4743">
        <w:t>(</w:t>
      </w:r>
      <w:proofErr w:type="spellStart"/>
      <w:r w:rsidR="007A4743">
        <w:t>Bahar</w:t>
      </w:r>
      <w:proofErr w:type="spellEnd"/>
      <w:r w:rsidR="007A4743">
        <w:t xml:space="preserve"> &amp; </w:t>
      </w:r>
      <w:proofErr w:type="spellStart"/>
      <w:r w:rsidR="007A4743">
        <w:t>Ciggin</w:t>
      </w:r>
      <w:proofErr w:type="spellEnd"/>
      <w:r w:rsidR="007A4743">
        <w:t>, 2016)</w:t>
      </w:r>
      <w:r w:rsidR="002061CA">
        <w:rPr>
          <w:shd w:val="clear" w:color="auto" w:fill="FFFFFF"/>
        </w:rPr>
        <w:t xml:space="preserve">, </w:t>
      </w:r>
      <w:r w:rsidR="007F7C0F">
        <w:rPr>
          <w:shd w:val="clear" w:color="auto" w:fill="FFFFFF"/>
        </w:rPr>
        <w:t>substrate/product inhibition</w:t>
      </w:r>
      <w:r w:rsidR="002061CA">
        <w:rPr>
          <w:shd w:val="clear" w:color="auto" w:fill="FFFFFF"/>
        </w:rPr>
        <w:t xml:space="preserve"> </w:t>
      </w:r>
      <w:r w:rsidR="007A4743" w:rsidRPr="007A4743">
        <w:rPr>
          <w:color w:val="000000"/>
          <w:shd w:val="clear" w:color="auto" w:fill="FFFFFF"/>
        </w:rPr>
        <w:t>(Tan et al., 2000)</w:t>
      </w:r>
      <w:r w:rsidR="007F7C0F">
        <w:rPr>
          <w:shd w:val="clear" w:color="auto" w:fill="FFFFFF"/>
        </w:rPr>
        <w:t>, and extending models to describe multi-substrate utilisation</w:t>
      </w:r>
      <w:r w:rsidR="00883FA0">
        <w:rPr>
          <w:shd w:val="clear" w:color="auto" w:fill="FFFFFF"/>
        </w:rPr>
        <w:t xml:space="preserve"> </w:t>
      </w:r>
      <w:r w:rsidR="007A4743" w:rsidRPr="007A4743">
        <w:rPr>
          <w:color w:val="000000"/>
          <w:shd w:val="clear" w:color="auto" w:fill="FFFFFF"/>
        </w:rPr>
        <w:t>(</w:t>
      </w:r>
      <w:proofErr w:type="spellStart"/>
      <w:r w:rsidR="007A4743" w:rsidRPr="007A4743">
        <w:rPr>
          <w:color w:val="000000"/>
          <w:shd w:val="clear" w:color="auto" w:fill="FFFFFF"/>
        </w:rPr>
        <w:t>Amrane</w:t>
      </w:r>
      <w:proofErr w:type="spellEnd"/>
      <w:r w:rsidR="007A4743" w:rsidRPr="007A4743">
        <w:rPr>
          <w:color w:val="000000"/>
          <w:shd w:val="clear" w:color="auto" w:fill="FFFFFF"/>
        </w:rPr>
        <w:t xml:space="preserve"> et al., 2005; </w:t>
      </w:r>
      <w:proofErr w:type="spellStart"/>
      <w:r w:rsidR="007A4743" w:rsidRPr="007A4743">
        <w:rPr>
          <w:color w:val="000000"/>
          <w:shd w:val="clear" w:color="auto" w:fill="FFFFFF"/>
        </w:rPr>
        <w:t>Chohji</w:t>
      </w:r>
      <w:proofErr w:type="spellEnd"/>
      <w:r w:rsidR="007A4743" w:rsidRPr="007A4743">
        <w:rPr>
          <w:color w:val="000000"/>
          <w:shd w:val="clear" w:color="auto" w:fill="FFFFFF"/>
        </w:rPr>
        <w:t xml:space="preserve"> et al., 1984)</w:t>
      </w:r>
      <w:r w:rsidR="00883FA0">
        <w:rPr>
          <w:color w:val="000000"/>
          <w:shd w:val="clear" w:color="auto" w:fill="FFFFFF"/>
        </w:rPr>
        <w:t xml:space="preserve"> </w:t>
      </w:r>
      <w:r w:rsidR="007F7C0F">
        <w:rPr>
          <w:shd w:val="clear" w:color="auto" w:fill="FFFFFF"/>
        </w:rPr>
        <w:t>and microbial co</w:t>
      </w:r>
      <w:r w:rsidR="00753DC6">
        <w:rPr>
          <w:shd w:val="clear" w:color="auto" w:fill="FFFFFF"/>
        </w:rPr>
        <w:t>nsortia</w:t>
      </w:r>
      <w:r w:rsidR="007F7C0F">
        <w:rPr>
          <w:shd w:val="clear" w:color="auto" w:fill="FFFFFF"/>
        </w:rPr>
        <w:t xml:space="preserve"> interactions </w:t>
      </w:r>
      <w:r w:rsidR="007A4743">
        <w:t>(</w:t>
      </w:r>
      <w:proofErr w:type="spellStart"/>
      <w:r w:rsidR="007A4743">
        <w:t>Hanly</w:t>
      </w:r>
      <w:proofErr w:type="spellEnd"/>
      <w:r w:rsidR="007A4743">
        <w:t xml:space="preserve"> &amp; Henson, 2013)</w:t>
      </w:r>
      <w:r w:rsidR="00753DC6">
        <w:rPr>
          <w:shd w:val="clear" w:color="auto" w:fill="FFFFFF"/>
        </w:rPr>
        <w:t xml:space="preserve">      </w:t>
      </w:r>
      <w:r w:rsidR="007F7C0F">
        <w:rPr>
          <w:shd w:val="clear" w:color="auto" w:fill="FFFFFF"/>
        </w:rPr>
        <w:t>to accurately model more complex systems</w:t>
      </w:r>
      <w:r w:rsidR="00753DC6">
        <w:rPr>
          <w:shd w:val="clear" w:color="auto" w:fill="FFFFFF"/>
        </w:rPr>
        <w:t>.</w:t>
      </w:r>
      <w:r w:rsidR="00C31B6C">
        <w:rPr>
          <w:shd w:val="clear" w:color="auto" w:fill="FFFFFF"/>
        </w:rPr>
        <w:t xml:space="preserve"> </w:t>
      </w:r>
      <w:r w:rsidR="007F7C0F">
        <w:rPr>
          <w:shd w:val="clear" w:color="auto" w:fill="FFFFFF"/>
        </w:rPr>
        <w:t>However, despite the advantages provided by unstructured models, several challenges hinder their effective implementation.</w:t>
      </w:r>
      <w:r>
        <w:rPr>
          <w:shd w:val="clear" w:color="auto" w:fill="FFFFFF"/>
        </w:rPr>
        <w:t xml:space="preserve"> </w:t>
      </w:r>
      <w:r w:rsidR="007F7C0F">
        <w:rPr>
          <w:shd w:val="clear" w:color="auto" w:fill="FFFFFF"/>
        </w:rPr>
        <w:t>Firstly, a long-standing research problem is the ability to determine unique estimates of</w:t>
      </w:r>
      <w:r>
        <w:rPr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Segoe U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Segoe UI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 w:cs="Segoe UI"/>
                <w:color w:val="000000" w:themeColor="text1"/>
              </w:rPr>
              <m:t>max</m:t>
            </m:r>
          </m:sub>
        </m:sSub>
      </m:oMath>
      <w:r w:rsidR="007A4743">
        <w:rPr>
          <w:shd w:val="clear" w:color="auto" w:fill="FFFFFF"/>
          <w:vertAlign w:val="subscript"/>
        </w:rPr>
        <w:t>,</w:t>
      </w:r>
      <w:r w:rsidR="007F7C0F">
        <w:rPr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Segoe U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Segoe UI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 w:cs="Segoe UI"/>
                <w:color w:val="000000" w:themeColor="text1"/>
              </w:rPr>
              <m:t>s</m:t>
            </m:r>
          </m:sub>
        </m:sSub>
      </m:oMath>
      <w:r w:rsidR="00810850">
        <w:rPr>
          <w:shd w:val="clear" w:color="auto" w:fill="FFFFFF"/>
        </w:rPr>
        <w:t>,</w:t>
      </w:r>
      <w:r w:rsidR="007F7C0F">
        <w:rPr>
          <w:shd w:val="clear" w:color="auto" w:fill="FFFFFF"/>
          <w:vertAlign w:val="subscript"/>
        </w:rPr>
        <w:softHyphen/>
      </w:r>
      <w:r w:rsidR="007F7C0F">
        <w:rPr>
          <w:shd w:val="clear" w:color="auto" w:fill="FFFFFF"/>
        </w:rPr>
        <w:t xml:space="preserve"> </w:t>
      </w:r>
      <w:r w:rsidR="007A4743">
        <w:rPr>
          <w:shd w:val="clear" w:color="auto" w:fill="FFFFFF"/>
        </w:rPr>
        <w:t xml:space="preserve">and </w:t>
      </w:r>
      <m:oMath>
        <m:sSub>
          <m:sSubPr>
            <m:ctrlPr>
              <w:rPr>
                <w:rFonts w:ascii="Cambria Math" w:hAnsi="Cambria Math" w:cs="Segoe U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Segoe UI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 w:cs="Segoe UI"/>
                <w:color w:val="000000" w:themeColor="text1"/>
              </w:rPr>
              <m:t>X/S</m:t>
            </m:r>
          </m:sub>
        </m:sSub>
      </m:oMath>
      <w:r w:rsidR="007A4743">
        <w:rPr>
          <w:shd w:val="clear" w:color="auto" w:fill="FFFFFF"/>
        </w:rPr>
        <w:t xml:space="preserve"> </w:t>
      </w:r>
      <w:r w:rsidR="007F7C0F">
        <w:rPr>
          <w:shd w:val="clear" w:color="auto" w:fill="FFFFFF"/>
        </w:rPr>
        <w:t xml:space="preserve">parameters. </w:t>
      </w:r>
      <w:r w:rsidR="00E13072">
        <w:rPr>
          <w:shd w:val="clear" w:color="auto" w:fill="FFFFFF"/>
        </w:rPr>
        <w:t>A</w:t>
      </w:r>
      <w:r w:rsidR="00C31B6C">
        <w:rPr>
          <w:shd w:val="clear" w:color="auto" w:fill="FFFFFF"/>
        </w:rPr>
        <w:t xml:space="preserve">n excellent </w:t>
      </w:r>
      <w:r w:rsidR="007F7C0F">
        <w:rPr>
          <w:shd w:val="clear" w:color="auto" w:fill="FFFFFF"/>
        </w:rPr>
        <w:t xml:space="preserve">review by </w:t>
      </w:r>
      <w:proofErr w:type="spellStart"/>
      <w:r w:rsidR="007A4743">
        <w:t>Kovárova</w:t>
      </w:r>
      <w:proofErr w:type="spellEnd"/>
      <w:r w:rsidR="007A4743">
        <w:t xml:space="preserve">́-Kovar &amp; </w:t>
      </w:r>
      <w:proofErr w:type="spellStart"/>
      <w:r w:rsidR="007A4743">
        <w:t>Egli</w:t>
      </w:r>
      <w:proofErr w:type="spellEnd"/>
      <w:r w:rsidR="009A688F">
        <w:t xml:space="preserve"> (</w:t>
      </w:r>
      <w:r w:rsidR="007A4743">
        <w:t>1998)</w:t>
      </w:r>
      <w:r w:rsidR="007F7C0F">
        <w:rPr>
          <w:shd w:val="clear" w:color="auto" w:fill="FFFFFF"/>
        </w:rPr>
        <w:t xml:space="preserve"> highlighted how </w:t>
      </w:r>
      <w:r w:rsidR="00BA6088">
        <w:rPr>
          <w:shd w:val="clear" w:color="auto" w:fill="FFFFFF"/>
        </w:rPr>
        <w:t>parameter</w:t>
      </w:r>
      <w:r w:rsidR="007F7C0F">
        <w:rPr>
          <w:shd w:val="clear" w:color="auto" w:fill="FFFFFF"/>
        </w:rPr>
        <w:t xml:space="preserve"> estimates</w:t>
      </w:r>
      <w:r w:rsidR="00BA6088">
        <w:rPr>
          <w:shd w:val="clear" w:color="auto" w:fill="FFFFFF"/>
        </w:rPr>
        <w:t xml:space="preserve"> with high goodness-of-fit</w:t>
      </w:r>
      <w:r w:rsidR="007F7C0F">
        <w:rPr>
          <w:shd w:val="clear" w:color="auto" w:fill="FFFFFF"/>
        </w:rPr>
        <w:t xml:space="preserve"> from E. coli growth</w:t>
      </w:r>
    </w:p>
    <w:p w14:paraId="4E3E86BE" w14:textId="77F43F00" w:rsidR="003822C6" w:rsidRPr="00F036DC" w:rsidRDefault="007F7C0F" w:rsidP="00F036DC">
      <w:pPr>
        <w:keepNext/>
        <w:rPr>
          <w:shd w:val="clear" w:color="auto" w:fill="FFFFFF"/>
        </w:rPr>
      </w:pPr>
      <w:r>
        <w:rPr>
          <w:shd w:val="clear" w:color="auto" w:fill="FFFFFF"/>
        </w:rPr>
        <w:t>experiments varied greatly between different publications, the result of differing experimental designs and parameter estimation methods.</w:t>
      </w:r>
      <w:r w:rsidR="00EB5F83">
        <w:rPr>
          <w:shd w:val="clear" w:color="auto" w:fill="FFFFFF"/>
        </w:rPr>
        <w:t xml:space="preserve"> </w:t>
      </w:r>
      <w:r>
        <w:rPr>
          <w:shd w:val="clear" w:color="auto" w:fill="FFFFFF"/>
        </w:rPr>
        <w:t>Furthermore, a</w:t>
      </w:r>
      <w:r w:rsidR="007A4743">
        <w:rPr>
          <w:shd w:val="clear" w:color="auto" w:fill="FFFFFF"/>
        </w:rPr>
        <w:t xml:space="preserve"> ubiquitous</w:t>
      </w:r>
      <w:r w:rsidR="00F036DC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method for reliably obtaining uncorrelated estimates of </w:t>
      </w:r>
      <m:oMath>
        <m:sSub>
          <m:sSubPr>
            <m:ctrlPr>
              <w:rPr>
                <w:rFonts w:ascii="Cambria Math" w:hAnsi="Cambria Math" w:cs="Segoe U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Segoe UI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 w:cs="Segoe UI"/>
                <w:color w:val="000000" w:themeColor="text1"/>
              </w:rPr>
              <m:t>max</m:t>
            </m:r>
          </m:sub>
        </m:sSub>
      </m:oMath>
      <w:r>
        <w:rPr>
          <w:shd w:val="clear" w:color="auto" w:fill="FFFFFF"/>
          <w:vertAlign w:val="subscript"/>
        </w:rPr>
        <w:t xml:space="preserve"> </w:t>
      </w:r>
      <w:r>
        <w:rPr>
          <w:shd w:val="clear" w:color="auto" w:fill="FFFFFF"/>
        </w:rPr>
        <w:t xml:space="preserve">and </w:t>
      </w:r>
      <m:oMath>
        <m:sSub>
          <m:sSubPr>
            <m:ctrlPr>
              <w:rPr>
                <w:rFonts w:ascii="Cambria Math" w:hAnsi="Cambria Math" w:cs="Segoe U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Segoe UI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 w:cs="Segoe UI"/>
                <w:color w:val="000000" w:themeColor="text1"/>
              </w:rPr>
              <m:t>s</m:t>
            </m:r>
          </m:sub>
        </m:sSub>
      </m:oMath>
      <w:r>
        <w:rPr>
          <w:shd w:val="clear" w:color="auto" w:fill="FFFFFF"/>
          <w:vertAlign w:val="subscript"/>
        </w:rPr>
        <w:t xml:space="preserve"> </w:t>
      </w:r>
      <w:r>
        <w:rPr>
          <w:shd w:val="clear" w:color="auto" w:fill="FFFFFF"/>
        </w:rPr>
        <w:t xml:space="preserve">has not yet been </w:t>
      </w:r>
      <w:r w:rsidR="007A4743">
        <w:rPr>
          <w:shd w:val="clear" w:color="auto" w:fill="FFFFFF"/>
        </w:rPr>
        <w:t xml:space="preserve">developed </w:t>
      </w:r>
      <w:r w:rsidR="007A4743">
        <w:t xml:space="preserve">(Liu &amp; </w:t>
      </w:r>
      <w:proofErr w:type="spellStart"/>
      <w:r w:rsidR="007A4743">
        <w:t>Zachara</w:t>
      </w:r>
      <w:proofErr w:type="spellEnd"/>
      <w:r w:rsidR="007A4743">
        <w:t>, 2001)</w:t>
      </w:r>
      <w:r w:rsidR="007A4743">
        <w:rPr>
          <w:shd w:val="clear" w:color="auto" w:fill="FFFFFF"/>
        </w:rPr>
        <w:t>.</w:t>
      </w:r>
      <w:r w:rsidR="00F036DC">
        <w:rPr>
          <w:shd w:val="clear" w:color="auto" w:fill="FFFFFF"/>
        </w:rPr>
        <w:t xml:space="preserve"> </w:t>
      </w:r>
      <w:r w:rsidR="00AA2E20">
        <w:rPr>
          <w:shd w:val="clear" w:color="auto" w:fill="FFFFFF"/>
        </w:rPr>
        <w:t>Furthermore, despite</w:t>
      </w:r>
      <w:r w:rsidR="004929EA">
        <w:rPr>
          <w:shd w:val="clear" w:color="auto" w:fill="FFFFFF"/>
        </w:rPr>
        <w:t xml:space="preserve"> their relevance to sustainable bioprocess</w:t>
      </w:r>
      <w:r w:rsidR="004A0B73">
        <w:rPr>
          <w:shd w:val="clear" w:color="auto" w:fill="FFFFFF"/>
        </w:rPr>
        <w:t>es</w:t>
      </w:r>
      <w:r w:rsidR="004929EA">
        <w:rPr>
          <w:shd w:val="clear" w:color="auto" w:fill="FFFFFF"/>
        </w:rPr>
        <w:t xml:space="preserve"> us</w:t>
      </w:r>
      <w:r w:rsidR="004A0B73">
        <w:rPr>
          <w:shd w:val="clear" w:color="auto" w:fill="FFFFFF"/>
        </w:rPr>
        <w:t>ing</w:t>
      </w:r>
      <w:r w:rsidR="004929EA">
        <w:rPr>
          <w:shd w:val="clear" w:color="auto" w:fill="FFFFFF"/>
        </w:rPr>
        <w:t xml:space="preserve"> complex sugar feedstocks, the development of rigorous unstructured multi-substrate models remains relatively underexplored compared to structured modelling approaches such as flux balance</w:t>
      </w:r>
      <w:r w:rsidR="007A4743">
        <w:rPr>
          <w:shd w:val="clear" w:color="auto" w:fill="FFFFFF"/>
        </w:rPr>
        <w:t xml:space="preserve"> analysis</w:t>
      </w:r>
      <w:r w:rsidR="004929EA">
        <w:rPr>
          <w:shd w:val="clear" w:color="auto" w:fill="FFFFFF"/>
        </w:rPr>
        <w:t xml:space="preserve">, the development of which </w:t>
      </w:r>
      <w:r w:rsidR="007A4743">
        <w:rPr>
          <w:shd w:val="clear" w:color="auto" w:fill="FFFFFF"/>
        </w:rPr>
        <w:t>can be</w:t>
      </w:r>
      <w:r w:rsidR="004929EA">
        <w:rPr>
          <w:shd w:val="clear" w:color="auto" w:fill="FFFFFF"/>
        </w:rPr>
        <w:t xml:space="preserve"> experimentally expensive and highly strain-dependent and therefore not always generalisable</w:t>
      </w:r>
      <w:r w:rsidR="007A4743">
        <w:rPr>
          <w:shd w:val="clear" w:color="auto" w:fill="FFFFFF"/>
        </w:rPr>
        <w:t xml:space="preserve"> across processes </w:t>
      </w:r>
      <w:r w:rsidR="007A4743" w:rsidRPr="007A4743">
        <w:rPr>
          <w:color w:val="000000"/>
          <w:shd w:val="clear" w:color="auto" w:fill="FFFFFF"/>
        </w:rPr>
        <w:t>(</w:t>
      </w:r>
      <w:proofErr w:type="spellStart"/>
      <w:r w:rsidR="007A4743" w:rsidRPr="007A4743">
        <w:rPr>
          <w:color w:val="000000"/>
          <w:shd w:val="clear" w:color="auto" w:fill="FFFFFF"/>
        </w:rPr>
        <w:t>Qiu</w:t>
      </w:r>
      <w:proofErr w:type="spellEnd"/>
      <w:r w:rsidR="007A4743" w:rsidRPr="007A4743">
        <w:rPr>
          <w:color w:val="000000"/>
          <w:shd w:val="clear" w:color="auto" w:fill="FFFFFF"/>
        </w:rPr>
        <w:t xml:space="preserve"> et al., 2023)</w:t>
      </w:r>
      <w:r w:rsidR="007A4743">
        <w:rPr>
          <w:color w:val="000000"/>
          <w:shd w:val="clear" w:color="auto" w:fill="FFFFFF"/>
        </w:rPr>
        <w:t>.</w:t>
      </w:r>
      <w:r w:rsidR="007A4743">
        <w:rPr>
          <w:b/>
          <w:bCs/>
          <w:shd w:val="clear" w:color="auto" w:fill="FFFFFF"/>
        </w:rPr>
        <w:t xml:space="preserve"> </w:t>
      </w:r>
      <w:r w:rsidR="009A688F">
        <w:rPr>
          <w:shd w:val="clear" w:color="auto" w:fill="FFFFFF"/>
        </w:rPr>
        <w:t>Recent</w:t>
      </w:r>
      <w:r w:rsidR="004A0B73">
        <w:rPr>
          <w:shd w:val="clear" w:color="auto" w:fill="FFFFFF"/>
        </w:rPr>
        <w:t xml:space="preserve"> work by </w:t>
      </w:r>
      <w:r w:rsidR="007A4743" w:rsidRPr="007A4743">
        <w:rPr>
          <w:color w:val="000000"/>
          <w:shd w:val="clear" w:color="auto" w:fill="FFFFFF"/>
        </w:rPr>
        <w:t xml:space="preserve">Manheim et al. </w:t>
      </w:r>
      <w:r w:rsidR="009A688F">
        <w:rPr>
          <w:color w:val="000000"/>
          <w:shd w:val="clear" w:color="auto" w:fill="FFFFFF"/>
        </w:rPr>
        <w:t>(</w:t>
      </w:r>
      <w:r w:rsidR="007A4743" w:rsidRPr="007A4743">
        <w:rPr>
          <w:color w:val="000000"/>
          <w:shd w:val="clear" w:color="auto" w:fill="FFFFFF"/>
        </w:rPr>
        <w:t>2019)</w:t>
      </w:r>
      <w:r w:rsidR="004A0B73">
        <w:rPr>
          <w:shd w:val="clear" w:color="auto" w:fill="FFFFFF"/>
        </w:rPr>
        <w:t xml:space="preserve"> </w:t>
      </w:r>
      <w:r w:rsidR="004929EA">
        <w:rPr>
          <w:shd w:val="clear" w:color="auto" w:fill="FFFFFF"/>
        </w:rPr>
        <w:t xml:space="preserve">in </w:t>
      </w:r>
      <w:r w:rsidR="003C15A1">
        <w:rPr>
          <w:shd w:val="clear" w:color="auto" w:fill="FFFFFF"/>
        </w:rPr>
        <w:t>unstructured modelling</w:t>
      </w:r>
      <w:r w:rsidR="004929EA">
        <w:rPr>
          <w:shd w:val="clear" w:color="auto" w:fill="FFFFFF"/>
        </w:rPr>
        <w:t xml:space="preserve"> of microbial kinetics have attempted to create a generalised methodology for </w:t>
      </w:r>
      <w:r w:rsidR="003C15A1">
        <w:rPr>
          <w:shd w:val="clear" w:color="auto" w:fill="FFFFFF"/>
        </w:rPr>
        <w:t xml:space="preserve">parameter </w:t>
      </w:r>
      <w:r w:rsidR="004A0B73">
        <w:rPr>
          <w:shd w:val="clear" w:color="auto" w:fill="FFFFFF"/>
        </w:rPr>
        <w:t>estimation and</w:t>
      </w:r>
      <w:r w:rsidR="003C15A1">
        <w:rPr>
          <w:shd w:val="clear" w:color="auto" w:fill="FFFFFF"/>
        </w:rPr>
        <w:t xml:space="preserve"> have demonstrated </w:t>
      </w:r>
      <w:r w:rsidR="004A0B73">
        <w:rPr>
          <w:shd w:val="clear" w:color="auto" w:fill="FFFFFF"/>
        </w:rPr>
        <w:t>improved accuracy, predictive capacity and lower estimator bias when utilising global non-linear regression routines, particularly when employing metaheuristic optimisation algorithms (e.g. particle swarm optimisation), compared to local non-linear regression. However, only single-substrate models were investigated using this approach, leaving scope for future work exploring multi-substrate systems of key relevance to</w:t>
      </w:r>
      <w:r w:rsidR="00AE5702">
        <w:rPr>
          <w:shd w:val="clear" w:color="auto" w:fill="FFFFFF"/>
        </w:rPr>
        <w:t xml:space="preserve"> waste-recovery fermentation</w:t>
      </w:r>
      <w:r w:rsidR="004A0B73">
        <w:rPr>
          <w:shd w:val="clear" w:color="auto" w:fill="FFFFFF"/>
        </w:rPr>
        <w:t xml:space="preserve"> processes.</w:t>
      </w:r>
    </w:p>
    <w:p w14:paraId="4C77187D" w14:textId="3E0CCAE9" w:rsidR="005D5D91" w:rsidRPr="005D5D91" w:rsidRDefault="005D5D91" w:rsidP="005D5D91">
      <w:pPr>
        <w:pStyle w:val="Els-2ndorder-head"/>
      </w:pPr>
      <w:r>
        <w:t>Extension of parameter estimation methodology towards multi-substrate biokinetic models of microbial protein production from lignocellulosic hydrolysates</w:t>
      </w:r>
    </w:p>
    <w:p w14:paraId="13ACBB16" w14:textId="5E04FFD9" w:rsidR="003822C6" w:rsidRPr="00EB5F83" w:rsidRDefault="0052285A" w:rsidP="003822C6">
      <w:pPr>
        <w:keepNext/>
        <w:rPr>
          <w:noProof/>
          <w:shd w:val="clear" w:color="auto" w:fill="FFFFFF"/>
        </w:rPr>
      </w:pPr>
      <w:r>
        <w:rPr>
          <w:shd w:val="clear" w:color="auto" w:fill="FFFFFF"/>
        </w:rPr>
        <w:t>This</w:t>
      </w:r>
      <w:r w:rsidR="004A0B73">
        <w:rPr>
          <w:shd w:val="clear" w:color="auto" w:fill="FFFFFF"/>
        </w:rPr>
        <w:t xml:space="preserve"> work aims to expand upon research</w:t>
      </w:r>
      <w:r w:rsidR="00AE5702">
        <w:rPr>
          <w:shd w:val="clear" w:color="auto" w:fill="FFFFFF"/>
        </w:rPr>
        <w:t xml:space="preserve"> efforts</w:t>
      </w:r>
      <w:r w:rsidR="004A0B73">
        <w:rPr>
          <w:shd w:val="clear" w:color="auto" w:fill="FFFFFF"/>
        </w:rPr>
        <w:t xml:space="preserve"> into </w:t>
      </w:r>
      <w:r w:rsidR="0088273D">
        <w:rPr>
          <w:shd w:val="clear" w:color="auto" w:fill="FFFFFF"/>
        </w:rPr>
        <w:t>accurate and precise parameter estimation techniques towards predictive modelling of multi-substrate systems</w:t>
      </w:r>
      <w:r w:rsidR="003B1243">
        <w:rPr>
          <w:shd w:val="clear" w:color="auto" w:fill="FFFFFF"/>
        </w:rPr>
        <w:t>. Our specific focus is to</w:t>
      </w:r>
      <w:r w:rsidR="003B1243" w:rsidRPr="002E7896">
        <w:rPr>
          <w:bCs/>
          <w:szCs w:val="16"/>
        </w:rPr>
        <w:t xml:space="preserve"> develop high fidelity mathematical models that describe the fermentation kinetics underpinning the conversion of </w:t>
      </w:r>
      <w:r w:rsidR="003B1243">
        <w:rPr>
          <w:bCs/>
          <w:szCs w:val="16"/>
        </w:rPr>
        <w:t xml:space="preserve">synthetic lignocellulosic hydrolysate </w:t>
      </w:r>
      <w:r w:rsidR="00274AE6">
        <w:rPr>
          <w:bCs/>
          <w:szCs w:val="16"/>
        </w:rPr>
        <w:t xml:space="preserve">(containing primary monomeric sugars D-glucose and D-xylose) </w:t>
      </w:r>
      <w:r w:rsidR="003B1243" w:rsidRPr="002E7896">
        <w:rPr>
          <w:bCs/>
          <w:szCs w:val="16"/>
        </w:rPr>
        <w:t xml:space="preserve">to mycoprotein using generally recognised as safe (GRAS) certified fungal strain </w:t>
      </w:r>
      <w:r w:rsidR="003B1243" w:rsidRPr="002E7896">
        <w:rPr>
          <w:bCs/>
          <w:i/>
          <w:iCs/>
          <w:szCs w:val="16"/>
        </w:rPr>
        <w:t xml:space="preserve">Fusarium venenatum </w:t>
      </w:r>
      <w:r w:rsidR="003B1243" w:rsidRPr="00016B83">
        <w:rPr>
          <w:bCs/>
          <w:szCs w:val="16"/>
        </w:rPr>
        <w:t>A3/5</w:t>
      </w:r>
      <w:r w:rsidR="003B1243" w:rsidRPr="002E7896">
        <w:rPr>
          <w:bCs/>
          <w:szCs w:val="16"/>
        </w:rPr>
        <w:t xml:space="preserve">. </w:t>
      </w:r>
      <w:r w:rsidR="00AE5702">
        <w:rPr>
          <w:bCs/>
          <w:szCs w:val="16"/>
        </w:rPr>
        <w:t>To achieve this, w</w:t>
      </w:r>
      <w:r w:rsidR="003B1243" w:rsidRPr="002E7896">
        <w:rPr>
          <w:bCs/>
          <w:szCs w:val="16"/>
        </w:rPr>
        <w:t xml:space="preserve">e have </w:t>
      </w:r>
      <w:r w:rsidR="003B1243">
        <w:rPr>
          <w:bCs/>
          <w:szCs w:val="16"/>
        </w:rPr>
        <w:t>implemented</w:t>
      </w:r>
      <w:r w:rsidR="003B1243" w:rsidRPr="002E7896">
        <w:rPr>
          <w:bCs/>
          <w:szCs w:val="16"/>
        </w:rPr>
        <w:t xml:space="preserve"> a hybrid experimental-computational methodology for </w:t>
      </w:r>
      <w:r w:rsidR="003B1243">
        <w:rPr>
          <w:bCs/>
          <w:szCs w:val="16"/>
        </w:rPr>
        <w:t>high-throughput</w:t>
      </w:r>
      <w:r w:rsidR="003B1243" w:rsidRPr="002E7896">
        <w:rPr>
          <w:bCs/>
          <w:szCs w:val="16"/>
        </w:rPr>
        <w:t xml:space="preserve"> screening of </w:t>
      </w:r>
      <w:r w:rsidR="003B1243">
        <w:rPr>
          <w:bCs/>
          <w:szCs w:val="16"/>
        </w:rPr>
        <w:t>biomass and</w:t>
      </w:r>
      <w:r w:rsidR="00EB5F83">
        <w:rPr>
          <w:bCs/>
          <w:szCs w:val="16"/>
        </w:rPr>
        <w:t xml:space="preserve"> </w:t>
      </w:r>
      <w:r w:rsidR="003B1243">
        <w:rPr>
          <w:bCs/>
          <w:szCs w:val="16"/>
        </w:rPr>
        <w:t xml:space="preserve">substrate/by-product time-series profiles through on-line </w:t>
      </w:r>
      <w:r w:rsidR="003B1243" w:rsidRPr="002E7896">
        <w:rPr>
          <w:bCs/>
          <w:szCs w:val="16"/>
        </w:rPr>
        <w:t>absorbance spectroscop</w:t>
      </w:r>
      <w:r w:rsidR="003B1243">
        <w:rPr>
          <w:bCs/>
          <w:szCs w:val="16"/>
        </w:rPr>
        <w:t>y and off-line high performance liquid chromatography (HPLC) analysis respectively.</w:t>
      </w:r>
    </w:p>
    <w:p w14:paraId="764743C4" w14:textId="7D385D95" w:rsidR="00935CD5" w:rsidRDefault="00935CD5" w:rsidP="00935CD5">
      <w:pPr>
        <w:pStyle w:val="Els-1storder-head"/>
      </w:pPr>
      <w:r>
        <w:t>Materials and Method</w:t>
      </w:r>
      <w:r w:rsidR="00737591">
        <w:t>s</w:t>
      </w:r>
    </w:p>
    <w:p w14:paraId="36E3B51F" w14:textId="653ACEDF" w:rsidR="00935CD5" w:rsidRPr="00935CD5" w:rsidRDefault="00935CD5" w:rsidP="00935CD5">
      <w:pPr>
        <w:pStyle w:val="Els-2ndorder-head"/>
      </w:pPr>
      <w:r>
        <w:t>Biokinetic model parameter estimation methodology and experimental design</w:t>
      </w:r>
    </w:p>
    <w:p w14:paraId="3A756CA7" w14:textId="172BB10F" w:rsidR="003822C6" w:rsidRDefault="003B1243" w:rsidP="003B1243">
      <w:pPr>
        <w:rPr>
          <w:bCs/>
          <w:szCs w:val="16"/>
        </w:rPr>
      </w:pPr>
      <w:r>
        <w:rPr>
          <w:bCs/>
          <w:szCs w:val="16"/>
        </w:rPr>
        <w:t>Experimental data will be used within a parameter estimation framework applied to an array of candidate unstructured biokinetic models describing</w:t>
      </w:r>
      <w:r w:rsidR="004616DB">
        <w:rPr>
          <w:bCs/>
          <w:szCs w:val="16"/>
        </w:rPr>
        <w:t xml:space="preserve"> dual</w:t>
      </w:r>
      <w:r>
        <w:rPr>
          <w:bCs/>
          <w:szCs w:val="16"/>
        </w:rPr>
        <w:t>-substrate depletion</w:t>
      </w:r>
    </w:p>
    <w:p w14:paraId="6506E94C" w14:textId="2BEBE487" w:rsidR="004616DB" w:rsidRDefault="003B1243" w:rsidP="003B1243">
      <w:pPr>
        <w:rPr>
          <w:bCs/>
          <w:szCs w:val="16"/>
        </w:rPr>
      </w:pPr>
      <w:r>
        <w:rPr>
          <w:bCs/>
          <w:szCs w:val="16"/>
        </w:rPr>
        <w:t>and biomass growth</w:t>
      </w:r>
      <w:r w:rsidR="004616DB">
        <w:rPr>
          <w:bCs/>
          <w:szCs w:val="16"/>
        </w:rPr>
        <w:t>. One</w:t>
      </w:r>
      <w:r w:rsidR="00081AD2">
        <w:rPr>
          <w:bCs/>
          <w:szCs w:val="16"/>
        </w:rPr>
        <w:t xml:space="preserve"> example </w:t>
      </w:r>
      <w:r w:rsidR="004616DB">
        <w:rPr>
          <w:bCs/>
          <w:szCs w:val="16"/>
        </w:rPr>
        <w:t xml:space="preserve">system is </w:t>
      </w:r>
      <w:r w:rsidR="00081AD2">
        <w:rPr>
          <w:bCs/>
          <w:szCs w:val="16"/>
        </w:rPr>
        <w:t>given by Eq</w:t>
      </w:r>
      <w:r w:rsidR="004616DB">
        <w:rPr>
          <w:bCs/>
          <w:szCs w:val="16"/>
        </w:rPr>
        <w:t>. (</w:t>
      </w:r>
      <w:r w:rsidR="00027D03">
        <w:rPr>
          <w:bCs/>
          <w:szCs w:val="16"/>
        </w:rPr>
        <w:t>3-4</w:t>
      </w:r>
      <w:r w:rsidR="004616DB">
        <w:rPr>
          <w:bCs/>
          <w:szCs w:val="16"/>
        </w:rPr>
        <w:t>), which models consumption of substrates through semi-independent metabolic pathways using distinct growth parameters for each substrate, including</w:t>
      </w:r>
      <w:r w:rsidR="00081AD2">
        <w:rPr>
          <w:bCs/>
          <w:szCs w:val="16"/>
        </w:rPr>
        <w:t xml:space="preserve"> </w:t>
      </w:r>
      <w:r w:rsidR="004616DB">
        <w:rPr>
          <w:bCs/>
          <w:szCs w:val="16"/>
        </w:rPr>
        <w:t xml:space="preserve">constants </w:t>
      </w:r>
      <m:oMath>
        <m:sSub>
          <m:sSubPr>
            <m:ctrlPr>
              <w:rPr>
                <w:rFonts w:ascii="Cambria Math" w:hAnsi="Cambria Math" w:cs="Segoe UI"/>
                <w:i/>
                <w:color w:val="343541"/>
              </w:rPr>
            </m:ctrlPr>
          </m:sSubPr>
          <m:e>
            <m:r>
              <w:rPr>
                <w:rFonts w:ascii="Cambria Math" w:hAnsi="Cambria Math" w:cs="Segoe UI"/>
                <w:color w:val="343541"/>
              </w:rPr>
              <m:t>k</m:t>
            </m:r>
          </m:e>
          <m:sub>
            <m:r>
              <w:rPr>
                <w:rFonts w:ascii="Cambria Math" w:hAnsi="Cambria Math" w:cs="Segoe UI"/>
                <w:color w:val="343541"/>
              </w:rPr>
              <m:t>s1</m:t>
            </m:r>
          </m:sub>
        </m:sSub>
      </m:oMath>
      <w:r w:rsidR="004616DB">
        <w:rPr>
          <w:bCs/>
          <w:szCs w:val="16"/>
          <w:vertAlign w:val="subscript"/>
        </w:rPr>
        <w:t xml:space="preserve"> </w:t>
      </w:r>
      <w:r w:rsidR="004616DB">
        <w:rPr>
          <w:bCs/>
          <w:szCs w:val="16"/>
        </w:rPr>
        <w:t xml:space="preserve">and </w:t>
      </w:r>
      <m:oMath>
        <m:sSub>
          <m:sSubPr>
            <m:ctrlPr>
              <w:rPr>
                <w:rFonts w:ascii="Cambria Math" w:hAnsi="Cambria Math" w:cs="Segoe UI"/>
                <w:i/>
                <w:color w:val="343541"/>
              </w:rPr>
            </m:ctrlPr>
          </m:sSubPr>
          <m:e>
            <m:r>
              <w:rPr>
                <w:rFonts w:ascii="Cambria Math" w:hAnsi="Cambria Math" w:cs="Segoe UI"/>
                <w:color w:val="343541"/>
              </w:rPr>
              <m:t>k</m:t>
            </m:r>
          </m:e>
          <m:sub>
            <m:r>
              <w:rPr>
                <w:rFonts w:ascii="Cambria Math" w:hAnsi="Cambria Math" w:cs="Segoe UI"/>
                <w:color w:val="343541"/>
              </w:rPr>
              <m:t>s2</m:t>
            </m:r>
          </m:sub>
        </m:sSub>
      </m:oMath>
      <w:r w:rsidR="004616DB">
        <w:rPr>
          <w:bCs/>
          <w:szCs w:val="16"/>
        </w:rPr>
        <w:t xml:space="preserve"> </w:t>
      </w:r>
      <w:r w:rsidR="00081AD2" w:rsidRPr="004616DB">
        <w:rPr>
          <w:bCs/>
          <w:szCs w:val="16"/>
        </w:rPr>
        <w:t>to</w:t>
      </w:r>
      <w:r w:rsidR="00081AD2">
        <w:rPr>
          <w:bCs/>
          <w:szCs w:val="16"/>
        </w:rPr>
        <w:t xml:space="preserve"> capture </w:t>
      </w:r>
      <w:r w:rsidR="004616DB">
        <w:rPr>
          <w:bCs/>
          <w:szCs w:val="16"/>
        </w:rPr>
        <w:t>transcriptom</w:t>
      </w:r>
      <w:r w:rsidR="00B73911">
        <w:rPr>
          <w:bCs/>
          <w:szCs w:val="16"/>
        </w:rPr>
        <w:t>ic</w:t>
      </w:r>
      <w:r w:rsidR="004616DB">
        <w:rPr>
          <w:bCs/>
          <w:szCs w:val="16"/>
        </w:rPr>
        <w:t xml:space="preserve"> inhibition </w:t>
      </w:r>
      <w:r w:rsidR="00081AD2">
        <w:rPr>
          <w:bCs/>
          <w:szCs w:val="16"/>
        </w:rPr>
        <w:t>effects</w:t>
      </w:r>
      <w:r w:rsidR="004616DB">
        <w:rPr>
          <w:bCs/>
          <w:szCs w:val="16"/>
        </w:rPr>
        <w:t xml:space="preserve"> of substrate pairs</w:t>
      </w:r>
      <w:r w:rsidR="00081AD2">
        <w:rPr>
          <w:bCs/>
          <w:szCs w:val="16"/>
        </w:rPr>
        <w:t xml:space="preserve"> such as</w:t>
      </w:r>
      <w:r w:rsidR="004616DB">
        <w:rPr>
          <w:bCs/>
          <w:szCs w:val="16"/>
        </w:rPr>
        <w:t xml:space="preserve"> carbon catabolite repression.</w:t>
      </w:r>
    </w:p>
    <w:tbl>
      <w:tblPr>
        <w:tblStyle w:val="TableGrid"/>
        <w:tblW w:w="7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1419"/>
      </w:tblGrid>
      <w:tr w:rsidR="004616DB" w14:paraId="50E43831" w14:textId="77777777" w:rsidTr="00C2003F">
        <w:trPr>
          <w:trHeight w:val="720"/>
        </w:trPr>
        <w:tc>
          <w:tcPr>
            <w:tcW w:w="5670" w:type="dxa"/>
            <w:vAlign w:val="center"/>
          </w:tcPr>
          <w:p w14:paraId="2BAC95CD" w14:textId="1CD2ADB3" w:rsidR="004616DB" w:rsidRPr="006B17FD" w:rsidRDefault="004616DB" w:rsidP="00A53C8E">
            <w:pPr>
              <w:rPr>
                <w:color w:val="343541"/>
              </w:rPr>
            </w:pPr>
            <m:oMath>
              <m:sSub>
                <m:sSub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sSubPr>
                <m:e>
                  <m:r>
                    <w:rPr>
                      <w:rFonts w:ascii="Cambria Math" w:hAnsi="Cambria Math" w:cs="Segoe UI"/>
                      <w:color w:val="343541"/>
                    </w:rPr>
                    <m:t>μ</m:t>
                  </m:r>
                </m:e>
                <m:sub>
                  <m:r>
                    <w:rPr>
                      <w:rFonts w:ascii="Cambria Math" w:hAnsi="Cambria Math" w:cs="Segoe UI"/>
                      <w:color w:val="343541"/>
                    </w:rPr>
                    <m:t>1</m:t>
                  </m:r>
                </m:sub>
              </m:sSub>
              <m:r>
                <w:rPr>
                  <w:rFonts w:ascii="Cambria Math" w:hAnsi="Cambria Math" w:cs="Segoe UI"/>
                  <w:color w:val="343541"/>
                </w:rPr>
                <m:t>=</m:t>
              </m:r>
              <m:sSub>
                <m:sSub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sSubPr>
                <m:e>
                  <m:r>
                    <w:rPr>
                      <w:rFonts w:ascii="Cambria Math" w:hAnsi="Cambria Math" w:cs="Segoe UI"/>
                      <w:color w:val="343541"/>
                    </w:rPr>
                    <m:t>μ</m:t>
                  </m:r>
                </m:e>
                <m:sub>
                  <m:r>
                    <w:rPr>
                      <w:rFonts w:ascii="Cambria Math" w:hAnsi="Cambria Math" w:cs="Segoe UI"/>
                      <w:color w:val="343541"/>
                    </w:rPr>
                    <m:t>max,1</m:t>
                  </m:r>
                </m:sub>
              </m:sSub>
              <m:f>
                <m:f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Segoe UI"/>
                      <w:color w:val="343541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s1</m:t>
                      </m:r>
                    </m:sub>
                  </m:sSub>
                  <m:r>
                    <w:rPr>
                      <w:rFonts w:ascii="Cambria Math" w:hAnsi="Cambria Math" w:cs="Segoe UI"/>
                      <w:color w:val="343541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s2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Segoe UI"/>
                  <w:color w:val="343541"/>
                </w:rPr>
                <m:t xml:space="preserve">          </m:t>
              </m:r>
              <m:sSub>
                <m:sSub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sSubPr>
                <m:e>
                  <m:r>
                    <w:rPr>
                      <w:rFonts w:ascii="Cambria Math" w:hAnsi="Cambria Math" w:cs="Segoe UI"/>
                      <w:color w:val="343541"/>
                    </w:rPr>
                    <m:t>μ</m:t>
                  </m:r>
                </m:e>
                <m:sub>
                  <m:r>
                    <w:rPr>
                      <w:rFonts w:ascii="Cambria Math" w:hAnsi="Cambria Math" w:cs="Segoe UI"/>
                      <w:color w:val="343541"/>
                    </w:rPr>
                    <m:t>2</m:t>
                  </m:r>
                </m:sub>
              </m:sSub>
              <m:r>
                <w:rPr>
                  <w:rFonts w:ascii="Cambria Math" w:hAnsi="Cambria Math" w:cs="Segoe UI"/>
                  <w:color w:val="343541"/>
                </w:rPr>
                <m:t>=</m:t>
              </m:r>
              <m:sSub>
                <m:sSub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sSubPr>
                <m:e>
                  <m:r>
                    <w:rPr>
                      <w:rFonts w:ascii="Cambria Math" w:hAnsi="Cambria Math" w:cs="Segoe UI"/>
                      <w:color w:val="343541"/>
                    </w:rPr>
                    <m:t>μ</m:t>
                  </m:r>
                </m:e>
                <m:sub>
                  <m:r>
                    <w:rPr>
                      <w:rFonts w:ascii="Cambria Math" w:hAnsi="Cambria Math" w:cs="Segoe UI"/>
                      <w:color w:val="343541"/>
                    </w:rPr>
                    <m:t>max,2</m:t>
                  </m:r>
                </m:sub>
              </m:sSub>
              <m:f>
                <m:f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Segoe UI"/>
                      <w:color w:val="343541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s2</m:t>
                      </m:r>
                    </m:sub>
                  </m:sSub>
                  <m:r>
                    <w:rPr>
                      <w:rFonts w:ascii="Cambria Math" w:hAnsi="Cambria Math" w:cs="Segoe UI"/>
                      <w:color w:val="343541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s1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1</m:t>
                      </m:r>
                    </m:sub>
                  </m:sSub>
                </m:den>
              </m:f>
            </m:oMath>
            <w:r w:rsidR="00C2003F">
              <w:rPr>
                <w:color w:val="343541"/>
              </w:rPr>
              <w:t xml:space="preserve">  </w:t>
            </w:r>
          </w:p>
        </w:tc>
        <w:tc>
          <w:tcPr>
            <w:tcW w:w="1419" w:type="dxa"/>
            <w:vAlign w:val="center"/>
          </w:tcPr>
          <w:p w14:paraId="16FBB1E4" w14:textId="546246C8" w:rsidR="004616DB" w:rsidRDefault="004616DB" w:rsidP="00A53C8E">
            <w:pPr>
              <w:jc w:val="right"/>
              <w:rPr>
                <w:color w:val="343541"/>
              </w:rPr>
            </w:pPr>
            <w:r>
              <w:rPr>
                <w:color w:val="343541"/>
              </w:rPr>
              <w:t>(</w:t>
            </w:r>
            <w:r w:rsidR="00027D03">
              <w:rPr>
                <w:color w:val="343541"/>
              </w:rPr>
              <w:t>3</w:t>
            </w:r>
            <w:r>
              <w:rPr>
                <w:color w:val="343541"/>
              </w:rPr>
              <w:t>)</w:t>
            </w:r>
          </w:p>
        </w:tc>
      </w:tr>
      <w:tr w:rsidR="004616DB" w14:paraId="798CFB93" w14:textId="77777777" w:rsidTr="00C2003F">
        <w:trPr>
          <w:trHeight w:val="623"/>
        </w:trPr>
        <w:tc>
          <w:tcPr>
            <w:tcW w:w="5670" w:type="dxa"/>
            <w:vAlign w:val="center"/>
          </w:tcPr>
          <w:p w14:paraId="321E4820" w14:textId="1DAB5043" w:rsidR="00E34A00" w:rsidRPr="006B17FD" w:rsidRDefault="004616DB" w:rsidP="00A53C8E">
            <w:pPr>
              <w:rPr>
                <w:color w:val="343541"/>
              </w:rPr>
            </w:pPr>
            <m:oMath>
              <m:f>
                <m:f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fPr>
                <m:num>
                  <m:r>
                    <w:rPr>
                      <w:rFonts w:ascii="Cambria Math" w:hAnsi="Cambria Math" w:cs="Segoe UI"/>
                      <w:color w:val="343541"/>
                    </w:rPr>
                    <m:t>dX</m:t>
                  </m:r>
                </m:num>
                <m:den>
                  <m:r>
                    <w:rPr>
                      <w:rFonts w:ascii="Cambria Math" w:hAnsi="Cambria Math" w:cs="Segoe UI"/>
                      <w:color w:val="343541"/>
                    </w:rPr>
                    <m:t>dt</m:t>
                  </m:r>
                </m:den>
              </m:f>
              <m:r>
                <w:rPr>
                  <w:rFonts w:ascii="Cambria Math" w:hAnsi="Cambria Math" w:cs="Segoe UI"/>
                  <w:color w:val="343541"/>
                </w:rPr>
                <m:t>=</m:t>
              </m:r>
              <m:sSub>
                <m:sSub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sSubPr>
                <m:e>
                  <m:r>
                    <w:rPr>
                      <w:rFonts w:ascii="Cambria Math" w:hAnsi="Cambria Math" w:cs="Segoe UI"/>
                      <w:color w:val="343541"/>
                    </w:rPr>
                    <m:t>(</m:t>
                  </m:r>
                  <m:r>
                    <w:rPr>
                      <w:rFonts w:ascii="Cambria Math" w:hAnsi="Cambria Math" w:cs="Segoe UI"/>
                      <w:color w:val="343541"/>
                    </w:rPr>
                    <m:t>μ</m:t>
                  </m:r>
                </m:e>
                <m:sub>
                  <m:r>
                    <w:rPr>
                      <w:rFonts w:ascii="Cambria Math" w:hAnsi="Cambria Math" w:cs="Segoe UI"/>
                      <w:color w:val="343541"/>
                    </w:rPr>
                    <m:t>1</m:t>
                  </m:r>
                </m:sub>
              </m:sSub>
              <m:r>
                <w:rPr>
                  <w:rFonts w:ascii="Cambria Math" w:hAnsi="Cambria Math" w:cs="Segoe UI"/>
                  <w:color w:val="343541"/>
                </w:rPr>
                <m:t>+</m:t>
              </m:r>
              <m:sSub>
                <m:sSub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sSubPr>
                <m:e>
                  <m:r>
                    <w:rPr>
                      <w:rFonts w:ascii="Cambria Math" w:hAnsi="Cambria Math" w:cs="Segoe UI"/>
                      <w:color w:val="343541"/>
                    </w:rPr>
                    <m:t>μ</m:t>
                  </m:r>
                </m:e>
                <m:sub>
                  <m:r>
                    <w:rPr>
                      <w:rFonts w:ascii="Cambria Math" w:hAnsi="Cambria Math" w:cs="Segoe UI"/>
                      <w:color w:val="343541"/>
                    </w:rPr>
                    <m:t>2</m:t>
                  </m:r>
                </m:sub>
              </m:sSub>
              <m:r>
                <w:rPr>
                  <w:rFonts w:ascii="Cambria Math" w:hAnsi="Cambria Math" w:cs="Segoe UI"/>
                  <w:color w:val="343541"/>
                </w:rPr>
                <m:t>)X</m:t>
              </m:r>
              <m:r>
                <w:rPr>
                  <w:rFonts w:ascii="Cambria Math" w:hAnsi="Cambria Math" w:cs="Segoe UI"/>
                  <w:color w:val="343541"/>
                </w:rPr>
                <m:t xml:space="preserve">          </m:t>
              </m:r>
              <m:r>
                <w:rPr>
                  <w:rFonts w:ascii="Cambria Math" w:hAnsi="Cambria Math" w:cs="Segoe UI"/>
                  <w:color w:val="343541"/>
                </w:rPr>
                <m:t xml:space="preserve">            </m:t>
              </m:r>
              <m:r>
                <w:rPr>
                  <w:rFonts w:ascii="Cambria Math" w:hAnsi="Cambria Math" w:cs="Segoe UI"/>
                  <w:color w:val="343541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fPr>
                <m:num>
                  <m:r>
                    <w:rPr>
                      <w:rFonts w:ascii="Cambria Math" w:hAnsi="Cambria Math" w:cs="Segoe UI"/>
                      <w:color w:val="343541"/>
                    </w:rPr>
                    <m:t>dS</m:t>
                  </m:r>
                </m:num>
                <m:den>
                  <m:r>
                    <w:rPr>
                      <w:rFonts w:ascii="Cambria Math" w:hAnsi="Cambria Math" w:cs="Segoe UI"/>
                      <w:color w:val="343541"/>
                    </w:rPr>
                    <m:t>dt</m:t>
                  </m:r>
                </m:den>
              </m:f>
              <m:r>
                <w:rPr>
                  <w:rFonts w:ascii="Cambria Math" w:hAnsi="Cambria Math" w:cs="Segoe UI"/>
                  <w:color w:val="343541"/>
                </w:rPr>
                <m:t>=-</m:t>
              </m:r>
              <m:sSub>
                <m:sSub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sSubPr>
                <m:e>
                  <m:r>
                    <w:rPr>
                      <w:rFonts w:ascii="Cambria Math" w:hAnsi="Cambria Math" w:cs="Segoe UI"/>
                      <w:color w:val="343541"/>
                    </w:rPr>
                    <m:t>μ</m:t>
                  </m:r>
                </m:e>
                <m:sub>
                  <m:r>
                    <w:rPr>
                      <w:rFonts w:ascii="Cambria Math" w:hAnsi="Cambria Math" w:cs="Segoe UI"/>
                      <w:color w:val="343541"/>
                    </w:rPr>
                    <m:t>1</m:t>
                  </m:r>
                </m:sub>
              </m:sSub>
              <m:f>
                <m:f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fPr>
                <m:num>
                  <m:r>
                    <w:rPr>
                      <w:rFonts w:ascii="Cambria Math" w:hAnsi="Cambria Math" w:cs="Segoe UI"/>
                      <w:color w:val="343541"/>
                    </w:rPr>
                    <m:t xml:space="preserve">X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X/s1</m:t>
                      </m:r>
                    </m:sub>
                  </m:sSub>
                </m:den>
              </m:f>
              <m:r>
                <w:rPr>
                  <w:rFonts w:ascii="Cambria Math" w:hAnsi="Cambria Math" w:cs="Segoe UI"/>
                  <w:color w:val="343541"/>
                </w:rPr>
                <m:t>-</m:t>
              </m:r>
              <m:sSub>
                <m:sSub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sSubPr>
                <m:e>
                  <m:r>
                    <w:rPr>
                      <w:rFonts w:ascii="Cambria Math" w:hAnsi="Cambria Math" w:cs="Segoe UI"/>
                      <w:color w:val="343541"/>
                    </w:rPr>
                    <m:t>μ</m:t>
                  </m:r>
                </m:e>
                <m:sub>
                  <m:r>
                    <w:rPr>
                      <w:rFonts w:ascii="Cambria Math" w:hAnsi="Cambria Math" w:cs="Segoe UI"/>
                      <w:color w:val="343541"/>
                    </w:rPr>
                    <m:t>2</m:t>
                  </m:r>
                </m:sub>
              </m:sSub>
              <m:f>
                <m:fPr>
                  <m:ctrlPr>
                    <w:rPr>
                      <w:rFonts w:ascii="Cambria Math" w:hAnsi="Cambria Math" w:cs="Segoe UI"/>
                      <w:i/>
                      <w:color w:val="343541"/>
                    </w:rPr>
                  </m:ctrlPr>
                </m:fPr>
                <m:num>
                  <m:r>
                    <w:rPr>
                      <w:rFonts w:ascii="Cambria Math" w:hAnsi="Cambria Math" w:cs="Segoe UI"/>
                      <w:color w:val="343541"/>
                    </w:rPr>
                    <m:t xml:space="preserve">X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Segoe UI"/>
                          <w:i/>
                          <w:color w:val="343541"/>
                        </w:rPr>
                      </m:ctrlPr>
                    </m:sSubPr>
                    <m:e>
                      <m:r>
                        <w:rPr>
                          <w:rFonts w:ascii="Cambria Math" w:hAnsi="Cambria Math" w:cs="Segoe UI"/>
                          <w:color w:val="343541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Segoe UI"/>
                          <w:color w:val="343541"/>
                        </w:rPr>
                        <m:t>X/s2</m:t>
                      </m:r>
                    </m:sub>
                  </m:sSub>
                </m:den>
              </m:f>
            </m:oMath>
            <w:r w:rsidR="006B17FD">
              <w:rPr>
                <w:color w:val="343541"/>
              </w:rPr>
              <w:t xml:space="preserve">    </w:t>
            </w:r>
          </w:p>
        </w:tc>
        <w:tc>
          <w:tcPr>
            <w:tcW w:w="1419" w:type="dxa"/>
            <w:vAlign w:val="center"/>
          </w:tcPr>
          <w:p w14:paraId="4EC1BD6E" w14:textId="6162CF42" w:rsidR="004616DB" w:rsidRDefault="00C2003F" w:rsidP="00C2003F">
            <w:pPr>
              <w:jc w:val="right"/>
              <w:rPr>
                <w:color w:val="343541"/>
              </w:rPr>
            </w:pPr>
            <w:r>
              <w:rPr>
                <w:color w:val="343541"/>
              </w:rPr>
              <w:t xml:space="preserve"> </w:t>
            </w:r>
            <w:r w:rsidR="004616DB">
              <w:rPr>
                <w:color w:val="343541"/>
              </w:rPr>
              <w:t>(</w:t>
            </w:r>
            <w:r w:rsidR="00027D03">
              <w:rPr>
                <w:color w:val="343541"/>
              </w:rPr>
              <w:t>4</w:t>
            </w:r>
            <w:r w:rsidR="004616DB">
              <w:rPr>
                <w:color w:val="343541"/>
              </w:rPr>
              <w:t>)</w:t>
            </w:r>
          </w:p>
        </w:tc>
      </w:tr>
    </w:tbl>
    <w:p w14:paraId="3DEA0472" w14:textId="13CB0CF9" w:rsidR="00274AE6" w:rsidRDefault="003B1243" w:rsidP="003B1243">
      <w:pPr>
        <w:rPr>
          <w:bCs/>
          <w:szCs w:val="16"/>
        </w:rPr>
      </w:pPr>
      <w:r>
        <w:rPr>
          <w:bCs/>
          <w:szCs w:val="16"/>
        </w:rPr>
        <w:t>Different experimental designs covering the</w:t>
      </w:r>
      <w:r w:rsidR="00BA6088">
        <w:rPr>
          <w:bCs/>
          <w:szCs w:val="16"/>
        </w:rPr>
        <w:t xml:space="preserve"> </w:t>
      </w:r>
      <w:r>
        <w:rPr>
          <w:bCs/>
          <w:szCs w:val="16"/>
        </w:rPr>
        <w:t>space of</w:t>
      </w:r>
      <w:r w:rsidR="00BA6088">
        <w:rPr>
          <w:bCs/>
          <w:szCs w:val="16"/>
        </w:rPr>
        <w:t xml:space="preserve"> </w:t>
      </w:r>
      <w:r>
        <w:rPr>
          <w:bCs/>
          <w:szCs w:val="16"/>
        </w:rPr>
        <w:t>lignocellulosic sugar composition of agricultural residues will be explored</w:t>
      </w:r>
      <w:r w:rsidR="00274AE6">
        <w:rPr>
          <w:bCs/>
          <w:szCs w:val="16"/>
        </w:rPr>
        <w:t xml:space="preserve"> to determine the range of parameter values associated with waste resources of variable batch-to-batch valorisation potentials. In </w:t>
      </w:r>
      <w:r w:rsidR="00274AE6">
        <w:rPr>
          <w:bCs/>
          <w:szCs w:val="16"/>
        </w:rPr>
        <w:lastRenderedPageBreak/>
        <w:t>addition, t</w:t>
      </w:r>
      <w:r w:rsidR="00BA6088">
        <w:rPr>
          <w:bCs/>
          <w:szCs w:val="16"/>
        </w:rPr>
        <w:t>he pre-culture environment and initial substrate to biomass ratio</w:t>
      </w:r>
      <w:r w:rsidR="00274AE6">
        <w:rPr>
          <w:bCs/>
          <w:szCs w:val="16"/>
        </w:rPr>
        <w:t xml:space="preserve"> will also be varied to determine the influence of culture history and adaptation</w:t>
      </w:r>
      <w:r w:rsidR="00BA6088">
        <w:rPr>
          <w:bCs/>
          <w:szCs w:val="16"/>
        </w:rPr>
        <w:t xml:space="preserve"> on the </w:t>
      </w:r>
      <w:r w:rsidR="00274AE6">
        <w:rPr>
          <w:bCs/>
          <w:szCs w:val="16"/>
        </w:rPr>
        <w:t xml:space="preserve">values </w:t>
      </w:r>
      <w:r w:rsidR="00BA6088">
        <w:rPr>
          <w:bCs/>
          <w:szCs w:val="16"/>
        </w:rPr>
        <w:t xml:space="preserve">of parameter estimates </w:t>
      </w:r>
      <w:r w:rsidR="00274AE6">
        <w:rPr>
          <w:bCs/>
          <w:szCs w:val="16"/>
        </w:rPr>
        <w:t>and model performance.</w:t>
      </w:r>
      <w:r w:rsidR="004616DB">
        <w:rPr>
          <w:bCs/>
          <w:szCs w:val="16"/>
        </w:rPr>
        <w:t xml:space="preserve"> The use of high-throughput 96-well plates provides a significant advantage when investigating several influencing factors. For example, using a full-factorial design, the three aforementioned factors can be investigated at three levels </w:t>
      </w:r>
      <w:r w:rsidR="004E6D22">
        <w:rPr>
          <w:bCs/>
          <w:szCs w:val="16"/>
        </w:rPr>
        <w:t>in triplicate</w:t>
      </w:r>
      <w:r w:rsidR="0055423C">
        <w:rPr>
          <w:bCs/>
          <w:szCs w:val="16"/>
        </w:rPr>
        <w:t xml:space="preserve"> in a </w:t>
      </w:r>
      <w:r w:rsidR="00384DBB">
        <w:rPr>
          <w:bCs/>
          <w:szCs w:val="16"/>
        </w:rPr>
        <w:t>six-point</w:t>
      </w:r>
      <w:r w:rsidR="0055423C">
        <w:rPr>
          <w:bCs/>
          <w:szCs w:val="16"/>
        </w:rPr>
        <w:t xml:space="preserve"> time</w:t>
      </w:r>
      <w:r w:rsidR="00384DBB">
        <w:rPr>
          <w:bCs/>
          <w:szCs w:val="16"/>
        </w:rPr>
        <w:t xml:space="preserve"> </w:t>
      </w:r>
      <w:r w:rsidR="0055423C">
        <w:rPr>
          <w:bCs/>
          <w:szCs w:val="16"/>
        </w:rPr>
        <w:t xml:space="preserve">series, the total number of experiments (wells) required can be calculated </w:t>
      </w:r>
      <w:r w:rsidR="00384DBB">
        <w:rPr>
          <w:bCs/>
          <w:szCs w:val="16"/>
        </w:rPr>
        <w:t xml:space="preserve">as </w:t>
      </w:r>
      <w:r w:rsidR="00384DBB">
        <w:rPr>
          <w:bCs/>
          <w:szCs w:val="16"/>
        </w:rPr>
        <w:t>the total number of conditions multiplied by the number of time points and replicates respectively</w:t>
      </w:r>
      <w:r w:rsidR="00384DBB">
        <w:rPr>
          <w:bCs/>
          <w:szCs w:val="16"/>
        </w:rPr>
        <w:t xml:space="preserve"> (i.e. 3</w:t>
      </w:r>
      <w:r w:rsidR="00384DBB">
        <w:rPr>
          <w:bCs/>
          <w:szCs w:val="16"/>
          <w:vertAlign w:val="superscript"/>
        </w:rPr>
        <w:t>3</w:t>
      </w:r>
      <w:r w:rsidR="0055423C">
        <w:rPr>
          <w:bCs/>
          <w:szCs w:val="16"/>
        </w:rPr>
        <w:t xml:space="preserve"> </w:t>
      </w:r>
      <m:oMath>
        <m:r>
          <w:rPr>
            <w:rFonts w:ascii="Cambria Math" w:hAnsi="Cambria Math"/>
            <w:szCs w:val="16"/>
          </w:rPr>
          <m:t>×</m:t>
        </m:r>
      </m:oMath>
      <w:r w:rsidR="00384DBB">
        <w:rPr>
          <w:bCs/>
          <w:szCs w:val="16"/>
        </w:rPr>
        <w:t xml:space="preserve"> 6 </w:t>
      </w:r>
      <m:oMath>
        <m:r>
          <w:rPr>
            <w:rFonts w:ascii="Cambria Math" w:hAnsi="Cambria Math"/>
            <w:szCs w:val="16"/>
          </w:rPr>
          <m:t>×</m:t>
        </m:r>
        <m:r>
          <w:rPr>
            <w:rFonts w:ascii="Cambria Math" w:hAnsi="Cambria Math"/>
            <w:szCs w:val="16"/>
          </w:rPr>
          <m:t xml:space="preserve"> </m:t>
        </m:r>
      </m:oMath>
      <w:r w:rsidR="00384DBB">
        <w:rPr>
          <w:bCs/>
          <w:szCs w:val="16"/>
        </w:rPr>
        <w:t xml:space="preserve">3 </w:t>
      </w:r>
      <m:oMath>
        <m:r>
          <w:rPr>
            <w:rFonts w:ascii="Cambria Math" w:hAnsi="Cambria Math"/>
            <w:szCs w:val="16"/>
          </w:rPr>
          <m:t>=</m:t>
        </m:r>
      </m:oMath>
      <w:r w:rsidR="00384DBB">
        <w:rPr>
          <w:bCs/>
          <w:szCs w:val="16"/>
        </w:rPr>
        <w:t xml:space="preserve"> 486), thereby requiring only five 96-well plates in total to investigate the design space.</w:t>
      </w:r>
    </w:p>
    <w:p w14:paraId="2FD9F8C8" w14:textId="77DD6416" w:rsidR="00FB2B35" w:rsidRPr="006B17FD" w:rsidRDefault="00274AE6" w:rsidP="005D5D91">
      <w:pPr>
        <w:rPr>
          <w:bCs/>
          <w:color w:val="000000" w:themeColor="text1"/>
          <w:szCs w:val="16"/>
        </w:rPr>
      </w:pPr>
      <w:r>
        <w:rPr>
          <w:bCs/>
          <w:szCs w:val="16"/>
        </w:rPr>
        <w:t>D</w:t>
      </w:r>
      <w:r w:rsidR="003B1243">
        <w:rPr>
          <w:bCs/>
          <w:szCs w:val="16"/>
        </w:rPr>
        <w:t>ifferent non-linear regression methods</w:t>
      </w:r>
      <w:r w:rsidR="00384DBB">
        <w:rPr>
          <w:bCs/>
          <w:szCs w:val="16"/>
        </w:rPr>
        <w:t xml:space="preserve"> including the Levenberg-Marquardt algorithm, </w:t>
      </w:r>
      <w:r w:rsidR="00CA09D0">
        <w:rPr>
          <w:bCs/>
          <w:szCs w:val="16"/>
        </w:rPr>
        <w:t xml:space="preserve">particle swarm optimisation, and differential evolution algorithms and </w:t>
      </w:r>
      <w:r w:rsidR="003B1243">
        <w:rPr>
          <w:bCs/>
          <w:szCs w:val="16"/>
        </w:rPr>
        <w:t xml:space="preserve">will be compared in </w:t>
      </w:r>
      <w:r w:rsidR="003B1243" w:rsidRPr="00935CD5">
        <w:rPr>
          <w:bCs/>
          <w:color w:val="000000" w:themeColor="text1"/>
          <w:szCs w:val="16"/>
        </w:rPr>
        <w:t>their ability to provide unbiased,</w:t>
      </w:r>
      <w:r w:rsidR="0013709A" w:rsidRPr="00935CD5">
        <w:rPr>
          <w:bCs/>
          <w:color w:val="000000" w:themeColor="text1"/>
          <w:szCs w:val="16"/>
        </w:rPr>
        <w:t xml:space="preserve"> accurate and precise parameter estimates</w:t>
      </w:r>
      <w:r w:rsidR="00E34A00">
        <w:rPr>
          <w:bCs/>
          <w:color w:val="000000" w:themeColor="text1"/>
          <w:szCs w:val="16"/>
        </w:rPr>
        <w:t xml:space="preserve">, in addition to model goodness of fit and convergence speed. The </w:t>
      </w:r>
      <w:r w:rsidR="00384DBB" w:rsidRPr="00935CD5">
        <w:rPr>
          <w:bCs/>
          <w:color w:val="000000" w:themeColor="text1"/>
          <w:szCs w:val="16"/>
        </w:rPr>
        <w:t xml:space="preserve">open-source platform </w:t>
      </w:r>
      <w:proofErr w:type="spellStart"/>
      <w:r w:rsidR="00384DBB" w:rsidRPr="00935CD5">
        <w:rPr>
          <w:bCs/>
          <w:color w:val="000000" w:themeColor="text1"/>
          <w:szCs w:val="16"/>
        </w:rPr>
        <w:t>Pyomo</w:t>
      </w:r>
      <w:proofErr w:type="spellEnd"/>
      <w:r w:rsidR="00CA09D0" w:rsidRPr="00935CD5">
        <w:rPr>
          <w:bCs/>
          <w:color w:val="000000" w:themeColor="text1"/>
          <w:szCs w:val="16"/>
        </w:rPr>
        <w:t xml:space="preserve"> </w:t>
      </w:r>
      <w:r w:rsidR="00E34A00">
        <w:rPr>
          <w:bCs/>
          <w:color w:val="000000" w:themeColor="text1"/>
          <w:szCs w:val="16"/>
        </w:rPr>
        <w:t xml:space="preserve">will be used to optimise the objective function to </w:t>
      </w:r>
      <w:r w:rsidR="00384DBB" w:rsidRPr="00935CD5">
        <w:rPr>
          <w:bCs/>
          <w:color w:val="000000" w:themeColor="text1"/>
          <w:szCs w:val="16"/>
        </w:rPr>
        <w:t xml:space="preserve">minimise the </w:t>
      </w:r>
      <w:r w:rsidR="00CA09D0" w:rsidRPr="00935CD5">
        <w:rPr>
          <w:bCs/>
          <w:color w:val="000000" w:themeColor="text1"/>
          <w:szCs w:val="16"/>
        </w:rPr>
        <w:t xml:space="preserve">sum of square </w:t>
      </w:r>
      <w:r w:rsidR="00384DBB" w:rsidRPr="00935CD5">
        <w:rPr>
          <w:bCs/>
          <w:color w:val="000000" w:themeColor="text1"/>
          <w:szCs w:val="16"/>
        </w:rPr>
        <w:t>error</w:t>
      </w:r>
      <w:r w:rsidR="00CA09D0" w:rsidRPr="00935CD5">
        <w:rPr>
          <w:bCs/>
          <w:color w:val="000000" w:themeColor="text1"/>
          <w:szCs w:val="16"/>
        </w:rPr>
        <w:t>s</w:t>
      </w:r>
      <w:r w:rsidR="00384DBB" w:rsidRPr="00935CD5">
        <w:rPr>
          <w:bCs/>
          <w:color w:val="000000" w:themeColor="text1"/>
          <w:szCs w:val="16"/>
        </w:rPr>
        <w:t xml:space="preserve"> between observed</w:t>
      </w:r>
      <w:r w:rsidR="00CA09D0" w:rsidRPr="00935CD5">
        <w:rPr>
          <w:bCs/>
          <w:color w:val="000000" w:themeColor="text1"/>
          <w:szCs w:val="16"/>
        </w:rPr>
        <w:t xml:space="preserve"> experimental data</w:t>
      </w:r>
      <w:r w:rsidR="00384DBB" w:rsidRPr="00935CD5">
        <w:rPr>
          <w:bCs/>
          <w:color w:val="000000" w:themeColor="text1"/>
          <w:szCs w:val="16"/>
        </w:rPr>
        <w:t xml:space="preserve"> and </w:t>
      </w:r>
      <w:r w:rsidR="00CA09D0" w:rsidRPr="00935CD5">
        <w:rPr>
          <w:bCs/>
          <w:color w:val="000000" w:themeColor="text1"/>
          <w:szCs w:val="16"/>
        </w:rPr>
        <w:t xml:space="preserve">the </w:t>
      </w:r>
      <w:r w:rsidR="00384DBB" w:rsidRPr="00935CD5">
        <w:rPr>
          <w:bCs/>
          <w:color w:val="000000" w:themeColor="text1"/>
          <w:szCs w:val="16"/>
        </w:rPr>
        <w:t>predicted values of the</w:t>
      </w:r>
      <w:r w:rsidR="00CA09D0" w:rsidRPr="00935CD5">
        <w:rPr>
          <w:bCs/>
          <w:color w:val="000000" w:themeColor="text1"/>
          <w:szCs w:val="16"/>
        </w:rPr>
        <w:t xml:space="preserve"> candidate</w:t>
      </w:r>
      <w:r w:rsidR="00384DBB" w:rsidRPr="00935CD5">
        <w:rPr>
          <w:bCs/>
          <w:color w:val="000000" w:themeColor="text1"/>
          <w:szCs w:val="16"/>
        </w:rPr>
        <w:t xml:space="preserve"> biokinetic model system</w:t>
      </w:r>
      <w:r w:rsidR="00CA09D0" w:rsidRPr="00935CD5">
        <w:rPr>
          <w:bCs/>
          <w:color w:val="000000" w:themeColor="text1"/>
          <w:szCs w:val="16"/>
        </w:rPr>
        <w:t>s as stated in Eq. (</w:t>
      </w:r>
      <w:r w:rsidR="00027D03">
        <w:rPr>
          <w:bCs/>
          <w:color w:val="000000" w:themeColor="text1"/>
          <w:szCs w:val="16"/>
        </w:rPr>
        <w:t>5</w:t>
      </w:r>
      <w:r w:rsidR="00CA09D0" w:rsidRPr="00935CD5">
        <w:rPr>
          <w:bCs/>
          <w:color w:val="000000" w:themeColor="text1"/>
          <w:szCs w:val="16"/>
        </w:rPr>
        <w:t>),</w:t>
      </w:r>
      <w:r w:rsidR="00A15BF2" w:rsidRPr="00935CD5">
        <w:rPr>
          <w:bCs/>
          <w:color w:val="000000" w:themeColor="text1"/>
          <w:szCs w:val="16"/>
        </w:rPr>
        <w:t xml:space="preserve"> where </w:t>
      </w:r>
      <m:oMath>
        <m:r>
          <w:rPr>
            <w:rStyle w:val="mord"/>
            <w:rFonts w:ascii="Cambria Math" w:hAnsi="Cambria Math"/>
            <w:color w:val="000000" w:themeColor="text1"/>
          </w:rPr>
          <m:t>n</m:t>
        </m:r>
      </m:oMath>
      <w:r w:rsidR="00A15BF2" w:rsidRPr="00935CD5">
        <w:rPr>
          <w:bCs/>
          <w:color w:val="000000" w:themeColor="text1"/>
          <w:szCs w:val="16"/>
        </w:rPr>
        <w:t xml:space="preserve"> is the number of data points, </w:t>
      </w:r>
      <m:oMath>
        <m:sSub>
          <m:sSubPr>
            <m:ctrlPr>
              <w:rPr>
                <w:rStyle w:val="mopen"/>
                <w:rFonts w:ascii="Cambria Math" w:hAnsi="Cambria Math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Style w:val="mopen"/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Style w:val="mopen"/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="00A15BF2" w:rsidRPr="00935CD5">
        <w:rPr>
          <w:bCs/>
          <w:color w:val="000000" w:themeColor="text1"/>
          <w:szCs w:val="16"/>
          <w:vertAlign w:val="superscript"/>
        </w:rPr>
        <w:t xml:space="preserve"> </w:t>
      </w:r>
      <w:r w:rsidR="00A15BF2" w:rsidRPr="00935CD5">
        <w:rPr>
          <w:bCs/>
          <w:color w:val="000000" w:themeColor="text1"/>
          <w:szCs w:val="16"/>
        </w:rPr>
        <w:t xml:space="preserve">and </w:t>
      </w:r>
      <m:oMath>
        <m:sSub>
          <m:sSubPr>
            <m:ctrlPr>
              <w:rPr>
                <w:rStyle w:val="mord"/>
                <w:rFonts w:ascii="Cambria Math" w:hAnsi="Cambria Math"/>
                <w:i/>
                <w:iCs/>
                <w:color w:val="000000" w:themeColor="text1"/>
              </w:rPr>
            </m:ctrlPr>
          </m:sSubPr>
          <m:e>
            <m:r>
              <w:rPr>
                <w:rStyle w:val="mord"/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Style w:val="mord"/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="00A15BF2" w:rsidRPr="00935CD5">
        <w:rPr>
          <w:bCs/>
          <w:color w:val="000000" w:themeColor="text1"/>
          <w:szCs w:val="16"/>
        </w:rPr>
        <w:t xml:space="preserve"> are the output response and input at point </w:t>
      </w:r>
      <m:oMath>
        <m:r>
          <w:rPr>
            <w:rStyle w:val="mord"/>
            <w:rFonts w:ascii="Cambria Math" w:hAnsi="Cambria Math"/>
            <w:color w:val="000000" w:themeColor="text1"/>
          </w:rPr>
          <m:t>i</m:t>
        </m:r>
      </m:oMath>
      <w:r w:rsidR="00935CD5" w:rsidRPr="00935CD5">
        <w:rPr>
          <w:bCs/>
          <w:color w:val="000000" w:themeColor="text1"/>
          <w:szCs w:val="16"/>
        </w:rPr>
        <w:t xml:space="preserve"> </w:t>
      </w:r>
      <w:r w:rsidR="00A15BF2" w:rsidRPr="00935CD5">
        <w:rPr>
          <w:bCs/>
          <w:color w:val="000000" w:themeColor="text1"/>
          <w:szCs w:val="16"/>
        </w:rPr>
        <w:t xml:space="preserve">respectively, and </w:t>
      </w:r>
      <m:oMath>
        <m:r>
          <w:rPr>
            <w:rStyle w:val="mord"/>
            <w:rFonts w:ascii="Cambria Math" w:hAnsi="Cambria Math"/>
            <w:color w:val="000000" w:themeColor="text1"/>
          </w:rPr>
          <m:t>f</m:t>
        </m:r>
        <m:r>
          <m:rPr>
            <m:sty m:val="p"/>
          </m:rPr>
          <w:rPr>
            <w:rStyle w:val="mopen"/>
            <w:rFonts w:ascii="Cambria Math" w:hAnsi="Cambria Math"/>
            <w:color w:val="000000" w:themeColor="text1"/>
          </w:rPr>
          <m:t>(</m:t>
        </m:r>
        <m:sSub>
          <m:sSubPr>
            <m:ctrlPr>
              <w:rPr>
                <w:rStyle w:val="mord"/>
                <w:rFonts w:ascii="Cambria Math" w:hAnsi="Cambria Math"/>
                <w:i/>
                <w:iCs/>
                <w:color w:val="000000" w:themeColor="text1"/>
              </w:rPr>
            </m:ctrlPr>
          </m:sSubPr>
          <m:e>
            <m:r>
              <w:rPr>
                <w:rStyle w:val="mord"/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Style w:val="mord"/>
                <w:rFonts w:ascii="Cambria Math" w:hAnsi="Cambria Math"/>
                <w:color w:val="000000" w:themeColor="text1"/>
              </w:rPr>
              <m:t>i</m:t>
            </m:r>
          </m:sub>
        </m:sSub>
        <m:r>
          <m:rPr>
            <m:sty m:val="p"/>
          </m:rPr>
          <w:rPr>
            <w:rStyle w:val="mpunct"/>
            <w:rFonts w:ascii="Cambria Math" w:hAnsi="Cambria Math"/>
            <w:color w:val="000000" w:themeColor="text1"/>
          </w:rPr>
          <m:t>,</m:t>
        </m:r>
        <m:r>
          <m:rPr>
            <m:sty m:val="bi"/>
          </m:rPr>
          <w:rPr>
            <w:rStyle w:val="mord"/>
            <w:rFonts w:ascii="Cambria Math" w:hAnsi="Cambria Math"/>
            <w:color w:val="000000" w:themeColor="text1"/>
          </w:rPr>
          <m:t>θ</m:t>
        </m:r>
        <m:r>
          <m:rPr>
            <m:sty m:val="bi"/>
          </m:rPr>
          <w:rPr>
            <w:rStyle w:val="mord"/>
            <w:rFonts w:ascii="Cambria Math" w:hAnsi="Cambria Math"/>
            <w:color w:val="000000" w:themeColor="text1"/>
          </w:rPr>
          <m:t>)</m:t>
        </m:r>
      </m:oMath>
      <w:r w:rsidR="00A15BF2" w:rsidRPr="00935CD5">
        <w:rPr>
          <w:bCs/>
          <w:color w:val="000000" w:themeColor="text1"/>
          <w:szCs w:val="16"/>
        </w:rPr>
        <w:t xml:space="preserve"> is </w:t>
      </w:r>
      <w:r w:rsidR="00935CD5" w:rsidRPr="00935CD5">
        <w:rPr>
          <w:bCs/>
          <w:color w:val="000000" w:themeColor="text1"/>
          <w:szCs w:val="16"/>
        </w:rPr>
        <w:t xml:space="preserve">the non-linear </w:t>
      </w:r>
      <w:r w:rsidR="00935CD5">
        <w:rPr>
          <w:bCs/>
          <w:color w:val="000000" w:themeColor="text1"/>
          <w:szCs w:val="16"/>
        </w:rPr>
        <w:t>system</w:t>
      </w:r>
      <w:r w:rsidR="00935CD5" w:rsidRPr="00935CD5">
        <w:rPr>
          <w:bCs/>
          <w:color w:val="000000" w:themeColor="text1"/>
          <w:szCs w:val="16"/>
        </w:rPr>
        <w:t xml:space="preserve"> evaluated at point </w:t>
      </w:r>
      <m:oMath>
        <m:sSub>
          <m:sSubPr>
            <m:ctrlPr>
              <w:rPr>
                <w:rStyle w:val="mord"/>
                <w:rFonts w:ascii="Cambria Math" w:hAnsi="Cambria Math"/>
                <w:i/>
                <w:iCs/>
                <w:color w:val="000000" w:themeColor="text1"/>
              </w:rPr>
            </m:ctrlPr>
          </m:sSubPr>
          <m:e>
            <m:r>
              <w:rPr>
                <w:rStyle w:val="mord"/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Style w:val="mord"/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="00935CD5">
        <w:rPr>
          <w:bCs/>
          <w:color w:val="000000" w:themeColor="text1"/>
          <w:szCs w:val="16"/>
        </w:rPr>
        <w:t xml:space="preserve"> </w:t>
      </w:r>
      <w:r w:rsidR="00935CD5" w:rsidRPr="00935CD5">
        <w:rPr>
          <w:bCs/>
          <w:color w:val="000000" w:themeColor="text1"/>
          <w:szCs w:val="16"/>
        </w:rPr>
        <w:t xml:space="preserve">with the vector of parameter values </w:t>
      </w:r>
      <m:oMath>
        <m:r>
          <m:rPr>
            <m:sty m:val="bi"/>
          </m:rPr>
          <w:rPr>
            <w:rStyle w:val="mord"/>
            <w:rFonts w:ascii="Cambria Math" w:hAnsi="Cambria Math"/>
            <w:color w:val="000000" w:themeColor="text1"/>
          </w:rPr>
          <m:t>θ</m:t>
        </m:r>
      </m:oMath>
      <w:r w:rsidR="00935CD5" w:rsidRPr="00935CD5">
        <w:rPr>
          <w:bCs/>
          <w:color w:val="000000" w:themeColor="text1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  <w:gridCol w:w="3538"/>
      </w:tblGrid>
      <w:tr w:rsidR="00CA09D0" w14:paraId="39B85E72" w14:textId="77777777" w:rsidTr="00A15BF2">
        <w:tc>
          <w:tcPr>
            <w:tcW w:w="3538" w:type="dxa"/>
            <w:vAlign w:val="center"/>
          </w:tcPr>
          <w:p w14:paraId="227B45C1" w14:textId="1E3034BB" w:rsidR="00CA09D0" w:rsidRPr="00935CD5" w:rsidRDefault="00A15BF2" w:rsidP="00A15BF2">
            <w:pPr>
              <w:rPr>
                <w:bCs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Style w:val="mord"/>
                    <w:rFonts w:ascii="Cambria Math" w:hAnsi="Cambria Math"/>
                    <w:color w:val="000000" w:themeColor="text1"/>
                  </w:rPr>
                  <m:t>minimise </m:t>
                </m:r>
                <m:nary>
                  <m:naryPr>
                    <m:chr m:val="∑"/>
                    <m:limLoc m:val="undOvr"/>
                    <m:ctrlPr>
                      <w:rPr>
                        <w:rStyle w:val="mord"/>
                        <w:rFonts w:ascii="Cambria Math" w:hAnsi="Cambria Math"/>
                        <w:color w:val="000000" w:themeColor="text1"/>
                      </w:rPr>
                    </m:ctrlPr>
                  </m:naryPr>
                  <m:sub>
                    <m:r>
                      <w:rPr>
                        <w:rStyle w:val="mord"/>
                        <w:rFonts w:ascii="Cambria Math" w:hAnsi="Cambria Math"/>
                        <w:color w:val="000000" w:themeColor="text1"/>
                      </w:rPr>
                      <m:t>i=1</m:t>
                    </m:r>
                  </m:sub>
                  <m:sup>
                    <m:r>
                      <w:rPr>
                        <w:rStyle w:val="mord"/>
                        <w:rFonts w:ascii="Cambria Math" w:hAnsi="Cambria Math"/>
                        <w:color w:val="000000" w:themeColor="text1"/>
                      </w:rPr>
                      <m:t>n</m:t>
                    </m:r>
                  </m:sup>
                  <m:e>
                    <m:r>
                      <m:rPr>
                        <m:sty m:val="p"/>
                      </m:rPr>
                      <w:rPr>
                        <w:rStyle w:val="vlist-s"/>
                        <w:rFonts w:ascii="Cambria Math" w:hAnsi="Cambria Math"/>
                        <w:color w:val="000000" w:themeColor="text1"/>
                      </w:rPr>
                      <m:t>​</m:t>
                    </m:r>
                    <m:sSup>
                      <m:sSupPr>
                        <m:ctrlPr>
                          <w:rPr>
                            <w:rStyle w:val="mopen"/>
                            <w:rFonts w:ascii="Cambria Math" w:hAnsi="Cambria Math"/>
                            <w:color w:val="000000" w:themeColor="text1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Style w:val="mopen"/>
                                <w:rFonts w:ascii="Cambria Math" w:hAnsi="Cambria Math"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mopen"/>
                                <w:rFonts w:ascii="Cambria Math" w:hAnsi="Cambria Math"/>
                                <w:color w:val="000000" w:themeColor="text1"/>
                              </w:rPr>
                              <m:t>[y</m:t>
                            </m:r>
                          </m:e>
                          <m:sub>
                            <m:r>
                              <w:rPr>
                                <w:rStyle w:val="mopen"/>
                                <w:rFonts w:ascii="Cambria Math" w:hAnsi="Cambria Math"/>
                                <w:color w:val="000000" w:themeColor="text1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Style w:val="mbin"/>
                            <w:rFonts w:ascii="Cambria Math" w:hAnsi="Cambria Math"/>
                            <w:color w:val="000000" w:themeColor="text1"/>
                          </w:rPr>
                          <m:t>-</m:t>
                        </m:r>
                        <m:r>
                          <w:rPr>
                            <w:rStyle w:val="mord"/>
                            <w:rFonts w:ascii="Cambria Math" w:hAnsi="Cambria Math"/>
                            <w:color w:val="000000" w:themeColor="text1"/>
                          </w:rPr>
                          <m:t>f</m:t>
                        </m:r>
                        <m:r>
                          <m:rPr>
                            <m:sty m:val="p"/>
                          </m:rPr>
                          <w:rPr>
                            <w:rStyle w:val="mopen"/>
                            <w:rFonts w:ascii="Cambria Math" w:hAnsi="Cambria Math"/>
                            <w:color w:val="000000" w:themeColor="text1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Style w:val="mord"/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Style w:val="mord"/>
                                <w:rFonts w:ascii="Cambria Math" w:hAnsi="Cambria Math"/>
                                <w:color w:val="000000" w:themeColor="text1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Style w:val="mord"/>
                                <w:rFonts w:ascii="Cambria Math" w:hAnsi="Cambria Math"/>
                                <w:color w:val="000000" w:themeColor="text1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Style w:val="mpunct"/>
                            <w:rFonts w:ascii="Cambria Math" w:hAnsi="Cambria Math"/>
                            <w:color w:val="000000" w:themeColor="text1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Style w:val="mord"/>
                            <w:rFonts w:ascii="Cambria Math" w:hAnsi="Cambria Math"/>
                            <w:color w:val="000000" w:themeColor="text1"/>
                          </w:rPr>
                          <m:t>θ</m:t>
                        </m:r>
                        <m:r>
                          <m:rPr>
                            <m:sty m:val="p"/>
                          </m:rPr>
                          <w:rPr>
                            <w:rStyle w:val="mclose"/>
                            <w:rFonts w:ascii="Cambria Math" w:hAnsi="Cambria Math"/>
                            <w:color w:val="000000" w:themeColor="text1"/>
                          </w:rPr>
                          <m:t>)]</m:t>
                        </m:r>
                      </m:e>
                      <m:sup>
                        <m:r>
                          <w:rPr>
                            <w:rStyle w:val="mopen"/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</m:e>
                </m:nary>
                <m:r>
                  <m:rPr>
                    <m:sty m:val="p"/>
                  </m:rPr>
                  <w:rPr>
                    <w:rStyle w:val="vlist-s"/>
                    <w:rFonts w:ascii="Cambria Math" w:hAnsi="Cambria Math"/>
                    <w:color w:val="000000" w:themeColor="text1"/>
                  </w:rPr>
                  <m:t>​</m:t>
                </m:r>
              </m:oMath>
            </m:oMathPara>
          </w:p>
        </w:tc>
        <w:tc>
          <w:tcPr>
            <w:tcW w:w="3538" w:type="dxa"/>
            <w:vAlign w:val="center"/>
          </w:tcPr>
          <w:p w14:paraId="6E2FC57E" w14:textId="1AF2031A" w:rsidR="00CA09D0" w:rsidRDefault="00CA09D0" w:rsidP="00A15BF2">
            <w:pPr>
              <w:jc w:val="right"/>
              <w:rPr>
                <w:bCs/>
                <w:szCs w:val="16"/>
              </w:rPr>
            </w:pPr>
            <w:r>
              <w:rPr>
                <w:bCs/>
                <w:szCs w:val="16"/>
              </w:rPr>
              <w:t>(</w:t>
            </w:r>
            <w:r w:rsidR="00027D03">
              <w:rPr>
                <w:bCs/>
                <w:szCs w:val="16"/>
              </w:rPr>
              <w:t>5</w:t>
            </w:r>
            <w:r>
              <w:rPr>
                <w:bCs/>
                <w:szCs w:val="16"/>
              </w:rPr>
              <w:t>)</w:t>
            </w:r>
          </w:p>
        </w:tc>
      </w:tr>
    </w:tbl>
    <w:p w14:paraId="1AB5B34D" w14:textId="32999B91" w:rsidR="00EA12FA" w:rsidRDefault="00FB2B35" w:rsidP="005D5D91">
      <w:pPr>
        <w:rPr>
          <w:bCs/>
          <w:szCs w:val="16"/>
        </w:rPr>
      </w:pPr>
      <w:r w:rsidRPr="00935CD5">
        <w:rPr>
          <w:bCs/>
          <w:color w:val="000000" w:themeColor="text1"/>
          <w:szCs w:val="16"/>
        </w:rPr>
        <w:t>Subsequently, the predictive accuracies of the candidate models and best parameter estimates are then evaluated through cross</w:t>
      </w:r>
      <w:r>
        <w:rPr>
          <w:bCs/>
          <w:szCs w:val="16"/>
        </w:rPr>
        <w:t>-</w:t>
      </w:r>
      <w:r w:rsidRPr="002E7896">
        <w:rPr>
          <w:bCs/>
          <w:szCs w:val="16"/>
        </w:rPr>
        <w:t xml:space="preserve">validation </w:t>
      </w:r>
      <w:r>
        <w:rPr>
          <w:bCs/>
          <w:szCs w:val="16"/>
        </w:rPr>
        <w:t>with testing data partitioned from the original experimental dataset</w:t>
      </w:r>
      <w:r w:rsidRPr="002E7896">
        <w:rPr>
          <w:bCs/>
          <w:szCs w:val="16"/>
        </w:rPr>
        <w:t>.</w:t>
      </w:r>
    </w:p>
    <w:p w14:paraId="37A8177E" w14:textId="2061AEA8" w:rsidR="00EA12FA" w:rsidRPr="005D5D91" w:rsidRDefault="00935CD5" w:rsidP="00935CD5">
      <w:pPr>
        <w:pStyle w:val="Els-2ndorder-head"/>
      </w:pPr>
      <w:r>
        <w:t>Experimental materials and method</w:t>
      </w:r>
      <w:r w:rsidR="00737591">
        <w:t>s</w:t>
      </w:r>
    </w:p>
    <w:p w14:paraId="01A3198E" w14:textId="6918098A" w:rsidR="00CF2309" w:rsidRDefault="00F06D06" w:rsidP="005D5D91">
      <w:pPr>
        <w:pStyle w:val="Els-body-text"/>
      </w:pPr>
      <w:r w:rsidRPr="00AB55A2">
        <w:t>50</w:t>
      </w:r>
      <w:r w:rsidR="00B959A9">
        <w:t xml:space="preserve"> </w:t>
      </w:r>
      <w:r w:rsidRPr="00AB55A2">
        <w:t xml:space="preserve">mL Erlenmeyer flasks containing 3 w/v% of carbon substrate in </w:t>
      </w:r>
      <w:r w:rsidR="00016B83">
        <w:t xml:space="preserve">minimal salts </w:t>
      </w:r>
      <w:r w:rsidRPr="00AB55A2">
        <w:t xml:space="preserve">media </w:t>
      </w:r>
      <w:r w:rsidR="003443CF">
        <w:t>are</w:t>
      </w:r>
      <w:r w:rsidRPr="00AB55A2">
        <w:t xml:space="preserve"> inoculated with </w:t>
      </w:r>
      <w:r w:rsidRPr="003443CF">
        <w:rPr>
          <w:i/>
          <w:iCs/>
        </w:rPr>
        <w:t xml:space="preserve">F. venenatum </w:t>
      </w:r>
      <w:r w:rsidRPr="00016B83">
        <w:t>A3/5</w:t>
      </w:r>
      <w:r w:rsidRPr="00AB55A2">
        <w:t xml:space="preserve"> from agar plates and incubated at 28 </w:t>
      </w:r>
      <w:proofErr w:type="spellStart"/>
      <w:r w:rsidRPr="005D5D91">
        <w:rPr>
          <w:vertAlign w:val="superscript"/>
        </w:rPr>
        <w:t>o</w:t>
      </w:r>
      <w:r w:rsidRPr="00AB55A2">
        <w:t>C</w:t>
      </w:r>
      <w:proofErr w:type="spellEnd"/>
      <w:r w:rsidRPr="00AB55A2">
        <w:t xml:space="preserve"> with a shaking speed of 130 rpm.</w:t>
      </w:r>
      <w:r w:rsidR="00567801" w:rsidRPr="00AB55A2">
        <w:t xml:space="preserve"> After 72 h, spores </w:t>
      </w:r>
      <w:r w:rsidR="003443CF">
        <w:t>are</w:t>
      </w:r>
      <w:r w:rsidR="00567801" w:rsidRPr="00AB55A2">
        <w:t xml:space="preserve"> harvested using a 100 </w:t>
      </w:r>
      <w:bookmarkStart w:id="6" w:name="OLE_LINK11"/>
      <w:bookmarkStart w:id="7" w:name="OLE_LINK12"/>
      <w:bookmarkStart w:id="8" w:name="OLE_LINK13"/>
      <w:bookmarkStart w:id="9" w:name="OLE_LINK7"/>
      <w:bookmarkStart w:id="10" w:name="OLE_LINK8"/>
      <w:proofErr w:type="spellStart"/>
      <w:r w:rsidR="00567801" w:rsidRPr="00AB55A2">
        <w:t>μ</w:t>
      </w:r>
      <w:bookmarkEnd w:id="6"/>
      <w:bookmarkEnd w:id="7"/>
      <w:bookmarkEnd w:id="8"/>
      <w:r w:rsidR="000F1817" w:rsidRPr="00AB55A2">
        <w:t>m</w:t>
      </w:r>
      <w:proofErr w:type="spellEnd"/>
      <w:r w:rsidR="00567801" w:rsidRPr="00AB55A2">
        <w:t xml:space="preserve"> </w:t>
      </w:r>
      <w:bookmarkEnd w:id="9"/>
      <w:bookmarkEnd w:id="10"/>
      <w:r w:rsidR="00567801" w:rsidRPr="00AB55A2">
        <w:t xml:space="preserve">cell strainer and </w:t>
      </w:r>
      <w:r w:rsidR="0053594F" w:rsidRPr="00AB55A2">
        <w:t xml:space="preserve">spore concentration </w:t>
      </w:r>
      <w:r w:rsidR="003443CF">
        <w:t>is</w:t>
      </w:r>
      <w:r w:rsidR="0053594F" w:rsidRPr="00AB55A2">
        <w:t xml:space="preserve"> determined using a hemocytometer and optical microscope</w:t>
      </w:r>
      <w:r w:rsidR="003443CF">
        <w:t>,</w:t>
      </w:r>
      <w:r w:rsidR="00E251BA" w:rsidRPr="00AB55A2">
        <w:t xml:space="preserve"> and subsequently diluted with sterile </w:t>
      </w:r>
      <w:r w:rsidR="00016B83">
        <w:t>media</w:t>
      </w:r>
      <w:r w:rsidR="00E251BA" w:rsidRPr="00AB55A2">
        <w:t xml:space="preserve"> to the desired concentration</w:t>
      </w:r>
      <w:r w:rsidR="0053594F" w:rsidRPr="00AB55A2">
        <w:t xml:space="preserve">. </w:t>
      </w:r>
      <w:r w:rsidR="00D52D05" w:rsidRPr="00AB55A2">
        <w:t>Aliquots of s</w:t>
      </w:r>
      <w:r w:rsidR="00E251BA" w:rsidRPr="00AB55A2">
        <w:t xml:space="preserve">tock solutions </w:t>
      </w:r>
      <w:bookmarkStart w:id="11" w:name="OLE_LINK9"/>
      <w:bookmarkStart w:id="12" w:name="OLE_LINK10"/>
      <w:r w:rsidR="00E251BA" w:rsidRPr="00AB55A2">
        <w:t>containing 300</w:t>
      </w:r>
      <w:r w:rsidR="00D52D05" w:rsidRPr="00AB55A2">
        <w:t xml:space="preserve"> </w:t>
      </w:r>
      <w:r w:rsidR="00E251BA" w:rsidRPr="00AB55A2">
        <w:t xml:space="preserve">g/L </w:t>
      </w:r>
      <w:bookmarkEnd w:id="11"/>
      <w:bookmarkEnd w:id="12"/>
      <w:r w:rsidR="00E251BA" w:rsidRPr="00AB55A2">
        <w:t xml:space="preserve">D-glucose and D-xylose </w:t>
      </w:r>
      <w:r w:rsidR="003443CF">
        <w:t>are</w:t>
      </w:r>
      <w:r w:rsidR="00D52D05" w:rsidRPr="00AB55A2">
        <w:t xml:space="preserve"> then added to</w:t>
      </w:r>
      <w:r w:rsidR="00016B83">
        <w:t xml:space="preserve"> minimal salts</w:t>
      </w:r>
      <w:r w:rsidR="00D52D05" w:rsidRPr="00AB55A2">
        <w:t xml:space="preserve"> media</w:t>
      </w:r>
      <w:r w:rsidR="00E251BA" w:rsidRPr="00AB55A2">
        <w:t xml:space="preserve"> to make up </w:t>
      </w:r>
      <w:r w:rsidR="00D52D05" w:rsidRPr="00AB55A2">
        <w:t xml:space="preserve">5 </w:t>
      </w:r>
      <w:r w:rsidR="00E251BA" w:rsidRPr="00AB55A2">
        <w:t>mL</w:t>
      </w:r>
      <w:r w:rsidR="00D52D05" w:rsidRPr="00AB55A2">
        <w:t xml:space="preserve"> vials </w:t>
      </w:r>
      <w:r w:rsidR="00E251BA" w:rsidRPr="00AB55A2">
        <w:t>containing 3 w/v% total substrate</w:t>
      </w:r>
      <w:r w:rsidR="00D52D05" w:rsidRPr="00AB55A2">
        <w:t xml:space="preserve"> </w:t>
      </w:r>
      <w:r w:rsidR="00E251BA" w:rsidRPr="00AB55A2">
        <w:t>with varying ratios of the two sugars</w:t>
      </w:r>
      <w:r w:rsidR="00D52D05" w:rsidRPr="00AB55A2">
        <w:t xml:space="preserve">. The prepared dilution </w:t>
      </w:r>
      <w:r w:rsidR="003443CF">
        <w:t>is</w:t>
      </w:r>
      <w:r w:rsidR="00D52D05" w:rsidRPr="00AB55A2">
        <w:t xml:space="preserve"> then used to inoculate each of the vials wit</w:t>
      </w:r>
      <w:r w:rsidR="00016B83">
        <w:t>h a predefined spore concentration</w:t>
      </w:r>
      <w:r w:rsidR="00D52D05" w:rsidRPr="00AB55A2">
        <w:t>.</w:t>
      </w:r>
      <w:r w:rsidR="003D0E3A">
        <w:t xml:space="preserve"> </w:t>
      </w:r>
      <w:r w:rsidR="0053594F" w:rsidRPr="00AB55A2">
        <w:t xml:space="preserve">Wells of a clear, flat-bottom, non-treated </w:t>
      </w:r>
      <w:r w:rsidR="00567801" w:rsidRPr="00AB55A2">
        <w:t>96</w:t>
      </w:r>
      <w:r w:rsidR="008C3E33" w:rsidRPr="00AB55A2">
        <w:t xml:space="preserve"> </w:t>
      </w:r>
      <w:r w:rsidR="00567801" w:rsidRPr="00AB55A2">
        <w:t xml:space="preserve">well plate </w:t>
      </w:r>
      <w:r w:rsidR="008D6CE7">
        <w:t>are</w:t>
      </w:r>
      <w:r w:rsidR="0053594F" w:rsidRPr="00AB55A2">
        <w:t xml:space="preserve"> then </w:t>
      </w:r>
      <w:r w:rsidR="00D52D05" w:rsidRPr="00AB55A2">
        <w:t xml:space="preserve">filled with 200 </w:t>
      </w:r>
      <w:bookmarkStart w:id="13" w:name="OLE_LINK14"/>
      <w:bookmarkStart w:id="14" w:name="OLE_LINK15"/>
      <w:proofErr w:type="spellStart"/>
      <w:r w:rsidR="00D52D05" w:rsidRPr="00AB55A2">
        <w:t>μL</w:t>
      </w:r>
      <w:bookmarkEnd w:id="13"/>
      <w:bookmarkEnd w:id="14"/>
      <w:proofErr w:type="spellEnd"/>
      <w:r w:rsidR="008C3E33" w:rsidRPr="00AB55A2">
        <w:t xml:space="preserve"> of the vial contents. Each vial </w:t>
      </w:r>
      <w:r w:rsidR="008D6CE7">
        <w:t>is</w:t>
      </w:r>
      <w:r w:rsidR="008C3E33" w:rsidRPr="00AB55A2">
        <w:t xml:space="preserve"> used to make up 6 wells of the plate </w:t>
      </w:r>
      <w:r w:rsidR="00F2733E" w:rsidRPr="00AB55A2">
        <w:t xml:space="preserve">which </w:t>
      </w:r>
      <w:r w:rsidR="008D6CE7">
        <w:t>are</w:t>
      </w:r>
      <w:r w:rsidR="00F2733E" w:rsidRPr="00AB55A2">
        <w:t xml:space="preserve"> sequentially harvested </w:t>
      </w:r>
      <w:r w:rsidR="008D6CE7">
        <w:t>at</w:t>
      </w:r>
      <w:r w:rsidR="00F2733E" w:rsidRPr="00AB55A2">
        <w:t xml:space="preserve"> 6 time points over the course of 96 hours</w:t>
      </w:r>
      <w:r w:rsidR="008D6CE7">
        <w:t xml:space="preserve"> of batch fermentation</w:t>
      </w:r>
      <w:r w:rsidR="00F2733E" w:rsidRPr="00AB55A2">
        <w:t xml:space="preserve">. Each of the time points </w:t>
      </w:r>
      <w:r w:rsidR="008D6CE7">
        <w:t>are</w:t>
      </w:r>
      <w:r w:rsidR="00F2733E" w:rsidRPr="00AB55A2">
        <w:t xml:space="preserve"> repeated in triplicate</w:t>
      </w:r>
      <w:r w:rsidR="00D45CBB">
        <w:t>.</w:t>
      </w:r>
      <w:r w:rsidR="00F2733E" w:rsidRPr="00AB55A2">
        <w:t xml:space="preserve"> A microplate reader</w:t>
      </w:r>
      <w:r w:rsidR="008D6CE7">
        <w:t xml:space="preserve"> is</w:t>
      </w:r>
      <w:r w:rsidR="00F2733E" w:rsidRPr="00AB55A2">
        <w:t xml:space="preserve"> used to measure the well absorbance at </w:t>
      </w:r>
      <w:r w:rsidR="000F1817" w:rsidRPr="00AB55A2">
        <w:t xml:space="preserve">a wavelength of </w:t>
      </w:r>
      <w:r w:rsidR="00F2733E" w:rsidRPr="00AB55A2">
        <w:t>600</w:t>
      </w:r>
      <w:r w:rsidR="000F1817" w:rsidRPr="00AB55A2">
        <w:t xml:space="preserve"> </w:t>
      </w:r>
      <w:r w:rsidR="00F2733E" w:rsidRPr="00AB55A2">
        <w:t>nm</w:t>
      </w:r>
      <w:r w:rsidR="008D6CE7">
        <w:t xml:space="preserve"> </w:t>
      </w:r>
      <w:r w:rsidR="007671AE" w:rsidRPr="00AB55A2">
        <w:t xml:space="preserve">at </w:t>
      </w:r>
      <w:r w:rsidR="000F1817" w:rsidRPr="00AB55A2">
        <w:t>28</w:t>
      </w:r>
      <w:r w:rsidR="005D5D91">
        <w:t xml:space="preserve"> </w:t>
      </w:r>
      <w:proofErr w:type="spellStart"/>
      <w:r w:rsidR="005D5D91">
        <w:rPr>
          <w:vertAlign w:val="superscript"/>
        </w:rPr>
        <w:t>o</w:t>
      </w:r>
      <w:r w:rsidR="000F1817" w:rsidRPr="00AB55A2">
        <w:t>C</w:t>
      </w:r>
      <w:proofErr w:type="spellEnd"/>
      <w:r w:rsidR="007671AE" w:rsidRPr="00AB55A2">
        <w:t xml:space="preserve"> and 100 rpm </w:t>
      </w:r>
      <w:r w:rsidR="008D6CE7">
        <w:t xml:space="preserve">using a </w:t>
      </w:r>
      <w:r w:rsidR="007671AE" w:rsidRPr="00AB55A2">
        <w:t>double-orbital shaking mode. O</w:t>
      </w:r>
      <w:r w:rsidR="00F2733E" w:rsidRPr="00AB55A2">
        <w:t>ptical density</w:t>
      </w:r>
      <w:r w:rsidR="000F1817" w:rsidRPr="00AB55A2">
        <w:t xml:space="preserve"> (OD)</w:t>
      </w:r>
      <w:r w:rsidR="00F2733E" w:rsidRPr="00AB55A2">
        <w:t xml:space="preserve"> reading</w:t>
      </w:r>
      <w:r w:rsidR="000F1817" w:rsidRPr="00AB55A2">
        <w:t>s</w:t>
      </w:r>
      <w:r w:rsidR="008D6CE7">
        <w:t xml:space="preserve"> are taken every 20 min</w:t>
      </w:r>
      <w:r w:rsidR="00F2733E" w:rsidRPr="00AB55A2">
        <w:t xml:space="preserve"> </w:t>
      </w:r>
      <w:r w:rsidR="008D6CE7">
        <w:t xml:space="preserve">and </w:t>
      </w:r>
      <w:r w:rsidR="00F2733E" w:rsidRPr="00AB55A2">
        <w:t>subsequently converted to biomass concentrations using a predetermined calibration function.</w:t>
      </w:r>
      <w:r w:rsidR="003D0E3A">
        <w:t xml:space="preserve"> </w:t>
      </w:r>
      <w:r w:rsidR="000F1817" w:rsidRPr="00AB55A2">
        <w:t>Extracellular media</w:t>
      </w:r>
      <w:r w:rsidR="007671AE" w:rsidRPr="00AB55A2">
        <w:t xml:space="preserve"> of the harvested wells</w:t>
      </w:r>
      <w:r w:rsidR="000F1817" w:rsidRPr="00AB55A2">
        <w:t xml:space="preserve"> </w:t>
      </w:r>
      <w:r w:rsidR="008D6CE7">
        <w:t>is</w:t>
      </w:r>
      <w:r w:rsidR="000F1817" w:rsidRPr="00AB55A2">
        <w:t xml:space="preserve"> separated from cell material using Sartorius </w:t>
      </w:r>
      <w:proofErr w:type="spellStart"/>
      <w:r w:rsidR="000F1817" w:rsidRPr="00AB55A2">
        <w:t>Claristep</w:t>
      </w:r>
      <w:proofErr w:type="spellEnd"/>
      <w:r w:rsidR="000F1817" w:rsidRPr="00AB55A2">
        <w:t xml:space="preserve"> 0.2 </w:t>
      </w:r>
      <w:proofErr w:type="spellStart"/>
      <w:r w:rsidR="000F1817" w:rsidRPr="00AB55A2">
        <w:t>μm</w:t>
      </w:r>
      <w:proofErr w:type="spellEnd"/>
      <w:r w:rsidR="000F1817" w:rsidRPr="00AB55A2">
        <w:t xml:space="preserve"> filters into 2 mL vials. </w:t>
      </w:r>
      <w:r w:rsidR="007671AE" w:rsidRPr="00AB55A2">
        <w:t xml:space="preserve">The liquid media from each well </w:t>
      </w:r>
      <w:r w:rsidR="008D6CE7">
        <w:t>is</w:t>
      </w:r>
      <w:r w:rsidR="007671AE" w:rsidRPr="00AB55A2">
        <w:t xml:space="preserve"> </w:t>
      </w:r>
      <w:proofErr w:type="spellStart"/>
      <w:r w:rsidR="007671AE" w:rsidRPr="00AB55A2">
        <w:t>analysed</w:t>
      </w:r>
      <w:proofErr w:type="spellEnd"/>
      <w:r w:rsidR="007671AE" w:rsidRPr="00AB55A2">
        <w:t xml:space="preserve"> following a protocol for residual sugars and sugar alcohol</w:t>
      </w:r>
      <w:r w:rsidR="009E5278">
        <w:t>s</w:t>
      </w:r>
      <w:r w:rsidR="007671AE" w:rsidRPr="00AB55A2">
        <w:t xml:space="preserve">. The column used for separation of compounds </w:t>
      </w:r>
      <w:r w:rsidR="008D6CE7">
        <w:t>is</w:t>
      </w:r>
      <w:r w:rsidR="007671AE" w:rsidRPr="00AB55A2">
        <w:t xml:space="preserve"> the </w:t>
      </w:r>
      <w:proofErr w:type="spellStart"/>
      <w:r w:rsidR="007671AE" w:rsidRPr="00AB55A2">
        <w:t>Biorad</w:t>
      </w:r>
      <w:proofErr w:type="spellEnd"/>
      <w:r w:rsidR="007671AE" w:rsidRPr="00AB55A2">
        <w:t xml:space="preserve"> </w:t>
      </w:r>
      <w:proofErr w:type="spellStart"/>
      <w:r w:rsidR="007671AE" w:rsidRPr="00AB55A2">
        <w:t>Aminex</w:t>
      </w:r>
      <w:proofErr w:type="spellEnd"/>
      <w:r w:rsidR="007671AE" w:rsidRPr="00AB55A2">
        <w:t xml:space="preserve"> HPX-87H (300</w:t>
      </w:r>
      <w:r w:rsidR="009A688F">
        <w:t xml:space="preserve"> </w:t>
      </w:r>
      <w:r w:rsidR="007671AE" w:rsidRPr="00AB55A2">
        <w:t>x</w:t>
      </w:r>
      <w:r w:rsidR="009A688F">
        <w:t xml:space="preserve"> </w:t>
      </w:r>
      <w:r w:rsidR="007671AE" w:rsidRPr="00AB55A2">
        <w:t>7.8</w:t>
      </w:r>
      <w:r w:rsidR="009A688F">
        <w:t xml:space="preserve"> </w:t>
      </w:r>
      <w:r w:rsidR="007671AE" w:rsidRPr="00AB55A2">
        <w:t xml:space="preserve">mm) with mobile phase of dilute </w:t>
      </w:r>
      <w:proofErr w:type="spellStart"/>
      <w:r w:rsidR="007671AE" w:rsidRPr="00AB55A2">
        <w:t>sulphuric</w:t>
      </w:r>
      <w:proofErr w:type="spellEnd"/>
      <w:r w:rsidR="007671AE" w:rsidRPr="00AB55A2">
        <w:t xml:space="preserve"> acid (5 mM) at a flowrate of 0.6 mLmin</w:t>
      </w:r>
      <w:r w:rsidR="007671AE" w:rsidRPr="009A688F">
        <w:rPr>
          <w:vertAlign w:val="superscript"/>
        </w:rPr>
        <w:t>-1</w:t>
      </w:r>
      <w:r w:rsidR="007671AE" w:rsidRPr="00AB55A2">
        <w:t xml:space="preserve"> and temperature of 50 </w:t>
      </w:r>
      <w:proofErr w:type="spellStart"/>
      <w:r w:rsidR="007671AE" w:rsidRPr="009A688F">
        <w:rPr>
          <w:vertAlign w:val="superscript"/>
        </w:rPr>
        <w:t>o</w:t>
      </w:r>
      <w:r w:rsidR="007671AE" w:rsidRPr="00AB55A2">
        <w:t>C.</w:t>
      </w:r>
      <w:proofErr w:type="spellEnd"/>
      <w:r w:rsidR="007671AE" w:rsidRPr="00AB55A2">
        <w:t xml:space="preserve"> The separated compounds </w:t>
      </w:r>
      <w:r w:rsidR="008D6CE7">
        <w:t>are</w:t>
      </w:r>
      <w:r w:rsidR="007671AE" w:rsidRPr="00AB55A2">
        <w:t xml:space="preserve"> then detected by an in-line refractive index detector (RID) with absorbance wavelength of 210 nm to generate spectra</w:t>
      </w:r>
      <w:r w:rsidR="008D6CE7">
        <w:t>,</w:t>
      </w:r>
      <w:r w:rsidR="007671AE" w:rsidRPr="00AB55A2">
        <w:t xml:space="preserve"> from which time-series concentrations </w:t>
      </w:r>
      <w:r w:rsidR="008D6CE7">
        <w:t>are to</w:t>
      </w:r>
      <w:r w:rsidR="007671AE" w:rsidRPr="00AB55A2">
        <w:t xml:space="preserve"> be determined.</w:t>
      </w:r>
    </w:p>
    <w:p w14:paraId="2A5A5E37" w14:textId="38169E3B" w:rsidR="00873839" w:rsidRDefault="00047009" w:rsidP="00047009">
      <w:pPr>
        <w:pStyle w:val="Els-1storder-head"/>
      </w:pPr>
      <w:r>
        <w:lastRenderedPageBreak/>
        <w:t>Results &amp; Discussion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3"/>
        <w:gridCol w:w="3573"/>
      </w:tblGrid>
      <w:tr w:rsidR="00873839" w14:paraId="023AB5AC" w14:textId="77777777" w:rsidTr="00873839">
        <w:tc>
          <w:tcPr>
            <w:tcW w:w="3538" w:type="dxa"/>
          </w:tcPr>
          <w:p w14:paraId="30AC029B" w14:textId="7CDD5771" w:rsidR="00873839" w:rsidRDefault="00AE753B" w:rsidP="00047009">
            <w:pPr>
              <w:pStyle w:val="Els-body-text"/>
            </w:pPr>
            <w:r>
              <w:rPr>
                <w:noProof/>
              </w:rPr>
              <w:drawing>
                <wp:inline distT="0" distB="0" distL="0" distR="0" wp14:anchorId="52709724" wp14:editId="2DD25870">
                  <wp:extent cx="2095500" cy="1447800"/>
                  <wp:effectExtent l="0" t="0" r="0" b="0"/>
                  <wp:docPr id="391197297" name="Picture 1" descr="A graph of a number of objec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197297" name="Picture 1" descr="A graph of a number of objects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51ECBDD0" w14:textId="4AF282AA" w:rsidR="00873839" w:rsidRDefault="00AE753B" w:rsidP="0038141D">
            <w:pPr>
              <w:pStyle w:val="Els-body-text"/>
              <w:keepNext/>
            </w:pPr>
            <w:r>
              <w:rPr>
                <w:noProof/>
              </w:rPr>
              <w:drawing>
                <wp:inline distT="0" distB="0" distL="0" distR="0" wp14:anchorId="548BA174" wp14:editId="005A6865">
                  <wp:extent cx="2133600" cy="1460500"/>
                  <wp:effectExtent l="0" t="0" r="0" b="0"/>
                  <wp:docPr id="509067232" name="Picture 2" descr="A graph of a number of tim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067232" name="Picture 2" descr="A graph of a number of times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2D80B" w14:textId="277F35FD" w:rsidR="00873839" w:rsidRDefault="0038141D" w:rsidP="00EB5F83">
      <w:pPr>
        <w:pStyle w:val="Caption"/>
      </w:pPr>
      <w:r>
        <w:t xml:space="preserve">Figure </w:t>
      </w:r>
      <w:r w:rsidR="00EB5F83">
        <w:t>2</w:t>
      </w:r>
      <w:r>
        <w:t xml:space="preserve">: Mean biomass growth curves normalised relative to positive control </w:t>
      </w:r>
      <w:r w:rsidR="009E5278">
        <w:t>using D-glucose (left panel) and D-xylose (right panel). Solid curves represent identical pre-culture substrate (e.g. glucose/glucose), while dashes lines represent alternate pre-culture substrate (e.g. xylose/glucose).</w:t>
      </w:r>
    </w:p>
    <w:p w14:paraId="70FEC309" w14:textId="4E30A2BE" w:rsidR="00047009" w:rsidRPr="00CF2309" w:rsidRDefault="00191108" w:rsidP="00CF2309">
      <w:pPr>
        <w:pStyle w:val="111Heading4"/>
        <w:ind w:left="0" w:firstLine="0"/>
        <w:rPr>
          <w:rFonts w:ascii="Times New Roman" w:eastAsiaTheme="minorEastAsia" w:hAnsi="Times New Roman" w:cs="Times New Roman"/>
          <w:b w:val="0"/>
          <w:bCs/>
          <w:i w:val="0"/>
          <w:color w:val="000000" w:themeColor="text1"/>
        </w:rPr>
      </w:pPr>
      <w:r>
        <w:rPr>
          <w:rFonts w:ascii="Times New Roman" w:hAnsi="Times New Roman" w:cs="Times New Roman"/>
          <w:b w:val="0"/>
          <w:bCs/>
          <w:i w:val="0"/>
          <w:iCs w:val="0"/>
        </w:rPr>
        <w:t xml:space="preserve">Preliminary research aimed to investigate the relative growth of </w:t>
      </w:r>
      <w:r w:rsidRPr="00191108">
        <w:rPr>
          <w:rFonts w:ascii="Times New Roman" w:hAnsi="Times New Roman" w:cs="Times New Roman"/>
          <w:b w:val="0"/>
          <w:bCs/>
        </w:rPr>
        <w:t>F. venenatum</w:t>
      </w:r>
      <w:r>
        <w:rPr>
          <w:rFonts w:ascii="Times New Roman" w:hAnsi="Times New Roman" w:cs="Times New Roman"/>
          <w:b w:val="0"/>
          <w:bCs/>
          <w:i w:val="0"/>
          <w:iCs w:val="0"/>
        </w:rPr>
        <w:t xml:space="preserve"> A3/5 utilising D-glucose and D-xylose as sole substrates and the effect of preculture (inoculation) substrate environment on subsequent growth. The results demonstrate </w:t>
      </w:r>
      <w:r w:rsidR="00C8797A">
        <w:rPr>
          <w:rFonts w:ascii="Times New Roman" w:hAnsi="Times New Roman" w:cs="Times New Roman"/>
          <w:b w:val="0"/>
          <w:bCs/>
          <w:i w:val="0"/>
          <w:iCs w:val="0"/>
        </w:rPr>
        <w:t xml:space="preserve">that the </w:t>
      </w:r>
      <w:r>
        <w:rPr>
          <w:rFonts w:ascii="Times New Roman" w:hAnsi="Times New Roman" w:cs="Times New Roman"/>
          <w:b w:val="0"/>
          <w:bCs/>
          <w:i w:val="0"/>
          <w:iCs w:val="0"/>
        </w:rPr>
        <w:t xml:space="preserve">final biomass concentration </w:t>
      </w:r>
      <w:r w:rsidR="00C8797A">
        <w:rPr>
          <w:rFonts w:ascii="Times New Roman" w:hAnsi="Times New Roman" w:cs="Times New Roman"/>
          <w:b w:val="0"/>
          <w:bCs/>
          <w:i w:val="0"/>
          <w:iCs w:val="0"/>
        </w:rPr>
        <w:t xml:space="preserve">achieved </w:t>
      </w:r>
      <w:r>
        <w:rPr>
          <w:rFonts w:ascii="Times New Roman" w:hAnsi="Times New Roman" w:cs="Times New Roman"/>
          <w:b w:val="0"/>
          <w:bCs/>
          <w:i w:val="0"/>
          <w:iCs w:val="0"/>
        </w:rPr>
        <w:t>when utilising D-xylose</w:t>
      </w:r>
      <w:r w:rsidR="00C8797A">
        <w:rPr>
          <w:rFonts w:ascii="Times New Roman" w:hAnsi="Times New Roman" w:cs="Times New Roman"/>
          <w:b w:val="0"/>
          <w:bCs/>
          <w:i w:val="0"/>
          <w:iCs w:val="0"/>
        </w:rPr>
        <w:t xml:space="preserve"> is less than half of that</w:t>
      </w:r>
      <w:r>
        <w:rPr>
          <w:rFonts w:ascii="Times New Roman" w:hAnsi="Times New Roman" w:cs="Times New Roman"/>
          <w:b w:val="0"/>
          <w:bCs/>
          <w:i w:val="0"/>
          <w:iCs w:val="0"/>
        </w:rPr>
        <w:t xml:space="preserve"> </w:t>
      </w:r>
      <w:r w:rsidR="00C8797A">
        <w:rPr>
          <w:rFonts w:ascii="Times New Roman" w:hAnsi="Times New Roman" w:cs="Times New Roman"/>
          <w:b w:val="0"/>
          <w:bCs/>
          <w:i w:val="0"/>
          <w:iCs w:val="0"/>
        </w:rPr>
        <w:t xml:space="preserve">of D-glucose, suggesting a lower substrate-to-biomass conversion efficiency (yield) despite a longer initial lag time when utilising D-glucose. Furthermore, results suggest that glucose is the preferred pre-culture substrate for this mixed sugar cultivation when the objective is to maximise the overall biomass yield, suggesting that D-xylose preculture potentially enhances production of by-products (e.g. ethanol) throughout the fermentation. However, upcoming work implementing HPLC analysis of media composition and rigorous model-based parameter estimation </w:t>
      </w:r>
      <w:r w:rsidR="0041063E">
        <w:rPr>
          <w:rFonts w:ascii="Times New Roman" w:hAnsi="Times New Roman" w:cs="Times New Roman"/>
          <w:b w:val="0"/>
          <w:bCs/>
          <w:i w:val="0"/>
          <w:iCs w:val="0"/>
        </w:rPr>
        <w:t>(</w:t>
      </w:r>
      <w:r w:rsidR="00C8797A">
        <w:rPr>
          <w:rFonts w:ascii="Times New Roman" w:hAnsi="Times New Roman" w:cs="Times New Roman"/>
          <w:b w:val="0"/>
          <w:bCs/>
          <w:i w:val="0"/>
          <w:iCs w:val="0"/>
        </w:rPr>
        <w:t xml:space="preserve">as discussed in the </w:t>
      </w:r>
      <w:r w:rsidR="0041063E">
        <w:rPr>
          <w:rFonts w:ascii="Times New Roman" w:hAnsi="Times New Roman" w:cs="Times New Roman"/>
          <w:b w:val="0"/>
          <w:bCs/>
          <w:i w:val="0"/>
          <w:iCs w:val="0"/>
        </w:rPr>
        <w:t xml:space="preserve">previous </w:t>
      </w:r>
      <w:r w:rsidR="00C8797A">
        <w:rPr>
          <w:rFonts w:ascii="Times New Roman" w:hAnsi="Times New Roman" w:cs="Times New Roman"/>
          <w:b w:val="0"/>
          <w:bCs/>
          <w:i w:val="0"/>
          <w:iCs w:val="0"/>
        </w:rPr>
        <w:t>section</w:t>
      </w:r>
      <w:r w:rsidR="0041063E">
        <w:rPr>
          <w:rFonts w:ascii="Times New Roman" w:hAnsi="Times New Roman" w:cs="Times New Roman"/>
          <w:b w:val="0"/>
          <w:bCs/>
          <w:i w:val="0"/>
          <w:iCs w:val="0"/>
        </w:rPr>
        <w:t>s)</w:t>
      </w:r>
      <w:r w:rsidR="00C8797A">
        <w:rPr>
          <w:rFonts w:ascii="Times New Roman" w:hAnsi="Times New Roman" w:cs="Times New Roman"/>
          <w:b w:val="0"/>
          <w:bCs/>
          <w:i w:val="0"/>
          <w:iCs w:val="0"/>
        </w:rPr>
        <w:t xml:space="preserve"> is required to </w:t>
      </w:r>
      <w:r w:rsidR="0041063E">
        <w:rPr>
          <w:rFonts w:ascii="Times New Roman" w:hAnsi="Times New Roman" w:cs="Times New Roman"/>
          <w:b w:val="0"/>
          <w:bCs/>
          <w:i w:val="0"/>
          <w:iCs w:val="0"/>
        </w:rPr>
        <w:t>test</w:t>
      </w:r>
      <w:r w:rsidR="00C8797A">
        <w:rPr>
          <w:rFonts w:ascii="Times New Roman" w:hAnsi="Times New Roman" w:cs="Times New Roman"/>
          <w:b w:val="0"/>
          <w:bCs/>
          <w:i w:val="0"/>
          <w:iCs w:val="0"/>
        </w:rPr>
        <w:t xml:space="preserve"> th</w:t>
      </w:r>
      <w:r w:rsidR="0041063E">
        <w:rPr>
          <w:rFonts w:ascii="Times New Roman" w:hAnsi="Times New Roman" w:cs="Times New Roman"/>
          <w:b w:val="0"/>
          <w:bCs/>
          <w:i w:val="0"/>
          <w:iCs w:val="0"/>
        </w:rPr>
        <w:t>ese</w:t>
      </w:r>
      <w:r w:rsidR="00C8797A">
        <w:rPr>
          <w:rFonts w:ascii="Times New Roman" w:hAnsi="Times New Roman" w:cs="Times New Roman"/>
          <w:b w:val="0"/>
          <w:bCs/>
          <w:i w:val="0"/>
          <w:iCs w:val="0"/>
        </w:rPr>
        <w:t xml:space="preserve"> hypothes</w:t>
      </w:r>
      <w:r w:rsidR="0041063E">
        <w:rPr>
          <w:rFonts w:ascii="Times New Roman" w:hAnsi="Times New Roman" w:cs="Times New Roman"/>
          <w:b w:val="0"/>
          <w:bCs/>
          <w:i w:val="0"/>
          <w:iCs w:val="0"/>
        </w:rPr>
        <w:t>es</w:t>
      </w:r>
      <w:r w:rsidR="00CF2309">
        <w:rPr>
          <w:rFonts w:ascii="Times New Roman" w:hAnsi="Times New Roman" w:cs="Times New Roman"/>
          <w:b w:val="0"/>
          <w:bCs/>
          <w:i w:val="0"/>
          <w:iCs w:val="0"/>
        </w:rPr>
        <w:t xml:space="preserve">. Nevertheless, the initial results provide parameter intervals for </w:t>
      </w:r>
      <m:oMath>
        <m:sSub>
          <m:sSubPr>
            <m:ctrlPr>
              <w:rPr>
                <w:rFonts w:ascii="Cambria Math" w:hAnsi="Cambria Math" w:cs="Segoe UI"/>
                <w:color w:val="000000" w:themeColor="text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egoe UI"/>
                <w:color w:val="000000" w:themeColor="text1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 w:cs="Segoe UI"/>
                <w:color w:val="000000" w:themeColor="text1"/>
              </w:rPr>
              <m:t>max</m:t>
            </m:r>
            <m:r>
              <m:rPr>
                <m:sty m:val="bi"/>
              </m:rPr>
              <w:rPr>
                <w:rFonts w:ascii="Cambria Math" w:hAnsi="Cambria Math" w:cs="Segoe UI"/>
                <w:color w:val="000000" w:themeColor="text1"/>
              </w:rPr>
              <m:t>,</m:t>
            </m:r>
            <m:r>
              <w:rPr>
                <w:rFonts w:ascii="Cambria Math" w:hAnsi="Cambria Math" w:cs="Segoe UI"/>
                <w:color w:val="000000" w:themeColor="text1"/>
              </w:rPr>
              <m:t>1</m:t>
            </m:r>
          </m:sub>
        </m:sSub>
      </m:oMath>
      <w:r w:rsidR="00CF2309">
        <w:rPr>
          <w:rFonts w:ascii="Times New Roman" w:eastAsiaTheme="minorEastAsia" w:hAnsi="Times New Roman" w:cs="Times New Roman"/>
          <w:i w:val="0"/>
          <w:color w:val="000000" w:themeColor="text1"/>
        </w:rPr>
        <w:t xml:space="preserve"> </w:t>
      </w:r>
      <w:r w:rsidR="00CF2309">
        <w:rPr>
          <w:rFonts w:ascii="Times New Roman" w:eastAsiaTheme="minorEastAsia" w:hAnsi="Times New Roman" w:cs="Times New Roman"/>
          <w:b w:val="0"/>
          <w:bCs/>
          <w:i w:val="0"/>
          <w:color w:val="000000" w:themeColor="text1"/>
        </w:rPr>
        <w:t xml:space="preserve">and </w:t>
      </w:r>
      <m:oMath>
        <m:sSub>
          <m:sSubPr>
            <m:ctrlPr>
              <w:rPr>
                <w:rFonts w:ascii="Cambria Math" w:hAnsi="Cambria Math" w:cs="Segoe UI"/>
                <w:color w:val="000000" w:themeColor="text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egoe UI"/>
                <w:color w:val="000000" w:themeColor="text1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 w:cs="Segoe UI"/>
                <w:color w:val="000000" w:themeColor="text1"/>
              </w:rPr>
              <m:t>max,</m:t>
            </m:r>
            <m:r>
              <w:rPr>
                <w:rFonts w:ascii="Cambria Math" w:hAnsi="Cambria Math" w:cs="Segoe UI"/>
                <w:color w:val="000000" w:themeColor="text1"/>
              </w:rPr>
              <m:t>2</m:t>
            </m:r>
          </m:sub>
        </m:sSub>
      </m:oMath>
      <w:r w:rsidR="00CF2309">
        <w:rPr>
          <w:rFonts w:ascii="Times New Roman" w:eastAsiaTheme="minorEastAsia" w:hAnsi="Times New Roman" w:cs="Times New Roman"/>
          <w:i w:val="0"/>
          <w:color w:val="000000" w:themeColor="text1"/>
        </w:rPr>
        <w:t xml:space="preserve"> </w:t>
      </w:r>
      <w:r w:rsidR="00CF2309">
        <w:rPr>
          <w:rFonts w:ascii="Times New Roman" w:eastAsiaTheme="minorEastAsia" w:hAnsi="Times New Roman" w:cs="Times New Roman"/>
          <w:b w:val="0"/>
          <w:bCs/>
          <w:i w:val="0"/>
          <w:color w:val="000000" w:themeColor="text1"/>
        </w:rPr>
        <w:t xml:space="preserve">calculated from tangential approximation of the biomass curves to narrow the solution space of parameters thereby increasing the </w:t>
      </w:r>
      <w:r w:rsidR="00DD3F88">
        <w:rPr>
          <w:rFonts w:ascii="Times New Roman" w:eastAsiaTheme="minorEastAsia" w:hAnsi="Times New Roman" w:cs="Times New Roman"/>
          <w:b w:val="0"/>
          <w:bCs/>
          <w:i w:val="0"/>
          <w:color w:val="000000" w:themeColor="text1"/>
        </w:rPr>
        <w:t>likelihood</w:t>
      </w:r>
      <w:r w:rsidR="00CF2309">
        <w:rPr>
          <w:rFonts w:ascii="Times New Roman" w:eastAsiaTheme="minorEastAsia" w:hAnsi="Times New Roman" w:cs="Times New Roman"/>
          <w:b w:val="0"/>
          <w:bCs/>
          <w:i w:val="0"/>
          <w:color w:val="000000" w:themeColor="text1"/>
        </w:rPr>
        <w:t xml:space="preserve"> of locating the global optimum solution to the non-linear regression problem.</w:t>
      </w:r>
    </w:p>
    <w:p w14:paraId="4FE0BE32" w14:textId="222D0AF8" w:rsidR="00AB597B" w:rsidRDefault="0052285A" w:rsidP="003C6E35">
      <w:pPr>
        <w:pStyle w:val="Els-1storder-head"/>
      </w:pPr>
      <w:r>
        <w:t>Conclusion</w:t>
      </w:r>
    </w:p>
    <w:p w14:paraId="353DBE35" w14:textId="79FDF292" w:rsidR="00C8797A" w:rsidRDefault="004D2FDA" w:rsidP="004D2FDA">
      <w:pPr>
        <w:pStyle w:val="Els-body-text"/>
      </w:pPr>
      <w:r w:rsidRPr="004D2FDA">
        <w:t>In conclusion, this research lays the groundwork for advancing microbial protein technology and waste valori</w:t>
      </w:r>
      <w:r>
        <w:t>s</w:t>
      </w:r>
      <w:r w:rsidRPr="004D2FDA">
        <w:t>ation. The ongoing work involves rigorous parameter estimation for multi-substrate systems, specifically focusing on lignocellulosic hydrolysat</w:t>
      </w:r>
      <w:r>
        <w:t>e</w:t>
      </w:r>
      <w:r w:rsidR="008D6CE7">
        <w:t xml:space="preserve"> fermentation by fungal strain </w:t>
      </w:r>
      <w:r w:rsidR="008D6CE7" w:rsidRPr="003443CF">
        <w:rPr>
          <w:i/>
          <w:iCs/>
        </w:rPr>
        <w:t xml:space="preserve">Fusarium venenatum </w:t>
      </w:r>
      <w:r w:rsidR="008D6CE7" w:rsidRPr="00016B83">
        <w:t>A3/5</w:t>
      </w:r>
      <w:r w:rsidR="008D6CE7">
        <w:t xml:space="preserve"> to produce microbial protein (mycoprotein)</w:t>
      </w:r>
      <w:r w:rsidRPr="004D2FDA">
        <w:t>. The proposed methodology integrates experimental data with computational models, aiming to enhance accuracy in predicting fermentation kinetics. Results from this ongoing research will contribute to the optimi</w:t>
      </w:r>
      <w:r w:rsidR="008D6CE7">
        <w:t>s</w:t>
      </w:r>
      <w:r w:rsidRPr="004D2FDA">
        <w:t xml:space="preserve">ation of bioprocess flowsheets, guiding decision-making for the sustainable and economically viable scale-up of waste-to-mycoprotein systems. </w:t>
      </w:r>
      <w:r w:rsidR="0041063E">
        <w:t>Preliminary results demonstrate the feasibility of utilising lignocellulosic sugars for the growth of F. venenatum A3/5 biomass, including pentose substrates despite demonstrating lower overall growth yields. Future work will build upon this knowledge by investigating sugar consumption and by-product concentration throughout the fermentation for implementation within a parameter estimation framework to more comprehensively characterise and model the lignocellulosic fermentation system.</w:t>
      </w:r>
    </w:p>
    <w:p w14:paraId="04D8AE23" w14:textId="7D1C93B3" w:rsidR="00616B41" w:rsidRDefault="007734B0" w:rsidP="007F2CF6">
      <w:pPr>
        <w:pStyle w:val="Els-1storder-head"/>
        <w:numPr>
          <w:ilvl w:val="0"/>
          <w:numId w:val="0"/>
        </w:numPr>
      </w:pPr>
      <w:r>
        <w:lastRenderedPageBreak/>
        <w:t>References</w:t>
      </w:r>
    </w:p>
    <w:p w14:paraId="7DBAA7DA" w14:textId="77777777" w:rsidR="00957D6B" w:rsidRPr="00957D6B" w:rsidRDefault="00957D6B" w:rsidP="00957D6B">
      <w:pPr>
        <w:pStyle w:val="Els-referenceno-number"/>
      </w:pPr>
      <w:r w:rsidRPr="00957D6B">
        <w:t>Amrane, A., Adour, L., &amp; Couriol, C. (2005). An unstructured model for the diauxic growth of Penicillium camembertii on glucose and arginine. Biochemical Engineering Journal, 24(2), 125–133.</w:t>
      </w:r>
    </w:p>
    <w:p w14:paraId="7CC649CE" w14:textId="77777777" w:rsidR="00957D6B" w:rsidRPr="00957D6B" w:rsidRDefault="00957D6B" w:rsidP="00957D6B">
      <w:pPr>
        <w:pStyle w:val="Els-referenceno-number"/>
      </w:pPr>
      <w:r w:rsidRPr="00957D6B">
        <w:t>Bahar, S., &amp; Ciggin, A. S. (2016). A simple kinetic modeling approach for aerobic stabilization of real waste activated sludge. Chemical Engineering Journal, 303, 194–201.</w:t>
      </w:r>
    </w:p>
    <w:p w14:paraId="5E0A6E87" w14:textId="77777777" w:rsidR="00957D6B" w:rsidRPr="00957D6B" w:rsidRDefault="00957D6B" w:rsidP="00957D6B">
      <w:pPr>
        <w:pStyle w:val="Els-referenceno-number"/>
      </w:pPr>
      <w:r w:rsidRPr="00957D6B">
        <w:t>Chohji, T., Sawada, T., Nakamura, Y., &amp; Kuno, S. (1984). Mathematical model for diauxic growth of microorganisms in mixed substrate medium. Journal of Chemical Engineering of Japan, 17(5), 478–485.</w:t>
      </w:r>
    </w:p>
    <w:p w14:paraId="513F1346" w14:textId="77777777" w:rsidR="00957D6B" w:rsidRPr="00957D6B" w:rsidRDefault="00957D6B" w:rsidP="00957D6B">
      <w:pPr>
        <w:pStyle w:val="Els-referenceno-number"/>
      </w:pPr>
      <w:r w:rsidRPr="00957D6B">
        <w:t>Durkin, A., Finnigan, T., Johnson, R., Kazer, J., Yu, J., Stuckey, D., &amp; Guo, M. (2022). Can closed-loop microbial protein provide sustainable protein security against the hunger pandemic? Current Research in Biotechnology, 4, 365–376.</w:t>
      </w:r>
    </w:p>
    <w:p w14:paraId="7BD34349" w14:textId="77777777" w:rsidR="00957D6B" w:rsidRPr="00957D6B" w:rsidRDefault="00957D6B" w:rsidP="00957D6B">
      <w:pPr>
        <w:pStyle w:val="Els-referenceno-number"/>
      </w:pPr>
      <w:r w:rsidRPr="00957D6B">
        <w:t>Hanly, T. J., &amp; Henson, M. A. (2013). Unstructured Modeling of a Synthetic Microbial Consortium for Consolidated Production of Ethanol. IFAC Proceedings Volumes, 46(31), 157–162.</w:t>
      </w:r>
    </w:p>
    <w:p w14:paraId="72C94612" w14:textId="77777777" w:rsidR="00957D6B" w:rsidRPr="00957D6B" w:rsidRDefault="00957D6B" w:rsidP="00957D6B">
      <w:pPr>
        <w:pStyle w:val="Els-referenceno-number"/>
      </w:pPr>
      <w:r w:rsidRPr="00957D6B">
        <w:t>Holden, N. M., White, E. P., Lange, M. C., &amp; Oldfield, T. L. (2018). Review of the sustainability of food systems and transition using the Internet of Food. Npj Sci Food, 2(18).</w:t>
      </w:r>
    </w:p>
    <w:p w14:paraId="2E9218CD" w14:textId="77777777" w:rsidR="00957D6B" w:rsidRPr="00957D6B" w:rsidRDefault="00957D6B" w:rsidP="00957D6B">
      <w:pPr>
        <w:pStyle w:val="Els-referenceno-number"/>
      </w:pPr>
      <w:r w:rsidRPr="00957D6B">
        <w:t>Infantes, D., González del Campo, A., Villaseñor, J., &amp; Fernández, F. J. (2012). Kinetic model and study of the influence of pH, temperature and undissociated acids on acidogenic fermentation. Biochemical Engineering Journal, 66, 66–72.</w:t>
      </w:r>
    </w:p>
    <w:p w14:paraId="35CE387B" w14:textId="77777777" w:rsidR="00957D6B" w:rsidRPr="00957D6B" w:rsidRDefault="00957D6B" w:rsidP="00957D6B">
      <w:pPr>
        <w:pStyle w:val="Els-referenceno-number"/>
      </w:pPr>
      <w:r w:rsidRPr="00957D6B">
        <w:t>Kovárová-Kovar, K., &amp; Egli, T. (1998). Growth Kinetics of Suspended Microbial Cells: From Single-Substrate-Controlled Growth to Mixed-Substrate Kinetics. Microbiology and Molecular Biology Reviews, 62(3), 646–666.</w:t>
      </w:r>
    </w:p>
    <w:p w14:paraId="43598F84" w14:textId="77777777" w:rsidR="00957D6B" w:rsidRPr="00957D6B" w:rsidRDefault="00957D6B" w:rsidP="00957D6B">
      <w:pPr>
        <w:pStyle w:val="Els-referenceno-number"/>
      </w:pPr>
      <w:r w:rsidRPr="00957D6B">
        <w:t>Liu, C., &amp; Zachara, J. M. (2001). Uncertainties of Monod Kinetic Parameters Nonlinearly Estimated from Batch Experiments. Environmental Science &amp; Technology, 35(1), 133–141.</w:t>
      </w:r>
    </w:p>
    <w:p w14:paraId="5DE383B5" w14:textId="77777777" w:rsidR="00957D6B" w:rsidRPr="00957D6B" w:rsidRDefault="00957D6B" w:rsidP="00957D6B">
      <w:pPr>
        <w:pStyle w:val="Els-referenceno-number"/>
      </w:pPr>
      <w:r w:rsidRPr="00957D6B">
        <w:t>Manheim, D. C., Detwiler, R. L., &amp; Jiang, S. C. (2019). Application of unstructured kinetic models to predict microcystin biodegradation: Towards a practical approach for drinking water treatment. Water Research, 149, 617–631.</w:t>
      </w:r>
    </w:p>
    <w:p w14:paraId="7C409EE7" w14:textId="77777777" w:rsidR="00957D6B" w:rsidRPr="00957D6B" w:rsidRDefault="00957D6B" w:rsidP="00957D6B">
      <w:pPr>
        <w:pStyle w:val="Els-referenceno-number"/>
      </w:pPr>
      <w:r w:rsidRPr="00957D6B">
        <w:t>Monod, J. (1949). The Growth of Bacterial Cultures. Annual Review of Microbiology, 3(1), 371–394.</w:t>
      </w:r>
    </w:p>
    <w:p w14:paraId="561CF030" w14:textId="77777777" w:rsidR="00957D6B" w:rsidRPr="00957D6B" w:rsidRDefault="00957D6B" w:rsidP="00957D6B">
      <w:pPr>
        <w:pStyle w:val="Els-referenceno-number"/>
      </w:pPr>
      <w:r w:rsidRPr="00957D6B">
        <w:t>Muloiwa, M., Nyende-Byakika, S., &amp; Dinka, M. (2020). Comparison of unstructured kinetic bacterial growth models. South African Journal of Chemical Engineering, 33, 141–150.</w:t>
      </w:r>
    </w:p>
    <w:p w14:paraId="72C03BBB" w14:textId="77777777" w:rsidR="003C6E35" w:rsidRPr="003C6E35" w:rsidRDefault="003C6E35" w:rsidP="003C6E35">
      <w:pPr>
        <w:pStyle w:val="Els-referenceno-number"/>
        <w:rPr>
          <w:lang w:val="en-US"/>
        </w:rPr>
      </w:pPr>
      <w:r w:rsidRPr="003C6E35">
        <w:rPr>
          <w:lang w:val="en-US"/>
        </w:rPr>
        <w:t xml:space="preserve">Narayanan, H., Luna, M. F., von Stosch, M., Cruz Bournazou, M. N., Polotti, G., Morbidelli, M., Butté, A., &amp; Sokolov, M. (2020). Bioprocessing in the Digital Age: The Role of Process Models. </w:t>
      </w:r>
      <w:r w:rsidRPr="003C6E35">
        <w:rPr>
          <w:i/>
          <w:iCs/>
          <w:lang w:val="en-US"/>
        </w:rPr>
        <w:t>Biotechnology Journal</w:t>
      </w:r>
      <w:r w:rsidRPr="003C6E35">
        <w:rPr>
          <w:lang w:val="en-US"/>
        </w:rPr>
        <w:t xml:space="preserve">, </w:t>
      </w:r>
      <w:r w:rsidRPr="003C6E35">
        <w:rPr>
          <w:i/>
          <w:iCs/>
          <w:lang w:val="en-US"/>
        </w:rPr>
        <w:t>15</w:t>
      </w:r>
      <w:r w:rsidRPr="003C6E35">
        <w:rPr>
          <w:lang w:val="en-US"/>
        </w:rPr>
        <w:t>(1).</w:t>
      </w:r>
    </w:p>
    <w:p w14:paraId="77A1852A" w14:textId="77777777" w:rsidR="00957D6B" w:rsidRPr="00957D6B" w:rsidRDefault="00957D6B" w:rsidP="00957D6B">
      <w:pPr>
        <w:pStyle w:val="Els-referenceno-number"/>
      </w:pPr>
      <w:r w:rsidRPr="00957D6B">
        <w:t>Panikov, N. S. (2021). Genome-Scale Reconstruction of Microbial Dynamic Phenotype: Successes and Challenges. Microorganisms, 9(11).</w:t>
      </w:r>
    </w:p>
    <w:p w14:paraId="0A7E9C2A" w14:textId="77777777" w:rsidR="00957D6B" w:rsidRPr="00957D6B" w:rsidRDefault="00957D6B" w:rsidP="00957D6B">
      <w:pPr>
        <w:pStyle w:val="Els-referenceno-number"/>
      </w:pPr>
      <w:r w:rsidRPr="00957D6B">
        <w:t>Piercy, E., Verstraete, W., Ellis, P. R., Banks, M., Rockström, J., Smith, P., Witard, O. C., Hallett, J., Hogstrand, C., Knott, G., Karwati, A., Rasoarahona, H. F., Leslie, A., He, Y., &amp; Guo, M. (2023). A sustainable waste-to-protein system to maximise waste resource utilisation for developing food- and feed-grade protein solutions. Green Chemistry, 25(3), 808–832.</w:t>
      </w:r>
    </w:p>
    <w:p w14:paraId="3639AD22" w14:textId="77777777" w:rsidR="00957D6B" w:rsidRPr="00957D6B" w:rsidRDefault="00957D6B" w:rsidP="00957D6B">
      <w:pPr>
        <w:pStyle w:val="Els-referenceno-number"/>
      </w:pPr>
      <w:r w:rsidRPr="00957D6B">
        <w:t>Qiu, S., Yang, A., &amp; Zeng, H. (2023). Flux balance analysis-based metabolic modeling of microbial secondary metabolism: Current status and outlook. PLOS Computational Biology, 19(8), e1011391.</w:t>
      </w:r>
    </w:p>
    <w:p w14:paraId="5DB3BBD4" w14:textId="77777777" w:rsidR="00957D6B" w:rsidRPr="00957D6B" w:rsidRDefault="00957D6B" w:rsidP="00957D6B">
      <w:pPr>
        <w:pStyle w:val="Els-referenceno-number"/>
      </w:pPr>
      <w:r w:rsidRPr="00957D6B">
        <w:t>Tan, Y., Wang, Z.-X., &amp; Marshall, K. C. (2000). Modeling Substrate Inhibition of Microbial Growth. Biotechnology and Bioengineering, 52(5), 602–608.</w:t>
      </w:r>
    </w:p>
    <w:p w14:paraId="5339A2FC" w14:textId="77777777" w:rsidR="00957D6B" w:rsidRPr="00957D6B" w:rsidRDefault="00957D6B" w:rsidP="00957D6B">
      <w:pPr>
        <w:pStyle w:val="Els-referenceno-number"/>
      </w:pPr>
      <w:r w:rsidRPr="00957D6B">
        <w:t>van Bodegom, P. (2007). Microbial Maintenance: A Critical Review on Its Quantification. Microbial Ecology, 53(4), 513–523.</w:t>
      </w:r>
    </w:p>
    <w:p w14:paraId="652E77C2" w14:textId="77777777" w:rsidR="00957D6B" w:rsidRPr="00957D6B" w:rsidRDefault="00957D6B" w:rsidP="00957D6B">
      <w:pPr>
        <w:pStyle w:val="Els-referenceno-number"/>
      </w:pPr>
      <w:r w:rsidRPr="00957D6B">
        <w:t>Van Dijk, M., Morley, T., Rau, M. L., &amp; Saghai, Y. (2021). A meta-analysis of projected global food demand and population at risk of hunger for the period 2010-2050. Nature Food, 2, 494–501.</w:t>
      </w:r>
    </w:p>
    <w:p w14:paraId="476D38A4" w14:textId="4B90920A" w:rsidR="00616B41" w:rsidRPr="00616B41" w:rsidRDefault="00957D6B" w:rsidP="00957D6B">
      <w:pPr>
        <w:pStyle w:val="Els-referenceno-number"/>
      </w:pPr>
      <w:r w:rsidRPr="00957D6B">
        <w:t>Wieland, F.-G., Hauber, A. L., Rosenblatt, M., Tönsing, C., &amp; Timmer, J. (2021). On structural and practical identifiability. Current Opinion in Systems Biology, 25, 60–69.</w:t>
      </w:r>
    </w:p>
    <w:sectPr w:rsidR="00616B41" w:rsidRPr="00616B41" w:rsidSect="00405738">
      <w:headerReference w:type="even" r:id="rId11"/>
      <w:headerReference w:type="default" r:id="rId12"/>
      <w:headerReference w:type="first" r:id="rId13"/>
      <w:type w:val="continuous"/>
      <w:pgSz w:w="11906" w:h="16838" w:code="9"/>
      <w:pgMar w:top="2377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7F052" w14:textId="77777777" w:rsidR="00405738" w:rsidRDefault="00405738">
      <w:r>
        <w:separator/>
      </w:r>
    </w:p>
  </w:endnote>
  <w:endnote w:type="continuationSeparator" w:id="0">
    <w:p w14:paraId="67C1E56D" w14:textId="77777777" w:rsidR="00405738" w:rsidRDefault="00405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A070A" w14:textId="77777777" w:rsidR="00405738" w:rsidRDefault="00405738">
      <w:r>
        <w:separator/>
      </w:r>
    </w:p>
  </w:footnote>
  <w:footnote w:type="continuationSeparator" w:id="0">
    <w:p w14:paraId="655B3AC0" w14:textId="77777777" w:rsidR="00405738" w:rsidRDefault="00405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9" w14:textId="7E767CD2" w:rsidR="00DD3D9E" w:rsidRDefault="00DD3D9E">
    <w:pPr>
      <w:pStyle w:val="Header"/>
      <w:tabs>
        <w:tab w:val="clear" w:pos="7200"/>
        <w:tab w:val="right" w:pos="7088"/>
      </w:tabs>
    </w:pPr>
    <w:r>
      <w:rPr>
        <w:rStyle w:val="PageNumber"/>
      </w:rPr>
      <w:tab/>
    </w:r>
    <w:r>
      <w:rPr>
        <w:rStyle w:val="PageNumber"/>
        <w:i/>
      </w:rPr>
      <w:tab/>
    </w:r>
    <w:r w:rsidR="009A688F">
      <w:rPr>
        <w:i/>
      </w:rPr>
      <w:t>M. Banks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81E0" w14:textId="77777777" w:rsidR="009A688F" w:rsidRPr="009A688F" w:rsidRDefault="009A688F" w:rsidP="009A688F">
    <w:pPr>
      <w:pStyle w:val="Header"/>
      <w:rPr>
        <w:i/>
        <w:iCs/>
      </w:rPr>
    </w:pPr>
    <w:r w:rsidRPr="009A688F">
      <w:rPr>
        <w:i/>
        <w:iCs/>
      </w:rPr>
      <w:t>Parameter estimation of multi-substrate biokinetic models in lignocellulosic microbial protein systems</w:t>
    </w:r>
  </w:p>
  <w:p w14:paraId="144DE6CA" w14:textId="52D8C9A1" w:rsidR="00DD3D9E" w:rsidRDefault="00DD3D9E" w:rsidP="009A688F">
    <w:pPr>
      <w:pStyle w:val="Header"/>
      <w:tabs>
        <w:tab w:val="clear" w:pos="7200"/>
        <w:tab w:val="right" w:pos="7088"/>
      </w:tabs>
      <w:rPr>
        <w:sz w:val="24"/>
      </w:rPr>
    </w:pPr>
    <w:r>
      <w:rPr>
        <w:rStyle w:val="PageNumber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B" w14:textId="77777777" w:rsidR="00F06842" w:rsidRPr="003B50B5" w:rsidRDefault="00F06842" w:rsidP="00F06842">
    <w:pPr>
      <w:pStyle w:val="ElsevierBodyTextCentredNospace"/>
      <w:jc w:val="left"/>
      <w:rPr>
        <w:noProof/>
        <w:sz w:val="18"/>
        <w:szCs w:val="18"/>
      </w:rPr>
    </w:pPr>
    <w:r w:rsidRPr="0068162C">
      <w:rPr>
        <w:color w:val="auto"/>
        <w:sz w:val="18"/>
        <w:szCs w:val="18"/>
      </w:rPr>
      <w:t xml:space="preserve">Flavio </w:t>
    </w:r>
    <w:proofErr w:type="spellStart"/>
    <w:r w:rsidRPr="0068162C">
      <w:rPr>
        <w:color w:val="auto"/>
        <w:sz w:val="18"/>
        <w:szCs w:val="18"/>
      </w:rPr>
      <w:t>Manenti</w:t>
    </w:r>
    <w:proofErr w:type="spellEnd"/>
    <w:r w:rsidRPr="0068162C">
      <w:rPr>
        <w:color w:val="auto"/>
        <w:sz w:val="18"/>
        <w:szCs w:val="18"/>
      </w:rPr>
      <w:t xml:space="preserve">, </w:t>
    </w:r>
    <w:proofErr w:type="spellStart"/>
    <w:r w:rsidRPr="0068162C">
      <w:rPr>
        <w:color w:val="auto"/>
        <w:sz w:val="18"/>
        <w:szCs w:val="18"/>
      </w:rPr>
      <w:t>Gintaras</w:t>
    </w:r>
    <w:proofErr w:type="spellEnd"/>
    <w:r w:rsidRPr="0068162C">
      <w:rPr>
        <w:color w:val="auto"/>
        <w:sz w:val="18"/>
        <w:szCs w:val="18"/>
      </w:rPr>
      <w:t xml:space="preserve"> V. </w:t>
    </w:r>
    <w:proofErr w:type="spellStart"/>
    <w:r w:rsidRPr="0068162C">
      <w:rPr>
        <w:color w:val="auto"/>
        <w:sz w:val="18"/>
        <w:szCs w:val="18"/>
      </w:rPr>
      <w:t>Reklaitis</w:t>
    </w:r>
    <w:proofErr w:type="spellEnd"/>
    <w:r w:rsidRPr="0068162C">
      <w:rPr>
        <w:color w:val="auto"/>
        <w:sz w:val="18"/>
        <w:szCs w:val="18"/>
      </w:rPr>
      <w:t xml:space="preserve">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  <w:u w:val="none"/>
      </w:rPr>
      <w:t>34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144DE6CC" w14:textId="77777777" w:rsidR="00DD3D9E" w:rsidRDefault="00F06842" w:rsidP="00F06842">
    <w:pPr>
      <w:tabs>
        <w:tab w:val="right" w:pos="7086"/>
      </w:tabs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r w:rsidR="00DD3D9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96A6009"/>
    <w:multiLevelType w:val="hybridMultilevel"/>
    <w:tmpl w:val="26E6A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4" w15:restartNumberingAfterBreak="0">
    <w:nsid w:val="208C4C8B"/>
    <w:multiLevelType w:val="hybridMultilevel"/>
    <w:tmpl w:val="5C48B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2438217E"/>
    <w:multiLevelType w:val="multilevel"/>
    <w:tmpl w:val="B3242232"/>
    <w:lvl w:ilvl="0">
      <w:start w:val="1"/>
      <w:numFmt w:val="decimal"/>
      <w:pStyle w:val="Els-Chapterno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-1storder-head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-2ndorder-head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-3rdorder-head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8" w15:restartNumberingAfterBreak="0">
    <w:nsid w:val="28353378"/>
    <w:multiLevelType w:val="hybridMultilevel"/>
    <w:tmpl w:val="EB720106"/>
    <w:lvl w:ilvl="0" w:tplc="F13E8FC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BA0533"/>
    <w:multiLevelType w:val="hybridMultilevel"/>
    <w:tmpl w:val="9A900F20"/>
    <w:lvl w:ilvl="0" w:tplc="AD94A8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FFF30A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6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8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9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D405165"/>
    <w:multiLevelType w:val="hybridMultilevel"/>
    <w:tmpl w:val="A7E48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910568">
    <w:abstractNumId w:val="16"/>
  </w:num>
  <w:num w:numId="2" w16cid:durableId="47382885">
    <w:abstractNumId w:val="16"/>
  </w:num>
  <w:num w:numId="3" w16cid:durableId="967853731">
    <w:abstractNumId w:val="16"/>
  </w:num>
  <w:num w:numId="4" w16cid:durableId="1739282265">
    <w:abstractNumId w:val="16"/>
  </w:num>
  <w:num w:numId="5" w16cid:durableId="698892343">
    <w:abstractNumId w:val="0"/>
  </w:num>
  <w:num w:numId="6" w16cid:durableId="1660883641">
    <w:abstractNumId w:val="9"/>
  </w:num>
  <w:num w:numId="7" w16cid:durableId="1863349795">
    <w:abstractNumId w:val="17"/>
  </w:num>
  <w:num w:numId="8" w16cid:durableId="1750734252">
    <w:abstractNumId w:val="2"/>
  </w:num>
  <w:num w:numId="9" w16cid:durableId="203061615">
    <w:abstractNumId w:val="15"/>
  </w:num>
  <w:num w:numId="10" w16cid:durableId="1478497114">
    <w:abstractNumId w:val="19"/>
  </w:num>
  <w:num w:numId="11" w16cid:durableId="1896693444">
    <w:abstractNumId w:val="18"/>
  </w:num>
  <w:num w:numId="12" w16cid:durableId="774787662">
    <w:abstractNumId w:val="7"/>
  </w:num>
  <w:num w:numId="13" w16cid:durableId="1525900646">
    <w:abstractNumId w:val="12"/>
  </w:num>
  <w:num w:numId="14" w16cid:durableId="1455515963">
    <w:abstractNumId w:val="3"/>
  </w:num>
  <w:num w:numId="15" w16cid:durableId="446657998">
    <w:abstractNumId w:val="10"/>
  </w:num>
  <w:num w:numId="16" w16cid:durableId="322592235">
    <w:abstractNumId w:val="5"/>
  </w:num>
  <w:num w:numId="17" w16cid:durableId="596719075">
    <w:abstractNumId w:val="6"/>
  </w:num>
  <w:num w:numId="18" w16cid:durableId="886648604">
    <w:abstractNumId w:val="14"/>
  </w:num>
  <w:num w:numId="19" w16cid:durableId="2052613593">
    <w:abstractNumId w:val="20"/>
  </w:num>
  <w:num w:numId="20" w16cid:durableId="394551896">
    <w:abstractNumId w:val="4"/>
  </w:num>
  <w:num w:numId="21" w16cid:durableId="238373649">
    <w:abstractNumId w:val="1"/>
  </w:num>
  <w:num w:numId="22" w16cid:durableId="1331330728">
    <w:abstractNumId w:val="13"/>
  </w:num>
  <w:num w:numId="23" w16cid:durableId="78604241">
    <w:abstractNumId w:val="8"/>
  </w:num>
  <w:num w:numId="24" w16cid:durableId="2278878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37"/>
    <w:rsid w:val="00002270"/>
    <w:rsid w:val="00016B83"/>
    <w:rsid w:val="00027D03"/>
    <w:rsid w:val="000401D2"/>
    <w:rsid w:val="000469DA"/>
    <w:rsid w:val="00047009"/>
    <w:rsid w:val="00081AD2"/>
    <w:rsid w:val="00081F9F"/>
    <w:rsid w:val="000B7808"/>
    <w:rsid w:val="000D3D9B"/>
    <w:rsid w:val="000F1817"/>
    <w:rsid w:val="000F7CDF"/>
    <w:rsid w:val="0012651D"/>
    <w:rsid w:val="0013709A"/>
    <w:rsid w:val="00150D63"/>
    <w:rsid w:val="0015442C"/>
    <w:rsid w:val="00154FA1"/>
    <w:rsid w:val="0016032F"/>
    <w:rsid w:val="00166EFF"/>
    <w:rsid w:val="00173F78"/>
    <w:rsid w:val="001879F6"/>
    <w:rsid w:val="00191108"/>
    <w:rsid w:val="001C0148"/>
    <w:rsid w:val="001C757E"/>
    <w:rsid w:val="001D3471"/>
    <w:rsid w:val="001F2D5D"/>
    <w:rsid w:val="0020390F"/>
    <w:rsid w:val="00205215"/>
    <w:rsid w:val="002061CA"/>
    <w:rsid w:val="002072D5"/>
    <w:rsid w:val="00221B14"/>
    <w:rsid w:val="00242F98"/>
    <w:rsid w:val="00264926"/>
    <w:rsid w:val="00274AE6"/>
    <w:rsid w:val="00286ACC"/>
    <w:rsid w:val="002B613F"/>
    <w:rsid w:val="002E7896"/>
    <w:rsid w:val="003266A4"/>
    <w:rsid w:val="003443CF"/>
    <w:rsid w:val="00355921"/>
    <w:rsid w:val="0038141D"/>
    <w:rsid w:val="003822C6"/>
    <w:rsid w:val="00384DBB"/>
    <w:rsid w:val="003B1243"/>
    <w:rsid w:val="003B4CEB"/>
    <w:rsid w:val="003C15A1"/>
    <w:rsid w:val="003C36E8"/>
    <w:rsid w:val="003C6E35"/>
    <w:rsid w:val="003D0E3A"/>
    <w:rsid w:val="003D1582"/>
    <w:rsid w:val="003D7E4C"/>
    <w:rsid w:val="003E41C2"/>
    <w:rsid w:val="003F0CC7"/>
    <w:rsid w:val="00405738"/>
    <w:rsid w:val="0041063E"/>
    <w:rsid w:val="00410EAC"/>
    <w:rsid w:val="00437906"/>
    <w:rsid w:val="00450556"/>
    <w:rsid w:val="004616DB"/>
    <w:rsid w:val="004929EA"/>
    <w:rsid w:val="0049772C"/>
    <w:rsid w:val="004A0B73"/>
    <w:rsid w:val="004B155F"/>
    <w:rsid w:val="004D2FDA"/>
    <w:rsid w:val="004D45D7"/>
    <w:rsid w:val="004E6D22"/>
    <w:rsid w:val="0052285A"/>
    <w:rsid w:val="0053594F"/>
    <w:rsid w:val="00552EEB"/>
    <w:rsid w:val="0055423C"/>
    <w:rsid w:val="00567801"/>
    <w:rsid w:val="005C74ED"/>
    <w:rsid w:val="005D5CBE"/>
    <w:rsid w:val="005D5D91"/>
    <w:rsid w:val="006100C2"/>
    <w:rsid w:val="00611250"/>
    <w:rsid w:val="006131F4"/>
    <w:rsid w:val="00616B41"/>
    <w:rsid w:val="00697A5D"/>
    <w:rsid w:val="006A69BF"/>
    <w:rsid w:val="006B17FD"/>
    <w:rsid w:val="00711DF4"/>
    <w:rsid w:val="00737591"/>
    <w:rsid w:val="00753DC6"/>
    <w:rsid w:val="007572CD"/>
    <w:rsid w:val="007671AE"/>
    <w:rsid w:val="007734B0"/>
    <w:rsid w:val="007A4743"/>
    <w:rsid w:val="007C286B"/>
    <w:rsid w:val="007D4A23"/>
    <w:rsid w:val="007D70A1"/>
    <w:rsid w:val="007F2CF6"/>
    <w:rsid w:val="007F7C0F"/>
    <w:rsid w:val="00810850"/>
    <w:rsid w:val="008132E8"/>
    <w:rsid w:val="00823407"/>
    <w:rsid w:val="00873839"/>
    <w:rsid w:val="0088273D"/>
    <w:rsid w:val="00883FA0"/>
    <w:rsid w:val="008B0184"/>
    <w:rsid w:val="008C3E33"/>
    <w:rsid w:val="008C5D02"/>
    <w:rsid w:val="008D2649"/>
    <w:rsid w:val="008D6CE7"/>
    <w:rsid w:val="0090568D"/>
    <w:rsid w:val="009125C9"/>
    <w:rsid w:val="00913879"/>
    <w:rsid w:val="00917661"/>
    <w:rsid w:val="00935CD5"/>
    <w:rsid w:val="00957D6B"/>
    <w:rsid w:val="00963B23"/>
    <w:rsid w:val="00970E5D"/>
    <w:rsid w:val="0097701C"/>
    <w:rsid w:val="00980A65"/>
    <w:rsid w:val="009867D0"/>
    <w:rsid w:val="009A688F"/>
    <w:rsid w:val="009E5278"/>
    <w:rsid w:val="009F0B0F"/>
    <w:rsid w:val="009F4CFC"/>
    <w:rsid w:val="009F7556"/>
    <w:rsid w:val="00A15BF2"/>
    <w:rsid w:val="00A25E70"/>
    <w:rsid w:val="00A33765"/>
    <w:rsid w:val="00A63269"/>
    <w:rsid w:val="00A65C65"/>
    <w:rsid w:val="00A713C4"/>
    <w:rsid w:val="00A92114"/>
    <w:rsid w:val="00A92377"/>
    <w:rsid w:val="00AA2E20"/>
    <w:rsid w:val="00AB29ED"/>
    <w:rsid w:val="00AB55A2"/>
    <w:rsid w:val="00AB597B"/>
    <w:rsid w:val="00AC4D9F"/>
    <w:rsid w:val="00AE4BD8"/>
    <w:rsid w:val="00AE5702"/>
    <w:rsid w:val="00AE753B"/>
    <w:rsid w:val="00B14328"/>
    <w:rsid w:val="00B4388F"/>
    <w:rsid w:val="00B447C1"/>
    <w:rsid w:val="00B63237"/>
    <w:rsid w:val="00B73911"/>
    <w:rsid w:val="00B959A9"/>
    <w:rsid w:val="00BA6088"/>
    <w:rsid w:val="00C07EDA"/>
    <w:rsid w:val="00C2003F"/>
    <w:rsid w:val="00C31B6C"/>
    <w:rsid w:val="00C8797A"/>
    <w:rsid w:val="00C960DC"/>
    <w:rsid w:val="00CA09D0"/>
    <w:rsid w:val="00CD208C"/>
    <w:rsid w:val="00CF2309"/>
    <w:rsid w:val="00D02C75"/>
    <w:rsid w:val="00D10E22"/>
    <w:rsid w:val="00D13D2C"/>
    <w:rsid w:val="00D441D6"/>
    <w:rsid w:val="00D45CBB"/>
    <w:rsid w:val="00D45D24"/>
    <w:rsid w:val="00D52D05"/>
    <w:rsid w:val="00D85DF9"/>
    <w:rsid w:val="00D9225D"/>
    <w:rsid w:val="00DC2F94"/>
    <w:rsid w:val="00DD3D9E"/>
    <w:rsid w:val="00DD3F88"/>
    <w:rsid w:val="00DD7908"/>
    <w:rsid w:val="00E13072"/>
    <w:rsid w:val="00E20CF3"/>
    <w:rsid w:val="00E251BA"/>
    <w:rsid w:val="00E34A00"/>
    <w:rsid w:val="00E82297"/>
    <w:rsid w:val="00EA12FA"/>
    <w:rsid w:val="00EB5F83"/>
    <w:rsid w:val="00EF39FD"/>
    <w:rsid w:val="00F036DC"/>
    <w:rsid w:val="00F06842"/>
    <w:rsid w:val="00F06D06"/>
    <w:rsid w:val="00F107FD"/>
    <w:rsid w:val="00F2733E"/>
    <w:rsid w:val="00F8391B"/>
    <w:rsid w:val="00FA2DDF"/>
    <w:rsid w:val="00FB2B15"/>
    <w:rsid w:val="00FB2B35"/>
    <w:rsid w:val="00FB64A8"/>
    <w:rsid w:val="00FF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4DE67F"/>
  <w15:docId w15:val="{814008BD-B589-2C4C-B1A0-07C302AB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2E20"/>
    <w:rPr>
      <w:lang w:eastAsia="en-US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D9225D"/>
    <w:pPr>
      <w:ind w:left="432" w:hanging="432"/>
      <w:outlineLvl w:val="0"/>
    </w:pPr>
    <w:rPr>
      <w:rFonts w:ascii="Open Sans SemiBold" w:eastAsiaTheme="minorHAnsi" w:hAnsi="Open Sans SemiBold" w:cs="Open Sans SemiBold"/>
      <w:b/>
      <w:bCs/>
      <w:kern w:val="2"/>
      <w:sz w:val="36"/>
      <w:szCs w:val="36"/>
      <w14:ligatures w14:val="standardContextual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9225D"/>
    <w:pPr>
      <w:ind w:left="576" w:hanging="576"/>
      <w:outlineLvl w:val="1"/>
    </w:pPr>
    <w:rPr>
      <w:rFonts w:ascii="Open Sans SemiBold" w:eastAsiaTheme="minorHAnsi" w:hAnsi="Open Sans SemiBold" w:cs="Open Sans SemiBold"/>
      <w:b/>
      <w:bCs/>
      <w:kern w:val="2"/>
      <w:sz w:val="24"/>
      <w:szCs w:val="24"/>
      <w14:ligatures w14:val="standardContextual"/>
    </w:rPr>
  </w:style>
  <w:style w:type="paragraph" w:styleId="Heading3">
    <w:name w:val="heading 3"/>
    <w:basedOn w:val="Normal"/>
    <w:next w:val="Normal"/>
    <w:uiPriority w:val="9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17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17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17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EndnoteReference">
    <w:name w:val="endnote reference"/>
    <w:basedOn w:val="DefaultParagraphFont"/>
    <w:semiHidden/>
    <w:rsid w:val="008B0184"/>
    <w:rPr>
      <w:vertAlign w:val="superscript"/>
    </w:rPr>
  </w:style>
  <w:style w:type="paragraph" w:styleId="Header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Footer">
    <w:name w:val="footer"/>
    <w:basedOn w:val="Header"/>
    <w:rsid w:val="008B0184"/>
  </w:style>
  <w:style w:type="character" w:styleId="FootnoteReference">
    <w:name w:val="footnote reference"/>
    <w:semiHidden/>
    <w:rsid w:val="008B0184"/>
    <w:rPr>
      <w:vertAlign w:val="superscript"/>
    </w:rPr>
  </w:style>
  <w:style w:type="paragraph" w:styleId="FootnoteText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DefaultParagraphFont"/>
    <w:rsid w:val="008B0184"/>
    <w:rPr>
      <w:color w:val="0000FF"/>
      <w:u w:val="single"/>
    </w:rPr>
  </w:style>
  <w:style w:type="character" w:customStyle="1" w:styleId="MTEquationSection">
    <w:name w:val="MTEquationSection"/>
    <w:basedOn w:val="DefaultParagraphFont"/>
    <w:rsid w:val="008B0184"/>
    <w:rPr>
      <w:vanish/>
      <w:color w:val="FF0000"/>
    </w:rPr>
  </w:style>
  <w:style w:type="character" w:styleId="PageNumber">
    <w:name w:val="page number"/>
    <w:basedOn w:val="DefaultParagraphFont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numPr>
        <w:numId w:val="17"/>
      </w:num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DefaultParagraphFont"/>
    <w:rsid w:val="008B0184"/>
    <w:rPr>
      <w:sz w:val="18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8B0184"/>
    <w:rPr>
      <w:sz w:val="16"/>
      <w:szCs w:val="16"/>
    </w:rPr>
  </w:style>
  <w:style w:type="paragraph" w:styleId="CommentText">
    <w:name w:val="annotation text"/>
    <w:basedOn w:val="Normal"/>
    <w:semiHidden/>
    <w:rsid w:val="008B0184"/>
  </w:style>
  <w:style w:type="paragraph" w:styleId="CommentSubject">
    <w:name w:val="annotation subject"/>
    <w:basedOn w:val="CommentText"/>
    <w:next w:val="CommentText"/>
    <w:semiHidden/>
    <w:rsid w:val="008B0184"/>
    <w:rPr>
      <w:b/>
      <w:bCs/>
    </w:rPr>
  </w:style>
  <w:style w:type="paragraph" w:styleId="BalloonText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  <w:pPr>
      <w:numPr>
        <w:ilvl w:val="0"/>
        <w:numId w:val="0"/>
      </w:numPr>
    </w:pPr>
  </w:style>
  <w:style w:type="character" w:customStyle="1" w:styleId="underline1">
    <w:name w:val="underline1"/>
    <w:basedOn w:val="DefaultParagraphFont"/>
    <w:rsid w:val="00F06842"/>
    <w:rPr>
      <w:u w:val="single"/>
    </w:rPr>
  </w:style>
  <w:style w:type="paragraph" w:customStyle="1" w:styleId="ElsevierBodyTextCentredNospace">
    <w:name w:val="Elsevier Body Text Centred No space"/>
    <w:basedOn w:val="Normal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9225D"/>
    <w:rPr>
      <w:rFonts w:ascii="Open Sans SemiBold" w:eastAsiaTheme="minorHAnsi" w:hAnsi="Open Sans SemiBold" w:cs="Open Sans SemiBold"/>
      <w:b/>
      <w:bCs/>
      <w:kern w:val="2"/>
      <w:sz w:val="36"/>
      <w:szCs w:val="36"/>
      <w:lang w:eastAsia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D9225D"/>
    <w:rPr>
      <w:rFonts w:ascii="Open Sans SemiBold" w:eastAsiaTheme="minorHAnsi" w:hAnsi="Open Sans SemiBold" w:cs="Open Sans SemiBold"/>
      <w:b/>
      <w:bCs/>
      <w:kern w:val="2"/>
      <w:sz w:val="24"/>
      <w:szCs w:val="24"/>
      <w:lang w:eastAsia="en-US"/>
      <w14:ligatures w14:val="standardContextual"/>
    </w:rPr>
  </w:style>
  <w:style w:type="paragraph" w:customStyle="1" w:styleId="111Heading4">
    <w:name w:val="1.1.1. Heading 4"/>
    <w:basedOn w:val="Heading3"/>
    <w:qFormat/>
    <w:rsid w:val="00D9225D"/>
    <w:pPr>
      <w:keepNext w:val="0"/>
      <w:tabs>
        <w:tab w:val="num" w:pos="360"/>
      </w:tabs>
      <w:spacing w:before="0" w:after="0"/>
      <w:ind w:left="864" w:hanging="864"/>
      <w:contextualSpacing/>
    </w:pPr>
    <w:rPr>
      <w:rFonts w:ascii="Open Sans SemiBold" w:eastAsiaTheme="minorHAnsi" w:hAnsi="Open Sans SemiBold" w:cs="Open Sans"/>
      <w:bCs w:val="0"/>
      <w:i/>
      <w:iCs/>
      <w:kern w:val="2"/>
      <w:sz w:val="20"/>
      <w:szCs w:val="20"/>
      <w14:ligatures w14:val="standardContextual"/>
    </w:rPr>
  </w:style>
  <w:style w:type="paragraph" w:styleId="ListParagraph">
    <w:name w:val="List Paragraph"/>
    <w:basedOn w:val="Normal"/>
    <w:uiPriority w:val="34"/>
    <w:qFormat/>
    <w:rsid w:val="00D9225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D4A23"/>
    <w:rPr>
      <w:color w:val="666666"/>
    </w:rPr>
  </w:style>
  <w:style w:type="table" w:styleId="TableGrid">
    <w:name w:val="Table Grid"/>
    <w:basedOn w:val="TableNormal"/>
    <w:rsid w:val="00522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rd">
    <w:name w:val="mord"/>
    <w:basedOn w:val="DefaultParagraphFont"/>
    <w:rsid w:val="00CA09D0"/>
  </w:style>
  <w:style w:type="character" w:customStyle="1" w:styleId="mop">
    <w:name w:val="mop"/>
    <w:basedOn w:val="DefaultParagraphFont"/>
    <w:rsid w:val="00CA09D0"/>
  </w:style>
  <w:style w:type="character" w:customStyle="1" w:styleId="mrel">
    <w:name w:val="mrel"/>
    <w:basedOn w:val="DefaultParagraphFont"/>
    <w:rsid w:val="00CA09D0"/>
  </w:style>
  <w:style w:type="character" w:customStyle="1" w:styleId="vlist-s">
    <w:name w:val="vlist-s"/>
    <w:basedOn w:val="DefaultParagraphFont"/>
    <w:rsid w:val="00CA09D0"/>
  </w:style>
  <w:style w:type="character" w:customStyle="1" w:styleId="mopen">
    <w:name w:val="mopen"/>
    <w:basedOn w:val="DefaultParagraphFont"/>
    <w:rsid w:val="00CA09D0"/>
  </w:style>
  <w:style w:type="character" w:customStyle="1" w:styleId="mbin">
    <w:name w:val="mbin"/>
    <w:basedOn w:val="DefaultParagraphFont"/>
    <w:rsid w:val="00CA09D0"/>
  </w:style>
  <w:style w:type="character" w:customStyle="1" w:styleId="mpunct">
    <w:name w:val="mpunct"/>
    <w:basedOn w:val="DefaultParagraphFont"/>
    <w:rsid w:val="00CA09D0"/>
  </w:style>
  <w:style w:type="character" w:customStyle="1" w:styleId="mclose">
    <w:name w:val="mclose"/>
    <w:basedOn w:val="DefaultParagraphFont"/>
    <w:rsid w:val="00CA0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0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8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5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1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1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6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3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0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98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2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99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3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2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9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54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3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6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9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2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5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2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0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3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28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4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4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3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4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8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91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1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5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0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4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01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2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6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8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8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5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6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52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6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3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41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5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6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9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8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4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34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84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1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0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89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3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1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0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7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1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0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6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2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4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8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2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9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1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3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9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2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3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5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2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3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8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1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2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6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8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2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3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8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61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8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4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8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5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2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9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5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2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1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0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6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5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1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6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4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4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7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2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2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6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4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4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2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0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1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7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93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2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4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19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4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0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2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0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5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1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83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2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5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7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9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8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0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8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5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7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2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7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90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6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0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1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8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1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4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0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8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5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5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69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8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0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0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3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9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11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8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9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9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3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8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5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6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0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4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8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4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1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2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2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6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3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0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1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07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5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6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8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4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6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4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7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1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54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4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1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1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8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4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4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9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9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0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11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53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7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7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5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3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9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2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9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2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8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5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0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54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3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2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2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0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1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9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8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6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3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2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2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82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3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8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581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1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9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7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6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9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3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5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1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6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2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43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3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6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1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01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1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2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4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8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4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2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6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9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3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3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1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2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4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09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1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0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7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9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1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2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5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9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39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5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4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8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8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4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0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27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1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6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1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2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48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5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1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66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3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1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2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87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2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85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7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2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1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6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8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8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7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8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4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3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7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0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1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8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43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6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7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87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3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8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57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8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6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1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21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0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9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70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5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7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2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9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8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0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0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10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6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9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9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7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0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5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8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4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4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5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6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1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3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1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1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8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0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0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0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8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6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8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4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0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0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59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48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1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7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0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3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6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3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7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1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8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4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3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8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8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47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8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0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2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8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48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5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7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5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7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2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2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9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4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3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6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4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6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1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1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1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4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5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7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3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4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8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2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3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5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4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0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5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6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1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8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7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5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4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34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1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0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2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7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64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0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8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7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01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4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9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68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6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4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5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3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5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7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56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8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0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5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8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2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8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4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9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2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4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4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90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6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1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5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18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5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6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3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4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48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8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5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9DA83657-BE74-9248-97C6-4B59EBDFA290}">
  <we:reference id="f78a3046-9e99-4300-aa2b-5814002b01a2" version="1.55.1.0" store="EXCatalog" storeType="EXCatalog"/>
  <we:alternateReferences>
    <we:reference id="WA104382081" version="1.55.1.0" store="en-GB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57FBECE0-A403-9141-BE82-86A8D2573DCE}">
  <we:reference id="8c1c3d44-57e9-40d7-86e4-4adf61fea1dd" version="2.1.0.1" store="EXCatalog" storeType="EXCatalog"/>
  <we:alternateReferences>
    <we:reference id="WA104380122" version="2.1.0.1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B3C32E-AE1A-5F4F-A049-9D60B3D2A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C:\Users\marinakisk\KOSTAS-10 July 2017\books\book proposals\Computer Aided Chemical Engineering\Instructions\Chapter.dotx</Template>
  <TotalTime>1</TotalTime>
  <Pages>6</Pages>
  <Words>2885</Words>
  <Characters>16447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Chapter</vt:lpstr>
      <vt:lpstr>Chapter</vt:lpstr>
    </vt:vector>
  </TitlesOfParts>
  <Company>Elsevier Science</Company>
  <LinksUpToDate>false</LinksUpToDate>
  <CharactersWithSpaces>19294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subject/>
  <dc:creator>Kostas</dc:creator>
  <cp:keywords/>
  <dc:description/>
  <cp:lastModifiedBy>Mason Banks</cp:lastModifiedBy>
  <cp:revision>2</cp:revision>
  <cp:lastPrinted>2023-11-28T12:30:00Z</cp:lastPrinted>
  <dcterms:created xsi:type="dcterms:W3CDTF">2024-01-01T21:44:00Z</dcterms:created>
  <dcterms:modified xsi:type="dcterms:W3CDTF">2024-01-01T21:44:00Z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</Properties>
</file>