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E1BF" w14:textId="6D39A258" w:rsidR="00DD3D9E" w:rsidRPr="00864F04" w:rsidRDefault="0024533C">
      <w:pPr>
        <w:pStyle w:val="Els-Title"/>
        <w:rPr>
          <w:szCs w:val="32"/>
        </w:rPr>
      </w:pPr>
      <w:r w:rsidRPr="00864F04">
        <w:rPr>
          <w:szCs w:val="32"/>
        </w:rPr>
        <w:t xml:space="preserve">Multiscale Modeling of Solid Oxide Fuel Cells </w:t>
      </w:r>
      <w:r w:rsidR="003C5E6A" w:rsidRPr="00864F04">
        <w:rPr>
          <w:szCs w:val="32"/>
        </w:rPr>
        <w:t>Using</w:t>
      </w:r>
      <w:r w:rsidRPr="00864F04">
        <w:rPr>
          <w:szCs w:val="32"/>
        </w:rPr>
        <w:t xml:space="preserve"> </w:t>
      </w:r>
      <w:r w:rsidR="003C5E6A" w:rsidRPr="00864F04">
        <w:rPr>
          <w:szCs w:val="32"/>
        </w:rPr>
        <w:t xml:space="preserve">Various Microscale </w:t>
      </w:r>
      <w:r w:rsidR="00E404B5" w:rsidRPr="00864F04">
        <w:rPr>
          <w:szCs w:val="32"/>
        </w:rPr>
        <w:t>Domains</w:t>
      </w:r>
      <w:r w:rsidR="00800C25" w:rsidRPr="00864F04">
        <w:rPr>
          <w:szCs w:val="32"/>
        </w:rPr>
        <w:t xml:space="preserve"> Across the Length of the Cell</w:t>
      </w:r>
    </w:p>
    <w:p w14:paraId="73C7115C" w14:textId="5B093D8B" w:rsidR="00DD3D9E" w:rsidRPr="00A7749B" w:rsidRDefault="00E82277">
      <w:pPr>
        <w:pStyle w:val="Els-Author"/>
        <w:rPr>
          <w:lang w:val="it-IT"/>
        </w:rPr>
      </w:pPr>
      <w:r w:rsidRPr="00A7749B">
        <w:rPr>
          <w:lang w:val="it-IT"/>
        </w:rPr>
        <w:t>Hamid Reza Abbasi</w:t>
      </w:r>
      <w:r w:rsidR="005B4658" w:rsidRPr="00A7749B">
        <w:rPr>
          <w:lang w:val="it-IT"/>
        </w:rPr>
        <w:t>,</w:t>
      </w:r>
      <w:r w:rsidR="005B4658" w:rsidRPr="00A7749B">
        <w:rPr>
          <w:vertAlign w:val="superscript"/>
          <w:lang w:val="it-IT"/>
        </w:rPr>
        <w:t>a</w:t>
      </w:r>
      <w:r w:rsidR="005B4658" w:rsidRPr="00A7749B">
        <w:rPr>
          <w:lang w:val="it-IT"/>
        </w:rPr>
        <w:t xml:space="preserve"> </w:t>
      </w:r>
      <w:r w:rsidR="00A314C6" w:rsidRPr="00A7749B">
        <w:rPr>
          <w:lang w:val="it-IT"/>
        </w:rPr>
        <w:t>Masoud Babaei</w:t>
      </w:r>
      <w:r w:rsidR="005B4658" w:rsidRPr="00A7749B">
        <w:rPr>
          <w:lang w:val="it-IT"/>
        </w:rPr>
        <w:t>,</w:t>
      </w:r>
      <w:r w:rsidR="00A314C6" w:rsidRPr="00A7749B">
        <w:rPr>
          <w:vertAlign w:val="superscript"/>
          <w:lang w:val="it-IT"/>
        </w:rPr>
        <w:t>a</w:t>
      </w:r>
      <w:r w:rsidR="00CD5E38" w:rsidRPr="00A7749B">
        <w:rPr>
          <w:lang w:val="it-IT"/>
        </w:rPr>
        <w:t xml:space="preserve"> Constantinos Theodoropoulos,</w:t>
      </w:r>
      <w:r w:rsidR="00CD5E38" w:rsidRPr="00A7749B">
        <w:rPr>
          <w:vertAlign w:val="superscript"/>
          <w:lang w:val="it-IT"/>
        </w:rPr>
        <w:t>a</w:t>
      </w:r>
      <w:r w:rsidR="00856E86" w:rsidRPr="00A7749B">
        <w:rPr>
          <w:vertAlign w:val="superscript"/>
          <w:lang w:val="it-IT"/>
        </w:rPr>
        <w:t>*</w:t>
      </w:r>
    </w:p>
    <w:p w14:paraId="5A68B163" w14:textId="77777777" w:rsidR="00CE3116" w:rsidRDefault="00003F21">
      <w:pPr>
        <w:pStyle w:val="Els-Affiliation"/>
      </w:pPr>
      <w:r w:rsidRPr="00003F21">
        <w:rPr>
          <w:vertAlign w:val="superscript"/>
        </w:rPr>
        <w:t>a</w:t>
      </w:r>
      <w:r w:rsidR="00A314C6">
        <w:t xml:space="preserve">Department of </w:t>
      </w:r>
      <w:r w:rsidR="00CD5E38">
        <w:t>C</w:t>
      </w:r>
      <w:r w:rsidR="00A314C6">
        <w:t xml:space="preserve">hemical Engineering, The University of Manchester, Manchester, </w:t>
      </w:r>
    </w:p>
    <w:p w14:paraId="7839705A" w14:textId="71AF6C9E" w:rsidR="00DD3D9E" w:rsidRDefault="00A314C6" w:rsidP="00CC13AE">
      <w:pPr>
        <w:pStyle w:val="Els-Affiliation"/>
      </w:pPr>
      <w:r>
        <w:t>M13 9PL, United Kingdom</w:t>
      </w:r>
    </w:p>
    <w:p w14:paraId="4E9836B6" w14:textId="7EA38170" w:rsidR="00DD3D9E" w:rsidRDefault="00DD3D9E">
      <w:pPr>
        <w:pStyle w:val="Els-Abstract"/>
      </w:pPr>
      <w:r>
        <w:t>Abstract</w:t>
      </w:r>
    </w:p>
    <w:p w14:paraId="741D5545" w14:textId="24B7CF9B" w:rsidR="00A64BE3" w:rsidRDefault="003470A2" w:rsidP="003A5683">
      <w:pPr>
        <w:pStyle w:val="Els-body-text"/>
      </w:pPr>
      <w:r w:rsidRPr="003470A2">
        <w:t xml:space="preserve">This study presents a multiscale modelling approach for solid oxide fuel cells (SOFCs), focusing on the interplay between </w:t>
      </w:r>
      <w:r w:rsidR="005E6A5F">
        <w:t>macro</w:t>
      </w:r>
      <w:r w:rsidRPr="003470A2">
        <w:t xml:space="preserve">scopic and microscopic features. Our investigation delves into the electrochemical performance of SOFCs, </w:t>
      </w:r>
      <w:r w:rsidR="00743022">
        <w:t xml:space="preserve">using a microscale solver that models electrochemical reactions </w:t>
      </w:r>
      <w:r w:rsidR="00F45055">
        <w:t xml:space="preserve">and mass/charge transport </w:t>
      </w:r>
      <w:r w:rsidR="004B4845">
        <w:t xml:space="preserve">within porous anode microstructure </w:t>
      </w:r>
      <w:r w:rsidR="00743022">
        <w:t xml:space="preserve">and a </w:t>
      </w:r>
      <w:r w:rsidR="005E6A5F">
        <w:t>macro</w:t>
      </w:r>
      <w:r w:rsidR="00743022">
        <w:t xml:space="preserve">scale model that </w:t>
      </w:r>
      <w:r w:rsidR="00F45055">
        <w:t xml:space="preserve">only solves mass/charge transport equations. </w:t>
      </w:r>
      <w:r w:rsidRPr="003470A2">
        <w:t xml:space="preserve">The multiscale model is responsible </w:t>
      </w:r>
      <w:r w:rsidR="006A4E81" w:rsidRPr="006A4E81">
        <w:t>for communicating</w:t>
      </w:r>
      <w:r w:rsidRPr="003470A2">
        <w:t xml:space="preserve"> information between a single </w:t>
      </w:r>
      <w:r w:rsidR="005E6A5F">
        <w:t>macro</w:t>
      </w:r>
      <w:r w:rsidRPr="003470A2">
        <w:t xml:space="preserve">scale model representing the entire cell and multiple microscale models of the anode microstructure. This multiscale model offers valuable insights into how both the </w:t>
      </w:r>
      <w:r w:rsidR="005E6A5F">
        <w:t>macro</w:t>
      </w:r>
      <w:r w:rsidRPr="003470A2">
        <w:t xml:space="preserve"> and micro aspects of cell design collectively influence overall electrochemical performance.</w:t>
      </w:r>
      <w:r w:rsidR="003A5683">
        <w:t xml:space="preserve"> </w:t>
      </w:r>
      <w:r w:rsidR="00543DD9">
        <w:t xml:space="preserve">Applicability of </w:t>
      </w:r>
      <w:r w:rsidR="006A4E81">
        <w:t xml:space="preserve">the </w:t>
      </w:r>
      <w:r w:rsidR="00543DD9">
        <w:t xml:space="preserve">current multiscale framework </w:t>
      </w:r>
      <w:r w:rsidR="00391D48">
        <w:t>lies in its capacity</w:t>
      </w:r>
      <w:r w:rsidR="00543DD9">
        <w:t xml:space="preserve"> </w:t>
      </w:r>
      <w:r w:rsidR="00391D48">
        <w:t xml:space="preserve">to </w:t>
      </w:r>
      <w:r w:rsidR="00FC3FD3">
        <w:t>eliminate</w:t>
      </w:r>
      <w:r w:rsidR="00247821">
        <w:t xml:space="preserve"> the </w:t>
      </w:r>
      <w:r w:rsidR="0081621A">
        <w:t>necessity</w:t>
      </w:r>
      <w:r w:rsidR="00247821">
        <w:t xml:space="preserve"> for model calibration with experimental measurements</w:t>
      </w:r>
      <w:r w:rsidR="00FC3FD3">
        <w:t>. This is achieved</w:t>
      </w:r>
      <w:r w:rsidR="00E5462C">
        <w:t xml:space="preserve"> by employing</w:t>
      </w:r>
      <w:r w:rsidR="00247821">
        <w:t xml:space="preserve"> lineal exchange current density that </w:t>
      </w:r>
      <w:r w:rsidR="00E5462C">
        <w:t xml:space="preserve">remains </w:t>
      </w:r>
      <w:r w:rsidR="00247821">
        <w:t xml:space="preserve">independent of </w:t>
      </w:r>
      <w:r w:rsidR="0081621A">
        <w:t>porous microstructure</w:t>
      </w:r>
      <w:r w:rsidR="00E5462C">
        <w:t xml:space="preserve"> topology</w:t>
      </w:r>
      <w:r w:rsidR="0081621A">
        <w:t xml:space="preserve">. </w:t>
      </w:r>
      <w:r w:rsidR="00311850" w:rsidRPr="00311850">
        <w:t xml:space="preserve">Consequently, novel configurations incorporating distinctive attributes at both </w:t>
      </w:r>
      <w:r w:rsidR="005E6A5F">
        <w:t>macro</w:t>
      </w:r>
      <w:r w:rsidR="00311850" w:rsidRPr="00311850">
        <w:t xml:space="preserve"> and microscales may be explored without preliminary calibration with experimental measurements.</w:t>
      </w:r>
      <w:r w:rsidR="00311850">
        <w:t xml:space="preserve"> </w:t>
      </w:r>
      <w:r w:rsidR="0081621A">
        <w:t>Results of multiscale model indicate that it can predict the polarization curve with higher accuracy</w:t>
      </w:r>
      <w:r w:rsidR="007F4B84">
        <w:t xml:space="preserve">, </w:t>
      </w:r>
      <w:r w:rsidR="002E4E98" w:rsidRPr="002E4E98">
        <w:t xml:space="preserve">compared to an exclusively </w:t>
      </w:r>
      <w:r w:rsidR="005E6A5F">
        <w:t>macro</w:t>
      </w:r>
      <w:r w:rsidR="002E4E98" w:rsidRPr="002E4E98">
        <w:t>scale model that has undergone calibration with experimental measurements.</w:t>
      </w:r>
    </w:p>
    <w:p w14:paraId="4540026F" w14:textId="77777777" w:rsidR="00DD3D9E" w:rsidRDefault="00DD3D9E">
      <w:pPr>
        <w:pStyle w:val="Els-body-text"/>
      </w:pPr>
    </w:p>
    <w:p w14:paraId="43AA3EDB" w14:textId="7049E0F2" w:rsidR="00DD3D9E" w:rsidRDefault="00DD3D9E">
      <w:pPr>
        <w:pStyle w:val="Els-body-text"/>
      </w:pPr>
      <w:r>
        <w:rPr>
          <w:b/>
          <w:bCs/>
        </w:rPr>
        <w:t>Keywords</w:t>
      </w:r>
      <w:r>
        <w:t>:</w:t>
      </w:r>
      <w:r w:rsidR="00E73B30">
        <w:t xml:space="preserve"> Solid Oxide Fuel Cell, </w:t>
      </w:r>
      <w:r w:rsidR="005E6A5F">
        <w:t>Multiscale</w:t>
      </w:r>
      <w:r w:rsidR="00E73B30">
        <w:t xml:space="preserve"> model, </w:t>
      </w:r>
      <w:r w:rsidR="00815B5B">
        <w:t>Microstructure, Porous media</w:t>
      </w:r>
    </w:p>
    <w:p w14:paraId="753A2BED" w14:textId="2B8FD990" w:rsidR="00DD3D9E" w:rsidRDefault="00F378AB">
      <w:pPr>
        <w:pStyle w:val="Els-1storder-head"/>
      </w:pPr>
      <w:r>
        <w:t>Introduction</w:t>
      </w:r>
    </w:p>
    <w:p w14:paraId="4A17AA8D" w14:textId="0D2F0021" w:rsidR="00921DC6" w:rsidRPr="00DE03CC" w:rsidRDefault="00C04001" w:rsidP="006821CE">
      <w:pPr>
        <w:jc w:val="both"/>
        <w:rPr>
          <w:rFonts w:asciiTheme="majorBidi" w:hAnsiTheme="majorBidi" w:cstheme="majorBidi"/>
          <w:sz w:val="20"/>
          <w:szCs w:val="20"/>
          <w:lang w:val="en-US"/>
        </w:rPr>
      </w:pPr>
      <w:r w:rsidRPr="00DE03CC">
        <w:rPr>
          <w:rFonts w:asciiTheme="majorBidi" w:hAnsiTheme="majorBidi" w:cstheme="majorBidi"/>
          <w:sz w:val="20"/>
          <w:szCs w:val="20"/>
          <w:lang w:val="en-US"/>
        </w:rPr>
        <w:t xml:space="preserve">Solid oxide fuel cell (SOFC) offers promising technology for clean and efficient power generation. SOFCs provide high energy efficiency, low emissions, and versatility in fuel sources, making them an attractive option for a wide range of applications, from portable power generation to large-scale industrial processes. </w:t>
      </w:r>
    </w:p>
    <w:p w14:paraId="170AE540" w14:textId="6DC84505" w:rsidR="00E903DD" w:rsidRPr="00DE03CC" w:rsidRDefault="001A10EF" w:rsidP="009801C7">
      <w:pPr>
        <w:jc w:val="both"/>
        <w:rPr>
          <w:rFonts w:asciiTheme="majorBidi" w:hAnsiTheme="majorBidi" w:cstheme="majorBidi"/>
          <w:sz w:val="20"/>
          <w:szCs w:val="20"/>
          <w:lang w:val="en-US"/>
        </w:rPr>
      </w:pPr>
      <w:r w:rsidRPr="00DE03CC">
        <w:rPr>
          <w:rFonts w:asciiTheme="majorBidi" w:hAnsiTheme="majorBidi" w:cstheme="majorBidi"/>
          <w:sz w:val="20"/>
          <w:szCs w:val="20"/>
          <w:lang w:val="en-US"/>
        </w:rPr>
        <w:t xml:space="preserve">Various numerical models, characterized by varying degrees of precision, have been formulated to predict the operational characteristics of SOFCs. </w:t>
      </w:r>
      <w:proofErr w:type="spellStart"/>
      <w:r w:rsidRPr="001A10EF">
        <w:rPr>
          <w:rFonts w:asciiTheme="majorBidi" w:hAnsiTheme="majorBidi" w:cstheme="majorBidi"/>
          <w:sz w:val="20"/>
          <w:szCs w:val="20"/>
        </w:rPr>
        <w:t>Frequently</w:t>
      </w:r>
      <w:proofErr w:type="spellEnd"/>
      <w:r w:rsidRPr="001A10EF">
        <w:rPr>
          <w:rFonts w:asciiTheme="majorBidi" w:hAnsiTheme="majorBidi" w:cstheme="majorBidi"/>
          <w:sz w:val="20"/>
          <w:szCs w:val="20"/>
        </w:rPr>
        <w:t xml:space="preserve"> </w:t>
      </w:r>
      <w:proofErr w:type="spellStart"/>
      <w:r w:rsidRPr="001A10EF">
        <w:rPr>
          <w:rFonts w:asciiTheme="majorBidi" w:hAnsiTheme="majorBidi" w:cstheme="majorBidi"/>
          <w:sz w:val="20"/>
          <w:szCs w:val="20"/>
        </w:rPr>
        <w:t>employed</w:t>
      </w:r>
      <w:proofErr w:type="spellEnd"/>
      <w:r w:rsidRPr="001A10EF">
        <w:rPr>
          <w:rFonts w:asciiTheme="majorBidi" w:hAnsiTheme="majorBidi" w:cstheme="majorBidi"/>
          <w:sz w:val="20"/>
          <w:szCs w:val="20"/>
        </w:rPr>
        <w:t xml:space="preserve"> in </w:t>
      </w:r>
      <w:proofErr w:type="spellStart"/>
      <w:r w:rsidR="00B969BC">
        <w:rPr>
          <w:rFonts w:asciiTheme="majorBidi" w:hAnsiTheme="majorBidi" w:cstheme="majorBidi"/>
          <w:sz w:val="20"/>
          <w:szCs w:val="20"/>
        </w:rPr>
        <w:t>capturing</w:t>
      </w:r>
      <w:proofErr w:type="spellEnd"/>
      <w:r w:rsidR="00B969BC">
        <w:rPr>
          <w:rFonts w:asciiTheme="majorBidi" w:hAnsiTheme="majorBidi" w:cstheme="majorBidi"/>
          <w:sz w:val="20"/>
          <w:szCs w:val="20"/>
        </w:rPr>
        <w:t xml:space="preserve"> </w:t>
      </w:r>
      <w:proofErr w:type="spellStart"/>
      <w:r w:rsidRPr="001A10EF">
        <w:rPr>
          <w:rFonts w:asciiTheme="majorBidi" w:hAnsiTheme="majorBidi" w:cstheme="majorBidi"/>
          <w:sz w:val="20"/>
          <w:szCs w:val="20"/>
        </w:rPr>
        <w:t>cell</w:t>
      </w:r>
      <w:proofErr w:type="spellEnd"/>
      <w:r w:rsidRPr="001A10EF">
        <w:rPr>
          <w:rFonts w:asciiTheme="majorBidi" w:hAnsiTheme="majorBidi" w:cstheme="majorBidi"/>
          <w:sz w:val="20"/>
          <w:szCs w:val="20"/>
        </w:rPr>
        <w:t xml:space="preserve"> performance, </w:t>
      </w:r>
      <w:proofErr w:type="spellStart"/>
      <w:r w:rsidR="005E6A5F">
        <w:rPr>
          <w:rFonts w:asciiTheme="majorBidi" w:hAnsiTheme="majorBidi" w:cstheme="majorBidi"/>
          <w:sz w:val="20"/>
          <w:szCs w:val="20"/>
        </w:rPr>
        <w:t>macro</w:t>
      </w:r>
      <w:r w:rsidR="0064593D">
        <w:rPr>
          <w:rFonts w:asciiTheme="majorBidi" w:hAnsiTheme="majorBidi" w:cstheme="majorBidi"/>
          <w:sz w:val="20"/>
          <w:szCs w:val="20"/>
        </w:rPr>
        <w:t>scopic</w:t>
      </w:r>
      <w:proofErr w:type="spellEnd"/>
      <w:r w:rsidR="0064593D">
        <w:rPr>
          <w:rFonts w:asciiTheme="majorBidi" w:hAnsiTheme="majorBidi" w:cstheme="majorBidi"/>
          <w:sz w:val="20"/>
          <w:szCs w:val="20"/>
        </w:rPr>
        <w:t xml:space="preserve"> </w:t>
      </w:r>
      <w:r w:rsidRPr="001A10EF">
        <w:rPr>
          <w:rFonts w:asciiTheme="majorBidi" w:hAnsiTheme="majorBidi" w:cstheme="majorBidi"/>
          <w:sz w:val="20"/>
          <w:szCs w:val="20"/>
        </w:rPr>
        <w:t xml:space="preserve">scale </w:t>
      </w:r>
      <w:proofErr w:type="spellStart"/>
      <w:r w:rsidRPr="001A10EF">
        <w:rPr>
          <w:rFonts w:asciiTheme="majorBidi" w:hAnsiTheme="majorBidi" w:cstheme="majorBidi"/>
          <w:sz w:val="20"/>
          <w:szCs w:val="20"/>
        </w:rPr>
        <w:t>models</w:t>
      </w:r>
      <w:proofErr w:type="spellEnd"/>
      <w:r w:rsidRPr="001A10EF">
        <w:rPr>
          <w:rFonts w:asciiTheme="majorBidi" w:hAnsiTheme="majorBidi" w:cstheme="majorBidi"/>
          <w:sz w:val="20"/>
          <w:szCs w:val="20"/>
        </w:rPr>
        <w:t xml:space="preserve"> </w:t>
      </w:r>
      <w:r w:rsidR="0063729A">
        <w:rPr>
          <w:rFonts w:asciiTheme="majorBidi" w:hAnsiTheme="majorBidi" w:cstheme="majorBidi"/>
          <w:sz w:val="20"/>
          <w:szCs w:val="20"/>
        </w:rPr>
        <w:fldChar w:fldCharType="begin"/>
      </w:r>
      <w:r w:rsidR="007F6408">
        <w:rPr>
          <w:rFonts w:asciiTheme="majorBidi" w:hAnsiTheme="majorBidi" w:cstheme="majorBidi"/>
          <w:sz w:val="20"/>
          <w:szCs w:val="20"/>
        </w:rPr>
        <w:instrText xml:space="preserve"> ADDIN ZOTERO_ITEM CSL_CITATION {"citationID":"QMI5PBR1","properties":{"formattedCitation":"(Tseronis, Kookos, and Theodoropoulos 2008; Tseronis et al. 2012; 2016; Fu et al. 2021)","plainCitation":"(Tseronis, Kookos, and Theodoropoulos 2008; Tseronis et al. 2012; 2016; Fu et al. 2021)","noteIndex":0},"citationItems":[{"id":115,"uris":["http://zotero.org/users/5192593/items/M5HNV72B"],"itemData":{"id":115,"type":"article-journal","abstract":"In this work the mass transport phenomena taking place in the fuel channel and the porous electrode of the anode of planar solid oxide fuel cells (SOFCs) are discussed. A comprehensive review of SOFC mass transport models in the literature is given and a new multidimensional, multicomponent, isothermal, dynamic model of the mass transport phenomena taking place in the fuel channel and the porous electrode of the anode of planar SOFCs is presented. The model can be used to predict species composition profiles and is based on the dusty-gas model (DGM) [Mason, E.A., Malinauskas, A.P., 1983. Gas Transport in Porous Media: The Dusty-Gas Model: Elsevier; Jackson, R., 1977. Transport in Porous Catalysts: Elsevier], which is considered to be the most accurate of the existing mass transfer models in porous media [Suwanwarangkul, R., Croiset, E., Fowler, M.W., Douglas, P.L., Entchev, E., Douglas, M.A., 2003. Performance comparison of Fick's, dusty-gas and Stefan–Maxwell models to predict the concentration overpotential of a SOFC anode. Journal of Power Sources 122, 9-18]. Our two-dimensional DGM is validated using experimental data [Yakabe, H., Hishinuma, M., Uratani, M., Matsuzaki, Y., Yasuda, I., 2000. Evaluation and modeling of performance of anode-supported solid oxide fuel cell. Journal of Power Sources 86, 423-431] and it is tested against a two-dimensional Stefan–Maxwell model (SMM) and against one-dimensional models (Fick's model, SMM and DGM) reported in the literature. It is shown that a detailed model is essential for the accurate prediction of concentration overpotentials especially at high fuel utilisation conditions, which are typical operating conditions for fuel cells [Hernández-Pacheco, E., Singh, D., Hutton, P.N., Patel, N., Mann, M.D., 2004. A macro-level model for determining the performance characteristics of solid oxide fuel cells. Journal of Power Sources 138, 174-186].","container-title":"Chemical Engineering Science","DOI":"10.1016/j.ces.2008.07.037","ISSN":"00092509","issue":"23","journalAbbreviation":"Chemical Engineering Science","language":"en","page":"5626-5638","source":"DOI.org (Crossref)","title":"Modelling mass transport in solid oxide fuel cell anodes: a case for a multidimensional dusty gas-based model","title-short":"Modelling mass transport in solid oxide fuel cell anodes","volume":"63","author":[{"family":"Tseronis","given":"K."},{"family":"Kookos","given":"I.K."},{"family":"Theodoropoulos","given":"C."}],"issued":{"date-parts":[["2008",12]]}}},{"id":121,"uris":["http://zotero.org/users/5192593/items/A6XEK5PN"],"itemData":{"id":121,"type":"article-journal","abstract":"A multidimensional, model of non-isothermal planar solid oxide fuel cells (SOFCs) including detailed coupled mass and charge transport phenomena, has been developed. The dusty-gas model has been used, in this a comprehensive SOFC model, and has been explicitly written/constructed, for the ﬁrst time in the COMSOL multiphysics modelling framework to describe mass transport in the porous electrode and detailed charge conservation equations have been taken into account. As we have shown in a recent publication [9] the incorporation of the dusty-gas model results in more accurate predictions of the SOFC behaviour compared to mass transport models based on Fick’s law or StefaneMaxwell multi-component diffusion. Our model allows prediction of the species composition proﬁles, temperature proﬁles, electronic and ionic voltage and current density distributions, and polarisation curves in a single cell. SOFC dynamics have also been considered including responses to step changes in the operating conditions. The model is implemented in two-spatial dimensions, however, the underlying theory is independent of the geometry used. Extensive parametric analysis has been performed and the corresponding SOFC behaviour has been analysed through the resulting polarisation curves. It is shown that SOFCs exhibit higher power outputs at increased operating temperatures and pressures. It was also found that the electrodes’ porosity and tortuosity have a smaller effect on power output. Furthermore, step changes in the inlet temperatures were found to induce slower dynamic behaviours than step changes in the operating voltage.","container-title":"International Journal of Hydrogen Energy","DOI":"10.1016/j.ijhydene.2011.09.062","ISSN":"03603199","issue":"1","journalAbbreviation":"International Journal of Hydrogen Energy","language":"en","page":"530-547","source":"DOI.org (Crossref)","title":"Parametric and transient analysis of non-isothermal, planar solid oxide fuel cells","volume":"37","author":[{"family":"Tseronis","given":"K."},{"family":"Bonis","given":"I."},{"family":"Kookos","given":"I.K."},{"family":"Theodoropoulos","given":"C."}],"issued":{"date-parts":[["2012",1]]}}},{"id":131,"uris":["http://zotero.org/users/5192593/items/VAC6WRA3"],"itemData":{"id":131,"type":"article-journal","container-title":"Fuel Cells","DOI":"10.1002/fuce.201500113","ISSN":"16156846","issue":"3","journalAbbreviation":"Fuel Cells","language":"en","page":"294-312","source":"DOI.org (Crossref)","title":"Detailed Multi-dimensional Modeling of Direct Internal Reforming Solid Oxide Fuel Cells","volume":"16","author":[{"family":"Tseronis","given":"K."},{"family":"Fragkopoulos","given":"I.S."},{"family":"Bonis","given":"I."},{"family":"Theodoropoulos","given":"C."}],"issued":{"date-parts":[["2016",6]]}}},{"id":303,"uris":["http://zotero.org/users/5192593/items/Q9UCU2GZ"],"itemData":{"id":303,"type":"article-journal","abstract":"Long-term stability and durability of solid oxide fuel cell (SOFC) are the major challenges for fuel flexibility and commercialization. In this study, a fully coupled multi-field model is developed by coupling a modified Niparticle coarsening model and a microstructure model for predicting the performance degradation of methane direct reformi</w:instrText>
      </w:r>
      <w:r w:rsidR="007F6408" w:rsidRPr="00DE03CC">
        <w:rPr>
          <w:rFonts w:asciiTheme="majorBidi" w:hAnsiTheme="majorBidi" w:cstheme="majorBidi"/>
          <w:sz w:val="20"/>
          <w:szCs w:val="20"/>
          <w:lang w:val="en-US"/>
        </w:rPr>
        <w:instrText xml:space="preserve">ng (DIR) SOFC due to Ni-particle coarsening. The effect of Ni-particle coarsening on percolation probability of Ni-particle, effective TPB area, effective electron-conductivity, maximum power density, and the degradation rate of DIR-SOFC are quantitatively investigated under different operating conditions. The results indicate that to enhance the electrical performance and to reduce the degradation rate, the optima of the operating conditions and anode microstructure for the long-term DIR-SOFC are as follows: 750 ◦C for the cell operating temperature, 1.0 for anode inlet steam to carbon ratio (S/C), 0.3 A/cm2 for the operating current density, and corresponding to Ni-particle with an initial diameter of 0.6 </w:instrText>
      </w:r>
      <w:r w:rsidR="007F6408">
        <w:rPr>
          <w:rFonts w:asciiTheme="majorBidi" w:hAnsiTheme="majorBidi" w:cstheme="majorBidi"/>
          <w:sz w:val="20"/>
          <w:szCs w:val="20"/>
        </w:rPr>
        <w:instrText>μ</w:instrText>
      </w:r>
      <w:r w:rsidR="007F6408" w:rsidRPr="00DE03CC">
        <w:rPr>
          <w:rFonts w:asciiTheme="majorBidi" w:hAnsiTheme="majorBidi" w:cstheme="majorBidi"/>
          <w:sz w:val="20"/>
          <w:szCs w:val="20"/>
          <w:lang w:val="en-US"/>
        </w:rPr>
        <w:instrText xml:space="preserve">m, the optimal YSZ-particle diameter is 1.0 </w:instrText>
      </w:r>
      <w:r w:rsidR="007F6408">
        <w:rPr>
          <w:rFonts w:asciiTheme="majorBidi" w:hAnsiTheme="majorBidi" w:cstheme="majorBidi"/>
          <w:sz w:val="20"/>
          <w:szCs w:val="20"/>
        </w:rPr>
        <w:instrText>μ</w:instrText>
      </w:r>
      <w:r w:rsidR="007F6408" w:rsidRPr="00DE03CC">
        <w:rPr>
          <w:rFonts w:asciiTheme="majorBidi" w:hAnsiTheme="majorBidi" w:cstheme="majorBidi"/>
          <w:sz w:val="20"/>
          <w:szCs w:val="20"/>
          <w:lang w:val="en-US"/>
        </w:rPr>
        <w:instrText xml:space="preserve">m.","container-title":"Energy Conversion and Management","DOI":"10.1016/j.enconman.2021.113902","ISSN":"01968904","journalAbbreviation":"Energy Conversion and Management","language":"en","page":"113902","source":"DOI.org (Crossref)","title":"Performance degradation prediction of direct internal reforming solid oxide fuel cell due to Ni-particle coarsening in composite anode","volume":"233","author":[{"family":"Fu","given":"Quanrong"},{"family":"Li","given":"Zhiyi"},{"family":"Wei","given":"Wei"},{"family":"Liu","given":"Fengxia"},{"family":"Xu","given":"Xiaofei"},{"family":"Liu","given":"Zhijun"}],"issued":{"date-parts":[["2021",4]]}}}],"schema":"https://github.com/citation-style-language/schema/raw/master/csl-citation.json"} </w:instrText>
      </w:r>
      <w:r w:rsidR="0063729A">
        <w:rPr>
          <w:rFonts w:asciiTheme="majorBidi" w:hAnsiTheme="majorBidi" w:cstheme="majorBidi"/>
          <w:sz w:val="20"/>
          <w:szCs w:val="20"/>
        </w:rPr>
        <w:fldChar w:fldCharType="separate"/>
      </w:r>
      <w:r w:rsidR="00ED06C2" w:rsidRPr="00DE03CC">
        <w:rPr>
          <w:rFonts w:ascii="Times New Roman" w:hAnsi="Times New Roman" w:cs="Times New Roman"/>
          <w:sz w:val="20"/>
          <w:lang w:val="en-US"/>
        </w:rPr>
        <w:t>(</w:t>
      </w:r>
      <w:proofErr w:type="spellStart"/>
      <w:r w:rsidR="00ED06C2" w:rsidRPr="00DE03CC">
        <w:rPr>
          <w:rFonts w:ascii="Times New Roman" w:hAnsi="Times New Roman" w:cs="Times New Roman"/>
          <w:sz w:val="20"/>
          <w:lang w:val="en-US"/>
        </w:rPr>
        <w:t>Tseronis</w:t>
      </w:r>
      <w:proofErr w:type="spellEnd"/>
      <w:r w:rsidR="00ED06C2" w:rsidRPr="00DE03CC">
        <w:rPr>
          <w:rFonts w:ascii="Times New Roman" w:hAnsi="Times New Roman" w:cs="Times New Roman"/>
          <w:sz w:val="20"/>
          <w:lang w:val="en-US"/>
        </w:rPr>
        <w:t xml:space="preserve">, </w:t>
      </w:r>
      <w:proofErr w:type="spellStart"/>
      <w:r w:rsidR="00ED06C2" w:rsidRPr="00DE03CC">
        <w:rPr>
          <w:rFonts w:ascii="Times New Roman" w:hAnsi="Times New Roman" w:cs="Times New Roman"/>
          <w:sz w:val="20"/>
          <w:lang w:val="en-US"/>
        </w:rPr>
        <w:t>Kookos</w:t>
      </w:r>
      <w:proofErr w:type="spellEnd"/>
      <w:r w:rsidR="00ED06C2" w:rsidRPr="00DE03CC">
        <w:rPr>
          <w:rFonts w:ascii="Times New Roman" w:hAnsi="Times New Roman" w:cs="Times New Roman"/>
          <w:sz w:val="20"/>
          <w:lang w:val="en-US"/>
        </w:rPr>
        <w:t xml:space="preserve">, and </w:t>
      </w:r>
      <w:proofErr w:type="spellStart"/>
      <w:r w:rsidR="00ED06C2" w:rsidRPr="00DE03CC">
        <w:rPr>
          <w:rFonts w:ascii="Times New Roman" w:hAnsi="Times New Roman" w:cs="Times New Roman"/>
          <w:sz w:val="20"/>
          <w:lang w:val="en-US"/>
        </w:rPr>
        <w:t>Theodoropoulos</w:t>
      </w:r>
      <w:proofErr w:type="spellEnd"/>
      <w:r w:rsidR="00ED06C2" w:rsidRPr="00DE03CC">
        <w:rPr>
          <w:rFonts w:ascii="Times New Roman" w:hAnsi="Times New Roman" w:cs="Times New Roman"/>
          <w:sz w:val="20"/>
          <w:lang w:val="en-US"/>
        </w:rPr>
        <w:t xml:space="preserve"> 2008; </w:t>
      </w:r>
      <w:proofErr w:type="spellStart"/>
      <w:r w:rsidR="00ED06C2" w:rsidRPr="00DE03CC">
        <w:rPr>
          <w:rFonts w:ascii="Times New Roman" w:hAnsi="Times New Roman" w:cs="Times New Roman"/>
          <w:sz w:val="20"/>
          <w:lang w:val="en-US"/>
        </w:rPr>
        <w:t>Tseronis</w:t>
      </w:r>
      <w:proofErr w:type="spellEnd"/>
      <w:r w:rsidR="00ED06C2" w:rsidRPr="00DE03CC">
        <w:rPr>
          <w:rFonts w:ascii="Times New Roman" w:hAnsi="Times New Roman" w:cs="Times New Roman"/>
          <w:sz w:val="20"/>
          <w:lang w:val="en-US"/>
        </w:rPr>
        <w:t xml:space="preserve"> et al. 2012; 2016; Fu et al. 2021)</w:t>
      </w:r>
      <w:r w:rsidR="0063729A">
        <w:rPr>
          <w:rFonts w:asciiTheme="majorBidi" w:hAnsiTheme="majorBidi" w:cstheme="majorBidi"/>
          <w:sz w:val="20"/>
          <w:szCs w:val="20"/>
        </w:rPr>
        <w:fldChar w:fldCharType="end"/>
      </w:r>
      <w:r w:rsidR="0063729A" w:rsidRPr="00DE03CC">
        <w:rPr>
          <w:rFonts w:asciiTheme="majorBidi" w:hAnsiTheme="majorBidi" w:cstheme="majorBidi"/>
          <w:sz w:val="20"/>
          <w:szCs w:val="20"/>
          <w:lang w:val="en-US"/>
        </w:rPr>
        <w:t xml:space="preserve"> </w:t>
      </w:r>
      <w:r w:rsidRPr="00DE03CC">
        <w:rPr>
          <w:rFonts w:asciiTheme="majorBidi" w:hAnsiTheme="majorBidi" w:cstheme="majorBidi"/>
          <w:sz w:val="20"/>
          <w:szCs w:val="20"/>
          <w:lang w:val="en-US"/>
        </w:rPr>
        <w:t xml:space="preserve">are subject to </w:t>
      </w:r>
      <w:r w:rsidR="0064593D" w:rsidRPr="00DE03CC">
        <w:rPr>
          <w:rFonts w:asciiTheme="majorBidi" w:hAnsiTheme="majorBidi" w:cstheme="majorBidi"/>
          <w:sz w:val="20"/>
          <w:szCs w:val="20"/>
          <w:lang w:val="en-US"/>
        </w:rPr>
        <w:t xml:space="preserve">versatility </w:t>
      </w:r>
      <w:r w:rsidRPr="00DE03CC">
        <w:rPr>
          <w:rFonts w:asciiTheme="majorBidi" w:hAnsiTheme="majorBidi" w:cstheme="majorBidi"/>
          <w:sz w:val="20"/>
          <w:szCs w:val="20"/>
          <w:lang w:val="en-US"/>
        </w:rPr>
        <w:t>limitation</w:t>
      </w:r>
      <w:r w:rsidR="0064593D" w:rsidRPr="00DE03CC">
        <w:rPr>
          <w:rFonts w:asciiTheme="majorBidi" w:hAnsiTheme="majorBidi" w:cstheme="majorBidi"/>
          <w:sz w:val="20"/>
          <w:szCs w:val="20"/>
          <w:lang w:val="en-US"/>
        </w:rPr>
        <w:t>s</w:t>
      </w:r>
      <w:r w:rsidRPr="00DE03CC">
        <w:rPr>
          <w:rFonts w:asciiTheme="majorBidi" w:hAnsiTheme="majorBidi" w:cstheme="majorBidi"/>
          <w:sz w:val="20"/>
          <w:szCs w:val="20"/>
          <w:lang w:val="en-US"/>
        </w:rPr>
        <w:t xml:space="preserve">. Specifically, alterations in the microstructure of porous electrodes are inadequately represented within the confines of </w:t>
      </w:r>
      <w:r w:rsidR="0064593D" w:rsidRPr="00DE03CC">
        <w:rPr>
          <w:rFonts w:asciiTheme="majorBidi" w:hAnsiTheme="majorBidi" w:cstheme="majorBidi"/>
          <w:sz w:val="20"/>
          <w:szCs w:val="20"/>
          <w:lang w:val="en-US"/>
        </w:rPr>
        <w:t xml:space="preserve">such </w:t>
      </w:r>
      <w:r w:rsidR="005E6A5F" w:rsidRPr="00DE03CC">
        <w:rPr>
          <w:rFonts w:asciiTheme="majorBidi" w:hAnsiTheme="majorBidi" w:cstheme="majorBidi"/>
          <w:sz w:val="20"/>
          <w:szCs w:val="20"/>
          <w:lang w:val="en-US"/>
        </w:rPr>
        <w:t>macroscopic</w:t>
      </w:r>
      <w:r w:rsidRPr="00DE03CC">
        <w:rPr>
          <w:rFonts w:asciiTheme="majorBidi" w:hAnsiTheme="majorBidi" w:cstheme="majorBidi"/>
          <w:sz w:val="20"/>
          <w:szCs w:val="20"/>
          <w:lang w:val="en-US"/>
        </w:rPr>
        <w:t xml:space="preserve"> models.</w:t>
      </w:r>
      <w:r w:rsidR="00E903DD" w:rsidRPr="00DE03CC">
        <w:rPr>
          <w:rFonts w:asciiTheme="majorBidi" w:hAnsiTheme="majorBidi" w:cstheme="majorBidi"/>
          <w:sz w:val="20"/>
          <w:szCs w:val="20"/>
          <w:lang w:val="en-US"/>
        </w:rPr>
        <w:t xml:space="preserve"> </w:t>
      </w:r>
      <w:r w:rsidR="00E20D0A" w:rsidRPr="00DE03CC">
        <w:rPr>
          <w:rFonts w:asciiTheme="majorBidi" w:hAnsiTheme="majorBidi" w:cstheme="majorBidi"/>
          <w:sz w:val="20"/>
          <w:szCs w:val="20"/>
          <w:lang w:val="en-US"/>
        </w:rPr>
        <w:t xml:space="preserve">Conversely, </w:t>
      </w:r>
      <w:r w:rsidR="005E6A5F" w:rsidRPr="00DE03CC">
        <w:rPr>
          <w:rFonts w:asciiTheme="majorBidi" w:hAnsiTheme="majorBidi" w:cstheme="majorBidi"/>
          <w:sz w:val="20"/>
          <w:szCs w:val="20"/>
          <w:lang w:val="en-US"/>
        </w:rPr>
        <w:t>microscale</w:t>
      </w:r>
      <w:r w:rsidR="00E20D0A" w:rsidRPr="00DE03CC">
        <w:rPr>
          <w:rFonts w:asciiTheme="majorBidi" w:hAnsiTheme="majorBidi" w:cstheme="majorBidi"/>
          <w:sz w:val="20"/>
          <w:szCs w:val="20"/>
          <w:lang w:val="en-US"/>
        </w:rPr>
        <w:t xml:space="preserve"> models have been employed to address the phenomena of transport and electrochemical reactions within an individual porous microstructure</w:t>
      </w:r>
      <w:r w:rsidR="00ED06C2" w:rsidRPr="00DE03CC">
        <w:rPr>
          <w:rFonts w:asciiTheme="majorBidi" w:hAnsiTheme="majorBidi" w:cstheme="majorBidi"/>
          <w:sz w:val="20"/>
          <w:szCs w:val="20"/>
          <w:lang w:val="en-US"/>
        </w:rPr>
        <w:t xml:space="preserve"> </w:t>
      </w:r>
      <w:r w:rsidR="009F1AD4">
        <w:rPr>
          <w:rFonts w:asciiTheme="majorBidi" w:hAnsiTheme="majorBidi" w:cstheme="majorBidi"/>
          <w:sz w:val="20"/>
          <w:szCs w:val="20"/>
        </w:rPr>
        <w:fldChar w:fldCharType="begin"/>
      </w:r>
      <w:r w:rsidR="007F6408" w:rsidRPr="00DE03CC">
        <w:rPr>
          <w:rFonts w:asciiTheme="majorBidi" w:hAnsiTheme="majorBidi" w:cstheme="majorBidi"/>
          <w:sz w:val="20"/>
          <w:szCs w:val="20"/>
          <w:lang w:val="en-US"/>
        </w:rPr>
        <w:instrText xml:space="preserve"> ADDIN ZOTERO_ITEM CSL_CITATION {"citationID":"rWI18FwD","properties":{"formattedCitation":"(Hsu et al. 2022; 2020; T. A. Prokop et al. 2020; T. Prokop 2020)","plainCitation":"(Hsu et al. 2022; 2020; T. A. Prokop et al. 2020; T. Prokop 2020)","noteIndex":0},"citationItems":[{"id":881,"uris":["http://zotero.org/users/5192593/items/EP7YE5ZC"],"itemData":{"id":881,"type":"article-journal","abstract":"To better understand the effects of infiltration on local electrochemistry and transport in solid oxide fuel cell (SOFCs) electrodes, high-throughput, high-performance finite element simulations are presented within dozens of SOFC cathodes containing synthetically generated nanoscale infiltrates. The computational approach retains the complex microstructural morphologies of cathodes, including those of the three backbone phases (gas, ion, and electron conductors) and the infiltrates (an electron conductor), in meshed domains and computes distributions of local electrochemical quantities within the domains. Simulations were implemented on a supercomputer and converged for 48 distinct microstructural subvolumes, with varying backbone heterogeneities and infiltrate loadings. Analyzing both the ensemble (averaged over subvolumes) and the local (evaluated within subvolumes) performance metrics indicate that infiltration of an ele</w:instrText>
      </w:r>
      <w:r w:rsidR="007F6408">
        <w:rPr>
          <w:rFonts w:asciiTheme="majorBidi" w:hAnsiTheme="majorBidi" w:cstheme="majorBidi"/>
          <w:sz w:val="20"/>
          <w:szCs w:val="20"/>
        </w:rPr>
        <w:instrText xml:space="preserve">ctron conductor significantly improves the electrochemical performance of each backbone in a linear fashion with the increase of triple phase boundary content, but the essential ionic transport pathways of the backbone are unchanged. These results shed light into the design and fabrication of optimal electrodes in fuel cells.","container-title":"Journal of Power Sources","DOI":"10.1016/j.jpowsour.2022.231652","ISSN":"03787753","journalAbbreviation":"Journal of Power Sources","language":"en","page":"231652","source":"DOI.org (Crossref)","title":"High performance finite element simulations of infiltrated solid oxide fuel cell cathode microstructures","volume":"541","author":[{"family":"Hsu","given":"Tim"},{"family":"Kim","given":"Hokon"},{"family":"Mason","given":"Jerry H."},{"family":"Mahbub","given":"Rubayyat"},{"family":"Epting","given":"William K."},{"family":"Abernathy","given":"Harry W."},{"family":"Hackett","given":"Gregory A."},{"family":"Litster","given":"Shawn"},{"family":"Rollett","given":"Anthony D."},{"family":"Salvador","given":"Paul A."}],"issued":{"date-parts":[["2022",9]]}}},{"id":678,"uris":["http://zotero.org/users/5192593/items/IJ2DAZCC"],"itemData":{"id":678,"type":"article-journal","container-title":"MethodsX","DOI":"10.1016/j.mex.2020.100822","ISSN":"22150161","journalAbbreviation":"MethodsX","language":"en","page":"100822","source":"DOI.org (Crossref)","title":"High performance modeling of heterogeneous SOFC electrode microstructures using the MOOSE framework: ERMINE (Electrochemical Reactions in MIcrostructural NEtworks)","title-short":"High performance modeling of heterogeneous SOFC electrode microstructures using the MOOSE framework","volume":"7","author":[{"family":"Hsu","given":"Tim"},{"family":"Mahbub","given":"Rubayyat"},{"family":"Mason","given":"Jerry H."},{"family":"Epting","given":"William K."},{"family":"Abernathy","given":"Harry W."},{"family":"Hackett","given":"Gregory A."},{"family":"Rollett","given":"Anthony D."},{"family":"Litster","given":"Shawn"},{"family":"Salvador","given":"Paul A."}],"issued":{"date-parts":[["2020"]]}}},{"id":821,"uris":["http://zotero.org/users/5192593/items/QA9FHCX6"],"itemData":{"id":821,"type":"article-journal","abstract":"In this work, a three-dimensional microstructure-scale model of a Solid Oxide Fuel Cell’s Positive-Electrolyte-Negative assembly is applied for the purpose of investigating the impact of decreasing the electrolyte thickness on the magnitude, and the composition of electrochemical losses generated within the cell. Focused-Ion-Beam Scanning Electron Microscopy reconstructions are used to construct a computational domain, in which charge transport equations are solved. Butler–Volmer model is used to compute local reaction rates, and empirical relationships are used to obtain local conductivities. The results point towards three-dimensional nature of transport phenomena in thin electrolytes, and electrode-electrolyte interfaces.","container-title":"Energies","DOI":"10.3390/en13195127","ISSN":"1996-1073","issue":"19","journalAbbreviation":"Energies","language":"en","page":"5127","source":"DOI.org (Crossref)","title":"Thin Solid Film Electrolyte and Its Impact on Electrode Polarization in Solid Oxide Fuel Cells Studied by Three-Dimensional Microstructure-Scale Numerical Simulation","volume":"13","author":[{"family":"Prokop","given":"Tomasz A."},{"family":"Brus","given":"Grzegorz"},{"family":"Kimijima","given":"Shinji"},{"family":"Szmyd","given":"Janusz S."}],"issued":{"date-parts":[["2020",10,1]]}}},{"id":844,"uris":["http://zotero.org/users/5192593/items/T9G222MT"],"itemData":{"id":844,"type":"thesis","genre":"PhD Thesis","note":"Citation Key: prokopThreedimensionalNumericalAnalysis2020","title":"Three-dimensional numerical analysis of transport phenomena in a Positive-Electrolyte-Negative assembly of a Solid Oxide Fuel Cell","author":[{"family":"Prokop","given":"Tomasz"}],"issued":{"date-parts":[["2020"]]}}}],"schema":"https://github.com/citation-style-language/schema/raw/master/csl-citation.json"} </w:instrText>
      </w:r>
      <w:r w:rsidR="009F1AD4">
        <w:rPr>
          <w:rFonts w:asciiTheme="majorBidi" w:hAnsiTheme="majorBidi" w:cstheme="majorBidi"/>
          <w:sz w:val="20"/>
          <w:szCs w:val="20"/>
        </w:rPr>
        <w:fldChar w:fldCharType="separate"/>
      </w:r>
      <w:r w:rsidR="009801C7" w:rsidRPr="009801C7">
        <w:rPr>
          <w:rFonts w:ascii="Times New Roman" w:hAnsi="Times New Roman" w:cs="Times New Roman"/>
          <w:sz w:val="20"/>
        </w:rPr>
        <w:t>(</w:t>
      </w:r>
      <w:proofErr w:type="spellStart"/>
      <w:r w:rsidR="009801C7" w:rsidRPr="009801C7">
        <w:rPr>
          <w:rFonts w:ascii="Times New Roman" w:hAnsi="Times New Roman" w:cs="Times New Roman"/>
          <w:sz w:val="20"/>
        </w:rPr>
        <w:t>Hsu</w:t>
      </w:r>
      <w:proofErr w:type="spellEnd"/>
      <w:r w:rsidR="009801C7" w:rsidRPr="009801C7">
        <w:rPr>
          <w:rFonts w:ascii="Times New Roman" w:hAnsi="Times New Roman" w:cs="Times New Roman"/>
          <w:sz w:val="20"/>
        </w:rPr>
        <w:t xml:space="preserve"> et al. 2022; 2020; T. A. Prokop et al. 2020; T. Prokop 2020)</w:t>
      </w:r>
      <w:r w:rsidR="009F1AD4">
        <w:rPr>
          <w:rFonts w:asciiTheme="majorBidi" w:hAnsiTheme="majorBidi" w:cstheme="majorBidi"/>
          <w:sz w:val="20"/>
          <w:szCs w:val="20"/>
        </w:rPr>
        <w:fldChar w:fldCharType="end"/>
      </w:r>
      <w:r w:rsidR="00E20D0A" w:rsidRPr="00E20D0A">
        <w:rPr>
          <w:rFonts w:asciiTheme="majorBidi" w:hAnsiTheme="majorBidi" w:cstheme="majorBidi"/>
          <w:sz w:val="20"/>
          <w:szCs w:val="20"/>
        </w:rPr>
        <w:t xml:space="preserve">. </w:t>
      </w:r>
      <w:r w:rsidR="00E20D0A" w:rsidRPr="00DE03CC">
        <w:rPr>
          <w:rFonts w:asciiTheme="majorBidi" w:hAnsiTheme="majorBidi" w:cstheme="majorBidi"/>
          <w:sz w:val="20"/>
          <w:szCs w:val="20"/>
          <w:lang w:val="en-US"/>
        </w:rPr>
        <w:t xml:space="preserve">However, </w:t>
      </w:r>
      <w:r w:rsidR="005E6A5F" w:rsidRPr="00DE03CC">
        <w:rPr>
          <w:rFonts w:asciiTheme="majorBidi" w:hAnsiTheme="majorBidi" w:cstheme="majorBidi"/>
          <w:sz w:val="20"/>
          <w:szCs w:val="20"/>
          <w:lang w:val="en-US"/>
        </w:rPr>
        <w:t>microscale</w:t>
      </w:r>
      <w:r w:rsidR="00E20D0A" w:rsidRPr="00DE03CC">
        <w:rPr>
          <w:rFonts w:asciiTheme="majorBidi" w:hAnsiTheme="majorBidi" w:cstheme="majorBidi"/>
          <w:sz w:val="20"/>
          <w:szCs w:val="20"/>
          <w:lang w:val="en-US"/>
        </w:rPr>
        <w:t xml:space="preserve"> models </w:t>
      </w:r>
      <w:r w:rsidR="00525F62" w:rsidRPr="00DE03CC">
        <w:rPr>
          <w:rFonts w:asciiTheme="majorBidi" w:hAnsiTheme="majorBidi" w:cstheme="majorBidi"/>
          <w:sz w:val="20"/>
          <w:szCs w:val="20"/>
          <w:lang w:val="en-US"/>
        </w:rPr>
        <w:t>are limited</w:t>
      </w:r>
      <w:r w:rsidR="00E20D0A" w:rsidRPr="00DE03CC">
        <w:rPr>
          <w:rFonts w:asciiTheme="majorBidi" w:hAnsiTheme="majorBidi" w:cstheme="majorBidi"/>
          <w:sz w:val="20"/>
          <w:szCs w:val="20"/>
          <w:lang w:val="en-US"/>
        </w:rPr>
        <w:t xml:space="preserve"> </w:t>
      </w:r>
      <w:r w:rsidR="00E20D0A" w:rsidRPr="00DE03CC">
        <w:rPr>
          <w:rFonts w:asciiTheme="majorBidi" w:hAnsiTheme="majorBidi" w:cstheme="majorBidi"/>
          <w:sz w:val="20"/>
          <w:szCs w:val="20"/>
          <w:lang w:val="en-US"/>
        </w:rPr>
        <w:lastRenderedPageBreak/>
        <w:t xml:space="preserve">in their ability to represent the entire cell with the refined numerical resolution </w:t>
      </w:r>
      <w:r w:rsidR="00661602" w:rsidRPr="00DE03CC">
        <w:rPr>
          <w:rFonts w:asciiTheme="majorBidi" w:hAnsiTheme="majorBidi" w:cstheme="majorBidi"/>
          <w:sz w:val="20"/>
          <w:szCs w:val="20"/>
          <w:lang w:val="en-US"/>
        </w:rPr>
        <w:t>required, which leads to enormous computational costs</w:t>
      </w:r>
      <w:r w:rsidR="00E20D0A" w:rsidRPr="00DE03CC">
        <w:rPr>
          <w:rFonts w:asciiTheme="majorBidi" w:hAnsiTheme="majorBidi" w:cstheme="majorBidi"/>
          <w:sz w:val="20"/>
          <w:szCs w:val="20"/>
          <w:lang w:val="en-US"/>
        </w:rPr>
        <w:t xml:space="preserve">. </w:t>
      </w:r>
    </w:p>
    <w:p w14:paraId="7A563CDD" w14:textId="30D16CCF" w:rsidR="00317748" w:rsidRPr="00DE03CC" w:rsidRDefault="00317748" w:rsidP="00975743">
      <w:pPr>
        <w:jc w:val="both"/>
        <w:rPr>
          <w:rFonts w:asciiTheme="majorBidi" w:hAnsiTheme="majorBidi" w:cstheme="majorBidi"/>
          <w:sz w:val="20"/>
          <w:szCs w:val="20"/>
          <w:lang w:val="en-US"/>
        </w:rPr>
      </w:pPr>
      <w:r w:rsidRPr="00DE03CC">
        <w:rPr>
          <w:rFonts w:asciiTheme="majorBidi" w:hAnsiTheme="majorBidi" w:cstheme="majorBidi"/>
          <w:sz w:val="20"/>
          <w:szCs w:val="20"/>
          <w:lang w:val="en-US"/>
        </w:rPr>
        <w:t xml:space="preserve">This </w:t>
      </w:r>
      <w:r w:rsidR="00661602" w:rsidRPr="00DE03CC">
        <w:rPr>
          <w:rFonts w:asciiTheme="majorBidi" w:hAnsiTheme="majorBidi" w:cstheme="majorBidi"/>
          <w:sz w:val="20"/>
          <w:szCs w:val="20"/>
          <w:lang w:val="en-US"/>
        </w:rPr>
        <w:t>work</w:t>
      </w:r>
      <w:r w:rsidRPr="00DE03CC">
        <w:rPr>
          <w:rFonts w:asciiTheme="majorBidi" w:hAnsiTheme="majorBidi" w:cstheme="majorBidi"/>
          <w:sz w:val="20"/>
          <w:szCs w:val="20"/>
          <w:lang w:val="en-US"/>
        </w:rPr>
        <w:t xml:space="preserve"> </w:t>
      </w:r>
      <w:r w:rsidR="00573DDD" w:rsidRPr="00DE03CC">
        <w:rPr>
          <w:rFonts w:asciiTheme="majorBidi" w:hAnsiTheme="majorBidi" w:cstheme="majorBidi"/>
          <w:sz w:val="20"/>
          <w:szCs w:val="20"/>
          <w:lang w:val="en-US"/>
        </w:rPr>
        <w:t xml:space="preserve">aims to </w:t>
      </w:r>
      <w:r w:rsidR="00661602" w:rsidRPr="00DE03CC">
        <w:rPr>
          <w:rFonts w:asciiTheme="majorBidi" w:hAnsiTheme="majorBidi" w:cstheme="majorBidi"/>
          <w:sz w:val="20"/>
          <w:szCs w:val="20"/>
          <w:lang w:val="en-US"/>
        </w:rPr>
        <w:t xml:space="preserve">build a computationally efficient multiscale numerical framework that </w:t>
      </w:r>
      <w:r w:rsidR="00421C7A" w:rsidRPr="00DE03CC">
        <w:rPr>
          <w:rFonts w:asciiTheme="majorBidi" w:hAnsiTheme="majorBidi" w:cstheme="majorBidi"/>
          <w:sz w:val="20"/>
          <w:szCs w:val="20"/>
          <w:lang w:val="en-US"/>
        </w:rPr>
        <w:t>facilitate</w:t>
      </w:r>
      <w:r w:rsidR="00661602" w:rsidRPr="00DE03CC">
        <w:rPr>
          <w:rFonts w:asciiTheme="majorBidi" w:hAnsiTheme="majorBidi" w:cstheme="majorBidi"/>
          <w:sz w:val="20"/>
          <w:szCs w:val="20"/>
          <w:lang w:val="en-US"/>
        </w:rPr>
        <w:t>s</w:t>
      </w:r>
      <w:r w:rsidR="00421C7A" w:rsidRPr="00DE03CC">
        <w:rPr>
          <w:rFonts w:asciiTheme="majorBidi" w:hAnsiTheme="majorBidi" w:cstheme="majorBidi"/>
          <w:sz w:val="20"/>
          <w:szCs w:val="20"/>
          <w:lang w:val="en-US"/>
        </w:rPr>
        <w:t xml:space="preserve"> </w:t>
      </w:r>
      <w:r w:rsidR="0069059F" w:rsidRPr="00DE03CC">
        <w:rPr>
          <w:rFonts w:asciiTheme="majorBidi" w:hAnsiTheme="majorBidi" w:cstheme="majorBidi"/>
          <w:sz w:val="20"/>
          <w:szCs w:val="20"/>
          <w:lang w:val="en-US"/>
        </w:rPr>
        <w:t xml:space="preserve">the </w:t>
      </w:r>
      <w:r w:rsidR="00661602" w:rsidRPr="00DE03CC">
        <w:rPr>
          <w:rFonts w:asciiTheme="majorBidi" w:hAnsiTheme="majorBidi" w:cstheme="majorBidi"/>
          <w:sz w:val="20"/>
          <w:szCs w:val="20"/>
          <w:lang w:val="en-US"/>
        </w:rPr>
        <w:t xml:space="preserve">efficient </w:t>
      </w:r>
      <w:r w:rsidR="00421C7A" w:rsidRPr="00DE03CC">
        <w:rPr>
          <w:rFonts w:asciiTheme="majorBidi" w:hAnsiTheme="majorBidi" w:cstheme="majorBidi"/>
          <w:sz w:val="20"/>
          <w:szCs w:val="20"/>
          <w:lang w:val="en-US"/>
        </w:rPr>
        <w:t>inf</w:t>
      </w:r>
      <w:r w:rsidR="0069059F" w:rsidRPr="00DE03CC">
        <w:rPr>
          <w:rFonts w:asciiTheme="majorBidi" w:hAnsiTheme="majorBidi" w:cstheme="majorBidi"/>
          <w:sz w:val="20"/>
          <w:szCs w:val="20"/>
          <w:lang w:val="en-US"/>
        </w:rPr>
        <w:t>ormation exchange</w:t>
      </w:r>
      <w:r w:rsidRPr="00DE03CC">
        <w:rPr>
          <w:rFonts w:asciiTheme="majorBidi" w:hAnsiTheme="majorBidi" w:cstheme="majorBidi"/>
          <w:sz w:val="20"/>
          <w:szCs w:val="20"/>
          <w:lang w:val="en-US"/>
        </w:rPr>
        <w:t xml:space="preserve"> </w:t>
      </w:r>
      <w:r w:rsidR="00071542" w:rsidRPr="00DE03CC">
        <w:rPr>
          <w:rFonts w:asciiTheme="majorBidi" w:hAnsiTheme="majorBidi" w:cstheme="majorBidi"/>
          <w:sz w:val="20"/>
          <w:szCs w:val="20"/>
          <w:lang w:val="en-US"/>
        </w:rPr>
        <w:t xml:space="preserve">between </w:t>
      </w:r>
      <w:r w:rsidR="005E6A5F" w:rsidRPr="00DE03CC">
        <w:rPr>
          <w:rFonts w:asciiTheme="majorBidi" w:hAnsiTheme="majorBidi" w:cstheme="majorBidi"/>
          <w:sz w:val="20"/>
          <w:szCs w:val="20"/>
          <w:lang w:val="en-US"/>
        </w:rPr>
        <w:t>macro</w:t>
      </w:r>
      <w:r w:rsidR="00071542" w:rsidRPr="00DE03CC">
        <w:rPr>
          <w:rFonts w:asciiTheme="majorBidi" w:hAnsiTheme="majorBidi" w:cstheme="majorBidi"/>
          <w:sz w:val="20"/>
          <w:szCs w:val="20"/>
          <w:lang w:val="en-US"/>
        </w:rPr>
        <w:t xml:space="preserve"> and </w:t>
      </w:r>
      <w:r w:rsidR="005E6A5F" w:rsidRPr="00DE03CC">
        <w:rPr>
          <w:rFonts w:asciiTheme="majorBidi" w:hAnsiTheme="majorBidi" w:cstheme="majorBidi"/>
          <w:sz w:val="20"/>
          <w:szCs w:val="20"/>
          <w:lang w:val="en-US"/>
        </w:rPr>
        <w:t>microscale</w:t>
      </w:r>
      <w:r w:rsidR="00071542" w:rsidRPr="00DE03CC">
        <w:rPr>
          <w:rFonts w:asciiTheme="majorBidi" w:hAnsiTheme="majorBidi" w:cstheme="majorBidi"/>
          <w:sz w:val="20"/>
          <w:szCs w:val="20"/>
          <w:lang w:val="en-US"/>
        </w:rPr>
        <w:t xml:space="preserve"> models.</w:t>
      </w:r>
      <w:r w:rsidR="00354828" w:rsidRPr="00DE03CC">
        <w:rPr>
          <w:lang w:val="en-US"/>
        </w:rPr>
        <w:t xml:space="preserve"> </w:t>
      </w:r>
      <w:r w:rsidR="00354828" w:rsidRPr="00DE03CC">
        <w:rPr>
          <w:rFonts w:asciiTheme="majorBidi" w:hAnsiTheme="majorBidi" w:cstheme="majorBidi"/>
          <w:sz w:val="20"/>
          <w:szCs w:val="20"/>
          <w:lang w:val="en-US"/>
        </w:rPr>
        <w:t xml:space="preserve">This framework addresses transport equations in both </w:t>
      </w:r>
      <w:r w:rsidR="005E6A5F" w:rsidRPr="00DE03CC">
        <w:rPr>
          <w:rFonts w:asciiTheme="majorBidi" w:hAnsiTheme="majorBidi" w:cstheme="majorBidi"/>
          <w:sz w:val="20"/>
          <w:szCs w:val="20"/>
          <w:lang w:val="en-US"/>
        </w:rPr>
        <w:t>macro</w:t>
      </w:r>
      <w:r w:rsidR="00354828" w:rsidRPr="00DE03CC">
        <w:rPr>
          <w:rFonts w:asciiTheme="majorBidi" w:hAnsiTheme="majorBidi" w:cstheme="majorBidi"/>
          <w:sz w:val="20"/>
          <w:szCs w:val="20"/>
          <w:lang w:val="en-US"/>
        </w:rPr>
        <w:t xml:space="preserve"> and </w:t>
      </w:r>
      <w:r w:rsidR="005E6A5F" w:rsidRPr="00DE03CC">
        <w:rPr>
          <w:rFonts w:asciiTheme="majorBidi" w:hAnsiTheme="majorBidi" w:cstheme="majorBidi"/>
          <w:sz w:val="20"/>
          <w:szCs w:val="20"/>
          <w:lang w:val="en-US"/>
        </w:rPr>
        <w:t>microscale</w:t>
      </w:r>
      <w:r w:rsidR="00354828" w:rsidRPr="00DE03CC">
        <w:rPr>
          <w:rFonts w:asciiTheme="majorBidi" w:hAnsiTheme="majorBidi" w:cstheme="majorBidi"/>
          <w:sz w:val="20"/>
          <w:szCs w:val="20"/>
          <w:lang w:val="en-US"/>
        </w:rPr>
        <w:t xml:space="preserve"> domains, with electrochemical reactions solely being </w:t>
      </w:r>
      <w:r w:rsidR="005E6A5F" w:rsidRPr="00DE03CC">
        <w:rPr>
          <w:rFonts w:asciiTheme="majorBidi" w:hAnsiTheme="majorBidi" w:cstheme="majorBidi"/>
          <w:sz w:val="20"/>
          <w:szCs w:val="20"/>
          <w:lang w:val="en-US"/>
        </w:rPr>
        <w:t>modelled</w:t>
      </w:r>
      <w:r w:rsidR="00354828" w:rsidRPr="00DE03CC">
        <w:rPr>
          <w:rFonts w:asciiTheme="majorBidi" w:hAnsiTheme="majorBidi" w:cstheme="majorBidi"/>
          <w:sz w:val="20"/>
          <w:szCs w:val="20"/>
          <w:lang w:val="en-US"/>
        </w:rPr>
        <w:t xml:space="preserve"> within the </w:t>
      </w:r>
      <w:r w:rsidR="005E6A5F" w:rsidRPr="00DE03CC">
        <w:rPr>
          <w:rFonts w:asciiTheme="majorBidi" w:hAnsiTheme="majorBidi" w:cstheme="majorBidi"/>
          <w:sz w:val="20"/>
          <w:szCs w:val="20"/>
          <w:lang w:val="en-US"/>
        </w:rPr>
        <w:t>microscale</w:t>
      </w:r>
      <w:r w:rsidR="00354828" w:rsidRPr="00DE03CC">
        <w:rPr>
          <w:rFonts w:asciiTheme="majorBidi" w:hAnsiTheme="majorBidi" w:cstheme="majorBidi"/>
          <w:sz w:val="20"/>
          <w:szCs w:val="20"/>
          <w:lang w:val="en-US"/>
        </w:rPr>
        <w:t xml:space="preserve"> domain, at spatially resolved triple phase boundaries.</w:t>
      </w:r>
      <w:r w:rsidR="00C5042A" w:rsidRPr="00DE03CC">
        <w:rPr>
          <w:rFonts w:asciiTheme="majorBidi" w:hAnsiTheme="majorBidi" w:cstheme="majorBidi"/>
          <w:sz w:val="20"/>
          <w:szCs w:val="20"/>
          <w:lang w:val="en-US"/>
        </w:rPr>
        <w:t xml:space="preserve"> </w:t>
      </w:r>
      <w:r w:rsidR="00BA1131" w:rsidRPr="00DE03CC">
        <w:rPr>
          <w:rFonts w:asciiTheme="majorBidi" w:hAnsiTheme="majorBidi" w:cstheme="majorBidi"/>
          <w:sz w:val="20"/>
          <w:szCs w:val="20"/>
          <w:lang w:val="en-US"/>
        </w:rPr>
        <w:t xml:space="preserve">The </w:t>
      </w:r>
      <w:r w:rsidR="00B958A4" w:rsidRPr="00DE03CC">
        <w:rPr>
          <w:rFonts w:asciiTheme="majorBidi" w:hAnsiTheme="majorBidi" w:cstheme="majorBidi"/>
          <w:sz w:val="20"/>
          <w:szCs w:val="20"/>
          <w:lang w:val="en-US"/>
        </w:rPr>
        <w:t xml:space="preserve">newly </w:t>
      </w:r>
      <w:r w:rsidR="00BA1131" w:rsidRPr="00DE03CC">
        <w:rPr>
          <w:rFonts w:asciiTheme="majorBidi" w:hAnsiTheme="majorBidi" w:cstheme="majorBidi"/>
          <w:sz w:val="20"/>
          <w:szCs w:val="20"/>
          <w:lang w:val="en-US"/>
        </w:rPr>
        <w:t xml:space="preserve">developed multiscale model can be used </w:t>
      </w:r>
      <w:r w:rsidR="008B12D3" w:rsidRPr="00DE03CC">
        <w:rPr>
          <w:rFonts w:asciiTheme="majorBidi" w:hAnsiTheme="majorBidi" w:cstheme="majorBidi"/>
          <w:sz w:val="20"/>
          <w:szCs w:val="20"/>
          <w:lang w:val="en-US"/>
        </w:rPr>
        <w:t>in</w:t>
      </w:r>
      <w:r w:rsidR="00BA1131" w:rsidRPr="00DE03CC">
        <w:rPr>
          <w:rFonts w:asciiTheme="majorBidi" w:hAnsiTheme="majorBidi" w:cstheme="majorBidi"/>
          <w:sz w:val="20"/>
          <w:szCs w:val="20"/>
          <w:lang w:val="en-US"/>
        </w:rPr>
        <w:t xml:space="preserve"> predict</w:t>
      </w:r>
      <w:r w:rsidR="008B12D3" w:rsidRPr="00DE03CC">
        <w:rPr>
          <w:rFonts w:asciiTheme="majorBidi" w:hAnsiTheme="majorBidi" w:cstheme="majorBidi"/>
          <w:sz w:val="20"/>
          <w:szCs w:val="20"/>
          <w:lang w:val="en-US"/>
        </w:rPr>
        <w:t>ing</w:t>
      </w:r>
      <w:r w:rsidR="00BA1131" w:rsidRPr="00DE03CC">
        <w:rPr>
          <w:rFonts w:asciiTheme="majorBidi" w:hAnsiTheme="majorBidi" w:cstheme="majorBidi"/>
          <w:sz w:val="20"/>
          <w:szCs w:val="20"/>
          <w:lang w:val="en-US"/>
        </w:rPr>
        <w:t xml:space="preserve"> the </w:t>
      </w:r>
      <w:r w:rsidR="008B12D3" w:rsidRPr="00DE03CC">
        <w:rPr>
          <w:rFonts w:asciiTheme="majorBidi" w:hAnsiTheme="majorBidi" w:cstheme="majorBidi"/>
          <w:sz w:val="20"/>
          <w:szCs w:val="20"/>
          <w:lang w:val="en-US"/>
        </w:rPr>
        <w:t xml:space="preserve">characteristics </w:t>
      </w:r>
      <w:r w:rsidR="00BA1131" w:rsidRPr="00DE03CC">
        <w:rPr>
          <w:rFonts w:asciiTheme="majorBidi" w:hAnsiTheme="majorBidi" w:cstheme="majorBidi"/>
          <w:sz w:val="20"/>
          <w:szCs w:val="20"/>
          <w:lang w:val="en-US"/>
        </w:rPr>
        <w:t xml:space="preserve">of </w:t>
      </w:r>
      <w:r w:rsidR="00890DDD" w:rsidRPr="00DE03CC">
        <w:rPr>
          <w:rFonts w:asciiTheme="majorBidi" w:hAnsiTheme="majorBidi" w:cstheme="majorBidi"/>
          <w:sz w:val="20"/>
          <w:szCs w:val="20"/>
          <w:lang w:val="en-US"/>
        </w:rPr>
        <w:t xml:space="preserve">new </w:t>
      </w:r>
      <w:r w:rsidR="00797785" w:rsidRPr="00DE03CC">
        <w:rPr>
          <w:rFonts w:asciiTheme="majorBidi" w:hAnsiTheme="majorBidi" w:cstheme="majorBidi"/>
          <w:sz w:val="20"/>
          <w:szCs w:val="20"/>
          <w:lang w:val="en-US"/>
        </w:rPr>
        <w:t xml:space="preserve">SOFC </w:t>
      </w:r>
      <w:r w:rsidR="00890DDD" w:rsidRPr="00DE03CC">
        <w:rPr>
          <w:rFonts w:asciiTheme="majorBidi" w:hAnsiTheme="majorBidi" w:cstheme="majorBidi"/>
          <w:sz w:val="20"/>
          <w:szCs w:val="20"/>
          <w:lang w:val="en-US"/>
        </w:rPr>
        <w:t xml:space="preserve">configurations </w:t>
      </w:r>
      <w:r w:rsidR="00AF7160" w:rsidRPr="00DE03CC">
        <w:rPr>
          <w:rFonts w:asciiTheme="majorBidi" w:hAnsiTheme="majorBidi" w:cstheme="majorBidi"/>
          <w:sz w:val="20"/>
          <w:szCs w:val="20"/>
          <w:lang w:val="en-US"/>
        </w:rPr>
        <w:t xml:space="preserve">without </w:t>
      </w:r>
      <w:r w:rsidR="00890DDD" w:rsidRPr="00DE03CC">
        <w:rPr>
          <w:rFonts w:asciiTheme="majorBidi" w:hAnsiTheme="majorBidi" w:cstheme="majorBidi"/>
          <w:sz w:val="20"/>
          <w:szCs w:val="20"/>
          <w:lang w:val="en-US"/>
        </w:rPr>
        <w:t xml:space="preserve">necessitating </w:t>
      </w:r>
      <w:r w:rsidR="006D5ACD" w:rsidRPr="00DE03CC">
        <w:rPr>
          <w:rFonts w:asciiTheme="majorBidi" w:hAnsiTheme="majorBidi" w:cstheme="majorBidi"/>
          <w:sz w:val="20"/>
          <w:szCs w:val="20"/>
          <w:lang w:val="en-US"/>
        </w:rPr>
        <w:t xml:space="preserve">experimental </w:t>
      </w:r>
      <w:r w:rsidR="00AF7160" w:rsidRPr="00DE03CC">
        <w:rPr>
          <w:rFonts w:asciiTheme="majorBidi" w:hAnsiTheme="majorBidi" w:cstheme="majorBidi"/>
          <w:sz w:val="20"/>
          <w:szCs w:val="20"/>
          <w:lang w:val="en-US"/>
        </w:rPr>
        <w:t>calibration.</w:t>
      </w:r>
      <w:r w:rsidR="00C5042A" w:rsidRPr="00DE03CC">
        <w:rPr>
          <w:rFonts w:asciiTheme="majorBidi" w:hAnsiTheme="majorBidi" w:cstheme="majorBidi"/>
          <w:sz w:val="20"/>
          <w:szCs w:val="20"/>
          <w:lang w:val="en-US"/>
        </w:rPr>
        <w:t xml:space="preserve"> </w:t>
      </w:r>
      <w:r w:rsidR="00D86A89" w:rsidRPr="00DE03CC">
        <w:rPr>
          <w:rFonts w:asciiTheme="majorBidi" w:hAnsiTheme="majorBidi" w:cstheme="majorBidi"/>
          <w:sz w:val="20"/>
          <w:szCs w:val="20"/>
          <w:lang w:val="en-US"/>
        </w:rPr>
        <w:t xml:space="preserve">This framework is built </w:t>
      </w:r>
      <w:r w:rsidR="007F6C4D" w:rsidRPr="00DE03CC">
        <w:rPr>
          <w:rFonts w:asciiTheme="majorBidi" w:hAnsiTheme="majorBidi" w:cstheme="majorBidi"/>
          <w:sz w:val="20"/>
          <w:szCs w:val="20"/>
          <w:lang w:val="en-US"/>
        </w:rPr>
        <w:t>based on</w:t>
      </w:r>
      <w:r w:rsidR="00D86A89" w:rsidRPr="00DE03CC">
        <w:rPr>
          <w:rFonts w:asciiTheme="majorBidi" w:hAnsiTheme="majorBidi" w:cstheme="majorBidi"/>
          <w:sz w:val="20"/>
          <w:szCs w:val="20"/>
          <w:lang w:val="en-US"/>
        </w:rPr>
        <w:t xml:space="preserve"> previous </w:t>
      </w:r>
      <w:r w:rsidR="006D5ACD" w:rsidRPr="00DE03CC">
        <w:rPr>
          <w:rFonts w:asciiTheme="majorBidi" w:hAnsiTheme="majorBidi" w:cstheme="majorBidi"/>
          <w:sz w:val="20"/>
          <w:szCs w:val="20"/>
          <w:lang w:val="en-US"/>
        </w:rPr>
        <w:t>SOFC work</w:t>
      </w:r>
      <w:r w:rsidR="00D86A89" w:rsidRPr="00DE03CC">
        <w:rPr>
          <w:rFonts w:asciiTheme="majorBidi" w:hAnsiTheme="majorBidi" w:cstheme="majorBidi"/>
          <w:sz w:val="20"/>
          <w:szCs w:val="20"/>
          <w:lang w:val="en-US"/>
        </w:rPr>
        <w:t xml:space="preserve"> </w:t>
      </w:r>
      <w:r w:rsidR="006D5ACD" w:rsidRPr="00DE03CC">
        <w:rPr>
          <w:rFonts w:asciiTheme="majorBidi" w:hAnsiTheme="majorBidi" w:cstheme="majorBidi"/>
          <w:sz w:val="20"/>
          <w:szCs w:val="20"/>
          <w:lang w:val="en-US"/>
        </w:rPr>
        <w:t>performed</w:t>
      </w:r>
      <w:r w:rsidR="00D86A89" w:rsidRPr="00DE03CC">
        <w:rPr>
          <w:rFonts w:asciiTheme="majorBidi" w:hAnsiTheme="majorBidi" w:cstheme="majorBidi"/>
          <w:sz w:val="20"/>
          <w:szCs w:val="20"/>
          <w:lang w:val="en-US"/>
        </w:rPr>
        <w:t xml:space="preserve"> by the same group of authors </w:t>
      </w:r>
      <w:r w:rsidR="00975743">
        <w:rPr>
          <w:rFonts w:asciiTheme="majorBidi" w:hAnsiTheme="majorBidi" w:cstheme="majorBidi"/>
          <w:sz w:val="20"/>
          <w:szCs w:val="20"/>
        </w:rPr>
        <w:fldChar w:fldCharType="begin"/>
      </w:r>
      <w:r w:rsidR="00975743" w:rsidRPr="00DE03CC">
        <w:rPr>
          <w:rFonts w:asciiTheme="majorBidi" w:hAnsiTheme="majorBidi" w:cstheme="majorBidi"/>
          <w:sz w:val="20"/>
          <w:szCs w:val="20"/>
          <w:lang w:val="en-US"/>
        </w:rPr>
        <w:instrText xml:space="preserve"> ADDIN ZOTERO_ITEM CSL_CITATION {"citationID":"Rf8Eq9vP","properties":{"formattedCitation":"(Abbasi et al. 2023)","plainCitation":"(Abbasi et al. 2023)","noteIndex":0},"citationItems":[{"id":886,"uris":["http://zotero.org/users/5192593/items/YLPFPJYU"],"itemData":{"id":886,"type":"chapter","container-title":"Computer Aided Chemical Engineering","page":"1039–1045","publisher":"Elsevier","title":"Multi-scale model of solid oxide fuel cell: enabling microscopic solvers to predict physical features over a macroscopic domain","volume":"52","author":[{"family":"Abbasi","given":"Hamid Reza"},{"family":"Babaei","given":"Masoud"},{"family":"Rabbani","given":"Arash"},{"family":"Theodoropoulos","given":"Constantinos"}],"issued":{"date-parts":[["2023"]]}}}],"schema":"https://github.com/citation-style-language/schema/raw/master/csl-citation.json"} </w:instrText>
      </w:r>
      <w:r w:rsidR="00975743">
        <w:rPr>
          <w:rFonts w:asciiTheme="majorBidi" w:hAnsiTheme="majorBidi" w:cstheme="majorBidi"/>
          <w:sz w:val="20"/>
          <w:szCs w:val="20"/>
        </w:rPr>
        <w:fldChar w:fldCharType="separate"/>
      </w:r>
      <w:r w:rsidR="00975743" w:rsidRPr="00DE03CC">
        <w:rPr>
          <w:rFonts w:ascii="Times New Roman" w:hAnsi="Times New Roman" w:cs="Times New Roman"/>
          <w:sz w:val="20"/>
          <w:lang w:val="en-US"/>
        </w:rPr>
        <w:t>(Abbasi et al. 2023)</w:t>
      </w:r>
      <w:r w:rsidR="00975743">
        <w:rPr>
          <w:rFonts w:asciiTheme="majorBidi" w:hAnsiTheme="majorBidi" w:cstheme="majorBidi"/>
          <w:sz w:val="20"/>
          <w:szCs w:val="20"/>
        </w:rPr>
        <w:fldChar w:fldCharType="end"/>
      </w:r>
      <w:r w:rsidR="001523AD" w:rsidRPr="00DE03CC">
        <w:rPr>
          <w:rFonts w:asciiTheme="majorBidi" w:hAnsiTheme="majorBidi" w:cstheme="majorBidi"/>
          <w:sz w:val="20"/>
          <w:szCs w:val="20"/>
          <w:lang w:val="en-US"/>
        </w:rPr>
        <w:t>.</w:t>
      </w:r>
      <w:r w:rsidR="005A508A" w:rsidRPr="00DE03CC">
        <w:rPr>
          <w:rFonts w:asciiTheme="majorBidi" w:hAnsiTheme="majorBidi" w:cstheme="majorBidi"/>
          <w:sz w:val="20"/>
          <w:szCs w:val="20"/>
          <w:lang w:val="en-US"/>
        </w:rPr>
        <w:t xml:space="preserve"> </w:t>
      </w:r>
      <w:r w:rsidR="001523AD" w:rsidRPr="00DE03CC">
        <w:rPr>
          <w:rFonts w:asciiTheme="majorBidi" w:hAnsiTheme="majorBidi" w:cstheme="majorBidi"/>
          <w:sz w:val="20"/>
          <w:szCs w:val="20"/>
          <w:lang w:val="en-US"/>
        </w:rPr>
        <w:t>Nevertheless</w:t>
      </w:r>
      <w:r w:rsidR="00975743" w:rsidRPr="00DE03CC">
        <w:rPr>
          <w:rFonts w:asciiTheme="majorBidi" w:hAnsiTheme="majorBidi" w:cstheme="majorBidi"/>
          <w:sz w:val="20"/>
          <w:szCs w:val="20"/>
          <w:lang w:val="en-US"/>
        </w:rPr>
        <w:t>,</w:t>
      </w:r>
      <w:r w:rsidR="005A508A" w:rsidRPr="00DE03CC">
        <w:rPr>
          <w:rFonts w:asciiTheme="majorBidi" w:hAnsiTheme="majorBidi" w:cstheme="majorBidi"/>
          <w:sz w:val="20"/>
          <w:szCs w:val="20"/>
          <w:lang w:val="en-US"/>
        </w:rPr>
        <w:t xml:space="preserve"> the</w:t>
      </w:r>
      <w:r w:rsidR="00975743" w:rsidRPr="00DE03CC">
        <w:rPr>
          <w:rFonts w:asciiTheme="majorBidi" w:hAnsiTheme="majorBidi" w:cstheme="majorBidi"/>
          <w:sz w:val="20"/>
          <w:szCs w:val="20"/>
          <w:lang w:val="en-US"/>
        </w:rPr>
        <w:t xml:space="preserve"> previous method</w:t>
      </w:r>
      <w:r w:rsidR="00D04AC1" w:rsidRPr="00DE03CC">
        <w:rPr>
          <w:rFonts w:asciiTheme="majorBidi" w:hAnsiTheme="majorBidi" w:cstheme="majorBidi"/>
          <w:sz w:val="20"/>
          <w:szCs w:val="20"/>
          <w:lang w:val="en-US"/>
        </w:rPr>
        <w:t xml:space="preserve"> disregard</w:t>
      </w:r>
      <w:r w:rsidR="00975743" w:rsidRPr="00DE03CC">
        <w:rPr>
          <w:rFonts w:asciiTheme="majorBidi" w:hAnsiTheme="majorBidi" w:cstheme="majorBidi"/>
          <w:sz w:val="20"/>
          <w:szCs w:val="20"/>
          <w:lang w:val="en-US"/>
        </w:rPr>
        <w:t>s</w:t>
      </w:r>
      <w:r w:rsidR="005C4BCF" w:rsidRPr="00DE03CC">
        <w:rPr>
          <w:rFonts w:asciiTheme="majorBidi" w:hAnsiTheme="majorBidi" w:cstheme="majorBidi"/>
          <w:sz w:val="20"/>
          <w:szCs w:val="20"/>
          <w:lang w:val="en-US"/>
        </w:rPr>
        <w:t xml:space="preserve"> </w:t>
      </w:r>
      <w:r w:rsidR="007F6C4D" w:rsidRPr="00DE03CC">
        <w:rPr>
          <w:rFonts w:asciiTheme="majorBidi" w:hAnsiTheme="majorBidi" w:cstheme="majorBidi"/>
          <w:sz w:val="20"/>
          <w:szCs w:val="20"/>
          <w:lang w:val="en-US"/>
        </w:rPr>
        <w:t xml:space="preserve">the </w:t>
      </w:r>
      <w:r w:rsidR="001523AD" w:rsidRPr="00DE03CC">
        <w:rPr>
          <w:rFonts w:asciiTheme="majorBidi" w:hAnsiTheme="majorBidi" w:cstheme="majorBidi"/>
          <w:sz w:val="20"/>
          <w:szCs w:val="20"/>
          <w:lang w:val="en-US"/>
        </w:rPr>
        <w:t>spatial variation</w:t>
      </w:r>
      <w:r w:rsidR="00D04AC1" w:rsidRPr="00DE03CC">
        <w:rPr>
          <w:rFonts w:asciiTheme="majorBidi" w:hAnsiTheme="majorBidi" w:cstheme="majorBidi"/>
          <w:sz w:val="20"/>
          <w:szCs w:val="20"/>
          <w:lang w:val="en-US"/>
        </w:rPr>
        <w:t xml:space="preserve"> </w:t>
      </w:r>
      <w:r w:rsidR="001523AD" w:rsidRPr="00DE03CC">
        <w:rPr>
          <w:rFonts w:asciiTheme="majorBidi" w:hAnsiTheme="majorBidi" w:cstheme="majorBidi"/>
          <w:sz w:val="20"/>
          <w:szCs w:val="20"/>
          <w:lang w:val="en-US"/>
        </w:rPr>
        <w:t xml:space="preserve">of the porous </w:t>
      </w:r>
      <w:r w:rsidR="00D04AC1" w:rsidRPr="00DE03CC">
        <w:rPr>
          <w:rFonts w:asciiTheme="majorBidi" w:hAnsiTheme="majorBidi" w:cstheme="majorBidi"/>
          <w:sz w:val="20"/>
          <w:szCs w:val="20"/>
          <w:lang w:val="en-US"/>
        </w:rPr>
        <w:t xml:space="preserve">microstructure across the length </w:t>
      </w:r>
      <w:r w:rsidR="007F6C4D" w:rsidRPr="00DE03CC">
        <w:rPr>
          <w:rFonts w:asciiTheme="majorBidi" w:hAnsiTheme="majorBidi" w:cstheme="majorBidi"/>
          <w:sz w:val="20"/>
          <w:szCs w:val="20"/>
          <w:lang w:val="en-US"/>
        </w:rPr>
        <w:t>of the cell.</w:t>
      </w:r>
      <w:r w:rsidR="00EC480B" w:rsidRPr="00DE03CC">
        <w:rPr>
          <w:rFonts w:asciiTheme="majorBidi" w:hAnsiTheme="majorBidi" w:cstheme="majorBidi"/>
          <w:sz w:val="20"/>
          <w:szCs w:val="20"/>
          <w:lang w:val="en-US"/>
        </w:rPr>
        <w:t xml:space="preserve"> The recently developed method </w:t>
      </w:r>
      <w:r w:rsidR="00122F41" w:rsidRPr="00DE03CC">
        <w:rPr>
          <w:rFonts w:asciiTheme="majorBidi" w:hAnsiTheme="majorBidi" w:cstheme="majorBidi"/>
          <w:sz w:val="20"/>
          <w:szCs w:val="20"/>
          <w:lang w:val="en-US"/>
        </w:rPr>
        <w:t>may be considered an extension of its predecessor</w:t>
      </w:r>
      <w:r w:rsidR="00385F56" w:rsidRPr="00DE03CC">
        <w:rPr>
          <w:rFonts w:asciiTheme="majorBidi" w:hAnsiTheme="majorBidi" w:cstheme="majorBidi"/>
          <w:sz w:val="20"/>
          <w:szCs w:val="20"/>
          <w:lang w:val="en-US"/>
        </w:rPr>
        <w:t xml:space="preserve"> considering </w:t>
      </w:r>
      <w:r w:rsidR="001523AD" w:rsidRPr="00DE03CC">
        <w:rPr>
          <w:rFonts w:asciiTheme="majorBidi" w:hAnsiTheme="majorBidi" w:cstheme="majorBidi"/>
          <w:sz w:val="20"/>
          <w:szCs w:val="20"/>
          <w:lang w:val="en-US"/>
        </w:rPr>
        <w:t>spatial</w:t>
      </w:r>
      <w:r w:rsidR="00385F56" w:rsidRPr="00DE03CC">
        <w:rPr>
          <w:rFonts w:asciiTheme="majorBidi" w:hAnsiTheme="majorBidi" w:cstheme="majorBidi"/>
          <w:sz w:val="20"/>
          <w:szCs w:val="20"/>
          <w:lang w:val="en-US"/>
        </w:rPr>
        <w:t xml:space="preserve"> microstructure</w:t>
      </w:r>
      <w:r w:rsidR="001523AD" w:rsidRPr="00DE03CC">
        <w:rPr>
          <w:rFonts w:asciiTheme="majorBidi" w:hAnsiTheme="majorBidi" w:cstheme="majorBidi"/>
          <w:sz w:val="20"/>
          <w:szCs w:val="20"/>
          <w:lang w:val="en-US"/>
        </w:rPr>
        <w:t xml:space="preserve"> variation</w:t>
      </w:r>
      <w:r w:rsidR="00385F56" w:rsidRPr="00DE03CC">
        <w:rPr>
          <w:rFonts w:asciiTheme="majorBidi" w:hAnsiTheme="majorBidi" w:cstheme="majorBidi"/>
          <w:sz w:val="20"/>
          <w:szCs w:val="20"/>
          <w:lang w:val="en-US"/>
        </w:rPr>
        <w:t xml:space="preserve"> across the length of the cell, </w:t>
      </w:r>
      <w:r w:rsidR="001523AD" w:rsidRPr="00DE03CC">
        <w:rPr>
          <w:rFonts w:asciiTheme="majorBidi" w:hAnsiTheme="majorBidi" w:cstheme="majorBidi"/>
          <w:sz w:val="20"/>
          <w:szCs w:val="20"/>
          <w:lang w:val="en-US"/>
        </w:rPr>
        <w:t xml:space="preserve">through a multiple microstructure representation, which </w:t>
      </w:r>
      <w:r w:rsidR="00385F56" w:rsidRPr="00DE03CC">
        <w:rPr>
          <w:rFonts w:asciiTheme="majorBidi" w:hAnsiTheme="majorBidi" w:cstheme="majorBidi"/>
          <w:sz w:val="20"/>
          <w:szCs w:val="20"/>
          <w:lang w:val="en-US"/>
        </w:rPr>
        <w:t>allow</w:t>
      </w:r>
      <w:r w:rsidR="001523AD" w:rsidRPr="00DE03CC">
        <w:rPr>
          <w:rFonts w:asciiTheme="majorBidi" w:hAnsiTheme="majorBidi" w:cstheme="majorBidi"/>
          <w:sz w:val="20"/>
          <w:szCs w:val="20"/>
          <w:lang w:val="en-US"/>
        </w:rPr>
        <w:t>s</w:t>
      </w:r>
      <w:r w:rsidR="00385F56" w:rsidRPr="00DE03CC">
        <w:rPr>
          <w:rFonts w:asciiTheme="majorBidi" w:hAnsiTheme="majorBidi" w:cstheme="majorBidi"/>
          <w:sz w:val="20"/>
          <w:szCs w:val="20"/>
          <w:lang w:val="en-US"/>
        </w:rPr>
        <w:t xml:space="preserve"> the multiscale solver to be more accurate </w:t>
      </w:r>
      <w:r w:rsidR="002C24DF" w:rsidRPr="00DE03CC">
        <w:rPr>
          <w:rFonts w:asciiTheme="majorBidi" w:hAnsiTheme="majorBidi" w:cstheme="majorBidi"/>
          <w:sz w:val="20"/>
          <w:szCs w:val="20"/>
          <w:lang w:val="en-US"/>
        </w:rPr>
        <w:t>particularly in scenarios characterized by substantial variations in field variables along the</w:t>
      </w:r>
      <w:r w:rsidR="001523AD" w:rsidRPr="00DE03CC">
        <w:rPr>
          <w:rFonts w:asciiTheme="majorBidi" w:hAnsiTheme="majorBidi" w:cstheme="majorBidi"/>
          <w:sz w:val="20"/>
          <w:szCs w:val="20"/>
          <w:lang w:val="en-US"/>
        </w:rPr>
        <w:t xml:space="preserve"> </w:t>
      </w:r>
      <w:r w:rsidR="002C24DF" w:rsidRPr="00DE03CC">
        <w:rPr>
          <w:rFonts w:asciiTheme="majorBidi" w:hAnsiTheme="majorBidi" w:cstheme="majorBidi"/>
          <w:sz w:val="20"/>
          <w:szCs w:val="20"/>
          <w:lang w:val="en-US"/>
        </w:rPr>
        <w:t>length</w:t>
      </w:r>
      <w:r w:rsidR="001523AD" w:rsidRPr="00DE03CC">
        <w:rPr>
          <w:rFonts w:asciiTheme="majorBidi" w:hAnsiTheme="majorBidi" w:cstheme="majorBidi"/>
          <w:sz w:val="20"/>
          <w:szCs w:val="20"/>
          <w:lang w:val="en-US"/>
        </w:rPr>
        <w:t xml:space="preserve"> of the SOFC</w:t>
      </w:r>
      <w:r w:rsidR="002C24DF" w:rsidRPr="00DE03CC">
        <w:rPr>
          <w:rFonts w:asciiTheme="majorBidi" w:hAnsiTheme="majorBidi" w:cstheme="majorBidi"/>
          <w:sz w:val="20"/>
          <w:szCs w:val="20"/>
          <w:lang w:val="en-US"/>
        </w:rPr>
        <w:t>.</w:t>
      </w:r>
    </w:p>
    <w:p w14:paraId="3E037204" w14:textId="69AEAFE2" w:rsidR="00DD3D9E" w:rsidRDefault="004C5887">
      <w:pPr>
        <w:pStyle w:val="Els-1storder-head"/>
      </w:pPr>
      <w:r>
        <w:t>M</w:t>
      </w:r>
      <w:r w:rsidR="007E785F">
        <w:t>ethodology</w:t>
      </w:r>
    </w:p>
    <w:p w14:paraId="0A585C48" w14:textId="3B795B07" w:rsidR="009F03BD" w:rsidRDefault="005E6A5F" w:rsidP="009F03BD">
      <w:pPr>
        <w:pStyle w:val="Els-body-text"/>
      </w:pPr>
      <w:r>
        <w:t>Macro</w:t>
      </w:r>
      <w:r w:rsidR="00880CF1">
        <w:t>scopic</w:t>
      </w:r>
      <w:r w:rsidR="004E15A2">
        <w:t xml:space="preserve"> and micro</w:t>
      </w:r>
      <w:r w:rsidR="00880CF1">
        <w:t xml:space="preserve">scopic </w:t>
      </w:r>
      <w:r w:rsidR="004E15A2">
        <w:t xml:space="preserve">scale </w:t>
      </w:r>
      <w:r w:rsidR="00880CF1">
        <w:t xml:space="preserve">computational </w:t>
      </w:r>
      <w:r w:rsidR="004E15A2">
        <w:t xml:space="preserve">domains are </w:t>
      </w:r>
      <w:r w:rsidR="00880CF1">
        <w:t xml:space="preserve">schematically </w:t>
      </w:r>
      <w:r w:rsidR="004E15A2">
        <w:t xml:space="preserve">depicted in </w:t>
      </w:r>
      <w:r w:rsidR="00E7138E">
        <w:t>Fi</w:t>
      </w:r>
      <w:r w:rsidR="004E15A2">
        <w:t xml:space="preserve">gure 1. </w:t>
      </w:r>
      <w:r w:rsidR="00AA7D78">
        <w:t xml:space="preserve">The </w:t>
      </w:r>
      <w:r>
        <w:t>macroscale</w:t>
      </w:r>
      <w:r w:rsidR="00AA7D78">
        <w:t xml:space="preserve"> domain consists of fuel/air channel, porous electrode, and electrolyte, whereas the </w:t>
      </w:r>
      <w:r>
        <w:t>microscale</w:t>
      </w:r>
      <w:r w:rsidR="00AA7D78">
        <w:t xml:space="preserve"> domain only </w:t>
      </w:r>
      <w:r w:rsidR="008A040C">
        <w:t>consists of a</w:t>
      </w:r>
      <w:r w:rsidR="00880CF1">
        <w:t xml:space="preserve">n </w:t>
      </w:r>
      <w:r w:rsidR="006A4E81">
        <w:t>electrochemically</w:t>
      </w:r>
      <w:r w:rsidR="00880CF1">
        <w:t xml:space="preserve"> </w:t>
      </w:r>
      <w:r w:rsidR="00880CF1" w:rsidRPr="00880CF1">
        <w:rPr>
          <w:i/>
          <w:iCs/>
        </w:rPr>
        <w:t>active</w:t>
      </w:r>
      <w:r w:rsidR="008A040C" w:rsidRPr="00880CF1">
        <w:rPr>
          <w:i/>
          <w:iCs/>
        </w:rPr>
        <w:t xml:space="preserve"> </w:t>
      </w:r>
      <w:r w:rsidR="008A040C">
        <w:t xml:space="preserve">thin layer </w:t>
      </w:r>
      <w:r w:rsidR="00E7138E">
        <w:t xml:space="preserve">of </w:t>
      </w:r>
      <w:r w:rsidR="008A040C">
        <w:t xml:space="preserve">porous anode microstructure in </w:t>
      </w:r>
      <w:r w:rsidR="00880CF1">
        <w:t xml:space="preserve">the </w:t>
      </w:r>
      <w:r w:rsidR="008A040C">
        <w:t xml:space="preserve">vicinity of the electrolyte. This is </w:t>
      </w:r>
      <w:r w:rsidR="0003614E">
        <w:t>where electrochemical</w:t>
      </w:r>
      <w:r w:rsidR="008A040C">
        <w:t xml:space="preserve"> reactions </w:t>
      </w:r>
      <w:r w:rsidR="0049278F">
        <w:t xml:space="preserve">involving hydrogen oxidation </w:t>
      </w:r>
      <w:r w:rsidR="008A040C">
        <w:t>take place</w:t>
      </w:r>
      <w:r w:rsidR="006A4E81">
        <w:t>;</w:t>
      </w:r>
      <w:r w:rsidR="008A040C">
        <w:t xml:space="preserve"> therefore</w:t>
      </w:r>
      <w:r w:rsidR="006A4E81">
        <w:t>,</w:t>
      </w:r>
      <w:r w:rsidR="008A040C">
        <w:t xml:space="preserve"> </w:t>
      </w:r>
      <w:r w:rsidR="00CD5EAE">
        <w:t xml:space="preserve">the </w:t>
      </w:r>
      <w:r>
        <w:t>microscale</w:t>
      </w:r>
      <w:r w:rsidR="008A040C">
        <w:t xml:space="preserve"> model </w:t>
      </w:r>
      <w:r w:rsidR="00016601">
        <w:t xml:space="preserve">can facilitate </w:t>
      </w:r>
      <w:r w:rsidR="00CD5EAE">
        <w:t>the use of</w:t>
      </w:r>
      <w:r w:rsidR="00016601">
        <w:t xml:space="preserve"> </w:t>
      </w:r>
      <w:r w:rsidR="006A4E81">
        <w:t xml:space="preserve">a </w:t>
      </w:r>
      <w:r>
        <w:t>micro</w:t>
      </w:r>
      <w:r w:rsidR="00016601">
        <w:t xml:space="preserve">level description of </w:t>
      </w:r>
      <w:r w:rsidR="00D10FC8">
        <w:t xml:space="preserve">kinetics of </w:t>
      </w:r>
      <w:r w:rsidR="00016601">
        <w:t xml:space="preserve">electrochemical reactions.  </w:t>
      </w:r>
      <w:r w:rsidR="008E173D">
        <w:t xml:space="preserve">In </w:t>
      </w:r>
      <w:r w:rsidR="00CD5EAE">
        <w:t xml:space="preserve">the </w:t>
      </w:r>
      <w:r>
        <w:t>macroscale</w:t>
      </w:r>
      <w:r w:rsidR="008E173D">
        <w:t xml:space="preserve"> model</w:t>
      </w:r>
      <w:r w:rsidR="00005E76">
        <w:t>,</w:t>
      </w:r>
      <w:r w:rsidR="008E173D">
        <w:t xml:space="preserve"> kinetics of electrochemical reactions is described using area-specific exchange current density</w:t>
      </w:r>
      <w:r w:rsidR="009F03BD">
        <w:t xml:space="preserve">, </w:t>
      </w:r>
      <m:oMath>
        <m:sSub>
          <m:sSubPr>
            <m:ctrlPr>
              <w:rPr>
                <w:rFonts w:ascii="Cambria Math" w:hAnsi="Cambria Math"/>
                <w:i/>
              </w:rPr>
            </m:ctrlPr>
          </m:sSubPr>
          <m:e>
            <m:r>
              <w:rPr>
                <w:rFonts w:ascii="Cambria Math" w:hAnsi="Cambria Math"/>
              </w:rPr>
              <m:t>J</m:t>
            </m:r>
          </m:e>
          <m:sub>
            <m:r>
              <w:rPr>
                <w:rFonts w:ascii="Cambria Math" w:hAnsi="Cambria Math"/>
              </w:rPr>
              <m:t>0,M</m:t>
            </m:r>
          </m:sub>
        </m:sSub>
      </m:oMath>
      <w:r w:rsidR="009F03BD">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231"/>
      </w:tblGrid>
      <w:tr w:rsidR="009F03BD" w14:paraId="7F8B2F74" w14:textId="77777777" w:rsidTr="00B87FDA">
        <w:tc>
          <w:tcPr>
            <w:tcW w:w="5845" w:type="dxa"/>
          </w:tcPr>
          <w:p w14:paraId="7E55EFFD" w14:textId="7FC32084" w:rsidR="009F03BD" w:rsidRPr="00BD06B2" w:rsidRDefault="00DE03CC" w:rsidP="00265F7D">
            <w:pPr>
              <w:pStyle w:val="Els-body-text"/>
              <w:spacing w:before="120" w:after="120"/>
            </w:pPr>
            <m:oMathPara>
              <m:oMathParaPr>
                <m:jc m:val="left"/>
              </m:oMathParaPr>
              <m:oMath>
                <m:sSub>
                  <m:sSubPr>
                    <m:ctrlPr>
                      <w:rPr>
                        <w:rFonts w:ascii="Cambria Math" w:hAnsi="Cambria Math"/>
                        <w:i/>
                      </w:rPr>
                    </m:ctrlPr>
                  </m:sSubPr>
                  <m:e>
                    <m:r>
                      <w:rPr>
                        <w:rFonts w:ascii="Cambria Math" w:hAnsi="Cambria Math"/>
                      </w:rPr>
                      <m:t>J</m:t>
                    </m:r>
                  </m:e>
                  <m:sub>
                    <m:r>
                      <w:rPr>
                        <w:rFonts w:ascii="Cambria Math" w:hAnsi="Cambria Math"/>
                      </w:rPr>
                      <m:t>M</m:t>
                    </m:r>
                  </m:sub>
                </m:sSub>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e>
                </m:d>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0,</m:t>
                    </m:r>
                    <m:r>
                      <w:rPr>
                        <w:rFonts w:ascii="Cambria Math" w:hAnsi="Cambria Math"/>
                      </w:rPr>
                      <m:t>M</m:t>
                    </m:r>
                  </m:sub>
                </m:sSub>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BV</m:t>
                    </m:r>
                  </m:sub>
                </m:sSub>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act</m:t>
                        </m:r>
                        <m:r>
                          <w:rPr>
                            <w:rFonts w:ascii="Cambria Math" w:hAnsi="Cambria Math"/>
                          </w:rPr>
                          <m:t>,</m:t>
                        </m:r>
                        <m:r>
                          <w:rPr>
                            <w:rFonts w:ascii="Cambria Math" w:hAnsi="Cambria Math"/>
                          </w:rPr>
                          <m:t>M</m:t>
                        </m:r>
                      </m:sub>
                    </m:sSub>
                  </m:e>
                </m:d>
              </m:oMath>
            </m:oMathPara>
          </w:p>
        </w:tc>
        <w:tc>
          <w:tcPr>
            <w:tcW w:w="1231" w:type="dxa"/>
          </w:tcPr>
          <w:p w14:paraId="41E4BF49" w14:textId="77777777" w:rsidR="009F03BD" w:rsidRDefault="009F03BD" w:rsidP="00265F7D">
            <w:pPr>
              <w:pStyle w:val="Els-body-text"/>
              <w:spacing w:before="120" w:after="120"/>
              <w:jc w:val="right"/>
            </w:pPr>
            <w:r>
              <w:rPr>
                <w:rFonts w:eastAsiaTheme="minorEastAsia"/>
              </w:rPr>
              <w:t>(1)</w:t>
            </w:r>
          </w:p>
        </w:tc>
      </w:tr>
    </w:tbl>
    <w:p w14:paraId="386C57AB" w14:textId="1B6A9A17" w:rsidR="00970F6B" w:rsidRDefault="00881D42" w:rsidP="009F03BD">
      <w:pPr>
        <w:pStyle w:val="Els-body-text"/>
      </w:pPr>
      <w:r>
        <w:t xml:space="preserve">Where </w:t>
      </w:r>
      <m:oMath>
        <m:sSub>
          <m:sSubPr>
            <m:ctrlPr>
              <w:rPr>
                <w:rFonts w:ascii="Cambria Math" w:hAnsi="Cambria Math"/>
                <w:i/>
              </w:rPr>
            </m:ctrlPr>
          </m:sSubPr>
          <m:e>
            <m:r>
              <w:rPr>
                <w:rFonts w:ascii="Cambria Math" w:hAnsi="Cambria Math"/>
              </w:rPr>
              <m:t>J</m:t>
            </m:r>
          </m:e>
          <m:sub>
            <m:r>
              <w:rPr>
                <w:rFonts w:ascii="Cambria Math" w:hAnsi="Cambria Math"/>
              </w:rPr>
              <m:t>M</m:t>
            </m:r>
          </m:sub>
        </m:sSub>
      </m:oMath>
      <w:r>
        <w:t xml:space="preserve"> is </w:t>
      </w:r>
      <w:r w:rsidR="00D537CD">
        <w:t xml:space="preserve">the </w:t>
      </w:r>
      <w:r>
        <w:t>current density,</w:t>
      </w:r>
      <w:r w:rsidR="00BD06B2">
        <w:t xml:space="preserve"> </w:t>
      </w:r>
      <m:oMath>
        <m:sSub>
          <m:sSubPr>
            <m:ctrlPr>
              <w:rPr>
                <w:rFonts w:ascii="Cambria Math" w:hAnsi="Cambria Math"/>
                <w:i/>
              </w:rPr>
            </m:ctrlPr>
          </m:sSubPr>
          <m:e>
            <m:r>
              <w:rPr>
                <w:rFonts w:ascii="Cambria Math" w:hAnsi="Cambria Math"/>
              </w:rPr>
              <m:t>η</m:t>
            </m:r>
          </m:e>
          <m:sub>
            <m:r>
              <w:rPr>
                <w:rFonts w:ascii="Cambria Math" w:hAnsi="Cambria Math"/>
              </w:rPr>
              <m:t>act</m:t>
            </m:r>
          </m:sub>
        </m:sSub>
      </m:oMath>
      <w:r w:rsidR="00BD06B2">
        <w:t xml:space="preserve"> </w:t>
      </w:r>
      <w:r w:rsidR="006A4E81">
        <w:t xml:space="preserve">is </w:t>
      </w:r>
      <w:r w:rsidR="00D537CD">
        <w:t>the</w:t>
      </w:r>
      <w:r w:rsidR="00BD06B2">
        <w:t xml:space="preserve"> activation overpotential</w:t>
      </w:r>
      <w:r w:rsidR="006A4E81">
        <w:t>,</w:t>
      </w:r>
      <w:r>
        <w:t xml:space="preserve"> and </w:t>
      </w:r>
      <m:oMath>
        <m:sSub>
          <m:sSubPr>
            <m:ctrlPr>
              <w:rPr>
                <w:rFonts w:ascii="Cambria Math" w:hAnsi="Cambria Math"/>
                <w:i/>
              </w:rPr>
            </m:ctrlPr>
          </m:sSubPr>
          <m:e>
            <m:r>
              <w:rPr>
                <w:rFonts w:ascii="Cambria Math" w:hAnsi="Cambria Math"/>
              </w:rPr>
              <m:t>f</m:t>
            </m:r>
          </m:e>
          <m:sub>
            <m:r>
              <w:rPr>
                <w:rFonts w:ascii="Cambria Math" w:hAnsi="Cambria Math"/>
              </w:rPr>
              <m:t>BV</m:t>
            </m:r>
          </m:sub>
        </m:sSub>
      </m:oMath>
      <w:r w:rsidR="006A4E81">
        <w:t xml:space="preserve"> </w:t>
      </w:r>
      <w:r w:rsidR="00D537CD">
        <w:t>the</w:t>
      </w:r>
      <w:r>
        <w:t xml:space="preserve"> Butler-Volmer </w:t>
      </w:r>
      <w:r w:rsidR="00D10FC8">
        <w:t>operator</w:t>
      </w:r>
      <w:r>
        <w:t xml:space="preserve"> that </w:t>
      </w:r>
      <w:r w:rsidR="005F17DA">
        <w:t>describes the ra</w:t>
      </w:r>
      <w:r w:rsidR="009A7948">
        <w:t xml:space="preserve">te of electrochemical reaction with respect to </w:t>
      </w:r>
      <w:r w:rsidR="00B10A02">
        <w:t xml:space="preserve">bulk voltage difference between the electrode and the electrolyte. </w:t>
      </w:r>
      <m:oMath>
        <m:sSub>
          <m:sSubPr>
            <m:ctrlPr>
              <w:rPr>
                <w:rFonts w:ascii="Cambria Math" w:hAnsi="Cambria Math"/>
                <w:i/>
              </w:rPr>
            </m:ctrlPr>
          </m:sSubPr>
          <m:e>
            <m:r>
              <w:rPr>
                <w:rFonts w:ascii="Cambria Math" w:hAnsi="Cambria Math"/>
              </w:rPr>
              <m:t>J</m:t>
            </m:r>
          </m:e>
          <m:sub>
            <m:r>
              <w:rPr>
                <w:rFonts w:ascii="Cambria Math" w:hAnsi="Cambria Math"/>
              </w:rPr>
              <m:t>0,M</m:t>
            </m:r>
          </m:sub>
        </m:sSub>
      </m:oMath>
      <w:r w:rsidR="00005E76">
        <w:t xml:space="preserve"> has unit</w:t>
      </w:r>
      <w:r w:rsidR="00D537CD">
        <w:t>s</w:t>
      </w:r>
      <w:r w:rsidR="00005E76">
        <w:t xml:space="preserve"> of </w:t>
      </w:r>
      <m:oMath>
        <m:r>
          <w:rPr>
            <w:rFonts w:ascii="Cambria Math" w:hAnsi="Cambria Math"/>
          </w:rPr>
          <m:t>(</m:t>
        </m:r>
        <m:f>
          <m:fPr>
            <m:type m:val="lin"/>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r>
          <w:rPr>
            <w:rFonts w:ascii="Cambria Math" w:hAnsi="Cambria Math"/>
          </w:rPr>
          <m:t>)</m:t>
        </m:r>
      </m:oMath>
      <w:r w:rsidR="00005E76">
        <w:t xml:space="preserve">, which is inconsistent with the true nature of the electrochemical reactions that take place on </w:t>
      </w:r>
      <w:r w:rsidR="0026105B">
        <w:t>triple phase boundary (</w:t>
      </w:r>
      <w:r w:rsidR="00005E76">
        <w:t>TPB</w:t>
      </w:r>
      <w:r w:rsidR="0026105B">
        <w:t>)</w:t>
      </w:r>
      <w:r w:rsidR="00005E76">
        <w:t xml:space="preserve"> sites</w:t>
      </w:r>
      <w:r w:rsidR="00D10FC8">
        <w:t xml:space="preserve"> that are lines in space</w:t>
      </w:r>
      <w:r w:rsidR="00DF78BD">
        <w:t xml:space="preserve">. It provides an area-averaged way of </w:t>
      </w:r>
      <w:r w:rsidR="00CE381A">
        <w:t xml:space="preserve">reporting the kinetics of electrochemical reactions </w:t>
      </w:r>
      <w:r w:rsidR="0026105B">
        <w:t>in each</w:t>
      </w:r>
      <w:r w:rsidR="00CE381A">
        <w:t xml:space="preserve"> microstructure</w:t>
      </w:r>
      <w:r w:rsidR="00D67D69">
        <w:t xml:space="preserve"> and</w:t>
      </w:r>
      <w:r w:rsidR="006A4E81">
        <w:t>,</w:t>
      </w:r>
      <w:r w:rsidR="00D67D69">
        <w:t xml:space="preserve"> </w:t>
      </w:r>
      <w:r w:rsidR="00D10FC8">
        <w:t xml:space="preserve">hence, </w:t>
      </w:r>
      <w:r w:rsidR="00D67D69">
        <w:t>it depends on the topological properties of the microstructure</w:t>
      </w:r>
      <w:r w:rsidR="00CE381A">
        <w:t xml:space="preserve">. </w:t>
      </w:r>
      <w:r w:rsidR="0069467E">
        <w:t xml:space="preserve">A more </w:t>
      </w:r>
      <w:r w:rsidR="00241803">
        <w:t>precise</w:t>
      </w:r>
      <w:r w:rsidR="0069467E">
        <w:t xml:space="preserve"> way of reporting the exchange current density </w:t>
      </w:r>
      <w:r w:rsidR="00D67D69">
        <w:t xml:space="preserve">would be to </w:t>
      </w:r>
      <w:r w:rsidR="00A171EC">
        <w:t>express</w:t>
      </w:r>
      <w:r w:rsidR="005B73C3">
        <w:t xml:space="preserve"> it </w:t>
      </w:r>
      <w:r w:rsidR="00D10FC8">
        <w:t>per length</w:t>
      </w:r>
      <w:r w:rsidR="005B73C3">
        <w:t xml:space="preserve"> </w:t>
      </w:r>
      <m:oMath>
        <m:d>
          <m:dPr>
            <m:ctrlPr>
              <w:rPr>
                <w:rFonts w:ascii="Cambria Math" w:hAnsi="Cambria Math"/>
                <w:i/>
              </w:rPr>
            </m:ctrlPr>
          </m:dPr>
          <m:e>
            <m:f>
              <m:fPr>
                <m:type m:val="lin"/>
                <m:ctrlPr>
                  <w:rPr>
                    <w:rFonts w:ascii="Cambria Math" w:hAnsi="Cambria Math"/>
                    <w:i/>
                  </w:rPr>
                </m:ctrlPr>
              </m:fPr>
              <m:num>
                <m:r>
                  <w:rPr>
                    <w:rFonts w:ascii="Cambria Math" w:hAnsi="Cambria Math"/>
                  </w:rPr>
                  <m:t>A</m:t>
                </m:r>
              </m:num>
              <m:den>
                <m:r>
                  <w:rPr>
                    <w:rFonts w:ascii="Cambria Math" w:hAnsi="Cambria Math"/>
                  </w:rPr>
                  <m:t>m</m:t>
                </m:r>
              </m:den>
            </m:f>
          </m:e>
        </m:d>
      </m:oMath>
      <w:r w:rsidR="005B73C3">
        <w:t>.</w:t>
      </w:r>
      <w:r w:rsidR="00A171EC">
        <w:t xml:space="preserve"> </w:t>
      </w:r>
      <w:r w:rsidR="00C727A5" w:rsidRPr="00C727A5">
        <w:t xml:space="preserve">This approach eliminates the reliance on the topological characteristics of microstructure when </w:t>
      </w:r>
      <w:r w:rsidR="00C727A5">
        <w:t>describing</w:t>
      </w:r>
      <w:r w:rsidR="00C727A5" w:rsidRPr="00C727A5">
        <w:t xml:space="preserve"> the </w:t>
      </w:r>
      <w:r w:rsidR="00C727A5">
        <w:t xml:space="preserve">kinetics of </w:t>
      </w:r>
      <w:r w:rsidR="00C504C8">
        <w:t xml:space="preserve">electrochemical reactions and </w:t>
      </w:r>
      <w:r w:rsidR="00D10FC8">
        <w:t xml:space="preserve">consequently </w:t>
      </w:r>
      <w:r w:rsidR="00C504C8">
        <w:t>is more versatile</w:t>
      </w:r>
      <w:r w:rsidR="00C727A5" w:rsidRPr="00C727A5">
        <w:t>.</w:t>
      </w:r>
      <w:r w:rsidR="00C504C8">
        <w:t xml:space="preserve"> </w:t>
      </w:r>
      <w:r w:rsidR="00C504C8" w:rsidRPr="005E6A5F">
        <w:t xml:space="preserve">The </w:t>
      </w:r>
      <w:r w:rsidR="00434C60" w:rsidRPr="005E6A5F">
        <w:t>lengthwise</w:t>
      </w:r>
      <w:r w:rsidR="00C504C8" w:rsidRPr="005E6A5F">
        <w:t xml:space="preserve"> exchange</w:t>
      </w:r>
      <w:r w:rsidR="00C504C8">
        <w:t xml:space="preserve"> current density, </w:t>
      </w:r>
      <m:oMath>
        <m:sSub>
          <m:sSubPr>
            <m:ctrlPr>
              <w:rPr>
                <w:rFonts w:ascii="Cambria Math" w:hAnsi="Cambria Math"/>
                <w:i/>
              </w:rPr>
            </m:ctrlPr>
          </m:sSubPr>
          <m:e>
            <m:r>
              <w:rPr>
                <w:rFonts w:ascii="Cambria Math" w:hAnsi="Cambria Math"/>
              </w:rPr>
              <m:t>J</m:t>
            </m:r>
          </m:e>
          <m:sub>
            <m:r>
              <w:rPr>
                <w:rFonts w:ascii="Cambria Math" w:hAnsi="Cambria Math"/>
              </w:rPr>
              <m:t>0,m</m:t>
            </m:r>
          </m:sub>
        </m:sSub>
        <m:r>
          <w:rPr>
            <w:rFonts w:ascii="Cambria Math" w:hAnsi="Cambria Math"/>
          </w:rPr>
          <m:t xml:space="preserve"> [A/m]</m:t>
        </m:r>
      </m:oMath>
      <w:r w:rsidR="006A4E81">
        <w:t>,</w:t>
      </w:r>
      <w:r w:rsidR="00C504C8">
        <w:t xml:space="preserve"> should be used in a </w:t>
      </w:r>
      <w:r w:rsidR="005E6A5F">
        <w:t>microscale</w:t>
      </w:r>
      <w:r w:rsidR="00C504C8">
        <w:t xml:space="preserve"> domain where TPB sites</w:t>
      </w:r>
      <w:r w:rsidR="00970F6B">
        <w:t xml:space="preserve"> have been resolved. In </w:t>
      </w:r>
      <w:r w:rsidR="005E6A5F">
        <w:t>microscale</w:t>
      </w:r>
      <w:r w:rsidR="00D10FC8">
        <w:t xml:space="preserve"> model</w:t>
      </w:r>
      <w:r w:rsidR="00970F6B">
        <w:t xml:space="preserve">, </w:t>
      </w:r>
      <w:r w:rsidR="006A4E81">
        <w:t xml:space="preserve">the </w:t>
      </w:r>
      <w:r w:rsidR="00970F6B">
        <w:t>current density is defined as: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231"/>
      </w:tblGrid>
      <w:tr w:rsidR="00C073B0" w14:paraId="76AD83C0" w14:textId="77777777" w:rsidTr="00B87FDA">
        <w:trPr>
          <w:trHeight w:val="432"/>
        </w:trPr>
        <w:tc>
          <w:tcPr>
            <w:tcW w:w="5845" w:type="dxa"/>
          </w:tcPr>
          <w:p w14:paraId="27D3B865" w14:textId="028F8528" w:rsidR="00C073B0" w:rsidRPr="00BD06B2" w:rsidRDefault="00C504C8" w:rsidP="00265F7D">
            <w:pPr>
              <w:pStyle w:val="Els-body-text"/>
              <w:spacing w:before="120" w:after="120"/>
            </w:pPr>
            <w:r>
              <w:t xml:space="preserve"> </w:t>
            </w:r>
            <m:oMath>
              <m:sSub>
                <m:sSubPr>
                  <m:ctrlPr>
                    <w:rPr>
                      <w:rFonts w:ascii="Cambria Math" w:hAnsi="Cambria Math"/>
                      <w:i/>
                    </w:rPr>
                  </m:ctrlPr>
                </m:sSubPr>
                <m:e>
                  <m:r>
                    <w:rPr>
                      <w:rFonts w:ascii="Cambria Math" w:hAnsi="Cambria Math"/>
                    </w:rPr>
                    <m:t>J</m:t>
                  </m:r>
                </m:e>
                <m:sub>
                  <m:r>
                    <w:rPr>
                      <w:rFonts w:ascii="Cambria Math" w:hAnsi="Cambria Math"/>
                    </w:rPr>
                    <m:t>m</m:t>
                  </m:r>
                </m:sub>
              </m:sSub>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m</m:t>
                      </m:r>
                    </m:den>
                  </m:f>
                </m:e>
              </m:d>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0,m</m:t>
                  </m:r>
                </m:sub>
              </m:sSub>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m</m:t>
                      </m:r>
                    </m:den>
                  </m:f>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BV</m:t>
                  </m:r>
                </m:sub>
              </m:sSub>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act,M</m:t>
                      </m:r>
                    </m:sub>
                  </m:sSub>
                </m:e>
              </m:d>
            </m:oMath>
          </w:p>
        </w:tc>
        <w:tc>
          <w:tcPr>
            <w:tcW w:w="1231" w:type="dxa"/>
          </w:tcPr>
          <w:p w14:paraId="0055CD31" w14:textId="5CB19E1E" w:rsidR="00C073B0" w:rsidRDefault="00C073B0" w:rsidP="00265F7D">
            <w:pPr>
              <w:pStyle w:val="Els-body-text"/>
              <w:spacing w:before="120" w:after="120"/>
              <w:jc w:val="right"/>
            </w:pPr>
            <w:r>
              <w:rPr>
                <w:rFonts w:eastAsiaTheme="minorEastAsia"/>
              </w:rPr>
              <w:t>(</w:t>
            </w:r>
            <w:r w:rsidR="00611E26">
              <w:rPr>
                <w:rFonts w:eastAsiaTheme="minorEastAsia"/>
              </w:rPr>
              <w:t>2</w:t>
            </w:r>
            <w:r>
              <w:rPr>
                <w:rFonts w:eastAsiaTheme="minorEastAsia"/>
              </w:rPr>
              <w:t>)</w:t>
            </w:r>
          </w:p>
        </w:tc>
      </w:tr>
    </w:tbl>
    <w:p w14:paraId="4159D10B" w14:textId="345AF4E3" w:rsidR="003D7F8D" w:rsidRDefault="00DD2B54" w:rsidP="00DE555F">
      <w:pPr>
        <w:pStyle w:val="Els-body-text"/>
      </w:pPr>
      <w:r w:rsidRPr="005E6A5F">
        <w:t>Lengthwise</w:t>
      </w:r>
      <w:r w:rsidR="0059280B" w:rsidRPr="005E6A5F">
        <w:t xml:space="preserve"> exchange</w:t>
      </w:r>
      <w:r w:rsidR="0059280B">
        <w:t xml:space="preserve"> current density, </w:t>
      </w:r>
      <m:oMath>
        <m:sSub>
          <m:sSubPr>
            <m:ctrlPr>
              <w:rPr>
                <w:rFonts w:ascii="Cambria Math" w:hAnsi="Cambria Math"/>
                <w:i/>
              </w:rPr>
            </m:ctrlPr>
          </m:sSubPr>
          <m:e>
            <m:r>
              <w:rPr>
                <w:rFonts w:ascii="Cambria Math" w:hAnsi="Cambria Math"/>
              </w:rPr>
              <m:t>J</m:t>
            </m:r>
          </m:e>
          <m:sub>
            <m:r>
              <w:rPr>
                <w:rFonts w:ascii="Cambria Math" w:hAnsi="Cambria Math"/>
              </w:rPr>
              <m:t>0,m</m:t>
            </m:r>
          </m:sub>
        </m:sSub>
      </m:oMath>
      <w:r w:rsidR="006A4E81">
        <w:t>,</w:t>
      </w:r>
      <w:r w:rsidR="0059280B">
        <w:t xml:space="preserve"> does not depend on the intricacies of the microstructure</w:t>
      </w:r>
      <w:r w:rsidR="006A4E81">
        <w:t>;</w:t>
      </w:r>
      <w:r w:rsidR="0059280B">
        <w:t xml:space="preserve"> it only depends on the </w:t>
      </w:r>
      <w:r w:rsidR="005E6A5F">
        <w:t>macroscale</w:t>
      </w:r>
      <w:r w:rsidR="00202BCA">
        <w:t xml:space="preserve"> descriptors such as material, temperature, and pressure</w:t>
      </w:r>
      <w:r w:rsidR="000E6ED6">
        <w:t xml:space="preserve">. </w:t>
      </w:r>
      <w:r w:rsidR="00DE555F" w:rsidRPr="005E6A5F">
        <w:t>Therefore,</w:t>
      </w:r>
      <w:r w:rsidR="00E83B2B" w:rsidRPr="005E6A5F">
        <w:t xml:space="preserve"> experimentally measured </w:t>
      </w:r>
      <w:r w:rsidR="00265F7D" w:rsidRPr="005E6A5F">
        <w:t>lengthwise</w:t>
      </w:r>
      <w:r w:rsidR="00C376CD" w:rsidRPr="005E6A5F">
        <w:t xml:space="preserve"> </w:t>
      </w:r>
      <w:r w:rsidR="00E83B2B" w:rsidRPr="005E6A5F">
        <w:t xml:space="preserve">exchange current densities can be used to solve </w:t>
      </w:r>
      <w:r w:rsidR="001D261F" w:rsidRPr="005E6A5F">
        <w:t>the rate of electrochemical reactions in any microstructure with any set of topological properties.</w:t>
      </w:r>
    </w:p>
    <w:tbl>
      <w:tblPr>
        <w:tblStyle w:val="Grigliatabella"/>
        <w:tblpPr w:leftFromText="180" w:rightFromText="180"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3D7F8D" w14:paraId="2248947F" w14:textId="77777777" w:rsidTr="00010673">
        <w:tc>
          <w:tcPr>
            <w:tcW w:w="7229" w:type="dxa"/>
          </w:tcPr>
          <w:p w14:paraId="2DB560A0" w14:textId="77777777" w:rsidR="003D7F8D" w:rsidRDefault="003D7F8D" w:rsidP="00010673">
            <w:pPr>
              <w:pStyle w:val="Els-body-text"/>
              <w:jc w:val="center"/>
            </w:pPr>
            <w:r w:rsidRPr="005E6A5F">
              <w:rPr>
                <w:noProof/>
              </w:rPr>
              <w:drawing>
                <wp:inline distT="0" distB="0" distL="0" distR="0" wp14:anchorId="4D932243" wp14:editId="20964560">
                  <wp:extent cx="4454957" cy="1843239"/>
                  <wp:effectExtent l="0" t="0" r="3175" b="5080"/>
                  <wp:docPr id="2" name="Picture 2" descr="A diagram of a rectangular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rectangular box&#10;&#10;Description automatically generated"/>
                          <pic:cNvPicPr/>
                        </pic:nvPicPr>
                        <pic:blipFill>
                          <a:blip r:embed="rId8"/>
                          <a:stretch>
                            <a:fillRect/>
                          </a:stretch>
                        </pic:blipFill>
                        <pic:spPr>
                          <a:xfrm>
                            <a:off x="0" y="0"/>
                            <a:ext cx="4463438" cy="1846748"/>
                          </a:xfrm>
                          <a:prstGeom prst="rect">
                            <a:avLst/>
                          </a:prstGeom>
                        </pic:spPr>
                      </pic:pic>
                    </a:graphicData>
                  </a:graphic>
                </wp:inline>
              </w:drawing>
            </w:r>
            <w:r w:rsidRPr="005E6A5F">
              <w:rPr>
                <w:rStyle w:val="Rimandocommento"/>
                <w:rFonts w:eastAsiaTheme="minorHAnsi"/>
                <w:sz w:val="20"/>
                <w:szCs w:val="20"/>
              </w:rPr>
              <w:t xml:space="preserve"> </w:t>
            </w:r>
          </w:p>
        </w:tc>
      </w:tr>
      <w:tr w:rsidR="003D7F8D" w:rsidRPr="00DE03CC" w14:paraId="1A8A7ABB" w14:textId="77777777" w:rsidTr="00010673">
        <w:tc>
          <w:tcPr>
            <w:tcW w:w="7229" w:type="dxa"/>
          </w:tcPr>
          <w:p w14:paraId="557592B8" w14:textId="4A7F04F8" w:rsidR="003D7F8D" w:rsidRPr="00160FED" w:rsidRDefault="003D7F8D" w:rsidP="00D618FB">
            <w:pPr>
              <w:pStyle w:val="Els-body-text"/>
              <w:spacing w:after="120"/>
              <w:jc w:val="center"/>
              <w:rPr>
                <w:i/>
                <w:iCs/>
              </w:rPr>
            </w:pPr>
            <w:r w:rsidRPr="00160FED">
              <w:rPr>
                <w:b/>
                <w:bCs/>
                <w:i/>
                <w:iCs/>
              </w:rPr>
              <w:t>Figure 1</w:t>
            </w:r>
            <w:r w:rsidRPr="00160FED">
              <w:rPr>
                <w:i/>
                <w:iCs/>
              </w:rPr>
              <w:t xml:space="preserve"> – </w:t>
            </w:r>
            <w:r>
              <w:rPr>
                <w:i/>
                <w:iCs/>
              </w:rPr>
              <w:t xml:space="preserve">Computational domain </w:t>
            </w:r>
            <w:r w:rsidR="006F5B38">
              <w:rPr>
                <w:i/>
                <w:iCs/>
              </w:rPr>
              <w:t>for</w:t>
            </w:r>
            <w:r>
              <w:rPr>
                <w:i/>
                <w:iCs/>
              </w:rPr>
              <w:t xml:space="preserve"> macro and microscale simulations</w:t>
            </w:r>
          </w:p>
        </w:tc>
      </w:tr>
    </w:tbl>
    <w:p w14:paraId="3A51B9AF" w14:textId="14FB0280" w:rsidR="00FA33F9" w:rsidRDefault="008C0133" w:rsidP="00E83B2B">
      <w:pPr>
        <w:pStyle w:val="Els-body-text"/>
      </w:pPr>
      <w:r>
        <w:t>Our</w:t>
      </w:r>
      <w:r w:rsidR="002B36FC">
        <w:t xml:space="preserve"> multiscale method uses</w:t>
      </w:r>
      <w:r w:rsidR="00E479A0">
        <w:t xml:space="preserve"> </w:t>
      </w:r>
      <w:r>
        <w:t>a</w:t>
      </w:r>
      <w:r w:rsidR="002B36FC">
        <w:t xml:space="preserve"> </w:t>
      </w:r>
      <w:r w:rsidR="002E73C7">
        <w:t xml:space="preserve">microscopic description of the </w:t>
      </w:r>
      <w:r w:rsidR="00E479A0">
        <w:t>electrochemical reactions that take place on triple phase boundaries in vicinity of anode/electrolyte interface</w:t>
      </w:r>
      <w:r w:rsidR="00AC229B">
        <w:t>. It also solves the mass/charge transport at a larger scale within the entire cell</w:t>
      </w:r>
      <w:r w:rsidR="006A4E81">
        <w:t>,</w:t>
      </w:r>
      <w:r w:rsidR="00AC229B">
        <w:t xml:space="preserve"> consisting of fuel/air channels</w:t>
      </w:r>
      <w:r w:rsidR="00E83B2B">
        <w:t xml:space="preserve">, </w:t>
      </w:r>
      <w:r w:rsidR="00AC229B">
        <w:t>porous electrodes</w:t>
      </w:r>
      <w:r w:rsidR="00E83B2B">
        <w:t>, and electrolyte</w:t>
      </w:r>
      <w:r w:rsidR="00AC229B">
        <w:t>.</w:t>
      </w:r>
    </w:p>
    <w:p w14:paraId="7D0D23FF" w14:textId="156F9C3B" w:rsidR="00AA6D6D" w:rsidRDefault="001D261F" w:rsidP="004C5887">
      <w:pPr>
        <w:pStyle w:val="Els-body-text"/>
      </w:pPr>
      <w:r>
        <w:t xml:space="preserve">The flowchart of </w:t>
      </w:r>
      <w:r w:rsidR="008C0133">
        <w:t xml:space="preserve">our </w:t>
      </w:r>
      <w:r>
        <w:t>m</w:t>
      </w:r>
      <w:r w:rsidR="00D964EB">
        <w:t>ultiscale methodology</w:t>
      </w:r>
      <w:r>
        <w:t xml:space="preserve"> </w:t>
      </w:r>
      <w:r w:rsidR="00D964EB">
        <w:t xml:space="preserve">is schematically described in </w:t>
      </w:r>
      <w:r w:rsidR="00651D7E">
        <w:t>F</w:t>
      </w:r>
      <w:r w:rsidR="00D964EB">
        <w:t xml:space="preserve">igure 2. It </w:t>
      </w:r>
      <w:r w:rsidR="006A4E81">
        <w:t>starts</w:t>
      </w:r>
      <w:r w:rsidR="003D746B">
        <w:t xml:space="preserve"> </w:t>
      </w:r>
      <w:r w:rsidR="00D964EB">
        <w:t xml:space="preserve">with </w:t>
      </w:r>
      <w:r w:rsidR="003D746B">
        <w:t xml:space="preserve">a </w:t>
      </w:r>
      <w:r w:rsidR="005E6A5F">
        <w:t>macroscale</w:t>
      </w:r>
      <w:r w:rsidR="00D63459">
        <w:t xml:space="preserve"> description of </w:t>
      </w:r>
      <w:r w:rsidR="003D746B">
        <w:t xml:space="preserve">the </w:t>
      </w:r>
      <w:r w:rsidR="00D63459">
        <w:t xml:space="preserve">kinetics of electrochemical reactions </w:t>
      </w:r>
      <w:r w:rsidR="005E0009">
        <w:t xml:space="preserve">(exchange current density, </w:t>
      </w:r>
      <m:oMath>
        <m:sSub>
          <m:sSubPr>
            <m:ctrlPr>
              <w:rPr>
                <w:rFonts w:ascii="Cambria Math" w:hAnsi="Cambria Math"/>
                <w:i/>
              </w:rPr>
            </m:ctrlPr>
          </m:sSubPr>
          <m:e>
            <m:r>
              <w:rPr>
                <w:rFonts w:ascii="Cambria Math" w:hAnsi="Cambria Math"/>
              </w:rPr>
              <m:t>J</m:t>
            </m:r>
          </m:e>
          <m:sub>
            <m:r>
              <w:rPr>
                <w:rFonts w:ascii="Cambria Math" w:hAnsi="Cambria Math"/>
              </w:rPr>
              <m:t>0,M</m:t>
            </m:r>
          </m:sub>
        </m:sSub>
      </m:oMath>
      <w:r w:rsidR="005E0009">
        <w:t xml:space="preserve">) </w:t>
      </w:r>
      <w:r w:rsidR="00D84573">
        <w:t xml:space="preserve">as an initial guess to conduct </w:t>
      </w:r>
      <w:r w:rsidR="005E6A5F">
        <w:t>macroscale</w:t>
      </w:r>
      <w:r w:rsidR="00D84573">
        <w:t xml:space="preserve"> simulation</w:t>
      </w:r>
      <w:r w:rsidR="003D746B">
        <w:t>s</w:t>
      </w:r>
      <w:r w:rsidR="00D84573">
        <w:t xml:space="preserve">. </w:t>
      </w:r>
      <w:r w:rsidR="003D746B">
        <w:t>The d</w:t>
      </w:r>
      <w:r w:rsidR="001E0FD9">
        <w:t>istribution</w:t>
      </w:r>
      <w:r w:rsidR="00D84573">
        <w:t xml:space="preserve"> of field variables across the </w:t>
      </w:r>
      <w:r w:rsidR="006013F1">
        <w:t xml:space="preserve">length of the cell in Z direction </w:t>
      </w:r>
      <w:r w:rsidR="00B65F39">
        <w:t xml:space="preserve">at the anode/electrolyte interface </w:t>
      </w:r>
      <w:r w:rsidR="006013F1">
        <w:t xml:space="preserve">is </w:t>
      </w:r>
      <w:r w:rsidR="001E0FD9">
        <w:t>then used</w:t>
      </w:r>
      <w:r w:rsidR="006013F1">
        <w:t xml:space="preserve"> to run different </w:t>
      </w:r>
      <w:r w:rsidR="005E6A5F">
        <w:t>microscale</w:t>
      </w:r>
      <w:r w:rsidR="006013F1">
        <w:t xml:space="preserve"> simulations with different boundary conditions</w:t>
      </w:r>
      <w:r w:rsidR="00B65F39">
        <w:t>.</w:t>
      </w:r>
      <w:r w:rsidR="006013F1">
        <w:t xml:space="preserve"> </w:t>
      </w:r>
      <w:r w:rsidR="00102236">
        <w:t xml:space="preserve">Boundary conditions of </w:t>
      </w:r>
      <w:r w:rsidR="005E6A5F">
        <w:t>microscale</w:t>
      </w:r>
      <w:r w:rsidR="00102236">
        <w:t xml:space="preserve"> </w:t>
      </w:r>
      <w:r w:rsidR="00206E04">
        <w:t>patches</w:t>
      </w:r>
      <w:r w:rsidR="00102236">
        <w:t xml:space="preserve"> </w:t>
      </w:r>
      <w:r w:rsidR="006013F1">
        <w:t xml:space="preserve">are linked to the results obtained from </w:t>
      </w:r>
      <w:r w:rsidR="003C3265">
        <w:t xml:space="preserve">the </w:t>
      </w:r>
      <w:r w:rsidR="005E6A5F">
        <w:t>macroscale</w:t>
      </w:r>
      <w:r w:rsidR="006013F1">
        <w:t xml:space="preserve"> simulation</w:t>
      </w:r>
      <w:r w:rsidR="00AA6D6D">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231"/>
      </w:tblGrid>
      <w:tr w:rsidR="00AA6D6D" w14:paraId="079F3FB9" w14:textId="77777777" w:rsidTr="00BA4A6F">
        <w:trPr>
          <w:trHeight w:val="432"/>
        </w:trPr>
        <w:tc>
          <w:tcPr>
            <w:tcW w:w="5845" w:type="dxa"/>
          </w:tcPr>
          <w:p w14:paraId="038F86C7" w14:textId="40345880" w:rsidR="00AA6D6D" w:rsidRPr="00BD06B2" w:rsidRDefault="003A4B45" w:rsidP="00B90535">
            <w:pPr>
              <w:pStyle w:val="Els-body-text"/>
              <w:spacing w:before="120" w:after="120"/>
            </w:pPr>
            <m:oMathPara>
              <m:oMathParaPr>
                <m:jc m:val="left"/>
              </m:oMathParaPr>
              <m:oMath>
                <m:r>
                  <w:rPr>
                    <w:rFonts w:ascii="Cambria Math" w:hAnsi="Cambria Math"/>
                  </w:rPr>
                  <m:t>B</m:t>
                </m:r>
                <m:sSub>
                  <m:sSubPr>
                    <m:ctrlPr>
                      <w:rPr>
                        <w:rFonts w:ascii="Cambria Math" w:hAnsi="Cambria Math"/>
                        <w:i/>
                      </w:rPr>
                    </m:ctrlPr>
                  </m:sSubPr>
                  <m:e>
                    <m:r>
                      <w:rPr>
                        <w:rFonts w:ascii="Cambria Math" w:hAnsi="Cambria Math"/>
                      </w:rPr>
                      <m:t>C</m:t>
                    </m:r>
                  </m:e>
                  <m:sub>
                    <m:r>
                      <w:rPr>
                        <w:rFonts w:ascii="Cambria Math" w:hAnsi="Cambria Math"/>
                      </w:rPr>
                      <m:t>m,1</m:t>
                    </m:r>
                  </m:sub>
                </m:sSub>
                <m:r>
                  <w:rPr>
                    <w:rFonts w:ascii="Cambria Math" w:hAnsi="Cambria Math"/>
                  </w:rPr>
                  <m:t>, B</m:t>
                </m:r>
                <m:sSub>
                  <m:sSubPr>
                    <m:ctrlPr>
                      <w:rPr>
                        <w:rFonts w:ascii="Cambria Math" w:hAnsi="Cambria Math"/>
                        <w:i/>
                      </w:rPr>
                    </m:ctrlPr>
                  </m:sSubPr>
                  <m:e>
                    <m:r>
                      <w:rPr>
                        <w:rFonts w:ascii="Cambria Math" w:hAnsi="Cambria Math"/>
                      </w:rPr>
                      <m:t>C</m:t>
                    </m:r>
                  </m:e>
                  <m:sub>
                    <m:r>
                      <w:rPr>
                        <w:rFonts w:ascii="Cambria Math" w:hAnsi="Cambria Math"/>
                      </w:rPr>
                      <m:t>m,2</m:t>
                    </m:r>
                  </m:sub>
                </m:sSub>
                <m:r>
                  <w:rPr>
                    <w:rFonts w:ascii="Cambria Math" w:hAnsi="Cambria Math"/>
                  </w:rPr>
                  <m:t>,…,B</m:t>
                </m:r>
                <m:sSub>
                  <m:sSubPr>
                    <m:ctrlPr>
                      <w:rPr>
                        <w:rFonts w:ascii="Cambria Math" w:hAnsi="Cambria Math"/>
                        <w:i/>
                      </w:rPr>
                    </m:ctrlPr>
                  </m:sSubPr>
                  <m:e>
                    <m:r>
                      <w:rPr>
                        <w:rFonts w:ascii="Cambria Math" w:hAnsi="Cambria Math"/>
                      </w:rPr>
                      <m:t>C</m:t>
                    </m:r>
                  </m:e>
                  <m:sub>
                    <m:r>
                      <w:rPr>
                        <w:rFonts w:ascii="Cambria Math" w:hAnsi="Cambria Math"/>
                      </w:rPr>
                      <m:t>m,N</m:t>
                    </m:r>
                  </m:sub>
                </m:sSub>
                <m:r>
                  <w:rPr>
                    <w:rFonts w:ascii="Cambria Math" w:hAnsi="Cambria Math"/>
                  </w:rPr>
                  <m:t>∝</m:t>
                </m:r>
                <m:sSub>
                  <m:sSubPr>
                    <m:ctrlPr>
                      <w:rPr>
                        <w:rFonts w:ascii="Cambria Math" w:hAnsi="Cambria Math"/>
                        <w:i/>
                      </w:rPr>
                    </m:ctrlPr>
                  </m:sSubPr>
                  <m:e>
                    <m:r>
                      <m:rPr>
                        <m:sty m:val="p"/>
                      </m:rPr>
                      <w:rPr>
                        <w:rFonts w:ascii="Cambria Math" w:hAnsi="Cambria Math"/>
                      </w:rPr>
                      <m:t>Φ</m:t>
                    </m:r>
                  </m:e>
                  <m:sub>
                    <m:r>
                      <w:rPr>
                        <w:rFonts w:ascii="Cambria Math" w:hAnsi="Cambria Math"/>
                      </w:rPr>
                      <m:t>M</m:t>
                    </m:r>
                  </m:sub>
                </m:sSub>
                <m:d>
                  <m:dPr>
                    <m:ctrlPr>
                      <w:rPr>
                        <w:rFonts w:ascii="Cambria Math" w:hAnsi="Cambria Math"/>
                        <w:i/>
                      </w:rPr>
                    </m:ctrlPr>
                  </m:dPr>
                  <m:e>
                    <m:r>
                      <w:rPr>
                        <w:rFonts w:ascii="Cambria Math" w:hAnsi="Cambria Math"/>
                      </w:rPr>
                      <m:t>z</m:t>
                    </m:r>
                  </m:e>
                </m:d>
              </m:oMath>
            </m:oMathPara>
          </w:p>
        </w:tc>
        <w:tc>
          <w:tcPr>
            <w:tcW w:w="1231" w:type="dxa"/>
          </w:tcPr>
          <w:p w14:paraId="34324574" w14:textId="39F303A3" w:rsidR="00AA6D6D" w:rsidRDefault="00AA6D6D" w:rsidP="00B90535">
            <w:pPr>
              <w:pStyle w:val="Els-body-text"/>
              <w:spacing w:before="120" w:after="120"/>
              <w:jc w:val="right"/>
            </w:pPr>
            <w:r>
              <w:rPr>
                <w:rFonts w:eastAsiaTheme="minorEastAsia"/>
              </w:rPr>
              <w:t>(</w:t>
            </w:r>
            <w:r w:rsidR="00B433E7">
              <w:rPr>
                <w:rFonts w:eastAsiaTheme="minorEastAsia"/>
              </w:rPr>
              <w:t>3</w:t>
            </w:r>
            <w:r>
              <w:rPr>
                <w:rFonts w:eastAsiaTheme="minorEastAsia"/>
              </w:rPr>
              <w:t>)</w:t>
            </w:r>
          </w:p>
        </w:tc>
      </w:tr>
    </w:tbl>
    <w:p w14:paraId="556B8981" w14:textId="777E2D1E" w:rsidR="00B433E7" w:rsidRDefault="00B433E7" w:rsidP="004C5887">
      <w:pPr>
        <w:pStyle w:val="Els-body-text"/>
      </w:pPr>
      <w:r>
        <w:t xml:space="preserve">Here, </w:t>
      </w:r>
      <m:oMath>
        <m:r>
          <w:rPr>
            <w:rFonts w:ascii="Cambria Math" w:hAnsi="Cambria Math"/>
          </w:rPr>
          <m:t>B</m:t>
        </m:r>
        <m:sSub>
          <m:sSubPr>
            <m:ctrlPr>
              <w:rPr>
                <w:rFonts w:ascii="Cambria Math" w:hAnsi="Cambria Math"/>
                <w:i/>
              </w:rPr>
            </m:ctrlPr>
          </m:sSubPr>
          <m:e>
            <m:r>
              <w:rPr>
                <w:rFonts w:ascii="Cambria Math" w:hAnsi="Cambria Math"/>
              </w:rPr>
              <m:t>C</m:t>
            </m:r>
          </m:e>
          <m:sub>
            <m:r>
              <w:rPr>
                <w:rFonts w:ascii="Cambria Math" w:hAnsi="Cambria Math"/>
              </w:rPr>
              <m:t>m,i</m:t>
            </m:r>
          </m:sub>
        </m:sSub>
      </m:oMath>
      <w:r>
        <w:t xml:space="preserve"> denotes the boundary conditions </w:t>
      </w:r>
      <w:r w:rsidR="002A18CF">
        <w:t xml:space="preserve">used in </w:t>
      </w:r>
      <w:proofErr w:type="spellStart"/>
      <w:r w:rsidR="002A18CF">
        <w:t>i</w:t>
      </w:r>
      <w:r w:rsidR="002A18CF" w:rsidRPr="002A18CF">
        <w:rPr>
          <w:vertAlign w:val="subscript"/>
        </w:rPr>
        <w:t>th</w:t>
      </w:r>
      <w:proofErr w:type="spellEnd"/>
      <w:r w:rsidR="002A18CF">
        <w:t xml:space="preserve"> patch </w:t>
      </w:r>
      <w:r>
        <w:t xml:space="preserve">at </w:t>
      </w:r>
      <w:r w:rsidR="005E6A5F">
        <w:t>microscale</w:t>
      </w:r>
      <w:r>
        <w:t xml:space="preserve">, and </w:t>
      </w:r>
      <m:oMath>
        <m:sSub>
          <m:sSubPr>
            <m:ctrlPr>
              <w:rPr>
                <w:rFonts w:ascii="Cambria Math" w:hAnsi="Cambria Math"/>
                <w:i/>
              </w:rPr>
            </m:ctrlPr>
          </m:sSubPr>
          <m:e>
            <m:r>
              <m:rPr>
                <m:sty m:val="p"/>
              </m:rPr>
              <w:rPr>
                <w:rFonts w:ascii="Cambria Math" w:hAnsi="Cambria Math"/>
              </w:rPr>
              <m:t>Φ</m:t>
            </m:r>
          </m:e>
          <m:sub>
            <m:r>
              <w:rPr>
                <w:rFonts w:ascii="Cambria Math" w:hAnsi="Cambria Math"/>
              </w:rPr>
              <m:t>M</m:t>
            </m:r>
          </m:sub>
        </m:sSub>
        <m:d>
          <m:dPr>
            <m:ctrlPr>
              <w:rPr>
                <w:rFonts w:ascii="Cambria Math" w:hAnsi="Cambria Math"/>
                <w:i/>
              </w:rPr>
            </m:ctrlPr>
          </m:dPr>
          <m:e>
            <m:r>
              <w:rPr>
                <w:rFonts w:ascii="Cambria Math" w:hAnsi="Cambria Math"/>
              </w:rPr>
              <m:t>z</m:t>
            </m:r>
          </m:e>
        </m:d>
      </m:oMath>
      <w:r w:rsidR="000C26DD">
        <w:t xml:space="preserve"> represents the distribution of field</w:t>
      </w:r>
      <w:r w:rsidR="009E7FC0">
        <w:t xml:space="preserve"> </w:t>
      </w:r>
      <w:r w:rsidR="000C26DD">
        <w:t xml:space="preserve">variables at </w:t>
      </w:r>
      <w:r w:rsidR="005E6A5F">
        <w:t>macroscale</w:t>
      </w:r>
      <w:r w:rsidR="000C26DD">
        <w:t>.</w:t>
      </w:r>
      <w:r w:rsidR="005D1465">
        <w:t xml:space="preserve"> </w:t>
      </w:r>
      <w:r w:rsidR="00C738C5">
        <w:t xml:space="preserve">Separate values of current density at </w:t>
      </w:r>
      <w:r w:rsidR="00D44A3C">
        <w:t xml:space="preserve">different </w:t>
      </w:r>
      <w:r w:rsidR="005E6A5F">
        <w:t>microscale</w:t>
      </w:r>
      <w:r w:rsidR="00C738C5">
        <w:t xml:space="preserve"> </w:t>
      </w:r>
      <w:r w:rsidR="00D44A3C">
        <w:t xml:space="preserve">patches </w:t>
      </w:r>
      <w:r w:rsidR="00C738C5">
        <w:t xml:space="preserve">are then used to </w:t>
      </w:r>
      <w:r w:rsidR="00D94EE4">
        <w:t xml:space="preserve">calculate the interpolated current density at </w:t>
      </w:r>
      <w:r w:rsidR="001348FA">
        <w:t xml:space="preserve">the </w:t>
      </w:r>
      <w:r w:rsidR="005E6A5F">
        <w:t>macroscale</w:t>
      </w:r>
      <w:r w:rsidR="00D94EE4">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231"/>
      </w:tblGrid>
      <w:tr w:rsidR="00D94EE4" w14:paraId="6A6506A4" w14:textId="77777777" w:rsidTr="00BA4A6F">
        <w:trPr>
          <w:trHeight w:val="432"/>
        </w:trPr>
        <w:tc>
          <w:tcPr>
            <w:tcW w:w="5845" w:type="dxa"/>
          </w:tcPr>
          <w:p w14:paraId="5C4675D6" w14:textId="3BFFD387" w:rsidR="00D94EE4" w:rsidRPr="00BD06B2" w:rsidRDefault="00DE03CC" w:rsidP="00B90535">
            <w:pPr>
              <w:pStyle w:val="Els-body-text"/>
              <w:spacing w:before="120" w:after="120"/>
            </w:pPr>
            <m:oMathPara>
              <m:oMathParaPr>
                <m:jc m:val="left"/>
              </m:oMathParaPr>
              <m:oMath>
                <m:sSub>
                  <m:sSubPr>
                    <m:ctrlPr>
                      <w:rPr>
                        <w:rFonts w:ascii="Cambria Math" w:hAnsi="Cambria Math"/>
                        <w:i/>
                      </w:rPr>
                    </m:ctrlPr>
                  </m:sSubPr>
                  <m:e>
                    <m:r>
                      <w:rPr>
                        <w:rFonts w:ascii="Cambria Math" w:hAnsi="Cambria Math"/>
                      </w:rPr>
                      <m:t>J</m:t>
                    </m:r>
                  </m:e>
                  <m:sub>
                    <m:r>
                      <w:rPr>
                        <w:rFonts w:ascii="Cambria Math" w:hAnsi="Cambria Math"/>
                      </w:rPr>
                      <m:t>m</m:t>
                    </m:r>
                    <m:r>
                      <w:rPr>
                        <w:rFonts w:ascii="Cambria Math" w:hAnsi="Cambria Math"/>
                      </w:rPr>
                      <m:t>→</m:t>
                    </m:r>
                    <m:r>
                      <w:rPr>
                        <w:rFonts w:ascii="Cambria Math" w:hAnsi="Cambria Math"/>
                      </w:rPr>
                      <m:t>M</m:t>
                    </m:r>
                  </m:sub>
                </m:sSub>
                <m:r>
                  <w:rPr>
                    <w:rFonts w:ascii="Cambria Math" w:hAnsi="Cambria Math"/>
                  </w:rPr>
                  <m:t>(</m:t>
                </m:r>
                <m:r>
                  <w:rPr>
                    <w:rFonts w:ascii="Cambria Math" w:hAnsi="Cambria Math"/>
                  </w:rPr>
                  <m:t>z</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int</m:t>
                    </m:r>
                  </m:sub>
                </m:sSub>
                <m:d>
                  <m:dPr>
                    <m:ctrlPr>
                      <w:rPr>
                        <w:rFonts w:ascii="Cambria Math" w:hAnsi="Cambria Math"/>
                        <w:i/>
                      </w:rPr>
                    </m:ctrlPr>
                  </m:dPr>
                  <m:e>
                    <m:sSub>
                      <m:sSubPr>
                        <m:ctrlPr>
                          <w:rPr>
                            <w:rFonts w:ascii="Cambria Math" w:hAnsi="Cambria Math"/>
                            <w:i/>
                          </w:rPr>
                        </m:ctrlPr>
                      </m:sSubPr>
                      <m:e>
                        <m:r>
                          <w:rPr>
                            <w:rFonts w:ascii="Cambria Math" w:hAnsi="Cambria Math"/>
                          </w:rPr>
                          <m:t>J</m:t>
                        </m:r>
                      </m:e>
                      <m:sub>
                        <m:r>
                          <w:rPr>
                            <w:rFonts w:ascii="Cambria Math" w:hAnsi="Cambria Math"/>
                          </w:rPr>
                          <m:t>m</m:t>
                        </m:r>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e>
                    </m:d>
                    <m:r>
                      <w:rPr>
                        <w:rFonts w:ascii="Cambria Math" w:hAnsi="Cambria Math"/>
                      </w:rPr>
                      <m:t xml:space="preserve">, </m:t>
                    </m:r>
                    <m:sSub>
                      <m:sSubPr>
                        <m:ctrlPr>
                          <w:rPr>
                            <w:rFonts w:ascii="Cambria Math" w:hAnsi="Cambria Math"/>
                            <w:i/>
                          </w:rPr>
                        </m:ctrlPr>
                      </m:sSubPr>
                      <m:e>
                        <m:r>
                          <w:rPr>
                            <w:rFonts w:ascii="Cambria Math" w:hAnsi="Cambria Math"/>
                          </w:rPr>
                          <m:t>J</m:t>
                        </m:r>
                      </m:e>
                      <m:sub>
                        <m:r>
                          <w:rPr>
                            <w:rFonts w:ascii="Cambria Math" w:hAnsi="Cambria Math"/>
                          </w:rPr>
                          <m:t>m</m:t>
                        </m:r>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m</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N</m:t>
                        </m:r>
                      </m:sub>
                    </m:sSub>
                    <m:r>
                      <w:rPr>
                        <w:rFonts w:ascii="Cambria Math" w:hAnsi="Cambria Math"/>
                      </w:rPr>
                      <m:t>)</m:t>
                    </m:r>
                  </m:e>
                </m:d>
              </m:oMath>
            </m:oMathPara>
          </w:p>
        </w:tc>
        <w:tc>
          <w:tcPr>
            <w:tcW w:w="1231" w:type="dxa"/>
          </w:tcPr>
          <w:p w14:paraId="16237C52" w14:textId="05AA8BED" w:rsidR="00D94EE4" w:rsidRDefault="00D94EE4" w:rsidP="00B90535">
            <w:pPr>
              <w:pStyle w:val="Els-body-text"/>
              <w:spacing w:before="120" w:after="120"/>
              <w:jc w:val="right"/>
            </w:pPr>
            <w:r>
              <w:rPr>
                <w:rFonts w:eastAsiaTheme="minorEastAsia"/>
              </w:rPr>
              <w:t>(</w:t>
            </w:r>
            <w:r w:rsidR="00A40B7C">
              <w:rPr>
                <w:rFonts w:eastAsiaTheme="minorEastAsia"/>
              </w:rPr>
              <w:t>4</w:t>
            </w:r>
            <w:r>
              <w:rPr>
                <w:rFonts w:eastAsiaTheme="minorEastAsia"/>
              </w:rPr>
              <w:t>)</w:t>
            </w:r>
          </w:p>
        </w:tc>
      </w:tr>
    </w:tbl>
    <w:p w14:paraId="74B329F2" w14:textId="06E8D34D" w:rsidR="00E366CA" w:rsidRDefault="001348FA" w:rsidP="002E5F74">
      <w:pPr>
        <w:pStyle w:val="Els-body-text"/>
      </w:pPr>
      <w:r>
        <w:t>Here,</w:t>
      </w:r>
      <w:r w:rsidR="00EE0079">
        <w:t xml:space="preserve"> </w:t>
      </w:r>
      <w:r w:rsidR="006A4E81">
        <w:t xml:space="preserve">the </w:t>
      </w:r>
      <w:r w:rsidR="00EE0079">
        <w:t xml:space="preserve">function </w:t>
      </w:r>
      <m:oMath>
        <m:sSub>
          <m:sSubPr>
            <m:ctrlPr>
              <w:rPr>
                <w:rFonts w:ascii="Cambria Math" w:hAnsi="Cambria Math"/>
                <w:i/>
              </w:rPr>
            </m:ctrlPr>
          </m:sSubPr>
          <m:e>
            <m:r>
              <w:rPr>
                <w:rFonts w:ascii="Cambria Math" w:hAnsi="Cambria Math"/>
              </w:rPr>
              <m:t>f</m:t>
            </m:r>
          </m:e>
          <m:sub>
            <m:r>
              <w:rPr>
                <w:rFonts w:ascii="Cambria Math" w:hAnsi="Cambria Math"/>
              </w:rPr>
              <m:t>int</m:t>
            </m:r>
          </m:sub>
        </m:sSub>
      </m:oMath>
      <w:r w:rsidR="00EE0079">
        <w:t xml:space="preserve"> denotes a simple spatial interpolation operator. </w:t>
      </w:r>
      <w:r w:rsidR="006A4E81">
        <w:t>The i</w:t>
      </w:r>
      <w:r w:rsidR="009B4057">
        <w:t>nterpolated c</w:t>
      </w:r>
      <w:r w:rsidR="004C3ABF">
        <w:t>urrent densit</w:t>
      </w:r>
      <w:r w:rsidR="009B4057">
        <w:t>y</w:t>
      </w:r>
      <w:r w:rsidR="004C3ABF">
        <w:t xml:space="preserve"> at </w:t>
      </w:r>
      <w:r>
        <w:t xml:space="preserve">the </w:t>
      </w:r>
      <w:r w:rsidR="005E6A5F">
        <w:t>microscale</w:t>
      </w:r>
      <w:r w:rsidR="009B4057">
        <w:t xml:space="preserve"> is then compared to that of </w:t>
      </w:r>
      <w:r>
        <w:t xml:space="preserve">the </w:t>
      </w:r>
      <w:r w:rsidR="005E6A5F">
        <w:t>macroscale</w:t>
      </w:r>
      <w:r w:rsidR="004C3ABF">
        <w:t xml:space="preserve"> </w:t>
      </w:r>
      <w:r w:rsidR="008B2EAC">
        <w:t>(</w:t>
      </w:r>
      <m:oMath>
        <m:sSub>
          <m:sSubPr>
            <m:ctrlPr>
              <w:rPr>
                <w:rFonts w:ascii="Cambria Math" w:hAnsi="Cambria Math"/>
                <w:i/>
              </w:rPr>
            </m:ctrlPr>
          </m:sSubPr>
          <m:e>
            <m:r>
              <w:rPr>
                <w:rFonts w:ascii="Cambria Math" w:hAnsi="Cambria Math"/>
              </w:rPr>
              <m:t>J</m:t>
            </m:r>
          </m:e>
          <m:sub>
            <m:r>
              <w:rPr>
                <w:rFonts w:ascii="Cambria Math" w:hAnsi="Cambria Math"/>
              </w:rPr>
              <m:t>m→M</m:t>
            </m:r>
          </m:sub>
        </m:sSub>
      </m:oMath>
      <w:r w:rsidR="009B4057">
        <w:t xml:space="preserve"> </w:t>
      </w:r>
      <w:r w:rsidR="008B2EAC">
        <w:t>and</w:t>
      </w:r>
      <w:r w:rsidR="009B4057">
        <w:t xml:space="preserve"> </w:t>
      </w:r>
      <m:oMath>
        <m:sSub>
          <m:sSubPr>
            <m:ctrlPr>
              <w:rPr>
                <w:rFonts w:ascii="Cambria Math" w:hAnsi="Cambria Math"/>
                <w:i/>
              </w:rPr>
            </m:ctrlPr>
          </m:sSubPr>
          <m:e>
            <m:r>
              <w:rPr>
                <w:rFonts w:ascii="Cambria Math" w:hAnsi="Cambria Math"/>
              </w:rPr>
              <m:t>J</m:t>
            </m:r>
          </m:e>
          <m:sub>
            <m:r>
              <w:rPr>
                <w:rFonts w:ascii="Cambria Math" w:hAnsi="Cambria Math"/>
              </w:rPr>
              <m:t>M</m:t>
            </m:r>
          </m:sub>
        </m:sSub>
      </m:oMath>
      <w:r w:rsidR="009B4057">
        <w:t>, respectively</w:t>
      </w:r>
      <w:r w:rsidR="008B2EAC">
        <w:t xml:space="preserve">) </w:t>
      </w:r>
      <w:r w:rsidR="004C3ABF">
        <w:t xml:space="preserve">to measure the error of the </w:t>
      </w:r>
      <w:r>
        <w:t>iteration</w:t>
      </w:r>
      <w:r w:rsidR="004C3ABF">
        <w:t>.</w:t>
      </w:r>
      <w:r w:rsidR="008B2EAC">
        <w:t xml:space="preserve"> </w:t>
      </w:r>
      <w:r w:rsidR="006A4E81">
        <w:t xml:space="preserve">In </w:t>
      </w:r>
      <w:r w:rsidR="008B2EAC">
        <w:t>the first iteration</w:t>
      </w:r>
      <w:r w:rsidR="002C12E9">
        <w:t>s</w:t>
      </w:r>
      <w:r w:rsidR="004706A4">
        <w:t xml:space="preserve"> of </w:t>
      </w:r>
      <w:r w:rsidR="006A4E81">
        <w:t xml:space="preserve">the </w:t>
      </w:r>
      <w:r w:rsidR="004706A4">
        <w:t>described algorithm</w:t>
      </w:r>
      <w:r w:rsidR="002C12E9">
        <w:t>, these two values differ greatly</w:t>
      </w:r>
      <w:r w:rsidR="006A4E81">
        <w:t>;</w:t>
      </w:r>
      <w:r w:rsidR="002C12E9">
        <w:t xml:space="preserve"> therefore</w:t>
      </w:r>
      <w:r w:rsidR="006A4E81">
        <w:t>,</w:t>
      </w:r>
      <w:r w:rsidR="002C12E9">
        <w:t xml:space="preserve"> a correction step is needed to </w:t>
      </w:r>
      <w:r w:rsidR="00DC54BE">
        <w:t xml:space="preserve">improve the </w:t>
      </w:r>
      <w:r w:rsidR="005E6A5F">
        <w:t>macroscale</w:t>
      </w:r>
      <w:r w:rsidR="00DC54BE">
        <w:t xml:space="preserve"> description of electrochemical reactions</w:t>
      </w:r>
      <w:r w:rsidR="001C7FF4">
        <w:t xml:space="preserve"> (</w:t>
      </w:r>
      <m:oMath>
        <m:sSub>
          <m:sSubPr>
            <m:ctrlPr>
              <w:rPr>
                <w:rFonts w:ascii="Cambria Math" w:hAnsi="Cambria Math"/>
                <w:i/>
              </w:rPr>
            </m:ctrlPr>
          </m:sSubPr>
          <m:e>
            <m:r>
              <w:rPr>
                <w:rFonts w:ascii="Cambria Math" w:hAnsi="Cambria Math"/>
              </w:rPr>
              <m:t>J</m:t>
            </m:r>
          </m:e>
          <m:sub>
            <m:r>
              <w:rPr>
                <w:rFonts w:ascii="Cambria Math" w:hAnsi="Cambria Math"/>
              </w:rPr>
              <m:t>0,M</m:t>
            </m:r>
          </m:sub>
        </m:sSub>
      </m:oMath>
      <w:r w:rsidR="001C7FF4">
        <w:t xml:space="preserve">) with </w:t>
      </w:r>
      <w:r w:rsidR="001266E7">
        <w:t xml:space="preserve">respect to </w:t>
      </w:r>
      <w:r w:rsidR="001C7FF4">
        <w:t xml:space="preserve">the </w:t>
      </w:r>
      <w:r w:rsidR="00040A5D">
        <w:t xml:space="preserve">difference </w:t>
      </w:r>
      <w:r>
        <w:t xml:space="preserve">in </w:t>
      </w:r>
      <w:r w:rsidR="00040A5D">
        <w:t xml:space="preserve">current densities </w:t>
      </w:r>
      <w:r w:rsidR="001C7FF4">
        <w:t xml:space="preserve">obtained from </w:t>
      </w:r>
      <w:r w:rsidR="005E6A5F">
        <w:t>micro</w:t>
      </w:r>
      <w:r w:rsidR="001266E7">
        <w:t xml:space="preserve"> and </w:t>
      </w:r>
      <w:r w:rsidR="005E6A5F">
        <w:t>macroscale</w:t>
      </w:r>
      <w:r w:rsidR="001C7FF4">
        <w:t xml:space="preserve"> simulations. </w:t>
      </w:r>
      <w:r w:rsidR="00B83974">
        <w:t xml:space="preserve">The correction formula </w:t>
      </w:r>
      <w:r w:rsidR="002E5F74">
        <w:t>shown</w:t>
      </w:r>
      <w:r w:rsidR="00B83974">
        <w:t xml:space="preserve"> in Figure </w:t>
      </w:r>
      <w:r w:rsidR="002E5F74">
        <w:t xml:space="preserve">2 is the simplest approach to correct </w:t>
      </w:r>
      <m:oMath>
        <m:sSub>
          <m:sSubPr>
            <m:ctrlPr>
              <w:rPr>
                <w:rFonts w:ascii="Cambria Math" w:hAnsi="Cambria Math"/>
                <w:i/>
              </w:rPr>
            </m:ctrlPr>
          </m:sSubPr>
          <m:e>
            <m:r>
              <w:rPr>
                <w:rFonts w:ascii="Cambria Math" w:hAnsi="Cambria Math"/>
              </w:rPr>
              <m:t>J</m:t>
            </m:r>
          </m:e>
          <m:sub>
            <m:r>
              <w:rPr>
                <w:rFonts w:ascii="Cambria Math" w:hAnsi="Cambria Math"/>
              </w:rPr>
              <m:t>0,M</m:t>
            </m:r>
          </m:sub>
        </m:sSub>
      </m:oMath>
      <w:r w:rsidR="002E5F74">
        <w:t xml:space="preserve"> that assumes a first-order convergence. </w:t>
      </w:r>
      <w:r w:rsidR="0096098D">
        <w:t xml:space="preserve">This iterative approach continues until the current density obtained from </w:t>
      </w:r>
      <w:r w:rsidR="005E6A5F">
        <w:t>micro</w:t>
      </w:r>
      <w:r w:rsidR="0096098D">
        <w:t xml:space="preserve"> and </w:t>
      </w:r>
      <w:r w:rsidR="005E6A5F">
        <w:t>macroscale</w:t>
      </w:r>
      <w:r w:rsidR="0096098D">
        <w:t xml:space="preserve"> simulations agree</w:t>
      </w:r>
      <w:r w:rsidR="006A4E81">
        <w:t>s</w:t>
      </w:r>
      <w:r w:rsidR="0096098D">
        <w:t xml:space="preserve"> within a</w:t>
      </w:r>
      <w:r w:rsidR="00F22A4A">
        <w:t>n acceptable tolerance.</w:t>
      </w:r>
    </w:p>
    <w:p w14:paraId="7FE0554A" w14:textId="1611B83D" w:rsidR="002E5F74" w:rsidRDefault="002E5F74" w:rsidP="002E5F74">
      <w:pPr>
        <w:pStyle w:val="Els-body-text"/>
      </w:pPr>
      <w:r>
        <w:t xml:space="preserve">Both macro and microscale models use finite volume method to discretize equations in space. Tolerance of the microscale, macroscale, and multiscale models are set to 1E-5, 1E-6, and 1E-4, respectively. It was observed that convergence beyond 1E-4 is </w:t>
      </w:r>
      <w:r w:rsidR="00864F04">
        <w:t xml:space="preserve">especially difficult for </w:t>
      </w:r>
      <w:r w:rsidR="008578B7">
        <w:t xml:space="preserve">the </w:t>
      </w:r>
      <w:r w:rsidR="00864F04">
        <w:t>multiscale model.</w:t>
      </w:r>
    </w:p>
    <w:p w14:paraId="2D556768" w14:textId="77777777" w:rsidR="007A16DD" w:rsidRDefault="007A16DD" w:rsidP="007A16DD">
      <w:pPr>
        <w:pStyle w:val="Els-1storder-head"/>
      </w:pPr>
      <w:r>
        <w:t>Results and discussion</w:t>
      </w:r>
    </w:p>
    <w:p w14:paraId="406CBB9A" w14:textId="1E8FDA2C" w:rsidR="007A16DD" w:rsidRDefault="007A16DD" w:rsidP="00462554">
      <w:pPr>
        <w:pStyle w:val="Els-body-text"/>
      </w:pPr>
      <w:r>
        <w:t xml:space="preserve">Results of </w:t>
      </w:r>
      <w:r w:rsidR="004D34D9">
        <w:t xml:space="preserve">the </w:t>
      </w:r>
      <w:r w:rsidR="005E6A5F">
        <w:t>multiscale</w:t>
      </w:r>
      <w:r>
        <w:t xml:space="preserve"> model are presented in this section</w:t>
      </w:r>
      <w:r w:rsidR="00462554">
        <w:t xml:space="preserve">, </w:t>
      </w:r>
      <w:r>
        <w:t>focus</w:t>
      </w:r>
      <w:r w:rsidR="006A4E81">
        <w:t>ing</w:t>
      </w:r>
      <w:r>
        <w:t xml:space="preserve"> on </w:t>
      </w:r>
      <w:r w:rsidR="00462554">
        <w:t xml:space="preserve">the </w:t>
      </w:r>
      <w:r>
        <w:t>distribution of mole fractions and current density across different length scales within the fuel cell.</w:t>
      </w:r>
    </w:p>
    <w:tbl>
      <w:tblPr>
        <w:tblStyle w:val="Grigliatabella"/>
        <w:tblpPr w:leftFromText="180" w:rightFromText="180" w:vertAnchor="text" w:horzAnchor="margin" w:tblpY="5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CF720D" w14:paraId="7E9822B6" w14:textId="77777777" w:rsidTr="00CF720D">
        <w:tc>
          <w:tcPr>
            <w:tcW w:w="7229" w:type="dxa"/>
          </w:tcPr>
          <w:p w14:paraId="769649BF" w14:textId="77777777" w:rsidR="00CF720D" w:rsidRDefault="00CF720D" w:rsidP="00CF720D">
            <w:pPr>
              <w:pStyle w:val="Els-body-text"/>
            </w:pPr>
            <w:r>
              <w:rPr>
                <w:noProof/>
              </w:rPr>
              <w:drawing>
                <wp:inline distT="0" distB="0" distL="0" distR="0" wp14:anchorId="724CC921" wp14:editId="06CCF10D">
                  <wp:extent cx="4459029" cy="2125683"/>
                  <wp:effectExtent l="0" t="0" r="0" b="0"/>
                  <wp:docPr id="1510144886" name="Picture 1" descr="A diagram of a mathematical algorith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44886" name="Picture 1" descr="A diagram of a mathematical algorithm&#10;&#10;Description automatically generated"/>
                          <pic:cNvPicPr/>
                        </pic:nvPicPr>
                        <pic:blipFill>
                          <a:blip r:embed="rId9"/>
                          <a:stretch>
                            <a:fillRect/>
                          </a:stretch>
                        </pic:blipFill>
                        <pic:spPr>
                          <a:xfrm>
                            <a:off x="0" y="0"/>
                            <a:ext cx="4459029" cy="2125683"/>
                          </a:xfrm>
                          <a:prstGeom prst="rect">
                            <a:avLst/>
                          </a:prstGeom>
                        </pic:spPr>
                      </pic:pic>
                    </a:graphicData>
                  </a:graphic>
                </wp:inline>
              </w:drawing>
            </w:r>
          </w:p>
        </w:tc>
      </w:tr>
      <w:tr w:rsidR="00CF720D" w:rsidRPr="00DE03CC" w14:paraId="091B2AFC" w14:textId="77777777" w:rsidTr="00CF720D">
        <w:tc>
          <w:tcPr>
            <w:tcW w:w="7229" w:type="dxa"/>
          </w:tcPr>
          <w:p w14:paraId="2D78A9E9" w14:textId="77777777" w:rsidR="00CF720D" w:rsidRPr="00160FED" w:rsidRDefault="00CF720D" w:rsidP="006F5B38">
            <w:pPr>
              <w:pStyle w:val="Els-body-text"/>
              <w:spacing w:after="120"/>
              <w:jc w:val="center"/>
              <w:rPr>
                <w:i/>
                <w:iCs/>
              </w:rPr>
            </w:pPr>
            <w:r w:rsidRPr="00160FED">
              <w:rPr>
                <w:b/>
                <w:bCs/>
                <w:i/>
                <w:iCs/>
              </w:rPr>
              <w:t xml:space="preserve">Figure </w:t>
            </w:r>
            <w:r>
              <w:rPr>
                <w:b/>
                <w:bCs/>
                <w:i/>
                <w:iCs/>
              </w:rPr>
              <w:t>2</w:t>
            </w:r>
            <w:r w:rsidRPr="00160FED">
              <w:rPr>
                <w:i/>
                <w:iCs/>
              </w:rPr>
              <w:t xml:space="preserve"> – </w:t>
            </w:r>
            <w:r>
              <w:rPr>
                <w:i/>
                <w:iCs/>
              </w:rPr>
              <w:t>Flowchart of the multiscale method used in this study</w:t>
            </w:r>
          </w:p>
        </w:tc>
      </w:tr>
    </w:tbl>
    <w:p w14:paraId="0042E7FA" w14:textId="19633ABA" w:rsidR="008B1048" w:rsidRDefault="008B1048" w:rsidP="00462554">
      <w:pPr>
        <w:pStyle w:val="Els-body-text"/>
      </w:pPr>
      <w:r>
        <w:t xml:space="preserve">Mole fractions of hydrogen and oxygen </w:t>
      </w:r>
      <w:r w:rsidR="006A4E81">
        <w:t xml:space="preserve">in </w:t>
      </w:r>
      <w:r>
        <w:t>fuel and air channels</w:t>
      </w:r>
      <w:r w:rsidR="006A4E81">
        <w:t>,</w:t>
      </w:r>
      <w:r>
        <w:t xml:space="preserve"> as well as in porous electrodes</w:t>
      </w:r>
      <w:r w:rsidR="006A4E81">
        <w:t>,</w:t>
      </w:r>
      <w:r>
        <w:t xml:space="preserve"> are shown in Figure 3. The studied SOFC is anode-supported</w:t>
      </w:r>
      <w:r w:rsidR="006A4E81">
        <w:t>;</w:t>
      </w:r>
      <w:r>
        <w:t xml:space="preserve"> therefore</w:t>
      </w:r>
      <w:r w:rsidR="006A4E81">
        <w:t>,</w:t>
      </w:r>
      <w:r>
        <w:t xml:space="preserve"> the thickness of </w:t>
      </w:r>
      <w:r w:rsidR="006A4E81">
        <w:t xml:space="preserve">the </w:t>
      </w:r>
      <w:r>
        <w:t xml:space="preserve">electrolyte and porous cathode is too small to be visualized properly when the entire cell is shown. </w:t>
      </w:r>
    </w:p>
    <w:p w14:paraId="10EC87E6" w14:textId="77777777" w:rsidR="00864F04" w:rsidRDefault="00864F04" w:rsidP="00864F04">
      <w:pPr>
        <w:pStyle w:val="Els-body-text"/>
      </w:pPr>
      <w:r>
        <w:t xml:space="preserve">As hydrogen and oxygen diffuse through the porous electrodes from the fuel/air channel inlets to the outlets, their concentration reduces due to electrochemical reactions that consume these components at both sides of the electrolyte. The mole fraction of hydrogen drops from 0.95 at the inlet to </w:t>
      </w:r>
      <w:r w:rsidRPr="006A4E81">
        <w:t>approximately</w:t>
      </w:r>
      <w:r>
        <w:t xml:space="preserve"> 0.86 at the anode/electrolyte interface close to the outlet. For oxygen, it reduces from 0.21 at the inlet to 0.16 in the vicinity of the cathode/electrolyte interface, which is close to the outlet. </w:t>
      </w:r>
    </w:p>
    <w:p w14:paraId="1880838F" w14:textId="1543C850" w:rsidR="00864F04" w:rsidRDefault="00864F04" w:rsidP="00864F04">
      <w:pPr>
        <w:pStyle w:val="Els-body-text"/>
      </w:pPr>
      <w:r>
        <w:t xml:space="preserve">Figure 4 shows the polarization curve of the SOFC predicted with two different numerical frameworks, namely a fully macroscopic and the multiscale one. Both models are compared with experimental data points of </w:t>
      </w:r>
      <w:r>
        <w:fldChar w:fldCharType="begin"/>
      </w:r>
      <w:r>
        <w:instrText xml:space="preserve"> ADDIN ZOTERO_ITEM CSL_CITATION {"citationID":"omoTMj0K","properties":{"formattedCitation":"(Rogers et al. 2003)","plainCitation":"(Rogers et al. 2003)","noteIndex":0},"citationItems":[{"id":657,"uris":["http://zotero.org/users/5192593/items/V2U7XQY7"],"itemData":{"id":657,"type":"article-journal","abstract":"The National Energy Technology Laboratory (NETL) has developed a solid oxide fuel cell (SOFC) model based on commercial computational fluid dynamics (CFD) software. This new tool is being used to support the US DOE Solid State Energy Conversion Alliance Fuel Cell Program, which will require advanced fuel cell designs in order to meet the program goal of reaching $400/kW for small (~5kW) systems. The NETL model combines a special SOFC electrochemical model with an electrical potential field model in the finite-volume commercial CFD code from Fluent Incorporated (Lebanon NH). Mass and energy sources and sinks resulting from the electrochemical reactions and electrical current flow are coupled to the fluid flow, chemical species transport, heat transfer, porous media flow, and gas phase chemistry capabilities available in the base CFD model. The NETL SOFC model has also been recently extended to model SOFC stacks with cells connected in electrical series. The model is able to predict detailed, spatially resolved current flow through the electrolyte and through all conducting media in threedimensional SOFC cells and cell stacks.","language":"en","page":"4","source":"Zotero","title":"Validation and application of a CFD-based model for solid oxide fuel cells and stacks","author":[{"family":"Rogers","given":"William A"},{"family":"Gemmen","given":"Randall S"},{"family":"Johnson","given":"Christopher"},{"family":"Prinkey","given":"Michael"},{"family":"Shahnam","given":"Mehrdad"}],"issued":{"date-parts":[["2003"]]}}}],"schema":"https://github.com/citation-style-language/schema/raw/master/csl-citation.json"} </w:instrText>
      </w:r>
      <w:r>
        <w:fldChar w:fldCharType="separate"/>
      </w:r>
      <w:r w:rsidRPr="001E11A3">
        <w:t>(Rogers et al. 2003)</w:t>
      </w:r>
      <w:r>
        <w:fldChar w:fldCharType="end"/>
      </w:r>
      <w:r>
        <w:t xml:space="preserve">. As seen, the multiscale model can make more accurate predictions, especially at higher current densities, where the interplay between different physical phenomena becomes more pronounced. It should be noted that SOFCs are normally designed to operate at higher ranges of current density to provide maximum efficiency. It should be highlighted that the macroscopic model in Figure 4 has been initially calibrated with experimental measurements </w:t>
      </w:r>
      <w:r>
        <w:fldChar w:fldCharType="begin"/>
      </w:r>
      <w:r>
        <w:instrText xml:space="preserve"> ADDIN ZOTERO_ITEM CSL_CITATION {"citationID":"TAQcYb9f","properties":{"formattedCitation":"(Rogers et al. 2003)","plainCitation":"(Rogers et al. 2003)","noteIndex":0},"citationItems":[{"id":657,"uris":["http://zotero.org/users/5192593/items/V2U7XQY7"],"itemData":{"id":657,"type":"article-journal","abstract":"The National Energy Technology Laboratory (NETL) has developed a solid oxide fuel cell (SOFC) model based on commercial computational fluid dynamics (CFD) software. This new tool is being used to support the US DOE Solid State Energy Conversion Alliance Fuel Cell Program, which will require advanced fuel cell designs in order to meet the program goal of reaching $400/kW for small (~5kW) systems. The NETL model combines a special SOFC electrochemical model with an electrical potential field model in the finite-volume commercial CFD code from Fluent Incorporated (Lebanon NH). Mass and energy sources and sinks resulting from the electrochemical reactions and electrical current flow are coupled to the fluid flow, chemical species transport, heat transfer, porous media flow, and gas phase chemistry capabilities available in the base CFD model. The NETL SOFC model has also been recently extended to model SOFC stacks with cells connected in electrical series. The model is able to predict detailed, spatially resolved current flow through the electrolyte and through all conducting media in threedimensional SOFC cells and cell stacks.","language":"en","page":"4","source":"Zotero","title":"Validation and application of a CFD-based model for solid oxide fuel cells and stacks","author":[{"family":"Rogers","given":"William A"},{"family":"Gemmen","given":"Randall S"},{"family":"Johnson","given":"Christopher"},{"family":"Prinkey","given":"Michael"},{"family":"Shahnam","given":"Mehrdad"}],"issued":{"date-parts":[["2003"]]}}}],"schema":"https://github.com/citation-style-language/schema/raw/master/csl-citation.json"} </w:instrText>
      </w:r>
      <w:r>
        <w:fldChar w:fldCharType="separate"/>
      </w:r>
      <w:r w:rsidRPr="005E6A5F">
        <w:t>(Rogers et al. 2003)</w:t>
      </w:r>
      <w:r>
        <w:fldChar w:fldCharType="end"/>
      </w:r>
      <w:r>
        <w:t>. In contrast, multiscale model does not necessitate any calibration with experimental setups.</w:t>
      </w:r>
    </w:p>
    <w:p w14:paraId="740D1C42" w14:textId="431670A1" w:rsidR="003D7F8D" w:rsidRDefault="00864F04" w:rsidP="003D7F8D">
      <w:pPr>
        <w:pStyle w:val="Els-body-text"/>
        <w:rPr>
          <w:lang w:bidi="fa-IR"/>
        </w:rPr>
      </w:pPr>
      <w:r>
        <w:t>The variation of current density across different patches in the Z-direction is shown in Figure 5. Ten different microstructure patches are evenly distributed in the Z-direction from the fuel channel inlet (Z=0) to the outlet (Z=16 mm).</w:t>
      </w:r>
    </w:p>
    <w:p w14:paraId="5B41F13D" w14:textId="3D563B9D" w:rsidR="00F760F5" w:rsidRDefault="00FB28CB" w:rsidP="005E6A5F">
      <w:pPr>
        <w:pStyle w:val="Els-body-text"/>
      </w:pPr>
      <w:r>
        <w:t>Each patch is a</w:t>
      </w:r>
      <w:r w:rsidR="000930CD">
        <w:t>n anode</w:t>
      </w:r>
      <w:r>
        <w:t xml:space="preserve"> microstructure with length 50</w:t>
      </w:r>
      <w:r w:rsidR="000930CD">
        <w:t>x10x10 microns in X, Y</w:t>
      </w:r>
      <w:r w:rsidR="006A4E81">
        <w:t>,</w:t>
      </w:r>
      <w:r w:rsidR="000930CD">
        <w:t xml:space="preserve"> and Z directions, respectively.</w:t>
      </w:r>
      <w:r w:rsidR="00567EE1">
        <w:t xml:space="preserve"> </w:t>
      </w:r>
      <w:r w:rsidR="00AB5062">
        <w:t xml:space="preserve">The </w:t>
      </w:r>
      <w:r w:rsidR="00846FA7">
        <w:t xml:space="preserve">X=0 line </w:t>
      </w:r>
      <w:r w:rsidR="00AB5062">
        <w:t xml:space="preserve">is </w:t>
      </w:r>
      <w:r w:rsidR="00894F7C">
        <w:t xml:space="preserve">aligned with </w:t>
      </w:r>
      <w:r w:rsidR="00846FA7">
        <w:t xml:space="preserve">the anode/electrolyte interface. </w:t>
      </w:r>
      <w:r w:rsidR="00782343">
        <w:t xml:space="preserve">Current density across the length of each patch varies from zero to a maximum value at the interface. The maximum current density predicted in each patch corresponds to the current density that is </w:t>
      </w:r>
      <w:r w:rsidR="005E6A5F">
        <w:t>calculated</w:t>
      </w:r>
      <w:r w:rsidR="00782343">
        <w:t xml:space="preserve"> by </w:t>
      </w:r>
      <w:r w:rsidR="00114EE6">
        <w:t xml:space="preserve">the </w:t>
      </w:r>
      <w:r w:rsidR="005E6A5F">
        <w:t>macro</w:t>
      </w:r>
      <w:r w:rsidR="00782343">
        <w:t>scale model at th</w:t>
      </w:r>
      <w:r w:rsidR="00114EE6">
        <w:t>at</w:t>
      </w:r>
      <w:r w:rsidR="00902405">
        <w:t xml:space="preserve"> exact location </w:t>
      </w:r>
      <w:r w:rsidR="008F1FB6">
        <w:t>in Z direction</w:t>
      </w:r>
      <w:r w:rsidR="00902405">
        <w:t>.</w:t>
      </w:r>
      <w:r w:rsidR="00C445A6">
        <w:t xml:space="preserve"> As mentioned before, the error of the </w:t>
      </w:r>
      <w:r w:rsidR="005E6A5F">
        <w:t>multiscale</w:t>
      </w:r>
      <w:r w:rsidR="00C445A6">
        <w:t xml:space="preserve"> model is defined as the difference between current density </w:t>
      </w:r>
      <w:r w:rsidR="005E6A5F">
        <w:t>calculated</w:t>
      </w:r>
      <w:r w:rsidR="00827F25">
        <w:t xml:space="preserve"> by the </w:t>
      </w:r>
      <w:r w:rsidR="005E6A5F">
        <w:t>multiscale</w:t>
      </w:r>
      <w:r w:rsidR="00827F25">
        <w:t xml:space="preserve"> model and the </w:t>
      </w:r>
      <w:r w:rsidR="0026105B">
        <w:t>m</w:t>
      </w:r>
      <w:r w:rsidR="005E6A5F">
        <w:t>acroscale</w:t>
      </w:r>
      <w:r w:rsidR="00827F25">
        <w:t xml:space="preserve"> model at specific locations </w:t>
      </w:r>
      <w:r w:rsidR="008F1FB6">
        <w:t xml:space="preserve">throughout </w:t>
      </w:r>
      <w:r w:rsidR="00827F25">
        <w:t xml:space="preserve">the </w:t>
      </w:r>
      <w:r w:rsidR="006A4E81">
        <w:t xml:space="preserve">cell </w:t>
      </w:r>
      <w:r w:rsidR="00827F25">
        <w:t>length.</w:t>
      </w:r>
      <w:r w:rsidR="00B90535">
        <w:t xml:space="preserve"> </w:t>
      </w:r>
      <w:r w:rsidR="001562AF">
        <w:t xml:space="preserve">Electrochemical reactions only take place at a </w:t>
      </w:r>
      <w:r w:rsidR="00246F4C">
        <w:t>noticeable</w:t>
      </w:r>
      <w:r w:rsidR="001562AF">
        <w:t xml:space="preserve"> rate at the </w:t>
      </w:r>
      <w:r w:rsidR="003D5B7F">
        <w:t xml:space="preserve">electrochemical active layer in vicinity of </w:t>
      </w:r>
      <w:r w:rsidR="006A4E81">
        <w:t xml:space="preserve">the </w:t>
      </w:r>
      <w:r w:rsidR="003D5B7F">
        <w:t xml:space="preserve">anode/electrolyte interface. As seen from the microscale results presented in </w:t>
      </w:r>
      <w:r w:rsidR="00893F2C">
        <w:t>F</w:t>
      </w:r>
      <w:r w:rsidR="003D5B7F">
        <w:t xml:space="preserve">igure </w:t>
      </w:r>
      <w:r w:rsidR="00864F04">
        <w:t>5</w:t>
      </w:r>
      <w:r w:rsidR="007F543F">
        <w:t xml:space="preserve"> (a), the length of the electrochemical active layer is </w:t>
      </w:r>
      <w:r w:rsidR="006A4E81" w:rsidRPr="006A4E81">
        <w:t>approximately</w:t>
      </w:r>
      <w:r w:rsidR="007F543F">
        <w:t xml:space="preserve"> </w:t>
      </w:r>
      <w:r w:rsidR="007C61AE">
        <w:t xml:space="preserve">25 </w:t>
      </w:r>
      <w:r w:rsidR="00703961">
        <w:t>microns,</w:t>
      </w:r>
      <w:r w:rsidR="007C61AE">
        <w:t xml:space="preserve"> and it does not change significantly throughout the length of the cell from</w:t>
      </w:r>
      <w:r w:rsidR="006A4E81">
        <w:t xml:space="preserve"> the</w:t>
      </w:r>
      <w:r w:rsidR="007C61AE">
        <w:t xml:space="preserve"> inlet to </w:t>
      </w:r>
      <w:r w:rsidR="006A4E81">
        <w:t xml:space="preserve">the </w:t>
      </w:r>
      <w:r w:rsidR="007C61AE">
        <w:t>outlet.</w:t>
      </w:r>
      <w:bookmarkStart w:id="0" w:name="_GoBack"/>
      <w:bookmarkEnd w:id="0"/>
    </w:p>
    <w:tbl>
      <w:tblPr>
        <w:tblStyle w:val="Grigliatabella"/>
        <w:tblpPr w:leftFromText="180" w:rightFromText="180" w:vertAnchor="text" w:horzAnchor="margin" w:tblpY="27"/>
        <w:tblOverlap w:val="never"/>
        <w:tblW w:w="7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69"/>
        <w:gridCol w:w="3606"/>
      </w:tblGrid>
      <w:tr w:rsidR="00CF720D" w14:paraId="4D7EF104" w14:textId="77777777" w:rsidTr="00CF720D">
        <w:tc>
          <w:tcPr>
            <w:tcW w:w="3536" w:type="dxa"/>
          </w:tcPr>
          <w:p w14:paraId="211EDC2F" w14:textId="77777777" w:rsidR="00CF720D" w:rsidRDefault="00CF720D" w:rsidP="00CF720D">
            <w:pPr>
              <w:pStyle w:val="Els-body-text"/>
              <w:jc w:val="center"/>
            </w:pPr>
            <w:r w:rsidRPr="00C77EFA">
              <w:rPr>
                <w:noProof/>
              </w:rPr>
              <w:drawing>
                <wp:inline distT="0" distB="0" distL="0" distR="0" wp14:anchorId="56283CBB" wp14:editId="60AEC4A6">
                  <wp:extent cx="2102485" cy="2647815"/>
                  <wp:effectExtent l="0" t="0" r="0" b="635"/>
                  <wp:docPr id="739130760"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30760" name="Picture 1" descr="A diagram of a graph&#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7920" cy="2868753"/>
                          </a:xfrm>
                          <a:prstGeom prst="rect">
                            <a:avLst/>
                          </a:prstGeom>
                        </pic:spPr>
                      </pic:pic>
                    </a:graphicData>
                  </a:graphic>
                </wp:inline>
              </w:drawing>
            </w:r>
          </w:p>
        </w:tc>
        <w:tc>
          <w:tcPr>
            <w:tcW w:w="3675" w:type="dxa"/>
            <w:gridSpan w:val="2"/>
            <w:vAlign w:val="bottom"/>
          </w:tcPr>
          <w:p w14:paraId="37F1ACCC" w14:textId="77777777" w:rsidR="00CF720D" w:rsidRDefault="00CF720D" w:rsidP="00CF720D">
            <w:pPr>
              <w:pStyle w:val="Els-body-text"/>
              <w:jc w:val="center"/>
            </w:pPr>
            <w:r w:rsidRPr="004214A0">
              <w:rPr>
                <w:noProof/>
              </w:rPr>
              <w:drawing>
                <wp:inline distT="0" distB="0" distL="0" distR="0" wp14:anchorId="2BBAF1AB" wp14:editId="3DD5ED09">
                  <wp:extent cx="2182749" cy="1781298"/>
                  <wp:effectExtent l="0" t="0" r="8255" b="0"/>
                  <wp:docPr id="3" name="Picture 3"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func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7917" cy="1785515"/>
                          </a:xfrm>
                          <a:prstGeom prst="rect">
                            <a:avLst/>
                          </a:prstGeom>
                        </pic:spPr>
                      </pic:pic>
                    </a:graphicData>
                  </a:graphic>
                </wp:inline>
              </w:drawing>
            </w:r>
          </w:p>
        </w:tc>
      </w:tr>
      <w:tr w:rsidR="00CF720D" w:rsidRPr="00DE03CC" w14:paraId="1F3883E2" w14:textId="77777777" w:rsidTr="00CF720D">
        <w:tc>
          <w:tcPr>
            <w:tcW w:w="3605" w:type="dxa"/>
            <w:gridSpan w:val="2"/>
          </w:tcPr>
          <w:p w14:paraId="19F0F74E" w14:textId="05EE8D84" w:rsidR="00CF720D" w:rsidRPr="005D7A8F" w:rsidRDefault="00CF720D" w:rsidP="00CF720D">
            <w:pPr>
              <w:pStyle w:val="Els-body-text"/>
              <w:jc w:val="center"/>
              <w:rPr>
                <w:i/>
                <w:iCs/>
              </w:rPr>
            </w:pPr>
            <w:r w:rsidRPr="005D7A8F">
              <w:rPr>
                <w:b/>
                <w:bCs/>
                <w:i/>
                <w:iCs/>
              </w:rPr>
              <w:t xml:space="preserve">Figure </w:t>
            </w:r>
            <w:r>
              <w:rPr>
                <w:b/>
                <w:bCs/>
                <w:i/>
                <w:iCs/>
              </w:rPr>
              <w:t>3</w:t>
            </w:r>
            <w:r w:rsidRPr="005D7A8F">
              <w:rPr>
                <w:i/>
                <w:iCs/>
              </w:rPr>
              <w:t xml:space="preserve"> – </w:t>
            </w:r>
            <w:r>
              <w:rPr>
                <w:i/>
                <w:iCs/>
              </w:rPr>
              <w:t xml:space="preserve">Mole fraction of hydrogen and oxygen in the entire cell consisting of fuel/air channels, and porous electrodes. Operating voltage </w:t>
            </w:r>
            <w:proofErr w:type="spellStart"/>
            <w:r>
              <w:rPr>
                <w:i/>
                <w:iCs/>
              </w:rPr>
              <w:t>V</w:t>
            </w:r>
            <w:r w:rsidRPr="0023520D">
              <w:rPr>
                <w:i/>
                <w:iCs/>
                <w:vertAlign w:val="subscript"/>
              </w:rPr>
              <w:t>op</w:t>
            </w:r>
            <w:proofErr w:type="spellEnd"/>
            <w:r>
              <w:rPr>
                <w:i/>
                <w:iCs/>
              </w:rPr>
              <w:t xml:space="preserve">=0.4 V. </w:t>
            </w:r>
          </w:p>
        </w:tc>
        <w:tc>
          <w:tcPr>
            <w:tcW w:w="3606" w:type="dxa"/>
          </w:tcPr>
          <w:p w14:paraId="42244B0A" w14:textId="440655CC" w:rsidR="00CF720D" w:rsidRDefault="00CF720D" w:rsidP="00CF720D">
            <w:pPr>
              <w:pStyle w:val="Els-body-text"/>
              <w:jc w:val="center"/>
              <w:rPr>
                <w:i/>
                <w:iCs/>
              </w:rPr>
            </w:pPr>
            <w:r w:rsidRPr="005D7A8F">
              <w:rPr>
                <w:b/>
                <w:bCs/>
                <w:i/>
                <w:iCs/>
              </w:rPr>
              <w:t xml:space="preserve">Figure </w:t>
            </w:r>
            <w:r>
              <w:rPr>
                <w:b/>
                <w:bCs/>
                <w:i/>
                <w:iCs/>
              </w:rPr>
              <w:t>4</w:t>
            </w:r>
            <w:r w:rsidRPr="005D7A8F">
              <w:rPr>
                <w:i/>
                <w:iCs/>
              </w:rPr>
              <w:t xml:space="preserve"> – </w:t>
            </w:r>
            <w:r w:rsidR="00550ADF">
              <w:rPr>
                <w:i/>
                <w:iCs/>
              </w:rPr>
              <w:t xml:space="preserve">SOFC </w:t>
            </w:r>
            <w:r>
              <w:rPr>
                <w:i/>
                <w:iCs/>
              </w:rPr>
              <w:t>Polarization curve.</w:t>
            </w:r>
            <w:r w:rsidR="00550ADF">
              <w:rPr>
                <w:i/>
                <w:iCs/>
              </w:rPr>
              <w:t xml:space="preserve"> </w:t>
            </w:r>
            <w:r>
              <w:rPr>
                <w:i/>
                <w:iCs/>
              </w:rPr>
              <w:t xml:space="preserve">Comparison of multiscale and macroscale models with experimental data </w:t>
            </w:r>
            <w:r>
              <w:rPr>
                <w:i/>
                <w:iCs/>
              </w:rPr>
              <w:fldChar w:fldCharType="begin"/>
            </w:r>
            <w:r>
              <w:rPr>
                <w:i/>
                <w:iCs/>
              </w:rPr>
              <w:instrText xml:space="preserve"> ADDIN ZOTERO_ITEM CSL_CITATION {"citationID":"OmiBqAHf","properties":{"formattedCitation":"(Rogers et al. 2003)","plainCitation":"(Rogers et al. 2003)","noteIndex":0},"citationItems":[{"id":657,"uris":["http://zotero.org/users/5192593/items/V2U7XQY7"],"itemData":{"id":657,"type":"article-journal","abstract":"The National Energy Technology Laboratory (NETL) has developed a solid oxide fuel cell (SOFC) model based on commercial computational fluid dynamics (CFD) software. This new tool is being used to support the US DOE Solid State Energy Conversion Alliance Fuel Cell Program, which will require advanced fuel cell designs in order to meet the program goal of reaching $400/kW for small (~5kW) systems. The NETL model combines a special SOFC electrochemical model with an electrical potential field model in the finite-volume commercial CFD code from Fluent Incorporated (Lebanon NH). Mass and energy sources and sinks resulting from the electrochemical reactions and electrical current flow are coupled to the fluid flow, chemical species transport, heat transfer, porous media flow, and gas phase chemistry capabilities available in the base CFD model. The NETL SOFC model has also been recently extended to model SOFC stacks with cells connected in electrical series. The model is able to predict detailed, spatially resolved current flow through the electrolyte and through all conducting media in threedimensional SOFC cells and cell stacks.","language":"en","page":"4","source":"Zotero","title":"Validation and application of a CFD-based model for solid oxide fuel cells and stacks","author":[{"family":"Rogers","given":"William A"},{"family":"Gemmen","given":"Randall S"},{"family":"Johnson","given":"Christopher"},{"family":"Prinkey","given":"Michael"},{"family":"Shahnam","given":"Mehrdad"}],"issued":{"date-parts":[["2003"]]}}}],"schema":"https://github.com/citation-style-language/schema/raw/master/csl-citation.json"} </w:instrText>
            </w:r>
            <w:r>
              <w:rPr>
                <w:i/>
                <w:iCs/>
              </w:rPr>
              <w:fldChar w:fldCharType="separate"/>
            </w:r>
            <w:r w:rsidRPr="009E7FC0">
              <w:t>(Rogers et al. 2003)</w:t>
            </w:r>
            <w:r>
              <w:rPr>
                <w:i/>
                <w:iCs/>
              </w:rPr>
              <w:fldChar w:fldCharType="end"/>
            </w:r>
          </w:p>
          <w:p w14:paraId="4C4C1E70" w14:textId="77777777" w:rsidR="006F5B38" w:rsidRPr="005D7A8F" w:rsidRDefault="006F5B38" w:rsidP="00CF720D">
            <w:pPr>
              <w:pStyle w:val="Els-body-text"/>
              <w:jc w:val="center"/>
              <w:rPr>
                <w:i/>
                <w:iCs/>
              </w:rPr>
            </w:pPr>
          </w:p>
        </w:tc>
      </w:tr>
      <w:tr w:rsidR="00CF720D" w14:paraId="3BBF4942" w14:textId="77777777" w:rsidTr="00111506">
        <w:tc>
          <w:tcPr>
            <w:tcW w:w="7211" w:type="dxa"/>
            <w:gridSpan w:val="3"/>
          </w:tcPr>
          <w:p w14:paraId="27106A00" w14:textId="6582F150" w:rsidR="00CF720D" w:rsidRPr="005D7A8F" w:rsidRDefault="00CF720D" w:rsidP="00CF720D">
            <w:pPr>
              <w:pStyle w:val="Els-body-text"/>
              <w:jc w:val="center"/>
              <w:rPr>
                <w:b/>
                <w:bCs/>
                <w:i/>
                <w:iCs/>
              </w:rPr>
            </w:pPr>
            <w:r w:rsidRPr="0047534E">
              <w:rPr>
                <w:noProof/>
              </w:rPr>
              <w:drawing>
                <wp:inline distT="0" distB="0" distL="0" distR="0" wp14:anchorId="6B7076B5" wp14:editId="314DA682">
                  <wp:extent cx="3924300" cy="258997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5872" cy="2617410"/>
                          </a:xfrm>
                          <a:prstGeom prst="rect">
                            <a:avLst/>
                          </a:prstGeom>
                        </pic:spPr>
                      </pic:pic>
                    </a:graphicData>
                  </a:graphic>
                </wp:inline>
              </w:drawing>
            </w:r>
          </w:p>
        </w:tc>
      </w:tr>
      <w:tr w:rsidR="00CF720D" w:rsidRPr="00DE03CC" w14:paraId="3E19CE54" w14:textId="77777777" w:rsidTr="00111506">
        <w:tc>
          <w:tcPr>
            <w:tcW w:w="7211" w:type="dxa"/>
            <w:gridSpan w:val="3"/>
          </w:tcPr>
          <w:p w14:paraId="684BC6E3" w14:textId="2F4B287B" w:rsidR="00CF720D" w:rsidRPr="0047534E" w:rsidRDefault="00CF720D" w:rsidP="006F5B38">
            <w:pPr>
              <w:pStyle w:val="Els-body-text"/>
              <w:spacing w:after="120"/>
              <w:jc w:val="center"/>
              <w:rPr>
                <w:noProof/>
              </w:rPr>
            </w:pPr>
            <w:r w:rsidRPr="00E96353">
              <w:rPr>
                <w:b/>
                <w:bCs/>
                <w:i/>
                <w:iCs/>
              </w:rPr>
              <w:t xml:space="preserve">Figure </w:t>
            </w:r>
            <w:r>
              <w:rPr>
                <w:b/>
                <w:bCs/>
                <w:i/>
                <w:iCs/>
              </w:rPr>
              <w:t>5</w:t>
            </w:r>
            <w:r w:rsidRPr="00E96353">
              <w:rPr>
                <w:i/>
                <w:iCs/>
              </w:rPr>
              <w:t xml:space="preserve"> – </w:t>
            </w:r>
            <w:r>
              <w:rPr>
                <w:i/>
                <w:iCs/>
              </w:rPr>
              <w:t xml:space="preserve">Distribution of current density </w:t>
            </w:r>
            <w:r w:rsidR="00DB146B">
              <w:rPr>
                <w:i/>
                <w:iCs/>
              </w:rPr>
              <w:t>for</w:t>
            </w:r>
            <w:r>
              <w:rPr>
                <w:i/>
                <w:iCs/>
              </w:rPr>
              <w:t xml:space="preserve"> </w:t>
            </w:r>
            <w:proofErr w:type="spellStart"/>
            <w:r>
              <w:rPr>
                <w:i/>
                <w:iCs/>
              </w:rPr>
              <w:t>V</w:t>
            </w:r>
            <w:r w:rsidRPr="002D03C0">
              <w:rPr>
                <w:i/>
                <w:iCs/>
                <w:vertAlign w:val="subscript"/>
              </w:rPr>
              <w:t>op</w:t>
            </w:r>
            <w:proofErr w:type="spellEnd"/>
            <w:r>
              <w:rPr>
                <w:i/>
                <w:iCs/>
              </w:rPr>
              <w:t>=0.4 V. (a) Current density variation across each microscale patch. (b) Variation of ionic potential in one of the microscale patches. (c) Current density variation across the length of the SOFC</w:t>
            </w:r>
          </w:p>
        </w:tc>
      </w:tr>
    </w:tbl>
    <w:p w14:paraId="3931EF2D" w14:textId="5113CCBE" w:rsidR="00DE555F" w:rsidRDefault="00916716" w:rsidP="005E6A5F">
      <w:pPr>
        <w:pStyle w:val="Els-body-text"/>
      </w:pPr>
      <w:r>
        <w:t xml:space="preserve">In </w:t>
      </w:r>
      <w:r w:rsidR="00893F2C">
        <w:t>F</w:t>
      </w:r>
      <w:r w:rsidR="00A30D22">
        <w:t xml:space="preserve">igure </w:t>
      </w:r>
      <w:r w:rsidR="00864F04">
        <w:t>5</w:t>
      </w:r>
      <w:r w:rsidR="00A30D22">
        <w:t xml:space="preserve"> (a)</w:t>
      </w:r>
      <w:r w:rsidR="004163A9">
        <w:t xml:space="preserve"> and (c)</w:t>
      </w:r>
      <w:r w:rsidR="00A30D22">
        <w:t>,</w:t>
      </w:r>
      <w:r w:rsidR="00505352">
        <w:t xml:space="preserve"> a slight variation </w:t>
      </w:r>
      <w:r w:rsidR="006A4E81">
        <w:t xml:space="preserve">in the </w:t>
      </w:r>
      <w:r w:rsidR="00F8255A">
        <w:t xml:space="preserve">maximum </w:t>
      </w:r>
      <w:r w:rsidR="004163A9">
        <w:t xml:space="preserve">current density </w:t>
      </w:r>
      <w:r w:rsidR="00F8255A">
        <w:t>(from 2.81 to</w:t>
      </w:r>
      <w:r w:rsidR="00322A22">
        <w:t xml:space="preserve"> 2.67 A/cm</w:t>
      </w:r>
      <w:r w:rsidR="00322A22" w:rsidRPr="00322A22">
        <w:rPr>
          <w:vertAlign w:val="superscript"/>
        </w:rPr>
        <w:t>2</w:t>
      </w:r>
      <w:r w:rsidR="00F8255A">
        <w:t xml:space="preserve">) </w:t>
      </w:r>
      <w:r>
        <w:t>can be observed</w:t>
      </w:r>
      <w:r w:rsidR="008F1FB6">
        <w:t xml:space="preserve"> </w:t>
      </w:r>
      <w:r w:rsidR="00F8255A">
        <w:t xml:space="preserve">from </w:t>
      </w:r>
      <w:r w:rsidR="00246F4C">
        <w:t xml:space="preserve">the </w:t>
      </w:r>
      <w:r w:rsidR="00F8255A">
        <w:t xml:space="preserve">inlet to </w:t>
      </w:r>
      <w:r w:rsidR="00246F4C">
        <w:t xml:space="preserve">the </w:t>
      </w:r>
      <w:r w:rsidR="00F8255A">
        <w:t xml:space="preserve">outlet of the fuel cell </w:t>
      </w:r>
      <w:r w:rsidR="004163A9">
        <w:t xml:space="preserve">in both </w:t>
      </w:r>
      <w:r w:rsidR="005E6A5F">
        <w:t>macro</w:t>
      </w:r>
      <w:r w:rsidR="004163A9">
        <w:t xml:space="preserve"> and </w:t>
      </w:r>
      <w:r w:rsidR="005E6A5F">
        <w:t>multiscale</w:t>
      </w:r>
      <w:r w:rsidR="004163A9">
        <w:t xml:space="preserve"> models</w:t>
      </w:r>
      <w:r w:rsidR="008F1FB6">
        <w:t xml:space="preserve"> when </w:t>
      </w:r>
      <w:r>
        <w:t xml:space="preserve">the </w:t>
      </w:r>
      <w:r w:rsidR="008F1FB6">
        <w:t>operating voltage of the cell is 0.4 V</w:t>
      </w:r>
      <w:r w:rsidR="004163A9">
        <w:t xml:space="preserve">. </w:t>
      </w:r>
      <w:r w:rsidR="006A4E81">
        <w:t>A h</w:t>
      </w:r>
      <w:r w:rsidR="00D95296">
        <w:t xml:space="preserve">igher current density at </w:t>
      </w:r>
      <w:r w:rsidR="00285C27">
        <w:t xml:space="preserve">Z=0 </w:t>
      </w:r>
      <w:r w:rsidR="00BC5033">
        <w:t>can be attributed</w:t>
      </w:r>
      <w:r w:rsidR="00285C27">
        <w:t xml:space="preserve"> to </w:t>
      </w:r>
      <w:r>
        <w:t xml:space="preserve">local </w:t>
      </w:r>
      <w:r w:rsidR="00285C27">
        <w:t>higher concentrations of H</w:t>
      </w:r>
      <w:r w:rsidR="00285C27" w:rsidRPr="00744819">
        <w:rPr>
          <w:vertAlign w:val="subscript"/>
        </w:rPr>
        <w:t>2</w:t>
      </w:r>
      <w:r w:rsidR="00285C27">
        <w:t xml:space="preserve"> and O</w:t>
      </w:r>
      <w:r w:rsidR="00285C27" w:rsidRPr="00744819">
        <w:rPr>
          <w:vertAlign w:val="subscript"/>
        </w:rPr>
        <w:t>2</w:t>
      </w:r>
      <w:r w:rsidR="00285C27">
        <w:t xml:space="preserve"> </w:t>
      </w:r>
      <w:r w:rsidR="00744819">
        <w:t xml:space="preserve">at </w:t>
      </w:r>
      <w:r>
        <w:t xml:space="preserve">the </w:t>
      </w:r>
      <w:r w:rsidR="004B644B">
        <w:t>anode/electrolyte</w:t>
      </w:r>
      <w:r w:rsidR="00744819">
        <w:t xml:space="preserve"> and</w:t>
      </w:r>
      <w:r w:rsidR="004B644B">
        <w:t xml:space="preserve"> cathode/electrolyte interfaces</w:t>
      </w:r>
      <w:r w:rsidR="00744819">
        <w:t>, respectively, a</w:t>
      </w:r>
      <w:r w:rsidR="00285C27">
        <w:t xml:space="preserve">s </w:t>
      </w:r>
      <w:r w:rsidR="006A4E81">
        <w:t>depicted</w:t>
      </w:r>
      <w:r w:rsidR="00285C27">
        <w:t xml:space="preserve"> </w:t>
      </w:r>
      <w:r>
        <w:t>in</w:t>
      </w:r>
      <w:r w:rsidR="00285C27">
        <w:t xml:space="preserve"> </w:t>
      </w:r>
      <w:r w:rsidR="00893F2C">
        <w:t>F</w:t>
      </w:r>
      <w:r w:rsidR="00285C27">
        <w:t xml:space="preserve">igure 3. </w:t>
      </w:r>
    </w:p>
    <w:p w14:paraId="314B4AB7" w14:textId="77777777" w:rsidR="007F6408" w:rsidRDefault="007F6408" w:rsidP="007F6408">
      <w:pPr>
        <w:pStyle w:val="Els-1storder-head"/>
      </w:pPr>
      <w:r>
        <w:t>Conclusions</w:t>
      </w:r>
    </w:p>
    <w:p w14:paraId="0F0B225C" w14:textId="759F3878" w:rsidR="00DE555F" w:rsidRDefault="007F6408" w:rsidP="007F6408">
      <w:pPr>
        <w:pStyle w:val="Els-body-text"/>
      </w:pPr>
      <w:r>
        <w:t xml:space="preserve">A </w:t>
      </w:r>
      <w:r w:rsidR="005E6A5F">
        <w:t>multiscale</w:t>
      </w:r>
      <w:r>
        <w:t xml:space="preserve"> model has been developed to address mass/charge transport and electrochemical reactions within SOFC</w:t>
      </w:r>
      <w:r w:rsidR="005A2577">
        <w:t>s</w:t>
      </w:r>
      <w:r>
        <w:t xml:space="preserve">. The applicability of the current multiscale model </w:t>
      </w:r>
      <w:r w:rsidR="006A4E81">
        <w:t xml:space="preserve">lies </w:t>
      </w:r>
      <w:r>
        <w:t xml:space="preserve">in </w:t>
      </w:r>
      <w:r w:rsidR="007075B5">
        <w:t>predicting</w:t>
      </w:r>
      <w:r>
        <w:t xml:space="preserve"> SOFC</w:t>
      </w:r>
      <w:r w:rsidR="007075B5">
        <w:t xml:space="preserve"> performance </w:t>
      </w:r>
      <w:r>
        <w:t xml:space="preserve">without any previous calibration with experimental setups. </w:t>
      </w:r>
      <w:r w:rsidR="00784B67">
        <w:t xml:space="preserve">It can be used to predict the performance of new SOFC configurations with new features both </w:t>
      </w:r>
      <w:r w:rsidR="007075B5">
        <w:t>at the</w:t>
      </w:r>
      <w:r w:rsidR="00784B67">
        <w:t xml:space="preserve"> </w:t>
      </w:r>
      <w:r w:rsidR="005E6A5F">
        <w:t>macro</w:t>
      </w:r>
      <w:r w:rsidR="007075B5">
        <w:t>scopic</w:t>
      </w:r>
      <w:r w:rsidR="00784B67">
        <w:t xml:space="preserve"> and</w:t>
      </w:r>
      <w:r w:rsidR="007075B5">
        <w:t xml:space="preserve"> microscopic </w:t>
      </w:r>
      <w:r w:rsidR="00784B67">
        <w:t>scale</w:t>
      </w:r>
      <w:r w:rsidR="007075B5">
        <w:t>s</w:t>
      </w:r>
      <w:r w:rsidR="00784B67">
        <w:t xml:space="preserve">. </w:t>
      </w:r>
      <w:r>
        <w:t xml:space="preserve">In addition, the </w:t>
      </w:r>
      <w:r w:rsidR="002E5F74">
        <w:t xml:space="preserve">multiscale </w:t>
      </w:r>
      <w:r>
        <w:t>model shows better agreement with experimental</w:t>
      </w:r>
      <w:r w:rsidR="001F0A37">
        <w:t xml:space="preserve">ly measured </w:t>
      </w:r>
      <w:r w:rsidR="009E7FC0">
        <w:t>polarization</w:t>
      </w:r>
      <w:r w:rsidR="001F0A37">
        <w:t xml:space="preserve"> curve</w:t>
      </w:r>
      <w:r w:rsidR="007075B5">
        <w:t>s</w:t>
      </w:r>
      <w:r w:rsidR="001F0A37">
        <w:t xml:space="preserve"> </w:t>
      </w:r>
      <w:r>
        <w:t xml:space="preserve">in comparison with </w:t>
      </w:r>
      <w:r w:rsidR="00800C25">
        <w:t xml:space="preserve">a </w:t>
      </w:r>
      <w:r w:rsidR="005E6A5F">
        <w:t>macroscale</w:t>
      </w:r>
      <w:r>
        <w:t xml:space="preserve"> model that has already been calibrated with </w:t>
      </w:r>
      <w:r w:rsidR="00D6501A">
        <w:t xml:space="preserve">an </w:t>
      </w:r>
      <w:r>
        <w:t xml:space="preserve">experimental setup. </w:t>
      </w:r>
    </w:p>
    <w:p w14:paraId="3323D1D5" w14:textId="403F3DAC" w:rsidR="00921DC6" w:rsidRDefault="00DD3D9E" w:rsidP="007F6408">
      <w:pPr>
        <w:pStyle w:val="Els-reference-head"/>
      </w:pPr>
      <w:r>
        <w:t>References</w:t>
      </w:r>
    </w:p>
    <w:p w14:paraId="696AEE1F" w14:textId="77777777" w:rsidR="005E6A5F" w:rsidRPr="00DE03CC" w:rsidRDefault="007F6408" w:rsidP="005E6A5F">
      <w:pPr>
        <w:pStyle w:val="Bibliografia"/>
        <w:rPr>
          <w:rFonts w:ascii="Times New Roman" w:hAnsi="Times New Roman" w:cs="Times New Roman"/>
          <w:sz w:val="16"/>
          <w:lang w:val="en-US"/>
        </w:rPr>
      </w:pPr>
      <w:r w:rsidRPr="00621706">
        <w:rPr>
          <w:sz w:val="16"/>
          <w:szCs w:val="16"/>
        </w:rPr>
        <w:fldChar w:fldCharType="begin"/>
      </w:r>
      <w:r w:rsidRPr="00DE03CC">
        <w:rPr>
          <w:sz w:val="16"/>
          <w:szCs w:val="16"/>
          <w:lang w:val="en-US"/>
        </w:rPr>
        <w:instrText xml:space="preserve"> ADDIN ZOTERO_BIBL {"uncited":[],"omitted":[],"custom":[]} CSL_BIBLIOGRAPHY </w:instrText>
      </w:r>
      <w:r w:rsidRPr="00621706">
        <w:rPr>
          <w:sz w:val="16"/>
          <w:szCs w:val="16"/>
        </w:rPr>
        <w:fldChar w:fldCharType="separate"/>
      </w:r>
      <w:r w:rsidR="005E6A5F" w:rsidRPr="00DE03CC">
        <w:rPr>
          <w:rFonts w:ascii="Times New Roman" w:hAnsi="Times New Roman" w:cs="Times New Roman"/>
          <w:sz w:val="16"/>
          <w:lang w:val="en-US"/>
        </w:rPr>
        <w:t xml:space="preserve">Abbasi, Hamid Reza, Masoud </w:t>
      </w:r>
      <w:proofErr w:type="spellStart"/>
      <w:r w:rsidR="005E6A5F" w:rsidRPr="00DE03CC">
        <w:rPr>
          <w:rFonts w:ascii="Times New Roman" w:hAnsi="Times New Roman" w:cs="Times New Roman"/>
          <w:sz w:val="16"/>
          <w:lang w:val="en-US"/>
        </w:rPr>
        <w:t>Babaei</w:t>
      </w:r>
      <w:proofErr w:type="spellEnd"/>
      <w:r w:rsidR="005E6A5F" w:rsidRPr="00DE03CC">
        <w:rPr>
          <w:rFonts w:ascii="Times New Roman" w:hAnsi="Times New Roman" w:cs="Times New Roman"/>
          <w:sz w:val="16"/>
          <w:lang w:val="en-US"/>
        </w:rPr>
        <w:t xml:space="preserve">, </w:t>
      </w:r>
      <w:proofErr w:type="spellStart"/>
      <w:r w:rsidR="005E6A5F" w:rsidRPr="00DE03CC">
        <w:rPr>
          <w:rFonts w:ascii="Times New Roman" w:hAnsi="Times New Roman" w:cs="Times New Roman"/>
          <w:sz w:val="16"/>
          <w:lang w:val="en-US"/>
        </w:rPr>
        <w:t>Arash</w:t>
      </w:r>
      <w:proofErr w:type="spellEnd"/>
      <w:r w:rsidR="005E6A5F" w:rsidRPr="00DE03CC">
        <w:rPr>
          <w:rFonts w:ascii="Times New Roman" w:hAnsi="Times New Roman" w:cs="Times New Roman"/>
          <w:sz w:val="16"/>
          <w:lang w:val="en-US"/>
        </w:rPr>
        <w:t xml:space="preserve"> Rabbani, and </w:t>
      </w:r>
      <w:proofErr w:type="spellStart"/>
      <w:r w:rsidR="005E6A5F" w:rsidRPr="00DE03CC">
        <w:rPr>
          <w:rFonts w:ascii="Times New Roman" w:hAnsi="Times New Roman" w:cs="Times New Roman"/>
          <w:sz w:val="16"/>
          <w:lang w:val="en-US"/>
        </w:rPr>
        <w:t>Constantinos</w:t>
      </w:r>
      <w:proofErr w:type="spellEnd"/>
      <w:r w:rsidR="005E6A5F" w:rsidRPr="00DE03CC">
        <w:rPr>
          <w:rFonts w:ascii="Times New Roman" w:hAnsi="Times New Roman" w:cs="Times New Roman"/>
          <w:sz w:val="16"/>
          <w:lang w:val="en-US"/>
        </w:rPr>
        <w:t xml:space="preserve"> </w:t>
      </w:r>
      <w:proofErr w:type="spellStart"/>
      <w:r w:rsidR="005E6A5F" w:rsidRPr="00DE03CC">
        <w:rPr>
          <w:rFonts w:ascii="Times New Roman" w:hAnsi="Times New Roman" w:cs="Times New Roman"/>
          <w:sz w:val="16"/>
          <w:lang w:val="en-US"/>
        </w:rPr>
        <w:t>Theodoropoulos</w:t>
      </w:r>
      <w:proofErr w:type="spellEnd"/>
      <w:r w:rsidR="005E6A5F" w:rsidRPr="00DE03CC">
        <w:rPr>
          <w:rFonts w:ascii="Times New Roman" w:hAnsi="Times New Roman" w:cs="Times New Roman"/>
          <w:sz w:val="16"/>
          <w:lang w:val="en-US"/>
        </w:rPr>
        <w:t xml:space="preserve">. 2023. ‘Multi-Scale Model of Solid Oxide Fuel Cell: Enabling Microscopic Solvers to Predict Physical Features over a Macroscopic Domain’. In </w:t>
      </w:r>
      <w:r w:rsidR="005E6A5F" w:rsidRPr="00DE03CC">
        <w:rPr>
          <w:rFonts w:ascii="Times New Roman" w:hAnsi="Times New Roman" w:cs="Times New Roman"/>
          <w:i/>
          <w:iCs/>
          <w:sz w:val="16"/>
          <w:lang w:val="en-US"/>
        </w:rPr>
        <w:t>Computer Aided Chemical Engineering</w:t>
      </w:r>
      <w:r w:rsidR="005E6A5F" w:rsidRPr="00DE03CC">
        <w:rPr>
          <w:rFonts w:ascii="Times New Roman" w:hAnsi="Times New Roman" w:cs="Times New Roman"/>
          <w:sz w:val="16"/>
          <w:lang w:val="en-US"/>
        </w:rPr>
        <w:t>, 52:1039–45. Elsevier.</w:t>
      </w:r>
    </w:p>
    <w:p w14:paraId="463E1C97" w14:textId="77777777" w:rsidR="005E6A5F" w:rsidRPr="00DE03CC" w:rsidRDefault="005E6A5F" w:rsidP="005E6A5F">
      <w:pPr>
        <w:pStyle w:val="Bibliografia"/>
        <w:rPr>
          <w:rFonts w:ascii="Times New Roman" w:hAnsi="Times New Roman" w:cs="Times New Roman"/>
          <w:sz w:val="16"/>
          <w:lang w:val="en-US"/>
        </w:rPr>
      </w:pPr>
      <w:r w:rsidRPr="00DE03CC">
        <w:rPr>
          <w:rFonts w:ascii="Times New Roman" w:hAnsi="Times New Roman" w:cs="Times New Roman"/>
          <w:sz w:val="16"/>
          <w:lang w:val="en-US"/>
        </w:rPr>
        <w:t xml:space="preserve">Fu, </w:t>
      </w:r>
      <w:proofErr w:type="spellStart"/>
      <w:r w:rsidRPr="00DE03CC">
        <w:rPr>
          <w:rFonts w:ascii="Times New Roman" w:hAnsi="Times New Roman" w:cs="Times New Roman"/>
          <w:sz w:val="16"/>
          <w:lang w:val="en-US"/>
        </w:rPr>
        <w:t>Quanrong</w:t>
      </w:r>
      <w:proofErr w:type="spellEnd"/>
      <w:r w:rsidRPr="00DE03CC">
        <w:rPr>
          <w:rFonts w:ascii="Times New Roman" w:hAnsi="Times New Roman" w:cs="Times New Roman"/>
          <w:sz w:val="16"/>
          <w:lang w:val="en-US"/>
        </w:rPr>
        <w:t xml:space="preserve">, </w:t>
      </w:r>
      <w:proofErr w:type="spellStart"/>
      <w:r w:rsidRPr="00DE03CC">
        <w:rPr>
          <w:rFonts w:ascii="Times New Roman" w:hAnsi="Times New Roman" w:cs="Times New Roman"/>
          <w:sz w:val="16"/>
          <w:lang w:val="en-US"/>
        </w:rPr>
        <w:t>Zhiyi</w:t>
      </w:r>
      <w:proofErr w:type="spellEnd"/>
      <w:r w:rsidRPr="00DE03CC">
        <w:rPr>
          <w:rFonts w:ascii="Times New Roman" w:hAnsi="Times New Roman" w:cs="Times New Roman"/>
          <w:sz w:val="16"/>
          <w:lang w:val="en-US"/>
        </w:rPr>
        <w:t xml:space="preserve"> Li, Wei </w:t>
      </w:r>
      <w:proofErr w:type="spellStart"/>
      <w:r w:rsidRPr="00DE03CC">
        <w:rPr>
          <w:rFonts w:ascii="Times New Roman" w:hAnsi="Times New Roman" w:cs="Times New Roman"/>
          <w:sz w:val="16"/>
          <w:lang w:val="en-US"/>
        </w:rPr>
        <w:t>Wei</w:t>
      </w:r>
      <w:proofErr w:type="spellEnd"/>
      <w:r w:rsidRPr="00DE03CC">
        <w:rPr>
          <w:rFonts w:ascii="Times New Roman" w:hAnsi="Times New Roman" w:cs="Times New Roman"/>
          <w:sz w:val="16"/>
          <w:lang w:val="en-US"/>
        </w:rPr>
        <w:t xml:space="preserve">, </w:t>
      </w:r>
      <w:proofErr w:type="spellStart"/>
      <w:r w:rsidRPr="00DE03CC">
        <w:rPr>
          <w:rFonts w:ascii="Times New Roman" w:hAnsi="Times New Roman" w:cs="Times New Roman"/>
          <w:sz w:val="16"/>
          <w:lang w:val="en-US"/>
        </w:rPr>
        <w:t>Fengxia</w:t>
      </w:r>
      <w:proofErr w:type="spellEnd"/>
      <w:r w:rsidRPr="00DE03CC">
        <w:rPr>
          <w:rFonts w:ascii="Times New Roman" w:hAnsi="Times New Roman" w:cs="Times New Roman"/>
          <w:sz w:val="16"/>
          <w:lang w:val="en-US"/>
        </w:rPr>
        <w:t xml:space="preserve"> Liu, </w:t>
      </w:r>
      <w:proofErr w:type="spellStart"/>
      <w:r w:rsidRPr="00DE03CC">
        <w:rPr>
          <w:rFonts w:ascii="Times New Roman" w:hAnsi="Times New Roman" w:cs="Times New Roman"/>
          <w:sz w:val="16"/>
          <w:lang w:val="en-US"/>
        </w:rPr>
        <w:t>Xiaofei</w:t>
      </w:r>
      <w:proofErr w:type="spellEnd"/>
      <w:r w:rsidRPr="00DE03CC">
        <w:rPr>
          <w:rFonts w:ascii="Times New Roman" w:hAnsi="Times New Roman" w:cs="Times New Roman"/>
          <w:sz w:val="16"/>
          <w:lang w:val="en-US"/>
        </w:rPr>
        <w:t xml:space="preserve"> Xu, and Zhijun Liu. 2021. ‘Performance Degradation Prediction of Direct Internal Reforming Solid Oxide Fuel Cell Due to Ni-Particle Coarsening in Composite Anode’. </w:t>
      </w:r>
      <w:r w:rsidRPr="00DE03CC">
        <w:rPr>
          <w:rFonts w:ascii="Times New Roman" w:hAnsi="Times New Roman" w:cs="Times New Roman"/>
          <w:i/>
          <w:iCs/>
          <w:sz w:val="16"/>
          <w:lang w:val="en-US"/>
        </w:rPr>
        <w:t>Energy Conversion and Management</w:t>
      </w:r>
      <w:r w:rsidRPr="00DE03CC">
        <w:rPr>
          <w:rFonts w:ascii="Times New Roman" w:hAnsi="Times New Roman" w:cs="Times New Roman"/>
          <w:sz w:val="16"/>
          <w:lang w:val="en-US"/>
        </w:rPr>
        <w:t xml:space="preserve"> 233 (April): 113902. https://doi.org/10.1016/j.enconman.2021.113902.</w:t>
      </w:r>
    </w:p>
    <w:p w14:paraId="57DB93F6" w14:textId="77777777" w:rsidR="005E6A5F" w:rsidRPr="00DE03CC" w:rsidRDefault="005E6A5F" w:rsidP="005E6A5F">
      <w:pPr>
        <w:pStyle w:val="Bibliografia"/>
        <w:rPr>
          <w:rFonts w:ascii="Times New Roman" w:hAnsi="Times New Roman" w:cs="Times New Roman"/>
          <w:sz w:val="16"/>
          <w:lang w:val="en-US"/>
        </w:rPr>
      </w:pPr>
      <w:r w:rsidRPr="00DE03CC">
        <w:rPr>
          <w:rFonts w:ascii="Times New Roman" w:hAnsi="Times New Roman" w:cs="Times New Roman"/>
          <w:sz w:val="16"/>
          <w:lang w:val="en-US"/>
        </w:rPr>
        <w:t xml:space="preserve">Hsu, Tim, </w:t>
      </w:r>
      <w:proofErr w:type="spellStart"/>
      <w:r w:rsidRPr="00DE03CC">
        <w:rPr>
          <w:rFonts w:ascii="Times New Roman" w:hAnsi="Times New Roman" w:cs="Times New Roman"/>
          <w:sz w:val="16"/>
          <w:lang w:val="en-US"/>
        </w:rPr>
        <w:t>Hokon</w:t>
      </w:r>
      <w:proofErr w:type="spellEnd"/>
      <w:r w:rsidRPr="00DE03CC">
        <w:rPr>
          <w:rFonts w:ascii="Times New Roman" w:hAnsi="Times New Roman" w:cs="Times New Roman"/>
          <w:sz w:val="16"/>
          <w:lang w:val="en-US"/>
        </w:rPr>
        <w:t xml:space="preserve"> Kim, Jerry H. Mason, </w:t>
      </w:r>
      <w:proofErr w:type="spellStart"/>
      <w:r w:rsidRPr="00DE03CC">
        <w:rPr>
          <w:rFonts w:ascii="Times New Roman" w:hAnsi="Times New Roman" w:cs="Times New Roman"/>
          <w:sz w:val="16"/>
          <w:lang w:val="en-US"/>
        </w:rPr>
        <w:t>Rubayyat</w:t>
      </w:r>
      <w:proofErr w:type="spellEnd"/>
      <w:r w:rsidRPr="00DE03CC">
        <w:rPr>
          <w:rFonts w:ascii="Times New Roman" w:hAnsi="Times New Roman" w:cs="Times New Roman"/>
          <w:sz w:val="16"/>
          <w:lang w:val="en-US"/>
        </w:rPr>
        <w:t xml:space="preserve"> Mahbub, William K. </w:t>
      </w:r>
      <w:proofErr w:type="spellStart"/>
      <w:r w:rsidRPr="00DE03CC">
        <w:rPr>
          <w:rFonts w:ascii="Times New Roman" w:hAnsi="Times New Roman" w:cs="Times New Roman"/>
          <w:sz w:val="16"/>
          <w:lang w:val="en-US"/>
        </w:rPr>
        <w:t>Epting</w:t>
      </w:r>
      <w:proofErr w:type="spellEnd"/>
      <w:r w:rsidRPr="00DE03CC">
        <w:rPr>
          <w:rFonts w:ascii="Times New Roman" w:hAnsi="Times New Roman" w:cs="Times New Roman"/>
          <w:sz w:val="16"/>
          <w:lang w:val="en-US"/>
        </w:rPr>
        <w:t xml:space="preserve">, Harry W. Abernathy, Gregory A. Hackett, Shawn Litster, Anthony D. </w:t>
      </w:r>
      <w:proofErr w:type="spellStart"/>
      <w:r w:rsidRPr="00DE03CC">
        <w:rPr>
          <w:rFonts w:ascii="Times New Roman" w:hAnsi="Times New Roman" w:cs="Times New Roman"/>
          <w:sz w:val="16"/>
          <w:lang w:val="en-US"/>
        </w:rPr>
        <w:t>Rollett</w:t>
      </w:r>
      <w:proofErr w:type="spellEnd"/>
      <w:r w:rsidRPr="00DE03CC">
        <w:rPr>
          <w:rFonts w:ascii="Times New Roman" w:hAnsi="Times New Roman" w:cs="Times New Roman"/>
          <w:sz w:val="16"/>
          <w:lang w:val="en-US"/>
        </w:rPr>
        <w:t xml:space="preserve">, and Paul A. Salvador. 2022. ‘High Performance Finite Element Simulations of Infiltrated Solid Oxide Fuel Cell Cathode Microstructures’. </w:t>
      </w:r>
      <w:r w:rsidRPr="00DE03CC">
        <w:rPr>
          <w:rFonts w:ascii="Times New Roman" w:hAnsi="Times New Roman" w:cs="Times New Roman"/>
          <w:i/>
          <w:iCs/>
          <w:sz w:val="16"/>
          <w:lang w:val="en-US"/>
        </w:rPr>
        <w:t>Journal of Power Sources</w:t>
      </w:r>
      <w:r w:rsidRPr="00DE03CC">
        <w:rPr>
          <w:rFonts w:ascii="Times New Roman" w:hAnsi="Times New Roman" w:cs="Times New Roman"/>
          <w:sz w:val="16"/>
          <w:lang w:val="en-US"/>
        </w:rPr>
        <w:t xml:space="preserve"> 541 (September): 231652. https://doi.org/10.1016/j.jpowsour.2022.231652.</w:t>
      </w:r>
    </w:p>
    <w:p w14:paraId="1DC82CAB" w14:textId="77777777" w:rsidR="005E6A5F" w:rsidRPr="00DE03CC" w:rsidRDefault="005E6A5F" w:rsidP="005E6A5F">
      <w:pPr>
        <w:pStyle w:val="Bibliografia"/>
        <w:rPr>
          <w:rFonts w:ascii="Times New Roman" w:hAnsi="Times New Roman" w:cs="Times New Roman"/>
          <w:sz w:val="16"/>
          <w:lang w:val="en-US"/>
        </w:rPr>
      </w:pPr>
      <w:r w:rsidRPr="00DE03CC">
        <w:rPr>
          <w:rFonts w:ascii="Times New Roman" w:hAnsi="Times New Roman" w:cs="Times New Roman"/>
          <w:sz w:val="16"/>
          <w:lang w:val="en-US"/>
        </w:rPr>
        <w:t xml:space="preserve">Hsu, Tim, </w:t>
      </w:r>
      <w:proofErr w:type="spellStart"/>
      <w:r w:rsidRPr="00DE03CC">
        <w:rPr>
          <w:rFonts w:ascii="Times New Roman" w:hAnsi="Times New Roman" w:cs="Times New Roman"/>
          <w:sz w:val="16"/>
          <w:lang w:val="en-US"/>
        </w:rPr>
        <w:t>Rubayyat</w:t>
      </w:r>
      <w:proofErr w:type="spellEnd"/>
      <w:r w:rsidRPr="00DE03CC">
        <w:rPr>
          <w:rFonts w:ascii="Times New Roman" w:hAnsi="Times New Roman" w:cs="Times New Roman"/>
          <w:sz w:val="16"/>
          <w:lang w:val="en-US"/>
        </w:rPr>
        <w:t xml:space="preserve"> Mahbub, Jerry H. Mason, William K. </w:t>
      </w:r>
      <w:proofErr w:type="spellStart"/>
      <w:r w:rsidRPr="00DE03CC">
        <w:rPr>
          <w:rFonts w:ascii="Times New Roman" w:hAnsi="Times New Roman" w:cs="Times New Roman"/>
          <w:sz w:val="16"/>
          <w:lang w:val="en-US"/>
        </w:rPr>
        <w:t>Epting</w:t>
      </w:r>
      <w:proofErr w:type="spellEnd"/>
      <w:r w:rsidRPr="00DE03CC">
        <w:rPr>
          <w:rFonts w:ascii="Times New Roman" w:hAnsi="Times New Roman" w:cs="Times New Roman"/>
          <w:sz w:val="16"/>
          <w:lang w:val="en-US"/>
        </w:rPr>
        <w:t xml:space="preserve">, Harry W. Abernathy, Gregory A. Hackett, Anthony D. </w:t>
      </w:r>
      <w:proofErr w:type="spellStart"/>
      <w:r w:rsidRPr="00DE03CC">
        <w:rPr>
          <w:rFonts w:ascii="Times New Roman" w:hAnsi="Times New Roman" w:cs="Times New Roman"/>
          <w:sz w:val="16"/>
          <w:lang w:val="en-US"/>
        </w:rPr>
        <w:t>Rollett</w:t>
      </w:r>
      <w:proofErr w:type="spellEnd"/>
      <w:r w:rsidRPr="00DE03CC">
        <w:rPr>
          <w:rFonts w:ascii="Times New Roman" w:hAnsi="Times New Roman" w:cs="Times New Roman"/>
          <w:sz w:val="16"/>
          <w:lang w:val="en-US"/>
        </w:rPr>
        <w:t xml:space="preserve">, Shawn Litster, and Paul A. Salvador. 2020. ‘High Performance Modeling of Heterogeneous SOFC Electrode Microstructures Using the MOOSE Framework: ERMINE (Electrochemical Reactions in </w:t>
      </w:r>
      <w:proofErr w:type="spellStart"/>
      <w:r w:rsidRPr="00DE03CC">
        <w:rPr>
          <w:rFonts w:ascii="Times New Roman" w:hAnsi="Times New Roman" w:cs="Times New Roman"/>
          <w:sz w:val="16"/>
          <w:lang w:val="en-US"/>
        </w:rPr>
        <w:t>MIcrostructural</w:t>
      </w:r>
      <w:proofErr w:type="spellEnd"/>
      <w:r w:rsidRPr="00DE03CC">
        <w:rPr>
          <w:rFonts w:ascii="Times New Roman" w:hAnsi="Times New Roman" w:cs="Times New Roman"/>
          <w:sz w:val="16"/>
          <w:lang w:val="en-US"/>
        </w:rPr>
        <w:t xml:space="preserve"> </w:t>
      </w:r>
      <w:proofErr w:type="spellStart"/>
      <w:r w:rsidRPr="00DE03CC">
        <w:rPr>
          <w:rFonts w:ascii="Times New Roman" w:hAnsi="Times New Roman" w:cs="Times New Roman"/>
          <w:sz w:val="16"/>
          <w:lang w:val="en-US"/>
        </w:rPr>
        <w:t>NEtworks</w:t>
      </w:r>
      <w:proofErr w:type="spellEnd"/>
      <w:r w:rsidRPr="00DE03CC">
        <w:rPr>
          <w:rFonts w:ascii="Times New Roman" w:hAnsi="Times New Roman" w:cs="Times New Roman"/>
          <w:sz w:val="16"/>
          <w:lang w:val="en-US"/>
        </w:rPr>
        <w:t xml:space="preserve">)’. </w:t>
      </w:r>
      <w:proofErr w:type="spellStart"/>
      <w:r w:rsidRPr="00DE03CC">
        <w:rPr>
          <w:rFonts w:ascii="Times New Roman" w:hAnsi="Times New Roman" w:cs="Times New Roman"/>
          <w:i/>
          <w:iCs/>
          <w:sz w:val="16"/>
          <w:lang w:val="en-US"/>
        </w:rPr>
        <w:t>MethodsX</w:t>
      </w:r>
      <w:proofErr w:type="spellEnd"/>
      <w:r w:rsidRPr="00DE03CC">
        <w:rPr>
          <w:rFonts w:ascii="Times New Roman" w:hAnsi="Times New Roman" w:cs="Times New Roman"/>
          <w:sz w:val="16"/>
          <w:lang w:val="en-US"/>
        </w:rPr>
        <w:t xml:space="preserve"> 7: 100822. https://doi.org/10.1016/j.mex.2020.100822.</w:t>
      </w:r>
    </w:p>
    <w:p w14:paraId="23666FF8" w14:textId="77777777" w:rsidR="005E6A5F" w:rsidRPr="00DE03CC" w:rsidRDefault="005E6A5F" w:rsidP="005E6A5F">
      <w:pPr>
        <w:pStyle w:val="Bibliografia"/>
        <w:rPr>
          <w:rFonts w:ascii="Times New Roman" w:hAnsi="Times New Roman" w:cs="Times New Roman"/>
          <w:sz w:val="16"/>
          <w:lang w:val="en-US"/>
        </w:rPr>
      </w:pPr>
      <w:r w:rsidRPr="00DE03CC">
        <w:rPr>
          <w:rFonts w:ascii="Times New Roman" w:hAnsi="Times New Roman" w:cs="Times New Roman"/>
          <w:sz w:val="16"/>
          <w:lang w:val="en-US"/>
        </w:rPr>
        <w:t>Prokop, Tomasz. 2020. ‘Three-Dimensional Numerical Analysis of Transport Phenomena in a Positive-Electrolyte-Negative Assembly of a Solid Oxide Fuel Cell’. PhD Thesis.</w:t>
      </w:r>
    </w:p>
    <w:p w14:paraId="2BE23A63" w14:textId="77777777" w:rsidR="005E6A5F" w:rsidRPr="00DE03CC" w:rsidRDefault="005E6A5F" w:rsidP="005E6A5F">
      <w:pPr>
        <w:pStyle w:val="Bibliografia"/>
        <w:rPr>
          <w:rFonts w:ascii="Times New Roman" w:hAnsi="Times New Roman" w:cs="Times New Roman"/>
          <w:sz w:val="16"/>
          <w:lang w:val="en-US"/>
        </w:rPr>
      </w:pPr>
      <w:r w:rsidRPr="00DE03CC">
        <w:rPr>
          <w:rFonts w:ascii="Times New Roman" w:hAnsi="Times New Roman" w:cs="Times New Roman"/>
          <w:sz w:val="16"/>
          <w:lang w:val="en-US"/>
        </w:rPr>
        <w:t xml:space="preserve">Prokop, Tomasz A., Grzegorz </w:t>
      </w:r>
      <w:proofErr w:type="spellStart"/>
      <w:r w:rsidRPr="00DE03CC">
        <w:rPr>
          <w:rFonts w:ascii="Times New Roman" w:hAnsi="Times New Roman" w:cs="Times New Roman"/>
          <w:sz w:val="16"/>
          <w:lang w:val="en-US"/>
        </w:rPr>
        <w:t>Brus</w:t>
      </w:r>
      <w:proofErr w:type="spellEnd"/>
      <w:r w:rsidRPr="00DE03CC">
        <w:rPr>
          <w:rFonts w:ascii="Times New Roman" w:hAnsi="Times New Roman" w:cs="Times New Roman"/>
          <w:sz w:val="16"/>
          <w:lang w:val="en-US"/>
        </w:rPr>
        <w:t xml:space="preserve">, Shinji </w:t>
      </w:r>
      <w:proofErr w:type="spellStart"/>
      <w:r w:rsidRPr="00DE03CC">
        <w:rPr>
          <w:rFonts w:ascii="Times New Roman" w:hAnsi="Times New Roman" w:cs="Times New Roman"/>
          <w:sz w:val="16"/>
          <w:lang w:val="en-US"/>
        </w:rPr>
        <w:t>Kimijima</w:t>
      </w:r>
      <w:proofErr w:type="spellEnd"/>
      <w:r w:rsidRPr="00DE03CC">
        <w:rPr>
          <w:rFonts w:ascii="Times New Roman" w:hAnsi="Times New Roman" w:cs="Times New Roman"/>
          <w:sz w:val="16"/>
          <w:lang w:val="en-US"/>
        </w:rPr>
        <w:t xml:space="preserve">, and </w:t>
      </w:r>
      <w:proofErr w:type="spellStart"/>
      <w:r w:rsidRPr="00DE03CC">
        <w:rPr>
          <w:rFonts w:ascii="Times New Roman" w:hAnsi="Times New Roman" w:cs="Times New Roman"/>
          <w:sz w:val="16"/>
          <w:lang w:val="en-US"/>
        </w:rPr>
        <w:t>Janusz</w:t>
      </w:r>
      <w:proofErr w:type="spellEnd"/>
      <w:r w:rsidRPr="00DE03CC">
        <w:rPr>
          <w:rFonts w:ascii="Times New Roman" w:hAnsi="Times New Roman" w:cs="Times New Roman"/>
          <w:sz w:val="16"/>
          <w:lang w:val="en-US"/>
        </w:rPr>
        <w:t xml:space="preserve"> S. </w:t>
      </w:r>
      <w:proofErr w:type="spellStart"/>
      <w:r w:rsidRPr="00DE03CC">
        <w:rPr>
          <w:rFonts w:ascii="Times New Roman" w:hAnsi="Times New Roman" w:cs="Times New Roman"/>
          <w:sz w:val="16"/>
          <w:lang w:val="en-US"/>
        </w:rPr>
        <w:t>Szmyd</w:t>
      </w:r>
      <w:proofErr w:type="spellEnd"/>
      <w:r w:rsidRPr="00DE03CC">
        <w:rPr>
          <w:rFonts w:ascii="Times New Roman" w:hAnsi="Times New Roman" w:cs="Times New Roman"/>
          <w:sz w:val="16"/>
          <w:lang w:val="en-US"/>
        </w:rPr>
        <w:t xml:space="preserve">. 2020. ‘Thin Solid Film Electrolyte and Its Impact on Electrode Polarization in Solid Oxide Fuel Cells Studied by Three-Dimensional Microstructure-Scale Numerical Simulation’. </w:t>
      </w:r>
      <w:r w:rsidRPr="00DE03CC">
        <w:rPr>
          <w:rFonts w:ascii="Times New Roman" w:hAnsi="Times New Roman" w:cs="Times New Roman"/>
          <w:i/>
          <w:iCs/>
          <w:sz w:val="16"/>
          <w:lang w:val="en-US"/>
        </w:rPr>
        <w:t>Energies</w:t>
      </w:r>
      <w:r w:rsidRPr="00DE03CC">
        <w:rPr>
          <w:rFonts w:ascii="Times New Roman" w:hAnsi="Times New Roman" w:cs="Times New Roman"/>
          <w:sz w:val="16"/>
          <w:lang w:val="en-US"/>
        </w:rPr>
        <w:t xml:space="preserve"> 13 (19): 5127. https://doi.org/10.3390/en13195127.</w:t>
      </w:r>
    </w:p>
    <w:p w14:paraId="20E6B1C5" w14:textId="77777777" w:rsidR="005E6A5F" w:rsidRPr="00DE03CC" w:rsidRDefault="005E6A5F" w:rsidP="005E6A5F">
      <w:pPr>
        <w:pStyle w:val="Bibliografia"/>
        <w:rPr>
          <w:rFonts w:ascii="Times New Roman" w:hAnsi="Times New Roman" w:cs="Times New Roman"/>
          <w:sz w:val="16"/>
          <w:lang w:val="en-US"/>
        </w:rPr>
      </w:pPr>
      <w:r w:rsidRPr="00DE03CC">
        <w:rPr>
          <w:rFonts w:ascii="Times New Roman" w:hAnsi="Times New Roman" w:cs="Times New Roman"/>
          <w:sz w:val="16"/>
          <w:lang w:val="en-US"/>
        </w:rPr>
        <w:t xml:space="preserve">Rogers, William A, Randall S </w:t>
      </w:r>
      <w:proofErr w:type="spellStart"/>
      <w:r w:rsidRPr="00DE03CC">
        <w:rPr>
          <w:rFonts w:ascii="Times New Roman" w:hAnsi="Times New Roman" w:cs="Times New Roman"/>
          <w:sz w:val="16"/>
          <w:lang w:val="en-US"/>
        </w:rPr>
        <w:t>Gemmen</w:t>
      </w:r>
      <w:proofErr w:type="spellEnd"/>
      <w:r w:rsidRPr="00DE03CC">
        <w:rPr>
          <w:rFonts w:ascii="Times New Roman" w:hAnsi="Times New Roman" w:cs="Times New Roman"/>
          <w:sz w:val="16"/>
          <w:lang w:val="en-US"/>
        </w:rPr>
        <w:t xml:space="preserve">, Christopher Johnson, Michael </w:t>
      </w:r>
      <w:proofErr w:type="spellStart"/>
      <w:r w:rsidRPr="00DE03CC">
        <w:rPr>
          <w:rFonts w:ascii="Times New Roman" w:hAnsi="Times New Roman" w:cs="Times New Roman"/>
          <w:sz w:val="16"/>
          <w:lang w:val="en-US"/>
        </w:rPr>
        <w:t>Prinkey</w:t>
      </w:r>
      <w:proofErr w:type="spellEnd"/>
      <w:r w:rsidRPr="00DE03CC">
        <w:rPr>
          <w:rFonts w:ascii="Times New Roman" w:hAnsi="Times New Roman" w:cs="Times New Roman"/>
          <w:sz w:val="16"/>
          <w:lang w:val="en-US"/>
        </w:rPr>
        <w:t xml:space="preserve">, and Mehrdad </w:t>
      </w:r>
      <w:proofErr w:type="spellStart"/>
      <w:r w:rsidRPr="00DE03CC">
        <w:rPr>
          <w:rFonts w:ascii="Times New Roman" w:hAnsi="Times New Roman" w:cs="Times New Roman"/>
          <w:sz w:val="16"/>
          <w:lang w:val="en-US"/>
        </w:rPr>
        <w:t>Shahnam</w:t>
      </w:r>
      <w:proofErr w:type="spellEnd"/>
      <w:r w:rsidRPr="00DE03CC">
        <w:rPr>
          <w:rFonts w:ascii="Times New Roman" w:hAnsi="Times New Roman" w:cs="Times New Roman"/>
          <w:sz w:val="16"/>
          <w:lang w:val="en-US"/>
        </w:rPr>
        <w:t>. 2003. ‘Validation and Application of a CFD-Based Model for Solid Oxide Fuel Cells and Stacks’, 4.</w:t>
      </w:r>
    </w:p>
    <w:p w14:paraId="4D3EA92F" w14:textId="77777777" w:rsidR="005E6A5F" w:rsidRPr="00DE03CC" w:rsidRDefault="005E6A5F" w:rsidP="005E6A5F">
      <w:pPr>
        <w:pStyle w:val="Bibliografia"/>
        <w:rPr>
          <w:rFonts w:ascii="Times New Roman" w:hAnsi="Times New Roman" w:cs="Times New Roman"/>
          <w:sz w:val="16"/>
          <w:lang w:val="en-US"/>
        </w:rPr>
      </w:pPr>
      <w:proofErr w:type="spellStart"/>
      <w:r w:rsidRPr="00DE03CC">
        <w:rPr>
          <w:rFonts w:ascii="Times New Roman" w:hAnsi="Times New Roman" w:cs="Times New Roman"/>
          <w:sz w:val="16"/>
          <w:lang w:val="en-US"/>
        </w:rPr>
        <w:t>Tseronis</w:t>
      </w:r>
      <w:proofErr w:type="spellEnd"/>
      <w:r w:rsidRPr="00DE03CC">
        <w:rPr>
          <w:rFonts w:ascii="Times New Roman" w:hAnsi="Times New Roman" w:cs="Times New Roman"/>
          <w:sz w:val="16"/>
          <w:lang w:val="en-US"/>
        </w:rPr>
        <w:t xml:space="preserve">, K., I. </w:t>
      </w:r>
      <w:proofErr w:type="spellStart"/>
      <w:r w:rsidRPr="00DE03CC">
        <w:rPr>
          <w:rFonts w:ascii="Times New Roman" w:hAnsi="Times New Roman" w:cs="Times New Roman"/>
          <w:sz w:val="16"/>
          <w:lang w:val="en-US"/>
        </w:rPr>
        <w:t>Bonis</w:t>
      </w:r>
      <w:proofErr w:type="spellEnd"/>
      <w:r w:rsidRPr="00DE03CC">
        <w:rPr>
          <w:rFonts w:ascii="Times New Roman" w:hAnsi="Times New Roman" w:cs="Times New Roman"/>
          <w:sz w:val="16"/>
          <w:lang w:val="en-US"/>
        </w:rPr>
        <w:t xml:space="preserve">, I.K. </w:t>
      </w:r>
      <w:proofErr w:type="spellStart"/>
      <w:r w:rsidRPr="00DE03CC">
        <w:rPr>
          <w:rFonts w:ascii="Times New Roman" w:hAnsi="Times New Roman" w:cs="Times New Roman"/>
          <w:sz w:val="16"/>
          <w:lang w:val="en-US"/>
        </w:rPr>
        <w:t>Kookos</w:t>
      </w:r>
      <w:proofErr w:type="spellEnd"/>
      <w:r w:rsidRPr="00DE03CC">
        <w:rPr>
          <w:rFonts w:ascii="Times New Roman" w:hAnsi="Times New Roman" w:cs="Times New Roman"/>
          <w:sz w:val="16"/>
          <w:lang w:val="en-US"/>
        </w:rPr>
        <w:t xml:space="preserve">, and C. </w:t>
      </w:r>
      <w:proofErr w:type="spellStart"/>
      <w:r w:rsidRPr="00DE03CC">
        <w:rPr>
          <w:rFonts w:ascii="Times New Roman" w:hAnsi="Times New Roman" w:cs="Times New Roman"/>
          <w:sz w:val="16"/>
          <w:lang w:val="en-US"/>
        </w:rPr>
        <w:t>Theodoropoulos</w:t>
      </w:r>
      <w:proofErr w:type="spellEnd"/>
      <w:r w:rsidRPr="00DE03CC">
        <w:rPr>
          <w:rFonts w:ascii="Times New Roman" w:hAnsi="Times New Roman" w:cs="Times New Roman"/>
          <w:sz w:val="16"/>
          <w:lang w:val="en-US"/>
        </w:rPr>
        <w:t xml:space="preserve">. 2012. ‘Parametric and Transient Analysis of Non-Isothermal, Planar Solid Oxide Fuel Cells’. </w:t>
      </w:r>
      <w:r w:rsidRPr="00DE03CC">
        <w:rPr>
          <w:rFonts w:ascii="Times New Roman" w:hAnsi="Times New Roman" w:cs="Times New Roman"/>
          <w:i/>
          <w:iCs/>
          <w:sz w:val="16"/>
          <w:lang w:val="en-US"/>
        </w:rPr>
        <w:t>International Journal of Hydrogen Energy</w:t>
      </w:r>
      <w:r w:rsidRPr="00DE03CC">
        <w:rPr>
          <w:rFonts w:ascii="Times New Roman" w:hAnsi="Times New Roman" w:cs="Times New Roman"/>
          <w:sz w:val="16"/>
          <w:lang w:val="en-US"/>
        </w:rPr>
        <w:t xml:space="preserve"> 37 (1): 530–47. https://doi.org/10.1016/j.ijhydene.2011.09.062.</w:t>
      </w:r>
    </w:p>
    <w:p w14:paraId="77ED4903" w14:textId="77777777" w:rsidR="005E6A5F" w:rsidRPr="00DE03CC" w:rsidRDefault="005E6A5F" w:rsidP="005E6A5F">
      <w:pPr>
        <w:pStyle w:val="Bibliografia"/>
        <w:rPr>
          <w:rFonts w:ascii="Times New Roman" w:hAnsi="Times New Roman" w:cs="Times New Roman"/>
          <w:sz w:val="16"/>
          <w:lang w:val="en-US"/>
        </w:rPr>
      </w:pPr>
      <w:proofErr w:type="spellStart"/>
      <w:r w:rsidRPr="00DE03CC">
        <w:rPr>
          <w:rFonts w:ascii="Times New Roman" w:hAnsi="Times New Roman" w:cs="Times New Roman"/>
          <w:sz w:val="16"/>
          <w:lang w:val="en-US"/>
        </w:rPr>
        <w:t>Tseronis</w:t>
      </w:r>
      <w:proofErr w:type="spellEnd"/>
      <w:r w:rsidRPr="00DE03CC">
        <w:rPr>
          <w:rFonts w:ascii="Times New Roman" w:hAnsi="Times New Roman" w:cs="Times New Roman"/>
          <w:sz w:val="16"/>
          <w:lang w:val="en-US"/>
        </w:rPr>
        <w:t xml:space="preserve">, K., I.S. </w:t>
      </w:r>
      <w:proofErr w:type="spellStart"/>
      <w:r w:rsidRPr="00DE03CC">
        <w:rPr>
          <w:rFonts w:ascii="Times New Roman" w:hAnsi="Times New Roman" w:cs="Times New Roman"/>
          <w:sz w:val="16"/>
          <w:lang w:val="en-US"/>
        </w:rPr>
        <w:t>Fragkopoulos</w:t>
      </w:r>
      <w:proofErr w:type="spellEnd"/>
      <w:r w:rsidRPr="00DE03CC">
        <w:rPr>
          <w:rFonts w:ascii="Times New Roman" w:hAnsi="Times New Roman" w:cs="Times New Roman"/>
          <w:sz w:val="16"/>
          <w:lang w:val="en-US"/>
        </w:rPr>
        <w:t xml:space="preserve">, I. </w:t>
      </w:r>
      <w:proofErr w:type="spellStart"/>
      <w:r w:rsidRPr="00DE03CC">
        <w:rPr>
          <w:rFonts w:ascii="Times New Roman" w:hAnsi="Times New Roman" w:cs="Times New Roman"/>
          <w:sz w:val="16"/>
          <w:lang w:val="en-US"/>
        </w:rPr>
        <w:t>Bonis</w:t>
      </w:r>
      <w:proofErr w:type="spellEnd"/>
      <w:r w:rsidRPr="00DE03CC">
        <w:rPr>
          <w:rFonts w:ascii="Times New Roman" w:hAnsi="Times New Roman" w:cs="Times New Roman"/>
          <w:sz w:val="16"/>
          <w:lang w:val="en-US"/>
        </w:rPr>
        <w:t xml:space="preserve">, and C. </w:t>
      </w:r>
      <w:proofErr w:type="spellStart"/>
      <w:r w:rsidRPr="00DE03CC">
        <w:rPr>
          <w:rFonts w:ascii="Times New Roman" w:hAnsi="Times New Roman" w:cs="Times New Roman"/>
          <w:sz w:val="16"/>
          <w:lang w:val="en-US"/>
        </w:rPr>
        <w:t>Theodoropoulos</w:t>
      </w:r>
      <w:proofErr w:type="spellEnd"/>
      <w:r w:rsidRPr="00DE03CC">
        <w:rPr>
          <w:rFonts w:ascii="Times New Roman" w:hAnsi="Times New Roman" w:cs="Times New Roman"/>
          <w:sz w:val="16"/>
          <w:lang w:val="en-US"/>
        </w:rPr>
        <w:t xml:space="preserve">. 2016. ‘Detailed Multi-Dimensional Modeling of Direct Internal Reforming Solid Oxide Fuel Cells’. </w:t>
      </w:r>
      <w:r w:rsidRPr="00DE03CC">
        <w:rPr>
          <w:rFonts w:ascii="Times New Roman" w:hAnsi="Times New Roman" w:cs="Times New Roman"/>
          <w:i/>
          <w:iCs/>
          <w:sz w:val="16"/>
          <w:lang w:val="en-US"/>
        </w:rPr>
        <w:t>Fuel Cells</w:t>
      </w:r>
      <w:r w:rsidRPr="00DE03CC">
        <w:rPr>
          <w:rFonts w:ascii="Times New Roman" w:hAnsi="Times New Roman" w:cs="Times New Roman"/>
          <w:sz w:val="16"/>
          <w:lang w:val="en-US"/>
        </w:rPr>
        <w:t xml:space="preserve"> 16 (3): 294–312. https://doi.org/10.1002/fuce.201500113.</w:t>
      </w:r>
    </w:p>
    <w:p w14:paraId="6516E93B" w14:textId="77777777" w:rsidR="005E6A5F" w:rsidRPr="00621706" w:rsidRDefault="005E6A5F" w:rsidP="005E6A5F">
      <w:pPr>
        <w:pStyle w:val="Bibliografia"/>
        <w:rPr>
          <w:rFonts w:ascii="Times New Roman" w:hAnsi="Times New Roman" w:cs="Times New Roman"/>
          <w:sz w:val="16"/>
        </w:rPr>
      </w:pPr>
      <w:proofErr w:type="spellStart"/>
      <w:r w:rsidRPr="00DE03CC">
        <w:rPr>
          <w:rFonts w:ascii="Times New Roman" w:hAnsi="Times New Roman" w:cs="Times New Roman"/>
          <w:sz w:val="16"/>
          <w:lang w:val="en-US"/>
        </w:rPr>
        <w:t>Tseronis</w:t>
      </w:r>
      <w:proofErr w:type="spellEnd"/>
      <w:r w:rsidRPr="00DE03CC">
        <w:rPr>
          <w:rFonts w:ascii="Times New Roman" w:hAnsi="Times New Roman" w:cs="Times New Roman"/>
          <w:sz w:val="16"/>
          <w:lang w:val="en-US"/>
        </w:rPr>
        <w:t xml:space="preserve">, K., I.K. </w:t>
      </w:r>
      <w:proofErr w:type="spellStart"/>
      <w:r w:rsidRPr="00DE03CC">
        <w:rPr>
          <w:rFonts w:ascii="Times New Roman" w:hAnsi="Times New Roman" w:cs="Times New Roman"/>
          <w:sz w:val="16"/>
          <w:lang w:val="en-US"/>
        </w:rPr>
        <w:t>Kookos</w:t>
      </w:r>
      <w:proofErr w:type="spellEnd"/>
      <w:r w:rsidRPr="00DE03CC">
        <w:rPr>
          <w:rFonts w:ascii="Times New Roman" w:hAnsi="Times New Roman" w:cs="Times New Roman"/>
          <w:sz w:val="16"/>
          <w:lang w:val="en-US"/>
        </w:rPr>
        <w:t xml:space="preserve">, and C. </w:t>
      </w:r>
      <w:proofErr w:type="spellStart"/>
      <w:r w:rsidRPr="00DE03CC">
        <w:rPr>
          <w:rFonts w:ascii="Times New Roman" w:hAnsi="Times New Roman" w:cs="Times New Roman"/>
          <w:sz w:val="16"/>
          <w:lang w:val="en-US"/>
        </w:rPr>
        <w:t>Theodoropoulos</w:t>
      </w:r>
      <w:proofErr w:type="spellEnd"/>
      <w:r w:rsidRPr="00DE03CC">
        <w:rPr>
          <w:rFonts w:ascii="Times New Roman" w:hAnsi="Times New Roman" w:cs="Times New Roman"/>
          <w:sz w:val="16"/>
          <w:lang w:val="en-US"/>
        </w:rPr>
        <w:t xml:space="preserve">. 2008. ‘Modelling Mass Transport in Solid Oxide Fuel Cell Anodes: A Case for a Multidimensional Dusty Gas-Based Model’. </w:t>
      </w:r>
      <w:r w:rsidRPr="00621706">
        <w:rPr>
          <w:rFonts w:ascii="Times New Roman" w:hAnsi="Times New Roman" w:cs="Times New Roman"/>
          <w:i/>
          <w:iCs/>
          <w:sz w:val="16"/>
        </w:rPr>
        <w:t>Chemical Engineering Science</w:t>
      </w:r>
      <w:r w:rsidRPr="00621706">
        <w:rPr>
          <w:rFonts w:ascii="Times New Roman" w:hAnsi="Times New Roman" w:cs="Times New Roman"/>
          <w:sz w:val="16"/>
        </w:rPr>
        <w:t xml:space="preserve"> 63 (23): 5626–38. https://doi.org/10.1016/j.ces.2008.07.037.</w:t>
      </w:r>
    </w:p>
    <w:p w14:paraId="4C6F98F5" w14:textId="0AF9A2D8" w:rsidR="007F6408" w:rsidRPr="007F6408" w:rsidRDefault="007F6408" w:rsidP="00DE03CC">
      <w:pPr>
        <w:pStyle w:val="Bibliografia"/>
      </w:pPr>
      <w:r w:rsidRPr="00621706">
        <w:rPr>
          <w:sz w:val="16"/>
          <w:szCs w:val="16"/>
        </w:rPr>
        <w:fldChar w:fldCharType="end"/>
      </w:r>
    </w:p>
    <w:sectPr w:rsidR="007F6408" w:rsidRPr="007F6408" w:rsidSect="008B1048">
      <w:headerReference w:type="even" r:id="rId13"/>
      <w:headerReference w:type="default" r:id="rId14"/>
      <w:headerReference w:type="first" r:id="rId15"/>
      <w:type w:val="continuous"/>
      <w:pgSz w:w="11906" w:h="16838" w:code="9"/>
      <w:pgMar w:top="2268" w:right="2268" w:bottom="2835" w:left="2268" w:header="1701" w:footer="2892" w:gutter="0"/>
      <w:cols w:space="720" w:equalWidth="0">
        <w:col w:w="722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E8F32" w14:textId="77777777" w:rsidR="007218B4" w:rsidRDefault="007218B4">
      <w:r>
        <w:separator/>
      </w:r>
    </w:p>
  </w:endnote>
  <w:endnote w:type="continuationSeparator" w:id="0">
    <w:p w14:paraId="2077A5E9" w14:textId="77777777" w:rsidR="007218B4" w:rsidRDefault="0072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B198A" w14:textId="77777777" w:rsidR="007218B4" w:rsidRDefault="007218B4">
      <w:r>
        <w:separator/>
      </w:r>
    </w:p>
  </w:footnote>
  <w:footnote w:type="continuationSeparator" w:id="0">
    <w:p w14:paraId="04B0CB3C" w14:textId="77777777" w:rsidR="007218B4" w:rsidRDefault="0072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7F6E" w14:textId="402475CC" w:rsidR="00DD3D9E" w:rsidRDefault="00DD3D9E">
    <w:pPr>
      <w:pStyle w:val="Intestazione"/>
      <w:tabs>
        <w:tab w:val="clear" w:pos="7200"/>
        <w:tab w:val="right" w:pos="7088"/>
      </w:tabs>
    </w:pPr>
    <w:r>
      <w:rPr>
        <w:rStyle w:val="Numeropagina"/>
      </w:rPr>
      <w:tab/>
    </w:r>
    <w:r>
      <w:rPr>
        <w:rStyle w:val="Numeropagina"/>
        <w:i/>
      </w:rPr>
      <w:tab/>
    </w:r>
    <w:r w:rsidR="007B0D7C">
      <w:rPr>
        <w:i/>
      </w:rPr>
      <w:fldChar w:fldCharType="begin"/>
    </w:r>
    <w:r w:rsidR="007B0D7C">
      <w:rPr>
        <w:i/>
      </w:rPr>
      <w:instrText xml:space="preserve"> MACROBUTTON  AcceptAllChangesInDocAndStopTracking "H.R. Abbasi et al." </w:instrText>
    </w:r>
    <w:r w:rsidR="007B0D7C">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2004" w14:textId="5BA7E727" w:rsidR="00DD3D9E" w:rsidRDefault="00A214E2">
    <w:pPr>
      <w:pStyle w:val="Intestazione"/>
      <w:tabs>
        <w:tab w:val="clear" w:pos="7200"/>
        <w:tab w:val="right" w:pos="7088"/>
      </w:tabs>
      <w:jc w:val="right"/>
      <w:rPr>
        <w:sz w:val="24"/>
      </w:rPr>
    </w:pPr>
    <w:r>
      <w:rPr>
        <w:i/>
      </w:rPr>
      <w:fldChar w:fldCharType="begin"/>
    </w:r>
    <w:r>
      <w:rPr>
        <w:i/>
      </w:rPr>
      <w:instrText xml:space="preserve"> MACROBUTTON  AcceptAllChangesInDocAndStopTracking "Multi-scale model of solid oxide fuel cell ..." </w:instrText>
    </w:r>
    <w:r>
      <w:rPr>
        <w:i/>
      </w:rPr>
      <w:fldChar w:fldCharType="end"/>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C74A" w14:textId="77777777" w:rsidR="00D80969" w:rsidRDefault="00D80969" w:rsidP="00D80969">
    <w:pPr>
      <w:pStyle w:val="Intestazione"/>
      <w:rPr>
        <w:rFonts w:eastAsiaTheme="minorHAnsi"/>
        <w:sz w:val="18"/>
        <w:szCs w:val="18"/>
      </w:rPr>
    </w:pPr>
    <w:r w:rsidRPr="00D80969">
      <w:rPr>
        <w:rFonts w:eastAsiaTheme="minorHAnsi"/>
        <w:sz w:val="18"/>
        <w:szCs w:val="18"/>
      </w:rPr>
      <w:t xml:space="preserve">Flavio Manenti, Gintaras V. Reklaitis (Eds.), Proceedings of the 34th European Symposium on Computer Aided Process Engineering / 15th International Symposium on Process Systems Engineering (ESCAPE34/PSE24), June 2-6, 2024, Florence, Italy </w:t>
    </w:r>
  </w:p>
  <w:p w14:paraId="2AF91A35" w14:textId="4B482B23" w:rsidR="00DD3D9E" w:rsidRPr="00D80969" w:rsidRDefault="00D80969" w:rsidP="00D80969">
    <w:pPr>
      <w:pStyle w:val="Intestazione"/>
    </w:pPr>
    <w:r w:rsidRPr="00D80969">
      <w:rPr>
        <w:rFonts w:eastAsiaTheme="minorHAnsi"/>
        <w:sz w:val="18"/>
        <w:szCs w:val="18"/>
      </w:rPr>
      <w:t>© 2024 Elsevier B.V. 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3"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0"/>
  </w:num>
  <w:num w:numId="3">
    <w:abstractNumId w:val="10"/>
  </w:num>
  <w:num w:numId="4">
    <w:abstractNumId w:val="10"/>
  </w:num>
  <w:num w:numId="5">
    <w:abstractNumId w:val="0"/>
  </w:num>
  <w:num w:numId="6">
    <w:abstractNumId w:val="6"/>
  </w:num>
  <w:num w:numId="7">
    <w:abstractNumId w:val="11"/>
  </w:num>
  <w:num w:numId="8">
    <w:abstractNumId w:val="1"/>
  </w:num>
  <w:num w:numId="9">
    <w:abstractNumId w:val="9"/>
  </w:num>
  <w:num w:numId="10">
    <w:abstractNumId w:val="13"/>
  </w:num>
  <w:num w:numId="11">
    <w:abstractNumId w:val="12"/>
  </w:num>
  <w:num w:numId="12">
    <w:abstractNumId w:val="5"/>
  </w:num>
  <w:num w:numId="13">
    <w:abstractNumId w:val="8"/>
  </w:num>
  <w:num w:numId="14">
    <w:abstractNumId w:val="2"/>
  </w:num>
  <w:num w:numId="15">
    <w:abstractNumId w:val="7"/>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ECE"/>
    <w:rsid w:val="00003F21"/>
    <w:rsid w:val="00005E76"/>
    <w:rsid w:val="00010856"/>
    <w:rsid w:val="000125F6"/>
    <w:rsid w:val="000154A5"/>
    <w:rsid w:val="00015DAF"/>
    <w:rsid w:val="00016601"/>
    <w:rsid w:val="00016CBC"/>
    <w:rsid w:val="00022C34"/>
    <w:rsid w:val="0002320A"/>
    <w:rsid w:val="000264F7"/>
    <w:rsid w:val="0003614E"/>
    <w:rsid w:val="00040A5D"/>
    <w:rsid w:val="00040D61"/>
    <w:rsid w:val="00040FAB"/>
    <w:rsid w:val="00041425"/>
    <w:rsid w:val="00042514"/>
    <w:rsid w:val="00044250"/>
    <w:rsid w:val="0005116C"/>
    <w:rsid w:val="00052AB9"/>
    <w:rsid w:val="000577E5"/>
    <w:rsid w:val="00057FB7"/>
    <w:rsid w:val="00067EB6"/>
    <w:rsid w:val="0007032E"/>
    <w:rsid w:val="00071542"/>
    <w:rsid w:val="00072EBB"/>
    <w:rsid w:val="000739F6"/>
    <w:rsid w:val="00073E68"/>
    <w:rsid w:val="00074D3F"/>
    <w:rsid w:val="00077D20"/>
    <w:rsid w:val="0008069A"/>
    <w:rsid w:val="00082E8D"/>
    <w:rsid w:val="0009204B"/>
    <w:rsid w:val="000930CD"/>
    <w:rsid w:val="0009315E"/>
    <w:rsid w:val="0009362A"/>
    <w:rsid w:val="00093D7A"/>
    <w:rsid w:val="000A1FC4"/>
    <w:rsid w:val="000A4EBB"/>
    <w:rsid w:val="000A65F7"/>
    <w:rsid w:val="000A67F2"/>
    <w:rsid w:val="000A6952"/>
    <w:rsid w:val="000B005B"/>
    <w:rsid w:val="000B03B5"/>
    <w:rsid w:val="000B17B0"/>
    <w:rsid w:val="000C00F1"/>
    <w:rsid w:val="000C26DD"/>
    <w:rsid w:val="000C7194"/>
    <w:rsid w:val="000D0F11"/>
    <w:rsid w:val="000D3D9B"/>
    <w:rsid w:val="000D5C98"/>
    <w:rsid w:val="000E1DFE"/>
    <w:rsid w:val="000E20F6"/>
    <w:rsid w:val="000E39C3"/>
    <w:rsid w:val="000E6ED6"/>
    <w:rsid w:val="000E7C5C"/>
    <w:rsid w:val="000E7DD3"/>
    <w:rsid w:val="000F32DF"/>
    <w:rsid w:val="000F33CB"/>
    <w:rsid w:val="000F4577"/>
    <w:rsid w:val="000F52F1"/>
    <w:rsid w:val="00102236"/>
    <w:rsid w:val="00106D55"/>
    <w:rsid w:val="001122D0"/>
    <w:rsid w:val="00112954"/>
    <w:rsid w:val="00114EE6"/>
    <w:rsid w:val="00122B0C"/>
    <w:rsid w:val="00122F41"/>
    <w:rsid w:val="0012441A"/>
    <w:rsid w:val="001266E7"/>
    <w:rsid w:val="00130849"/>
    <w:rsid w:val="001328BA"/>
    <w:rsid w:val="001348FA"/>
    <w:rsid w:val="00137352"/>
    <w:rsid w:val="00142C21"/>
    <w:rsid w:val="00143623"/>
    <w:rsid w:val="00145655"/>
    <w:rsid w:val="001523AD"/>
    <w:rsid w:val="00152425"/>
    <w:rsid w:val="00154C1E"/>
    <w:rsid w:val="00155961"/>
    <w:rsid w:val="001562AF"/>
    <w:rsid w:val="00160FED"/>
    <w:rsid w:val="001631D2"/>
    <w:rsid w:val="001667BC"/>
    <w:rsid w:val="00171429"/>
    <w:rsid w:val="00175483"/>
    <w:rsid w:val="00176EF5"/>
    <w:rsid w:val="00180CE2"/>
    <w:rsid w:val="00182E92"/>
    <w:rsid w:val="00183B22"/>
    <w:rsid w:val="001857C9"/>
    <w:rsid w:val="001879F6"/>
    <w:rsid w:val="00191819"/>
    <w:rsid w:val="00192B23"/>
    <w:rsid w:val="00197429"/>
    <w:rsid w:val="001A00A8"/>
    <w:rsid w:val="001A10EF"/>
    <w:rsid w:val="001A183C"/>
    <w:rsid w:val="001A34F8"/>
    <w:rsid w:val="001A58E9"/>
    <w:rsid w:val="001A7326"/>
    <w:rsid w:val="001B1951"/>
    <w:rsid w:val="001B6179"/>
    <w:rsid w:val="001B62DC"/>
    <w:rsid w:val="001B6438"/>
    <w:rsid w:val="001C43FD"/>
    <w:rsid w:val="001C757E"/>
    <w:rsid w:val="001C7FF4"/>
    <w:rsid w:val="001D0066"/>
    <w:rsid w:val="001D1B16"/>
    <w:rsid w:val="001D261F"/>
    <w:rsid w:val="001D346D"/>
    <w:rsid w:val="001E0FD9"/>
    <w:rsid w:val="001E11A3"/>
    <w:rsid w:val="001E6A29"/>
    <w:rsid w:val="001F0A37"/>
    <w:rsid w:val="001F1002"/>
    <w:rsid w:val="001F1DC0"/>
    <w:rsid w:val="001F23E3"/>
    <w:rsid w:val="001F28FE"/>
    <w:rsid w:val="001F43CE"/>
    <w:rsid w:val="00202BCA"/>
    <w:rsid w:val="0020320D"/>
    <w:rsid w:val="00204EC9"/>
    <w:rsid w:val="00206E04"/>
    <w:rsid w:val="002163B3"/>
    <w:rsid w:val="002306AF"/>
    <w:rsid w:val="0023520D"/>
    <w:rsid w:val="00235F63"/>
    <w:rsid w:val="002415A0"/>
    <w:rsid w:val="00241803"/>
    <w:rsid w:val="00241A04"/>
    <w:rsid w:val="00242027"/>
    <w:rsid w:val="0024533C"/>
    <w:rsid w:val="00246C79"/>
    <w:rsid w:val="00246F4C"/>
    <w:rsid w:val="00247821"/>
    <w:rsid w:val="002479EC"/>
    <w:rsid w:val="00260313"/>
    <w:rsid w:val="0026068E"/>
    <w:rsid w:val="0026105B"/>
    <w:rsid w:val="00262498"/>
    <w:rsid w:val="00264926"/>
    <w:rsid w:val="00265F7D"/>
    <w:rsid w:val="0027335E"/>
    <w:rsid w:val="00277668"/>
    <w:rsid w:val="00283C55"/>
    <w:rsid w:val="00284973"/>
    <w:rsid w:val="00285573"/>
    <w:rsid w:val="00285C27"/>
    <w:rsid w:val="00290D52"/>
    <w:rsid w:val="002936F9"/>
    <w:rsid w:val="002A18CF"/>
    <w:rsid w:val="002B11D2"/>
    <w:rsid w:val="002B2B92"/>
    <w:rsid w:val="002B36FC"/>
    <w:rsid w:val="002B5EB0"/>
    <w:rsid w:val="002B6D02"/>
    <w:rsid w:val="002B7FBB"/>
    <w:rsid w:val="002C03D8"/>
    <w:rsid w:val="002C12E9"/>
    <w:rsid w:val="002C24DF"/>
    <w:rsid w:val="002C2C43"/>
    <w:rsid w:val="002D03C0"/>
    <w:rsid w:val="002D369E"/>
    <w:rsid w:val="002D3C78"/>
    <w:rsid w:val="002D4D4C"/>
    <w:rsid w:val="002D6CB1"/>
    <w:rsid w:val="002E1726"/>
    <w:rsid w:val="002E4E98"/>
    <w:rsid w:val="002E5F74"/>
    <w:rsid w:val="002E73C7"/>
    <w:rsid w:val="002F32E2"/>
    <w:rsid w:val="002F6105"/>
    <w:rsid w:val="002F6D3B"/>
    <w:rsid w:val="0030052B"/>
    <w:rsid w:val="00300612"/>
    <w:rsid w:val="003014EF"/>
    <w:rsid w:val="00304FCD"/>
    <w:rsid w:val="00311167"/>
    <w:rsid w:val="00311850"/>
    <w:rsid w:val="0031249C"/>
    <w:rsid w:val="0031334C"/>
    <w:rsid w:val="00316178"/>
    <w:rsid w:val="00317748"/>
    <w:rsid w:val="00321232"/>
    <w:rsid w:val="00321607"/>
    <w:rsid w:val="00321B12"/>
    <w:rsid w:val="00322A22"/>
    <w:rsid w:val="003273E9"/>
    <w:rsid w:val="003277CC"/>
    <w:rsid w:val="00331DE6"/>
    <w:rsid w:val="00334B61"/>
    <w:rsid w:val="00341CB9"/>
    <w:rsid w:val="003462C1"/>
    <w:rsid w:val="003470A2"/>
    <w:rsid w:val="0035058B"/>
    <w:rsid w:val="00351004"/>
    <w:rsid w:val="00354721"/>
    <w:rsid w:val="00354828"/>
    <w:rsid w:val="00360525"/>
    <w:rsid w:val="00366BCD"/>
    <w:rsid w:val="00370754"/>
    <w:rsid w:val="003721D7"/>
    <w:rsid w:val="003737F8"/>
    <w:rsid w:val="00377C1E"/>
    <w:rsid w:val="0038371B"/>
    <w:rsid w:val="00385F56"/>
    <w:rsid w:val="003874F0"/>
    <w:rsid w:val="00390A26"/>
    <w:rsid w:val="00391C26"/>
    <w:rsid w:val="00391D48"/>
    <w:rsid w:val="0039775D"/>
    <w:rsid w:val="003A0598"/>
    <w:rsid w:val="003A1616"/>
    <w:rsid w:val="003A3F9B"/>
    <w:rsid w:val="003A46E9"/>
    <w:rsid w:val="003A4B45"/>
    <w:rsid w:val="003A5683"/>
    <w:rsid w:val="003B1595"/>
    <w:rsid w:val="003B7200"/>
    <w:rsid w:val="003C0F41"/>
    <w:rsid w:val="003C308D"/>
    <w:rsid w:val="003C3265"/>
    <w:rsid w:val="003C5E6A"/>
    <w:rsid w:val="003C6568"/>
    <w:rsid w:val="003D0809"/>
    <w:rsid w:val="003D16E5"/>
    <w:rsid w:val="003D185A"/>
    <w:rsid w:val="003D2AE1"/>
    <w:rsid w:val="003D3495"/>
    <w:rsid w:val="003D52C5"/>
    <w:rsid w:val="003D5B7F"/>
    <w:rsid w:val="003D6641"/>
    <w:rsid w:val="003D746B"/>
    <w:rsid w:val="003D7811"/>
    <w:rsid w:val="003D7E4C"/>
    <w:rsid w:val="003D7F8D"/>
    <w:rsid w:val="003E41C2"/>
    <w:rsid w:val="003F1E55"/>
    <w:rsid w:val="003F2791"/>
    <w:rsid w:val="003F5BDA"/>
    <w:rsid w:val="003F5DE0"/>
    <w:rsid w:val="003F5E83"/>
    <w:rsid w:val="00403ED5"/>
    <w:rsid w:val="00406F82"/>
    <w:rsid w:val="00413A5D"/>
    <w:rsid w:val="004163A9"/>
    <w:rsid w:val="0042006C"/>
    <w:rsid w:val="004214A0"/>
    <w:rsid w:val="00421C7A"/>
    <w:rsid w:val="004229BA"/>
    <w:rsid w:val="00423A92"/>
    <w:rsid w:val="00423EED"/>
    <w:rsid w:val="00424F12"/>
    <w:rsid w:val="00432425"/>
    <w:rsid w:val="00434C60"/>
    <w:rsid w:val="00457E8C"/>
    <w:rsid w:val="00462554"/>
    <w:rsid w:val="004663EE"/>
    <w:rsid w:val="004706A4"/>
    <w:rsid w:val="00472A15"/>
    <w:rsid w:val="0047534E"/>
    <w:rsid w:val="00475AEE"/>
    <w:rsid w:val="004814F7"/>
    <w:rsid w:val="00482613"/>
    <w:rsid w:val="00490F5E"/>
    <w:rsid w:val="004921AC"/>
    <w:rsid w:val="0049278F"/>
    <w:rsid w:val="004A3A33"/>
    <w:rsid w:val="004A6D34"/>
    <w:rsid w:val="004A7290"/>
    <w:rsid w:val="004B4845"/>
    <w:rsid w:val="004B577C"/>
    <w:rsid w:val="004B6150"/>
    <w:rsid w:val="004B644B"/>
    <w:rsid w:val="004C3ABF"/>
    <w:rsid w:val="004C4381"/>
    <w:rsid w:val="004C5887"/>
    <w:rsid w:val="004D1F63"/>
    <w:rsid w:val="004D34D9"/>
    <w:rsid w:val="004D3B87"/>
    <w:rsid w:val="004D4BBE"/>
    <w:rsid w:val="004D7ECF"/>
    <w:rsid w:val="004E15A2"/>
    <w:rsid w:val="004E1ED2"/>
    <w:rsid w:val="004E2EE1"/>
    <w:rsid w:val="004E460E"/>
    <w:rsid w:val="004F3732"/>
    <w:rsid w:val="004F4E04"/>
    <w:rsid w:val="00500A47"/>
    <w:rsid w:val="00501834"/>
    <w:rsid w:val="00501AFA"/>
    <w:rsid w:val="0050411D"/>
    <w:rsid w:val="00505240"/>
    <w:rsid w:val="00505352"/>
    <w:rsid w:val="0051294F"/>
    <w:rsid w:val="00514266"/>
    <w:rsid w:val="00520AD8"/>
    <w:rsid w:val="00521F70"/>
    <w:rsid w:val="0052331B"/>
    <w:rsid w:val="00525F62"/>
    <w:rsid w:val="0053190C"/>
    <w:rsid w:val="0053577D"/>
    <w:rsid w:val="00535C13"/>
    <w:rsid w:val="0053637D"/>
    <w:rsid w:val="00543DD9"/>
    <w:rsid w:val="00545368"/>
    <w:rsid w:val="00550ADF"/>
    <w:rsid w:val="00552EEB"/>
    <w:rsid w:val="005536EA"/>
    <w:rsid w:val="00554699"/>
    <w:rsid w:val="0055601B"/>
    <w:rsid w:val="0055695C"/>
    <w:rsid w:val="00560C11"/>
    <w:rsid w:val="00563C3C"/>
    <w:rsid w:val="00564829"/>
    <w:rsid w:val="00564C57"/>
    <w:rsid w:val="00565D5D"/>
    <w:rsid w:val="00566368"/>
    <w:rsid w:val="00567EE1"/>
    <w:rsid w:val="00570564"/>
    <w:rsid w:val="00572A91"/>
    <w:rsid w:val="00573DDD"/>
    <w:rsid w:val="00574E6E"/>
    <w:rsid w:val="00576808"/>
    <w:rsid w:val="005812DD"/>
    <w:rsid w:val="00581C2F"/>
    <w:rsid w:val="005828D2"/>
    <w:rsid w:val="0059280B"/>
    <w:rsid w:val="00593AA4"/>
    <w:rsid w:val="005A2577"/>
    <w:rsid w:val="005A3B6C"/>
    <w:rsid w:val="005A508A"/>
    <w:rsid w:val="005A698B"/>
    <w:rsid w:val="005A7F80"/>
    <w:rsid w:val="005B2E11"/>
    <w:rsid w:val="005B381A"/>
    <w:rsid w:val="005B3D2E"/>
    <w:rsid w:val="005B4658"/>
    <w:rsid w:val="005B72D5"/>
    <w:rsid w:val="005B73C3"/>
    <w:rsid w:val="005C0D42"/>
    <w:rsid w:val="005C12DD"/>
    <w:rsid w:val="005C4BCF"/>
    <w:rsid w:val="005C6ABC"/>
    <w:rsid w:val="005C71C9"/>
    <w:rsid w:val="005D1465"/>
    <w:rsid w:val="005D316C"/>
    <w:rsid w:val="005D74AE"/>
    <w:rsid w:val="005D7A8F"/>
    <w:rsid w:val="005E0009"/>
    <w:rsid w:val="005E1E3E"/>
    <w:rsid w:val="005E3942"/>
    <w:rsid w:val="005E65C0"/>
    <w:rsid w:val="005E6A5F"/>
    <w:rsid w:val="005F17DA"/>
    <w:rsid w:val="005F1C71"/>
    <w:rsid w:val="006013F1"/>
    <w:rsid w:val="00601909"/>
    <w:rsid w:val="00604176"/>
    <w:rsid w:val="00605956"/>
    <w:rsid w:val="00605D27"/>
    <w:rsid w:val="006074F9"/>
    <w:rsid w:val="00611E26"/>
    <w:rsid w:val="006126DB"/>
    <w:rsid w:val="00620E25"/>
    <w:rsid w:val="00621706"/>
    <w:rsid w:val="00631318"/>
    <w:rsid w:val="00633410"/>
    <w:rsid w:val="00634583"/>
    <w:rsid w:val="0063729A"/>
    <w:rsid w:val="006376F5"/>
    <w:rsid w:val="0064593D"/>
    <w:rsid w:val="00650D43"/>
    <w:rsid w:val="00651D7E"/>
    <w:rsid w:val="00653585"/>
    <w:rsid w:val="006567ED"/>
    <w:rsid w:val="006606CE"/>
    <w:rsid w:val="00661602"/>
    <w:rsid w:val="00665840"/>
    <w:rsid w:val="006668D5"/>
    <w:rsid w:val="00667CCA"/>
    <w:rsid w:val="00670BBD"/>
    <w:rsid w:val="0067523A"/>
    <w:rsid w:val="00675B95"/>
    <w:rsid w:val="00677812"/>
    <w:rsid w:val="00680424"/>
    <w:rsid w:val="006821CE"/>
    <w:rsid w:val="00684389"/>
    <w:rsid w:val="006846B2"/>
    <w:rsid w:val="00684E7E"/>
    <w:rsid w:val="0069059F"/>
    <w:rsid w:val="00690993"/>
    <w:rsid w:val="00691AC7"/>
    <w:rsid w:val="0069467E"/>
    <w:rsid w:val="00694F7D"/>
    <w:rsid w:val="006A0751"/>
    <w:rsid w:val="006A198D"/>
    <w:rsid w:val="006A4E81"/>
    <w:rsid w:val="006A5255"/>
    <w:rsid w:val="006A69BF"/>
    <w:rsid w:val="006A790E"/>
    <w:rsid w:val="006A7BF6"/>
    <w:rsid w:val="006B03DE"/>
    <w:rsid w:val="006B5455"/>
    <w:rsid w:val="006C66D5"/>
    <w:rsid w:val="006D39F7"/>
    <w:rsid w:val="006D49C2"/>
    <w:rsid w:val="006D588B"/>
    <w:rsid w:val="006D5ACD"/>
    <w:rsid w:val="006E1333"/>
    <w:rsid w:val="006E390B"/>
    <w:rsid w:val="006F5B38"/>
    <w:rsid w:val="00701531"/>
    <w:rsid w:val="00703961"/>
    <w:rsid w:val="007075B5"/>
    <w:rsid w:val="00711065"/>
    <w:rsid w:val="00714561"/>
    <w:rsid w:val="007147E5"/>
    <w:rsid w:val="007218B4"/>
    <w:rsid w:val="00723666"/>
    <w:rsid w:val="00730420"/>
    <w:rsid w:val="00743022"/>
    <w:rsid w:val="00744819"/>
    <w:rsid w:val="007464E2"/>
    <w:rsid w:val="007559EB"/>
    <w:rsid w:val="0076513F"/>
    <w:rsid w:val="007669D8"/>
    <w:rsid w:val="007674E9"/>
    <w:rsid w:val="007748B9"/>
    <w:rsid w:val="00781A95"/>
    <w:rsid w:val="00782343"/>
    <w:rsid w:val="00782983"/>
    <w:rsid w:val="00782C28"/>
    <w:rsid w:val="00783C6C"/>
    <w:rsid w:val="00784B67"/>
    <w:rsid w:val="00786917"/>
    <w:rsid w:val="00787221"/>
    <w:rsid w:val="00797785"/>
    <w:rsid w:val="007A16DD"/>
    <w:rsid w:val="007A3DAB"/>
    <w:rsid w:val="007B0670"/>
    <w:rsid w:val="007B0D7C"/>
    <w:rsid w:val="007B44B6"/>
    <w:rsid w:val="007B6DF7"/>
    <w:rsid w:val="007C1408"/>
    <w:rsid w:val="007C3081"/>
    <w:rsid w:val="007C3C11"/>
    <w:rsid w:val="007C47F5"/>
    <w:rsid w:val="007C604F"/>
    <w:rsid w:val="007C61AE"/>
    <w:rsid w:val="007E398D"/>
    <w:rsid w:val="007E5892"/>
    <w:rsid w:val="007E785F"/>
    <w:rsid w:val="007F1D96"/>
    <w:rsid w:val="007F356A"/>
    <w:rsid w:val="007F39DF"/>
    <w:rsid w:val="007F3A3F"/>
    <w:rsid w:val="007F4B84"/>
    <w:rsid w:val="007F543F"/>
    <w:rsid w:val="007F6408"/>
    <w:rsid w:val="007F6C4D"/>
    <w:rsid w:val="00800447"/>
    <w:rsid w:val="00800C25"/>
    <w:rsid w:val="008028C2"/>
    <w:rsid w:val="00807C75"/>
    <w:rsid w:val="00811AF0"/>
    <w:rsid w:val="008132E8"/>
    <w:rsid w:val="00814CE4"/>
    <w:rsid w:val="00815B5B"/>
    <w:rsid w:val="0081621A"/>
    <w:rsid w:val="00817280"/>
    <w:rsid w:val="00822B7D"/>
    <w:rsid w:val="00823407"/>
    <w:rsid w:val="00823D8F"/>
    <w:rsid w:val="00825D33"/>
    <w:rsid w:val="00826530"/>
    <w:rsid w:val="0082659D"/>
    <w:rsid w:val="00827F25"/>
    <w:rsid w:val="00833C6D"/>
    <w:rsid w:val="00836F72"/>
    <w:rsid w:val="008409F7"/>
    <w:rsid w:val="00842C04"/>
    <w:rsid w:val="0084528C"/>
    <w:rsid w:val="00846FA7"/>
    <w:rsid w:val="008474B5"/>
    <w:rsid w:val="0085315F"/>
    <w:rsid w:val="008551CC"/>
    <w:rsid w:val="00856E86"/>
    <w:rsid w:val="008578B7"/>
    <w:rsid w:val="00860C80"/>
    <w:rsid w:val="00864F04"/>
    <w:rsid w:val="00873C47"/>
    <w:rsid w:val="00880CF1"/>
    <w:rsid w:val="00881D42"/>
    <w:rsid w:val="00881DA6"/>
    <w:rsid w:val="00881EA1"/>
    <w:rsid w:val="008825F6"/>
    <w:rsid w:val="00887A97"/>
    <w:rsid w:val="00887BA8"/>
    <w:rsid w:val="00890DDD"/>
    <w:rsid w:val="00892356"/>
    <w:rsid w:val="00893F2C"/>
    <w:rsid w:val="00894F7C"/>
    <w:rsid w:val="008A040C"/>
    <w:rsid w:val="008A20E9"/>
    <w:rsid w:val="008B0184"/>
    <w:rsid w:val="008B1048"/>
    <w:rsid w:val="008B12D3"/>
    <w:rsid w:val="008B2403"/>
    <w:rsid w:val="008B2EAC"/>
    <w:rsid w:val="008B300A"/>
    <w:rsid w:val="008B7E4A"/>
    <w:rsid w:val="008C0133"/>
    <w:rsid w:val="008C217E"/>
    <w:rsid w:val="008C24BB"/>
    <w:rsid w:val="008C2CF1"/>
    <w:rsid w:val="008C5D02"/>
    <w:rsid w:val="008D200F"/>
    <w:rsid w:val="008D7490"/>
    <w:rsid w:val="008D75A8"/>
    <w:rsid w:val="008D760D"/>
    <w:rsid w:val="008E173D"/>
    <w:rsid w:val="008E412B"/>
    <w:rsid w:val="008E50B3"/>
    <w:rsid w:val="008E6C45"/>
    <w:rsid w:val="008F096F"/>
    <w:rsid w:val="008F1FB6"/>
    <w:rsid w:val="00900BCE"/>
    <w:rsid w:val="00902405"/>
    <w:rsid w:val="009040F7"/>
    <w:rsid w:val="00904A36"/>
    <w:rsid w:val="0090568D"/>
    <w:rsid w:val="0090731E"/>
    <w:rsid w:val="00911C6E"/>
    <w:rsid w:val="009125C9"/>
    <w:rsid w:val="00916716"/>
    <w:rsid w:val="00917661"/>
    <w:rsid w:val="00921DC6"/>
    <w:rsid w:val="00921F2E"/>
    <w:rsid w:val="00922FB9"/>
    <w:rsid w:val="009266CE"/>
    <w:rsid w:val="009340B7"/>
    <w:rsid w:val="009355B5"/>
    <w:rsid w:val="009405CC"/>
    <w:rsid w:val="00941447"/>
    <w:rsid w:val="009574B9"/>
    <w:rsid w:val="0096098D"/>
    <w:rsid w:val="00962E53"/>
    <w:rsid w:val="009630E0"/>
    <w:rsid w:val="00964ECB"/>
    <w:rsid w:val="009650FC"/>
    <w:rsid w:val="00970E5D"/>
    <w:rsid w:val="00970F6B"/>
    <w:rsid w:val="00971E79"/>
    <w:rsid w:val="00975743"/>
    <w:rsid w:val="0097701C"/>
    <w:rsid w:val="00977AEB"/>
    <w:rsid w:val="009801C7"/>
    <w:rsid w:val="00980A65"/>
    <w:rsid w:val="00982C81"/>
    <w:rsid w:val="00985213"/>
    <w:rsid w:val="00992EEE"/>
    <w:rsid w:val="00995F30"/>
    <w:rsid w:val="00996278"/>
    <w:rsid w:val="0099681B"/>
    <w:rsid w:val="009A5914"/>
    <w:rsid w:val="009A5E3B"/>
    <w:rsid w:val="009A63BD"/>
    <w:rsid w:val="009A7948"/>
    <w:rsid w:val="009A795A"/>
    <w:rsid w:val="009A7FA3"/>
    <w:rsid w:val="009B4057"/>
    <w:rsid w:val="009B5877"/>
    <w:rsid w:val="009C31D3"/>
    <w:rsid w:val="009C4A35"/>
    <w:rsid w:val="009D0BE5"/>
    <w:rsid w:val="009D7FDB"/>
    <w:rsid w:val="009E60E1"/>
    <w:rsid w:val="009E61B3"/>
    <w:rsid w:val="009E7FC0"/>
    <w:rsid w:val="009F03BD"/>
    <w:rsid w:val="009F0E0E"/>
    <w:rsid w:val="009F1AD4"/>
    <w:rsid w:val="00A00004"/>
    <w:rsid w:val="00A07CE9"/>
    <w:rsid w:val="00A171EC"/>
    <w:rsid w:val="00A20224"/>
    <w:rsid w:val="00A20C90"/>
    <w:rsid w:val="00A214E2"/>
    <w:rsid w:val="00A21B61"/>
    <w:rsid w:val="00A22E54"/>
    <w:rsid w:val="00A237C5"/>
    <w:rsid w:val="00A25E70"/>
    <w:rsid w:val="00A30537"/>
    <w:rsid w:val="00A30D22"/>
    <w:rsid w:val="00A314C6"/>
    <w:rsid w:val="00A33567"/>
    <w:rsid w:val="00A33759"/>
    <w:rsid w:val="00A33765"/>
    <w:rsid w:val="00A35CD4"/>
    <w:rsid w:val="00A37055"/>
    <w:rsid w:val="00A40B7C"/>
    <w:rsid w:val="00A43001"/>
    <w:rsid w:val="00A5090C"/>
    <w:rsid w:val="00A5414D"/>
    <w:rsid w:val="00A57449"/>
    <w:rsid w:val="00A64BE3"/>
    <w:rsid w:val="00A658BE"/>
    <w:rsid w:val="00A65C55"/>
    <w:rsid w:val="00A703BC"/>
    <w:rsid w:val="00A74253"/>
    <w:rsid w:val="00A7743F"/>
    <w:rsid w:val="00A7749B"/>
    <w:rsid w:val="00A83D1D"/>
    <w:rsid w:val="00A90677"/>
    <w:rsid w:val="00A930B9"/>
    <w:rsid w:val="00AA6D6D"/>
    <w:rsid w:val="00AA782E"/>
    <w:rsid w:val="00AA7D78"/>
    <w:rsid w:val="00AA7ECD"/>
    <w:rsid w:val="00AB06DE"/>
    <w:rsid w:val="00AB5062"/>
    <w:rsid w:val="00AB54CA"/>
    <w:rsid w:val="00AC1D0F"/>
    <w:rsid w:val="00AC229B"/>
    <w:rsid w:val="00AD0149"/>
    <w:rsid w:val="00AE02EF"/>
    <w:rsid w:val="00AE2FC3"/>
    <w:rsid w:val="00AF7160"/>
    <w:rsid w:val="00AF7B17"/>
    <w:rsid w:val="00B008D2"/>
    <w:rsid w:val="00B04A08"/>
    <w:rsid w:val="00B10A02"/>
    <w:rsid w:val="00B13DD4"/>
    <w:rsid w:val="00B13F0C"/>
    <w:rsid w:val="00B1406A"/>
    <w:rsid w:val="00B25B69"/>
    <w:rsid w:val="00B31291"/>
    <w:rsid w:val="00B4283B"/>
    <w:rsid w:val="00B433E7"/>
    <w:rsid w:val="00B4517E"/>
    <w:rsid w:val="00B46F39"/>
    <w:rsid w:val="00B603D8"/>
    <w:rsid w:val="00B6120B"/>
    <w:rsid w:val="00B63237"/>
    <w:rsid w:val="00B6505C"/>
    <w:rsid w:val="00B65F39"/>
    <w:rsid w:val="00B66EF1"/>
    <w:rsid w:val="00B7428B"/>
    <w:rsid w:val="00B83974"/>
    <w:rsid w:val="00B87033"/>
    <w:rsid w:val="00B87E16"/>
    <w:rsid w:val="00B87FDA"/>
    <w:rsid w:val="00B903AA"/>
    <w:rsid w:val="00B90535"/>
    <w:rsid w:val="00B916A9"/>
    <w:rsid w:val="00B95695"/>
    <w:rsid w:val="00B958A4"/>
    <w:rsid w:val="00B969BC"/>
    <w:rsid w:val="00BA1131"/>
    <w:rsid w:val="00BA50E4"/>
    <w:rsid w:val="00BA54E5"/>
    <w:rsid w:val="00BA711C"/>
    <w:rsid w:val="00BB0703"/>
    <w:rsid w:val="00BB3AA7"/>
    <w:rsid w:val="00BB4D0B"/>
    <w:rsid w:val="00BB6B7C"/>
    <w:rsid w:val="00BC5033"/>
    <w:rsid w:val="00BC6B7C"/>
    <w:rsid w:val="00BC6D24"/>
    <w:rsid w:val="00BD06B2"/>
    <w:rsid w:val="00BD1884"/>
    <w:rsid w:val="00BD6121"/>
    <w:rsid w:val="00BE0083"/>
    <w:rsid w:val="00BE331F"/>
    <w:rsid w:val="00BE7671"/>
    <w:rsid w:val="00BF43E8"/>
    <w:rsid w:val="00C0044F"/>
    <w:rsid w:val="00C04001"/>
    <w:rsid w:val="00C073B0"/>
    <w:rsid w:val="00C21098"/>
    <w:rsid w:val="00C21465"/>
    <w:rsid w:val="00C2495B"/>
    <w:rsid w:val="00C3153C"/>
    <w:rsid w:val="00C376CD"/>
    <w:rsid w:val="00C42222"/>
    <w:rsid w:val="00C445A6"/>
    <w:rsid w:val="00C5042A"/>
    <w:rsid w:val="00C504C8"/>
    <w:rsid w:val="00C5323E"/>
    <w:rsid w:val="00C53C2B"/>
    <w:rsid w:val="00C547B6"/>
    <w:rsid w:val="00C5542C"/>
    <w:rsid w:val="00C6439B"/>
    <w:rsid w:val="00C727A5"/>
    <w:rsid w:val="00C731C6"/>
    <w:rsid w:val="00C738C5"/>
    <w:rsid w:val="00C772A2"/>
    <w:rsid w:val="00C77514"/>
    <w:rsid w:val="00C77D1A"/>
    <w:rsid w:val="00C77EFA"/>
    <w:rsid w:val="00C8347A"/>
    <w:rsid w:val="00C97DB1"/>
    <w:rsid w:val="00CA645C"/>
    <w:rsid w:val="00CA6525"/>
    <w:rsid w:val="00CA6776"/>
    <w:rsid w:val="00CB0DF4"/>
    <w:rsid w:val="00CC13AE"/>
    <w:rsid w:val="00CC36FB"/>
    <w:rsid w:val="00CD0062"/>
    <w:rsid w:val="00CD4EB6"/>
    <w:rsid w:val="00CD5E38"/>
    <w:rsid w:val="00CD5EAE"/>
    <w:rsid w:val="00CE3116"/>
    <w:rsid w:val="00CE381A"/>
    <w:rsid w:val="00CE3FED"/>
    <w:rsid w:val="00CE7068"/>
    <w:rsid w:val="00CF0CBC"/>
    <w:rsid w:val="00CF446E"/>
    <w:rsid w:val="00CF5C6D"/>
    <w:rsid w:val="00CF720D"/>
    <w:rsid w:val="00CF7951"/>
    <w:rsid w:val="00D0290C"/>
    <w:rsid w:val="00D02C75"/>
    <w:rsid w:val="00D04AC1"/>
    <w:rsid w:val="00D05D01"/>
    <w:rsid w:val="00D05DAB"/>
    <w:rsid w:val="00D06257"/>
    <w:rsid w:val="00D10E22"/>
    <w:rsid w:val="00D10FC8"/>
    <w:rsid w:val="00D13D2C"/>
    <w:rsid w:val="00D15494"/>
    <w:rsid w:val="00D20F65"/>
    <w:rsid w:val="00D22204"/>
    <w:rsid w:val="00D224DC"/>
    <w:rsid w:val="00D356F5"/>
    <w:rsid w:val="00D36B45"/>
    <w:rsid w:val="00D44A3C"/>
    <w:rsid w:val="00D4752F"/>
    <w:rsid w:val="00D519E2"/>
    <w:rsid w:val="00D51CB4"/>
    <w:rsid w:val="00D537CD"/>
    <w:rsid w:val="00D553CC"/>
    <w:rsid w:val="00D56F00"/>
    <w:rsid w:val="00D574F5"/>
    <w:rsid w:val="00D618FB"/>
    <w:rsid w:val="00D63459"/>
    <w:rsid w:val="00D6501A"/>
    <w:rsid w:val="00D66838"/>
    <w:rsid w:val="00D67D69"/>
    <w:rsid w:val="00D77FFC"/>
    <w:rsid w:val="00D80969"/>
    <w:rsid w:val="00D80A09"/>
    <w:rsid w:val="00D82301"/>
    <w:rsid w:val="00D84573"/>
    <w:rsid w:val="00D85DA4"/>
    <w:rsid w:val="00D86A89"/>
    <w:rsid w:val="00D87241"/>
    <w:rsid w:val="00D94EE4"/>
    <w:rsid w:val="00D95296"/>
    <w:rsid w:val="00D964EB"/>
    <w:rsid w:val="00DA1F2B"/>
    <w:rsid w:val="00DA4DD7"/>
    <w:rsid w:val="00DB146B"/>
    <w:rsid w:val="00DB449B"/>
    <w:rsid w:val="00DC11DB"/>
    <w:rsid w:val="00DC11E4"/>
    <w:rsid w:val="00DC54BE"/>
    <w:rsid w:val="00DD0C05"/>
    <w:rsid w:val="00DD1474"/>
    <w:rsid w:val="00DD1DE5"/>
    <w:rsid w:val="00DD2B54"/>
    <w:rsid w:val="00DD3D9E"/>
    <w:rsid w:val="00DD5F38"/>
    <w:rsid w:val="00DD7908"/>
    <w:rsid w:val="00DE03CC"/>
    <w:rsid w:val="00DE2BCE"/>
    <w:rsid w:val="00DE555F"/>
    <w:rsid w:val="00DE66E2"/>
    <w:rsid w:val="00DF1689"/>
    <w:rsid w:val="00DF64E2"/>
    <w:rsid w:val="00DF78BD"/>
    <w:rsid w:val="00E046A2"/>
    <w:rsid w:val="00E14493"/>
    <w:rsid w:val="00E16125"/>
    <w:rsid w:val="00E20CCD"/>
    <w:rsid w:val="00E20D0A"/>
    <w:rsid w:val="00E3148E"/>
    <w:rsid w:val="00E366CA"/>
    <w:rsid w:val="00E37D84"/>
    <w:rsid w:val="00E404B5"/>
    <w:rsid w:val="00E4373C"/>
    <w:rsid w:val="00E44F7F"/>
    <w:rsid w:val="00E479A0"/>
    <w:rsid w:val="00E5345E"/>
    <w:rsid w:val="00E5462C"/>
    <w:rsid w:val="00E55695"/>
    <w:rsid w:val="00E61202"/>
    <w:rsid w:val="00E61EA3"/>
    <w:rsid w:val="00E63D59"/>
    <w:rsid w:val="00E6494A"/>
    <w:rsid w:val="00E66D30"/>
    <w:rsid w:val="00E7138E"/>
    <w:rsid w:val="00E735DC"/>
    <w:rsid w:val="00E73B30"/>
    <w:rsid w:val="00E73BE9"/>
    <w:rsid w:val="00E81F92"/>
    <w:rsid w:val="00E82277"/>
    <w:rsid w:val="00E834BD"/>
    <w:rsid w:val="00E83B2B"/>
    <w:rsid w:val="00E85717"/>
    <w:rsid w:val="00E903DD"/>
    <w:rsid w:val="00E92657"/>
    <w:rsid w:val="00E93D1D"/>
    <w:rsid w:val="00E96353"/>
    <w:rsid w:val="00EA0DDA"/>
    <w:rsid w:val="00EA293D"/>
    <w:rsid w:val="00EA56E4"/>
    <w:rsid w:val="00EA69B0"/>
    <w:rsid w:val="00EB2549"/>
    <w:rsid w:val="00EB4DDA"/>
    <w:rsid w:val="00EB58FF"/>
    <w:rsid w:val="00EB5CF0"/>
    <w:rsid w:val="00EC480B"/>
    <w:rsid w:val="00EC5086"/>
    <w:rsid w:val="00EC54CC"/>
    <w:rsid w:val="00ED0311"/>
    <w:rsid w:val="00ED06C2"/>
    <w:rsid w:val="00ED0BD7"/>
    <w:rsid w:val="00ED0FF4"/>
    <w:rsid w:val="00ED4C6B"/>
    <w:rsid w:val="00ED4E67"/>
    <w:rsid w:val="00EE0079"/>
    <w:rsid w:val="00EE05EB"/>
    <w:rsid w:val="00EE0E56"/>
    <w:rsid w:val="00EE28F5"/>
    <w:rsid w:val="00EE2A80"/>
    <w:rsid w:val="00EE5952"/>
    <w:rsid w:val="00EE6639"/>
    <w:rsid w:val="00EE6F73"/>
    <w:rsid w:val="00F1114E"/>
    <w:rsid w:val="00F114EC"/>
    <w:rsid w:val="00F1654B"/>
    <w:rsid w:val="00F207DB"/>
    <w:rsid w:val="00F22A4A"/>
    <w:rsid w:val="00F30C24"/>
    <w:rsid w:val="00F34D32"/>
    <w:rsid w:val="00F35572"/>
    <w:rsid w:val="00F378AB"/>
    <w:rsid w:val="00F37C5E"/>
    <w:rsid w:val="00F37F57"/>
    <w:rsid w:val="00F41385"/>
    <w:rsid w:val="00F43BAC"/>
    <w:rsid w:val="00F45055"/>
    <w:rsid w:val="00F4699E"/>
    <w:rsid w:val="00F504D2"/>
    <w:rsid w:val="00F50C95"/>
    <w:rsid w:val="00F534CE"/>
    <w:rsid w:val="00F54C68"/>
    <w:rsid w:val="00F55D21"/>
    <w:rsid w:val="00F56845"/>
    <w:rsid w:val="00F62041"/>
    <w:rsid w:val="00F67914"/>
    <w:rsid w:val="00F74ED8"/>
    <w:rsid w:val="00F75267"/>
    <w:rsid w:val="00F760F5"/>
    <w:rsid w:val="00F77B2D"/>
    <w:rsid w:val="00F8255A"/>
    <w:rsid w:val="00F829E8"/>
    <w:rsid w:val="00F82FBF"/>
    <w:rsid w:val="00F92811"/>
    <w:rsid w:val="00F92BA8"/>
    <w:rsid w:val="00F96954"/>
    <w:rsid w:val="00FA029E"/>
    <w:rsid w:val="00FA1DBE"/>
    <w:rsid w:val="00FA33F9"/>
    <w:rsid w:val="00FA4F30"/>
    <w:rsid w:val="00FA7A9F"/>
    <w:rsid w:val="00FB28CB"/>
    <w:rsid w:val="00FB46B5"/>
    <w:rsid w:val="00FB49EE"/>
    <w:rsid w:val="00FC235A"/>
    <w:rsid w:val="00FC3867"/>
    <w:rsid w:val="00FC3FD3"/>
    <w:rsid w:val="00FC4743"/>
    <w:rsid w:val="00FC6E5B"/>
    <w:rsid w:val="00FC7084"/>
    <w:rsid w:val="00FC7114"/>
    <w:rsid w:val="00FD06CF"/>
    <w:rsid w:val="00FD08D0"/>
    <w:rsid w:val="00FD0DF6"/>
    <w:rsid w:val="00FD2D46"/>
    <w:rsid w:val="00FD3C6B"/>
    <w:rsid w:val="00FD6018"/>
    <w:rsid w:val="00FD7684"/>
    <w:rsid w:val="00FD7892"/>
    <w:rsid w:val="00FE0EAE"/>
    <w:rsid w:val="00FE20F3"/>
    <w:rsid w:val="00FE2E1D"/>
    <w:rsid w:val="00FE37B0"/>
    <w:rsid w:val="00FE3A8D"/>
    <w:rsid w:val="00FF2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5116"/>
  <w15:docId w15:val="{57BB39F3-F887-4E8E-BA01-2399D828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E03CC"/>
    <w:pPr>
      <w:spacing w:after="160" w:line="259" w:lineRule="auto"/>
    </w:pPr>
    <w:rPr>
      <w:rFonts w:asciiTheme="minorHAnsi" w:eastAsiaTheme="minorHAnsi" w:hAnsiTheme="minorHAnsi" w:cstheme="minorBidi"/>
      <w:sz w:val="22"/>
      <w:szCs w:val="22"/>
      <w:lang w:val="it-IT"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rsid w:val="00DE03CC"/>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DE03CC"/>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paragraph" w:styleId="Nessunaspaziatura">
    <w:name w:val="No Spacing"/>
    <w:uiPriority w:val="1"/>
    <w:qFormat/>
    <w:rsid w:val="00684389"/>
    <w:rPr>
      <w:rFonts w:asciiTheme="minorHAnsi" w:eastAsiaTheme="minorHAnsi" w:hAnsiTheme="minorHAnsi" w:cstheme="minorBidi"/>
      <w:sz w:val="22"/>
      <w:szCs w:val="22"/>
      <w:lang w:eastAsia="en-US"/>
    </w:rPr>
  </w:style>
  <w:style w:type="character" w:styleId="Testosegnaposto">
    <w:name w:val="Placeholder Text"/>
    <w:basedOn w:val="Carpredefinitoparagrafo"/>
    <w:uiPriority w:val="99"/>
    <w:semiHidden/>
    <w:rsid w:val="00A658BE"/>
    <w:rPr>
      <w:color w:val="808080"/>
    </w:rPr>
  </w:style>
  <w:style w:type="paragraph" w:styleId="Bibliografia">
    <w:name w:val="Bibliography"/>
    <w:basedOn w:val="Normale"/>
    <w:next w:val="Normale"/>
    <w:uiPriority w:val="37"/>
    <w:unhideWhenUsed/>
    <w:rsid w:val="00921DC6"/>
    <w:pPr>
      <w:ind w:left="720" w:hanging="720"/>
    </w:pPr>
  </w:style>
  <w:style w:type="table" w:styleId="Grigliatabella">
    <w:name w:val="Table Grid"/>
    <w:basedOn w:val="Tabellanormale"/>
    <w:rsid w:val="00B6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53190C"/>
    <w:rPr>
      <w:color w:val="605E5C"/>
      <w:shd w:val="clear" w:color="auto" w:fill="E1DFDD"/>
    </w:rPr>
  </w:style>
  <w:style w:type="character" w:styleId="Collegamentovisitato">
    <w:name w:val="FollowedHyperlink"/>
    <w:basedOn w:val="Carpredefinitoparagrafo"/>
    <w:semiHidden/>
    <w:unhideWhenUsed/>
    <w:rsid w:val="0053190C"/>
    <w:rPr>
      <w:color w:val="800080" w:themeColor="followedHyperlink"/>
      <w:u w:val="single"/>
    </w:rPr>
  </w:style>
  <w:style w:type="paragraph" w:styleId="Revisione">
    <w:name w:val="Revision"/>
    <w:hidden/>
    <w:uiPriority w:val="99"/>
    <w:semiHidden/>
    <w:rsid w:val="006A4E81"/>
    <w:rPr>
      <w:rFonts w:asciiTheme="minorHAnsi" w:eastAsiaTheme="minorHAnsi" w:hAnsiTheme="minorHAnsi" w:cstheme="minorBidi"/>
      <w:kern w:val="2"/>
      <w:sz w:val="24"/>
      <w:szCs w:val="24"/>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FDD12-D82E-47F6-951B-A99EB3A1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2303</Words>
  <Characters>34362</Characters>
  <Application>Microsoft Office Word</Application>
  <DocSecurity>0</DocSecurity>
  <Lines>286</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Kostas;Hamid Reza Abbasi</dc:creator>
  <cp:lastModifiedBy>Sauro Pierucci</cp:lastModifiedBy>
  <cp:revision>18</cp:revision>
  <cp:lastPrinted>2023-11-27T15:50:00Z</cp:lastPrinted>
  <dcterms:created xsi:type="dcterms:W3CDTF">2023-12-18T12:05:00Z</dcterms:created>
  <dcterms:modified xsi:type="dcterms:W3CDTF">2024-01-07T11:49:00Z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2021-11-04T09:12:24Z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5587a44c-12f0-4d84-98cd-f79dcdb8b2fc</vt:lpwstr>
  </property>
  <property fmtid="{D5CDD505-2E9C-101B-9397-08002B2CF9AE}" pid="8" name="MSIP_Label_549ac42a-3eb4-4074-b885-aea26bd6241e_ContentBits">
    <vt:lpwstr>0</vt:lpwstr>
  </property>
  <property fmtid="{D5CDD505-2E9C-101B-9397-08002B2CF9AE}" pid="9" name="ZOTERO_PREF_1">
    <vt:lpwstr>&lt;data data-version="3" zotero-version="6.0.30"&gt;&lt;session id="WmQtW1Fq"/&gt;&lt;style id="http://www.zotero.org/styles/chicago-author-date" locale="en-GB" hasBibliography="1" bibliographyStyleHasBeenSet="1"/&gt;&lt;prefs&gt;&lt;pref name="fieldType" value="Field"/&gt;&lt;pref name</vt:lpwstr>
  </property>
  <property fmtid="{D5CDD505-2E9C-101B-9397-08002B2CF9AE}" pid="10" name="ZOTERO_PREF_2">
    <vt:lpwstr>="automaticJournalAbbreviations" value="true"/&gt;&lt;/prefs&gt;&lt;/data&gt;</vt:lpwstr>
  </property>
</Properties>
</file>