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BCF629F" w:rsidR="00DD3D9E" w:rsidRPr="00754BC9" w:rsidRDefault="008C7045" w:rsidP="005E3BF4">
      <w:pPr>
        <w:pStyle w:val="Els-Title"/>
        <w:spacing w:line="240" w:lineRule="auto"/>
        <w:rPr>
          <w:noProof/>
          <w:color w:val="000000" w:themeColor="text1"/>
        </w:rPr>
      </w:pPr>
      <w:r w:rsidRPr="00754BC9">
        <w:rPr>
          <w:noProof/>
          <w:color w:val="000000" w:themeColor="text1"/>
        </w:rPr>
        <w:t>Towards CO</w:t>
      </w:r>
      <w:r w:rsidRPr="00754BC9">
        <w:rPr>
          <w:noProof/>
          <w:color w:val="000000" w:themeColor="text1"/>
          <w:vertAlign w:val="subscript"/>
        </w:rPr>
        <w:t>2</w:t>
      </w:r>
      <w:r w:rsidRPr="00754BC9">
        <w:rPr>
          <w:noProof/>
          <w:color w:val="000000" w:themeColor="text1"/>
        </w:rPr>
        <w:t xml:space="preserve"> </w:t>
      </w:r>
      <w:r w:rsidR="002A4D6F" w:rsidRPr="00754BC9">
        <w:rPr>
          <w:noProof/>
          <w:color w:val="000000" w:themeColor="text1"/>
        </w:rPr>
        <w:t>R</w:t>
      </w:r>
      <w:r w:rsidRPr="00754BC9">
        <w:rPr>
          <w:noProof/>
          <w:color w:val="000000" w:themeColor="text1"/>
        </w:rPr>
        <w:t xml:space="preserve">eduction in Middle East: </w:t>
      </w:r>
      <w:r w:rsidR="002A4D6F" w:rsidRPr="00754BC9">
        <w:rPr>
          <w:noProof/>
          <w:color w:val="000000" w:themeColor="text1"/>
        </w:rPr>
        <w:t>A</w:t>
      </w:r>
      <w:r w:rsidRPr="00754BC9">
        <w:rPr>
          <w:noProof/>
          <w:color w:val="000000" w:themeColor="text1"/>
        </w:rPr>
        <w:t xml:space="preserve"> </w:t>
      </w:r>
      <w:r w:rsidR="002A4D6F" w:rsidRPr="00754BC9">
        <w:rPr>
          <w:noProof/>
          <w:color w:val="000000" w:themeColor="text1"/>
        </w:rPr>
        <w:t>T</w:t>
      </w:r>
      <w:r w:rsidRPr="00754BC9">
        <w:rPr>
          <w:noProof/>
          <w:color w:val="000000" w:themeColor="text1"/>
        </w:rPr>
        <w:t>echno-</w:t>
      </w:r>
      <w:r w:rsidR="00CD21B9">
        <w:rPr>
          <w:noProof/>
          <w:color w:val="000000" w:themeColor="text1"/>
        </w:rPr>
        <w:t>Environmental</w:t>
      </w:r>
      <w:r w:rsidRPr="00754BC9">
        <w:rPr>
          <w:noProof/>
          <w:color w:val="000000" w:themeColor="text1"/>
        </w:rPr>
        <w:t xml:space="preserve"> </w:t>
      </w:r>
      <w:r w:rsidR="002A4D6F" w:rsidRPr="00754BC9">
        <w:rPr>
          <w:noProof/>
          <w:color w:val="000000" w:themeColor="text1"/>
        </w:rPr>
        <w:t>A</w:t>
      </w:r>
      <w:r w:rsidRPr="00754BC9">
        <w:rPr>
          <w:noProof/>
          <w:color w:val="000000" w:themeColor="text1"/>
        </w:rPr>
        <w:t>ssessment</w:t>
      </w:r>
    </w:p>
    <w:p w14:paraId="5DEA09F4" w14:textId="2EDAFDE0" w:rsidR="00B448D9" w:rsidRPr="00754BC9" w:rsidRDefault="00B448D9" w:rsidP="005E3BF4">
      <w:pPr>
        <w:pStyle w:val="Els-Author"/>
        <w:spacing w:line="240" w:lineRule="auto"/>
        <w:rPr>
          <w:lang w:val="en-US"/>
        </w:rPr>
      </w:pPr>
      <w:r w:rsidRPr="00754BC9">
        <w:rPr>
          <w:lang w:val="en-US"/>
        </w:rPr>
        <w:t>Nasser Al-Malki,</w:t>
      </w:r>
      <w:r w:rsidRPr="00754BC9">
        <w:rPr>
          <w:vertAlign w:val="superscript"/>
          <w:lang w:val="en-US"/>
        </w:rPr>
        <w:t xml:space="preserve"> </w:t>
      </w:r>
      <w:r w:rsidRPr="00754BC9">
        <w:rPr>
          <w:lang w:val="en-US"/>
        </w:rPr>
        <w:t>Mohammed Yaqot, Brenno C. Menezes</w:t>
      </w:r>
      <w:r w:rsidR="00912254" w:rsidRPr="00754BC9">
        <w:rPr>
          <w:vertAlign w:val="superscript"/>
          <w:lang w:val="en-US"/>
        </w:rPr>
        <w:t>*</w:t>
      </w:r>
    </w:p>
    <w:p w14:paraId="768CC9C7" w14:textId="702BDB00" w:rsidR="00B448D9" w:rsidRPr="00754BC9" w:rsidRDefault="00B448D9" w:rsidP="005E3BF4">
      <w:pPr>
        <w:pStyle w:val="Els-Affiliation"/>
        <w:spacing w:after="60" w:line="240" w:lineRule="auto"/>
        <w:rPr>
          <w:lang w:val="en-US"/>
        </w:rPr>
      </w:pPr>
      <w:r w:rsidRPr="00754BC9">
        <w:rPr>
          <w:lang w:val="en-US"/>
        </w:rPr>
        <w:t>Division of Engineering Management and Decision Sciences, College of Science and Engineering, Hamad Bin Khalifa University, Doha, Qatar Foundation, Qatar</w:t>
      </w:r>
    </w:p>
    <w:p w14:paraId="7C0A980A" w14:textId="77777777" w:rsidR="00B448D9" w:rsidRPr="00754BC9" w:rsidRDefault="00B448D9" w:rsidP="005E3BF4">
      <w:pPr>
        <w:pStyle w:val="Els-Affiliation"/>
        <w:spacing w:after="60" w:line="240" w:lineRule="auto"/>
        <w:rPr>
          <w:lang w:val="en-US"/>
        </w:rPr>
      </w:pPr>
      <w:r w:rsidRPr="00754BC9">
        <w:rPr>
          <w:lang w:val="en-US"/>
        </w:rPr>
        <w:t>bmenezes@hbku.edu.qa</w:t>
      </w:r>
    </w:p>
    <w:p w14:paraId="144DE684" w14:textId="77777777" w:rsidR="008D2649" w:rsidRPr="00754BC9" w:rsidRDefault="008D2649" w:rsidP="005E3BF4">
      <w:pPr>
        <w:pStyle w:val="Els-Abstract"/>
        <w:spacing w:line="240" w:lineRule="auto"/>
        <w:rPr>
          <w:noProof/>
        </w:rPr>
      </w:pPr>
      <w:r w:rsidRPr="00754BC9">
        <w:rPr>
          <w:noProof/>
        </w:rPr>
        <w:t>Abstract</w:t>
      </w:r>
    </w:p>
    <w:p w14:paraId="5792DB3A" w14:textId="4E9B11C0" w:rsidR="008778CD" w:rsidRPr="00754BC9" w:rsidRDefault="008778CD" w:rsidP="005E3BF4">
      <w:pPr>
        <w:pStyle w:val="Els-body-text"/>
        <w:spacing w:after="120"/>
        <w:rPr>
          <w:noProof/>
        </w:rPr>
      </w:pPr>
      <w:r w:rsidRPr="00754BC9">
        <w:rPr>
          <w:noProof/>
        </w:rPr>
        <w:t>Greenhouse gases (GHGs) are emitted mainly by countries heavily dependent on coal and with high population such as China and USA, responsible, respectively, for 30% and 15% of the global amounts of CO</w:t>
      </w:r>
      <w:r w:rsidRPr="00754BC9">
        <w:rPr>
          <w:noProof/>
          <w:vertAlign w:val="subscript"/>
        </w:rPr>
        <w:t>2</w:t>
      </w:r>
      <w:r w:rsidRPr="00754BC9">
        <w:rPr>
          <w:noProof/>
        </w:rPr>
        <w:t xml:space="preserve">-equivalent </w:t>
      </w:r>
      <w:r w:rsidR="00C1040D" w:rsidRPr="00754BC9">
        <w:rPr>
          <w:noProof/>
        </w:rPr>
        <w:t xml:space="preserve">and </w:t>
      </w:r>
      <w:r w:rsidR="00754BC9" w:rsidRPr="00754BC9">
        <w:rPr>
          <w:noProof/>
        </w:rPr>
        <w:t xml:space="preserve">close to this numbers of </w:t>
      </w:r>
      <w:r w:rsidR="00C1040D" w:rsidRPr="00754BC9">
        <w:rPr>
          <w:noProof/>
        </w:rPr>
        <w:t xml:space="preserve">related </w:t>
      </w:r>
      <w:r w:rsidR="00AA51FB" w:rsidRPr="00754BC9">
        <w:rPr>
          <w:noProof/>
        </w:rPr>
        <w:t xml:space="preserve">combustion-made </w:t>
      </w:r>
      <w:r w:rsidRPr="00754BC9">
        <w:rPr>
          <w:noProof/>
        </w:rPr>
        <w:t>emissions</w:t>
      </w:r>
      <w:r w:rsidR="00AA51FB" w:rsidRPr="00754BC9">
        <w:rPr>
          <w:noProof/>
        </w:rPr>
        <w:t>, such as CO, NO</w:t>
      </w:r>
      <w:r w:rsidR="00AA51FB" w:rsidRPr="00754BC9">
        <w:rPr>
          <w:noProof/>
          <w:vertAlign w:val="subscript"/>
        </w:rPr>
        <w:t>x</w:t>
      </w:r>
      <w:r w:rsidR="00AA51FB" w:rsidRPr="00754BC9">
        <w:rPr>
          <w:noProof/>
        </w:rPr>
        <w:t>, SO</w:t>
      </w:r>
      <w:r w:rsidR="00AA51FB" w:rsidRPr="00754BC9">
        <w:rPr>
          <w:noProof/>
          <w:vertAlign w:val="subscript"/>
        </w:rPr>
        <w:t>2</w:t>
      </w:r>
      <w:r w:rsidR="00AA51FB" w:rsidRPr="00754BC9">
        <w:rPr>
          <w:noProof/>
        </w:rPr>
        <w:t>, particulate mat</w:t>
      </w:r>
      <w:r w:rsidR="00786450" w:rsidRPr="00754BC9">
        <w:rPr>
          <w:noProof/>
        </w:rPr>
        <w:t xml:space="preserve">ter </w:t>
      </w:r>
      <w:r w:rsidR="00AA51FB" w:rsidRPr="00754BC9">
        <w:rPr>
          <w:noProof/>
        </w:rPr>
        <w:t>(PM), etc</w:t>
      </w:r>
      <w:r w:rsidRPr="00754BC9">
        <w:rPr>
          <w:noProof/>
        </w:rPr>
        <w:t>.</w:t>
      </w:r>
      <w:r w:rsidR="00F86986" w:rsidRPr="00754BC9">
        <w:rPr>
          <w:noProof/>
        </w:rPr>
        <w:t xml:space="preserve"> Then, there is a direct correlation on CO</w:t>
      </w:r>
      <w:r w:rsidR="00F86986" w:rsidRPr="00754BC9">
        <w:rPr>
          <w:noProof/>
          <w:vertAlign w:val="subscript"/>
        </w:rPr>
        <w:t>2</w:t>
      </w:r>
      <w:r w:rsidR="00F86986" w:rsidRPr="00754BC9">
        <w:rPr>
          <w:noProof/>
        </w:rPr>
        <w:t xml:space="preserve"> emissions from fossil-fuels to the non-CO</w:t>
      </w:r>
      <w:r w:rsidR="00F86986" w:rsidRPr="00754BC9">
        <w:rPr>
          <w:noProof/>
          <w:vertAlign w:val="subscript"/>
        </w:rPr>
        <w:t>2</w:t>
      </w:r>
      <w:r w:rsidR="00F86986" w:rsidRPr="00754BC9">
        <w:rPr>
          <w:noProof/>
        </w:rPr>
        <w:t>, since the latter occurs by the imperfect combustion of the carbonic components (CO and PM) or presence of heteroatoms in the fuel (NO</w:t>
      </w:r>
      <w:r w:rsidR="00F86986" w:rsidRPr="00754BC9">
        <w:rPr>
          <w:noProof/>
          <w:vertAlign w:val="subscript"/>
        </w:rPr>
        <w:t>x</w:t>
      </w:r>
      <w:r w:rsidR="00F86986" w:rsidRPr="00754BC9">
        <w:rPr>
          <w:noProof/>
        </w:rPr>
        <w:t xml:space="preserve"> and SO</w:t>
      </w:r>
      <w:r w:rsidR="00F86986" w:rsidRPr="00754BC9">
        <w:rPr>
          <w:noProof/>
          <w:vertAlign w:val="subscript"/>
        </w:rPr>
        <w:t>2</w:t>
      </w:r>
      <w:r w:rsidR="00F86986" w:rsidRPr="00754BC9">
        <w:rPr>
          <w:noProof/>
        </w:rPr>
        <w:t>). Particularly NOx is also formed by N</w:t>
      </w:r>
      <w:r w:rsidR="00754BC9" w:rsidRPr="00754BC9">
        <w:rPr>
          <w:noProof/>
          <w:vertAlign w:val="subscript"/>
        </w:rPr>
        <w:t>2</w:t>
      </w:r>
      <w:r w:rsidR="00F86986" w:rsidRPr="00754BC9">
        <w:rPr>
          <w:noProof/>
        </w:rPr>
        <w:t xml:space="preserve"> and O</w:t>
      </w:r>
      <w:r w:rsidR="00F86986" w:rsidRPr="00754BC9">
        <w:rPr>
          <w:noProof/>
          <w:vertAlign w:val="subscript"/>
        </w:rPr>
        <w:t>2</w:t>
      </w:r>
      <w:r w:rsidR="00F86986" w:rsidRPr="00754BC9">
        <w:rPr>
          <w:noProof/>
        </w:rPr>
        <w:t xml:space="preserve"> reaction</w:t>
      </w:r>
      <w:r w:rsidR="00754BC9" w:rsidRPr="00754BC9">
        <w:rPr>
          <w:noProof/>
        </w:rPr>
        <w:t xml:space="preserve"> at</w:t>
      </w:r>
      <w:r w:rsidR="00F86986" w:rsidRPr="00754BC9">
        <w:rPr>
          <w:noProof/>
        </w:rPr>
        <w:t xml:space="preserve"> high temperature. </w:t>
      </w:r>
      <w:r w:rsidRPr="00754BC9">
        <w:rPr>
          <w:noProof/>
        </w:rPr>
        <w:t>Heavily polluted per capita (PPC), figuring all six Gulf Cooperation Council (GCC) countries among the 10 first PPC positions, these wealthy countries in</w:t>
      </w:r>
      <w:r w:rsidR="00F51570" w:rsidRPr="00754BC9">
        <w:rPr>
          <w:noProof/>
        </w:rPr>
        <w:t xml:space="preserve"> the</w:t>
      </w:r>
      <w:r w:rsidRPr="00754BC9">
        <w:rPr>
          <w:noProof/>
        </w:rPr>
        <w:t xml:space="preserve"> Middle East have presented in the last years one of the worst </w:t>
      </w:r>
      <w:r w:rsidR="001204E5" w:rsidRPr="00754BC9">
        <w:rPr>
          <w:noProof/>
        </w:rPr>
        <w:t>qualities</w:t>
      </w:r>
      <w:r w:rsidRPr="00754BC9">
        <w:rPr>
          <w:noProof/>
        </w:rPr>
        <w:t xml:space="preserve"> of air worldwide. This is a consequence of high PP</w:t>
      </w:r>
      <w:r w:rsidR="0067406E" w:rsidRPr="00754BC9">
        <w:rPr>
          <w:noProof/>
        </w:rPr>
        <w:t>C</w:t>
      </w:r>
      <w:r w:rsidRPr="00754BC9">
        <w:rPr>
          <w:noProof/>
        </w:rPr>
        <w:t xml:space="preserve"> level</w:t>
      </w:r>
      <w:r w:rsidR="00F51570" w:rsidRPr="00754BC9">
        <w:rPr>
          <w:noProof/>
        </w:rPr>
        <w:t>s</w:t>
      </w:r>
      <w:r w:rsidRPr="00754BC9">
        <w:rPr>
          <w:noProof/>
        </w:rPr>
        <w:t xml:space="preserve"> localized in these countries that cannot be solved without changes towards fossil fuels consumption regardless </w:t>
      </w:r>
      <w:r w:rsidR="00F51570" w:rsidRPr="00754BC9">
        <w:rPr>
          <w:noProof/>
        </w:rPr>
        <w:t xml:space="preserve">of </w:t>
      </w:r>
      <w:r w:rsidRPr="00754BC9">
        <w:rPr>
          <w:noProof/>
        </w:rPr>
        <w:t xml:space="preserve">the climate change issues </w:t>
      </w:r>
      <w:r w:rsidR="0067406E" w:rsidRPr="00754BC9">
        <w:rPr>
          <w:noProof/>
        </w:rPr>
        <w:t>by the</w:t>
      </w:r>
      <w:r w:rsidRPr="00754BC9">
        <w:rPr>
          <w:noProof/>
        </w:rPr>
        <w:t xml:space="preserve"> CO</w:t>
      </w:r>
      <w:r w:rsidRPr="00754BC9">
        <w:rPr>
          <w:noProof/>
          <w:vertAlign w:val="subscript"/>
        </w:rPr>
        <w:t>2</w:t>
      </w:r>
      <w:r w:rsidRPr="00754BC9">
        <w:rPr>
          <w:noProof/>
        </w:rPr>
        <w:t xml:space="preserve"> excess globally. To combat climate changes and air quality localized, </w:t>
      </w:r>
      <w:r w:rsidR="00F51570" w:rsidRPr="00754BC9">
        <w:rPr>
          <w:noProof/>
        </w:rPr>
        <w:t xml:space="preserve">the </w:t>
      </w:r>
      <w:r w:rsidRPr="00754BC9">
        <w:rPr>
          <w:noProof/>
        </w:rPr>
        <w:t xml:space="preserve">Middle East Energy Policy launched sustainable development strategies in the series of so-called </w:t>
      </w:r>
      <w:r w:rsidR="00F51570" w:rsidRPr="00754BC9">
        <w:rPr>
          <w:noProof/>
        </w:rPr>
        <w:t>N</w:t>
      </w:r>
      <w:r w:rsidRPr="00754BC9">
        <w:rPr>
          <w:noProof/>
        </w:rPr>
        <w:t xml:space="preserve">ational Vision 2030 and beyond. </w:t>
      </w:r>
      <w:r w:rsidR="006A6852" w:rsidRPr="00754BC9">
        <w:rPr>
          <w:noProof/>
        </w:rPr>
        <w:t>As an example</w:t>
      </w:r>
      <w:r w:rsidR="007B4510" w:rsidRPr="00754BC9">
        <w:rPr>
          <w:noProof/>
        </w:rPr>
        <w:t xml:space="preserve"> of th</w:t>
      </w:r>
      <w:r w:rsidR="007F38C2" w:rsidRPr="00754BC9">
        <w:rPr>
          <w:noProof/>
        </w:rPr>
        <w:t>ese</w:t>
      </w:r>
      <w:r w:rsidR="007B4510" w:rsidRPr="00754BC9">
        <w:rPr>
          <w:noProof/>
        </w:rPr>
        <w:t xml:space="preserve"> sustainable initiatives, t</w:t>
      </w:r>
      <w:r w:rsidRPr="00754BC9">
        <w:rPr>
          <w:noProof/>
        </w:rPr>
        <w:t>his work calculates the CO</w:t>
      </w:r>
      <w:r w:rsidRPr="00754BC9">
        <w:rPr>
          <w:noProof/>
          <w:vertAlign w:val="subscript"/>
        </w:rPr>
        <w:t>2</w:t>
      </w:r>
      <w:r w:rsidRPr="00754BC9">
        <w:rPr>
          <w:noProof/>
        </w:rPr>
        <w:t xml:space="preserve"> reduction </w:t>
      </w:r>
      <w:r w:rsidR="009B3308" w:rsidRPr="00754BC9">
        <w:rPr>
          <w:noProof/>
        </w:rPr>
        <w:t>from</w:t>
      </w:r>
      <w:r w:rsidRPr="00754BC9">
        <w:rPr>
          <w:noProof/>
        </w:rPr>
        <w:t xml:space="preserve"> national project</w:t>
      </w:r>
      <w:r w:rsidR="00F51570" w:rsidRPr="00754BC9">
        <w:rPr>
          <w:noProof/>
        </w:rPr>
        <w:t>s</w:t>
      </w:r>
      <w:r w:rsidRPr="00754BC9">
        <w:rPr>
          <w:noProof/>
        </w:rPr>
        <w:t xml:space="preserve"> </w:t>
      </w:r>
      <w:r w:rsidR="00F51570" w:rsidRPr="00754BC9">
        <w:rPr>
          <w:noProof/>
        </w:rPr>
        <w:t xml:space="preserve">such </w:t>
      </w:r>
      <w:r w:rsidRPr="00754BC9">
        <w:rPr>
          <w:noProof/>
        </w:rPr>
        <w:t>as subway lines, electrical buses, solar panel farms, etc., for Qatar</w:t>
      </w:r>
      <w:r w:rsidR="007B4510" w:rsidRPr="00754BC9">
        <w:rPr>
          <w:noProof/>
        </w:rPr>
        <w:t>’s</w:t>
      </w:r>
      <w:r w:rsidRPr="00754BC9">
        <w:rPr>
          <w:noProof/>
        </w:rPr>
        <w:t xml:space="preserve"> National Vision 2030 towards CO</w:t>
      </w:r>
      <w:r w:rsidRPr="00754BC9">
        <w:rPr>
          <w:noProof/>
          <w:vertAlign w:val="subscript"/>
        </w:rPr>
        <w:t>2</w:t>
      </w:r>
      <w:r w:rsidRPr="00754BC9">
        <w:rPr>
          <w:noProof/>
        </w:rPr>
        <w:t xml:space="preserve"> reduction </w:t>
      </w:r>
      <w:r w:rsidR="007039B1" w:rsidRPr="00754BC9">
        <w:rPr>
          <w:noProof/>
        </w:rPr>
        <w:t>c</w:t>
      </w:r>
      <w:r w:rsidRPr="00754BC9">
        <w:rPr>
          <w:noProof/>
        </w:rPr>
        <w:t xml:space="preserve">onsidering the baseline as the year before the COVID-19 pandemic. </w:t>
      </w:r>
      <w:r w:rsidR="000030F3" w:rsidRPr="00754BC9">
        <w:rPr>
          <w:noProof/>
        </w:rPr>
        <w:t>W</w:t>
      </w:r>
      <w:r w:rsidRPr="00754BC9">
        <w:rPr>
          <w:noProof/>
        </w:rPr>
        <w:t>idespread greener transportation systems and electricity from renewables for the visioned CO</w:t>
      </w:r>
      <w:r w:rsidRPr="00754BC9">
        <w:rPr>
          <w:noProof/>
          <w:vertAlign w:val="subscript"/>
        </w:rPr>
        <w:t>2</w:t>
      </w:r>
      <w:r w:rsidRPr="00754BC9">
        <w:rPr>
          <w:noProof/>
        </w:rPr>
        <w:t xml:space="preserve"> reduction </w:t>
      </w:r>
      <w:r w:rsidR="001251EF" w:rsidRPr="00754BC9">
        <w:rPr>
          <w:noProof/>
        </w:rPr>
        <w:t xml:space="preserve">may not suffice for the intended </w:t>
      </w:r>
      <w:r w:rsidR="00816395" w:rsidRPr="00754BC9">
        <w:rPr>
          <w:noProof/>
        </w:rPr>
        <w:t xml:space="preserve">projects </w:t>
      </w:r>
      <w:r w:rsidRPr="00754BC9">
        <w:rPr>
          <w:noProof/>
        </w:rPr>
        <w:t xml:space="preserve">and changes in energy policies and housing consumer behavior in the country or </w:t>
      </w:r>
      <w:r w:rsidR="00816395" w:rsidRPr="00754BC9">
        <w:rPr>
          <w:noProof/>
        </w:rPr>
        <w:t xml:space="preserve">in </w:t>
      </w:r>
      <w:r w:rsidRPr="00754BC9">
        <w:rPr>
          <w:noProof/>
        </w:rPr>
        <w:t>the region are fundamental to reach the reduction targets.</w:t>
      </w:r>
    </w:p>
    <w:p w14:paraId="144DE687" w14:textId="70B9EC6F" w:rsidR="008D2649" w:rsidRPr="00754BC9" w:rsidRDefault="008D2649" w:rsidP="005E3BF4">
      <w:pPr>
        <w:pStyle w:val="Els-body-text"/>
        <w:spacing w:after="120"/>
        <w:rPr>
          <w:noProof/>
        </w:rPr>
      </w:pPr>
      <w:r w:rsidRPr="00754BC9">
        <w:rPr>
          <w:b/>
          <w:bCs/>
          <w:noProof/>
        </w:rPr>
        <w:t>Keywords</w:t>
      </w:r>
      <w:r w:rsidRPr="00754BC9">
        <w:rPr>
          <w:noProof/>
        </w:rPr>
        <w:t xml:space="preserve">: </w:t>
      </w:r>
      <w:r w:rsidR="00853FEE" w:rsidRPr="00754BC9">
        <w:rPr>
          <w:noProof/>
        </w:rPr>
        <w:t>Sustainability, CO</w:t>
      </w:r>
      <w:r w:rsidR="00853FEE" w:rsidRPr="00754BC9">
        <w:rPr>
          <w:noProof/>
          <w:vertAlign w:val="subscript"/>
        </w:rPr>
        <w:t>2</w:t>
      </w:r>
      <w:r w:rsidR="00853FEE" w:rsidRPr="00754BC9">
        <w:rPr>
          <w:noProof/>
        </w:rPr>
        <w:t xml:space="preserve"> emissions,</w:t>
      </w:r>
      <w:r w:rsidR="002E7767" w:rsidRPr="00754BC9">
        <w:rPr>
          <w:noProof/>
        </w:rPr>
        <w:t xml:space="preserve"> </w:t>
      </w:r>
      <w:r w:rsidR="00E97686" w:rsidRPr="00754BC9">
        <w:rPr>
          <w:noProof/>
        </w:rPr>
        <w:t xml:space="preserve">greener transportation, GHG, </w:t>
      </w:r>
      <w:r w:rsidR="00EF3F26" w:rsidRPr="00754BC9">
        <w:rPr>
          <w:noProof/>
        </w:rPr>
        <w:t xml:space="preserve">GCC </w:t>
      </w:r>
      <w:r w:rsidR="00754BC9">
        <w:rPr>
          <w:noProof/>
        </w:rPr>
        <w:t>c</w:t>
      </w:r>
      <w:r w:rsidR="00EF3F26" w:rsidRPr="00754BC9">
        <w:rPr>
          <w:noProof/>
        </w:rPr>
        <w:t>ountries</w:t>
      </w:r>
    </w:p>
    <w:p w14:paraId="144DE689" w14:textId="51C267A6" w:rsidR="008D2649" w:rsidRPr="00754BC9" w:rsidRDefault="00853FEE" w:rsidP="005E3BF4">
      <w:pPr>
        <w:pStyle w:val="Els-1storder-head"/>
        <w:spacing w:line="240" w:lineRule="auto"/>
        <w:rPr>
          <w:noProof/>
        </w:rPr>
      </w:pPr>
      <w:r w:rsidRPr="00754BC9">
        <w:rPr>
          <w:noProof/>
        </w:rPr>
        <w:t>Introduction</w:t>
      </w:r>
    </w:p>
    <w:p w14:paraId="3516A96B" w14:textId="0ECFDA9E" w:rsidR="00A530E5" w:rsidRPr="00754BC9" w:rsidRDefault="00912254" w:rsidP="005E3BF4">
      <w:pPr>
        <w:pStyle w:val="Els-body-text"/>
        <w:spacing w:after="240"/>
        <w:rPr>
          <w:noProof/>
        </w:rPr>
      </w:pPr>
      <w:r w:rsidRPr="00754BC9">
        <w:rPr>
          <w:noProof/>
        </w:rPr>
        <w:t>CO</w:t>
      </w:r>
      <w:r w:rsidRPr="00754BC9">
        <w:rPr>
          <w:noProof/>
          <w:vertAlign w:val="subscript"/>
        </w:rPr>
        <w:t>2</w:t>
      </w:r>
      <w:r w:rsidRPr="00754BC9">
        <w:rPr>
          <w:noProof/>
        </w:rPr>
        <w:t>-equivalent emissions are unequally distributed worldwide. It depends on countries' population size and wealth, energy matrix on fossil</w:t>
      </w:r>
      <w:r w:rsidR="00754BC9">
        <w:rPr>
          <w:noProof/>
        </w:rPr>
        <w:t>-</w:t>
      </w:r>
      <w:r w:rsidRPr="00754BC9">
        <w:rPr>
          <w:noProof/>
        </w:rPr>
        <w:t>fuels, transportation networks, industr</w:t>
      </w:r>
      <w:r w:rsidR="00754BC9">
        <w:rPr>
          <w:noProof/>
        </w:rPr>
        <w:t>ial</w:t>
      </w:r>
      <w:r w:rsidRPr="00754BC9">
        <w:rPr>
          <w:noProof/>
        </w:rPr>
        <w:t xml:space="preserve"> capacit</w:t>
      </w:r>
      <w:r w:rsidR="00754BC9">
        <w:rPr>
          <w:noProof/>
        </w:rPr>
        <w:t>ies</w:t>
      </w:r>
      <w:r w:rsidRPr="00754BC9">
        <w:rPr>
          <w:noProof/>
        </w:rPr>
        <w:t xml:space="preserve"> and capabilities, energy diversification towards renewables, awareness and behavior of the communities on housing energy savings and impacts on health of exhausted gases (emissions) from fossil</w:t>
      </w:r>
      <w:r w:rsidR="00754BC9">
        <w:rPr>
          <w:noProof/>
        </w:rPr>
        <w:t>-</w:t>
      </w:r>
      <w:r w:rsidRPr="00754BC9">
        <w:rPr>
          <w:noProof/>
        </w:rPr>
        <w:t xml:space="preserve">fuel combustion. </w:t>
      </w:r>
      <w:r w:rsidR="002A6DCA" w:rsidRPr="00754BC9">
        <w:rPr>
          <w:noProof/>
        </w:rPr>
        <w:t>Policymakers</w:t>
      </w:r>
      <w:r w:rsidRPr="00754BC9">
        <w:rPr>
          <w:noProof/>
        </w:rPr>
        <w:t>, academics, and industrial experts develop nationwide plans or international agreements to mitigate by several means the footprint of any kind of under-monitoring and control (UMC) activities of the interdependent energy-emission flows</w:t>
      </w:r>
      <w:r w:rsidR="000D0351">
        <w:rPr>
          <w:noProof/>
        </w:rPr>
        <w:t xml:space="preserve"> </w:t>
      </w:r>
      <w:r w:rsidR="00584724" w:rsidRPr="00754BC9">
        <w:rPr>
          <w:noProof/>
        </w:rPr>
        <w:t>(</w:t>
      </w:r>
      <w:r w:rsidR="000D0351">
        <w:rPr>
          <w:noProof/>
        </w:rPr>
        <w:t>EIA Outlook, 2022</w:t>
      </w:r>
      <w:r w:rsidR="00584724" w:rsidRPr="00754BC9">
        <w:rPr>
          <w:noProof/>
        </w:rPr>
        <w:t>)</w:t>
      </w:r>
      <w:r w:rsidRPr="00754BC9">
        <w:rPr>
          <w:noProof/>
        </w:rPr>
        <w:t xml:space="preserve">. </w:t>
      </w:r>
    </w:p>
    <w:p w14:paraId="385BCE40" w14:textId="63B6B37B" w:rsidR="002D1FAF" w:rsidRPr="00754BC9" w:rsidRDefault="00912254" w:rsidP="005E3BF4">
      <w:pPr>
        <w:pStyle w:val="Els-body-text"/>
        <w:rPr>
          <w:noProof/>
        </w:rPr>
      </w:pPr>
      <w:r w:rsidRPr="00754BC9">
        <w:rPr>
          <w:noProof/>
        </w:rPr>
        <w:t>Globally, Middle East</w:t>
      </w:r>
      <w:r w:rsidR="000D0351">
        <w:rPr>
          <w:noProof/>
        </w:rPr>
        <w:t>ern</w:t>
      </w:r>
      <w:r w:rsidRPr="00754BC9">
        <w:rPr>
          <w:noProof/>
        </w:rPr>
        <w:t xml:space="preserve"> countries pollute </w:t>
      </w:r>
      <w:r w:rsidR="000D0351">
        <w:rPr>
          <w:noProof/>
        </w:rPr>
        <w:t>4</w:t>
      </w:r>
      <w:r w:rsidRPr="00754BC9">
        <w:rPr>
          <w:noProof/>
        </w:rPr>
        <w:t xml:space="preserve">% (GCC </w:t>
      </w:r>
      <w:r w:rsidR="0010017B" w:rsidRPr="00754BC9">
        <w:rPr>
          <w:noProof/>
        </w:rPr>
        <w:t>3.2</w:t>
      </w:r>
      <w:r w:rsidR="00737060">
        <w:rPr>
          <w:noProof/>
        </w:rPr>
        <w:t>3</w:t>
      </w:r>
      <w:r w:rsidRPr="00754BC9">
        <w:rPr>
          <w:noProof/>
        </w:rPr>
        <w:t xml:space="preserve">%) in total amount. Locally, the quality of </w:t>
      </w:r>
      <w:r w:rsidR="000D0351">
        <w:rPr>
          <w:noProof/>
        </w:rPr>
        <w:t xml:space="preserve">the </w:t>
      </w:r>
      <w:r w:rsidRPr="00754BC9">
        <w:rPr>
          <w:noProof/>
        </w:rPr>
        <w:t>air in its higher levels</w:t>
      </w:r>
      <w:r w:rsidR="000D0351">
        <w:rPr>
          <w:noProof/>
        </w:rPr>
        <w:t>,</w:t>
      </w:r>
      <w:r w:rsidRPr="00754BC9">
        <w:rPr>
          <w:noProof/>
        </w:rPr>
        <w:t xml:space="preserve"> at 4 or 5 (of a scale from 1 to 5)</w:t>
      </w:r>
      <w:r w:rsidR="000D0351">
        <w:rPr>
          <w:noProof/>
        </w:rPr>
        <w:t>,</w:t>
      </w:r>
      <w:r w:rsidRPr="00754BC9">
        <w:rPr>
          <w:noProof/>
        </w:rPr>
        <w:t xml:space="preserve"> </w:t>
      </w:r>
      <w:r w:rsidR="000D0351">
        <w:rPr>
          <w:noProof/>
        </w:rPr>
        <w:t xml:space="preserve">is found </w:t>
      </w:r>
      <w:r w:rsidR="00A00534" w:rsidRPr="00754BC9">
        <w:rPr>
          <w:noProof/>
        </w:rPr>
        <w:t xml:space="preserve">most </w:t>
      </w:r>
      <w:r w:rsidRPr="00754BC9">
        <w:rPr>
          <w:noProof/>
        </w:rPr>
        <w:lastRenderedPageBreak/>
        <w:t xml:space="preserve">of the time </w:t>
      </w:r>
      <w:r w:rsidR="000D0351">
        <w:rPr>
          <w:noProof/>
        </w:rPr>
        <w:t>in</w:t>
      </w:r>
      <w:r w:rsidRPr="00754BC9">
        <w:rPr>
          <w:noProof/>
        </w:rPr>
        <w:t xml:space="preserve"> certain GCC</w:t>
      </w:r>
      <w:r w:rsidR="000D0351" w:rsidRPr="000D0351">
        <w:rPr>
          <w:noProof/>
        </w:rPr>
        <w:t xml:space="preserve"> </w:t>
      </w:r>
      <w:r w:rsidR="000D0351" w:rsidRPr="00754BC9">
        <w:rPr>
          <w:noProof/>
        </w:rPr>
        <w:t>regions</w:t>
      </w:r>
      <w:r w:rsidRPr="00754BC9">
        <w:rPr>
          <w:noProof/>
        </w:rPr>
        <w:t>. Although the CO</w:t>
      </w:r>
      <w:r w:rsidR="00A530E5" w:rsidRPr="00754BC9">
        <w:rPr>
          <w:noProof/>
          <w:vertAlign w:val="subscript"/>
        </w:rPr>
        <w:t>2</w:t>
      </w:r>
      <w:r w:rsidR="00A00534" w:rsidRPr="00754BC9">
        <w:rPr>
          <w:noProof/>
        </w:rPr>
        <w:t>-e</w:t>
      </w:r>
      <w:r w:rsidRPr="00754BC9">
        <w:rPr>
          <w:noProof/>
        </w:rPr>
        <w:t>quivalent is the subject under discussion in this paper, other emissions related to the combustion processes emitted together when burning fossil</w:t>
      </w:r>
      <w:r w:rsidR="000D0351">
        <w:rPr>
          <w:noProof/>
        </w:rPr>
        <w:t>-</w:t>
      </w:r>
      <w:r w:rsidRPr="00754BC9">
        <w:rPr>
          <w:noProof/>
        </w:rPr>
        <w:t>fuel derivatives (</w:t>
      </w:r>
      <w:r w:rsidR="005B7E84" w:rsidRPr="00754BC9">
        <w:rPr>
          <w:noProof/>
        </w:rPr>
        <w:t xml:space="preserve">coal, </w:t>
      </w:r>
      <w:r w:rsidRPr="00754BC9">
        <w:rPr>
          <w:noProof/>
        </w:rPr>
        <w:t xml:space="preserve">natural gas, </w:t>
      </w:r>
      <w:r w:rsidR="005B7E84" w:rsidRPr="00754BC9">
        <w:rPr>
          <w:noProof/>
        </w:rPr>
        <w:t xml:space="preserve">fuel oil, bunker, </w:t>
      </w:r>
      <w:r w:rsidRPr="00754BC9">
        <w:rPr>
          <w:noProof/>
        </w:rPr>
        <w:t>gasoline, jet-fuel, diesel, etc.) are NO</w:t>
      </w:r>
      <w:r w:rsidR="00344A5C" w:rsidRPr="00754BC9">
        <w:rPr>
          <w:noProof/>
        </w:rPr>
        <w:t>x</w:t>
      </w:r>
      <w:r w:rsidRPr="00754BC9">
        <w:rPr>
          <w:noProof/>
        </w:rPr>
        <w:t>, SO</w:t>
      </w:r>
      <w:r w:rsidR="00366A7C" w:rsidRPr="00754BC9">
        <w:rPr>
          <w:noProof/>
          <w:vertAlign w:val="subscript"/>
        </w:rPr>
        <w:t>2</w:t>
      </w:r>
      <w:r w:rsidRPr="00754BC9">
        <w:rPr>
          <w:noProof/>
        </w:rPr>
        <w:t xml:space="preserve">, CO, </w:t>
      </w:r>
      <w:r w:rsidR="000D0351">
        <w:rPr>
          <w:noProof/>
        </w:rPr>
        <w:t>PM</w:t>
      </w:r>
      <w:r w:rsidRPr="00754BC9">
        <w:rPr>
          <w:noProof/>
        </w:rPr>
        <w:t>, etc. Adding to the CO</w:t>
      </w:r>
      <w:r w:rsidR="00366A7C" w:rsidRPr="00754BC9">
        <w:rPr>
          <w:noProof/>
          <w:vertAlign w:val="subscript"/>
        </w:rPr>
        <w:t>2</w:t>
      </w:r>
      <w:r w:rsidRPr="00754BC9">
        <w:rPr>
          <w:noProof/>
        </w:rPr>
        <w:t>-equivalent bulk, countries where methane (CH</w:t>
      </w:r>
      <w:r w:rsidR="00366A7C" w:rsidRPr="00754BC9">
        <w:rPr>
          <w:noProof/>
          <w:vertAlign w:val="subscript"/>
        </w:rPr>
        <w:t>4</w:t>
      </w:r>
      <w:r w:rsidRPr="00754BC9">
        <w:rPr>
          <w:noProof/>
        </w:rPr>
        <w:t>) to the atmosphere is prominent, the GHG concerns are more complex such as in Brazil for its huge production of livestock (</w:t>
      </w:r>
      <w:r w:rsidR="00366A7C" w:rsidRPr="00754BC9">
        <w:rPr>
          <w:noProof/>
        </w:rPr>
        <w:t>CH</w:t>
      </w:r>
      <w:r w:rsidR="00366A7C" w:rsidRPr="00754BC9">
        <w:rPr>
          <w:noProof/>
          <w:vertAlign w:val="subscript"/>
        </w:rPr>
        <w:t>4</w:t>
      </w:r>
      <w:r w:rsidRPr="00754BC9">
        <w:rPr>
          <w:noProof/>
        </w:rPr>
        <w:t xml:space="preserve"> from animal manure) and in Qatar with </w:t>
      </w:r>
      <w:r w:rsidR="00344A5C" w:rsidRPr="00754BC9">
        <w:rPr>
          <w:noProof/>
        </w:rPr>
        <w:t xml:space="preserve">escaping </w:t>
      </w:r>
      <w:r w:rsidRPr="00754BC9">
        <w:rPr>
          <w:noProof/>
        </w:rPr>
        <w:t xml:space="preserve">of </w:t>
      </w:r>
      <w:r w:rsidR="00366A7C" w:rsidRPr="00754BC9">
        <w:rPr>
          <w:noProof/>
        </w:rPr>
        <w:t>CH</w:t>
      </w:r>
      <w:r w:rsidR="00366A7C" w:rsidRPr="00754BC9">
        <w:rPr>
          <w:noProof/>
          <w:vertAlign w:val="subscript"/>
        </w:rPr>
        <w:t>4</w:t>
      </w:r>
      <w:r w:rsidRPr="00754BC9">
        <w:rPr>
          <w:noProof/>
        </w:rPr>
        <w:t xml:space="preserve"> throughout the liquid natural gas (LNG) production and supply chain networks.</w:t>
      </w:r>
    </w:p>
    <w:p w14:paraId="161971B0" w14:textId="3D38610A" w:rsidR="009B60C4" w:rsidRPr="00754BC9" w:rsidRDefault="00912254" w:rsidP="005E3BF4">
      <w:pPr>
        <w:pStyle w:val="Els-body-text"/>
        <w:spacing w:before="240"/>
        <w:rPr>
          <w:noProof/>
        </w:rPr>
      </w:pPr>
      <w:r w:rsidRPr="00754BC9">
        <w:rPr>
          <w:noProof/>
        </w:rPr>
        <w:t xml:space="preserve">Technical solutions towards GHG reduction typically </w:t>
      </w:r>
      <w:r w:rsidR="00F34302" w:rsidRPr="00754BC9">
        <w:rPr>
          <w:noProof/>
        </w:rPr>
        <w:t>consider</w:t>
      </w:r>
      <w:r w:rsidRPr="00754BC9">
        <w:rPr>
          <w:noProof/>
        </w:rPr>
        <w:t xml:space="preserve"> (1) sustainable design, operation, control, and monitoring of current or new assets, (2) phasing down or out </w:t>
      </w:r>
      <w:r w:rsidR="00F01B40" w:rsidRPr="00754BC9">
        <w:rPr>
          <w:noProof/>
        </w:rPr>
        <w:t xml:space="preserve">of </w:t>
      </w:r>
      <w:r w:rsidRPr="00754BC9">
        <w:rPr>
          <w:noProof/>
        </w:rPr>
        <w:t xml:space="preserve">fossil fuels, (3) carbon capture processes, and (4) use of </w:t>
      </w:r>
      <w:r w:rsidR="00F34302" w:rsidRPr="00754BC9">
        <w:rPr>
          <w:noProof/>
        </w:rPr>
        <w:t>renewables</w:t>
      </w:r>
      <w:r w:rsidRPr="00754BC9">
        <w:rPr>
          <w:noProof/>
        </w:rPr>
        <w:t xml:space="preserve">. However, all these options present pitfalls and risks inherent to their </w:t>
      </w:r>
      <w:r w:rsidR="00F34302" w:rsidRPr="00754BC9">
        <w:rPr>
          <w:noProof/>
        </w:rPr>
        <w:t>expansion</w:t>
      </w:r>
      <w:r w:rsidRPr="00754BC9">
        <w:rPr>
          <w:noProof/>
        </w:rPr>
        <w:t xml:space="preserve">. In some GCC countries, their </w:t>
      </w:r>
      <w:r w:rsidRPr="00754BC9">
        <w:rPr>
          <w:i/>
          <w:iCs/>
          <w:noProof/>
        </w:rPr>
        <w:t>National Vision Programs</w:t>
      </w:r>
      <w:r w:rsidRPr="00754BC9">
        <w:rPr>
          <w:noProof/>
        </w:rPr>
        <w:t xml:space="preserve"> are counting on these solutions to achieve GHG reduction. However, many of these programs are taken as initiatives or </w:t>
      </w:r>
      <w:r w:rsidR="00F34302" w:rsidRPr="00754BC9">
        <w:rPr>
          <w:noProof/>
        </w:rPr>
        <w:t>intentions</w:t>
      </w:r>
      <w:r w:rsidRPr="00754BC9">
        <w:rPr>
          <w:noProof/>
        </w:rPr>
        <w:t xml:space="preserve"> rather than being considered as mandates or new legislation.</w:t>
      </w:r>
    </w:p>
    <w:p w14:paraId="12B2CCB9" w14:textId="5393868D" w:rsidR="009023FA" w:rsidRPr="00754BC9" w:rsidRDefault="00912254" w:rsidP="0009151B">
      <w:pPr>
        <w:pStyle w:val="Els-body-text"/>
        <w:spacing w:before="240" w:after="240"/>
        <w:rPr>
          <w:noProof/>
        </w:rPr>
      </w:pPr>
      <w:r w:rsidRPr="00754BC9">
        <w:rPr>
          <w:noProof/>
        </w:rPr>
        <w:t xml:space="preserve">On the other hand, non-technical solutions, related to the energy end-user must count on society's </w:t>
      </w:r>
      <w:r w:rsidRPr="00754BC9">
        <w:rPr>
          <w:i/>
          <w:iCs/>
          <w:noProof/>
          <w:u w:val="single"/>
        </w:rPr>
        <w:t>glocal</w:t>
      </w:r>
      <w:r w:rsidRPr="00754BC9">
        <w:rPr>
          <w:noProof/>
        </w:rPr>
        <w:t xml:space="preserve"> management by acting locally to achieve a global (or regional) outcome. In the case of </w:t>
      </w:r>
      <w:r w:rsidR="00575523" w:rsidRPr="00754BC9">
        <w:rPr>
          <w:noProof/>
        </w:rPr>
        <w:t xml:space="preserve">the </w:t>
      </w:r>
      <w:r w:rsidRPr="00754BC9">
        <w:rPr>
          <w:noProof/>
        </w:rPr>
        <w:t>Middle East, particularly in GCC, the high regional consumption of energy per capita can potentially cause more health issues than other regions in the globe. This is direct</w:t>
      </w:r>
      <w:r w:rsidR="00575523" w:rsidRPr="00754BC9">
        <w:rPr>
          <w:noProof/>
        </w:rPr>
        <w:t>ly</w:t>
      </w:r>
      <w:r w:rsidRPr="00754BC9">
        <w:rPr>
          <w:noProof/>
        </w:rPr>
        <w:t xml:space="preserve"> related to other exhausted gases (not CO</w:t>
      </w:r>
      <w:r w:rsidRPr="00754BC9">
        <w:rPr>
          <w:noProof/>
          <w:vertAlign w:val="subscript"/>
        </w:rPr>
        <w:t>2</w:t>
      </w:r>
      <w:r w:rsidRPr="00754BC9">
        <w:rPr>
          <w:noProof/>
        </w:rPr>
        <w:t>) and particulate matter (PM) generated mainly by the combustion of fossil</w:t>
      </w:r>
      <w:r w:rsidR="000D0351">
        <w:rPr>
          <w:noProof/>
        </w:rPr>
        <w:t>-</w:t>
      </w:r>
      <w:r w:rsidRPr="00754BC9">
        <w:rPr>
          <w:noProof/>
        </w:rPr>
        <w:t>fuel derivatives in transportation system</w:t>
      </w:r>
      <w:r w:rsidR="000D0351">
        <w:rPr>
          <w:noProof/>
        </w:rPr>
        <w:t>s</w:t>
      </w:r>
      <w:r w:rsidRPr="00754BC9">
        <w:rPr>
          <w:noProof/>
        </w:rPr>
        <w:t>.</w:t>
      </w:r>
      <w:r w:rsidR="0009151B">
        <w:rPr>
          <w:noProof/>
        </w:rPr>
        <w:t xml:space="preserve"> </w:t>
      </w:r>
      <w:r w:rsidRPr="00754BC9">
        <w:rPr>
          <w:noProof/>
        </w:rPr>
        <w:t xml:space="preserve">Efficient energy systems and adequate policies are necessary for </w:t>
      </w:r>
      <w:r w:rsidR="00575523" w:rsidRPr="00754BC9">
        <w:rPr>
          <w:noProof/>
        </w:rPr>
        <w:t xml:space="preserve">the </w:t>
      </w:r>
      <w:r w:rsidRPr="00754BC9">
        <w:rPr>
          <w:noProof/>
        </w:rPr>
        <w:t>development of viable projects towards the sustainable reduction of GHGs, whereby techno-economic assessments must evaluate the trade-offs between technology, economics, and sustainability in a systematic way. It includes energy system design and integration, greener energy production considering the transition to renewables, technologies for energy savings and storage, carbon capture, among others.</w:t>
      </w:r>
    </w:p>
    <w:p w14:paraId="55187E82" w14:textId="1018C50C" w:rsidR="00813D0C" w:rsidRPr="00754BC9" w:rsidRDefault="00305020" w:rsidP="005E3BF4">
      <w:pPr>
        <w:pStyle w:val="Els-body-text"/>
        <w:rPr>
          <w:b/>
          <w:bCs/>
          <w:noProof/>
          <w:sz w:val="24"/>
          <w:szCs w:val="24"/>
        </w:rPr>
      </w:pPr>
      <w:r w:rsidRPr="00754BC9">
        <w:rPr>
          <w:b/>
          <w:bCs/>
          <w:noProof/>
          <w:sz w:val="24"/>
          <w:szCs w:val="24"/>
        </w:rPr>
        <w:t>2</w:t>
      </w:r>
      <w:r w:rsidR="009B60C4" w:rsidRPr="00754BC9">
        <w:rPr>
          <w:b/>
          <w:bCs/>
          <w:noProof/>
          <w:sz w:val="24"/>
          <w:szCs w:val="24"/>
        </w:rPr>
        <w:t>.</w:t>
      </w:r>
      <w:r w:rsidRPr="00754BC9">
        <w:rPr>
          <w:b/>
          <w:bCs/>
          <w:noProof/>
          <w:sz w:val="24"/>
          <w:szCs w:val="24"/>
        </w:rPr>
        <w:t xml:space="preserve"> </w:t>
      </w:r>
      <w:r w:rsidR="00813D0C" w:rsidRPr="00754BC9">
        <w:rPr>
          <w:b/>
          <w:bCs/>
          <w:noProof/>
          <w:sz w:val="24"/>
          <w:szCs w:val="24"/>
        </w:rPr>
        <w:t>Problem statement</w:t>
      </w:r>
    </w:p>
    <w:p w14:paraId="74409160" w14:textId="31969B00" w:rsidR="00813D0C" w:rsidRPr="00754BC9" w:rsidRDefault="00575523" w:rsidP="0009151B">
      <w:pPr>
        <w:pStyle w:val="Els-body-text"/>
        <w:spacing w:before="240" w:after="240"/>
        <w:rPr>
          <w:noProof/>
        </w:rPr>
      </w:pPr>
      <w:r w:rsidRPr="00754BC9">
        <w:rPr>
          <w:noProof/>
        </w:rPr>
        <w:t xml:space="preserve">The </w:t>
      </w:r>
      <w:r w:rsidR="00813D0C" w:rsidRPr="00754BC9">
        <w:rPr>
          <w:noProof/>
        </w:rPr>
        <w:t>Middle East,</w:t>
      </w:r>
      <w:r w:rsidR="0009151B">
        <w:rPr>
          <w:noProof/>
        </w:rPr>
        <w:t xml:space="preserve"> GCC</w:t>
      </w:r>
      <w:r w:rsidR="00813D0C" w:rsidRPr="00754BC9">
        <w:rPr>
          <w:noProof/>
        </w:rPr>
        <w:t xml:space="preserve"> countries, faces significant challenges related to high levels of </w:t>
      </w:r>
      <w:r w:rsidR="0009151B">
        <w:rPr>
          <w:noProof/>
        </w:rPr>
        <w:t xml:space="preserve"> </w:t>
      </w:r>
      <w:r w:rsidR="00813D0C" w:rsidRPr="00754BC9">
        <w:rPr>
          <w:noProof/>
        </w:rPr>
        <w:t>GHG emissions, particularly CO</w:t>
      </w:r>
      <w:r w:rsidR="00813D0C" w:rsidRPr="00754BC9">
        <w:rPr>
          <w:noProof/>
          <w:vertAlign w:val="subscript"/>
        </w:rPr>
        <w:t>2</w:t>
      </w:r>
      <w:r w:rsidR="00813D0C" w:rsidRPr="00754BC9">
        <w:rPr>
          <w:noProof/>
        </w:rPr>
        <w:t>. Despite regional efforts outlined in national development plans, there is a pressing need to assess the feasibility and effectiveness of current strategies aimed at reducing CO</w:t>
      </w:r>
      <w:r w:rsidR="00813D0C" w:rsidRPr="00754BC9">
        <w:rPr>
          <w:noProof/>
          <w:vertAlign w:val="subscript"/>
        </w:rPr>
        <w:t>2</w:t>
      </w:r>
      <w:r w:rsidR="00813D0C" w:rsidRPr="00754BC9">
        <w:rPr>
          <w:noProof/>
        </w:rPr>
        <w:t xml:space="preserve"> emissions. The study focuses on Qatar's National Vision 2030 as a case study, evaluating the impact of sustainable initiatives such as subway lines, electrical buses, and solar panel farms </w:t>
      </w:r>
      <w:r w:rsidR="009B60C4" w:rsidRPr="00754BC9">
        <w:rPr>
          <w:noProof/>
        </w:rPr>
        <w:t xml:space="preserve">purposed for </w:t>
      </w:r>
      <w:r w:rsidR="00813D0C" w:rsidRPr="00754BC9">
        <w:rPr>
          <w:noProof/>
        </w:rPr>
        <w:t>CO</w:t>
      </w:r>
      <w:r w:rsidR="00813D0C" w:rsidRPr="00754BC9">
        <w:rPr>
          <w:noProof/>
          <w:vertAlign w:val="subscript"/>
        </w:rPr>
        <w:t>2</w:t>
      </w:r>
      <w:r w:rsidR="00813D0C" w:rsidRPr="00754BC9">
        <w:rPr>
          <w:noProof/>
        </w:rPr>
        <w:t xml:space="preserve"> </w:t>
      </w:r>
      <w:r w:rsidR="009B60C4" w:rsidRPr="00754BC9">
        <w:rPr>
          <w:noProof/>
        </w:rPr>
        <w:t>or, broadly, GHG</w:t>
      </w:r>
      <w:r w:rsidR="0009151B">
        <w:rPr>
          <w:noProof/>
        </w:rPr>
        <w:t>/CO</w:t>
      </w:r>
      <w:r w:rsidR="0009151B" w:rsidRPr="0009151B">
        <w:rPr>
          <w:noProof/>
          <w:vertAlign w:val="subscript"/>
        </w:rPr>
        <w:t>2</w:t>
      </w:r>
      <w:r w:rsidR="0009151B">
        <w:rPr>
          <w:noProof/>
        </w:rPr>
        <w:t xml:space="preserve">-eq </w:t>
      </w:r>
      <w:r w:rsidR="00813D0C" w:rsidRPr="00754BC9">
        <w:rPr>
          <w:noProof/>
        </w:rPr>
        <w:t xml:space="preserve">reduction. However, there is a growing concern that the envisioned greener transportation systems and renewable energy sources may not be sufficient to achieve the targeted reduction. The key issues </w:t>
      </w:r>
      <w:r w:rsidR="0009151B">
        <w:rPr>
          <w:noProof/>
        </w:rPr>
        <w:t>towards CO</w:t>
      </w:r>
      <w:r w:rsidR="0009151B" w:rsidRPr="0009151B">
        <w:rPr>
          <w:noProof/>
          <w:vertAlign w:val="subscript"/>
        </w:rPr>
        <w:t>2</w:t>
      </w:r>
      <w:r w:rsidR="0009151B">
        <w:rPr>
          <w:noProof/>
        </w:rPr>
        <w:t xml:space="preserve"> reduction </w:t>
      </w:r>
      <w:r w:rsidR="0009151B" w:rsidRPr="00754BC9">
        <w:rPr>
          <w:noProof/>
          <w:lang w:eastAsia="en-GB"/>
        </w:rPr>
        <w:t xml:space="preserve">in the GCC </w:t>
      </w:r>
      <w:r w:rsidR="00813D0C" w:rsidRPr="00754BC9">
        <w:rPr>
          <w:noProof/>
        </w:rPr>
        <w:t xml:space="preserve">are as </w:t>
      </w:r>
      <w:r w:rsidR="00305020" w:rsidRPr="00754BC9">
        <w:rPr>
          <w:noProof/>
        </w:rPr>
        <w:t>follows:</w:t>
      </w:r>
    </w:p>
    <w:p w14:paraId="21D756A7" w14:textId="7B502BDC" w:rsidR="00305020" w:rsidRPr="00754BC9" w:rsidRDefault="00813D0C" w:rsidP="009B60C4">
      <w:pPr>
        <w:pStyle w:val="ListParagraph"/>
        <w:numPr>
          <w:ilvl w:val="0"/>
          <w:numId w:val="20"/>
        </w:numPr>
        <w:jc w:val="both"/>
        <w:rPr>
          <w:lang w:eastAsia="en-GB"/>
        </w:rPr>
      </w:pPr>
      <w:r w:rsidRPr="00754BC9">
        <w:rPr>
          <w:lang w:eastAsia="en-GB"/>
        </w:rPr>
        <w:t xml:space="preserve">The high per capita energy consumption in the </w:t>
      </w:r>
      <w:r w:rsidR="0009151B">
        <w:rPr>
          <w:lang w:eastAsia="en-GB"/>
        </w:rPr>
        <w:t>region</w:t>
      </w:r>
      <w:r w:rsidRPr="00754BC9">
        <w:rPr>
          <w:lang w:eastAsia="en-GB"/>
        </w:rPr>
        <w:t>, leading to severe air quality issues, primarily caused by emissions from fossil</w:t>
      </w:r>
      <w:r w:rsidR="0009151B">
        <w:rPr>
          <w:lang w:eastAsia="en-GB"/>
        </w:rPr>
        <w:t>-</w:t>
      </w:r>
      <w:r w:rsidRPr="00754BC9">
        <w:rPr>
          <w:lang w:eastAsia="en-GB"/>
        </w:rPr>
        <w:t>fuel combustion in transportation systems.</w:t>
      </w:r>
    </w:p>
    <w:p w14:paraId="048CC420" w14:textId="77777777" w:rsidR="00305020" w:rsidRPr="00754BC9" w:rsidRDefault="00813D0C" w:rsidP="009B60C4">
      <w:pPr>
        <w:pStyle w:val="ListParagraph"/>
        <w:numPr>
          <w:ilvl w:val="0"/>
          <w:numId w:val="20"/>
        </w:numPr>
        <w:jc w:val="both"/>
        <w:rPr>
          <w:lang w:eastAsia="en-GB"/>
        </w:rPr>
      </w:pPr>
      <w:r w:rsidRPr="00754BC9">
        <w:rPr>
          <w:lang w:eastAsia="en-GB"/>
        </w:rPr>
        <w:lastRenderedPageBreak/>
        <w:t>The inadequacy of technical solutions, including sustainable design, carbon capture processes, and renewable energy use, to fully address the complex challenges of GHG reduction.</w:t>
      </w:r>
    </w:p>
    <w:p w14:paraId="70DAB2E8" w14:textId="3F8631AC" w:rsidR="00813D0C" w:rsidRPr="00754BC9" w:rsidRDefault="00813D0C" w:rsidP="009B60C4">
      <w:pPr>
        <w:pStyle w:val="ListParagraph"/>
        <w:numPr>
          <w:ilvl w:val="0"/>
          <w:numId w:val="20"/>
        </w:numPr>
        <w:jc w:val="both"/>
        <w:rPr>
          <w:lang w:eastAsia="en-GB"/>
        </w:rPr>
      </w:pPr>
      <w:r w:rsidRPr="00754BC9">
        <w:rPr>
          <w:lang w:eastAsia="en-GB"/>
        </w:rPr>
        <w:t>The discrepancy between the intentions outlined in National Vision Programs and the lack of mandatory regulations or legislation to enforce the implementation of GHG reduction initiatives.</w:t>
      </w:r>
    </w:p>
    <w:p w14:paraId="36C6C22E" w14:textId="77777777" w:rsidR="00305020" w:rsidRPr="00754BC9" w:rsidRDefault="00305020" w:rsidP="005E3BF4">
      <w:pPr>
        <w:pStyle w:val="ListParagraph"/>
        <w:ind w:left="360"/>
        <w:rPr>
          <w:lang w:eastAsia="en-GB"/>
        </w:rPr>
      </w:pPr>
    </w:p>
    <w:p w14:paraId="21E749E2" w14:textId="4DAF830B" w:rsidR="00813D0C" w:rsidRPr="00754BC9" w:rsidRDefault="00305020" w:rsidP="005E3BF4">
      <w:pPr>
        <w:pStyle w:val="Els-body-text"/>
        <w:rPr>
          <w:noProof/>
        </w:rPr>
      </w:pPr>
      <w:r w:rsidRPr="00754BC9">
        <w:rPr>
          <w:noProof/>
        </w:rPr>
        <w:t xml:space="preserve">The study will primarily focus on the GCC countries, with a special emphasis on Qatar, using quantitative data and techno-economic assessments to analyze the current state of </w:t>
      </w:r>
      <w:r w:rsidR="00444D4F" w:rsidRPr="00754BC9">
        <w:rPr>
          <w:noProof/>
        </w:rPr>
        <w:t>GHG</w:t>
      </w:r>
      <w:r w:rsidRPr="00754BC9">
        <w:rPr>
          <w:noProof/>
        </w:rPr>
        <w:t xml:space="preserve"> emissions, the impact of sustainable initiatives, and the challenges faced in achieving GHG reduction targets. Understanding the challenges and limitations in the current approach towards </w:t>
      </w:r>
      <w:r w:rsidR="00444D4F" w:rsidRPr="00754BC9">
        <w:rPr>
          <w:noProof/>
        </w:rPr>
        <w:t>GHG/CO</w:t>
      </w:r>
      <w:r w:rsidR="00444D4F" w:rsidRPr="00754BC9">
        <w:rPr>
          <w:noProof/>
          <w:vertAlign w:val="subscript"/>
        </w:rPr>
        <w:t>2</w:t>
      </w:r>
      <w:r w:rsidR="00444D4F" w:rsidRPr="00754BC9">
        <w:rPr>
          <w:noProof/>
        </w:rPr>
        <w:t>-eq</w:t>
      </w:r>
      <w:r w:rsidRPr="00754BC9">
        <w:rPr>
          <w:noProof/>
        </w:rPr>
        <w:t xml:space="preserve"> reduction in the Middle East is crucial for policymakers, researchers, and industrial experts. The findings of this study will contribute valuable insights to guide the development of more effective and enforceable strategies for achieving sustainable </w:t>
      </w:r>
      <w:r w:rsidR="00444D4F" w:rsidRPr="00754BC9">
        <w:rPr>
          <w:noProof/>
        </w:rPr>
        <w:t>GHG/CO</w:t>
      </w:r>
      <w:r w:rsidR="00444D4F" w:rsidRPr="00754BC9">
        <w:rPr>
          <w:noProof/>
          <w:vertAlign w:val="subscript"/>
        </w:rPr>
        <w:t>2</w:t>
      </w:r>
      <w:r w:rsidR="00444D4F" w:rsidRPr="00754BC9">
        <w:rPr>
          <w:noProof/>
        </w:rPr>
        <w:t>-eq</w:t>
      </w:r>
      <w:r w:rsidRPr="00754BC9">
        <w:rPr>
          <w:noProof/>
        </w:rPr>
        <w:t xml:space="preserve"> reduction in the region. </w:t>
      </w:r>
    </w:p>
    <w:p w14:paraId="2830899F" w14:textId="77777777" w:rsidR="00305020" w:rsidRPr="00754BC9" w:rsidRDefault="00305020" w:rsidP="005E3BF4">
      <w:pPr>
        <w:pStyle w:val="Els-body-text"/>
        <w:rPr>
          <w:b/>
          <w:noProof/>
          <w:sz w:val="22"/>
          <w:highlight w:val="yellow"/>
        </w:rPr>
      </w:pPr>
    </w:p>
    <w:p w14:paraId="3BF154DC" w14:textId="6969ACE8" w:rsidR="003C4A52" w:rsidRPr="00754BC9" w:rsidRDefault="00305020" w:rsidP="005E3BF4">
      <w:pPr>
        <w:pStyle w:val="Els-body-text"/>
        <w:rPr>
          <w:b/>
          <w:noProof/>
          <w:sz w:val="22"/>
        </w:rPr>
      </w:pPr>
      <w:r w:rsidRPr="00754BC9">
        <w:rPr>
          <w:b/>
          <w:noProof/>
          <w:sz w:val="22"/>
        </w:rPr>
        <w:t>3</w:t>
      </w:r>
      <w:r w:rsidR="009B60C4" w:rsidRPr="00754BC9">
        <w:rPr>
          <w:b/>
          <w:noProof/>
          <w:sz w:val="22"/>
        </w:rPr>
        <w:t>.</w:t>
      </w:r>
      <w:r w:rsidRPr="00754BC9">
        <w:rPr>
          <w:b/>
          <w:noProof/>
          <w:sz w:val="22"/>
        </w:rPr>
        <w:t xml:space="preserve"> </w:t>
      </w:r>
      <w:r w:rsidR="00444D4F" w:rsidRPr="00754BC9">
        <w:rPr>
          <w:b/>
          <w:noProof/>
        </w:rPr>
        <w:t>GHG/CO</w:t>
      </w:r>
      <w:r w:rsidR="00444D4F" w:rsidRPr="00754BC9">
        <w:rPr>
          <w:b/>
          <w:noProof/>
          <w:vertAlign w:val="subscript"/>
        </w:rPr>
        <w:t>2</w:t>
      </w:r>
      <w:r w:rsidR="00444D4F" w:rsidRPr="00754BC9">
        <w:rPr>
          <w:b/>
          <w:noProof/>
        </w:rPr>
        <w:t>-eq</w:t>
      </w:r>
      <w:r w:rsidR="003C4A52" w:rsidRPr="00754BC9">
        <w:rPr>
          <w:b/>
          <w:noProof/>
          <w:sz w:val="22"/>
        </w:rPr>
        <w:t xml:space="preserve"> </w:t>
      </w:r>
      <w:r w:rsidR="009B60C4" w:rsidRPr="00754BC9">
        <w:rPr>
          <w:b/>
          <w:noProof/>
          <w:sz w:val="22"/>
        </w:rPr>
        <w:t>e</w:t>
      </w:r>
      <w:r w:rsidR="003C4A52" w:rsidRPr="00754BC9">
        <w:rPr>
          <w:b/>
          <w:noProof/>
          <w:sz w:val="22"/>
        </w:rPr>
        <w:t>mission</w:t>
      </w:r>
      <w:r w:rsidR="009B60C4" w:rsidRPr="00754BC9">
        <w:rPr>
          <w:b/>
          <w:noProof/>
          <w:sz w:val="22"/>
        </w:rPr>
        <w:t>s</w:t>
      </w:r>
      <w:r w:rsidR="003C4A52" w:rsidRPr="00754BC9">
        <w:rPr>
          <w:b/>
          <w:noProof/>
          <w:sz w:val="22"/>
        </w:rPr>
        <w:t xml:space="preserve"> in G</w:t>
      </w:r>
      <w:r w:rsidR="00077EEA">
        <w:rPr>
          <w:b/>
          <w:noProof/>
          <w:sz w:val="22"/>
        </w:rPr>
        <w:t xml:space="preserve">ulf </w:t>
      </w:r>
      <w:r w:rsidR="003C4A52" w:rsidRPr="00754BC9">
        <w:rPr>
          <w:b/>
          <w:noProof/>
          <w:sz w:val="22"/>
        </w:rPr>
        <w:t>C</w:t>
      </w:r>
      <w:r w:rsidR="00077EEA" w:rsidRPr="00077EEA">
        <w:rPr>
          <w:b/>
          <w:noProof/>
          <w:sz w:val="22"/>
        </w:rPr>
        <w:t xml:space="preserve">ooperation Council </w:t>
      </w:r>
      <w:r w:rsidR="00077EEA">
        <w:rPr>
          <w:b/>
          <w:noProof/>
          <w:sz w:val="22"/>
        </w:rPr>
        <w:t>(GC</w:t>
      </w:r>
      <w:r w:rsidR="003C4A52" w:rsidRPr="00754BC9">
        <w:rPr>
          <w:b/>
          <w:noProof/>
          <w:sz w:val="22"/>
        </w:rPr>
        <w:t>C</w:t>
      </w:r>
      <w:r w:rsidR="00077EEA">
        <w:rPr>
          <w:b/>
          <w:noProof/>
          <w:sz w:val="22"/>
        </w:rPr>
        <w:t>)</w:t>
      </w:r>
      <w:r w:rsidR="003C4A52" w:rsidRPr="00754BC9">
        <w:rPr>
          <w:b/>
          <w:noProof/>
          <w:sz w:val="22"/>
        </w:rPr>
        <w:t xml:space="preserve"> countries</w:t>
      </w:r>
    </w:p>
    <w:p w14:paraId="0446DD0C" w14:textId="22AFF81D" w:rsidR="003C4A52" w:rsidRPr="00754BC9" w:rsidRDefault="003C4A52" w:rsidP="009B60C4">
      <w:pPr>
        <w:spacing w:before="240" w:after="240"/>
        <w:jc w:val="both"/>
      </w:pPr>
      <w:r w:rsidRPr="00754BC9">
        <w:t xml:space="preserve">Sustainable development has been one of the major concerns of many countries recently </w:t>
      </w:r>
      <w:r w:rsidR="00575523" w:rsidRPr="00754BC9">
        <w:t xml:space="preserve">and </w:t>
      </w:r>
      <w:r w:rsidRPr="00754BC9">
        <w:t xml:space="preserve">has attracted </w:t>
      </w:r>
      <w:r w:rsidR="00444D4F" w:rsidRPr="00754BC9">
        <w:t>the attention</w:t>
      </w:r>
      <w:r w:rsidRPr="00754BC9">
        <w:t xml:space="preserve"> of policymakers. Protection of environment has been identified as one of the major pillars </w:t>
      </w:r>
      <w:r w:rsidR="000024E1" w:rsidRPr="00754BC9">
        <w:t xml:space="preserve">of </w:t>
      </w:r>
      <w:r w:rsidRPr="00754BC9">
        <w:t>achiev</w:t>
      </w:r>
      <w:r w:rsidR="000024E1" w:rsidRPr="00754BC9">
        <w:t>ing</w:t>
      </w:r>
      <w:r w:rsidRPr="00754BC9">
        <w:t xml:space="preserve"> sustainable development goals for </w:t>
      </w:r>
      <w:r w:rsidR="000024E1" w:rsidRPr="00754BC9">
        <w:t xml:space="preserve">the </w:t>
      </w:r>
      <w:r w:rsidRPr="00754BC9">
        <w:t>GCC countries. For example, Qatar</w:t>
      </w:r>
      <w:r w:rsidR="00444D4F" w:rsidRPr="00754BC9">
        <w:t>’s</w:t>
      </w:r>
      <w:r w:rsidRPr="00754BC9">
        <w:t xml:space="preserve"> National Vision 2030 addresses “environmental management” as one of the major challenges (General secretariat for development planning, 2008). A mixture of abrupt economic expansion and population growth has fuelled a massive energy demand in the GCC countries recently (World Bank, 2022). </w:t>
      </w:r>
    </w:p>
    <w:p w14:paraId="77CB5DC6" w14:textId="38CDBC4A" w:rsidR="004301DE" w:rsidRDefault="00077EEA" w:rsidP="000B08FB">
      <w:pPr>
        <w:jc w:val="both"/>
      </w:pPr>
      <w:r>
        <w:t>GCC</w:t>
      </w:r>
      <w:r w:rsidR="003C4A52" w:rsidRPr="00754BC9">
        <w:t xml:space="preserve"> countries have seen a 74% growth </w:t>
      </w:r>
      <w:r w:rsidR="00444D4F" w:rsidRPr="00754BC9">
        <w:t xml:space="preserve">in population </w:t>
      </w:r>
      <w:r w:rsidR="003C4A52" w:rsidRPr="00754BC9">
        <w:t>since 2000</w:t>
      </w:r>
      <w:r w:rsidR="006567FD">
        <w:t xml:space="preserve"> </w:t>
      </w:r>
      <w:r w:rsidR="006567FD" w:rsidRPr="00754BC9">
        <w:t>(Our World in Data, 202</w:t>
      </w:r>
      <w:r w:rsidR="00737060">
        <w:t>2</w:t>
      </w:r>
      <w:r w:rsidR="006567FD" w:rsidRPr="00754BC9">
        <w:t>)</w:t>
      </w:r>
      <w:r w:rsidR="006567FD">
        <w:t xml:space="preserve">. </w:t>
      </w:r>
      <w:r w:rsidR="003C4A52" w:rsidRPr="00754BC9">
        <w:t xml:space="preserve">Hence, </w:t>
      </w:r>
      <w:r>
        <w:t>these</w:t>
      </w:r>
      <w:r w:rsidR="003C4A52" w:rsidRPr="00754BC9">
        <w:t xml:space="preserve"> countries</w:t>
      </w:r>
      <w:r w:rsidR="00444D4F" w:rsidRPr="00754BC9">
        <w:t xml:space="preserve"> are on</w:t>
      </w:r>
      <w:r w:rsidR="003C4A52" w:rsidRPr="00754BC9">
        <w:t xml:space="preserve"> one hand facing enhanced domestic energy demand and on the other </w:t>
      </w:r>
      <w:r w:rsidR="00444D4F" w:rsidRPr="00754BC9">
        <w:t xml:space="preserve">are </w:t>
      </w:r>
      <w:r w:rsidR="003C4A52" w:rsidRPr="00754BC9">
        <w:t>challenged with emissions</w:t>
      </w:r>
      <w:r w:rsidR="00444D4F" w:rsidRPr="00754BC9">
        <w:t>’</w:t>
      </w:r>
      <w:r w:rsidR="003C4A52" w:rsidRPr="00754BC9">
        <w:t xml:space="preserve"> control (Bekhet et al., 2017). This recent growth </w:t>
      </w:r>
      <w:r w:rsidR="00444D4F" w:rsidRPr="00754BC9">
        <w:t>in</w:t>
      </w:r>
      <w:r w:rsidR="00444D4F" w:rsidRPr="00754BC9">
        <w:rPr>
          <w:rFonts w:ascii="MyriadPro" w:hAnsi="MyriadPro"/>
          <w:color w:val="231E1E"/>
          <w:lang w:eastAsia="en-GB"/>
        </w:rPr>
        <w:t xml:space="preserve"> </w:t>
      </w:r>
      <w:r w:rsidR="003C4A52" w:rsidRPr="00754BC9">
        <w:rPr>
          <w:rFonts w:ascii="MyriadPro" w:hAnsi="MyriadPro"/>
          <w:color w:val="231E1E"/>
          <w:lang w:eastAsia="en-GB"/>
        </w:rPr>
        <w:t xml:space="preserve">demand </w:t>
      </w:r>
      <w:r w:rsidR="00444D4F" w:rsidRPr="00754BC9">
        <w:rPr>
          <w:rFonts w:ascii="MyriadPro" w:hAnsi="MyriadPro"/>
          <w:color w:val="231E1E"/>
          <w:lang w:eastAsia="en-GB"/>
        </w:rPr>
        <w:t>f</w:t>
      </w:r>
      <w:r w:rsidR="000024E1" w:rsidRPr="00754BC9">
        <w:rPr>
          <w:rFonts w:ascii="MyriadPro" w:hAnsi="MyriadPro"/>
          <w:color w:val="231E1E"/>
          <w:lang w:eastAsia="en-GB"/>
        </w:rPr>
        <w:t>or</w:t>
      </w:r>
      <w:r w:rsidR="00444D4F" w:rsidRPr="00754BC9">
        <w:rPr>
          <w:rFonts w:ascii="MyriadPro" w:hAnsi="MyriadPro"/>
          <w:color w:val="231E1E"/>
          <w:lang w:eastAsia="en-GB"/>
        </w:rPr>
        <w:t xml:space="preserve"> </w:t>
      </w:r>
      <w:r w:rsidR="003C4A52" w:rsidRPr="00754BC9">
        <w:rPr>
          <w:rFonts w:ascii="MyriadPro" w:hAnsi="MyriadPro"/>
          <w:color w:val="231E1E"/>
          <w:lang w:eastAsia="en-GB"/>
        </w:rPr>
        <w:t xml:space="preserve">energy </w:t>
      </w:r>
      <w:r w:rsidR="00444D4F" w:rsidRPr="00754BC9">
        <w:rPr>
          <w:rFonts w:ascii="MyriadPro" w:hAnsi="MyriadPro"/>
          <w:color w:val="231E1E"/>
          <w:lang w:eastAsia="en-GB"/>
        </w:rPr>
        <w:t xml:space="preserve">production in both fuels </w:t>
      </w:r>
      <w:r w:rsidR="003C4A52" w:rsidRPr="00754BC9">
        <w:rPr>
          <w:rFonts w:ascii="MyriadPro" w:hAnsi="MyriadPro"/>
          <w:color w:val="231E1E"/>
          <w:lang w:eastAsia="en-GB"/>
        </w:rPr>
        <w:t xml:space="preserve">and </w:t>
      </w:r>
      <w:r w:rsidR="003C4A52" w:rsidRPr="00754BC9">
        <w:t>electricity can be directly linked to the rising CO</w:t>
      </w:r>
      <w:r w:rsidR="003C4A52" w:rsidRPr="00754BC9">
        <w:rPr>
          <w:vertAlign w:val="subscript"/>
        </w:rPr>
        <w:t>2</w:t>
      </w:r>
      <w:r w:rsidR="00A3368B">
        <w:t xml:space="preserve"> </w:t>
      </w:r>
      <w:r w:rsidR="003C4A52" w:rsidRPr="00754BC9">
        <w:t xml:space="preserve">emissions and </w:t>
      </w:r>
      <w:r w:rsidR="00444D4F" w:rsidRPr="00754BC9">
        <w:t xml:space="preserve">localized </w:t>
      </w:r>
      <w:r>
        <w:t xml:space="preserve">air quality </w:t>
      </w:r>
      <w:r w:rsidR="003C4A52" w:rsidRPr="00754BC9">
        <w:t xml:space="preserve">has become a global concern. This sought for </w:t>
      </w:r>
      <w:r w:rsidR="000024E1" w:rsidRPr="00754BC9">
        <w:t xml:space="preserve">the </w:t>
      </w:r>
      <w:r w:rsidR="003C4A52" w:rsidRPr="00754BC9">
        <w:t>adoption of technologies for carbon-reduction and alternative energy sources in implementing significant energy efficiency measures. If these measures are not implemented CO</w:t>
      </w:r>
      <w:r w:rsidR="003C4A52" w:rsidRPr="00754BC9">
        <w:rPr>
          <w:vertAlign w:val="subscript"/>
        </w:rPr>
        <w:t>2</w:t>
      </w:r>
      <w:r w:rsidR="00A3368B">
        <w:t xml:space="preserve"> </w:t>
      </w:r>
      <w:r w:rsidR="003C4A52" w:rsidRPr="00754BC9">
        <w:t xml:space="preserve">emissions will continue </w:t>
      </w:r>
      <w:r w:rsidR="005E3BF4" w:rsidRPr="00754BC9">
        <w:t>to increase</w:t>
      </w:r>
      <w:r w:rsidR="000B08FB" w:rsidRPr="00754BC9">
        <w:t>.</w:t>
      </w:r>
    </w:p>
    <w:p w14:paraId="15E6B1EE" w14:textId="202B7A92" w:rsidR="004C1B61" w:rsidRPr="00754BC9" w:rsidRDefault="004C1B61" w:rsidP="000B08FB">
      <w:pPr>
        <w:jc w:val="both"/>
      </w:pPr>
    </w:p>
    <w:p w14:paraId="468E4051" w14:textId="11FF6A18" w:rsidR="003C4A52" w:rsidRPr="00754BC9" w:rsidRDefault="003C4A52" w:rsidP="005E3BF4">
      <w:pPr>
        <w:jc w:val="both"/>
      </w:pPr>
      <w:r w:rsidRPr="00754BC9">
        <w:t>The total GCC countries population is 57.3 million which is 0.73% of the global population of 7.8 billion, however contributes</w:t>
      </w:r>
      <w:r w:rsidR="00A3368B">
        <w:t xml:space="preserve"> with</w:t>
      </w:r>
      <w:r w:rsidRPr="00754BC9">
        <w:t xml:space="preserve"> 1198.28 million tonnes (3.23%) of the global CO</w:t>
      </w:r>
      <w:r w:rsidRPr="00754BC9">
        <w:rPr>
          <w:vertAlign w:val="subscript"/>
        </w:rPr>
        <w:t>2</w:t>
      </w:r>
      <w:r w:rsidRPr="00754BC9">
        <w:t xml:space="preserve"> emissions of 37.12 billion tonnes (Our World in Data, 202</w:t>
      </w:r>
      <w:r w:rsidR="00737060">
        <w:t>2</w:t>
      </w:r>
      <w:r w:rsidRPr="00754BC9">
        <w:t>).</w:t>
      </w:r>
      <w:r w:rsidR="00737060">
        <w:t xml:space="preserve"> In Figure 1, the CO</w:t>
      </w:r>
      <w:r w:rsidR="00737060" w:rsidRPr="00737060">
        <w:rPr>
          <w:vertAlign w:val="subscript"/>
        </w:rPr>
        <w:t>2</w:t>
      </w:r>
      <w:r w:rsidR="00737060">
        <w:t xml:space="preserve">-eq emissions per capita </w:t>
      </w:r>
      <w:r w:rsidR="00A3368B">
        <w:t xml:space="preserve">is presented. The GCC countries are all among the 10 most polluted per capita with Qatar showing the highest value, almost double than the avarege for GCC amd 10 times the world numbers. </w:t>
      </w:r>
    </w:p>
    <w:p w14:paraId="5A462B0E" w14:textId="77777777" w:rsidR="003C4A52" w:rsidRDefault="003C4A52" w:rsidP="005E3BF4">
      <w:pPr>
        <w:jc w:val="both"/>
        <w:rPr>
          <w:rFonts w:ascii="MyriadPro" w:hAnsi="MyriadPro"/>
          <w:color w:val="231E1E"/>
          <w:lang w:eastAsia="en-GB"/>
        </w:rPr>
      </w:pPr>
    </w:p>
    <w:p w14:paraId="10B664CB" w14:textId="77777777" w:rsidR="006966D6" w:rsidRDefault="006966D6" w:rsidP="005E3BF4">
      <w:pPr>
        <w:jc w:val="both"/>
        <w:rPr>
          <w:rFonts w:ascii="MyriadPro" w:hAnsi="MyriadPro"/>
          <w:color w:val="231E1E"/>
          <w:lang w:eastAsia="en-GB"/>
        </w:rPr>
      </w:pPr>
    </w:p>
    <w:p w14:paraId="2ED57E18" w14:textId="77777777" w:rsidR="006966D6" w:rsidRDefault="006966D6" w:rsidP="005E3BF4">
      <w:pPr>
        <w:jc w:val="both"/>
        <w:rPr>
          <w:rFonts w:ascii="MyriadPro" w:hAnsi="MyriadPro"/>
          <w:color w:val="231E1E"/>
          <w:lang w:eastAsia="en-GB"/>
        </w:rPr>
      </w:pPr>
    </w:p>
    <w:p w14:paraId="43801C38" w14:textId="77777777" w:rsidR="006966D6" w:rsidRDefault="006966D6" w:rsidP="005E3BF4">
      <w:pPr>
        <w:jc w:val="both"/>
        <w:rPr>
          <w:rFonts w:ascii="MyriadPro" w:hAnsi="MyriadPro"/>
          <w:color w:val="231E1E"/>
          <w:lang w:eastAsia="en-GB"/>
        </w:rPr>
      </w:pPr>
    </w:p>
    <w:p w14:paraId="137D6503" w14:textId="77777777" w:rsidR="006966D6" w:rsidRDefault="006966D6" w:rsidP="005E3BF4">
      <w:pPr>
        <w:jc w:val="both"/>
        <w:rPr>
          <w:rFonts w:ascii="MyriadPro" w:hAnsi="MyriadPro"/>
          <w:color w:val="231E1E"/>
          <w:lang w:eastAsia="en-GB"/>
        </w:rPr>
      </w:pPr>
    </w:p>
    <w:p w14:paraId="22165EDF" w14:textId="341DDCEF" w:rsidR="006966D6" w:rsidRPr="00754BC9" w:rsidRDefault="001F755D" w:rsidP="005E3BF4">
      <w:pPr>
        <w:jc w:val="both"/>
        <w:rPr>
          <w:rFonts w:ascii="MyriadPro" w:hAnsi="MyriadPro"/>
          <w:color w:val="231E1E"/>
          <w:lang w:eastAsia="en-GB"/>
        </w:rPr>
      </w:pPr>
      <w:r>
        <w:rPr>
          <w:rFonts w:ascii="MyriadPro" w:hAnsi="MyriadPro"/>
          <w:color w:val="231E1E"/>
          <w:lang w:eastAsia="en-GB"/>
        </w:rPr>
        <w:lastRenderedPageBreak/>
        <w:drawing>
          <wp:inline distT="0" distB="0" distL="0" distR="0" wp14:anchorId="03F5C0D6" wp14:editId="5A59EEDF">
            <wp:extent cx="4480560" cy="3271831"/>
            <wp:effectExtent l="0" t="0" r="0" b="5080"/>
            <wp:docPr id="10602605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0560" cy="3271831"/>
                    </a:xfrm>
                    <a:prstGeom prst="rect">
                      <a:avLst/>
                    </a:prstGeom>
                    <a:noFill/>
                  </pic:spPr>
                </pic:pic>
              </a:graphicData>
            </a:graphic>
          </wp:inline>
        </w:drawing>
      </w:r>
    </w:p>
    <w:p w14:paraId="5D8F86B1" w14:textId="1A8EC995" w:rsidR="005E3BF4" w:rsidRPr="00754BC9" w:rsidRDefault="003C4A52" w:rsidP="00A3368B">
      <w:pPr>
        <w:spacing w:before="240"/>
        <w:jc w:val="center"/>
        <w:rPr>
          <w:rFonts w:ascii="MyriadPro" w:hAnsi="MyriadPro"/>
          <w:color w:val="231E1E"/>
          <w:lang w:eastAsia="en-GB"/>
        </w:rPr>
      </w:pPr>
      <w:r w:rsidRPr="00754BC9">
        <w:t>Figure 2: CO</w:t>
      </w:r>
      <w:r w:rsidRPr="00550A77">
        <w:rPr>
          <w:vertAlign w:val="subscript"/>
        </w:rPr>
        <w:t>2</w:t>
      </w:r>
      <w:r w:rsidR="00550A77">
        <w:t>-eq e</w:t>
      </w:r>
      <w:r w:rsidRPr="00754BC9">
        <w:t xml:space="preserve">mission </w:t>
      </w:r>
      <w:r w:rsidR="00550A77">
        <w:t>per capita</w:t>
      </w:r>
      <w:r w:rsidRPr="00754BC9">
        <w:t xml:space="preserve"> (Our World in Data, 202</w:t>
      </w:r>
      <w:r w:rsidR="00550A77">
        <w:t>2</w:t>
      </w:r>
      <w:r w:rsidRPr="00754BC9">
        <w:t>)</w:t>
      </w:r>
      <w:r w:rsidR="005E3BF4" w:rsidRPr="00754BC9">
        <w:rPr>
          <w:rFonts w:ascii="MyriadPro" w:hAnsi="MyriadPro"/>
          <w:color w:val="231E1E"/>
          <w:lang w:eastAsia="en-GB"/>
        </w:rPr>
        <w:t xml:space="preserve"> </w:t>
      </w:r>
    </w:p>
    <w:p w14:paraId="52F82F46" w14:textId="77777777" w:rsidR="00A3368B" w:rsidRDefault="003C4A52" w:rsidP="00444D4F">
      <w:pPr>
        <w:spacing w:before="240" w:after="240"/>
        <w:jc w:val="both"/>
      </w:pPr>
      <w:r w:rsidRPr="00754BC9">
        <w:t>Zmami and Ben-Salha (2020) conduct a study on the determinants of CO</w:t>
      </w:r>
      <w:r w:rsidRPr="00754BC9">
        <w:rPr>
          <w:vertAlign w:val="subscript"/>
        </w:rPr>
        <w:t>2</w:t>
      </w:r>
      <w:r w:rsidRPr="00754BC9">
        <w:t xml:space="preserve"> emissions </w:t>
      </w:r>
      <w:r w:rsidR="000024E1" w:rsidRPr="00754BC9">
        <w:t xml:space="preserve">in </w:t>
      </w:r>
      <w:r w:rsidRPr="00754BC9">
        <w:t>GCC countries and revealed that energy consumption and foreign ‎direct investments (FDI) have been major causes o</w:t>
      </w:r>
      <w:r w:rsidR="000024E1" w:rsidRPr="00754BC9">
        <w:t>f</w:t>
      </w:r>
      <w:r w:rsidRPr="00754BC9">
        <w:t xml:space="preserve"> environmental degradation in the GCC countries but found </w:t>
      </w:r>
      <w:r w:rsidR="00933F77" w:rsidRPr="00754BC9">
        <w:t xml:space="preserve">urbanization </w:t>
      </w:r>
      <w:r w:rsidRPr="00754BC9">
        <w:t xml:space="preserve">to have a ‎positive impact on the environment. This study argued that FDI has been positively related to less ‎environmental pollution, whereas energy consumption has been found </w:t>
      </w:r>
      <w:r w:rsidR="00933F77" w:rsidRPr="00754BC9">
        <w:t>to be</w:t>
      </w:r>
      <w:r w:rsidRPr="00754BC9">
        <w:t xml:space="preserve"> an important factor affecting the environment. Praveen et al. (2020) conduct a study on the </w:t>
      </w:r>
      <w:r w:rsidR="00933F77" w:rsidRPr="00754BC9">
        <w:t xml:space="preserve">utilization </w:t>
      </w:r>
      <w:r w:rsidRPr="00754BC9">
        <w:t>of renewable energy (RE) of GCC countries that highlighted the social, political, and economic factors towards RE adoption. The study investigates the scope, methods, and feasibility of generating energy from solar and wind</w:t>
      </w:r>
      <w:r w:rsidRPr="00A3368B">
        <w:t xml:space="preserve"> resources and guides how GCC countries would be able to </w:t>
      </w:r>
      <w:r w:rsidRPr="00754BC9">
        <w:t xml:space="preserve">achieve their 2030 RE goals by proactively </w:t>
      </w:r>
      <w:r w:rsidR="00933F77" w:rsidRPr="00754BC9">
        <w:t xml:space="preserve">utilizing </w:t>
      </w:r>
      <w:r w:rsidRPr="00754BC9">
        <w:t>their abundant RE reserves.</w:t>
      </w:r>
    </w:p>
    <w:p w14:paraId="121D3EA0" w14:textId="68941A6B" w:rsidR="003C4A52" w:rsidRPr="00754BC9" w:rsidRDefault="003C4A52" w:rsidP="00444D4F">
      <w:pPr>
        <w:spacing w:before="240" w:after="240"/>
        <w:jc w:val="both"/>
        <w:rPr>
          <w:b/>
          <w:sz w:val="22"/>
        </w:rPr>
      </w:pPr>
      <w:r w:rsidRPr="00754BC9">
        <w:t xml:space="preserve">However, the GCC countries would need to strategize some infrastructural and policy options to reach </w:t>
      </w:r>
      <w:r w:rsidR="000024E1" w:rsidRPr="00754BC9">
        <w:t xml:space="preserve">their </w:t>
      </w:r>
      <w:r w:rsidRPr="00754BC9">
        <w:t>CO</w:t>
      </w:r>
      <w:r w:rsidRPr="001100A7">
        <w:rPr>
          <w:vertAlign w:val="subscript"/>
        </w:rPr>
        <w:t>2</w:t>
      </w:r>
      <w:r w:rsidRPr="00754BC9">
        <w:t xml:space="preserve"> emission goals of 25% reduction by 2030. Zmami and Ben-Salha (2020) recommend that ‎policymakers in GCC countries should focus on developing renewable energy sources (e.g., solar energy sources) ‎investing in the development of ‎renewable energy technologies. GCC countries should also </w:t>
      </w:r>
      <w:r w:rsidR="0010017B" w:rsidRPr="00754BC9">
        <w:t>emphasize</w:t>
      </w:r>
      <w:r w:rsidRPr="00754BC9">
        <w:t xml:space="preserve"> strengthening ‎environmental regulations enforcing and ‎controlling the implementation of environmental laws. Praveen et al. (2020) suggest to </w:t>
      </w:r>
      <w:r w:rsidR="00933F77" w:rsidRPr="00754BC9">
        <w:t xml:space="preserve">utilize </w:t>
      </w:r>
      <w:r w:rsidRPr="00754BC9">
        <w:t xml:space="preserve">the solar and wind adopting solar photovoltaic technology because </w:t>
      </w:r>
      <w:hyperlink r:id="rId9" w:tooltip="Learn more about concentrated solar power from ScienceDirect's AI-generated Topic Pages" w:history="1">
        <w:r w:rsidRPr="00754BC9">
          <w:t>concentrated solar power</w:t>
        </w:r>
      </w:hyperlink>
      <w:r w:rsidR="00A3368B">
        <w:t xml:space="preserve"> </w:t>
      </w:r>
      <w:r w:rsidRPr="00754BC9">
        <w:t>plants with</w:t>
      </w:r>
      <w:r w:rsidR="00A3368B">
        <w:t xml:space="preserve"> </w:t>
      </w:r>
      <w:hyperlink r:id="rId10" w:tooltip="Learn more about thermal energy storage systems from ScienceDirect's AI-generated Topic Pages" w:history="1">
        <w:r w:rsidRPr="00754BC9">
          <w:t>thermal energy storage systems</w:t>
        </w:r>
      </w:hyperlink>
      <w:r w:rsidR="00A3368B">
        <w:t xml:space="preserve"> </w:t>
      </w:r>
      <w:r w:rsidRPr="00754BC9">
        <w:t xml:space="preserve">would be able to offer fir power to the grid. Besides, generating energy from the wind in Oman, Kuwait, and Saudi Arabia more </w:t>
      </w:r>
      <w:r w:rsidR="0010017B" w:rsidRPr="00754BC9">
        <w:t>favorable</w:t>
      </w:r>
      <w:r w:rsidRPr="00754BC9">
        <w:t xml:space="preserve"> both </w:t>
      </w:r>
      <w:r w:rsidRPr="00754BC9">
        <w:lastRenderedPageBreak/>
        <w:t xml:space="preserve">economically and in terms of </w:t>
      </w:r>
      <w:r w:rsidR="00933F77" w:rsidRPr="00754BC9">
        <w:t>r</w:t>
      </w:r>
      <w:r w:rsidRPr="00754BC9">
        <w:t>eturn on investment (ROI). These options would not only contribute towards the reduction of CO</w:t>
      </w:r>
      <w:r w:rsidR="00933F77" w:rsidRPr="00754BC9">
        <w:rPr>
          <w:vertAlign w:val="subscript"/>
        </w:rPr>
        <w:t>2</w:t>
      </w:r>
      <w:r w:rsidRPr="00754BC9">
        <w:t xml:space="preserve"> emission but also these would help </w:t>
      </w:r>
      <w:r w:rsidR="00933F77" w:rsidRPr="00754BC9">
        <w:t xml:space="preserve">in </w:t>
      </w:r>
      <w:r w:rsidRPr="00754BC9">
        <w:t>curbing climate change and sustainable development goals in the region. The GCC policymakers would need to be unite</w:t>
      </w:r>
      <w:r w:rsidR="00933F77" w:rsidRPr="00754BC9">
        <w:t>d</w:t>
      </w:r>
      <w:r w:rsidRPr="00754BC9">
        <w:t xml:space="preserve"> and work collectively while focusing on the reforms and innovative strategies at social and political levels in order to be successful in reaching their sustainable development goals by 2030.</w:t>
      </w:r>
    </w:p>
    <w:p w14:paraId="52D6AF7B" w14:textId="5DD3DB37" w:rsidR="00747393" w:rsidRPr="00754BC9" w:rsidRDefault="000B08FB" w:rsidP="005E3BF4">
      <w:pPr>
        <w:pStyle w:val="Els-body-text"/>
        <w:rPr>
          <w:b/>
          <w:noProof/>
          <w:sz w:val="22"/>
        </w:rPr>
      </w:pPr>
      <w:r w:rsidRPr="00754BC9">
        <w:rPr>
          <w:b/>
          <w:noProof/>
          <w:sz w:val="22"/>
        </w:rPr>
        <w:t>4</w:t>
      </w:r>
      <w:r w:rsidR="009B60C4" w:rsidRPr="00754BC9">
        <w:rPr>
          <w:b/>
          <w:noProof/>
          <w:sz w:val="22"/>
        </w:rPr>
        <w:t>.</w:t>
      </w:r>
      <w:r w:rsidRPr="00754BC9">
        <w:rPr>
          <w:b/>
          <w:noProof/>
          <w:sz w:val="22"/>
        </w:rPr>
        <w:t xml:space="preserve"> </w:t>
      </w:r>
      <w:r w:rsidR="00747393" w:rsidRPr="00754BC9">
        <w:rPr>
          <w:b/>
          <w:noProof/>
          <w:sz w:val="22"/>
        </w:rPr>
        <w:t>Results</w:t>
      </w:r>
    </w:p>
    <w:p w14:paraId="6F4567F7" w14:textId="1C744863" w:rsidR="005E3BF4" w:rsidRPr="00754BC9" w:rsidRDefault="005E3BF4" w:rsidP="009B60C4">
      <w:pPr>
        <w:pStyle w:val="Els-body-text"/>
        <w:spacing w:before="240"/>
        <w:rPr>
          <w:bCs/>
          <w:noProof/>
        </w:rPr>
      </w:pPr>
      <w:r w:rsidRPr="00754BC9">
        <w:rPr>
          <w:bCs/>
          <w:noProof/>
        </w:rPr>
        <w:t>Focusing on CO</w:t>
      </w:r>
      <w:r w:rsidR="00933F77" w:rsidRPr="00754BC9">
        <w:rPr>
          <w:noProof/>
          <w:vertAlign w:val="subscript"/>
        </w:rPr>
        <w:t>2</w:t>
      </w:r>
      <w:r w:rsidRPr="00754BC9">
        <w:rPr>
          <w:bCs/>
          <w:noProof/>
        </w:rPr>
        <w:t xml:space="preserve"> reduction in Qatar this study has found some results which is worth mentioning. The study has </w:t>
      </w:r>
      <w:r w:rsidR="00933F77" w:rsidRPr="00754BC9">
        <w:rPr>
          <w:bCs/>
          <w:noProof/>
        </w:rPr>
        <w:t xml:space="preserve">analyzed </w:t>
      </w:r>
      <w:r w:rsidRPr="00754BC9">
        <w:rPr>
          <w:bCs/>
          <w:noProof/>
        </w:rPr>
        <w:t xml:space="preserve">data </w:t>
      </w:r>
      <w:r w:rsidR="00CE183A" w:rsidRPr="00754BC9">
        <w:rPr>
          <w:bCs/>
          <w:noProof/>
        </w:rPr>
        <w:t>on CO</w:t>
      </w:r>
      <w:r w:rsidR="00933F77" w:rsidRPr="00754BC9">
        <w:rPr>
          <w:noProof/>
          <w:vertAlign w:val="subscript"/>
        </w:rPr>
        <w:t>2</w:t>
      </w:r>
      <w:r w:rsidR="00CE183A" w:rsidRPr="00754BC9">
        <w:rPr>
          <w:bCs/>
          <w:noProof/>
        </w:rPr>
        <w:t xml:space="preserve"> emission in Qatar </w:t>
      </w:r>
      <w:r w:rsidRPr="00754BC9">
        <w:rPr>
          <w:bCs/>
          <w:noProof/>
        </w:rPr>
        <w:t>2019 to 2022 CO</w:t>
      </w:r>
      <w:r w:rsidRPr="00754BC9">
        <w:rPr>
          <w:bCs/>
          <w:noProof/>
          <w:vertAlign w:val="subscript"/>
        </w:rPr>
        <w:t>2</w:t>
      </w:r>
      <w:r w:rsidRPr="00754BC9">
        <w:rPr>
          <w:bCs/>
          <w:noProof/>
        </w:rPr>
        <w:t xml:space="preserve"> </w:t>
      </w:r>
      <w:r w:rsidR="00CE183A" w:rsidRPr="00754BC9">
        <w:rPr>
          <w:bCs/>
          <w:noProof/>
        </w:rPr>
        <w:t>which is presented as follows:</w:t>
      </w:r>
    </w:p>
    <w:p w14:paraId="6F8ADC91" w14:textId="77777777" w:rsidR="00CE183A" w:rsidRPr="00754BC9" w:rsidRDefault="00CE183A" w:rsidP="005E3BF4">
      <w:pPr>
        <w:pStyle w:val="Els-body-text"/>
        <w:rPr>
          <w:bCs/>
          <w:noProof/>
        </w:rPr>
      </w:pPr>
    </w:p>
    <w:p w14:paraId="5AC6B850" w14:textId="6961F2FB" w:rsidR="00CE183A" w:rsidRPr="00754BC9" w:rsidRDefault="00CE183A" w:rsidP="00CE183A">
      <w:pPr>
        <w:pStyle w:val="Els-body-text"/>
        <w:jc w:val="center"/>
        <w:rPr>
          <w:bCs/>
          <w:noProof/>
        </w:rPr>
      </w:pPr>
      <w:r w:rsidRPr="00754BC9">
        <w:rPr>
          <w:noProof/>
        </w:rPr>
        <w:drawing>
          <wp:inline distT="0" distB="0" distL="0" distR="0" wp14:anchorId="6DB37121" wp14:editId="218D01CF">
            <wp:extent cx="2544597" cy="1419182"/>
            <wp:effectExtent l="0" t="0" r="8255" b="0"/>
            <wp:docPr id="258878705" name="Chart 1">
              <a:extLst xmlns:a="http://schemas.openxmlformats.org/drawingml/2006/main">
                <a:ext uri="{FF2B5EF4-FFF2-40B4-BE49-F238E27FC236}">
                  <a16:creationId xmlns:a16="http://schemas.microsoft.com/office/drawing/2014/main" id="{D8FF137D-2881-BB4D-8066-232335526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290E2D" w14:textId="77777777" w:rsidR="00CE183A" w:rsidRPr="00754BC9" w:rsidRDefault="00CE183A" w:rsidP="005E3BF4">
      <w:pPr>
        <w:pStyle w:val="Els-body-text"/>
        <w:rPr>
          <w:bCs/>
          <w:noProof/>
        </w:rPr>
      </w:pPr>
    </w:p>
    <w:p w14:paraId="082A06CE" w14:textId="7A9EBC24" w:rsidR="005E3BF4" w:rsidRPr="00754BC9" w:rsidRDefault="00747393" w:rsidP="00444D4F">
      <w:pPr>
        <w:pStyle w:val="Els-body-text"/>
        <w:spacing w:after="240"/>
        <w:jc w:val="center"/>
        <w:rPr>
          <w:bCs/>
          <w:noProof/>
        </w:rPr>
      </w:pPr>
      <w:r w:rsidRPr="00754BC9">
        <w:rPr>
          <w:bCs/>
          <w:noProof/>
        </w:rPr>
        <w:t xml:space="preserve">Figure </w:t>
      </w:r>
      <w:r w:rsidR="00A3368B">
        <w:rPr>
          <w:bCs/>
          <w:noProof/>
        </w:rPr>
        <w:t>2</w:t>
      </w:r>
      <w:r w:rsidRPr="00754BC9">
        <w:rPr>
          <w:bCs/>
          <w:noProof/>
        </w:rPr>
        <w:t xml:space="preserve">: </w:t>
      </w:r>
      <w:r w:rsidR="00CE183A" w:rsidRPr="00754BC9">
        <w:rPr>
          <w:bCs/>
          <w:noProof/>
        </w:rPr>
        <w:t>CO</w:t>
      </w:r>
      <w:r w:rsidR="00933F77" w:rsidRPr="00754BC9">
        <w:rPr>
          <w:noProof/>
          <w:vertAlign w:val="subscript"/>
        </w:rPr>
        <w:t>2</w:t>
      </w:r>
      <w:r w:rsidR="00CE183A" w:rsidRPr="00754BC9">
        <w:rPr>
          <w:bCs/>
          <w:noProof/>
        </w:rPr>
        <w:t xml:space="preserve"> Emission (in million metric tons) (</w:t>
      </w:r>
      <w:r w:rsidR="001100A7" w:rsidRPr="00754BC9">
        <w:t>Our World in Data, 202</w:t>
      </w:r>
      <w:r w:rsidR="001100A7">
        <w:t>2</w:t>
      </w:r>
      <w:r w:rsidR="00CE183A" w:rsidRPr="00754BC9">
        <w:rPr>
          <w:bCs/>
          <w:noProof/>
        </w:rPr>
        <w:t>)</w:t>
      </w:r>
    </w:p>
    <w:p w14:paraId="2DE1FA79" w14:textId="77777777" w:rsidR="00CD21B9" w:rsidRDefault="00CE183A" w:rsidP="00933F77">
      <w:pPr>
        <w:pStyle w:val="Els-body-text"/>
        <w:spacing w:after="240"/>
        <w:rPr>
          <w:bCs/>
          <w:noProof/>
        </w:rPr>
      </w:pPr>
      <w:r w:rsidRPr="00754BC9">
        <w:rPr>
          <w:bCs/>
          <w:noProof/>
        </w:rPr>
        <w:t xml:space="preserve">The country is working towards </w:t>
      </w:r>
      <w:r w:rsidR="001100A7" w:rsidRPr="00754BC9">
        <w:rPr>
          <w:bCs/>
          <w:noProof/>
        </w:rPr>
        <w:t>CO</w:t>
      </w:r>
      <w:r w:rsidR="001100A7" w:rsidRPr="00754BC9">
        <w:rPr>
          <w:noProof/>
          <w:vertAlign w:val="subscript"/>
        </w:rPr>
        <w:t>2</w:t>
      </w:r>
      <w:r w:rsidR="001100A7" w:rsidRPr="00754BC9">
        <w:rPr>
          <w:bCs/>
          <w:noProof/>
        </w:rPr>
        <w:t xml:space="preserve"> emission</w:t>
      </w:r>
      <w:r w:rsidR="001100A7">
        <w:rPr>
          <w:bCs/>
          <w:noProof/>
        </w:rPr>
        <w:t xml:space="preserve"> to adhere to the targets in the Qatar’s Vision 2023,</w:t>
      </w:r>
      <w:r w:rsidRPr="00754BC9">
        <w:rPr>
          <w:bCs/>
          <w:noProof/>
        </w:rPr>
        <w:t xml:space="preserve"> which is aimed at bringing CO</w:t>
      </w:r>
      <w:r w:rsidR="00933F77" w:rsidRPr="00754BC9">
        <w:rPr>
          <w:noProof/>
          <w:vertAlign w:val="subscript"/>
        </w:rPr>
        <w:t>2</w:t>
      </w:r>
      <w:r w:rsidRPr="00754BC9">
        <w:rPr>
          <w:bCs/>
          <w:noProof/>
        </w:rPr>
        <w:t xml:space="preserve"> emission down to 76.97 million metric tons by 2030</w:t>
      </w:r>
      <w:r w:rsidR="007321CB" w:rsidRPr="00754BC9">
        <w:rPr>
          <w:bCs/>
          <w:noProof/>
        </w:rPr>
        <w:t>. This</w:t>
      </w:r>
      <w:r w:rsidRPr="00754BC9">
        <w:rPr>
          <w:bCs/>
          <w:noProof/>
        </w:rPr>
        <w:t xml:space="preserve"> means Qatar would have to reduce 25.66 million metric tons</w:t>
      </w:r>
      <w:r w:rsidR="00AA6761" w:rsidRPr="00754BC9">
        <w:rPr>
          <w:bCs/>
          <w:noProof/>
        </w:rPr>
        <w:t xml:space="preserve"> of</w:t>
      </w:r>
      <w:r w:rsidRPr="00754BC9">
        <w:rPr>
          <w:bCs/>
          <w:noProof/>
        </w:rPr>
        <w:t xml:space="preserve"> CO</w:t>
      </w:r>
      <w:r w:rsidR="00933F77" w:rsidRPr="00754BC9">
        <w:rPr>
          <w:noProof/>
          <w:vertAlign w:val="subscript"/>
        </w:rPr>
        <w:t>2</w:t>
      </w:r>
      <w:r w:rsidRPr="00754BC9">
        <w:rPr>
          <w:bCs/>
          <w:noProof/>
        </w:rPr>
        <w:t xml:space="preserve"> emission</w:t>
      </w:r>
      <w:r w:rsidR="00AA6761" w:rsidRPr="00754BC9">
        <w:rPr>
          <w:bCs/>
          <w:noProof/>
        </w:rPr>
        <w:t>s</w:t>
      </w:r>
      <w:r w:rsidRPr="00754BC9">
        <w:rPr>
          <w:bCs/>
          <w:noProof/>
        </w:rPr>
        <w:t xml:space="preserve"> by the next 8 years. </w:t>
      </w:r>
      <w:r w:rsidR="001100A7">
        <w:rPr>
          <w:bCs/>
          <w:noProof/>
        </w:rPr>
        <w:t xml:space="preserve">Nevertheless, by the open-data sources and projects raised in this work, </w:t>
      </w:r>
      <w:r w:rsidRPr="00754BC9">
        <w:rPr>
          <w:bCs/>
          <w:noProof/>
        </w:rPr>
        <w:t xml:space="preserve">Qatar </w:t>
      </w:r>
      <w:r w:rsidR="001100A7">
        <w:rPr>
          <w:bCs/>
          <w:noProof/>
        </w:rPr>
        <w:t>will be able to</w:t>
      </w:r>
      <w:r w:rsidRPr="00754BC9">
        <w:rPr>
          <w:bCs/>
          <w:noProof/>
        </w:rPr>
        <w:t xml:space="preserve"> reduce</w:t>
      </w:r>
      <w:r w:rsidR="00CD21B9">
        <w:rPr>
          <w:bCs/>
          <w:noProof/>
        </w:rPr>
        <w:t>:</w:t>
      </w:r>
    </w:p>
    <w:p w14:paraId="7781BAC0" w14:textId="77777777" w:rsidR="00CD21B9" w:rsidRDefault="00CE183A" w:rsidP="00CD21B9">
      <w:pPr>
        <w:pStyle w:val="Els-body-text"/>
        <w:numPr>
          <w:ilvl w:val="0"/>
          <w:numId w:val="23"/>
        </w:numPr>
        <w:spacing w:after="240"/>
        <w:rPr>
          <w:bCs/>
          <w:noProof/>
        </w:rPr>
      </w:pPr>
      <w:r w:rsidRPr="00754BC9">
        <w:rPr>
          <w:bCs/>
          <w:noProof/>
        </w:rPr>
        <w:t>1.04 million metric tons of CO</w:t>
      </w:r>
      <w:r w:rsidR="00933F77" w:rsidRPr="00754BC9">
        <w:rPr>
          <w:noProof/>
          <w:vertAlign w:val="subscript"/>
        </w:rPr>
        <w:t>2</w:t>
      </w:r>
      <w:r w:rsidRPr="00754BC9">
        <w:rPr>
          <w:bCs/>
          <w:noProof/>
        </w:rPr>
        <w:t xml:space="preserve"> emission</w:t>
      </w:r>
      <w:r w:rsidR="00AA6761" w:rsidRPr="00754BC9">
        <w:rPr>
          <w:bCs/>
          <w:noProof/>
        </w:rPr>
        <w:t>s</w:t>
      </w:r>
      <w:r w:rsidR="0037144F" w:rsidRPr="00754BC9">
        <w:rPr>
          <w:bCs/>
          <w:noProof/>
        </w:rPr>
        <w:t xml:space="preserve"> </w:t>
      </w:r>
      <w:r w:rsidR="00747393" w:rsidRPr="00754BC9">
        <w:rPr>
          <w:bCs/>
          <w:noProof/>
        </w:rPr>
        <w:t>from 4000 electric buses operation in the public sector by 2030 (</w:t>
      </w:r>
      <w:r w:rsidR="00C7368D" w:rsidRPr="00754BC9">
        <w:rPr>
          <w:bCs/>
          <w:noProof/>
        </w:rPr>
        <w:t>Atatullah, 2022</w:t>
      </w:r>
      <w:r w:rsidR="00747393" w:rsidRPr="00754BC9">
        <w:rPr>
          <w:bCs/>
          <w:noProof/>
        </w:rPr>
        <w:t xml:space="preserve">), </w:t>
      </w:r>
      <w:r w:rsidR="0037144F" w:rsidRPr="00754BC9">
        <w:rPr>
          <w:bCs/>
          <w:noProof/>
        </w:rPr>
        <w:t xml:space="preserve">which accounts 4% of the total target emission of 25.66 million metric tons. </w:t>
      </w:r>
    </w:p>
    <w:p w14:paraId="35C62FA2" w14:textId="77777777" w:rsidR="00CD21B9" w:rsidRDefault="0037144F" w:rsidP="00CD21B9">
      <w:pPr>
        <w:pStyle w:val="Els-body-text"/>
        <w:numPr>
          <w:ilvl w:val="0"/>
          <w:numId w:val="23"/>
        </w:numPr>
        <w:spacing w:after="240"/>
        <w:rPr>
          <w:bCs/>
          <w:noProof/>
        </w:rPr>
      </w:pPr>
      <w:r w:rsidRPr="00754BC9">
        <w:rPr>
          <w:bCs/>
          <w:noProof/>
        </w:rPr>
        <w:t>0.47 million metric tons CO</w:t>
      </w:r>
      <w:r w:rsidR="00933F77" w:rsidRPr="00754BC9">
        <w:rPr>
          <w:noProof/>
          <w:vertAlign w:val="subscript"/>
        </w:rPr>
        <w:t>2</w:t>
      </w:r>
      <w:r w:rsidRPr="00754BC9">
        <w:rPr>
          <w:bCs/>
          <w:noProof/>
        </w:rPr>
        <w:t xml:space="preserve"> emission from 3 Metro lines by 2030, which is around 2% of the total target emission reduction</w:t>
      </w:r>
      <w:r w:rsidR="00747393" w:rsidRPr="00754BC9">
        <w:rPr>
          <w:bCs/>
          <w:noProof/>
        </w:rPr>
        <w:t xml:space="preserve"> (</w:t>
      </w:r>
      <w:r w:rsidR="00EC059C" w:rsidRPr="00754BC9">
        <w:rPr>
          <w:bCs/>
          <w:noProof/>
        </w:rPr>
        <w:t xml:space="preserve">Al-Thawadi </w:t>
      </w:r>
      <w:r w:rsidR="00933F77" w:rsidRPr="00754BC9">
        <w:rPr>
          <w:bCs/>
          <w:noProof/>
        </w:rPr>
        <w:t xml:space="preserve">and </w:t>
      </w:r>
      <w:r w:rsidR="00EC059C" w:rsidRPr="00754BC9">
        <w:rPr>
          <w:bCs/>
          <w:noProof/>
        </w:rPr>
        <w:t xml:space="preserve">Al-Ghamdi, </w:t>
      </w:r>
      <w:r w:rsidR="00747393" w:rsidRPr="00754BC9">
        <w:rPr>
          <w:bCs/>
          <w:noProof/>
        </w:rPr>
        <w:t>2019)</w:t>
      </w:r>
      <w:r w:rsidRPr="00754BC9">
        <w:rPr>
          <w:bCs/>
          <w:noProof/>
        </w:rPr>
        <w:t>.</w:t>
      </w:r>
    </w:p>
    <w:p w14:paraId="6D4F8C5F" w14:textId="77777777" w:rsidR="00CD21B9" w:rsidRDefault="0037144F" w:rsidP="00CD21B9">
      <w:pPr>
        <w:pStyle w:val="Els-body-text"/>
        <w:numPr>
          <w:ilvl w:val="0"/>
          <w:numId w:val="23"/>
        </w:numPr>
        <w:spacing w:after="240"/>
        <w:rPr>
          <w:bCs/>
          <w:noProof/>
        </w:rPr>
      </w:pPr>
      <w:r w:rsidRPr="00754BC9">
        <w:rPr>
          <w:bCs/>
          <w:noProof/>
        </w:rPr>
        <w:t xml:space="preserve">From the solar panels the country is currently producing 800MW </w:t>
      </w:r>
      <w:r w:rsidR="00AA6761" w:rsidRPr="00754BC9">
        <w:rPr>
          <w:bCs/>
          <w:noProof/>
        </w:rPr>
        <w:t xml:space="preserve">of </w:t>
      </w:r>
      <w:r w:rsidRPr="00754BC9">
        <w:rPr>
          <w:bCs/>
          <w:noProof/>
        </w:rPr>
        <w:t>electricity, which would be able to reduce 14</w:t>
      </w:r>
      <w:r w:rsidR="00C7368D" w:rsidRPr="00754BC9">
        <w:rPr>
          <w:bCs/>
          <w:noProof/>
        </w:rPr>
        <w:t>400</w:t>
      </w:r>
      <w:r w:rsidRPr="00754BC9">
        <w:rPr>
          <w:bCs/>
          <w:noProof/>
        </w:rPr>
        <w:t xml:space="preserve"> metric tons of CO</w:t>
      </w:r>
      <w:r w:rsidR="00933F77" w:rsidRPr="00754BC9">
        <w:rPr>
          <w:noProof/>
          <w:vertAlign w:val="subscript"/>
        </w:rPr>
        <w:t>2</w:t>
      </w:r>
      <w:r w:rsidRPr="00754BC9">
        <w:rPr>
          <w:bCs/>
          <w:noProof/>
        </w:rPr>
        <w:t xml:space="preserve"> emission</w:t>
      </w:r>
      <w:r w:rsidR="00747393" w:rsidRPr="00754BC9">
        <w:rPr>
          <w:bCs/>
          <w:noProof/>
        </w:rPr>
        <w:t xml:space="preserve"> by 2030</w:t>
      </w:r>
      <w:r w:rsidRPr="00754BC9">
        <w:rPr>
          <w:bCs/>
          <w:noProof/>
        </w:rPr>
        <w:t>, which is 0.</w:t>
      </w:r>
      <w:r w:rsidR="00C7368D" w:rsidRPr="00754BC9">
        <w:rPr>
          <w:bCs/>
          <w:noProof/>
        </w:rPr>
        <w:t>45</w:t>
      </w:r>
      <w:r w:rsidRPr="00754BC9">
        <w:rPr>
          <w:bCs/>
          <w:noProof/>
        </w:rPr>
        <w:t>% of the total target emission</w:t>
      </w:r>
      <w:r w:rsidR="00C7368D" w:rsidRPr="00754BC9">
        <w:rPr>
          <w:bCs/>
          <w:noProof/>
        </w:rPr>
        <w:t xml:space="preserve"> (Ataullah, 2022)</w:t>
      </w:r>
      <w:r w:rsidRPr="00754BC9">
        <w:rPr>
          <w:bCs/>
          <w:noProof/>
        </w:rPr>
        <w:t>.</w:t>
      </w:r>
    </w:p>
    <w:p w14:paraId="31F43F76" w14:textId="13D1A910" w:rsidR="005E3BF4" w:rsidRDefault="0037144F" w:rsidP="00CD21B9">
      <w:pPr>
        <w:pStyle w:val="Els-body-text"/>
        <w:spacing w:after="240"/>
        <w:rPr>
          <w:bCs/>
          <w:noProof/>
        </w:rPr>
      </w:pPr>
      <w:r w:rsidRPr="00754BC9">
        <w:rPr>
          <w:bCs/>
          <w:noProof/>
        </w:rPr>
        <w:t>A</w:t>
      </w:r>
      <w:r w:rsidR="00933F77" w:rsidRPr="00754BC9">
        <w:rPr>
          <w:bCs/>
          <w:noProof/>
        </w:rPr>
        <w:t>l</w:t>
      </w:r>
      <w:r w:rsidRPr="00754BC9">
        <w:rPr>
          <w:bCs/>
          <w:noProof/>
        </w:rPr>
        <w:t>l these adds up to 6.</w:t>
      </w:r>
      <w:r w:rsidR="00C7368D" w:rsidRPr="00754BC9">
        <w:rPr>
          <w:bCs/>
          <w:noProof/>
        </w:rPr>
        <w:t>3</w:t>
      </w:r>
      <w:r w:rsidRPr="00754BC9">
        <w:rPr>
          <w:bCs/>
          <w:noProof/>
        </w:rPr>
        <w:t>% of the total emission until 2030, which leaves the country to achieve a staggering 93.</w:t>
      </w:r>
      <w:r w:rsidR="00C7368D" w:rsidRPr="00754BC9">
        <w:rPr>
          <w:bCs/>
          <w:noProof/>
        </w:rPr>
        <w:t>7</w:t>
      </w:r>
      <w:r w:rsidRPr="00754BC9">
        <w:rPr>
          <w:bCs/>
          <w:noProof/>
        </w:rPr>
        <w:t xml:space="preserve">% to achieve from other </w:t>
      </w:r>
      <w:r w:rsidR="00747393" w:rsidRPr="00754BC9">
        <w:rPr>
          <w:bCs/>
          <w:noProof/>
        </w:rPr>
        <w:t>means of CO</w:t>
      </w:r>
      <w:r w:rsidR="00933F77" w:rsidRPr="00754BC9">
        <w:rPr>
          <w:noProof/>
          <w:vertAlign w:val="subscript"/>
        </w:rPr>
        <w:t>2</w:t>
      </w:r>
      <w:r w:rsidR="00747393" w:rsidRPr="00754BC9">
        <w:rPr>
          <w:bCs/>
          <w:noProof/>
        </w:rPr>
        <w:t xml:space="preserve"> emission</w:t>
      </w:r>
      <w:r w:rsidRPr="00754BC9">
        <w:rPr>
          <w:bCs/>
          <w:noProof/>
        </w:rPr>
        <w:t>.</w:t>
      </w:r>
    </w:p>
    <w:p w14:paraId="2C65EA7F" w14:textId="77777777" w:rsidR="00CD21B9" w:rsidRPr="00754BC9" w:rsidRDefault="00CD21B9" w:rsidP="00CD21B9">
      <w:pPr>
        <w:pStyle w:val="Els-body-text"/>
        <w:spacing w:after="240"/>
        <w:rPr>
          <w:bCs/>
          <w:noProof/>
        </w:rPr>
      </w:pPr>
    </w:p>
    <w:p w14:paraId="413F188B" w14:textId="40D767A5" w:rsidR="00933F77" w:rsidRPr="00754BC9" w:rsidRDefault="00933F77" w:rsidP="00933F77">
      <w:pPr>
        <w:pStyle w:val="Els-body-text"/>
        <w:rPr>
          <w:b/>
          <w:noProof/>
          <w:sz w:val="22"/>
        </w:rPr>
      </w:pPr>
      <w:r w:rsidRPr="00754BC9">
        <w:rPr>
          <w:b/>
          <w:noProof/>
          <w:sz w:val="22"/>
        </w:rPr>
        <w:lastRenderedPageBreak/>
        <w:t>4. Conclusion</w:t>
      </w:r>
    </w:p>
    <w:p w14:paraId="64D2E454" w14:textId="7B50542E" w:rsidR="00F76AB9" w:rsidRPr="00754BC9" w:rsidRDefault="00F76AB9" w:rsidP="00933F77">
      <w:pPr>
        <w:pStyle w:val="Els-body-text"/>
        <w:spacing w:before="240"/>
        <w:rPr>
          <w:bCs/>
          <w:noProof/>
        </w:rPr>
      </w:pPr>
      <w:r w:rsidRPr="00754BC9">
        <w:rPr>
          <w:bCs/>
          <w:noProof/>
        </w:rPr>
        <w:t>This study highlights the pressing issue of greenhouse gas (GHG) emissions in the Gulf Cooperation Council (GCC) countries, notably Qatar. Rapid economic growth and population increase have surged energy demands, significantly elevating CO</w:t>
      </w:r>
      <w:r w:rsidRPr="00CD21B9">
        <w:rPr>
          <w:bCs/>
          <w:noProof/>
          <w:vertAlign w:val="subscript"/>
        </w:rPr>
        <w:t>2</w:t>
      </w:r>
      <w:r w:rsidRPr="00754BC9">
        <w:rPr>
          <w:bCs/>
          <w:noProof/>
        </w:rPr>
        <w:t xml:space="preserve"> emissions. Despite Qatar's sustainable initiatives like electric buses, subway lines, and solar farms, they represent only 6.3% of the 25% CO</w:t>
      </w:r>
      <w:r w:rsidRPr="00CD21B9">
        <w:rPr>
          <w:bCs/>
          <w:noProof/>
          <w:vertAlign w:val="subscript"/>
        </w:rPr>
        <w:t>2</w:t>
      </w:r>
      <w:r w:rsidRPr="00754BC9">
        <w:rPr>
          <w:bCs/>
          <w:noProof/>
        </w:rPr>
        <w:t xml:space="preserve"> reduction goal by 2030. The country faces a substantial 93.7% gap to meet its target. To bridge this gap, GCC policymakers must prioritize collaborative renewable energy investments, especially solar and wind power, reinforce environmental regulations, and foster collaborations. Achieving significant reductions hinges on comprehensive strategies, including technological advancements, robust policies, and a united front for sustainable development and emission mitigation in the region.</w:t>
      </w:r>
      <w:r w:rsidR="00CD21B9" w:rsidRPr="00CD21B9">
        <w:rPr>
          <w:noProof/>
        </w:rPr>
        <w:t xml:space="preserve"> </w:t>
      </w:r>
      <w:r w:rsidR="00CD21B9">
        <w:rPr>
          <w:noProof/>
        </w:rPr>
        <w:t>C</w:t>
      </w:r>
      <w:r w:rsidR="00CD21B9" w:rsidRPr="00754BC9">
        <w:rPr>
          <w:noProof/>
        </w:rPr>
        <w:t>hanges in energy policies and housing consumer behavior in the country or in the region are fundamental to reach the reduction targets.</w:t>
      </w:r>
    </w:p>
    <w:p w14:paraId="144DE6BF" w14:textId="608D0AD6" w:rsidR="008D2649" w:rsidRPr="00754BC9" w:rsidRDefault="008D2649" w:rsidP="005E3BF4">
      <w:pPr>
        <w:pStyle w:val="Els-reference-head"/>
        <w:rPr>
          <w:noProof/>
        </w:rPr>
      </w:pPr>
      <w:r w:rsidRPr="00754BC9">
        <w:rPr>
          <w:noProof/>
        </w:rPr>
        <w:t>References</w:t>
      </w:r>
    </w:p>
    <w:p w14:paraId="53396884" w14:textId="77777777" w:rsidR="003C4A52" w:rsidRPr="00754BC9" w:rsidRDefault="003C4A52" w:rsidP="005E3BF4">
      <w:pPr>
        <w:pStyle w:val="Els-referenceno-number"/>
        <w:rPr>
          <w:lang w:val="en-US"/>
        </w:rPr>
      </w:pPr>
    </w:p>
    <w:p w14:paraId="6D86F76D" w14:textId="3E6EE96A" w:rsidR="00EC059C" w:rsidRPr="00754BC9" w:rsidRDefault="00EC059C" w:rsidP="006567FD">
      <w:pPr>
        <w:jc w:val="both"/>
        <w:rPr>
          <w:sz w:val="18"/>
        </w:rPr>
      </w:pPr>
      <w:r w:rsidRPr="00754BC9">
        <w:rPr>
          <w:sz w:val="18"/>
        </w:rPr>
        <w:t>Al-Thawadi, F. E., &amp; Al-Ghamdi, S. G. (2019). Evaluation of sustainable urban mobility using comparative environmental life cycle assessment: A case study of Qatar. Transportation research interdisciplinary perspectives,</w:t>
      </w:r>
      <w:r w:rsidR="00CD21B9">
        <w:rPr>
          <w:sz w:val="18"/>
        </w:rPr>
        <w:t xml:space="preserve"> </w:t>
      </w:r>
      <w:r w:rsidRPr="00754BC9">
        <w:rPr>
          <w:sz w:val="18"/>
        </w:rPr>
        <w:t xml:space="preserve">1, 100003. </w:t>
      </w:r>
    </w:p>
    <w:p w14:paraId="78C608FD" w14:textId="77777777" w:rsidR="00EC059C" w:rsidRPr="00754BC9" w:rsidRDefault="00EC059C" w:rsidP="006567FD">
      <w:pPr>
        <w:jc w:val="both"/>
        <w:rPr>
          <w:sz w:val="18"/>
        </w:rPr>
      </w:pPr>
    </w:p>
    <w:p w14:paraId="0C735E05" w14:textId="426A081D" w:rsidR="00C7368D" w:rsidRPr="00754BC9" w:rsidRDefault="00C7368D" w:rsidP="006567FD">
      <w:pPr>
        <w:jc w:val="both"/>
        <w:rPr>
          <w:lang w:eastAsia="en-GB"/>
        </w:rPr>
      </w:pPr>
      <w:r w:rsidRPr="00754BC9">
        <w:rPr>
          <w:sz w:val="18"/>
        </w:rPr>
        <w:t xml:space="preserve">Ataullah, </w:t>
      </w:r>
      <w:r w:rsidR="00F267DF" w:rsidRPr="00754BC9">
        <w:rPr>
          <w:sz w:val="18"/>
        </w:rPr>
        <w:t>S</w:t>
      </w:r>
      <w:r w:rsidRPr="00754BC9">
        <w:rPr>
          <w:sz w:val="18"/>
        </w:rPr>
        <w:t>. (</w:t>
      </w:r>
      <w:r w:rsidR="00F267DF" w:rsidRPr="00754BC9">
        <w:rPr>
          <w:sz w:val="18"/>
        </w:rPr>
        <w:t>2022</w:t>
      </w:r>
      <w:r w:rsidRPr="00754BC9">
        <w:rPr>
          <w:sz w:val="18"/>
        </w:rPr>
        <w:t xml:space="preserve">). </w:t>
      </w:r>
      <w:r w:rsidRPr="00754BC9">
        <w:rPr>
          <w:i/>
          <w:iCs/>
          <w:lang w:eastAsia="en-GB"/>
        </w:rPr>
        <w:t>Electric vehicles help reduce 1.6 million kg CO2.</w:t>
      </w:r>
      <w:r w:rsidRPr="00754BC9">
        <w:rPr>
          <w:lang w:eastAsia="en-GB"/>
        </w:rPr>
        <w:t xml:space="preserve"> </w:t>
      </w:r>
      <w:r w:rsidR="00F267DF" w:rsidRPr="00754BC9">
        <w:rPr>
          <w:lang w:eastAsia="en-GB"/>
        </w:rPr>
        <w:t xml:space="preserve">Available at: </w:t>
      </w:r>
    </w:p>
    <w:p w14:paraId="1905CA83" w14:textId="6E4E4377" w:rsidR="00F267DF" w:rsidRPr="00754BC9" w:rsidRDefault="00000000" w:rsidP="006567FD">
      <w:pPr>
        <w:jc w:val="both"/>
        <w:rPr>
          <w:sz w:val="18"/>
        </w:rPr>
      </w:pPr>
      <w:hyperlink r:id="rId12" w:anchor=":~:text=" w:history="1">
        <w:r w:rsidR="00F267DF" w:rsidRPr="00754BC9">
          <w:rPr>
            <w:rStyle w:val="Hyperlink"/>
            <w:sz w:val="18"/>
          </w:rPr>
          <w:t>https://thepeninsulaqatar.com/article/11/12/2022/electric-vehicles-help-reduce-16-million-kg-co2#:~:text=“During%20the%20first%20part%20of,the%20Ministry%20of%20Transport%20tweeted</w:t>
        </w:r>
      </w:hyperlink>
      <w:r w:rsidR="00F267DF" w:rsidRPr="00754BC9">
        <w:rPr>
          <w:sz w:val="18"/>
        </w:rPr>
        <w:t xml:space="preserve">. </w:t>
      </w:r>
    </w:p>
    <w:p w14:paraId="51998BCF" w14:textId="77777777" w:rsidR="00C7368D" w:rsidRPr="00754BC9" w:rsidRDefault="00C7368D" w:rsidP="006567FD">
      <w:pPr>
        <w:jc w:val="both"/>
        <w:rPr>
          <w:sz w:val="18"/>
        </w:rPr>
      </w:pPr>
    </w:p>
    <w:p w14:paraId="78C79025" w14:textId="43BC0F98" w:rsidR="003C4A52" w:rsidRPr="00754BC9" w:rsidRDefault="003C4A52" w:rsidP="006567FD">
      <w:pPr>
        <w:jc w:val="both"/>
        <w:rPr>
          <w:sz w:val="18"/>
        </w:rPr>
      </w:pPr>
      <w:r w:rsidRPr="00754BC9">
        <w:rPr>
          <w:sz w:val="18"/>
        </w:rPr>
        <w:t>Bekhet, H.A., Matar, A. and Yasmin, T., (2017). CO2 emissions, energy consumption, economic growth, and financial development in GCC countries: Dynamic simultaneous equation models.</w:t>
      </w:r>
      <w:r w:rsidR="00CD21B9">
        <w:rPr>
          <w:sz w:val="18"/>
        </w:rPr>
        <w:t xml:space="preserve"> </w:t>
      </w:r>
      <w:r w:rsidRPr="00754BC9">
        <w:rPr>
          <w:sz w:val="18"/>
        </w:rPr>
        <w:t>Renewable and sustainable energy reviews,</w:t>
      </w:r>
      <w:r w:rsidR="00CD21B9">
        <w:rPr>
          <w:sz w:val="18"/>
        </w:rPr>
        <w:t xml:space="preserve"> </w:t>
      </w:r>
      <w:r w:rsidRPr="00754BC9">
        <w:rPr>
          <w:sz w:val="18"/>
        </w:rPr>
        <w:t>70, pp.117-132.</w:t>
      </w:r>
    </w:p>
    <w:p w14:paraId="1AF1C731" w14:textId="77777777" w:rsidR="003C4A52" w:rsidRPr="00754BC9" w:rsidRDefault="003C4A52" w:rsidP="006567FD">
      <w:pPr>
        <w:tabs>
          <w:tab w:val="left" w:pos="5912"/>
        </w:tabs>
        <w:jc w:val="both"/>
        <w:rPr>
          <w:sz w:val="18"/>
        </w:rPr>
      </w:pPr>
      <w:r w:rsidRPr="00754BC9">
        <w:rPr>
          <w:sz w:val="18"/>
        </w:rPr>
        <w:tab/>
        <w:t xml:space="preserve"> </w:t>
      </w:r>
    </w:p>
    <w:p w14:paraId="6DA9BA3F" w14:textId="77777777" w:rsidR="003C4A52" w:rsidRPr="00754BC9" w:rsidRDefault="003C4A52" w:rsidP="006567FD">
      <w:pPr>
        <w:jc w:val="both"/>
        <w:rPr>
          <w:sz w:val="18"/>
        </w:rPr>
      </w:pPr>
      <w:r w:rsidRPr="00754BC9">
        <w:rPr>
          <w:sz w:val="18"/>
        </w:rPr>
        <w:t xml:space="preserve">General Secretariat For Development Planning (2008). Qatar National Vision 2030. Available at: </w:t>
      </w:r>
      <w:hyperlink r:id="rId13" w:history="1">
        <w:r w:rsidRPr="00754BC9">
          <w:rPr>
            <w:sz w:val="18"/>
          </w:rPr>
          <w:t>https://www.gco.gov.qa/en/about-qatar/national-vision2030/</w:t>
        </w:r>
      </w:hyperlink>
      <w:r w:rsidRPr="00754BC9">
        <w:rPr>
          <w:sz w:val="18"/>
        </w:rPr>
        <w:t xml:space="preserve">. Last Accessed: </w:t>
      </w:r>
    </w:p>
    <w:p w14:paraId="235AF814" w14:textId="77777777" w:rsidR="003C4A52" w:rsidRPr="00754BC9" w:rsidRDefault="003C4A52" w:rsidP="006567FD">
      <w:pPr>
        <w:jc w:val="both"/>
        <w:rPr>
          <w:sz w:val="18"/>
        </w:rPr>
      </w:pPr>
    </w:p>
    <w:p w14:paraId="5C813564" w14:textId="77777777" w:rsidR="003C4A52" w:rsidRPr="00754BC9" w:rsidRDefault="003C4A52" w:rsidP="006567FD">
      <w:pPr>
        <w:jc w:val="both"/>
        <w:rPr>
          <w:sz w:val="18"/>
        </w:rPr>
      </w:pPr>
      <w:r w:rsidRPr="00754BC9">
        <w:rPr>
          <w:sz w:val="18"/>
        </w:rPr>
        <w:t>Our world in Data (2021). Annual Co2 emission. Available at:</w:t>
      </w:r>
    </w:p>
    <w:p w14:paraId="63EA29F9" w14:textId="77777777" w:rsidR="003C4A52" w:rsidRPr="00754BC9" w:rsidRDefault="00000000" w:rsidP="006567FD">
      <w:pPr>
        <w:jc w:val="both"/>
        <w:rPr>
          <w:sz w:val="18"/>
        </w:rPr>
      </w:pPr>
      <w:hyperlink r:id="rId14" w:history="1">
        <w:r w:rsidR="003C4A52" w:rsidRPr="00754BC9">
          <w:rPr>
            <w:sz w:val="18"/>
          </w:rPr>
          <w:t>https://ourworldindata.org/grapher/annual-co2-emissions-per-country</w:t>
        </w:r>
      </w:hyperlink>
      <w:r w:rsidR="003C4A52" w:rsidRPr="00754BC9">
        <w:rPr>
          <w:sz w:val="18"/>
        </w:rPr>
        <w:t>. Last accessed:</w:t>
      </w:r>
    </w:p>
    <w:p w14:paraId="29591DD5" w14:textId="77777777" w:rsidR="003C4A52" w:rsidRPr="00754BC9" w:rsidRDefault="003C4A52" w:rsidP="006567FD">
      <w:pPr>
        <w:jc w:val="both"/>
        <w:rPr>
          <w:sz w:val="18"/>
        </w:rPr>
      </w:pPr>
    </w:p>
    <w:p w14:paraId="041CEA57" w14:textId="7EC96166" w:rsidR="003C4A52" w:rsidRPr="00754BC9" w:rsidRDefault="003C4A52" w:rsidP="006567FD">
      <w:pPr>
        <w:jc w:val="both"/>
        <w:rPr>
          <w:sz w:val="18"/>
        </w:rPr>
      </w:pPr>
      <w:r w:rsidRPr="00754BC9">
        <w:rPr>
          <w:sz w:val="18"/>
        </w:rPr>
        <w:t>Praveen, R.P., Keloth, V., Abo-Khalil, A.G., Alghamdi, A.S., Eltamaly, A.M. and Tlili, I., (2020). An insight to the energy policy of GCC countries to meet renewable energy targets of 2030.</w:t>
      </w:r>
      <w:r w:rsidR="00CD21B9">
        <w:rPr>
          <w:sz w:val="18"/>
        </w:rPr>
        <w:t xml:space="preserve"> </w:t>
      </w:r>
      <w:r w:rsidRPr="00754BC9">
        <w:rPr>
          <w:sz w:val="18"/>
        </w:rPr>
        <w:t>Energy Policy,</w:t>
      </w:r>
      <w:r w:rsidR="00CD21B9">
        <w:rPr>
          <w:sz w:val="18"/>
        </w:rPr>
        <w:t xml:space="preserve"> </w:t>
      </w:r>
      <w:r w:rsidRPr="00754BC9">
        <w:rPr>
          <w:sz w:val="18"/>
        </w:rPr>
        <w:t>147, p.111864.</w:t>
      </w:r>
    </w:p>
    <w:p w14:paraId="6456AF6B" w14:textId="77777777" w:rsidR="003C4A52" w:rsidRPr="00754BC9" w:rsidRDefault="003C4A52" w:rsidP="006567FD">
      <w:pPr>
        <w:jc w:val="both"/>
        <w:rPr>
          <w:sz w:val="18"/>
        </w:rPr>
      </w:pPr>
    </w:p>
    <w:p w14:paraId="6C949554" w14:textId="77777777" w:rsidR="003C4A52" w:rsidRPr="00754BC9" w:rsidRDefault="003C4A52" w:rsidP="006567FD">
      <w:pPr>
        <w:jc w:val="both"/>
        <w:rPr>
          <w:sz w:val="18"/>
        </w:rPr>
      </w:pPr>
      <w:r w:rsidRPr="00754BC9">
        <w:rPr>
          <w:sz w:val="18"/>
        </w:rPr>
        <w:t xml:space="preserve">World bank (2022). Population growth (annual %). Available at: </w:t>
      </w:r>
      <w:hyperlink r:id="rId15" w:history="1">
        <w:r w:rsidRPr="00754BC9">
          <w:rPr>
            <w:sz w:val="18"/>
          </w:rPr>
          <w:t>https://data.worldbank.org/indicator/SP.POP.GROW</w:t>
        </w:r>
      </w:hyperlink>
      <w:r w:rsidRPr="00754BC9">
        <w:rPr>
          <w:sz w:val="18"/>
        </w:rPr>
        <w:t>. Last Accessed:</w:t>
      </w:r>
    </w:p>
    <w:p w14:paraId="1B31A237" w14:textId="77777777" w:rsidR="003C4A52" w:rsidRPr="00754BC9" w:rsidRDefault="003C4A52" w:rsidP="006567FD">
      <w:pPr>
        <w:jc w:val="both"/>
        <w:rPr>
          <w:sz w:val="18"/>
        </w:rPr>
      </w:pPr>
    </w:p>
    <w:p w14:paraId="72528939" w14:textId="4E36F250" w:rsidR="00CD21B9" w:rsidRDefault="003C4A52" w:rsidP="006567FD">
      <w:pPr>
        <w:jc w:val="both"/>
        <w:rPr>
          <w:sz w:val="18"/>
        </w:rPr>
      </w:pPr>
      <w:r w:rsidRPr="00754BC9">
        <w:rPr>
          <w:sz w:val="18"/>
        </w:rPr>
        <w:t>Zmami, M. and Ben-Salha, O., (2020). An empirical analysis of the determinants of CO2 emissions in‎ GCC countries.</w:t>
      </w:r>
      <w:r w:rsidR="00CD21B9">
        <w:rPr>
          <w:sz w:val="18"/>
        </w:rPr>
        <w:t xml:space="preserve"> </w:t>
      </w:r>
      <w:r w:rsidRPr="00754BC9">
        <w:rPr>
          <w:sz w:val="18"/>
        </w:rPr>
        <w:t>International Journal of Sustainable Development &amp; World Ecology,</w:t>
      </w:r>
      <w:r w:rsidR="00CD21B9">
        <w:rPr>
          <w:sz w:val="18"/>
        </w:rPr>
        <w:t xml:space="preserve"> </w:t>
      </w:r>
      <w:r w:rsidRPr="00754BC9">
        <w:rPr>
          <w:sz w:val="18"/>
        </w:rPr>
        <w:t>27(5), pp.469-480.</w:t>
      </w:r>
    </w:p>
    <w:p w14:paraId="0A217579" w14:textId="77777777" w:rsidR="00CD21B9" w:rsidRDefault="00CD21B9" w:rsidP="006567FD">
      <w:pPr>
        <w:jc w:val="both"/>
        <w:rPr>
          <w:sz w:val="18"/>
        </w:rPr>
      </w:pPr>
    </w:p>
    <w:p w14:paraId="5804FCDA" w14:textId="60A3431D" w:rsidR="000D0351" w:rsidRPr="00754BC9" w:rsidRDefault="006567FD" w:rsidP="006567FD">
      <w:pPr>
        <w:jc w:val="both"/>
      </w:pPr>
      <w:r>
        <w:t xml:space="preserve">IEA (2022). </w:t>
      </w:r>
      <w:hyperlink r:id="rId16" w:history="1">
        <w:r w:rsidR="00737060" w:rsidRPr="00BA48E9">
          <w:rPr>
            <w:rStyle w:val="Hyperlink"/>
            <w:rFonts w:ascii="Segoe UI" w:hAnsi="Segoe UI" w:cs="Segoe UI"/>
            <w:sz w:val="18"/>
            <w:szCs w:val="18"/>
          </w:rPr>
          <w:t>https://www.iea.org/reports/world-energy-outlook-2022/an-updated-roadmap-to-net-zero-emissions-by-2050</w:t>
        </w:r>
      </w:hyperlink>
    </w:p>
    <w:sectPr w:rsidR="000D0351" w:rsidRPr="00754BC9" w:rsidSect="008B0184">
      <w:headerReference w:type="even" r:id="rId17"/>
      <w:headerReference w:type="default" r:id="rId18"/>
      <w:footerReference w:type="even" r:id="rId19"/>
      <w:headerReference w:type="first" r:id="rId2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18D6" w14:textId="77777777" w:rsidR="0052446F" w:rsidRDefault="0052446F">
      <w:r>
        <w:separator/>
      </w:r>
    </w:p>
  </w:endnote>
  <w:endnote w:type="continuationSeparator" w:id="0">
    <w:p w14:paraId="433C4D7D" w14:textId="77777777" w:rsidR="0052446F" w:rsidRDefault="0052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Pro">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F246" w14:textId="21B8070B" w:rsidR="000B08FB" w:rsidRDefault="000B08FB" w:rsidP="008B18D9">
    <w:pPr>
      <w:pStyle w:val="Footer"/>
    </w:pPr>
  </w:p>
  <w:p w14:paraId="3A6427DB" w14:textId="77777777" w:rsidR="000B08FB" w:rsidRDefault="000B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365A" w14:textId="77777777" w:rsidR="0052446F" w:rsidRDefault="0052446F">
      <w:r>
        <w:separator/>
      </w:r>
    </w:p>
  </w:footnote>
  <w:footnote w:type="continuationSeparator" w:id="0">
    <w:p w14:paraId="77A8716D" w14:textId="77777777" w:rsidR="0052446F" w:rsidRDefault="0052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DCD42F5" w:rsidR="00DD3D9E" w:rsidRDefault="00DD3D9E">
    <w:pPr>
      <w:pStyle w:val="Header"/>
      <w:tabs>
        <w:tab w:val="clear" w:pos="7200"/>
        <w:tab w:val="right" w:pos="7088"/>
      </w:tabs>
    </w:pPr>
    <w:r>
      <w:rPr>
        <w:rStyle w:val="PageNumber"/>
      </w:rPr>
      <w:tab/>
    </w:r>
    <w:r>
      <w:rPr>
        <w:rStyle w:val="PageNumber"/>
        <w:i/>
      </w:rPr>
      <w:tab/>
    </w:r>
    <w:r w:rsidR="005B7E84">
      <w:rPr>
        <w:rStyle w:val="PageNumber"/>
        <w:i/>
      </w:rPr>
      <w:t>N. Al-Malki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DB52" w14:textId="77777777" w:rsidR="003C4A52" w:rsidRPr="005B7E84" w:rsidRDefault="003C4A52" w:rsidP="003C4A52">
    <w:pPr>
      <w:pStyle w:val="Els-Title"/>
      <w:rPr>
        <w:rStyle w:val="PageNumber"/>
        <w:b w:val="0"/>
        <w:i/>
        <w:noProof/>
        <w:lang w:val="en-GB"/>
      </w:rPr>
    </w:pPr>
    <w:r w:rsidRPr="005B7E84">
      <w:rPr>
        <w:rStyle w:val="PageNumber"/>
        <w:b w:val="0"/>
        <w:i/>
        <w:noProof/>
        <w:lang w:val="en-GB"/>
      </w:rPr>
      <w:t>Towards CO</w:t>
    </w:r>
    <w:r w:rsidRPr="005B7E84">
      <w:rPr>
        <w:rStyle w:val="PageNumber"/>
        <w:b w:val="0"/>
        <w:i/>
        <w:noProof/>
        <w:vertAlign w:val="subscript"/>
        <w:lang w:val="en-GB"/>
      </w:rPr>
      <w:t>2</w:t>
    </w:r>
    <w:r w:rsidRPr="005B7E84">
      <w:rPr>
        <w:rStyle w:val="PageNumber"/>
        <w:b w:val="0"/>
        <w:i/>
        <w:noProof/>
        <w:lang w:val="en-GB"/>
      </w:rPr>
      <w:t xml:space="preserve"> Reduction in Middle East: A Techno-Economic Assessment</w:t>
    </w:r>
  </w:p>
  <w:p w14:paraId="144DE6CA" w14:textId="77C5E20C"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sz w:val="18"/>
        <w:szCs w:val="18"/>
      </w:rPr>
    </w:pPr>
    <w:r w:rsidRPr="0068162C">
      <w:rPr>
        <w:color w:val="auto"/>
        <w:sz w:val="18"/>
        <w:szCs w:val="18"/>
      </w:rPr>
      <w:t>Flavio Manenti, Gintaras V. Reklaitis (Eds.),</w:t>
    </w:r>
    <w:r>
      <w:rPr>
        <w:color w:val="auto"/>
      </w:rPr>
      <w:t xml:space="preserve"> </w:t>
    </w:r>
    <w:r w:rsidRPr="003B50B5">
      <w:rPr>
        <w:sz w:val="18"/>
        <w:szCs w:val="18"/>
      </w:rPr>
      <w:t xml:space="preserve">Proceedings </w:t>
    </w:r>
    <w:r>
      <w:rPr>
        <w:sz w:val="18"/>
        <w:szCs w:val="18"/>
      </w:rPr>
      <w:t>o</w:t>
    </w:r>
    <w:r w:rsidRPr="003B50B5">
      <w:rPr>
        <w:sz w:val="18"/>
        <w:szCs w:val="18"/>
      </w:rPr>
      <w:t xml:space="preserve">f </w:t>
    </w:r>
    <w:r w:rsidRPr="00F06842">
      <w:rPr>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sz w:val="18"/>
        <w:szCs w:val="18"/>
      </w:rPr>
      <w:t xml:space="preserve"> (ESCAPE34/PSE</w:t>
    </w:r>
    <w:r>
      <w:rPr>
        <w:sz w:val="18"/>
        <w:szCs w:val="18"/>
      </w:rPr>
      <w:t>24</w:t>
    </w:r>
    <w:r w:rsidRPr="003B50B5">
      <w:rPr>
        <w:sz w:val="18"/>
        <w:szCs w:val="18"/>
      </w:rPr>
      <w:t xml:space="preserve">), June </w:t>
    </w:r>
    <w:r>
      <w:rPr>
        <w:sz w:val="18"/>
        <w:szCs w:val="18"/>
      </w:rPr>
      <w:t>2-6</w:t>
    </w:r>
    <w:r w:rsidRPr="003B50B5">
      <w:rPr>
        <w:sz w:val="18"/>
        <w:szCs w:val="18"/>
      </w:rPr>
      <w:t>, 2024, Florence,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1E5970C0"/>
    <w:multiLevelType w:val="multilevel"/>
    <w:tmpl w:val="794A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DF190F"/>
    <w:multiLevelType w:val="hybridMultilevel"/>
    <w:tmpl w:val="EFDED9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60915A97"/>
    <w:multiLevelType w:val="multilevel"/>
    <w:tmpl w:val="2C92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E6277"/>
    <w:multiLevelType w:val="multilevel"/>
    <w:tmpl w:val="5474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0902735"/>
    <w:multiLevelType w:val="hybridMultilevel"/>
    <w:tmpl w:val="B63804E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3"/>
  </w:num>
  <w:num w:numId="2" w16cid:durableId="47382885">
    <w:abstractNumId w:val="13"/>
  </w:num>
  <w:num w:numId="3" w16cid:durableId="967853731">
    <w:abstractNumId w:val="13"/>
  </w:num>
  <w:num w:numId="4" w16cid:durableId="1739282265">
    <w:abstractNumId w:val="13"/>
  </w:num>
  <w:num w:numId="5" w16cid:durableId="698892343">
    <w:abstractNumId w:val="0"/>
  </w:num>
  <w:num w:numId="6" w16cid:durableId="1660883641">
    <w:abstractNumId w:val="7"/>
  </w:num>
  <w:num w:numId="7" w16cid:durableId="1863349795">
    <w:abstractNumId w:val="14"/>
  </w:num>
  <w:num w:numId="8" w16cid:durableId="1750734252">
    <w:abstractNumId w:val="1"/>
  </w:num>
  <w:num w:numId="9" w16cid:durableId="203061615">
    <w:abstractNumId w:val="12"/>
  </w:num>
  <w:num w:numId="10" w16cid:durableId="1478497114">
    <w:abstractNumId w:val="19"/>
  </w:num>
  <w:num w:numId="11" w16cid:durableId="1896693444">
    <w:abstractNumId w:val="17"/>
  </w:num>
  <w:num w:numId="12" w16cid:durableId="774787662">
    <w:abstractNumId w:val="6"/>
  </w:num>
  <w:num w:numId="13" w16cid:durableId="1525900646">
    <w:abstractNumId w:val="10"/>
  </w:num>
  <w:num w:numId="14" w16cid:durableId="1455515963">
    <w:abstractNumId w:val="2"/>
  </w:num>
  <w:num w:numId="15" w16cid:durableId="446657998">
    <w:abstractNumId w:val="8"/>
  </w:num>
  <w:num w:numId="16" w16cid:durableId="322592235">
    <w:abstractNumId w:val="4"/>
  </w:num>
  <w:num w:numId="17" w16cid:durableId="596719075">
    <w:abstractNumId w:val="5"/>
  </w:num>
  <w:num w:numId="18" w16cid:durableId="886648604">
    <w:abstractNumId w:val="11"/>
  </w:num>
  <w:num w:numId="19" w16cid:durableId="879514310">
    <w:abstractNumId w:val="16"/>
  </w:num>
  <w:num w:numId="20" w16cid:durableId="300353297">
    <w:abstractNumId w:val="9"/>
  </w:num>
  <w:num w:numId="21" w16cid:durableId="332877022">
    <w:abstractNumId w:val="15"/>
  </w:num>
  <w:num w:numId="22" w16cid:durableId="846292592">
    <w:abstractNumId w:val="3"/>
  </w:num>
  <w:num w:numId="23" w16cid:durableId="5300741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4E1"/>
    <w:rsid w:val="000030F3"/>
    <w:rsid w:val="00077EEA"/>
    <w:rsid w:val="0009151B"/>
    <w:rsid w:val="000B08FB"/>
    <w:rsid w:val="000D0351"/>
    <w:rsid w:val="000D3D9B"/>
    <w:rsid w:val="0010017B"/>
    <w:rsid w:val="001100A7"/>
    <w:rsid w:val="001204E5"/>
    <w:rsid w:val="001251EF"/>
    <w:rsid w:val="0016032F"/>
    <w:rsid w:val="001879F6"/>
    <w:rsid w:val="00194296"/>
    <w:rsid w:val="001C0148"/>
    <w:rsid w:val="001C757E"/>
    <w:rsid w:val="001F755D"/>
    <w:rsid w:val="0020390F"/>
    <w:rsid w:val="00223064"/>
    <w:rsid w:val="00264926"/>
    <w:rsid w:val="00274FA3"/>
    <w:rsid w:val="00275BAB"/>
    <w:rsid w:val="002A4D6F"/>
    <w:rsid w:val="002A6DCA"/>
    <w:rsid w:val="002D1FAF"/>
    <w:rsid w:val="002E7767"/>
    <w:rsid w:val="00305020"/>
    <w:rsid w:val="003329AB"/>
    <w:rsid w:val="00344A5C"/>
    <w:rsid w:val="00366A7C"/>
    <w:rsid w:val="0037144F"/>
    <w:rsid w:val="00381A50"/>
    <w:rsid w:val="003C4A52"/>
    <w:rsid w:val="003D1582"/>
    <w:rsid w:val="003D7E4C"/>
    <w:rsid w:val="003E41C2"/>
    <w:rsid w:val="004301DE"/>
    <w:rsid w:val="00444D4F"/>
    <w:rsid w:val="0049772C"/>
    <w:rsid w:val="004B39B9"/>
    <w:rsid w:val="004C1B61"/>
    <w:rsid w:val="004F14A2"/>
    <w:rsid w:val="0052446F"/>
    <w:rsid w:val="00550A77"/>
    <w:rsid w:val="00552EEB"/>
    <w:rsid w:val="00575523"/>
    <w:rsid w:val="00584724"/>
    <w:rsid w:val="005A1AE1"/>
    <w:rsid w:val="005B7E84"/>
    <w:rsid w:val="005E3BF4"/>
    <w:rsid w:val="0063584B"/>
    <w:rsid w:val="006567FD"/>
    <w:rsid w:val="00656DA5"/>
    <w:rsid w:val="0067406E"/>
    <w:rsid w:val="006966D6"/>
    <w:rsid w:val="006A6852"/>
    <w:rsid w:val="006A69BF"/>
    <w:rsid w:val="006B4A5E"/>
    <w:rsid w:val="007039B1"/>
    <w:rsid w:val="00705AA1"/>
    <w:rsid w:val="00711DF4"/>
    <w:rsid w:val="007321CB"/>
    <w:rsid w:val="00737060"/>
    <w:rsid w:val="00747393"/>
    <w:rsid w:val="00754BC9"/>
    <w:rsid w:val="007703CE"/>
    <w:rsid w:val="00784F11"/>
    <w:rsid w:val="00786450"/>
    <w:rsid w:val="007B4510"/>
    <w:rsid w:val="007D70A1"/>
    <w:rsid w:val="007F38C2"/>
    <w:rsid w:val="008132E8"/>
    <w:rsid w:val="00813D0C"/>
    <w:rsid w:val="00816395"/>
    <w:rsid w:val="00823407"/>
    <w:rsid w:val="00853FEE"/>
    <w:rsid w:val="008778CD"/>
    <w:rsid w:val="008B0184"/>
    <w:rsid w:val="008B18D9"/>
    <w:rsid w:val="008C5D02"/>
    <w:rsid w:val="008C7045"/>
    <w:rsid w:val="008D2649"/>
    <w:rsid w:val="008E5F14"/>
    <w:rsid w:val="008F5EB5"/>
    <w:rsid w:val="009023FA"/>
    <w:rsid w:val="0090568D"/>
    <w:rsid w:val="00912254"/>
    <w:rsid w:val="009125C9"/>
    <w:rsid w:val="00913879"/>
    <w:rsid w:val="00917661"/>
    <w:rsid w:val="00933F77"/>
    <w:rsid w:val="0095729E"/>
    <w:rsid w:val="00970E5D"/>
    <w:rsid w:val="0097701C"/>
    <w:rsid w:val="00980A65"/>
    <w:rsid w:val="009B3308"/>
    <w:rsid w:val="009B60C4"/>
    <w:rsid w:val="009E7393"/>
    <w:rsid w:val="00A00534"/>
    <w:rsid w:val="00A25E70"/>
    <w:rsid w:val="00A334CB"/>
    <w:rsid w:val="00A3368B"/>
    <w:rsid w:val="00A33765"/>
    <w:rsid w:val="00A530E5"/>
    <w:rsid w:val="00A63269"/>
    <w:rsid w:val="00A70F0F"/>
    <w:rsid w:val="00A92377"/>
    <w:rsid w:val="00AA51FB"/>
    <w:rsid w:val="00AA6761"/>
    <w:rsid w:val="00AB29ED"/>
    <w:rsid w:val="00AC6F38"/>
    <w:rsid w:val="00AD7634"/>
    <w:rsid w:val="00AE4BD8"/>
    <w:rsid w:val="00B4388F"/>
    <w:rsid w:val="00B448D9"/>
    <w:rsid w:val="00B63237"/>
    <w:rsid w:val="00C1040D"/>
    <w:rsid w:val="00C71AD8"/>
    <w:rsid w:val="00C7368D"/>
    <w:rsid w:val="00C960DC"/>
    <w:rsid w:val="00CD21B9"/>
    <w:rsid w:val="00CE183A"/>
    <w:rsid w:val="00D02C75"/>
    <w:rsid w:val="00D10E22"/>
    <w:rsid w:val="00D13D2C"/>
    <w:rsid w:val="00DC2F94"/>
    <w:rsid w:val="00DD3D9E"/>
    <w:rsid w:val="00DD7908"/>
    <w:rsid w:val="00E82297"/>
    <w:rsid w:val="00E97686"/>
    <w:rsid w:val="00EC059C"/>
    <w:rsid w:val="00EF39FD"/>
    <w:rsid w:val="00EF3F26"/>
    <w:rsid w:val="00F01B40"/>
    <w:rsid w:val="00F06842"/>
    <w:rsid w:val="00F107FD"/>
    <w:rsid w:val="00F232F1"/>
    <w:rsid w:val="00F267DF"/>
    <w:rsid w:val="00F34302"/>
    <w:rsid w:val="00F51570"/>
    <w:rsid w:val="00F7413C"/>
    <w:rsid w:val="00F76AB9"/>
    <w:rsid w:val="00F86986"/>
    <w:rsid w:val="00FB6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noProof/>
      <w:lang w:val="en-US" w:eastAsia="en-US"/>
    </w:rPr>
  </w:style>
  <w:style w:type="paragraph" w:styleId="Heading1">
    <w:name w:val="heading 1"/>
    <w:basedOn w:val="Normal"/>
    <w:next w:val="Normal"/>
    <w:link w:val="Heading1Char"/>
    <w:uiPriority w:val="9"/>
    <w:qFormat/>
    <w:rsid w:val="00C736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link w:val="FooterChar"/>
    <w:uiPriority w:val="99"/>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rPr>
  </w:style>
  <w:style w:type="paragraph" w:styleId="ListParagraph">
    <w:name w:val="List Paragraph"/>
    <w:basedOn w:val="Normal"/>
    <w:uiPriority w:val="34"/>
    <w:qFormat/>
    <w:rsid w:val="00305020"/>
    <w:pPr>
      <w:ind w:left="720"/>
      <w:contextualSpacing/>
    </w:pPr>
  </w:style>
  <w:style w:type="paragraph" w:styleId="NormalWeb">
    <w:name w:val="Normal (Web)"/>
    <w:basedOn w:val="Normal"/>
    <w:uiPriority w:val="99"/>
    <w:semiHidden/>
    <w:unhideWhenUsed/>
    <w:rsid w:val="00305020"/>
    <w:pPr>
      <w:spacing w:before="100" w:beforeAutospacing="1" w:after="100" w:afterAutospacing="1"/>
    </w:pPr>
    <w:rPr>
      <w:sz w:val="24"/>
      <w:szCs w:val="24"/>
      <w:lang w:eastAsia="en-GB"/>
    </w:rPr>
  </w:style>
  <w:style w:type="character" w:styleId="Strong">
    <w:name w:val="Strong"/>
    <w:basedOn w:val="DefaultParagraphFont"/>
    <w:uiPriority w:val="22"/>
    <w:qFormat/>
    <w:rsid w:val="00305020"/>
    <w:rPr>
      <w:b/>
      <w:bCs/>
    </w:rPr>
  </w:style>
  <w:style w:type="character" w:customStyle="1" w:styleId="Heading1Char">
    <w:name w:val="Heading 1 Char"/>
    <w:basedOn w:val="DefaultParagraphFont"/>
    <w:link w:val="Heading1"/>
    <w:uiPriority w:val="9"/>
    <w:rsid w:val="00C7368D"/>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F267DF"/>
    <w:rPr>
      <w:color w:val="605E5C"/>
      <w:shd w:val="clear" w:color="auto" w:fill="E1DFDD"/>
    </w:rPr>
  </w:style>
  <w:style w:type="character" w:customStyle="1" w:styleId="apple-converted-space">
    <w:name w:val="apple-converted-space"/>
    <w:basedOn w:val="DefaultParagraphFont"/>
    <w:rsid w:val="00EC059C"/>
  </w:style>
  <w:style w:type="character" w:styleId="FollowedHyperlink">
    <w:name w:val="FollowedHyperlink"/>
    <w:basedOn w:val="DefaultParagraphFont"/>
    <w:semiHidden/>
    <w:unhideWhenUsed/>
    <w:rsid w:val="004301DE"/>
    <w:rPr>
      <w:color w:val="800080" w:themeColor="followedHyperlink"/>
      <w:u w:val="single"/>
    </w:rPr>
  </w:style>
  <w:style w:type="character" w:customStyle="1" w:styleId="FooterChar">
    <w:name w:val="Footer Char"/>
    <w:basedOn w:val="DefaultParagraphFont"/>
    <w:link w:val="Footer"/>
    <w:uiPriority w:val="99"/>
    <w:rsid w:val="000B08FB"/>
    <w:rPr>
      <w:noProof/>
      <w:lang w:eastAsia="en-US"/>
    </w:rPr>
  </w:style>
  <w:style w:type="paragraph" w:styleId="Revision">
    <w:name w:val="Revision"/>
    <w:hidden/>
    <w:uiPriority w:val="99"/>
    <w:semiHidden/>
    <w:rsid w:val="00444D4F"/>
    <w:rPr>
      <w:lang w:eastAsia="en-US"/>
    </w:rPr>
  </w:style>
  <w:style w:type="character" w:customStyle="1" w:styleId="cf01">
    <w:name w:val="cf01"/>
    <w:basedOn w:val="DefaultParagraphFont"/>
    <w:rsid w:val="000D03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89708">
      <w:bodyDiv w:val="1"/>
      <w:marLeft w:val="0"/>
      <w:marRight w:val="0"/>
      <w:marTop w:val="0"/>
      <w:marBottom w:val="0"/>
      <w:divBdr>
        <w:top w:val="none" w:sz="0" w:space="0" w:color="auto"/>
        <w:left w:val="none" w:sz="0" w:space="0" w:color="auto"/>
        <w:bottom w:val="none" w:sz="0" w:space="0" w:color="auto"/>
        <w:right w:val="none" w:sz="0" w:space="0" w:color="auto"/>
      </w:divBdr>
    </w:div>
    <w:div w:id="1292858764">
      <w:bodyDiv w:val="1"/>
      <w:marLeft w:val="0"/>
      <w:marRight w:val="0"/>
      <w:marTop w:val="0"/>
      <w:marBottom w:val="0"/>
      <w:divBdr>
        <w:top w:val="none" w:sz="0" w:space="0" w:color="auto"/>
        <w:left w:val="none" w:sz="0" w:space="0" w:color="auto"/>
        <w:bottom w:val="none" w:sz="0" w:space="0" w:color="auto"/>
        <w:right w:val="none" w:sz="0" w:space="0" w:color="auto"/>
      </w:divBdr>
    </w:div>
    <w:div w:id="141442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co.gov.qa/en/about-qatar/national-vision203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hepeninsulaqatar.com/article/11/12/2022/electric-vehicles-help-reduce-16-million-kg-co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ea.org/reports/world-energy-outlook-2022/an-updated-roadmap-to-net-zero-emissions-by-205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data.worldbank.org/indicator/SP.POP.GROW" TargetMode="External"/><Relationship Id="rId10" Type="http://schemas.openxmlformats.org/officeDocument/2006/relationships/hyperlink" Target="https://www.sciencedirect.com/topics/engineering/thermal-energy-storage-syste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direct.com/topics/engineering/concentrated-solar-power" TargetMode="External"/><Relationship Id="rId14" Type="http://schemas.openxmlformats.org/officeDocument/2006/relationships/hyperlink" Target="https://ourworldindata.org/grapher/annual-co2-emissions-per-country"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mac\Desktop\GCC_CO2_Conferenc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'/Users/mac/Desktop/[GCC CO2 Emission.xlsx]GCC_CO2'!$B$5</c:f>
              <c:strCache>
                <c:ptCount val="1"/>
                <c:pt idx="0">
                  <c:v>CO2 Emission (in million metric tons)</c:v>
                </c:pt>
              </c:strCache>
            </c:strRef>
          </c:tx>
          <c:spPr>
            <a:solidFill>
              <a:schemeClr val="accent1"/>
            </a:solidFill>
            <a:ln>
              <a:noFill/>
            </a:ln>
            <a:effectLst/>
          </c:spPr>
          <c:invertIfNegative val="0"/>
          <c:dLbls>
            <c:dLbl>
              <c:idx val="3"/>
              <c:tx>
                <c:rich>
                  <a:bodyPr/>
                  <a:lstStyle/>
                  <a:p>
                    <a:fld id="{147B96D9-8E87-477B-955D-6BEF8232C5CA}"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0EF-4F53-8735-31B7A258FC1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'/Users/mac/Desktop/[GCC CO2 Emission.xlsx]GCC_CO2'!$C$4:$F$4</c:f>
              <c:numCache>
                <c:formatCode>General</c:formatCode>
                <c:ptCount val="4"/>
                <c:pt idx="0">
                  <c:v>2019</c:v>
                </c:pt>
                <c:pt idx="1">
                  <c:v>2020</c:v>
                </c:pt>
                <c:pt idx="2">
                  <c:v>2021</c:v>
                </c:pt>
                <c:pt idx="3">
                  <c:v>2022</c:v>
                </c:pt>
              </c:numCache>
            </c:numRef>
          </c:cat>
          <c:val>
            <c:numRef>
              <c:f>'/Users/mac/Desktop/[GCC CO2 Emission.xlsx]GCC_CO2'!$C$5:$F$5</c:f>
              <c:numCache>
                <c:formatCode>General</c:formatCode>
                <c:ptCount val="4"/>
                <c:pt idx="0">
                  <c:v>102.64</c:v>
                </c:pt>
                <c:pt idx="1">
                  <c:v>101.94</c:v>
                </c:pt>
                <c:pt idx="2">
                  <c:v>106.55</c:v>
                </c:pt>
                <c:pt idx="3">
                  <c:v>102.62</c:v>
                </c:pt>
              </c:numCache>
            </c:numRef>
          </c:val>
          <c:extLst>
            <c:ext xmlns:c16="http://schemas.microsoft.com/office/drawing/2014/chart" uri="{C3380CC4-5D6E-409C-BE32-E72D297353CC}">
              <c16:uniqueId val="{00000000-0FA8-7842-8A83-1354ADB72B90}"/>
            </c:ext>
          </c:extLst>
        </c:ser>
        <c:dLbls>
          <c:showLegendKey val="0"/>
          <c:showVal val="0"/>
          <c:showCatName val="0"/>
          <c:showSerName val="0"/>
          <c:showPercent val="0"/>
          <c:showBubbleSize val="0"/>
        </c:dLbls>
        <c:gapWidth val="219"/>
        <c:overlap val="-27"/>
        <c:axId val="144485855"/>
        <c:axId val="164949183"/>
      </c:barChart>
      <c:catAx>
        <c:axId val="144485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164949183"/>
        <c:crosses val="autoZero"/>
        <c:auto val="1"/>
        <c:lblAlgn val="ctr"/>
        <c:lblOffset val="100"/>
        <c:noMultiLvlLbl val="0"/>
      </c:catAx>
      <c:valAx>
        <c:axId val="1649491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14448585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937</TotalTime>
  <Pages>6</Pages>
  <Words>2455</Words>
  <Characters>14000</Characters>
  <Application>Microsoft Office Word</Application>
  <DocSecurity>0</DocSecurity>
  <Lines>116</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Dr. Brenno Castrillon Menezes</cp:lastModifiedBy>
  <cp:revision>9</cp:revision>
  <cp:lastPrinted>2004-12-17T09:20:00Z</cp:lastPrinted>
  <dcterms:created xsi:type="dcterms:W3CDTF">2023-11-24T20:14:00Z</dcterms:created>
  <dcterms:modified xsi:type="dcterms:W3CDTF">2023-11-30T16:55:00Z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