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517D" w14:textId="77777777" w:rsidR="00CF48A9" w:rsidRPr="008D4713" w:rsidRDefault="00CF48A9" w:rsidP="00CF48A9">
      <w:pPr>
        <w:pStyle w:val="Els-Title"/>
        <w:rPr>
          <w:color w:val="000000" w:themeColor="text1"/>
        </w:rPr>
      </w:pPr>
      <w:bookmarkStart w:id="0" w:name="_Hlk151997899"/>
      <w:bookmarkEnd w:id="0"/>
      <w:r w:rsidRPr="00714762">
        <w:rPr>
          <w:color w:val="000000" w:themeColor="text1"/>
        </w:rPr>
        <w:t xml:space="preserve">Assessment </w:t>
      </w:r>
      <w:r>
        <w:rPr>
          <w:color w:val="000000" w:themeColor="text1"/>
        </w:rPr>
        <w:t>o</w:t>
      </w:r>
      <w:r w:rsidRPr="00714762">
        <w:rPr>
          <w:color w:val="000000" w:themeColor="text1"/>
        </w:rPr>
        <w:t xml:space="preserve">f Plastic Recycling Technologies Based </w:t>
      </w:r>
      <w:r>
        <w:rPr>
          <w:color w:val="000000" w:themeColor="text1"/>
        </w:rPr>
        <w:t>o</w:t>
      </w:r>
      <w:r w:rsidRPr="00714762">
        <w:rPr>
          <w:color w:val="000000" w:themeColor="text1"/>
        </w:rPr>
        <w:t xml:space="preserve">n Carbon Resource Circularity Considering Feedstock </w:t>
      </w:r>
      <w:r>
        <w:rPr>
          <w:color w:val="000000" w:themeColor="text1"/>
        </w:rPr>
        <w:t>a</w:t>
      </w:r>
      <w:r w:rsidRPr="00714762">
        <w:rPr>
          <w:color w:val="000000" w:themeColor="text1"/>
        </w:rPr>
        <w:t>nd Energy Use</w:t>
      </w:r>
    </w:p>
    <w:p w14:paraId="18D4DBB2" w14:textId="51D12097" w:rsidR="00CF48A9" w:rsidRDefault="00CF48A9" w:rsidP="00CF48A9">
      <w:pPr>
        <w:pStyle w:val="Els-Author"/>
      </w:pPr>
      <w:r>
        <w:t>Takuma Nakamura,</w:t>
      </w:r>
      <w:r w:rsidRPr="000E52E7">
        <w:rPr>
          <w:vertAlign w:val="superscript"/>
        </w:rPr>
        <w:t>a</w:t>
      </w:r>
      <w:r>
        <w:t xml:space="preserve"> Shoma Fujii,</w:t>
      </w:r>
      <w:r w:rsidRPr="0037186A">
        <w:rPr>
          <w:vertAlign w:val="superscript"/>
        </w:rPr>
        <w:t>a</w:t>
      </w:r>
      <w:r w:rsidR="00F50DE0">
        <w:rPr>
          <w:vertAlign w:val="superscript"/>
        </w:rPr>
        <w:t>,b</w:t>
      </w:r>
      <w:r>
        <w:t xml:space="preserve"> Aya Heiho,</w:t>
      </w:r>
      <w:r w:rsidRPr="0037186A">
        <w:rPr>
          <w:vertAlign w:val="superscript"/>
        </w:rPr>
        <w:t>c,d</w:t>
      </w:r>
      <w:r>
        <w:t xml:space="preserve"> Heng Yi</w:t>
      </w:r>
      <w:r w:rsidR="00E55AFB">
        <w:t xml:space="preserve"> Teah</w:t>
      </w:r>
      <w:r>
        <w:t>,</w:t>
      </w:r>
      <w:r w:rsidRPr="0037186A">
        <w:rPr>
          <w:vertAlign w:val="superscript"/>
        </w:rPr>
        <w:t>c</w:t>
      </w:r>
      <w:r>
        <w:t xml:space="preserve"> </w:t>
      </w:r>
      <w:r w:rsidR="00842308">
        <w:br/>
      </w:r>
      <w:r>
        <w:t>Yuichiro Kanematsu,</w:t>
      </w:r>
      <w:r w:rsidRPr="0037186A">
        <w:rPr>
          <w:vertAlign w:val="superscript"/>
        </w:rPr>
        <w:t>c</w:t>
      </w:r>
      <w:r>
        <w:t xml:space="preserve"> Yasunori Kikuchi,</w:t>
      </w:r>
      <w:r w:rsidR="00F50DE0">
        <w:rPr>
          <w:vertAlign w:val="superscript"/>
        </w:rPr>
        <w:t>a,b,</w:t>
      </w:r>
      <w:r w:rsidRPr="0037186A">
        <w:rPr>
          <w:vertAlign w:val="superscript"/>
        </w:rPr>
        <w:t>c</w:t>
      </w:r>
      <w:r>
        <w:rPr>
          <w:vertAlign w:val="superscript"/>
        </w:rPr>
        <w:t>*</w:t>
      </w:r>
    </w:p>
    <w:p w14:paraId="61EAE746" w14:textId="77777777" w:rsidR="00CF48A9" w:rsidRDefault="00CF48A9" w:rsidP="00CF48A9">
      <w:pPr>
        <w:pStyle w:val="Els-Affiliation"/>
      </w:pPr>
      <w:r w:rsidRPr="00404751">
        <w:rPr>
          <w:vertAlign w:val="superscript"/>
          <w:lang w:eastAsia="ja-JP"/>
        </w:rPr>
        <w:t>a</w:t>
      </w:r>
      <w:r>
        <w:rPr>
          <w:lang w:eastAsia="ja-JP"/>
        </w:rPr>
        <w:t xml:space="preserve">Department of Chemical System Engineering, </w:t>
      </w:r>
      <w:r w:rsidRPr="000205DE">
        <w:rPr>
          <w:lang w:eastAsia="ja-JP"/>
        </w:rPr>
        <w:t>The University of Tokyo, 7-3-1 Hongo, Bunkyo-ku, Tokyo 113-8656, Japan</w:t>
      </w:r>
    </w:p>
    <w:p w14:paraId="0BB752AE" w14:textId="77777777" w:rsidR="00CF48A9" w:rsidRDefault="00CF48A9" w:rsidP="00CF48A9">
      <w:pPr>
        <w:pStyle w:val="Els-Affiliation"/>
      </w:pPr>
      <w:r w:rsidRPr="00404751">
        <w:rPr>
          <w:vertAlign w:val="superscript"/>
        </w:rPr>
        <w:t>b</w:t>
      </w:r>
      <w:r w:rsidRPr="000205DE">
        <w:t xml:space="preserve">Institute for Future Initiatives, The University of Tokyo, </w:t>
      </w:r>
      <w:r>
        <w:t xml:space="preserve">7-3-1 Hongo, Bunkyo-ku, </w:t>
      </w:r>
      <w:r w:rsidRPr="000205DE">
        <w:t>Tokyo 113-8654</w:t>
      </w:r>
      <w:r>
        <w:t>,</w:t>
      </w:r>
      <w:r w:rsidRPr="000205DE">
        <w:t xml:space="preserve"> </w:t>
      </w:r>
      <w:r>
        <w:t>Japan</w:t>
      </w:r>
    </w:p>
    <w:p w14:paraId="12EBA66B" w14:textId="78180C3D" w:rsidR="00CF48A9" w:rsidRDefault="00CF48A9" w:rsidP="00CF48A9">
      <w:pPr>
        <w:pStyle w:val="Els-Affiliation"/>
        <w:rPr>
          <w:lang w:eastAsia="ja-JP"/>
        </w:rPr>
      </w:pPr>
      <w:r w:rsidRPr="00404751">
        <w:rPr>
          <w:vertAlign w:val="superscript"/>
          <w:lang w:eastAsia="ja-JP"/>
        </w:rPr>
        <w:t>c</w:t>
      </w:r>
      <w:r w:rsidRPr="000205DE">
        <w:rPr>
          <w:lang w:eastAsia="ja-JP"/>
        </w:rPr>
        <w:t xml:space="preserve">Presidential Endowed Chair for </w:t>
      </w:r>
      <w:r w:rsidR="0032572F">
        <w:rPr>
          <w:lang w:eastAsia="ja-JP"/>
        </w:rPr>
        <w:t>"</w:t>
      </w:r>
      <w:r w:rsidRPr="000205DE">
        <w:rPr>
          <w:lang w:eastAsia="ja-JP"/>
        </w:rPr>
        <w:t>Platinum Society</w:t>
      </w:r>
      <w:r w:rsidR="0032572F">
        <w:rPr>
          <w:lang w:eastAsia="ja-JP"/>
        </w:rPr>
        <w:t>"</w:t>
      </w:r>
      <w:r w:rsidR="0032572F" w:rsidRPr="000205DE">
        <w:rPr>
          <w:lang w:eastAsia="ja-JP"/>
        </w:rPr>
        <w:t xml:space="preserve">, </w:t>
      </w:r>
      <w:r w:rsidRPr="000205DE">
        <w:rPr>
          <w:lang w:eastAsia="ja-JP"/>
        </w:rPr>
        <w:t>The University of Tokyo</w:t>
      </w:r>
      <w:r>
        <w:rPr>
          <w:lang w:eastAsia="ja-JP"/>
        </w:rPr>
        <w:t xml:space="preserve">, </w:t>
      </w:r>
      <w:r w:rsidRPr="000205DE">
        <w:rPr>
          <w:lang w:eastAsia="ja-JP"/>
        </w:rPr>
        <w:t>7-3-1 Hongo, Bunkyo-ku, Tokyo 113-865</w:t>
      </w:r>
      <w:r>
        <w:rPr>
          <w:lang w:eastAsia="ja-JP"/>
        </w:rPr>
        <w:t>6</w:t>
      </w:r>
      <w:r w:rsidRPr="000205DE">
        <w:rPr>
          <w:lang w:eastAsia="ja-JP"/>
        </w:rPr>
        <w:t>, Japan</w:t>
      </w:r>
    </w:p>
    <w:p w14:paraId="7C195BEB" w14:textId="50DDFA98" w:rsidR="00CF48A9" w:rsidRDefault="00CF48A9" w:rsidP="00CF48A9">
      <w:pPr>
        <w:pStyle w:val="Els-Affiliation"/>
      </w:pPr>
      <w:r w:rsidRPr="00644DAB">
        <w:rPr>
          <w:rFonts w:hint="eastAsia"/>
          <w:vertAlign w:val="superscript"/>
          <w:lang w:eastAsia="ja-JP"/>
        </w:rPr>
        <w:t>d</w:t>
      </w:r>
      <w:r w:rsidRPr="00644DAB">
        <w:rPr>
          <w:rFonts w:hint="cs"/>
          <w:lang w:eastAsia="ja-JP"/>
        </w:rPr>
        <w:t>Fuculty of Environmental Studies</w:t>
      </w:r>
      <w:r>
        <w:rPr>
          <w:lang w:eastAsia="ja-JP"/>
        </w:rPr>
        <w:t xml:space="preserve">, Tokyo City University, </w:t>
      </w:r>
      <w:r w:rsidRPr="00644DAB">
        <w:rPr>
          <w:rFonts w:hint="cs"/>
          <w:lang w:eastAsia="ja-JP"/>
        </w:rPr>
        <w:t>3-3-1 Ushikubo-Nishi,</w:t>
      </w:r>
      <w:r w:rsidR="006C10B3">
        <w:rPr>
          <w:lang w:eastAsia="ja-JP"/>
        </w:rPr>
        <w:br/>
      </w:r>
      <w:r w:rsidRPr="00644DAB">
        <w:rPr>
          <w:rFonts w:hint="cs"/>
          <w:lang w:eastAsia="ja-JP"/>
        </w:rPr>
        <w:t>Tsuzuki-Ku,Yokohama,</w:t>
      </w:r>
      <w:r>
        <w:rPr>
          <w:lang w:eastAsia="ja-JP"/>
        </w:rPr>
        <w:t xml:space="preserve"> </w:t>
      </w:r>
      <w:r w:rsidRPr="00644DAB">
        <w:rPr>
          <w:rFonts w:hint="cs"/>
          <w:lang w:eastAsia="ja-JP"/>
        </w:rPr>
        <w:t>Kanagawa</w:t>
      </w:r>
      <w:r w:rsidR="00C97C03">
        <w:rPr>
          <w:lang w:eastAsia="ja-JP"/>
        </w:rPr>
        <w:t xml:space="preserve"> </w:t>
      </w:r>
      <w:r w:rsidRPr="00644DAB">
        <w:rPr>
          <w:rFonts w:hint="cs"/>
          <w:lang w:eastAsia="ja-JP"/>
        </w:rPr>
        <w:t>224</w:t>
      </w:r>
      <w:r>
        <w:rPr>
          <w:lang w:eastAsia="ja-JP"/>
        </w:rPr>
        <w:t>-</w:t>
      </w:r>
      <w:r w:rsidRPr="00644DAB">
        <w:rPr>
          <w:rFonts w:hint="cs"/>
          <w:lang w:eastAsia="ja-JP"/>
        </w:rPr>
        <w:t>8551 ,Japan</w:t>
      </w:r>
      <w:r>
        <w:rPr>
          <w:lang w:eastAsia="ja-JP"/>
        </w:rPr>
        <w:br/>
      </w:r>
      <w:r>
        <w:t>ykikuchi@ifi.u-tokyo.ac.jp</w:t>
      </w:r>
    </w:p>
    <w:p w14:paraId="144DE684" w14:textId="77777777" w:rsidR="008D2649" w:rsidRDefault="008D2649" w:rsidP="008D2649">
      <w:pPr>
        <w:pStyle w:val="Els-Abstract"/>
      </w:pPr>
      <w:r>
        <w:t>Abstract</w:t>
      </w:r>
    </w:p>
    <w:p w14:paraId="2AEB0DF5" w14:textId="78C97A66" w:rsidR="00CF48A9" w:rsidRDefault="00CF48A9" w:rsidP="00CF48A9">
      <w:pPr>
        <w:pStyle w:val="Els-body-text"/>
        <w:spacing w:after="120"/>
      </w:pPr>
      <w:r w:rsidRPr="00FF1AEA">
        <w:rPr>
          <w:color w:val="000000" w:themeColor="text1"/>
        </w:rPr>
        <w:t xml:space="preserve">In this study, we are tackling </w:t>
      </w:r>
      <w:r w:rsidR="00F56156" w:rsidRPr="00FF1AEA">
        <w:rPr>
          <w:color w:val="000000" w:themeColor="text1"/>
        </w:rPr>
        <w:t xml:space="preserve">the </w:t>
      </w:r>
      <w:r w:rsidR="004774FE" w:rsidRPr="00FF1AEA">
        <w:rPr>
          <w:color w:val="000000" w:themeColor="text1"/>
        </w:rPr>
        <w:t xml:space="preserve">impact assessment of introducing plastic recycling technologies based on resource circularity for </w:t>
      </w:r>
      <w:r w:rsidR="0032572F" w:rsidRPr="00FF1AEA">
        <w:rPr>
          <w:color w:val="000000" w:themeColor="text1"/>
        </w:rPr>
        <w:t xml:space="preserve">the </w:t>
      </w:r>
      <w:r w:rsidR="004774FE" w:rsidRPr="00FF1AEA">
        <w:rPr>
          <w:color w:val="000000" w:themeColor="text1"/>
        </w:rPr>
        <w:t xml:space="preserve">design of </w:t>
      </w:r>
      <w:r w:rsidR="0032572F" w:rsidRPr="00FF1AEA">
        <w:rPr>
          <w:color w:val="000000" w:themeColor="text1"/>
        </w:rPr>
        <w:t xml:space="preserve">a </w:t>
      </w:r>
      <w:r w:rsidR="004774FE" w:rsidRPr="00FF1AEA">
        <w:rPr>
          <w:color w:val="000000" w:themeColor="text1"/>
        </w:rPr>
        <w:t xml:space="preserve">circulating plastic recycling system. </w:t>
      </w:r>
      <w:r w:rsidR="00025ECC" w:rsidRPr="00FF1AEA">
        <w:rPr>
          <w:color w:val="000000" w:themeColor="text1"/>
        </w:rPr>
        <w:t xml:space="preserve">For a sustainable </w:t>
      </w:r>
      <w:r w:rsidRPr="00FF1AEA">
        <w:rPr>
          <w:color w:val="000000" w:themeColor="text1"/>
        </w:rPr>
        <w:t xml:space="preserve">circulation of carbon resources </w:t>
      </w:r>
      <w:r w:rsidR="003E3ACE" w:rsidRPr="00FF1AEA">
        <w:rPr>
          <w:color w:val="000000" w:themeColor="text1"/>
        </w:rPr>
        <w:t>in the chemical industry, CO</w:t>
      </w:r>
      <w:r w:rsidR="003E3ACE" w:rsidRPr="00FF1AEA">
        <w:rPr>
          <w:color w:val="000000" w:themeColor="text1"/>
          <w:vertAlign w:val="subscript"/>
        </w:rPr>
        <w:t>2</w:t>
      </w:r>
      <w:r w:rsidR="003E3ACE" w:rsidRPr="00FF1AEA">
        <w:rPr>
          <w:color w:val="000000" w:themeColor="text1"/>
        </w:rPr>
        <w:t xml:space="preserve"> emitted from refineries</w:t>
      </w:r>
      <w:r w:rsidR="003E3ACE" w:rsidRPr="00FF1AEA">
        <w:rPr>
          <w:rFonts w:hint="eastAsia"/>
          <w:color w:val="000000" w:themeColor="text1"/>
          <w:lang w:eastAsia="ja-JP"/>
        </w:rPr>
        <w:t xml:space="preserve"> </w:t>
      </w:r>
      <w:r w:rsidR="003E3ACE" w:rsidRPr="00FF1AEA">
        <w:rPr>
          <w:color w:val="000000" w:themeColor="text1"/>
          <w:lang w:eastAsia="ja-JP"/>
        </w:rPr>
        <w:t xml:space="preserve">needs to be converted back </w:t>
      </w:r>
      <w:r w:rsidR="003E3ACE" w:rsidRPr="00FF1AEA">
        <w:rPr>
          <w:color w:val="000000" w:themeColor="text1"/>
        </w:rPr>
        <w:t>into resources and the remaining carbon needs to be substituted with</w:t>
      </w:r>
      <w:r w:rsidR="008C084A" w:rsidRPr="00FF1AEA">
        <w:rPr>
          <w:color w:val="000000" w:themeColor="text1"/>
        </w:rPr>
        <w:t xml:space="preserve"> </w:t>
      </w:r>
      <w:r w:rsidRPr="00FF1AEA">
        <w:rPr>
          <w:color w:val="000000" w:themeColor="text1"/>
        </w:rPr>
        <w:t xml:space="preserve">bio-derived </w:t>
      </w:r>
      <w:r w:rsidR="00627EFE" w:rsidRPr="00FF1AEA">
        <w:rPr>
          <w:color w:val="000000" w:themeColor="text1"/>
        </w:rPr>
        <w:t xml:space="preserve">carbon </w:t>
      </w:r>
      <w:r w:rsidR="00CC021A" w:rsidRPr="00FF1AEA">
        <w:rPr>
          <w:color w:val="000000" w:themeColor="text1"/>
        </w:rPr>
        <w:t>and recycle-derived carbon</w:t>
      </w:r>
      <w:r w:rsidR="00842308" w:rsidRPr="00FF1AEA">
        <w:rPr>
          <w:color w:val="000000" w:themeColor="text1"/>
        </w:rPr>
        <w:t>.</w:t>
      </w:r>
      <w:r w:rsidRPr="00FF1AEA">
        <w:rPr>
          <w:color w:val="000000" w:themeColor="text1"/>
        </w:rPr>
        <w:t xml:space="preserve"> </w:t>
      </w:r>
      <w:r w:rsidR="00835F1B" w:rsidRPr="00FF1AEA">
        <w:rPr>
          <w:color w:val="000000" w:themeColor="text1"/>
        </w:rPr>
        <w:t xml:space="preserve">This </w:t>
      </w:r>
      <w:r w:rsidR="00AD462D" w:rsidRPr="00FF1AEA">
        <w:rPr>
          <w:color w:val="000000" w:themeColor="text1"/>
        </w:rPr>
        <w:t>study assesse</w:t>
      </w:r>
      <w:r w:rsidR="00061B1F" w:rsidRPr="00FF1AEA">
        <w:rPr>
          <w:color w:val="000000" w:themeColor="text1"/>
        </w:rPr>
        <w:t>d</w:t>
      </w:r>
      <w:r w:rsidR="00A96316" w:rsidRPr="00FF1AEA">
        <w:rPr>
          <w:color w:val="000000" w:themeColor="text1"/>
        </w:rPr>
        <w:t xml:space="preserve"> the</w:t>
      </w:r>
      <w:r w:rsidR="00F154BD" w:rsidRPr="00FF1AEA">
        <w:rPr>
          <w:color w:val="000000" w:themeColor="text1"/>
        </w:rPr>
        <w:t xml:space="preserve"> "circulating" </w:t>
      </w:r>
      <w:r w:rsidR="00A96316" w:rsidRPr="00FF1AEA">
        <w:rPr>
          <w:color w:val="000000" w:themeColor="text1"/>
        </w:rPr>
        <w:t xml:space="preserve">plastic </w:t>
      </w:r>
      <w:r w:rsidR="00F154BD" w:rsidRPr="00FF1AEA">
        <w:rPr>
          <w:color w:val="000000" w:themeColor="text1"/>
        </w:rPr>
        <w:t xml:space="preserve">recycling </w:t>
      </w:r>
      <w:r w:rsidR="00A96316" w:rsidRPr="00FF1AEA">
        <w:rPr>
          <w:color w:val="000000" w:themeColor="text1"/>
        </w:rPr>
        <w:t xml:space="preserve">technologies that </w:t>
      </w:r>
      <w:r w:rsidR="00F154BD" w:rsidRPr="00FF1AEA">
        <w:rPr>
          <w:color w:val="000000" w:themeColor="text1"/>
        </w:rPr>
        <w:t>convert waste plastics into raw materials that can be fed into existing facilities</w:t>
      </w:r>
      <w:r w:rsidR="00A96316" w:rsidRPr="00FF1AEA">
        <w:rPr>
          <w:color w:val="000000" w:themeColor="text1"/>
        </w:rPr>
        <w:t xml:space="preserve">. </w:t>
      </w:r>
      <w:r w:rsidR="00991E09" w:rsidRPr="00FF1AEA">
        <w:rPr>
          <w:color w:val="000000" w:themeColor="text1"/>
        </w:rPr>
        <w:t>T</w:t>
      </w:r>
      <w:r w:rsidR="00E05945" w:rsidRPr="00FF1AEA">
        <w:rPr>
          <w:color w:val="000000" w:themeColor="text1"/>
        </w:rPr>
        <w:t>he impact of</w:t>
      </w:r>
      <w:r w:rsidR="00AD462D" w:rsidRPr="00FF1AEA">
        <w:rPr>
          <w:color w:val="000000" w:themeColor="text1"/>
        </w:rPr>
        <w:t xml:space="preserve"> plastic </w:t>
      </w:r>
      <w:r w:rsidR="00A96316" w:rsidRPr="00FF1AEA">
        <w:rPr>
          <w:color w:val="000000" w:themeColor="text1"/>
        </w:rPr>
        <w:t xml:space="preserve">recycling </w:t>
      </w:r>
      <w:r w:rsidR="00E05945" w:rsidRPr="00FF1AEA">
        <w:rPr>
          <w:color w:val="000000" w:themeColor="text1"/>
        </w:rPr>
        <w:t xml:space="preserve">has been evaluated </w:t>
      </w:r>
      <w:r w:rsidR="005E41A0" w:rsidRPr="00FF1AEA">
        <w:rPr>
          <w:color w:val="000000" w:themeColor="text1"/>
        </w:rPr>
        <w:t>in terms of</w:t>
      </w:r>
      <w:r w:rsidR="00E05945" w:rsidRPr="00FF1AEA">
        <w:rPr>
          <w:color w:val="000000" w:themeColor="text1"/>
        </w:rPr>
        <w:t xml:space="preserve"> </w:t>
      </w:r>
      <w:r w:rsidR="0052792C" w:rsidRPr="00FF1AEA">
        <w:rPr>
          <w:color w:val="000000" w:themeColor="text1"/>
          <w:lang w:eastAsia="ja-JP"/>
        </w:rPr>
        <w:t xml:space="preserve">greenhouse gas </w:t>
      </w:r>
      <w:r w:rsidR="00E05945" w:rsidRPr="00FF1AEA">
        <w:rPr>
          <w:color w:val="000000" w:themeColor="text1"/>
        </w:rPr>
        <w:t>emissions</w:t>
      </w:r>
      <w:r w:rsidR="00DC4D69" w:rsidRPr="00FF1AEA">
        <w:rPr>
          <w:color w:val="000000" w:themeColor="text1"/>
        </w:rPr>
        <w:t>,</w:t>
      </w:r>
      <w:r w:rsidR="00E05945" w:rsidRPr="00FF1AEA">
        <w:rPr>
          <w:color w:val="000000" w:themeColor="text1"/>
        </w:rPr>
        <w:t xml:space="preserve"> </w:t>
      </w:r>
      <w:r w:rsidR="003E3ACE" w:rsidRPr="00FF1AEA">
        <w:rPr>
          <w:color w:val="000000" w:themeColor="text1"/>
        </w:rPr>
        <w:t>with a few</w:t>
      </w:r>
      <w:r w:rsidR="00E05945" w:rsidRPr="00FF1AEA">
        <w:rPr>
          <w:color w:val="000000" w:themeColor="text1"/>
        </w:rPr>
        <w:t xml:space="preserve"> cases evaluated from the perspective of </w:t>
      </w:r>
      <w:r w:rsidR="005E41A0" w:rsidRPr="00FF1AEA">
        <w:rPr>
          <w:color w:val="000000" w:themeColor="text1"/>
        </w:rPr>
        <w:t xml:space="preserve">the </w:t>
      </w:r>
      <w:r w:rsidR="00E05945" w:rsidRPr="00FF1AEA">
        <w:rPr>
          <w:color w:val="000000" w:themeColor="text1"/>
        </w:rPr>
        <w:t xml:space="preserve">degree of resource </w:t>
      </w:r>
      <w:r w:rsidR="003E3ACE" w:rsidRPr="00FF1AEA">
        <w:rPr>
          <w:color w:val="000000" w:themeColor="text1"/>
        </w:rPr>
        <w:t>circularity; however, an appropriate environmental indicator for recycling has not been constructed to date. To evaluate the impact of recycling technologies, we developed an indicator for the degree of carbon resource circulation based on</w:t>
      </w:r>
      <w:r w:rsidR="000F4C03" w:rsidRPr="00FF1AEA">
        <w:rPr>
          <w:color w:val="000000" w:themeColor="text1"/>
        </w:rPr>
        <w:t xml:space="preserve"> the model consisting of process flows of refineries and multiple recycles. </w:t>
      </w:r>
      <w:r w:rsidRPr="00FF1AEA">
        <w:rPr>
          <w:color w:val="000000" w:themeColor="text1"/>
        </w:rPr>
        <w:t xml:space="preserve">The results showed that catalytic cracking and </w:t>
      </w:r>
      <w:r w:rsidR="000F4C03" w:rsidRPr="00FF1AEA">
        <w:rPr>
          <w:color w:val="000000" w:themeColor="text1"/>
        </w:rPr>
        <w:t>material recycling</w:t>
      </w:r>
      <w:r w:rsidRPr="00FF1AEA">
        <w:rPr>
          <w:color w:val="000000" w:themeColor="text1"/>
        </w:rPr>
        <w:t xml:space="preserve"> contribute to carbon resource circulation more than other recycles.</w:t>
      </w:r>
    </w:p>
    <w:p w14:paraId="144DE687" w14:textId="3DDBE219" w:rsidR="008D2649" w:rsidRDefault="008D2649" w:rsidP="008D2649">
      <w:pPr>
        <w:pStyle w:val="Els-body-text"/>
        <w:spacing w:after="120"/>
        <w:rPr>
          <w:lang w:val="en-GB"/>
        </w:rPr>
      </w:pPr>
      <w:r>
        <w:rPr>
          <w:b/>
          <w:bCs/>
          <w:lang w:val="en-GB"/>
        </w:rPr>
        <w:t>Keywords</w:t>
      </w:r>
      <w:r>
        <w:rPr>
          <w:lang w:val="en-GB"/>
        </w:rPr>
        <w:t xml:space="preserve">: </w:t>
      </w:r>
      <w:r w:rsidR="00FC5CCD">
        <w:rPr>
          <w:lang w:val="en-GB"/>
        </w:rPr>
        <w:t>circularity indicator</w:t>
      </w:r>
      <w:r w:rsidR="00CF48A9">
        <w:rPr>
          <w:lang w:val="en-GB"/>
        </w:rPr>
        <w:t xml:space="preserve">, carbon resource circulation, </w:t>
      </w:r>
      <w:r w:rsidR="00FC5CCD">
        <w:t xml:space="preserve">life cycle assessment, </w:t>
      </w:r>
      <w:r w:rsidR="00CF48A9">
        <w:rPr>
          <w:lang w:val="en-GB"/>
        </w:rPr>
        <w:t xml:space="preserve">process </w:t>
      </w:r>
      <w:proofErr w:type="spellStart"/>
      <w:r w:rsidR="00F173F3">
        <w:rPr>
          <w:lang w:val="en-GB"/>
        </w:rPr>
        <w:t>modeling</w:t>
      </w:r>
      <w:proofErr w:type="spellEnd"/>
    </w:p>
    <w:p w14:paraId="144DE689" w14:textId="4662EBE1" w:rsidR="008D2649" w:rsidRDefault="006C10B3" w:rsidP="008D2649">
      <w:pPr>
        <w:pStyle w:val="Els-1storder-head"/>
      </w:pPr>
      <w:r>
        <w:t>Introduction</w:t>
      </w:r>
    </w:p>
    <w:p w14:paraId="02D1BC33" w14:textId="7585517D" w:rsidR="003F4FC2" w:rsidRPr="002A4B47" w:rsidRDefault="00474E93" w:rsidP="00474E93">
      <w:pPr>
        <w:pStyle w:val="Els-body-text"/>
        <w:rPr>
          <w:color w:val="000000" w:themeColor="text1"/>
        </w:rPr>
      </w:pPr>
      <w:r w:rsidRPr="00FF1AEA">
        <w:rPr>
          <w:color w:val="000000" w:themeColor="text1"/>
        </w:rPr>
        <w:t xml:space="preserve">Regarding </w:t>
      </w:r>
      <w:r w:rsidR="00D1170D" w:rsidRPr="00FF1AEA">
        <w:rPr>
          <w:color w:val="000000" w:themeColor="text1"/>
        </w:rPr>
        <w:t xml:space="preserve">the </w:t>
      </w:r>
      <w:r w:rsidRPr="00FF1AEA">
        <w:rPr>
          <w:color w:val="000000" w:themeColor="text1"/>
        </w:rPr>
        <w:t xml:space="preserve">circulation of carbon resources </w:t>
      </w:r>
      <w:r w:rsidR="003E3ACE" w:rsidRPr="00FF1AEA">
        <w:rPr>
          <w:color w:val="000000" w:themeColor="text1"/>
        </w:rPr>
        <w:t>in the chemical industry</w:t>
      </w:r>
      <w:r w:rsidRPr="00FF1AEA">
        <w:rPr>
          <w:color w:val="000000" w:themeColor="text1"/>
        </w:rPr>
        <w:t>, the consumption of fossil-derived resources needs</w:t>
      </w:r>
      <w:r w:rsidRPr="00FF1AEA">
        <w:rPr>
          <w:rFonts w:hint="eastAsia"/>
          <w:color w:val="000000" w:themeColor="text1"/>
          <w:lang w:eastAsia="ja-JP"/>
        </w:rPr>
        <w:t xml:space="preserve"> </w:t>
      </w:r>
      <w:r w:rsidRPr="00FF1AEA">
        <w:rPr>
          <w:color w:val="000000" w:themeColor="text1"/>
        </w:rPr>
        <w:t xml:space="preserve">to be reduced for carbon neutrality. </w:t>
      </w:r>
      <w:r w:rsidR="003E3ACE" w:rsidRPr="00FF1AEA">
        <w:rPr>
          <w:color w:val="000000" w:themeColor="text1"/>
        </w:rPr>
        <w:t>The CO</w:t>
      </w:r>
      <w:r w:rsidR="003E3ACE" w:rsidRPr="00FF1AEA">
        <w:rPr>
          <w:color w:val="000000" w:themeColor="text1"/>
          <w:vertAlign w:val="subscript"/>
        </w:rPr>
        <w:t>2</w:t>
      </w:r>
      <w:r w:rsidR="003E3ACE" w:rsidRPr="00FF1AEA">
        <w:rPr>
          <w:color w:val="000000" w:themeColor="text1"/>
        </w:rPr>
        <w:t xml:space="preserve"> emitted from refineries</w:t>
      </w:r>
      <w:r w:rsidR="003E3ACE" w:rsidRPr="00FF1AEA">
        <w:rPr>
          <w:rFonts w:hint="eastAsia"/>
          <w:color w:val="000000" w:themeColor="text1"/>
          <w:lang w:eastAsia="ja-JP"/>
        </w:rPr>
        <w:t xml:space="preserve"> </w:t>
      </w:r>
      <w:r w:rsidR="003E3ACE" w:rsidRPr="00FF1AEA">
        <w:rPr>
          <w:color w:val="000000" w:themeColor="text1"/>
        </w:rPr>
        <w:t xml:space="preserve">needs to be converted </w:t>
      </w:r>
      <w:r w:rsidR="003E3ACE" w:rsidRPr="00FF1AEA">
        <w:rPr>
          <w:color w:val="000000" w:themeColor="text1"/>
          <w:lang w:eastAsia="ja-JP"/>
        </w:rPr>
        <w:t xml:space="preserve">back </w:t>
      </w:r>
      <w:r w:rsidR="003E3ACE" w:rsidRPr="00FF1AEA">
        <w:rPr>
          <w:color w:val="000000" w:themeColor="text1"/>
        </w:rPr>
        <w:t>into resources and the remainder of the carbon needs to be substituted with bio-derived and recycle-derived carbon (Meng et al., 2023). In the context of carbon resource</w:t>
      </w:r>
      <w:r w:rsidR="003E3ACE" w:rsidRPr="00FF1AEA">
        <w:rPr>
          <w:color w:val="000000" w:themeColor="text1"/>
          <w:lang w:eastAsia="ja-JP"/>
        </w:rPr>
        <w:t xml:space="preserve"> </w:t>
      </w:r>
      <w:r w:rsidR="003E3ACE" w:rsidRPr="00FF1AEA">
        <w:rPr>
          <w:color w:val="000000" w:themeColor="text1"/>
        </w:rPr>
        <w:t>circulation, “circulating” recycles, including material recycling (MR), catalytic cracking, and monomerization, are important for converting used plastic products into chemical feedstocks and plastic resins that can be fed into existing processes such as refineries.</w:t>
      </w:r>
      <w:r w:rsidR="000A64B8" w:rsidRPr="00FF1AEA">
        <w:rPr>
          <w:color w:val="000000" w:themeColor="text1"/>
        </w:rPr>
        <w:t xml:space="preserve"> Particularly, it was</w:t>
      </w:r>
      <w:r w:rsidR="000A64B8">
        <w:rPr>
          <w:color w:val="000000" w:themeColor="text1"/>
        </w:rPr>
        <w:t xml:space="preserve"> reported that </w:t>
      </w:r>
      <w:r w:rsidR="000A64B8">
        <w:rPr>
          <w:lang w:eastAsia="ja-JP"/>
        </w:rPr>
        <w:t xml:space="preserve">the performance of catalytic cracking could be linked with improvements </w:t>
      </w:r>
      <w:r w:rsidR="00061B1F">
        <w:rPr>
          <w:lang w:eastAsia="ja-JP"/>
        </w:rPr>
        <w:t xml:space="preserve">in </w:t>
      </w:r>
      <w:r w:rsidR="000A64B8">
        <w:rPr>
          <w:lang w:eastAsia="ja-JP"/>
        </w:rPr>
        <w:t>environment</w:t>
      </w:r>
      <w:r w:rsidR="000A64B8" w:rsidRPr="002A4B47">
        <w:rPr>
          <w:color w:val="000000" w:themeColor="text1"/>
          <w:lang w:eastAsia="ja-JP"/>
        </w:rPr>
        <w:t>al performance</w:t>
      </w:r>
      <w:r w:rsidR="000A64B8" w:rsidRPr="002A4B47">
        <w:rPr>
          <w:color w:val="000000" w:themeColor="text1"/>
        </w:rPr>
        <w:t xml:space="preserve"> </w:t>
      </w:r>
      <w:r w:rsidR="000A64B8" w:rsidRPr="00FF1AEA">
        <w:rPr>
          <w:color w:val="000000" w:themeColor="text1"/>
        </w:rPr>
        <w:lastRenderedPageBreak/>
        <w:t>(Kikuchi et al., 2023).</w:t>
      </w:r>
      <w:r w:rsidRPr="00FF1AEA">
        <w:rPr>
          <w:color w:val="000000" w:themeColor="text1"/>
        </w:rPr>
        <w:t xml:space="preserve"> Th</w:t>
      </w:r>
      <w:r w:rsidR="009177D9" w:rsidRPr="00FF1AEA">
        <w:rPr>
          <w:color w:val="000000" w:themeColor="text1"/>
        </w:rPr>
        <w:t xml:space="preserve">ese </w:t>
      </w:r>
      <w:r w:rsidR="00061B1F" w:rsidRPr="00FF1AEA">
        <w:rPr>
          <w:color w:val="000000" w:themeColor="text1"/>
        </w:rPr>
        <w:t xml:space="preserve">technologies </w:t>
      </w:r>
      <w:r w:rsidRPr="00FF1AEA">
        <w:rPr>
          <w:color w:val="000000" w:themeColor="text1"/>
        </w:rPr>
        <w:t xml:space="preserve">allow carbon resources to be </w:t>
      </w:r>
      <w:r w:rsidR="009177D9" w:rsidRPr="00FF1AEA">
        <w:rPr>
          <w:color w:val="000000" w:themeColor="text1"/>
        </w:rPr>
        <w:t>used circularly</w:t>
      </w:r>
      <w:r w:rsidRPr="00FF1AEA">
        <w:rPr>
          <w:color w:val="000000" w:themeColor="text1"/>
        </w:rPr>
        <w:t xml:space="preserve"> and reduce </w:t>
      </w:r>
      <w:r w:rsidR="00061B1F" w:rsidRPr="00FF1AEA">
        <w:rPr>
          <w:color w:val="000000" w:themeColor="text1"/>
        </w:rPr>
        <w:t xml:space="preserve">the </w:t>
      </w:r>
      <w:r w:rsidRPr="00FF1AEA">
        <w:rPr>
          <w:color w:val="000000" w:themeColor="text1"/>
        </w:rPr>
        <w:t>consumption</w:t>
      </w:r>
      <w:r w:rsidR="00B6095A" w:rsidRPr="00FF1AEA">
        <w:rPr>
          <w:rFonts w:hint="eastAsia"/>
          <w:color w:val="000000" w:themeColor="text1"/>
          <w:lang w:eastAsia="ja-JP"/>
        </w:rPr>
        <w:t xml:space="preserve"> </w:t>
      </w:r>
      <w:r w:rsidRPr="00FF1AEA">
        <w:rPr>
          <w:color w:val="000000" w:themeColor="text1"/>
        </w:rPr>
        <w:t xml:space="preserve">of crude oil. </w:t>
      </w:r>
      <w:r w:rsidR="003E3ACE" w:rsidRPr="00FF1AEA">
        <w:rPr>
          <w:color w:val="000000" w:themeColor="text1"/>
        </w:rPr>
        <w:t xml:space="preserve">By contrast, </w:t>
      </w:r>
      <w:r w:rsidR="006C6F29" w:rsidRPr="00FF1AEA">
        <w:rPr>
          <w:color w:val="000000" w:themeColor="text1"/>
        </w:rPr>
        <w:t>waste to energy</w:t>
      </w:r>
      <w:r w:rsidR="003E3ACE" w:rsidRPr="00FF1AEA">
        <w:rPr>
          <w:color w:val="000000" w:themeColor="text1"/>
        </w:rPr>
        <w:t xml:space="preserve"> mainly contributes to energetic circulation. Its main objective is to reduce greenhouse gas (GHG) emissions. Therefore, the impact</w:t>
      </w:r>
      <w:r w:rsidR="003F4FC2" w:rsidRPr="00FF1AEA">
        <w:rPr>
          <w:color w:val="000000" w:themeColor="text1"/>
        </w:rPr>
        <w:t xml:space="preserve"> of introducing recycling technologies must be evaluated in terms of both GHG emission</w:t>
      </w:r>
      <w:r w:rsidR="003F4FC2" w:rsidRPr="002A4B47">
        <w:rPr>
          <w:color w:val="000000" w:themeColor="text1"/>
        </w:rPr>
        <w:t>s and contribution to carbon resource circulation</w:t>
      </w:r>
      <w:r w:rsidR="005B2192" w:rsidRPr="002A4B47">
        <w:rPr>
          <w:color w:val="000000" w:themeColor="text1"/>
        </w:rPr>
        <w:t>. Evaluation by these two indicators will lead</w:t>
      </w:r>
      <w:r w:rsidRPr="002A4B47">
        <w:rPr>
          <w:color w:val="000000" w:themeColor="text1"/>
        </w:rPr>
        <w:t xml:space="preserve"> </w:t>
      </w:r>
      <w:r w:rsidR="005D724C">
        <w:rPr>
          <w:color w:val="000000" w:themeColor="text1"/>
        </w:rPr>
        <w:t xml:space="preserve">to </w:t>
      </w:r>
      <w:r w:rsidRPr="002A4B47">
        <w:rPr>
          <w:color w:val="000000" w:themeColor="text1"/>
        </w:rPr>
        <w:t>an appropriate impact assessment framework for</w:t>
      </w:r>
      <w:r w:rsidR="005B2192" w:rsidRPr="002A4B47">
        <w:rPr>
          <w:rFonts w:hint="eastAsia"/>
          <w:color w:val="000000" w:themeColor="text1"/>
          <w:lang w:eastAsia="ja-JP"/>
        </w:rPr>
        <w:t xml:space="preserve"> </w:t>
      </w:r>
      <w:r w:rsidR="005B2192" w:rsidRPr="002A4B47">
        <w:rPr>
          <w:color w:val="000000" w:themeColor="text1"/>
          <w:lang w:eastAsia="ja-JP"/>
        </w:rPr>
        <w:t>plastic recycl</w:t>
      </w:r>
      <w:r w:rsidR="00C35582">
        <w:rPr>
          <w:color w:val="000000" w:themeColor="text1"/>
          <w:lang w:eastAsia="ja-JP"/>
        </w:rPr>
        <w:t>ing technologies</w:t>
      </w:r>
      <w:r w:rsidR="005B2192" w:rsidRPr="002A4B47">
        <w:rPr>
          <w:color w:val="000000" w:themeColor="text1"/>
          <w:lang w:eastAsia="ja-JP"/>
        </w:rPr>
        <w:t>.</w:t>
      </w:r>
      <w:r w:rsidRPr="002A4B47">
        <w:rPr>
          <w:rFonts w:hint="eastAsia"/>
          <w:color w:val="000000" w:themeColor="text1"/>
          <w:lang w:eastAsia="ja-JP"/>
        </w:rPr>
        <w:t xml:space="preserve"> </w:t>
      </w:r>
    </w:p>
    <w:p w14:paraId="72B47C7E" w14:textId="77777777" w:rsidR="00256D6D" w:rsidRDefault="00256D6D" w:rsidP="002C532C">
      <w:pPr>
        <w:pStyle w:val="Els-body-text"/>
        <w:rPr>
          <w:color w:val="000000" w:themeColor="text1"/>
        </w:rPr>
      </w:pPr>
    </w:p>
    <w:p w14:paraId="7EEB2CDF" w14:textId="1143DA26" w:rsidR="002A2625" w:rsidRPr="002C532C" w:rsidRDefault="00ED2EC9" w:rsidP="002C532C">
      <w:pPr>
        <w:pStyle w:val="Els-body-text"/>
        <w:rPr>
          <w:color w:val="000000" w:themeColor="text1"/>
        </w:rPr>
      </w:pPr>
      <w:r w:rsidRPr="002A4B47">
        <w:rPr>
          <w:color w:val="000000" w:themeColor="text1"/>
        </w:rPr>
        <w:t xml:space="preserve">In this study, we are tackling </w:t>
      </w:r>
      <w:r w:rsidR="00C35582">
        <w:rPr>
          <w:color w:val="000000" w:themeColor="text1"/>
        </w:rPr>
        <w:t xml:space="preserve">the </w:t>
      </w:r>
      <w:r w:rsidRPr="002A4B47">
        <w:rPr>
          <w:color w:val="000000" w:themeColor="text1"/>
        </w:rPr>
        <w:t xml:space="preserve">impact assessment of introducing plastic recycling </w:t>
      </w:r>
      <w:r w:rsidRPr="00FF1AEA">
        <w:rPr>
          <w:color w:val="000000" w:themeColor="text1"/>
        </w:rPr>
        <w:t xml:space="preserve">technologies based on resource circularity for </w:t>
      </w:r>
      <w:r w:rsidR="00C35582" w:rsidRPr="00FF1AEA">
        <w:rPr>
          <w:color w:val="000000" w:themeColor="text1"/>
        </w:rPr>
        <w:t xml:space="preserve">the </w:t>
      </w:r>
      <w:r w:rsidRPr="00FF1AEA">
        <w:rPr>
          <w:color w:val="000000" w:themeColor="text1"/>
        </w:rPr>
        <w:t xml:space="preserve">design of </w:t>
      </w:r>
      <w:r w:rsidR="003E3ACE" w:rsidRPr="00FF1AEA">
        <w:rPr>
          <w:color w:val="000000" w:themeColor="text1"/>
        </w:rPr>
        <w:t>the circulating plastic recycling system. To date, the impact</w:t>
      </w:r>
      <w:r w:rsidR="00A405D3" w:rsidRPr="00FF1AEA">
        <w:rPr>
          <w:color w:val="000000" w:themeColor="text1"/>
        </w:rPr>
        <w:t xml:space="preserve"> of introducing </w:t>
      </w:r>
      <w:r w:rsidR="00C35582" w:rsidRPr="00FF1AEA">
        <w:rPr>
          <w:color w:val="000000" w:themeColor="text1"/>
        </w:rPr>
        <w:t xml:space="preserve">recycling </w:t>
      </w:r>
      <w:r w:rsidR="00A405D3" w:rsidRPr="00FF1AEA">
        <w:rPr>
          <w:color w:val="000000" w:themeColor="text1"/>
        </w:rPr>
        <w:t xml:space="preserve">has been evaluated mainly by </w:t>
      </w:r>
      <w:r w:rsidR="00A405D3" w:rsidRPr="00FF1AEA">
        <w:rPr>
          <w:color w:val="000000" w:themeColor="text1"/>
          <w:lang w:eastAsia="ja-JP"/>
        </w:rPr>
        <w:t xml:space="preserve">GHG </w:t>
      </w:r>
      <w:r w:rsidR="00A405D3" w:rsidRPr="00FF1AEA">
        <w:rPr>
          <w:color w:val="000000" w:themeColor="text1"/>
        </w:rPr>
        <w:t xml:space="preserve">emissions, with </w:t>
      </w:r>
      <w:r w:rsidR="00F50DE0" w:rsidRPr="00FF1AEA">
        <w:rPr>
          <w:color w:val="000000" w:themeColor="text1"/>
        </w:rPr>
        <w:t xml:space="preserve">a </w:t>
      </w:r>
      <w:r w:rsidR="00A405D3" w:rsidRPr="00FF1AEA">
        <w:rPr>
          <w:color w:val="000000" w:themeColor="text1"/>
        </w:rPr>
        <w:t xml:space="preserve">few cases evaluated from the perspective of </w:t>
      </w:r>
      <w:r w:rsidR="00C35582" w:rsidRPr="00FF1AEA">
        <w:rPr>
          <w:color w:val="000000" w:themeColor="text1"/>
        </w:rPr>
        <w:t xml:space="preserve">the </w:t>
      </w:r>
      <w:r w:rsidR="00A405D3" w:rsidRPr="00FF1AEA">
        <w:rPr>
          <w:color w:val="000000" w:themeColor="text1"/>
        </w:rPr>
        <w:t>degree of resource circularity in previous studies</w:t>
      </w:r>
      <w:r w:rsidR="00F50DE0" w:rsidRPr="00FF1AEA">
        <w:rPr>
          <w:rFonts w:hint="eastAsia"/>
          <w:color w:val="000000" w:themeColor="text1"/>
          <w:lang w:eastAsia="ja-JP"/>
        </w:rPr>
        <w:t xml:space="preserve"> </w:t>
      </w:r>
      <w:r w:rsidR="00F50DE0" w:rsidRPr="00FF1AEA">
        <w:rPr>
          <w:color w:val="000000" w:themeColor="text1"/>
        </w:rPr>
        <w:t>(Lase et al., 2023)</w:t>
      </w:r>
      <w:r w:rsidR="00A405D3" w:rsidRPr="00FF1AEA">
        <w:rPr>
          <w:color w:val="000000" w:themeColor="text1"/>
        </w:rPr>
        <w:t xml:space="preserve">. </w:t>
      </w:r>
      <w:r w:rsidR="00EC6419" w:rsidRPr="00FF1AEA">
        <w:rPr>
          <w:color w:val="000000" w:themeColor="text1"/>
        </w:rPr>
        <w:t>The study</w:t>
      </w:r>
      <w:r w:rsidR="00215794" w:rsidRPr="00FF1AEA">
        <w:rPr>
          <w:color w:val="000000" w:themeColor="text1"/>
        </w:rPr>
        <w:t xml:space="preserve"> also </w:t>
      </w:r>
      <w:r w:rsidR="00EC6419" w:rsidRPr="00FF1AEA">
        <w:rPr>
          <w:color w:val="000000" w:themeColor="text1"/>
        </w:rPr>
        <w:t>reported</w:t>
      </w:r>
      <w:r w:rsidR="00215794" w:rsidRPr="00FF1AEA">
        <w:rPr>
          <w:color w:val="000000" w:themeColor="text1"/>
        </w:rPr>
        <w:t xml:space="preserve"> results that an increase in material circularity generally decreases the environmental</w:t>
      </w:r>
      <w:r w:rsidR="00C1100A" w:rsidRPr="00FF1AEA">
        <w:rPr>
          <w:color w:val="000000" w:themeColor="text1"/>
        </w:rPr>
        <w:t xml:space="preserve"> </w:t>
      </w:r>
      <w:r w:rsidR="003E3ACE" w:rsidRPr="00FF1AEA">
        <w:rPr>
          <w:color w:val="000000" w:themeColor="text1"/>
        </w:rPr>
        <w:t>load regarding MR of plastic packaging</w:t>
      </w:r>
      <w:r w:rsidR="00F50DE0" w:rsidRPr="00FF1AEA">
        <w:rPr>
          <w:color w:val="000000" w:themeColor="text1"/>
        </w:rPr>
        <w:t xml:space="preserve"> (</w:t>
      </w:r>
      <w:proofErr w:type="spellStart"/>
      <w:r w:rsidR="00F50DE0" w:rsidRPr="00FF1AEA">
        <w:rPr>
          <w:color w:val="000000" w:themeColor="text1"/>
        </w:rPr>
        <w:t>Vadoudi</w:t>
      </w:r>
      <w:proofErr w:type="spellEnd"/>
      <w:r w:rsidR="00F50DE0" w:rsidRPr="00FF1AEA">
        <w:rPr>
          <w:color w:val="000000" w:themeColor="text1"/>
        </w:rPr>
        <w:t xml:space="preserve"> et al., 2022)</w:t>
      </w:r>
      <w:r w:rsidR="00215794" w:rsidRPr="00FF1AEA">
        <w:rPr>
          <w:color w:val="000000" w:themeColor="text1"/>
        </w:rPr>
        <w:t>.</w:t>
      </w:r>
      <w:r w:rsidR="00EC6419" w:rsidRPr="00FF1AEA">
        <w:rPr>
          <w:color w:val="000000" w:themeColor="text1"/>
        </w:rPr>
        <w:t xml:space="preserve"> </w:t>
      </w:r>
      <w:r w:rsidR="008D075A" w:rsidRPr="00FF1AEA">
        <w:rPr>
          <w:color w:val="000000" w:themeColor="text1"/>
        </w:rPr>
        <w:t xml:space="preserve">However, evaluation based on </w:t>
      </w:r>
      <w:r w:rsidR="00C35582" w:rsidRPr="00FF1AEA">
        <w:rPr>
          <w:color w:val="000000" w:themeColor="text1"/>
        </w:rPr>
        <w:t xml:space="preserve">the </w:t>
      </w:r>
      <w:r w:rsidR="008D075A" w:rsidRPr="00FF1AEA">
        <w:rPr>
          <w:color w:val="000000" w:themeColor="text1"/>
        </w:rPr>
        <w:t>circularity of waste plastics is not sufficient.</w:t>
      </w:r>
      <w:r w:rsidR="002A4B47" w:rsidRPr="00FF1AEA">
        <w:rPr>
          <w:color w:val="000000" w:themeColor="text1"/>
        </w:rPr>
        <w:t xml:space="preserve"> </w:t>
      </w:r>
      <w:r w:rsidR="003E3ACE" w:rsidRPr="00FF1AEA">
        <w:rPr>
          <w:color w:val="000000" w:themeColor="text1"/>
        </w:rPr>
        <w:t>In other words, to date, an appropriate evaluation environment for plastic recycling has not been constructed. In this study, we made progress by setting the following: system boundaries, process modeling, developing</w:t>
      </w:r>
      <w:r w:rsidR="00474E93" w:rsidRPr="00FF1AEA">
        <w:rPr>
          <w:color w:val="000000" w:themeColor="text1"/>
        </w:rPr>
        <w:t xml:space="preserve"> an indicator for</w:t>
      </w:r>
      <w:r w:rsidR="0075680D" w:rsidRPr="00FF1AEA">
        <w:rPr>
          <w:rFonts w:hint="eastAsia"/>
          <w:color w:val="000000" w:themeColor="text1"/>
          <w:lang w:eastAsia="ja-JP"/>
        </w:rPr>
        <w:t xml:space="preserve"> </w:t>
      </w:r>
      <w:r w:rsidR="00474E93" w:rsidRPr="00FF1AEA">
        <w:rPr>
          <w:color w:val="000000" w:themeColor="text1"/>
        </w:rPr>
        <w:t xml:space="preserve">carbon resource circulation, inventory analysis, </w:t>
      </w:r>
      <w:r w:rsidR="00C35582" w:rsidRPr="00FF1AEA">
        <w:rPr>
          <w:color w:val="000000" w:themeColor="text1"/>
        </w:rPr>
        <w:t xml:space="preserve">and </w:t>
      </w:r>
      <w:r w:rsidR="00474E93" w:rsidRPr="00FF1AEA">
        <w:rPr>
          <w:color w:val="000000" w:themeColor="text1"/>
        </w:rPr>
        <w:t>environmental impact assessment. The</w:t>
      </w:r>
      <w:r w:rsidR="00474E93" w:rsidRPr="00FF1AEA">
        <w:rPr>
          <w:rFonts w:hint="eastAsia"/>
          <w:color w:val="000000" w:themeColor="text1"/>
          <w:lang w:eastAsia="ja-JP"/>
        </w:rPr>
        <w:t xml:space="preserve"> </w:t>
      </w:r>
      <w:r w:rsidR="00474E93" w:rsidRPr="00FF1AEA">
        <w:rPr>
          <w:color w:val="000000" w:themeColor="text1"/>
        </w:rPr>
        <w:t>system boundary includes oil refining</w:t>
      </w:r>
      <w:r w:rsidRPr="00FF1AEA">
        <w:rPr>
          <w:color w:val="000000" w:themeColor="text1"/>
        </w:rPr>
        <w:t xml:space="preserve">, </w:t>
      </w:r>
      <w:r w:rsidR="00474E93" w:rsidRPr="00FF1AEA">
        <w:rPr>
          <w:color w:val="000000" w:themeColor="text1"/>
        </w:rPr>
        <w:t>petrochemical proces</w:t>
      </w:r>
      <w:r w:rsidR="00463012" w:rsidRPr="00FF1AEA">
        <w:rPr>
          <w:color w:val="000000" w:themeColor="text1"/>
        </w:rPr>
        <w:t>se</w:t>
      </w:r>
      <w:r w:rsidR="00474E93" w:rsidRPr="00FF1AEA">
        <w:rPr>
          <w:color w:val="000000" w:themeColor="text1"/>
        </w:rPr>
        <w:t>s</w:t>
      </w:r>
      <w:r w:rsidR="00A405D3" w:rsidRPr="00FF1AEA">
        <w:rPr>
          <w:color w:val="000000" w:themeColor="text1"/>
        </w:rPr>
        <w:t>,</w:t>
      </w:r>
      <w:r w:rsidR="00474E93" w:rsidRPr="00FF1AEA">
        <w:rPr>
          <w:color w:val="000000" w:themeColor="text1"/>
        </w:rPr>
        <w:t xml:space="preserve"> and </w:t>
      </w:r>
      <w:r w:rsidRPr="00FF1AEA">
        <w:rPr>
          <w:color w:val="000000" w:themeColor="text1"/>
        </w:rPr>
        <w:t xml:space="preserve">several </w:t>
      </w:r>
      <w:r w:rsidR="00474E93" w:rsidRPr="00FF1AEA">
        <w:rPr>
          <w:color w:val="000000" w:themeColor="text1"/>
        </w:rPr>
        <w:t>recycling processes. The unit configuration,</w:t>
      </w:r>
      <w:r w:rsidR="00474E93" w:rsidRPr="00FF1AEA">
        <w:rPr>
          <w:rFonts w:hint="eastAsia"/>
          <w:color w:val="000000" w:themeColor="text1"/>
          <w:lang w:eastAsia="ja-JP"/>
        </w:rPr>
        <w:t xml:space="preserve"> </w:t>
      </w:r>
      <w:r w:rsidR="00474E93" w:rsidRPr="00FF1AEA">
        <w:rPr>
          <w:color w:val="000000" w:themeColor="text1"/>
        </w:rPr>
        <w:t>capacity, energy consumption</w:t>
      </w:r>
      <w:r w:rsidR="00463012" w:rsidRPr="00FF1AEA">
        <w:rPr>
          <w:color w:val="000000" w:themeColor="text1"/>
        </w:rPr>
        <w:t xml:space="preserve">, and component yields of each unit </w:t>
      </w:r>
      <w:r w:rsidR="003E3ACE" w:rsidRPr="00FF1AEA">
        <w:rPr>
          <w:color w:val="000000" w:themeColor="text1"/>
        </w:rPr>
        <w:t>refineries were set by</w:t>
      </w:r>
      <w:r w:rsidR="00463012" w:rsidRPr="00FF1AEA">
        <w:rPr>
          <w:color w:val="000000" w:themeColor="text1"/>
        </w:rPr>
        <w:t xml:space="preserve"> the</w:t>
      </w:r>
      <w:r w:rsidR="00474E93" w:rsidRPr="00FF1AEA">
        <w:rPr>
          <w:color w:val="000000" w:themeColor="text1"/>
        </w:rPr>
        <w:t xml:space="preserve"> literature. </w:t>
      </w:r>
      <w:r w:rsidR="00A405D3" w:rsidRPr="00FF1AEA">
        <w:rPr>
          <w:color w:val="000000" w:themeColor="text1"/>
        </w:rPr>
        <w:t>In addition, t</w:t>
      </w:r>
      <w:r w:rsidR="00474E93" w:rsidRPr="00FF1AEA">
        <w:rPr>
          <w:color w:val="000000" w:themeColor="text1"/>
        </w:rPr>
        <w:t xml:space="preserve">he yields of products and energy consumption for each </w:t>
      </w:r>
      <w:r w:rsidR="003E3ACE" w:rsidRPr="00FF1AEA">
        <w:rPr>
          <w:color w:val="000000" w:themeColor="text1"/>
        </w:rPr>
        <w:t>recycling were also set</w:t>
      </w:r>
      <w:r w:rsidRPr="00FF1AEA">
        <w:rPr>
          <w:color w:val="000000" w:themeColor="text1"/>
        </w:rPr>
        <w:t xml:space="preserve"> by</w:t>
      </w:r>
      <w:r w:rsidR="00474E93" w:rsidRPr="00FF1AEA">
        <w:rPr>
          <w:color w:val="000000" w:themeColor="text1"/>
        </w:rPr>
        <w:t xml:space="preserve"> </w:t>
      </w:r>
      <w:r w:rsidR="00463012" w:rsidRPr="00FF1AEA">
        <w:rPr>
          <w:color w:val="000000" w:themeColor="text1"/>
        </w:rPr>
        <w:t xml:space="preserve">the </w:t>
      </w:r>
      <w:r w:rsidR="00474E93" w:rsidRPr="00FF1AEA">
        <w:rPr>
          <w:color w:val="000000" w:themeColor="text1"/>
        </w:rPr>
        <w:t>literature.</w:t>
      </w:r>
      <w:r w:rsidR="00474E93" w:rsidRPr="00FF1AEA">
        <w:rPr>
          <w:rFonts w:hint="eastAsia"/>
          <w:color w:val="000000" w:themeColor="text1"/>
          <w:lang w:eastAsia="ja-JP"/>
        </w:rPr>
        <w:t xml:space="preserve"> </w:t>
      </w:r>
      <w:r w:rsidR="00474E93" w:rsidRPr="00FF1AEA">
        <w:rPr>
          <w:color w:val="000000" w:themeColor="text1"/>
        </w:rPr>
        <w:t xml:space="preserve">From the above, GHG emissions </w:t>
      </w:r>
      <w:r w:rsidR="000A6568" w:rsidRPr="00FF1AEA">
        <w:rPr>
          <w:color w:val="000000" w:themeColor="text1"/>
        </w:rPr>
        <w:t>were</w:t>
      </w:r>
      <w:r w:rsidR="00474E93" w:rsidRPr="00FF1AEA">
        <w:rPr>
          <w:color w:val="000000" w:themeColor="text1"/>
        </w:rPr>
        <w:t xml:space="preserve"> calculated by </w:t>
      </w:r>
      <w:r w:rsidRPr="00FF1AEA">
        <w:rPr>
          <w:color w:val="000000" w:themeColor="text1"/>
        </w:rPr>
        <w:t>multiplying</w:t>
      </w:r>
      <w:r w:rsidR="00474E93" w:rsidRPr="00FF1AEA">
        <w:rPr>
          <w:color w:val="000000" w:themeColor="text1"/>
        </w:rPr>
        <w:t xml:space="preserve"> the energ</w:t>
      </w:r>
      <w:r w:rsidR="00474E93" w:rsidRPr="00472809">
        <w:rPr>
          <w:color w:val="000000" w:themeColor="text1"/>
        </w:rPr>
        <w:t xml:space="preserve">y consumption of each process by </w:t>
      </w:r>
      <w:r w:rsidR="00463012">
        <w:rPr>
          <w:color w:val="000000" w:themeColor="text1"/>
        </w:rPr>
        <w:t xml:space="preserve">the </w:t>
      </w:r>
      <w:r w:rsidR="00474E93" w:rsidRPr="00472809">
        <w:rPr>
          <w:color w:val="000000" w:themeColor="text1"/>
        </w:rPr>
        <w:t>CO</w:t>
      </w:r>
      <w:r w:rsidR="00474E93" w:rsidRPr="00472809">
        <w:rPr>
          <w:color w:val="000000" w:themeColor="text1"/>
          <w:vertAlign w:val="subscript"/>
        </w:rPr>
        <w:t>2</w:t>
      </w:r>
      <w:r w:rsidR="00474E93" w:rsidRPr="00472809">
        <w:rPr>
          <w:color w:val="000000" w:themeColor="text1"/>
        </w:rPr>
        <w:t xml:space="preserve"> emissions intensity</w:t>
      </w:r>
      <w:r w:rsidRPr="00472809">
        <w:rPr>
          <w:color w:val="000000" w:themeColor="text1"/>
        </w:rPr>
        <w:t xml:space="preserve"> taken from </w:t>
      </w:r>
      <w:r w:rsidR="00F50DE0">
        <w:rPr>
          <w:color w:val="000000" w:themeColor="text1"/>
        </w:rPr>
        <w:t>life cycle assessment (</w:t>
      </w:r>
      <w:r w:rsidRPr="00472809">
        <w:rPr>
          <w:color w:val="000000" w:themeColor="text1"/>
        </w:rPr>
        <w:t>LCA</w:t>
      </w:r>
      <w:r w:rsidR="00E93547">
        <w:rPr>
          <w:color w:val="000000" w:themeColor="text1"/>
        </w:rPr>
        <w:t>)</w:t>
      </w:r>
      <w:r w:rsidRPr="00472809">
        <w:rPr>
          <w:color w:val="000000" w:themeColor="text1"/>
        </w:rPr>
        <w:t xml:space="preserve"> database</w:t>
      </w:r>
      <w:r w:rsidR="00A405D3" w:rsidRPr="00472809">
        <w:rPr>
          <w:color w:val="000000" w:themeColor="text1"/>
        </w:rPr>
        <w:t>.</w:t>
      </w:r>
      <w:r w:rsidR="000A6568" w:rsidRPr="00472809">
        <w:rPr>
          <w:color w:val="000000" w:themeColor="text1"/>
        </w:rPr>
        <w:t xml:space="preserve"> As for </w:t>
      </w:r>
      <w:r w:rsidR="00463012">
        <w:rPr>
          <w:color w:val="000000" w:themeColor="text1"/>
        </w:rPr>
        <w:t xml:space="preserve">the </w:t>
      </w:r>
      <w:r w:rsidR="000A6568" w:rsidRPr="00472809">
        <w:rPr>
          <w:color w:val="000000" w:themeColor="text1"/>
        </w:rPr>
        <w:t xml:space="preserve">calculation of resource circulation, the value was calculated by combining </w:t>
      </w:r>
      <w:r w:rsidR="00463012">
        <w:rPr>
          <w:color w:val="000000" w:themeColor="text1"/>
        </w:rPr>
        <w:t xml:space="preserve">the </w:t>
      </w:r>
      <w:r w:rsidR="000A6568" w:rsidRPr="00472809">
        <w:rPr>
          <w:color w:val="000000" w:themeColor="text1"/>
        </w:rPr>
        <w:t xml:space="preserve">mass of </w:t>
      </w:r>
      <w:r w:rsidR="009B5F9D">
        <w:rPr>
          <w:color w:val="000000" w:themeColor="text1"/>
        </w:rPr>
        <w:t xml:space="preserve">crude oil and </w:t>
      </w:r>
      <w:r w:rsidR="000A6568" w:rsidRPr="00472809">
        <w:rPr>
          <w:color w:val="000000" w:themeColor="text1"/>
        </w:rPr>
        <w:t xml:space="preserve">waste plastics processed by incineration, landfill, </w:t>
      </w:r>
      <w:r w:rsidR="00463012">
        <w:rPr>
          <w:color w:val="000000" w:themeColor="text1"/>
        </w:rPr>
        <w:t xml:space="preserve">and </w:t>
      </w:r>
      <w:r w:rsidR="000A6568" w:rsidRPr="00472809">
        <w:rPr>
          <w:color w:val="000000" w:themeColor="text1"/>
        </w:rPr>
        <w:t>waste to energy.</w:t>
      </w:r>
    </w:p>
    <w:p w14:paraId="144DE699" w14:textId="01C8B19C" w:rsidR="008D2649" w:rsidRDefault="00F173F3" w:rsidP="00474E93">
      <w:pPr>
        <w:pStyle w:val="Els-1storder-head"/>
      </w:pPr>
      <w:r>
        <w:t>Materials and methods</w:t>
      </w:r>
    </w:p>
    <w:p w14:paraId="144DE69A" w14:textId="0DB2C462" w:rsidR="008D2649" w:rsidRDefault="0011037A" w:rsidP="008D2649">
      <w:pPr>
        <w:pStyle w:val="Els-2ndorder-head"/>
        <w:rPr>
          <w:lang w:eastAsia="ja-JP"/>
        </w:rPr>
      </w:pPr>
      <w:r>
        <w:rPr>
          <w:lang w:eastAsia="ja-JP"/>
        </w:rPr>
        <w:t>System boundary</w:t>
      </w:r>
    </w:p>
    <w:p w14:paraId="514C73D8" w14:textId="11DA1984" w:rsidR="00F50DE0" w:rsidRDefault="003D196D" w:rsidP="00F50DE0">
      <w:pPr>
        <w:pStyle w:val="Els-body-text"/>
        <w:rPr>
          <w:lang w:eastAsia="ja-JP"/>
        </w:rPr>
      </w:pPr>
      <w:r w:rsidRPr="00FF1AEA">
        <w:rPr>
          <w:color w:val="000000" w:themeColor="text1"/>
          <w:lang w:eastAsia="ja-JP"/>
        </w:rPr>
        <w:t>The production flows of petroleum products and basic chemicals derived from oil refining and petrochemical processes to produce plastics are shown in Figure 1. At the end-of-life,</w:t>
      </w:r>
      <w:r w:rsidR="00F50DE0" w:rsidRPr="00FF1AEA">
        <w:rPr>
          <w:color w:val="000000" w:themeColor="text1"/>
          <w:lang w:eastAsia="ja-JP"/>
        </w:rPr>
        <w:t xml:space="preserve"> plastic wastes are treated for resource recycling (i.e., MR, mechanical recycling, monomerization, or catalytic cracking) or </w:t>
      </w:r>
      <w:r w:rsidRPr="00FF1AEA">
        <w:rPr>
          <w:color w:val="000000" w:themeColor="text1"/>
          <w:lang w:eastAsia="ja-JP"/>
        </w:rPr>
        <w:t>other purposes</w:t>
      </w:r>
      <w:r w:rsidR="00F50DE0" w:rsidRPr="00FF1AEA">
        <w:rPr>
          <w:color w:val="000000" w:themeColor="text1"/>
          <w:lang w:eastAsia="ja-JP"/>
        </w:rPr>
        <w:t xml:space="preserve"> (energy recovery</w:t>
      </w:r>
      <w:r w:rsidR="006C6F29">
        <w:rPr>
          <w:color w:val="000000" w:themeColor="text1"/>
          <w:lang w:eastAsia="ja-JP"/>
        </w:rPr>
        <w:t xml:space="preserve"> (ER)</w:t>
      </w:r>
      <w:r w:rsidR="00F50DE0" w:rsidRPr="00FF1AEA">
        <w:rPr>
          <w:color w:val="000000" w:themeColor="text1"/>
          <w:lang w:eastAsia="ja-JP"/>
        </w:rPr>
        <w:t xml:space="preserve">, gasification, blast furnace reduction, or coke oven reduction). The manufacturing of plastic products and the </w:t>
      </w:r>
      <w:r w:rsidRPr="00FF1AEA">
        <w:rPr>
          <w:color w:val="000000" w:themeColor="text1"/>
          <w:lang w:eastAsia="ja-JP"/>
        </w:rPr>
        <w:t>use of the products were excluded</w:t>
      </w:r>
      <w:r w:rsidR="00F50DE0" w:rsidRPr="00FF1AEA">
        <w:rPr>
          <w:color w:val="000000" w:themeColor="text1"/>
          <w:lang w:eastAsia="ja-JP"/>
        </w:rPr>
        <w:t xml:space="preserve"> from the system boundary of this study. The oil refining converts crude oil into naphtha and other products through separation and refining. The petrochemical process uses the naphtha to produce basic chemicals such as olefins and </w:t>
      </w:r>
      <w:r w:rsidRPr="00FF1AEA">
        <w:rPr>
          <w:color w:val="000000" w:themeColor="text1"/>
          <w:lang w:eastAsia="ja-JP"/>
        </w:rPr>
        <w:t>benzene, toluene, and xylene (BTX)</w:t>
      </w:r>
      <w:r w:rsidR="00F50DE0" w:rsidRPr="00FF1AEA">
        <w:rPr>
          <w:color w:val="000000" w:themeColor="text1"/>
          <w:lang w:eastAsia="ja-JP"/>
        </w:rPr>
        <w:t xml:space="preserve">. The catalytic cracking converts waste plastics into </w:t>
      </w:r>
      <w:r w:rsidR="00F50DE0" w:rsidRPr="00FF1AEA">
        <w:rPr>
          <w:color w:val="000000" w:themeColor="text1"/>
        </w:rPr>
        <w:t xml:space="preserve">hydrocarbons, which are </w:t>
      </w:r>
      <w:r w:rsidRPr="00FF1AEA">
        <w:rPr>
          <w:color w:val="000000" w:themeColor="text1"/>
        </w:rPr>
        <w:t>similar in composition to conventional</w:t>
      </w:r>
      <w:r w:rsidR="00F50DE0" w:rsidRPr="00FF1AEA">
        <w:rPr>
          <w:color w:val="000000" w:themeColor="text1"/>
        </w:rPr>
        <w:t xml:space="preserve"> oil refineries. The steps include</w:t>
      </w:r>
      <w:r w:rsidR="00F50DE0" w:rsidRPr="00FF1AEA">
        <w:rPr>
          <w:color w:val="000000" w:themeColor="text1"/>
          <w:lang w:eastAsia="ja-JP"/>
        </w:rPr>
        <w:t xml:space="preserve"> mixing with solvents, cracking reaction, and distillation. </w:t>
      </w:r>
      <w:r w:rsidR="00F50DE0" w:rsidRPr="00FF1AEA">
        <w:rPr>
          <w:color w:val="000000" w:themeColor="text1"/>
        </w:rPr>
        <w:t xml:space="preserve">The cracking products were </w:t>
      </w:r>
      <w:r w:rsidR="00F50DE0" w:rsidRPr="00FF1AEA">
        <w:rPr>
          <w:color w:val="000000" w:themeColor="text1"/>
          <w:lang w:eastAsia="ja-JP"/>
        </w:rPr>
        <w:t xml:space="preserve">separated into four groups based on their carbon chains. </w:t>
      </w:r>
      <w:r w:rsidRPr="00FF1AEA">
        <w:rPr>
          <w:color w:val="000000" w:themeColor="text1"/>
          <w:lang w:eastAsia="ja-JP"/>
        </w:rPr>
        <w:t xml:space="preserve">Product A (C1 to C4) was </w:t>
      </w:r>
      <w:proofErr w:type="gramStart"/>
      <w:r w:rsidRPr="00FF1AEA">
        <w:rPr>
          <w:color w:val="000000" w:themeColor="text1"/>
          <w:lang w:eastAsia="ja-JP"/>
        </w:rPr>
        <w:t>similar to</w:t>
      </w:r>
      <w:proofErr w:type="gramEnd"/>
      <w:r w:rsidRPr="00FF1AEA">
        <w:rPr>
          <w:color w:val="000000" w:themeColor="text1"/>
          <w:lang w:eastAsia="ja-JP"/>
        </w:rPr>
        <w:t xml:space="preserve"> gas</w:t>
      </w:r>
      <w:r w:rsidR="00F50DE0" w:rsidRPr="00FF1AEA">
        <w:rPr>
          <w:color w:val="000000" w:themeColor="text1"/>
          <w:lang w:eastAsia="ja-JP"/>
        </w:rPr>
        <w:t xml:space="preserve"> products used as raw materials at cryogenic separation. </w:t>
      </w:r>
      <w:r w:rsidRPr="00FF1AEA">
        <w:rPr>
          <w:color w:val="000000" w:themeColor="text1"/>
          <w:lang w:eastAsia="ja-JP"/>
        </w:rPr>
        <w:t xml:space="preserve">Product B (C5 to C7) and product C (C8 to C9) were fed as naphtha substitutes into naphtha cracking and </w:t>
      </w:r>
      <w:r w:rsidR="006C6F29" w:rsidRPr="006C6F29">
        <w:rPr>
          <w:color w:val="000000" w:themeColor="text1"/>
          <w:lang w:eastAsia="ja-JP"/>
        </w:rPr>
        <w:t>catalytic reforming</w:t>
      </w:r>
      <w:r w:rsidRPr="00FF1AEA">
        <w:rPr>
          <w:color w:val="000000" w:themeColor="text1"/>
          <w:lang w:eastAsia="ja-JP"/>
        </w:rPr>
        <w:t>, respectively. Product D (&gt;C10) contained the heavy content that must be fed to fluid catalytic cracking (FCC) for further cracking.</w:t>
      </w:r>
      <w:r w:rsidR="00F50DE0" w:rsidRPr="00FF1AEA">
        <w:rPr>
          <w:color w:val="000000" w:themeColor="text1"/>
          <w:lang w:eastAsia="ja-JP"/>
        </w:rPr>
        <w:t xml:space="preserve"> Prod</w:t>
      </w:r>
      <w:r w:rsidR="00F50DE0" w:rsidRPr="00106537">
        <w:rPr>
          <w:lang w:eastAsia="ja-JP"/>
        </w:rPr>
        <w:t>uct distribution depends on the composition and decomposition conditions of the waste plastic</w:t>
      </w:r>
      <w:r w:rsidR="00F50DE0">
        <w:rPr>
          <w:lang w:eastAsia="ja-JP"/>
        </w:rPr>
        <w:t>s</w:t>
      </w:r>
      <w:r w:rsidR="00F50DE0" w:rsidRPr="00106537">
        <w:rPr>
          <w:lang w:eastAsia="ja-JP"/>
        </w:rPr>
        <w:t>.</w:t>
      </w:r>
      <w:r w:rsidR="00F50DE0">
        <w:rPr>
          <w:lang w:eastAsia="ja-JP"/>
        </w:rPr>
        <w:t xml:space="preserve"> MR produces </w:t>
      </w:r>
      <w:r w:rsidR="00F50DE0" w:rsidRPr="00567097">
        <w:rPr>
          <w:lang w:eastAsia="ja-JP"/>
        </w:rPr>
        <w:t>recycled pellets</w:t>
      </w:r>
      <w:r w:rsidR="00F50DE0">
        <w:rPr>
          <w:lang w:eastAsia="ja-JP"/>
        </w:rPr>
        <w:t xml:space="preserve"> by</w:t>
      </w:r>
      <w:r w:rsidR="00F50DE0" w:rsidRPr="00567097">
        <w:rPr>
          <w:lang w:eastAsia="ja-JP"/>
        </w:rPr>
        <w:t xml:space="preserve"> washing, crushing,</w:t>
      </w:r>
      <w:r w:rsidR="00F50DE0">
        <w:rPr>
          <w:lang w:eastAsia="ja-JP"/>
        </w:rPr>
        <w:t xml:space="preserve"> </w:t>
      </w:r>
      <w:r w:rsidR="00F50DE0" w:rsidRPr="00567097">
        <w:rPr>
          <w:lang w:eastAsia="ja-JP"/>
        </w:rPr>
        <w:t>sorting</w:t>
      </w:r>
      <w:r w:rsidR="00F50DE0">
        <w:rPr>
          <w:lang w:eastAsia="ja-JP"/>
        </w:rPr>
        <w:t xml:space="preserve">, and </w:t>
      </w:r>
      <w:r w:rsidR="00F50DE0">
        <w:rPr>
          <w:lang w:eastAsia="ja-JP"/>
        </w:rPr>
        <w:lastRenderedPageBreak/>
        <w:t>pelletization</w:t>
      </w:r>
      <w:r w:rsidR="00F50DE0" w:rsidRPr="00567097">
        <w:rPr>
          <w:lang w:eastAsia="ja-JP"/>
        </w:rPr>
        <w:t xml:space="preserve">. </w:t>
      </w:r>
      <w:r w:rsidR="00F50DE0">
        <w:rPr>
          <w:lang w:eastAsia="ja-JP"/>
        </w:rPr>
        <w:t xml:space="preserve">The </w:t>
      </w:r>
      <w:r w:rsidR="00F50DE0" w:rsidRPr="00567097">
        <w:rPr>
          <w:lang w:eastAsia="ja-JP"/>
        </w:rPr>
        <w:t xml:space="preserve">mechanical </w:t>
      </w:r>
      <w:r w:rsidR="00F50DE0">
        <w:rPr>
          <w:lang w:eastAsia="ja-JP"/>
        </w:rPr>
        <w:t xml:space="preserve">recycling produces recycled pellets with improved quality by </w:t>
      </w:r>
      <w:r w:rsidR="00F50DE0" w:rsidRPr="00567097">
        <w:rPr>
          <w:lang w:eastAsia="ja-JP"/>
        </w:rPr>
        <w:t>sorting and removal of impurities</w:t>
      </w:r>
      <w:r w:rsidR="00F50DE0">
        <w:rPr>
          <w:lang w:eastAsia="ja-JP"/>
        </w:rPr>
        <w:t xml:space="preserve"> and</w:t>
      </w:r>
      <w:r w:rsidR="00F50DE0" w:rsidRPr="00567097">
        <w:rPr>
          <w:lang w:eastAsia="ja-JP"/>
        </w:rPr>
        <w:t xml:space="preserve"> solid-phase polymerization.</w:t>
      </w:r>
      <w:r w:rsidR="00983455">
        <w:rPr>
          <w:lang w:eastAsia="ja-JP"/>
        </w:rPr>
        <w:t xml:space="preserve"> The monomerization produces recycled pellets by depolymerization and repolymerization. </w:t>
      </w:r>
      <w:r w:rsidR="00F50DE0">
        <w:rPr>
          <w:lang w:eastAsia="ja-JP"/>
        </w:rPr>
        <w:t>The</w:t>
      </w:r>
      <w:r w:rsidR="006C6F29">
        <w:rPr>
          <w:lang w:eastAsia="ja-JP"/>
        </w:rPr>
        <w:t xml:space="preserve"> </w:t>
      </w:r>
      <w:r w:rsidR="00F50DE0">
        <w:rPr>
          <w:lang w:eastAsia="ja-JP"/>
        </w:rPr>
        <w:t>ER</w:t>
      </w:r>
      <w:r w:rsidR="006C6F29">
        <w:rPr>
          <w:lang w:eastAsia="ja-JP"/>
        </w:rPr>
        <w:t xml:space="preserve"> </w:t>
      </w:r>
      <w:r w:rsidR="00F50DE0" w:rsidRPr="00567097">
        <w:rPr>
          <w:lang w:eastAsia="ja-JP"/>
        </w:rPr>
        <w:t>generate</w:t>
      </w:r>
      <w:r w:rsidR="00F50DE0">
        <w:rPr>
          <w:lang w:eastAsia="ja-JP"/>
        </w:rPr>
        <w:t>s</w:t>
      </w:r>
      <w:r w:rsidR="00F50DE0" w:rsidRPr="00567097">
        <w:rPr>
          <w:lang w:eastAsia="ja-JP"/>
        </w:rPr>
        <w:t xml:space="preserve"> electricity </w:t>
      </w:r>
      <w:r w:rsidR="00F50DE0">
        <w:rPr>
          <w:lang w:eastAsia="ja-JP"/>
        </w:rPr>
        <w:t xml:space="preserve">from incinerating </w:t>
      </w:r>
      <w:r w:rsidR="00F50DE0" w:rsidRPr="00567097">
        <w:rPr>
          <w:lang w:eastAsia="ja-JP"/>
        </w:rPr>
        <w:t>waste plastics.</w:t>
      </w:r>
      <w:r w:rsidR="00F50DE0" w:rsidRPr="0088604F">
        <w:t xml:space="preserve"> </w:t>
      </w:r>
      <w:r w:rsidR="00F50DE0" w:rsidRPr="0088604F">
        <w:rPr>
          <w:lang w:eastAsia="ja-JP"/>
        </w:rPr>
        <w:t>Other processes</w:t>
      </w:r>
      <w:r w:rsidR="00F50DE0">
        <w:rPr>
          <w:lang w:eastAsia="ja-JP"/>
        </w:rPr>
        <w:t>,</w:t>
      </w:r>
      <w:r w:rsidR="00F50DE0" w:rsidRPr="0088604F">
        <w:rPr>
          <w:lang w:eastAsia="ja-JP"/>
        </w:rPr>
        <w:t xml:space="preserve"> </w:t>
      </w:r>
      <w:r w:rsidR="00F50DE0">
        <w:rPr>
          <w:lang w:eastAsia="ja-JP"/>
        </w:rPr>
        <w:t>including</w:t>
      </w:r>
      <w:r w:rsidR="00F50DE0" w:rsidRPr="0088604F">
        <w:rPr>
          <w:lang w:eastAsia="ja-JP"/>
        </w:rPr>
        <w:t xml:space="preserve"> </w:t>
      </w:r>
      <w:r w:rsidR="00F50DE0">
        <w:rPr>
          <w:lang w:eastAsia="ja-JP"/>
        </w:rPr>
        <w:t>ER,</w:t>
      </w:r>
      <w:r w:rsidR="00F50DE0" w:rsidRPr="0088604F">
        <w:rPr>
          <w:lang w:eastAsia="ja-JP"/>
        </w:rPr>
        <w:t xml:space="preserve"> produce energy sources.</w:t>
      </w:r>
    </w:p>
    <w:p w14:paraId="3FDCC59E" w14:textId="77777777" w:rsidR="00B314C7" w:rsidRDefault="00B314C7" w:rsidP="00B314C7">
      <w:pPr>
        <w:pStyle w:val="Els-body-text"/>
        <w:keepNext/>
      </w:pPr>
      <w:r w:rsidRPr="00B314C7">
        <w:rPr>
          <w:noProof/>
        </w:rPr>
        <w:drawing>
          <wp:inline distT="0" distB="0" distL="0" distR="0" wp14:anchorId="313B04F3" wp14:editId="765FBFE2">
            <wp:extent cx="4040505" cy="1724725"/>
            <wp:effectExtent l="0" t="0" r="0" b="8890"/>
            <wp:docPr id="17048734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349" cy="1733622"/>
                    </a:xfrm>
                    <a:prstGeom prst="rect">
                      <a:avLst/>
                    </a:prstGeom>
                    <a:noFill/>
                    <a:ln>
                      <a:noFill/>
                    </a:ln>
                  </pic:spPr>
                </pic:pic>
              </a:graphicData>
            </a:graphic>
          </wp:inline>
        </w:drawing>
      </w:r>
    </w:p>
    <w:p w14:paraId="6F1D6F67" w14:textId="374AC414" w:rsidR="00FD4E5A" w:rsidRDefault="00B314C7" w:rsidP="003E79E0">
      <w:pPr>
        <w:pStyle w:val="Els-caption"/>
        <w:rPr>
          <w:lang w:eastAsia="ja-JP"/>
        </w:rPr>
      </w:pPr>
      <w:r>
        <w:t xml:space="preserve">Figure </w:t>
      </w:r>
      <w:r>
        <w:fldChar w:fldCharType="begin"/>
      </w:r>
      <w:r>
        <w:instrText xml:space="preserve"> SEQ Figure \* ARABIC </w:instrText>
      </w:r>
      <w:r>
        <w:fldChar w:fldCharType="separate"/>
      </w:r>
      <w:r w:rsidR="00467F5F">
        <w:rPr>
          <w:noProof/>
        </w:rPr>
        <w:t>1</w:t>
      </w:r>
      <w:r>
        <w:fldChar w:fldCharType="end"/>
      </w:r>
      <w:r>
        <w:t xml:space="preserve"> </w:t>
      </w:r>
      <w:r w:rsidR="003D196D" w:rsidRPr="00FF1AEA">
        <w:rPr>
          <w:color w:val="000000" w:themeColor="text1"/>
        </w:rPr>
        <w:t xml:space="preserve">System boundary including the plastic recycling system and </w:t>
      </w:r>
      <w:proofErr w:type="gramStart"/>
      <w:r w:rsidR="003D196D" w:rsidRPr="00FF1AEA">
        <w:rPr>
          <w:color w:val="000000" w:themeColor="text1"/>
        </w:rPr>
        <w:t>refineries</w:t>
      </w:r>
      <w:proofErr w:type="gramEnd"/>
    </w:p>
    <w:p w14:paraId="455AF998" w14:textId="77777777" w:rsidR="00256D6D" w:rsidRDefault="00256D6D" w:rsidP="00256D6D">
      <w:pPr>
        <w:pStyle w:val="Els-2ndorder-head"/>
        <w:rPr>
          <w:lang w:eastAsia="ja-JP"/>
        </w:rPr>
      </w:pPr>
      <w:r>
        <w:rPr>
          <w:rFonts w:hint="eastAsia"/>
          <w:lang w:eastAsia="ja-JP"/>
        </w:rPr>
        <w:t>P</w:t>
      </w:r>
      <w:r>
        <w:rPr>
          <w:lang w:eastAsia="ja-JP"/>
        </w:rPr>
        <w:t>rocess modeling and parameter setting</w:t>
      </w:r>
      <w:r>
        <w:rPr>
          <w:lang w:eastAsia="ja-JP"/>
        </w:rPr>
        <w:tab/>
      </w:r>
    </w:p>
    <w:p w14:paraId="3C996E46" w14:textId="43BF0A95" w:rsidR="008B7D08" w:rsidRDefault="00EF2E72" w:rsidP="008B7D08">
      <w:pPr>
        <w:pStyle w:val="Els-body-text"/>
        <w:keepNext/>
      </w:pPr>
      <w:r w:rsidRPr="00EF2E72">
        <w:rPr>
          <w:lang w:eastAsia="ja-JP"/>
        </w:rPr>
        <w:t>The model was created for the system boundary diagram shown in Figure 1 to analyze the impact of each unit process on the overall process, the relationship between unit processes, the contribution of technology performance at refineries and recycles, and the flow of resources when the system boundary is considered as a series of resource loops.</w:t>
      </w:r>
      <w:r>
        <w:rPr>
          <w:lang w:eastAsia="ja-JP"/>
        </w:rPr>
        <w:t xml:space="preserve"> </w:t>
      </w:r>
      <w:r w:rsidR="00256D6D" w:rsidRPr="007253C3">
        <w:rPr>
          <w:lang w:eastAsia="ja-JP"/>
        </w:rPr>
        <w:t>For this model, the unit process configuration o</w:t>
      </w:r>
      <w:r w:rsidR="00256D6D" w:rsidRPr="00FF1AEA">
        <w:rPr>
          <w:color w:val="000000" w:themeColor="text1"/>
          <w:lang w:eastAsia="ja-JP"/>
        </w:rPr>
        <w:t xml:space="preserve">f the oil refining and petrochemical process, in addition to the capacity, the component yields, and the energy consumption per throughput of the unit process, were determined based on the reports </w:t>
      </w:r>
      <w:r w:rsidR="003D196D" w:rsidRPr="00FF1AEA">
        <w:rPr>
          <w:iCs/>
          <w:color w:val="000000" w:themeColor="text1"/>
          <w:lang w:eastAsia="ja-JP"/>
        </w:rPr>
        <w:t>on an existing</w:t>
      </w:r>
      <w:r w:rsidR="00256D6D" w:rsidRPr="00FF1AEA">
        <w:rPr>
          <w:color w:val="000000" w:themeColor="text1"/>
          <w:lang w:eastAsia="ja-JP"/>
        </w:rPr>
        <w:t xml:space="preserve"> refinery (</w:t>
      </w:r>
      <w:proofErr w:type="spellStart"/>
      <w:r w:rsidR="00256D6D" w:rsidRPr="00FF1AEA">
        <w:rPr>
          <w:color w:val="000000" w:themeColor="text1"/>
          <w:lang w:eastAsia="ja-JP"/>
        </w:rPr>
        <w:t>Yoshitome</w:t>
      </w:r>
      <w:proofErr w:type="spellEnd"/>
      <w:r w:rsidR="00256D6D" w:rsidRPr="00FF1AEA">
        <w:rPr>
          <w:color w:val="000000" w:themeColor="text1"/>
          <w:lang w:eastAsia="ja-JP"/>
        </w:rPr>
        <w:t xml:space="preserve"> et al., 2022). The production of basic chemicals and petroleum products was calculated by tracking the production of each </w:t>
      </w:r>
      <w:r w:rsidR="003D196D" w:rsidRPr="00FF1AEA">
        <w:rPr>
          <w:iCs/>
          <w:color w:val="000000" w:themeColor="text1"/>
          <w:lang w:eastAsia="ja-JP"/>
        </w:rPr>
        <w:t>unit process. We were</w:t>
      </w:r>
      <w:r w:rsidR="0012377C" w:rsidRPr="00FF1AEA">
        <w:rPr>
          <w:color w:val="000000" w:themeColor="text1"/>
          <w:lang w:eastAsia="ja-JP"/>
        </w:rPr>
        <w:t xml:space="preserve"> </w:t>
      </w:r>
      <w:r w:rsidR="0012377C" w:rsidRPr="0012377C">
        <w:rPr>
          <w:lang w:eastAsia="ja-JP"/>
        </w:rPr>
        <w:t>also able to confirm the flow of fossil-derived feedstocks and waste plastics-derived feedstocks and calculate the throughput for each unit process capacity.</w:t>
      </w:r>
      <w:r w:rsidR="0012377C">
        <w:rPr>
          <w:lang w:eastAsia="ja-JP"/>
        </w:rPr>
        <w:t xml:space="preserve"> </w:t>
      </w:r>
      <w:r w:rsidR="00256D6D" w:rsidRPr="00717605">
        <w:rPr>
          <w:lang w:eastAsia="ja-JP"/>
        </w:rPr>
        <w:t xml:space="preserve">Regarding </w:t>
      </w:r>
      <w:r w:rsidR="008B7D08" w:rsidRPr="002A2625">
        <w:rPr>
          <w:noProof/>
        </w:rPr>
        <w:drawing>
          <wp:inline distT="0" distB="0" distL="0" distR="0" wp14:anchorId="0C19C005" wp14:editId="4B9B13D2">
            <wp:extent cx="3212465" cy="1661542"/>
            <wp:effectExtent l="0" t="0" r="6985" b="0"/>
            <wp:docPr id="172550464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2465" cy="1661542"/>
                    </a:xfrm>
                    <a:prstGeom prst="rect">
                      <a:avLst/>
                    </a:prstGeom>
                    <a:noFill/>
                    <a:ln>
                      <a:noFill/>
                    </a:ln>
                  </pic:spPr>
                </pic:pic>
              </a:graphicData>
            </a:graphic>
          </wp:inline>
        </w:drawing>
      </w:r>
    </w:p>
    <w:p w14:paraId="65284194" w14:textId="0B013191" w:rsidR="008B7D08" w:rsidRPr="008B7D08" w:rsidRDefault="008B7D08" w:rsidP="008B7D08">
      <w:pPr>
        <w:pStyle w:val="Els-caption"/>
      </w:pPr>
      <w:r w:rsidRPr="008B7D08">
        <w:t xml:space="preserve">Figure </w:t>
      </w:r>
      <w:r w:rsidRPr="008B7D08">
        <w:fldChar w:fldCharType="begin"/>
      </w:r>
      <w:r w:rsidRPr="008B7D08">
        <w:instrText xml:space="preserve"> SEQ Figure \* ARABIC </w:instrText>
      </w:r>
      <w:r w:rsidRPr="008B7D08">
        <w:fldChar w:fldCharType="separate"/>
      </w:r>
      <w:r w:rsidR="00467F5F">
        <w:rPr>
          <w:noProof/>
        </w:rPr>
        <w:t>2</w:t>
      </w:r>
      <w:r w:rsidRPr="008B7D08">
        <w:fldChar w:fldCharType="end"/>
      </w:r>
      <w:r w:rsidRPr="008B7D08">
        <w:t xml:space="preserve"> Process modeling</w:t>
      </w:r>
    </w:p>
    <w:p w14:paraId="53BA2428" w14:textId="5DDA1EFB" w:rsidR="002A2625" w:rsidRPr="00FF1AEA" w:rsidRDefault="00256D6D" w:rsidP="008B7D08">
      <w:pPr>
        <w:pStyle w:val="Els-body-text"/>
        <w:keepNext/>
        <w:rPr>
          <w:color w:val="000000" w:themeColor="text1"/>
        </w:rPr>
      </w:pPr>
      <w:r w:rsidRPr="00717605">
        <w:rPr>
          <w:lang w:eastAsia="ja-JP"/>
        </w:rPr>
        <w:t>catalytic cracking, energy consumption per amount of waste plastics</w:t>
      </w:r>
      <w:r>
        <w:rPr>
          <w:lang w:eastAsia="ja-JP"/>
        </w:rPr>
        <w:t xml:space="preserve"> </w:t>
      </w:r>
      <w:r w:rsidRPr="00717605">
        <w:rPr>
          <w:lang w:eastAsia="ja-JP"/>
        </w:rPr>
        <w:t>to be processed and the yield</w:t>
      </w:r>
      <w:r>
        <w:rPr>
          <w:lang w:eastAsia="ja-JP"/>
        </w:rPr>
        <w:t>s</w:t>
      </w:r>
      <w:r w:rsidRPr="00717605">
        <w:rPr>
          <w:lang w:eastAsia="ja-JP"/>
        </w:rPr>
        <w:t xml:space="preserve"> of cracking products were estimated </w:t>
      </w:r>
      <w:r>
        <w:rPr>
          <w:lang w:eastAsia="ja-JP"/>
        </w:rPr>
        <w:t xml:space="preserve">by </w:t>
      </w:r>
      <w:r w:rsidRPr="00717605">
        <w:rPr>
          <w:lang w:eastAsia="ja-JP"/>
        </w:rPr>
        <w:t>process simulation using Aspen</w:t>
      </w:r>
      <w:r w:rsidR="008B7D08">
        <w:rPr>
          <w:lang w:eastAsia="ja-JP"/>
        </w:rPr>
        <w:t xml:space="preserve"> </w:t>
      </w:r>
      <w:r w:rsidRPr="00717605">
        <w:rPr>
          <w:lang w:eastAsia="ja-JP"/>
        </w:rPr>
        <w:t>HYSYS</w:t>
      </w:r>
      <w:r w:rsidRPr="00717605">
        <w:rPr>
          <w:vertAlign w:val="superscript"/>
          <w:lang w:eastAsia="ja-JP"/>
        </w:rPr>
        <w:t>TM</w:t>
      </w:r>
      <w:r>
        <w:rPr>
          <w:lang w:eastAsia="ja-JP"/>
        </w:rPr>
        <w:t xml:space="preserve">. </w:t>
      </w:r>
      <w:r w:rsidRPr="00717605">
        <w:rPr>
          <w:lang w:eastAsia="ja-JP"/>
        </w:rPr>
        <w:t>The</w:t>
      </w:r>
      <w:r>
        <w:rPr>
          <w:lang w:eastAsia="ja-JP"/>
        </w:rPr>
        <w:t xml:space="preserve"> product </w:t>
      </w:r>
      <w:r w:rsidRPr="00717605">
        <w:rPr>
          <w:lang w:eastAsia="ja-JP"/>
        </w:rPr>
        <w:t>yield</w:t>
      </w:r>
      <w:r>
        <w:rPr>
          <w:lang w:eastAsia="ja-JP"/>
        </w:rPr>
        <w:t xml:space="preserve">s, which </w:t>
      </w:r>
      <w:r w:rsidRPr="00717605">
        <w:rPr>
          <w:lang w:eastAsia="ja-JP"/>
        </w:rPr>
        <w:t xml:space="preserve">depend on </w:t>
      </w:r>
      <w:r>
        <w:rPr>
          <w:lang w:eastAsia="ja-JP"/>
        </w:rPr>
        <w:t xml:space="preserve">the </w:t>
      </w:r>
      <w:r w:rsidRPr="00717605">
        <w:rPr>
          <w:lang w:eastAsia="ja-JP"/>
        </w:rPr>
        <w:t xml:space="preserve">decomposition temperature and </w:t>
      </w:r>
      <w:r>
        <w:rPr>
          <w:lang w:eastAsia="ja-JP"/>
        </w:rPr>
        <w:t xml:space="preserve">the composition of waste plastics, </w:t>
      </w:r>
      <w:r w:rsidRPr="00E35DE1">
        <w:rPr>
          <w:rFonts w:hint="eastAsia"/>
        </w:rPr>
        <w:t>w</w:t>
      </w:r>
      <w:r>
        <w:t>ere</w:t>
      </w:r>
      <w:r w:rsidRPr="00E35DE1">
        <w:rPr>
          <w:rFonts w:hint="eastAsia"/>
        </w:rPr>
        <w:t xml:space="preserve"> collected from literature val</w:t>
      </w:r>
      <w:r w:rsidRPr="002A4B47">
        <w:rPr>
          <w:rFonts w:hint="eastAsia"/>
          <w:color w:val="000000" w:themeColor="text1"/>
        </w:rPr>
        <w:t>ues</w:t>
      </w:r>
      <w:r w:rsidRPr="002A4B47">
        <w:rPr>
          <w:color w:val="000000" w:themeColor="text1"/>
        </w:rPr>
        <w:t xml:space="preserve"> (Keller et al., 2022)</w:t>
      </w:r>
      <w:r w:rsidR="00504FD5">
        <w:rPr>
          <w:color w:val="000000" w:themeColor="text1"/>
        </w:rPr>
        <w:t xml:space="preserve">. </w:t>
      </w:r>
      <w:r w:rsidRPr="002A4B47">
        <w:rPr>
          <w:color w:val="000000" w:themeColor="text1"/>
          <w:lang w:eastAsia="ja-JP"/>
        </w:rPr>
        <w:t>Energy consumption per amount of waste plastics to be processed and yield of products at MR and ER were es</w:t>
      </w:r>
      <w:r w:rsidRPr="00FF1AEA">
        <w:rPr>
          <w:color w:val="000000" w:themeColor="text1"/>
          <w:lang w:eastAsia="ja-JP"/>
        </w:rPr>
        <w:t xml:space="preserve">tablished </w:t>
      </w:r>
      <w:r w:rsidR="003D196D" w:rsidRPr="00FF1AEA">
        <w:rPr>
          <w:color w:val="000000" w:themeColor="text1"/>
          <w:lang w:eastAsia="ja-JP"/>
        </w:rPr>
        <w:t>based on reports</w:t>
      </w:r>
      <w:r w:rsidRPr="00FF1AEA">
        <w:rPr>
          <w:color w:val="000000" w:themeColor="text1"/>
          <w:lang w:eastAsia="ja-JP"/>
        </w:rPr>
        <w:t xml:space="preserve"> (</w:t>
      </w:r>
      <w:proofErr w:type="spellStart"/>
      <w:r w:rsidRPr="00FF1AEA">
        <w:rPr>
          <w:rFonts w:hint="eastAsia"/>
          <w:color w:val="000000" w:themeColor="text1"/>
          <w:lang w:eastAsia="ja-JP"/>
        </w:rPr>
        <w:t>JaIME</w:t>
      </w:r>
      <w:proofErr w:type="spellEnd"/>
      <w:r w:rsidRPr="00FF1AEA">
        <w:rPr>
          <w:rFonts w:hint="eastAsia"/>
          <w:color w:val="000000" w:themeColor="text1"/>
          <w:lang w:eastAsia="ja-JP"/>
        </w:rPr>
        <w:t>, 2022</w:t>
      </w:r>
      <w:r w:rsidRPr="00FF1AEA">
        <w:rPr>
          <w:color w:val="000000" w:themeColor="text1"/>
          <w:lang w:eastAsia="ja-JP"/>
        </w:rPr>
        <w:t xml:space="preserve">). </w:t>
      </w:r>
      <w:r w:rsidR="00CD4F69" w:rsidRPr="00FF1AEA">
        <w:rPr>
          <w:color w:val="000000" w:themeColor="text1"/>
        </w:rPr>
        <w:t xml:space="preserve">The composition of </w:t>
      </w:r>
      <w:r w:rsidR="00CD4F69" w:rsidRPr="00FF1AEA">
        <w:rPr>
          <w:color w:val="000000" w:themeColor="text1"/>
        </w:rPr>
        <w:lastRenderedPageBreak/>
        <w:t xml:space="preserve">waste plastics </w:t>
      </w:r>
      <w:r w:rsidR="00CD4F69" w:rsidRPr="00FF1AEA">
        <w:rPr>
          <w:color w:val="000000" w:themeColor="text1"/>
          <w:lang w:eastAsia="ja-JP"/>
        </w:rPr>
        <w:t xml:space="preserve">can be arbitrarily changed. Basically, it was assumed that </w:t>
      </w:r>
      <w:r w:rsidR="00E91BE1" w:rsidRPr="00FF1AEA">
        <w:rPr>
          <w:color w:val="000000" w:themeColor="text1"/>
          <w:lang w:eastAsia="ja-JP"/>
        </w:rPr>
        <w:t>polypropylene (</w:t>
      </w:r>
      <w:r w:rsidR="00CD4F69" w:rsidRPr="00FF1AEA">
        <w:rPr>
          <w:color w:val="000000" w:themeColor="text1"/>
          <w:lang w:eastAsia="ja-JP"/>
        </w:rPr>
        <w:t>PP</w:t>
      </w:r>
      <w:r w:rsidR="00E91BE1" w:rsidRPr="00FF1AEA">
        <w:rPr>
          <w:color w:val="000000" w:themeColor="text1"/>
          <w:lang w:eastAsia="ja-JP"/>
        </w:rPr>
        <w:t>)</w:t>
      </w:r>
      <w:r w:rsidR="00CD4F69" w:rsidRPr="00FF1AEA">
        <w:rPr>
          <w:color w:val="000000" w:themeColor="text1"/>
          <w:lang w:eastAsia="ja-JP"/>
        </w:rPr>
        <w:t xml:space="preserve">, </w:t>
      </w:r>
      <w:r w:rsidR="00E91BE1" w:rsidRPr="00FF1AEA">
        <w:rPr>
          <w:color w:val="000000" w:themeColor="text1"/>
          <w:lang w:eastAsia="ja-JP"/>
        </w:rPr>
        <w:t>polyethylene (</w:t>
      </w:r>
      <w:r w:rsidR="00CD4F69" w:rsidRPr="00FF1AEA">
        <w:rPr>
          <w:color w:val="000000" w:themeColor="text1"/>
          <w:lang w:eastAsia="ja-JP"/>
        </w:rPr>
        <w:t>PE</w:t>
      </w:r>
      <w:r w:rsidR="00E91BE1" w:rsidRPr="00FF1AEA">
        <w:rPr>
          <w:color w:val="000000" w:themeColor="text1"/>
          <w:lang w:eastAsia="ja-JP"/>
        </w:rPr>
        <w:t>)</w:t>
      </w:r>
      <w:r w:rsidR="00CD4F69" w:rsidRPr="00FF1AEA">
        <w:rPr>
          <w:color w:val="000000" w:themeColor="text1"/>
          <w:lang w:eastAsia="ja-JP"/>
        </w:rPr>
        <w:t xml:space="preserve">, and </w:t>
      </w:r>
      <w:r w:rsidR="00E91BE1" w:rsidRPr="00FF1AEA">
        <w:rPr>
          <w:color w:val="000000" w:themeColor="text1"/>
          <w:lang w:eastAsia="ja-JP"/>
        </w:rPr>
        <w:t>polystyrene (</w:t>
      </w:r>
      <w:r w:rsidR="00CD4F69" w:rsidRPr="00FF1AEA">
        <w:rPr>
          <w:color w:val="000000" w:themeColor="text1"/>
          <w:lang w:eastAsia="ja-JP"/>
        </w:rPr>
        <w:t>PS</w:t>
      </w:r>
      <w:r w:rsidR="00E91BE1" w:rsidRPr="00FF1AEA">
        <w:rPr>
          <w:color w:val="000000" w:themeColor="text1"/>
          <w:lang w:eastAsia="ja-JP"/>
        </w:rPr>
        <w:t>)</w:t>
      </w:r>
      <w:r w:rsidR="00CD4F69" w:rsidRPr="00FF1AEA">
        <w:rPr>
          <w:color w:val="000000" w:themeColor="text1"/>
          <w:lang w:eastAsia="ja-JP"/>
        </w:rPr>
        <w:t xml:space="preserve"> account for at least 60% of the total, and </w:t>
      </w:r>
      <w:r w:rsidR="00E91BE1" w:rsidRPr="00FF1AEA">
        <w:rPr>
          <w:color w:val="000000" w:themeColor="text1"/>
          <w:lang w:eastAsia="ja-JP"/>
        </w:rPr>
        <w:t>polyethylene terephthalate (</w:t>
      </w:r>
      <w:r w:rsidR="00CD4F69" w:rsidRPr="00FF1AEA">
        <w:rPr>
          <w:color w:val="000000" w:themeColor="text1"/>
          <w:lang w:eastAsia="ja-JP"/>
        </w:rPr>
        <w:t>PET</w:t>
      </w:r>
      <w:r w:rsidR="00E91BE1" w:rsidRPr="00FF1AEA">
        <w:rPr>
          <w:color w:val="000000" w:themeColor="text1"/>
          <w:lang w:eastAsia="ja-JP"/>
        </w:rPr>
        <w:t>)</w:t>
      </w:r>
      <w:r w:rsidR="00CD4F69" w:rsidRPr="00FF1AEA">
        <w:rPr>
          <w:color w:val="000000" w:themeColor="text1"/>
          <w:lang w:eastAsia="ja-JP"/>
        </w:rPr>
        <w:t xml:space="preserve">, </w:t>
      </w:r>
      <w:r w:rsidR="00E91BE1" w:rsidRPr="00FF1AEA">
        <w:rPr>
          <w:color w:val="000000" w:themeColor="text1"/>
          <w:lang w:eastAsia="ja-JP"/>
        </w:rPr>
        <w:t>polyvinyl chloride (</w:t>
      </w:r>
      <w:r w:rsidR="00CD4F69" w:rsidRPr="00FF1AEA">
        <w:rPr>
          <w:color w:val="000000" w:themeColor="text1"/>
          <w:lang w:eastAsia="ja-JP"/>
        </w:rPr>
        <w:t>PVC</w:t>
      </w:r>
      <w:r w:rsidR="00E91BE1" w:rsidRPr="00FF1AEA">
        <w:rPr>
          <w:color w:val="000000" w:themeColor="text1"/>
          <w:lang w:eastAsia="ja-JP"/>
        </w:rPr>
        <w:t>)</w:t>
      </w:r>
      <w:r w:rsidR="00CD4F69" w:rsidRPr="00FF1AEA">
        <w:rPr>
          <w:color w:val="000000" w:themeColor="text1"/>
          <w:lang w:eastAsia="ja-JP"/>
        </w:rPr>
        <w:t xml:space="preserve">, and other types account for the rest based on the current composition of Japan. Additionally, </w:t>
      </w:r>
      <w:r w:rsidR="005056BD">
        <w:rPr>
          <w:color w:val="000000" w:themeColor="text1"/>
          <w:lang w:eastAsia="ja-JP"/>
        </w:rPr>
        <w:t>c</w:t>
      </w:r>
      <w:r w:rsidR="00CD4F69" w:rsidRPr="00FF1AEA">
        <w:rPr>
          <w:color w:val="000000" w:themeColor="text1"/>
          <w:lang w:eastAsia="ja-JP"/>
        </w:rPr>
        <w:t xml:space="preserve">atalytic cracking was set to process mixed PP, PE, and PS, and MR was set to process pure PP or PE, and monomerization was set to process pure PET in this model. On the other hand, other recycling including ER, were assumed to process all types of waste plastics. </w:t>
      </w:r>
      <w:r w:rsidR="008167FF" w:rsidRPr="00FF1AEA">
        <w:rPr>
          <w:color w:val="000000" w:themeColor="text1"/>
          <w:lang w:eastAsia="ja-JP"/>
        </w:rPr>
        <w:t>T</w:t>
      </w:r>
      <w:r w:rsidR="00E92F1E" w:rsidRPr="00FF1AEA">
        <w:rPr>
          <w:color w:val="000000" w:themeColor="text1"/>
          <w:lang w:eastAsia="ja-JP"/>
        </w:rPr>
        <w:t>he substitution rate of recycled resins for petroleum-derived resins was set to 0.5 based on the literature (Schwarz et al., 2021) for those by MR, and 1.0 for those by monomerization considering that polymerization process is included</w:t>
      </w:r>
      <w:r w:rsidR="008B7D08" w:rsidRPr="00FF1AEA">
        <w:rPr>
          <w:color w:val="000000" w:themeColor="text1"/>
          <w:lang w:eastAsia="ja-JP"/>
        </w:rPr>
        <w:t xml:space="preserve"> with reference to the study (Ghosh et al., 2023).</w:t>
      </w:r>
    </w:p>
    <w:p w14:paraId="144DE69E" w14:textId="788A5E54" w:rsidR="008D2649" w:rsidRDefault="002626D2" w:rsidP="002626D2">
      <w:pPr>
        <w:pStyle w:val="Els-2ndorder-head"/>
      </w:pPr>
      <w:r w:rsidRPr="002A4B47">
        <w:rPr>
          <w:color w:val="000000" w:themeColor="text1"/>
          <w:lang w:eastAsia="ja-JP"/>
        </w:rPr>
        <w:t>The indicator of carbon resource circulat</w:t>
      </w:r>
      <w:r>
        <w:rPr>
          <w:lang w:eastAsia="ja-JP"/>
        </w:rPr>
        <w:t>ion</w:t>
      </w:r>
    </w:p>
    <w:p w14:paraId="5A78AFD9" w14:textId="2A88A207" w:rsidR="002E10C6" w:rsidRPr="00FF1AEA" w:rsidRDefault="00AB58B5" w:rsidP="002E10C6">
      <w:pPr>
        <w:pStyle w:val="Els-body-text"/>
        <w:spacing w:after="120"/>
        <w:rPr>
          <w:color w:val="000000" w:themeColor="text1"/>
          <w:lang w:val="en-GB"/>
        </w:rPr>
      </w:pPr>
      <w:r>
        <w:t>In this st</w:t>
      </w:r>
      <w:r w:rsidRPr="00FF1AEA">
        <w:rPr>
          <w:color w:val="000000" w:themeColor="text1"/>
        </w:rPr>
        <w:t>udy,</w:t>
      </w:r>
      <w:r w:rsidR="003D196D" w:rsidRPr="00FF1AEA">
        <w:rPr>
          <w:color w:val="000000" w:themeColor="text1"/>
        </w:rPr>
        <w:t xml:space="preserve"> the indicator for evaluating the</w:t>
      </w:r>
      <w:r w:rsidR="003D196D" w:rsidRPr="00FF1AEA">
        <w:rPr>
          <w:rFonts w:hint="eastAsia"/>
          <w:color w:val="000000" w:themeColor="text1"/>
          <w:lang w:eastAsia="ja-JP"/>
        </w:rPr>
        <w:t xml:space="preserve"> </w:t>
      </w:r>
      <w:r w:rsidR="003D196D" w:rsidRPr="00FF1AEA">
        <w:rPr>
          <w:color w:val="000000" w:themeColor="text1"/>
        </w:rPr>
        <w:t>impact of a recycling process introduction based on</w:t>
      </w:r>
      <w:r w:rsidRPr="00FF1AEA">
        <w:rPr>
          <w:color w:val="000000" w:themeColor="text1"/>
        </w:rPr>
        <w:t xml:space="preserve"> </w:t>
      </w:r>
      <w:r w:rsidR="00A14192" w:rsidRPr="00FF1AEA">
        <w:rPr>
          <w:color w:val="000000" w:themeColor="text1"/>
        </w:rPr>
        <w:t xml:space="preserve">the </w:t>
      </w:r>
      <w:r w:rsidRPr="00FF1AEA">
        <w:rPr>
          <w:color w:val="000000" w:themeColor="text1"/>
        </w:rPr>
        <w:t xml:space="preserve">degree of carbon resource circulation </w:t>
      </w:r>
      <w:r w:rsidR="00A14192" w:rsidRPr="00FF1AEA">
        <w:rPr>
          <w:color w:val="000000" w:themeColor="text1"/>
        </w:rPr>
        <w:t xml:space="preserve">is </w:t>
      </w:r>
      <w:r w:rsidR="003D196D" w:rsidRPr="00FF1AEA">
        <w:rPr>
          <w:color w:val="000000" w:themeColor="text1"/>
        </w:rPr>
        <w:t>named the recycling system</w:t>
      </w:r>
      <w:r w:rsidRPr="00FF1AEA">
        <w:rPr>
          <w:color w:val="000000" w:themeColor="text1"/>
        </w:rPr>
        <w:t xml:space="preserve"> </w:t>
      </w:r>
      <w:r w:rsidR="00256D6D" w:rsidRPr="00FF1AEA">
        <w:rPr>
          <w:color w:val="000000" w:themeColor="text1"/>
        </w:rPr>
        <w:t>c</w:t>
      </w:r>
      <w:r w:rsidRPr="00FF1AEA">
        <w:rPr>
          <w:color w:val="000000" w:themeColor="text1"/>
        </w:rPr>
        <w:t xml:space="preserve">ircularity </w:t>
      </w:r>
      <w:r w:rsidR="00256D6D" w:rsidRPr="00FF1AEA">
        <w:rPr>
          <w:color w:val="000000" w:themeColor="text1"/>
        </w:rPr>
        <w:t>i</w:t>
      </w:r>
      <w:r w:rsidRPr="00FF1AEA">
        <w:rPr>
          <w:color w:val="000000" w:themeColor="text1"/>
        </w:rPr>
        <w:t>ndicator</w:t>
      </w:r>
      <w:r w:rsidR="00256D6D" w:rsidRPr="00FF1AEA">
        <w:rPr>
          <w:color w:val="000000" w:themeColor="text1"/>
        </w:rPr>
        <w:t xml:space="preserve"> for plastics</w:t>
      </w:r>
      <w:r w:rsidRPr="00FF1AEA">
        <w:rPr>
          <w:color w:val="000000" w:themeColor="text1"/>
        </w:rPr>
        <w:t xml:space="preserve"> (</w:t>
      </w:r>
      <w:proofErr w:type="spellStart"/>
      <w:r w:rsidRPr="00FF1AEA">
        <w:rPr>
          <w:color w:val="000000" w:themeColor="text1"/>
        </w:rPr>
        <w:t>RSCI</w:t>
      </w:r>
      <w:r w:rsidRPr="00FF1AEA">
        <w:rPr>
          <w:color w:val="000000" w:themeColor="text1"/>
          <w:vertAlign w:val="subscript"/>
        </w:rPr>
        <w:t>Plastics</w:t>
      </w:r>
      <w:proofErr w:type="spellEnd"/>
      <w:r w:rsidRPr="00FF1AEA">
        <w:rPr>
          <w:color w:val="000000" w:themeColor="text1"/>
        </w:rPr>
        <w:t>)</w:t>
      </w:r>
      <w:r w:rsidR="009535CD" w:rsidRPr="00FF1AEA">
        <w:rPr>
          <w:color w:val="000000" w:themeColor="text1"/>
        </w:rPr>
        <w:t xml:space="preserve">. The </w:t>
      </w:r>
      <w:proofErr w:type="spellStart"/>
      <w:r w:rsidR="009535CD" w:rsidRPr="00FF1AEA">
        <w:rPr>
          <w:color w:val="000000" w:themeColor="text1"/>
        </w:rPr>
        <w:t>RSCI</w:t>
      </w:r>
      <w:r w:rsidR="009535CD" w:rsidRPr="00FF1AEA">
        <w:rPr>
          <w:color w:val="000000" w:themeColor="text1"/>
          <w:vertAlign w:val="subscript"/>
        </w:rPr>
        <w:t>Plastics</w:t>
      </w:r>
      <w:proofErr w:type="spellEnd"/>
      <w:r w:rsidR="009535CD" w:rsidRPr="00FF1AEA">
        <w:rPr>
          <w:color w:val="000000" w:themeColor="text1"/>
          <w:vertAlign w:val="subscript"/>
        </w:rPr>
        <w:t xml:space="preserve"> </w:t>
      </w:r>
      <w:r w:rsidR="00256D6D" w:rsidRPr="00FF1AEA">
        <w:rPr>
          <w:color w:val="000000" w:themeColor="text1"/>
        </w:rPr>
        <w:t>was</w:t>
      </w:r>
      <w:r w:rsidRPr="00FF1AEA">
        <w:rPr>
          <w:color w:val="000000" w:themeColor="text1"/>
        </w:rPr>
        <w:t xml:space="preserve"> developed </w:t>
      </w:r>
      <w:r w:rsidR="00256D6D" w:rsidRPr="00FF1AEA">
        <w:rPr>
          <w:color w:val="000000" w:themeColor="text1"/>
        </w:rPr>
        <w:t>by modifying</w:t>
      </w:r>
      <w:r w:rsidRPr="00FF1AEA">
        <w:rPr>
          <w:color w:val="000000" w:themeColor="text1"/>
        </w:rPr>
        <w:t xml:space="preserve"> </w:t>
      </w:r>
      <w:r w:rsidR="00B74A2D" w:rsidRPr="00FF1AEA">
        <w:rPr>
          <w:color w:val="000000" w:themeColor="text1"/>
        </w:rPr>
        <w:t>th</w:t>
      </w:r>
      <w:r w:rsidR="003A446C" w:rsidRPr="00FF1AEA">
        <w:rPr>
          <w:color w:val="000000" w:themeColor="text1"/>
        </w:rPr>
        <w:t>e</w:t>
      </w:r>
      <w:r w:rsidR="00B74A2D" w:rsidRPr="00FF1AEA">
        <w:rPr>
          <w:color w:val="000000" w:themeColor="text1"/>
        </w:rPr>
        <w:t xml:space="preserve"> </w:t>
      </w:r>
      <w:r w:rsidR="00256D6D" w:rsidRPr="00FF1AEA">
        <w:rPr>
          <w:color w:val="000000" w:themeColor="text1"/>
        </w:rPr>
        <w:t>p</w:t>
      </w:r>
      <w:r w:rsidRPr="00FF1AEA">
        <w:rPr>
          <w:color w:val="000000" w:themeColor="text1"/>
        </w:rPr>
        <w:t xml:space="preserve">roduct </w:t>
      </w:r>
      <w:r w:rsidR="00256D6D" w:rsidRPr="00FF1AEA">
        <w:rPr>
          <w:color w:val="000000" w:themeColor="text1"/>
        </w:rPr>
        <w:t>c</w:t>
      </w:r>
      <w:r w:rsidRPr="00FF1AEA">
        <w:rPr>
          <w:color w:val="000000" w:themeColor="text1"/>
        </w:rPr>
        <w:t xml:space="preserve">ircularity </w:t>
      </w:r>
      <w:r w:rsidR="00256D6D" w:rsidRPr="00FF1AEA">
        <w:rPr>
          <w:color w:val="000000" w:themeColor="text1"/>
        </w:rPr>
        <w:t>i</w:t>
      </w:r>
      <w:r w:rsidRPr="00FF1AEA">
        <w:rPr>
          <w:color w:val="000000" w:themeColor="text1"/>
        </w:rPr>
        <w:t>ndicator (PCI) (</w:t>
      </w:r>
      <w:proofErr w:type="spellStart"/>
      <w:r w:rsidRPr="00FF1AEA">
        <w:rPr>
          <w:color w:val="000000" w:themeColor="text1"/>
        </w:rPr>
        <w:t>Bracquené</w:t>
      </w:r>
      <w:proofErr w:type="spellEnd"/>
      <w:r w:rsidRPr="00FF1AEA">
        <w:rPr>
          <w:color w:val="000000" w:themeColor="text1"/>
        </w:rPr>
        <w:t xml:space="preserve"> et al., 2020).</w:t>
      </w:r>
      <w:r w:rsidR="00B20DA3" w:rsidRPr="00FF1AEA">
        <w:rPr>
          <w:color w:val="000000" w:themeColor="text1"/>
        </w:rPr>
        <w:t xml:space="preserve"> </w:t>
      </w:r>
      <w:proofErr w:type="spellStart"/>
      <w:r w:rsidR="003D196D" w:rsidRPr="00FF1AEA">
        <w:rPr>
          <w:color w:val="000000" w:themeColor="text1"/>
        </w:rPr>
        <w:t>RSCI</w:t>
      </w:r>
      <w:r w:rsidR="003D196D" w:rsidRPr="00FF1AEA">
        <w:rPr>
          <w:color w:val="000000" w:themeColor="text1"/>
          <w:vertAlign w:val="subscript"/>
        </w:rPr>
        <w:t>Plastics</w:t>
      </w:r>
      <w:proofErr w:type="spellEnd"/>
      <w:r w:rsidR="003D196D" w:rsidRPr="00FF1AEA">
        <w:rPr>
          <w:color w:val="000000" w:themeColor="text1"/>
        </w:rPr>
        <w:t xml:space="preserve"> is presented in Eq. (1), and the linear flow index (LFI) is constructed as Eq. (2).</w:t>
      </w:r>
    </w:p>
    <w:tbl>
      <w:tblPr>
        <w:tblW w:w="7087" w:type="dxa"/>
        <w:tblLook w:val="04A0" w:firstRow="1" w:lastRow="0" w:firstColumn="1" w:lastColumn="0" w:noHBand="0" w:noVBand="1"/>
      </w:tblPr>
      <w:tblGrid>
        <w:gridCol w:w="6121"/>
        <w:gridCol w:w="966"/>
      </w:tblGrid>
      <w:tr w:rsidR="002E10C6" w:rsidRPr="00A94774" w14:paraId="345663A2" w14:textId="77777777" w:rsidTr="002E10C6">
        <w:tc>
          <w:tcPr>
            <w:tcW w:w="6121" w:type="dxa"/>
            <w:shd w:val="clear" w:color="auto" w:fill="auto"/>
            <w:vAlign w:val="center"/>
          </w:tcPr>
          <w:p w14:paraId="62FF01A1" w14:textId="5F139000" w:rsidR="002E10C6" w:rsidRPr="00256354" w:rsidRDefault="00000000" w:rsidP="00D676C3">
            <w:pPr>
              <w:pStyle w:val="Els-body-text"/>
              <w:spacing w:before="120" w:after="120" w:line="264" w:lineRule="auto"/>
              <w:rPr>
                <w:lang w:val="en-GB"/>
              </w:rPr>
            </w:pPr>
            <m:oMathPara>
              <m:oMathParaPr>
                <m:jc m:val="left"/>
              </m:oMathParaPr>
              <m:oMath>
                <m:sSub>
                  <m:sSubPr>
                    <m:ctrlPr>
                      <w:rPr>
                        <w:rFonts w:ascii="Cambria Math" w:hAnsi="Cambria Math"/>
                        <w:i/>
                        <w:iCs/>
                        <w:vertAlign w:val="subscript"/>
                      </w:rPr>
                    </m:ctrlPr>
                  </m:sSubPr>
                  <m:e>
                    <m:r>
                      <w:rPr>
                        <w:rFonts w:ascii="Cambria Math" w:hAnsi="Cambria Math"/>
                      </w:rPr>
                      <m:t>RSCI</m:t>
                    </m:r>
                  </m:e>
                  <m:sub>
                    <m:r>
                      <w:rPr>
                        <w:rFonts w:ascii="Cambria Math" w:hAnsi="Cambria Math"/>
                        <w:vertAlign w:val="subscript"/>
                      </w:rPr>
                      <m:t>Plastics</m:t>
                    </m:r>
                  </m:sub>
                </m:sSub>
                <m:r>
                  <w:rPr>
                    <w:rFonts w:ascii="Cambria Math"/>
                    <w:lang w:val="en-GB"/>
                  </w:rPr>
                  <m:t>=1</m:t>
                </m:r>
                <m:r>
                  <w:rPr>
                    <w:rFonts w:ascii="Cambria Math" w:hAnsi="Cambria Math"/>
                    <w:lang w:val="en-GB"/>
                  </w:rPr>
                  <m:t>-LFI</m:t>
                </m:r>
              </m:oMath>
            </m:oMathPara>
          </w:p>
        </w:tc>
        <w:tc>
          <w:tcPr>
            <w:tcW w:w="966" w:type="dxa"/>
            <w:shd w:val="clear" w:color="auto" w:fill="auto"/>
            <w:vAlign w:val="center"/>
          </w:tcPr>
          <w:p w14:paraId="6BEE699C" w14:textId="77777777" w:rsidR="002E10C6" w:rsidRPr="00A94774" w:rsidRDefault="002E10C6" w:rsidP="00D676C3">
            <w:pPr>
              <w:pStyle w:val="Els-body-text"/>
              <w:spacing w:before="120" w:after="120" w:line="264" w:lineRule="auto"/>
              <w:jc w:val="right"/>
              <w:rPr>
                <w:lang w:val="en-GB"/>
              </w:rPr>
            </w:pPr>
            <w:r w:rsidRPr="00A94774">
              <w:rPr>
                <w:lang w:val="en-GB"/>
              </w:rPr>
              <w:t>(1)</w:t>
            </w:r>
          </w:p>
        </w:tc>
      </w:tr>
      <w:tr w:rsidR="002E10C6" w:rsidRPr="00A94774" w14:paraId="18AA201E" w14:textId="77777777" w:rsidTr="002E10C6">
        <w:tc>
          <w:tcPr>
            <w:tcW w:w="6121" w:type="dxa"/>
            <w:shd w:val="clear" w:color="auto" w:fill="auto"/>
            <w:vAlign w:val="center"/>
          </w:tcPr>
          <w:p w14:paraId="36E03D48" w14:textId="44E488DB" w:rsidR="002E10C6" w:rsidRPr="00256354" w:rsidRDefault="000E1E75" w:rsidP="00D676C3">
            <w:pPr>
              <w:pStyle w:val="Els-body-text"/>
              <w:spacing w:before="120" w:after="120" w:line="264" w:lineRule="auto"/>
              <w:rPr>
                <w:lang w:val="en-GB"/>
              </w:rPr>
            </w:pPr>
            <m:oMathPara>
              <m:oMathParaPr>
                <m:jc m:val="left"/>
              </m:oMathParaPr>
              <m:oMath>
                <m:r>
                  <w:rPr>
                    <w:rFonts w:ascii="Cambria Math"/>
                    <w:lang w:val="en-GB"/>
                  </w:rPr>
                  <m:t>LFI=</m:t>
                </m:r>
                <m:f>
                  <m:fPr>
                    <m:ctrlPr>
                      <w:rPr>
                        <w:rFonts w:ascii="Cambria Math" w:hAnsi="Cambria Math"/>
                        <w:i/>
                        <w:lang w:val="en-GB"/>
                      </w:rPr>
                    </m:ctrlPr>
                  </m:fPr>
                  <m:num>
                    <m:sSub>
                      <m:sSubPr>
                        <m:ctrlPr>
                          <w:rPr>
                            <w:rFonts w:ascii="Cambria Math" w:hAnsi="Cambria Math"/>
                            <w:i/>
                            <w:lang w:val="en-GB"/>
                          </w:rPr>
                        </m:ctrlPr>
                      </m:sSubPr>
                      <m:e>
                        <m:r>
                          <w:rPr>
                            <w:rFonts w:ascii="Cambria Math"/>
                            <w:lang w:val="en-GB"/>
                          </w:rPr>
                          <m:t>M</m:t>
                        </m:r>
                      </m:e>
                      <m:sub>
                        <m:r>
                          <w:rPr>
                            <w:rFonts w:ascii="Cambria Math" w:hint="eastAsia"/>
                            <w:lang w:val="en-GB" w:eastAsia="ja-JP"/>
                          </w:rPr>
                          <m:t>α</m:t>
                        </m:r>
                      </m:sub>
                    </m:sSub>
                    <m:r>
                      <w:rPr>
                        <w:rFonts w:ascii="Cambria Math" w:hAnsi="Cambria Math"/>
                        <w:lang w:val="en-GB"/>
                      </w:rPr>
                      <m:t xml:space="preserve">+ </m:t>
                    </m:r>
                    <m:sSub>
                      <m:sSubPr>
                        <m:ctrlPr>
                          <w:rPr>
                            <w:rFonts w:ascii="Cambria Math" w:hAnsi="Cambria Math"/>
                            <w:i/>
                            <w:lang w:val="en-GB"/>
                          </w:rPr>
                        </m:ctrlPr>
                      </m:sSubPr>
                      <m:e>
                        <m:r>
                          <w:rPr>
                            <w:rFonts w:ascii="Cambria Math"/>
                            <w:lang w:val="en-GB"/>
                          </w:rPr>
                          <m:t>M</m:t>
                        </m:r>
                      </m:e>
                      <m:sub>
                        <m:r>
                          <w:rPr>
                            <w:rFonts w:ascii="Cambria Math" w:hint="eastAsia"/>
                            <w:lang w:val="en-GB" w:eastAsia="ja-JP"/>
                          </w:rPr>
                          <m:t>β</m:t>
                        </m:r>
                      </m:sub>
                    </m:sSub>
                    <m:r>
                      <w:rPr>
                        <w:rFonts w:ascii="Cambria Math" w:hAnsi="Cambria Math"/>
                        <w:lang w:val="en-GB"/>
                      </w:rPr>
                      <m:t xml:space="preserve">+ </m:t>
                    </m:r>
                    <m:sSub>
                      <m:sSubPr>
                        <m:ctrlPr>
                          <w:rPr>
                            <w:rFonts w:ascii="Cambria Math" w:hAnsi="Cambria Math"/>
                            <w:i/>
                            <w:lang w:val="en-GB"/>
                          </w:rPr>
                        </m:ctrlPr>
                      </m:sSubPr>
                      <m:e>
                        <m:r>
                          <w:rPr>
                            <w:rFonts w:ascii="Cambria Math"/>
                            <w:lang w:val="en-GB"/>
                          </w:rPr>
                          <m:t>M</m:t>
                        </m:r>
                      </m:e>
                      <m:sub>
                        <m:r>
                          <w:rPr>
                            <w:rFonts w:ascii="Cambria Math" w:hint="eastAsia"/>
                            <w:lang w:val="en-GB" w:eastAsia="ja-JP"/>
                          </w:rPr>
                          <m:t>γ</m:t>
                        </m:r>
                      </m:sub>
                    </m:sSub>
                  </m:num>
                  <m:den>
                    <m:sSub>
                      <m:sSubPr>
                        <m:ctrlPr>
                          <w:rPr>
                            <w:rFonts w:ascii="Cambria Math" w:hAnsi="Cambria Math"/>
                            <w:i/>
                            <w:lang w:val="en-GB"/>
                          </w:rPr>
                        </m:ctrlPr>
                      </m:sSubPr>
                      <m:e>
                        <m:r>
                          <w:rPr>
                            <w:rFonts w:ascii="Cambria Math"/>
                            <w:lang w:val="en-GB"/>
                          </w:rPr>
                          <m:t>M</m:t>
                        </m:r>
                      </m:e>
                      <m:sub>
                        <m:r>
                          <w:rPr>
                            <w:rFonts w:ascii="Cambria Math" w:hint="eastAsia"/>
                            <w:lang w:val="en-GB" w:eastAsia="ja-JP"/>
                          </w:rPr>
                          <m:t>α</m:t>
                        </m:r>
                        <m:r>
                          <w:rPr>
                            <w:rFonts w:ascii="Cambria Math"/>
                            <w:lang w:val="en-GB" w:eastAsia="ja-JP"/>
                          </w:rPr>
                          <m:t>,liner</m:t>
                        </m:r>
                      </m:sub>
                    </m:sSub>
                    <m:r>
                      <w:rPr>
                        <w:rFonts w:ascii="Cambria Math" w:hAnsi="Cambria Math"/>
                        <w:lang w:val="en-GB"/>
                      </w:rPr>
                      <m:t xml:space="preserve">+ </m:t>
                    </m:r>
                    <m:sSub>
                      <m:sSubPr>
                        <m:ctrlPr>
                          <w:rPr>
                            <w:rFonts w:ascii="Cambria Math" w:hAnsi="Cambria Math"/>
                            <w:i/>
                            <w:lang w:val="en-GB"/>
                          </w:rPr>
                        </m:ctrlPr>
                      </m:sSubPr>
                      <m:e>
                        <m:r>
                          <w:rPr>
                            <w:rFonts w:ascii="Cambria Math"/>
                            <w:lang w:val="en-GB"/>
                          </w:rPr>
                          <m:t>M</m:t>
                        </m:r>
                      </m:e>
                      <m:sub>
                        <m:r>
                          <w:rPr>
                            <w:rFonts w:ascii="Cambria Math" w:hint="eastAsia"/>
                            <w:lang w:val="en-GB" w:eastAsia="ja-JP"/>
                          </w:rPr>
                          <m:t>β</m:t>
                        </m:r>
                        <m:r>
                          <w:rPr>
                            <w:rFonts w:ascii="Cambria Math"/>
                            <w:lang w:val="en-GB" w:eastAsia="ja-JP"/>
                          </w:rPr>
                          <m:t>,liner</m:t>
                        </m:r>
                      </m:sub>
                    </m:sSub>
                    <m:r>
                      <w:rPr>
                        <w:rFonts w:ascii="Cambria Math" w:hAnsi="Cambria Math"/>
                        <w:lang w:val="en-GB"/>
                      </w:rPr>
                      <m:t xml:space="preserve">+ </m:t>
                    </m:r>
                    <m:sSub>
                      <m:sSubPr>
                        <m:ctrlPr>
                          <w:rPr>
                            <w:rFonts w:ascii="Cambria Math" w:hAnsi="Cambria Math"/>
                            <w:i/>
                            <w:lang w:val="en-GB"/>
                          </w:rPr>
                        </m:ctrlPr>
                      </m:sSubPr>
                      <m:e>
                        <m:r>
                          <w:rPr>
                            <w:rFonts w:ascii="Cambria Math"/>
                            <w:lang w:val="en-GB"/>
                          </w:rPr>
                          <m:t>M</m:t>
                        </m:r>
                      </m:e>
                      <m:sub>
                        <m:r>
                          <w:rPr>
                            <w:rFonts w:ascii="Cambria Math" w:hint="eastAsia"/>
                            <w:lang w:val="en-GB" w:eastAsia="ja-JP"/>
                          </w:rPr>
                          <m:t>γ</m:t>
                        </m:r>
                        <m:r>
                          <w:rPr>
                            <w:rFonts w:ascii="Cambria Math"/>
                            <w:lang w:val="en-GB" w:eastAsia="ja-JP"/>
                          </w:rPr>
                          <m:t>,liner</m:t>
                        </m:r>
                      </m:sub>
                    </m:sSub>
                  </m:den>
                </m:f>
              </m:oMath>
            </m:oMathPara>
          </w:p>
        </w:tc>
        <w:tc>
          <w:tcPr>
            <w:tcW w:w="966" w:type="dxa"/>
            <w:shd w:val="clear" w:color="auto" w:fill="auto"/>
            <w:vAlign w:val="center"/>
          </w:tcPr>
          <w:p w14:paraId="539BBCE3" w14:textId="4B6DBA32" w:rsidR="002E10C6" w:rsidRPr="00A94774" w:rsidRDefault="002E10C6" w:rsidP="00D676C3">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00888C86" w14:textId="77777777" w:rsidR="00A660DD" w:rsidRPr="00FF1AEA" w:rsidRDefault="001B57C0" w:rsidP="00A660DD">
      <w:pPr>
        <w:pStyle w:val="Els-body-text"/>
        <w:rPr>
          <w:color w:val="000000" w:themeColor="text1"/>
        </w:rPr>
      </w:pPr>
      <w:proofErr w:type="spellStart"/>
      <w:r>
        <w:t>RSC</w:t>
      </w:r>
      <w:r w:rsidRPr="00FF1AEA">
        <w:rPr>
          <w:color w:val="000000" w:themeColor="text1"/>
        </w:rPr>
        <w:t>I</w:t>
      </w:r>
      <w:r w:rsidRPr="00FF1AEA">
        <w:rPr>
          <w:color w:val="000000" w:themeColor="text1"/>
          <w:vertAlign w:val="subscript"/>
        </w:rPr>
        <w:t>Plastics</w:t>
      </w:r>
      <w:proofErr w:type="spellEnd"/>
      <w:r w:rsidRPr="00FF1AEA">
        <w:rPr>
          <w:color w:val="000000" w:themeColor="text1"/>
        </w:rPr>
        <w:t xml:space="preserve"> is indicated as dimensionless numbers from 0 to 1, </w:t>
      </w:r>
      <w:r w:rsidR="003D196D" w:rsidRPr="00FF1AEA">
        <w:rPr>
          <w:color w:val="000000" w:themeColor="text1"/>
        </w:rPr>
        <w:t>where 1 means complete carbon resource circulation. In this study, the complete carbon resource circulation is defined as “the state in which all waste plastics are processed by circulating recycles in resource loop</w:t>
      </w:r>
      <w:r w:rsidRPr="00FF1AEA">
        <w:rPr>
          <w:color w:val="000000" w:themeColor="text1"/>
        </w:rPr>
        <w:t xml:space="preserve"> and</w:t>
      </w:r>
      <w:r w:rsidRPr="00427EB1">
        <w:t xml:space="preserve"> are used as raw materials for basic chemicals and plastic resins, not u</w:t>
      </w:r>
      <w:r>
        <w:t>se</w:t>
      </w:r>
      <w:r w:rsidRPr="00427EB1">
        <w:t xml:space="preserve">d for fuels". </w:t>
      </w:r>
      <w:r>
        <w:t xml:space="preserve">This indicator was mainly calculated by LFI, which </w:t>
      </w:r>
      <w:r w:rsidRPr="00E93271">
        <w:t>indicat</w:t>
      </w:r>
      <w:r>
        <w:t>es</w:t>
      </w:r>
      <w:r w:rsidRPr="00E93271">
        <w:t xml:space="preserve"> the degree of resource use in a linear economy</w:t>
      </w:r>
      <w:r>
        <w:t xml:space="preserve">. </w:t>
      </w:r>
      <w:r w:rsidRPr="00E93271">
        <w:t xml:space="preserve">LFI </w:t>
      </w:r>
      <w:r>
        <w:t>was</w:t>
      </w:r>
      <w:r w:rsidRPr="00E93271">
        <w:t xml:space="preserve"> composed of mass of crude oil input</w:t>
      </w:r>
      <w:r>
        <w:t xml:space="preserve"> (</w:t>
      </w:r>
      <m:oMath>
        <m:sSub>
          <m:sSubPr>
            <m:ctrlPr>
              <w:rPr>
                <w:rFonts w:ascii="Cambria Math" w:hAnsi="Cambria Math"/>
                <w:i/>
              </w:rPr>
            </m:ctrlPr>
          </m:sSubPr>
          <m:e>
            <m:r>
              <w:rPr>
                <w:rFonts w:ascii="Cambria Math" w:hAnsi="Cambria Math"/>
              </w:rPr>
              <m:t>M</m:t>
            </m:r>
          </m:e>
          <m:sub>
            <m:r>
              <w:rPr>
                <w:rFonts w:ascii="Cambria Math" w:hAnsi="Cambria Math" w:hint="eastAsia"/>
                <w:lang w:eastAsia="ja-JP"/>
              </w:rPr>
              <m:t>α</m:t>
            </m:r>
          </m:sub>
        </m:sSub>
        <m:r>
          <w:rPr>
            <w:rFonts w:ascii="Cambria Math" w:hAnsi="Cambria Math"/>
          </w:rPr>
          <m:t>)</m:t>
        </m:r>
      </m:oMath>
      <w:r w:rsidRPr="00E93271">
        <w:t>,</w:t>
      </w:r>
      <w:r>
        <w:t xml:space="preserve"> </w:t>
      </w:r>
      <w:r w:rsidRPr="00E93271">
        <w:t>mass of waste plastic</w:t>
      </w:r>
      <w:r>
        <w:t>s</w:t>
      </w:r>
      <w:r w:rsidRPr="00E93271">
        <w:t xml:space="preserve"> that </w:t>
      </w:r>
      <w:r>
        <w:t>are</w:t>
      </w:r>
      <w:r w:rsidRPr="00E93271">
        <w:t xml:space="preserve"> </w:t>
      </w:r>
      <w:r>
        <w:t>i</w:t>
      </w:r>
      <w:r w:rsidRPr="00E93271">
        <w:t>ncinerated or landfilled</w:t>
      </w:r>
      <w:r>
        <w:t xml:space="preserve"> (</w:t>
      </w:r>
      <m:oMath>
        <m:sSub>
          <m:sSubPr>
            <m:ctrlPr>
              <w:rPr>
                <w:rFonts w:ascii="Cambria Math" w:hAnsi="Cambria Math"/>
                <w:i/>
              </w:rPr>
            </m:ctrlPr>
          </m:sSubPr>
          <m:e>
            <m:r>
              <w:rPr>
                <w:rFonts w:ascii="Cambria Math" w:hAnsi="Cambria Math"/>
              </w:rPr>
              <m:t>M</m:t>
            </m:r>
          </m:e>
          <m:sub>
            <m:r>
              <w:rPr>
                <w:rFonts w:ascii="Cambria Math" w:hAnsi="Cambria Math" w:hint="eastAsia"/>
                <w:lang w:eastAsia="ja-JP"/>
              </w:rPr>
              <m:t>β</m:t>
            </m:r>
          </m:sub>
        </m:sSub>
        <m:r>
          <w:rPr>
            <w:rFonts w:ascii="Cambria Math" w:hAnsi="Cambria Math"/>
          </w:rPr>
          <m:t>)</m:t>
        </m:r>
      </m:oMath>
      <w:r w:rsidRPr="00E93271">
        <w:t>, and mass of waste plastic</w:t>
      </w:r>
      <w:r>
        <w:rPr>
          <w:rFonts w:hint="eastAsia"/>
          <w:lang w:eastAsia="ja-JP"/>
        </w:rPr>
        <w:t>s</w:t>
      </w:r>
      <w:r w:rsidRPr="00E93271">
        <w:t xml:space="preserve"> that </w:t>
      </w:r>
      <w:r>
        <w:t>are</w:t>
      </w:r>
      <w:r w:rsidRPr="00E93271">
        <w:t xml:space="preserve"> processed by waste to energy</w:t>
      </w:r>
      <w:r>
        <w:t xml:space="preserve"> (</w:t>
      </w:r>
      <m:oMath>
        <m:sSub>
          <m:sSubPr>
            <m:ctrlPr>
              <w:rPr>
                <w:rFonts w:ascii="Cambria Math" w:hAnsi="Cambria Math"/>
                <w:i/>
              </w:rPr>
            </m:ctrlPr>
          </m:sSubPr>
          <m:e>
            <m:r>
              <w:rPr>
                <w:rFonts w:ascii="Cambria Math" w:hAnsi="Cambria Math"/>
              </w:rPr>
              <m:t>M</m:t>
            </m:r>
          </m:e>
          <m:sub>
            <m:r>
              <w:rPr>
                <w:rFonts w:ascii="Cambria Math" w:hAnsi="Cambria Math" w:hint="eastAsia"/>
                <w:lang w:eastAsia="ja-JP"/>
              </w:rPr>
              <m:t>γ</m:t>
            </m:r>
          </m:sub>
        </m:sSub>
        <m:r>
          <w:rPr>
            <w:rFonts w:ascii="Cambria Math" w:hAnsi="Cambria Math"/>
          </w:rPr>
          <m:t>)</m:t>
        </m:r>
      </m:oMath>
      <w:r w:rsidRPr="00E93271">
        <w:t xml:space="preserve">. </w:t>
      </w:r>
      <w:r>
        <w:t>Also, LFI</w:t>
      </w:r>
      <w:r w:rsidRPr="00E93271">
        <w:t xml:space="preserve"> was calculated as a percentage</w:t>
      </w:r>
      <w:r>
        <w:t xml:space="preserve"> in </w:t>
      </w:r>
      <w:r w:rsidRPr="002E10C6">
        <w:t>Eq</w:t>
      </w:r>
      <w:r>
        <w:t>.</w:t>
      </w:r>
      <w:r w:rsidRPr="002E10C6">
        <w:t xml:space="preserve"> </w:t>
      </w:r>
      <w:r>
        <w:t>(</w:t>
      </w:r>
      <w:r w:rsidRPr="002E10C6">
        <w:t>2</w:t>
      </w:r>
      <w:r>
        <w:t>)</w:t>
      </w:r>
      <w:r w:rsidRPr="00E93271">
        <w:t>, with</w:t>
      </w:r>
      <w:r>
        <w:t xml:space="preserve"> the </w:t>
      </w:r>
      <w:r w:rsidRPr="00E93271">
        <w:t>denominator being th</w:t>
      </w:r>
      <w:r w:rsidRPr="00FF1AEA">
        <w:rPr>
          <w:color w:val="000000" w:themeColor="text1"/>
        </w:rPr>
        <w:t xml:space="preserve">e value obtained when </w:t>
      </w:r>
      <w:r w:rsidR="00A660DD" w:rsidRPr="00FF1AEA">
        <w:rPr>
          <w:color w:val="000000" w:themeColor="text1"/>
        </w:rPr>
        <w:t xml:space="preserve">the resources are used in a completely linear economy with the numerator being the value obtained when recycling processes are introduced. To calculate </w:t>
      </w: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hint="eastAsia"/>
                <w:color w:val="000000" w:themeColor="text1"/>
                <w:lang w:eastAsia="ja-JP"/>
              </w:rPr>
              <m:t>α</m:t>
            </m:r>
          </m:sub>
        </m:sSub>
      </m:oMath>
      <w:r w:rsidR="00A660DD" w:rsidRPr="00FF1AEA">
        <w:rPr>
          <w:rFonts w:hint="eastAsia"/>
          <w:color w:val="000000" w:themeColor="text1"/>
          <w:lang w:eastAsia="ja-JP"/>
        </w:rPr>
        <w:t>,</w:t>
      </w:r>
      <w:r w:rsidR="00A660DD" w:rsidRPr="00FF1AEA">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hint="eastAsia"/>
                <w:color w:val="000000" w:themeColor="text1"/>
                <w:lang w:eastAsia="ja-JP"/>
              </w:rPr>
              <m:t>β</m:t>
            </m:r>
          </m:sub>
        </m:sSub>
      </m:oMath>
      <w:r w:rsidR="00A660DD" w:rsidRPr="00FF1AEA">
        <w:rPr>
          <w:color w:val="000000" w:themeColor="text1"/>
        </w:rPr>
        <w:t>,</w:t>
      </w:r>
      <w:r w:rsidR="00A660DD" w:rsidRPr="00FF1AEA">
        <w:rPr>
          <w:color w:val="000000" w:themeColor="text1"/>
          <w:lang w:eastAsia="ja-JP"/>
        </w:rPr>
        <w:t xml:space="preserve"> and</w:t>
      </w:r>
      <w:r w:rsidR="00A660DD" w:rsidRPr="00FF1AEA">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hint="eastAsia"/>
                <w:color w:val="000000" w:themeColor="text1"/>
                <w:lang w:eastAsia="ja-JP"/>
              </w:rPr>
              <m:t>γ</m:t>
            </m:r>
          </m:sub>
        </m:sSub>
      </m:oMath>
      <w:r w:rsidR="00A660DD" w:rsidRPr="00FF1AEA">
        <w:rPr>
          <w:rFonts w:hint="eastAsia"/>
          <w:color w:val="000000" w:themeColor="text1"/>
          <w:lang w:eastAsia="ja-JP"/>
        </w:rPr>
        <w:t>,</w:t>
      </w:r>
      <w:r w:rsidR="00A660DD" w:rsidRPr="00FF1AEA">
        <w:rPr>
          <w:color w:val="000000" w:themeColor="text1"/>
          <w:lang w:eastAsia="ja-JP"/>
        </w:rPr>
        <w:t xml:space="preserve"> the </w:t>
      </w:r>
      <w:r w:rsidR="00A660DD" w:rsidRPr="00FF1AEA">
        <w:rPr>
          <w:color w:val="000000" w:themeColor="text1"/>
        </w:rPr>
        <w:t>distribution ratio of waste plastics to each recycling</w:t>
      </w:r>
      <w:r w:rsidR="00A660DD" w:rsidRPr="00FF1AEA">
        <w:rPr>
          <w:rFonts w:hint="eastAsia"/>
          <w:color w:val="000000" w:themeColor="text1"/>
          <w:lang w:eastAsia="ja-JP"/>
        </w:rPr>
        <w:t xml:space="preserve"> </w:t>
      </w:r>
      <w:r w:rsidR="00A660DD" w:rsidRPr="00FF1AEA">
        <w:rPr>
          <w:color w:val="000000" w:themeColor="text1"/>
        </w:rPr>
        <w:t>process, yields of products, and others are also used as parameters.</w:t>
      </w:r>
    </w:p>
    <w:p w14:paraId="2345306D" w14:textId="1183A8A7" w:rsidR="002C532C" w:rsidRDefault="002C532C" w:rsidP="00A013B4">
      <w:pPr>
        <w:pStyle w:val="Els-body-text"/>
      </w:pPr>
    </w:p>
    <w:p w14:paraId="144DE6A0" w14:textId="00539FF7" w:rsidR="008D2649" w:rsidRPr="00FF1AEA" w:rsidRDefault="009C5BA4" w:rsidP="00A013B4">
      <w:pPr>
        <w:pStyle w:val="Els-body-text"/>
        <w:rPr>
          <w:color w:val="000000" w:themeColor="text1"/>
        </w:rPr>
      </w:pPr>
      <w:r>
        <w:t>A previous</w:t>
      </w:r>
      <w:r w:rsidRPr="00C001DF">
        <w:t xml:space="preserve"> </w:t>
      </w:r>
      <w:r w:rsidR="00C001DF" w:rsidRPr="00C001DF">
        <w:t>study</w:t>
      </w:r>
      <w:r w:rsidR="00C001DF" w:rsidRPr="002A4B47">
        <w:rPr>
          <w:color w:val="000000" w:themeColor="text1"/>
        </w:rPr>
        <w:t xml:space="preserve"> (Matos et al., 2023) showed that</w:t>
      </w:r>
      <w:r w:rsidR="00AB58B5" w:rsidRPr="002A4B47">
        <w:rPr>
          <w:color w:val="000000" w:themeColor="text1"/>
        </w:rPr>
        <w:t xml:space="preserve"> indicators</w:t>
      </w:r>
      <w:r w:rsidR="00C001DF" w:rsidRPr="002A4B47">
        <w:rPr>
          <w:color w:val="000000" w:themeColor="text1"/>
        </w:rPr>
        <w:t xml:space="preserve"> for circularity </w:t>
      </w:r>
      <w:r w:rsidR="00BF0863">
        <w:rPr>
          <w:color w:val="000000" w:themeColor="text1"/>
        </w:rPr>
        <w:t>that</w:t>
      </w:r>
      <w:r w:rsidR="00BF0863" w:rsidRPr="002A4B47">
        <w:rPr>
          <w:color w:val="000000" w:themeColor="text1"/>
        </w:rPr>
        <w:t xml:space="preserve"> </w:t>
      </w:r>
      <w:r w:rsidR="00AB58B5" w:rsidRPr="002A4B47">
        <w:rPr>
          <w:color w:val="000000" w:themeColor="text1"/>
        </w:rPr>
        <w:t>focus on specific</w:t>
      </w:r>
      <w:r w:rsidR="00482694" w:rsidRPr="002A4B47">
        <w:rPr>
          <w:color w:val="000000" w:themeColor="text1"/>
          <w:lang w:eastAsia="ja-JP"/>
        </w:rPr>
        <w:t xml:space="preserve"> </w:t>
      </w:r>
      <w:r w:rsidR="00AB58B5" w:rsidRPr="002A4B47">
        <w:rPr>
          <w:color w:val="000000" w:themeColor="text1"/>
        </w:rPr>
        <w:t>materials</w:t>
      </w:r>
      <w:r w:rsidR="0075680D" w:rsidRPr="002A4B47">
        <w:rPr>
          <w:color w:val="000000" w:themeColor="text1"/>
        </w:rPr>
        <w:t xml:space="preserve"> </w:t>
      </w:r>
      <w:r w:rsidR="00AB58B5" w:rsidRPr="002A4B47">
        <w:rPr>
          <w:color w:val="000000" w:themeColor="text1"/>
        </w:rPr>
        <w:t>and products have</w:t>
      </w:r>
      <w:r w:rsidR="00AB58B5">
        <w:t xml:space="preserve"> been developed. However, the</w:t>
      </w:r>
      <w:r>
        <w:t xml:space="preserve"> </w:t>
      </w:r>
      <w:r w:rsidR="00AB58B5">
        <w:t>indicators do not adapt to system</w:t>
      </w:r>
      <w:r w:rsidR="00AB58B5" w:rsidRPr="00FF1AEA">
        <w:rPr>
          <w:color w:val="000000" w:themeColor="text1"/>
        </w:rPr>
        <w:t xml:space="preserve"> boundaries that cover</w:t>
      </w:r>
      <w:r w:rsidR="00482694" w:rsidRPr="00FF1AEA">
        <w:rPr>
          <w:rFonts w:hint="eastAsia"/>
          <w:color w:val="000000" w:themeColor="text1"/>
          <w:lang w:eastAsia="ja-JP"/>
        </w:rPr>
        <w:t xml:space="preserve"> </w:t>
      </w:r>
      <w:r w:rsidR="00AB58B5" w:rsidRPr="00FF1AEA">
        <w:rPr>
          <w:color w:val="000000" w:themeColor="text1"/>
        </w:rPr>
        <w:t>multiple recycling processes and include design variables of recycling processes.</w:t>
      </w:r>
      <w:r w:rsidR="00482694" w:rsidRPr="00FF1AEA">
        <w:rPr>
          <w:color w:val="000000" w:themeColor="text1"/>
        </w:rPr>
        <w:t xml:space="preserve"> </w:t>
      </w:r>
      <w:proofErr w:type="spellStart"/>
      <w:r w:rsidR="00E821F8" w:rsidRPr="00FF1AEA">
        <w:rPr>
          <w:color w:val="000000" w:themeColor="text1"/>
        </w:rPr>
        <w:t>RSCI</w:t>
      </w:r>
      <w:r w:rsidR="00E821F8" w:rsidRPr="00FF1AEA">
        <w:rPr>
          <w:color w:val="000000" w:themeColor="text1"/>
          <w:vertAlign w:val="subscript"/>
        </w:rPr>
        <w:t>Plastics</w:t>
      </w:r>
      <w:proofErr w:type="spellEnd"/>
      <w:r w:rsidR="00ED4441" w:rsidRPr="00FF1AEA">
        <w:rPr>
          <w:color w:val="000000" w:themeColor="text1"/>
        </w:rPr>
        <w:t xml:space="preserve"> cover</w:t>
      </w:r>
      <w:r w:rsidR="00E141F9" w:rsidRPr="00FF1AEA">
        <w:rPr>
          <w:color w:val="000000" w:themeColor="text1"/>
        </w:rPr>
        <w:t>ed</w:t>
      </w:r>
      <w:r w:rsidR="00ED4441" w:rsidRPr="00FF1AEA">
        <w:rPr>
          <w:color w:val="000000" w:themeColor="text1"/>
        </w:rPr>
        <w:t xml:space="preserve"> the system boundary shown in </w:t>
      </w:r>
      <w:r w:rsidR="00A660DD" w:rsidRPr="00FF1AEA">
        <w:rPr>
          <w:color w:val="000000" w:themeColor="text1"/>
        </w:rPr>
        <w:t>Figure 1, which can include existing refineries, as well as multiple recycling processes for waste plastics. This</w:t>
      </w:r>
      <w:r w:rsidR="009C4945" w:rsidRPr="00FF1AEA">
        <w:rPr>
          <w:color w:val="000000" w:themeColor="text1"/>
        </w:rPr>
        <w:t xml:space="preserve"> indicator makes it possible to </w:t>
      </w:r>
      <w:r w:rsidR="00A3724F" w:rsidRPr="00FF1AEA">
        <w:rPr>
          <w:color w:val="000000" w:themeColor="text1"/>
        </w:rPr>
        <w:t xml:space="preserve">evaluate </w:t>
      </w:r>
      <w:r w:rsidR="00D2775B" w:rsidRPr="00FF1AEA">
        <w:rPr>
          <w:color w:val="000000" w:themeColor="text1"/>
        </w:rPr>
        <w:t xml:space="preserve">each recycling process per processing </w:t>
      </w:r>
      <w:r w:rsidR="00921589" w:rsidRPr="00FF1AEA">
        <w:rPr>
          <w:color w:val="000000" w:themeColor="text1"/>
        </w:rPr>
        <w:t xml:space="preserve">of </w:t>
      </w:r>
      <w:r w:rsidR="00D2775B" w:rsidRPr="00FF1AEA">
        <w:rPr>
          <w:color w:val="000000" w:themeColor="text1"/>
        </w:rPr>
        <w:t xml:space="preserve">1 kg </w:t>
      </w:r>
      <w:r w:rsidR="00921589" w:rsidRPr="00FF1AEA">
        <w:rPr>
          <w:color w:val="000000" w:themeColor="text1"/>
        </w:rPr>
        <w:t xml:space="preserve">of </w:t>
      </w:r>
      <w:r w:rsidR="00D2775B" w:rsidRPr="00FF1AEA">
        <w:rPr>
          <w:color w:val="000000" w:themeColor="text1"/>
        </w:rPr>
        <w:t xml:space="preserve">waste plastics comparatively </w:t>
      </w:r>
      <w:r w:rsidR="00A660DD" w:rsidRPr="00FF1AEA">
        <w:rPr>
          <w:color w:val="000000" w:themeColor="text1"/>
        </w:rPr>
        <w:t>and evaluate recycling</w:t>
      </w:r>
      <w:r w:rsidR="00D2775B" w:rsidRPr="00FF1AEA">
        <w:rPr>
          <w:color w:val="000000" w:themeColor="text1"/>
        </w:rPr>
        <w:t xml:space="preserve"> systems per processing the</w:t>
      </w:r>
      <w:r w:rsidR="009C4945" w:rsidRPr="00FF1AEA">
        <w:rPr>
          <w:color w:val="000000" w:themeColor="text1"/>
        </w:rPr>
        <w:t xml:space="preserve"> total amount of waste plastics. </w:t>
      </w:r>
      <w:r w:rsidR="00A660DD" w:rsidRPr="00FF1AEA">
        <w:rPr>
          <w:color w:val="000000" w:themeColor="text1"/>
        </w:rPr>
        <w:t xml:space="preserve">Plastic resins </w:t>
      </w:r>
      <w:proofErr w:type="gramStart"/>
      <w:r w:rsidR="00A660DD" w:rsidRPr="00FF1AEA">
        <w:rPr>
          <w:rFonts w:hint="eastAsia"/>
          <w:color w:val="000000" w:themeColor="text1"/>
          <w:lang w:eastAsia="ja-JP"/>
        </w:rPr>
        <w:t>a</w:t>
      </w:r>
      <w:r w:rsidR="00A660DD" w:rsidRPr="00FF1AEA">
        <w:rPr>
          <w:color w:val="000000" w:themeColor="text1"/>
          <w:lang w:eastAsia="ja-JP"/>
        </w:rPr>
        <w:t>re</w:t>
      </w:r>
      <w:r w:rsidR="00A660DD" w:rsidRPr="00FF1AEA">
        <w:rPr>
          <w:color w:val="000000" w:themeColor="text1"/>
        </w:rPr>
        <w:t xml:space="preserve"> considered to be</w:t>
      </w:r>
      <w:proofErr w:type="gramEnd"/>
      <w:r w:rsidR="00A660DD" w:rsidRPr="00FF1AEA">
        <w:rPr>
          <w:color w:val="000000" w:themeColor="text1"/>
        </w:rPr>
        <w:t xml:space="preserve"> final products, and</w:t>
      </w:r>
      <w:r w:rsidR="00D36580" w:rsidRPr="00FF1AEA">
        <w:rPr>
          <w:color w:val="000000" w:themeColor="text1"/>
        </w:rPr>
        <w:t xml:space="preserve"> the resource loop starts at the stage after the collection of waste plastics </w:t>
      </w:r>
      <w:r w:rsidR="008A5651" w:rsidRPr="00FF1AEA">
        <w:rPr>
          <w:color w:val="000000" w:themeColor="text1"/>
        </w:rPr>
        <w:t>within</w:t>
      </w:r>
      <w:r w:rsidR="00D36580" w:rsidRPr="00FF1AEA">
        <w:rPr>
          <w:color w:val="000000" w:themeColor="text1"/>
        </w:rPr>
        <w:t xml:space="preserve"> </w:t>
      </w:r>
      <w:r w:rsidR="00712605" w:rsidRPr="00FF1AEA">
        <w:rPr>
          <w:color w:val="000000" w:themeColor="text1"/>
        </w:rPr>
        <w:t xml:space="preserve">the </w:t>
      </w:r>
      <w:r w:rsidR="00D36580" w:rsidRPr="00FF1AEA">
        <w:rPr>
          <w:color w:val="000000" w:themeColor="text1"/>
        </w:rPr>
        <w:t xml:space="preserve">system </w:t>
      </w:r>
      <w:r w:rsidR="00712605" w:rsidRPr="00FF1AEA">
        <w:rPr>
          <w:color w:val="000000" w:themeColor="text1"/>
        </w:rPr>
        <w:t>boundary</w:t>
      </w:r>
      <w:r w:rsidR="00D36580" w:rsidRPr="00FF1AEA">
        <w:rPr>
          <w:color w:val="000000" w:themeColor="text1"/>
        </w:rPr>
        <w:t xml:space="preserve">. </w:t>
      </w:r>
      <w:r w:rsidR="00153C3B" w:rsidRPr="00FF1AEA">
        <w:rPr>
          <w:color w:val="000000" w:themeColor="text1"/>
        </w:rPr>
        <w:t xml:space="preserve">As described above, </w:t>
      </w:r>
      <w:proofErr w:type="spellStart"/>
      <w:r w:rsidR="00E93271" w:rsidRPr="00FF1AEA">
        <w:rPr>
          <w:color w:val="000000" w:themeColor="text1"/>
        </w:rPr>
        <w:t>RSCI</w:t>
      </w:r>
      <w:r w:rsidR="00E93271" w:rsidRPr="00FF1AEA">
        <w:rPr>
          <w:color w:val="000000" w:themeColor="text1"/>
          <w:vertAlign w:val="subscript"/>
        </w:rPr>
        <w:t>Plas</w:t>
      </w:r>
      <w:r w:rsidR="00E93271" w:rsidRPr="00AB58B5">
        <w:rPr>
          <w:vertAlign w:val="subscript"/>
        </w:rPr>
        <w:t>tics</w:t>
      </w:r>
      <w:proofErr w:type="spellEnd"/>
      <w:r w:rsidR="00153C3B" w:rsidRPr="00153C3B">
        <w:t xml:space="preserve"> is characterized by the fact that it does not take into account the co</w:t>
      </w:r>
      <w:r w:rsidR="00153C3B" w:rsidRPr="00FF1AEA">
        <w:rPr>
          <w:color w:val="000000" w:themeColor="text1"/>
        </w:rPr>
        <w:t xml:space="preserve">ntribution of </w:t>
      </w:r>
      <w:r w:rsidR="00A660DD" w:rsidRPr="00FF1AEA">
        <w:rPr>
          <w:color w:val="000000" w:themeColor="text1"/>
        </w:rPr>
        <w:t xml:space="preserve">the recycling process to </w:t>
      </w:r>
      <w:r w:rsidR="00F515E7" w:rsidRPr="00FF1AEA">
        <w:rPr>
          <w:color w:val="000000" w:themeColor="text1"/>
        </w:rPr>
        <w:t xml:space="preserve">energetic </w:t>
      </w:r>
      <w:proofErr w:type="gramStart"/>
      <w:r w:rsidR="00F515E7" w:rsidRPr="00FF1AEA">
        <w:rPr>
          <w:color w:val="000000" w:themeColor="text1"/>
        </w:rPr>
        <w:t>circulation</w:t>
      </w:r>
      <w:r w:rsidR="00A660DD" w:rsidRPr="00FF1AEA">
        <w:rPr>
          <w:color w:val="000000" w:themeColor="text1"/>
        </w:rPr>
        <w:t>, but</w:t>
      </w:r>
      <w:proofErr w:type="gramEnd"/>
      <w:r w:rsidR="00A660DD" w:rsidRPr="00FF1AEA">
        <w:rPr>
          <w:color w:val="000000" w:themeColor="text1"/>
        </w:rPr>
        <w:t xml:space="preserve"> makes possible an evaluation focused on material-to-material.</w:t>
      </w:r>
    </w:p>
    <w:p w14:paraId="144DE6A1" w14:textId="4A993BB8" w:rsidR="008D2649" w:rsidRPr="00A94774" w:rsidRDefault="00F173F3" w:rsidP="008D2649">
      <w:pPr>
        <w:pStyle w:val="Els-1storder-head"/>
        <w:spacing w:after="120"/>
        <w:rPr>
          <w:lang w:val="en-GB"/>
        </w:rPr>
      </w:pPr>
      <w:r>
        <w:rPr>
          <w:lang w:val="en-GB"/>
        </w:rPr>
        <w:lastRenderedPageBreak/>
        <w:t>Results and discussion</w:t>
      </w:r>
    </w:p>
    <w:p w14:paraId="3E824E33" w14:textId="0AEA7794" w:rsidR="002C532C" w:rsidRPr="00FF1AEA" w:rsidRDefault="0038255B" w:rsidP="008D2649">
      <w:pPr>
        <w:pStyle w:val="Els-body-text"/>
        <w:rPr>
          <w:color w:val="000000" w:themeColor="text1"/>
        </w:rPr>
      </w:pPr>
      <w:r w:rsidRPr="0038255B">
        <w:t>F</w:t>
      </w:r>
      <w:r w:rsidRPr="00FF1AEA">
        <w:rPr>
          <w:color w:val="000000" w:themeColor="text1"/>
        </w:rPr>
        <w:t xml:space="preserve">igure 3 shows the </w:t>
      </w:r>
      <w:r w:rsidR="00E821F8" w:rsidRPr="00FF1AEA">
        <w:rPr>
          <w:color w:val="000000" w:themeColor="text1"/>
        </w:rPr>
        <w:t>evaluation results</w:t>
      </w:r>
      <w:r w:rsidR="00153C3B" w:rsidRPr="00FF1AEA">
        <w:rPr>
          <w:color w:val="000000" w:themeColor="text1"/>
        </w:rPr>
        <w:t xml:space="preserve"> </w:t>
      </w:r>
      <w:r w:rsidRPr="00FF1AEA">
        <w:rPr>
          <w:color w:val="000000" w:themeColor="text1"/>
        </w:rPr>
        <w:t xml:space="preserve">of recycling technologies based on two indicators, </w:t>
      </w:r>
      <w:proofErr w:type="spellStart"/>
      <w:r w:rsidR="00A660DD" w:rsidRPr="00FF1AEA">
        <w:rPr>
          <w:color w:val="000000" w:themeColor="text1"/>
        </w:rPr>
        <w:t>RSCI</w:t>
      </w:r>
      <w:r w:rsidR="00A660DD" w:rsidRPr="00FF1AEA">
        <w:rPr>
          <w:color w:val="000000" w:themeColor="text1"/>
          <w:vertAlign w:val="subscript"/>
        </w:rPr>
        <w:t>Plastics</w:t>
      </w:r>
      <w:proofErr w:type="spellEnd"/>
      <w:r w:rsidR="00A660DD" w:rsidRPr="00FF1AEA">
        <w:rPr>
          <w:color w:val="000000" w:themeColor="text1"/>
        </w:rPr>
        <w:t xml:space="preserve"> and GHG emissions reduction.</w:t>
      </w:r>
      <w:r w:rsidR="004D3259" w:rsidRPr="00FF1AEA">
        <w:rPr>
          <w:color w:val="000000" w:themeColor="text1"/>
        </w:rPr>
        <w:t xml:space="preserve"> </w:t>
      </w:r>
      <w:r w:rsidR="00A50140" w:rsidRPr="00FF1AEA">
        <w:rPr>
          <w:color w:val="000000" w:themeColor="text1"/>
        </w:rPr>
        <w:t xml:space="preserve">The </w:t>
      </w:r>
      <w:r w:rsidR="00502A82" w:rsidRPr="00FF1AEA">
        <w:rPr>
          <w:color w:val="000000" w:themeColor="text1"/>
        </w:rPr>
        <w:t>upper</w:t>
      </w:r>
      <w:r w:rsidR="00A50140" w:rsidRPr="00FF1AEA">
        <w:rPr>
          <w:color w:val="000000" w:themeColor="text1"/>
        </w:rPr>
        <w:t xml:space="preserve"> right </w:t>
      </w:r>
      <w:r w:rsidR="00502A82" w:rsidRPr="00FF1AEA">
        <w:rPr>
          <w:color w:val="000000" w:themeColor="text1"/>
        </w:rPr>
        <w:t xml:space="preserve">corner of the </w:t>
      </w:r>
      <w:r w:rsidR="00256D6D" w:rsidRPr="00FF1AEA">
        <w:rPr>
          <w:color w:val="000000" w:themeColor="text1"/>
        </w:rPr>
        <w:t xml:space="preserve">graph indicates a greater GHG reduction and a higher </w:t>
      </w:r>
      <w:proofErr w:type="spellStart"/>
      <w:r w:rsidR="00256D6D" w:rsidRPr="00FF1AEA">
        <w:rPr>
          <w:color w:val="000000" w:themeColor="text1"/>
        </w:rPr>
        <w:t>RSCI</w:t>
      </w:r>
      <w:r w:rsidR="00256D6D" w:rsidRPr="00FF1AEA">
        <w:rPr>
          <w:color w:val="000000" w:themeColor="text1"/>
          <w:vertAlign w:val="subscript"/>
        </w:rPr>
        <w:t>Plastics</w:t>
      </w:r>
      <w:proofErr w:type="spellEnd"/>
      <w:r w:rsidR="00256D6D" w:rsidRPr="00FF1AEA">
        <w:rPr>
          <w:color w:val="000000" w:themeColor="text1"/>
        </w:rPr>
        <w:t xml:space="preserve">, which represents a better plastic recycling path. The graph also identifies any potential burden shift between GHG reduction and carbon resource circulation. We show that although circulating recycles are inferior to waste to energy in terms of GHG emission reduction, they have an advantage in contributing to carbon resource circulation. This result can be attributed to the fact that catalytic cracking and MR can convert waste plastics into chemical feedstocks and plastic resins on a material-to-material basis when compared to other recycling technologies. When we consider scenarios that move the plot to the upper </w:t>
      </w:r>
      <w:r w:rsidR="00A660DD" w:rsidRPr="00FF1AEA">
        <w:rPr>
          <w:color w:val="000000" w:themeColor="text1"/>
        </w:rPr>
        <w:t>right, the results are</w:t>
      </w:r>
      <w:r w:rsidR="00256D6D" w:rsidRPr="00FF1AEA">
        <w:rPr>
          <w:color w:val="000000" w:themeColor="text1"/>
        </w:rPr>
        <w:t xml:space="preserve"> calculated under the assumption that energy sources for all recycles are fossil-derived, so if renewable energy resources can replace these, the plot can move to the right. In other words, there are other ways to increase GHG emission reductions besides implementing the recycling process itself. In addition, to move the plot upward, it is important to introduce recycling technologies like catalytic cracking and MR. Therefore, in the context of carbon resource circulation, it is essential to promote the implementation and introduction of such recycling technologies. </w:t>
      </w:r>
      <w:r w:rsidR="00A660DD" w:rsidRPr="00FF1AEA">
        <w:rPr>
          <w:color w:val="000000" w:themeColor="text1"/>
        </w:rPr>
        <w:t>Another important aspect is that the arrangement of these plots also changes depending on the composition of the waste plastics. In this figure, the composition of waste plastics was determined based on the current composition in Japan, and the results were calculated under the condition that all technologies process waste plastics with this composition. This was done to</w:t>
      </w:r>
      <w:r w:rsidR="00256D6D" w:rsidRPr="00FF1AEA">
        <w:rPr>
          <w:color w:val="000000" w:themeColor="text1"/>
        </w:rPr>
        <w:t xml:space="preserve"> standardize the processing conditions for comparison of multiple recycling technologies. In the future, when we consider the strict introduction of these recycling processes, it would be useful to analyze what kind of condition or composition of waste plastics can be collected and </w:t>
      </w:r>
      <w:r w:rsidR="00A660DD" w:rsidRPr="00FF1AEA">
        <w:rPr>
          <w:color w:val="000000" w:themeColor="text1"/>
        </w:rPr>
        <w:t>sorted for a more precise evaluation.</w:t>
      </w:r>
    </w:p>
    <w:p w14:paraId="2AFE1AEE" w14:textId="27217072" w:rsidR="002C532C" w:rsidRDefault="002C532C" w:rsidP="002C532C">
      <w:pPr>
        <w:pStyle w:val="Els-body-text"/>
        <w:keepNext/>
        <w:jc w:val="center"/>
      </w:pPr>
      <w:r w:rsidRPr="002C532C">
        <w:rPr>
          <w:noProof/>
        </w:rPr>
        <w:drawing>
          <wp:inline distT="0" distB="0" distL="0" distR="0" wp14:anchorId="15329E22" wp14:editId="45382E92">
            <wp:extent cx="3188043" cy="2406650"/>
            <wp:effectExtent l="0" t="0" r="0" b="0"/>
            <wp:docPr id="163244444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0911" cy="2514501"/>
                    </a:xfrm>
                    <a:prstGeom prst="rect">
                      <a:avLst/>
                    </a:prstGeom>
                    <a:noFill/>
                    <a:ln>
                      <a:noFill/>
                    </a:ln>
                  </pic:spPr>
                </pic:pic>
              </a:graphicData>
            </a:graphic>
          </wp:inline>
        </w:drawing>
      </w:r>
    </w:p>
    <w:p w14:paraId="0FF9FBE2" w14:textId="232C86B9" w:rsidR="002C532C" w:rsidRPr="003E79E0" w:rsidRDefault="002C532C" w:rsidP="003E79E0">
      <w:pPr>
        <w:pStyle w:val="Els-caption"/>
      </w:pPr>
      <w:r w:rsidRPr="003E79E0">
        <w:t xml:space="preserve">Figure </w:t>
      </w:r>
      <w:r w:rsidRPr="003E79E0">
        <w:fldChar w:fldCharType="begin"/>
      </w:r>
      <w:r w:rsidRPr="003E79E0">
        <w:instrText xml:space="preserve"> SEQ Figure \* ARABIC </w:instrText>
      </w:r>
      <w:r w:rsidRPr="003E79E0">
        <w:fldChar w:fldCharType="separate"/>
      </w:r>
      <w:r w:rsidR="00467F5F">
        <w:rPr>
          <w:noProof/>
        </w:rPr>
        <w:t>3</w:t>
      </w:r>
      <w:r w:rsidRPr="003E79E0">
        <w:fldChar w:fldCharType="end"/>
      </w:r>
      <w:r w:rsidRPr="003E79E0">
        <w:t xml:space="preserve"> Results based on carbon resource circularity and GHG emission </w:t>
      </w:r>
      <w:proofErr w:type="gramStart"/>
      <w:r w:rsidRPr="003E79E0">
        <w:t>reduction</w:t>
      </w:r>
      <w:r w:rsidR="00F515E7">
        <w:t>s</w:t>
      </w:r>
      <w:proofErr w:type="gramEnd"/>
    </w:p>
    <w:p w14:paraId="144DE6A5" w14:textId="34825E57" w:rsidR="008D2649" w:rsidRDefault="00F173F3" w:rsidP="008D2649">
      <w:pPr>
        <w:pStyle w:val="Els-1storder-head"/>
        <w:spacing w:after="120"/>
        <w:rPr>
          <w:lang w:val="en-GB"/>
        </w:rPr>
      </w:pPr>
      <w:r>
        <w:rPr>
          <w:lang w:val="en-GB"/>
        </w:rPr>
        <w:t>Conclusions</w:t>
      </w:r>
    </w:p>
    <w:p w14:paraId="6B74B124" w14:textId="22B1FBDB" w:rsidR="00E2146F" w:rsidRDefault="00454E04" w:rsidP="00AC3996">
      <w:pPr>
        <w:pStyle w:val="Els-body-text"/>
      </w:pPr>
      <w:r>
        <w:rPr>
          <w:rFonts w:hint="eastAsia"/>
        </w:rPr>
        <w:t>In this study,</w:t>
      </w:r>
      <w:r>
        <w:t xml:space="preserve"> </w:t>
      </w:r>
      <w:r w:rsidR="00521707">
        <w:t>t</w:t>
      </w:r>
      <w:r w:rsidR="00521707" w:rsidRPr="00521707">
        <w:t xml:space="preserve">he model that linked </w:t>
      </w:r>
      <w:r w:rsidR="00BD68B0">
        <w:t xml:space="preserve">the </w:t>
      </w:r>
      <w:r w:rsidR="00521707" w:rsidRPr="00521707">
        <w:t xml:space="preserve">process flow based on existing refineries with </w:t>
      </w:r>
      <w:r w:rsidR="00BD68B0">
        <w:t>the</w:t>
      </w:r>
      <w:r w:rsidR="00521707" w:rsidRPr="00521707">
        <w:t xml:space="preserve"> </w:t>
      </w:r>
      <w:r w:rsidR="00521707" w:rsidRPr="00FF1AEA">
        <w:rPr>
          <w:color w:val="000000" w:themeColor="text1"/>
        </w:rPr>
        <w:t xml:space="preserve">process flow of multiple recycling processes was constructed. In addition, </w:t>
      </w:r>
      <w:proofErr w:type="spellStart"/>
      <w:r w:rsidR="00521707" w:rsidRPr="00FF1AEA">
        <w:rPr>
          <w:color w:val="000000" w:themeColor="text1"/>
        </w:rPr>
        <w:t>RSCI</w:t>
      </w:r>
      <w:r w:rsidR="00521707" w:rsidRPr="00FF1AEA">
        <w:rPr>
          <w:color w:val="000000" w:themeColor="text1"/>
          <w:vertAlign w:val="subscript"/>
        </w:rPr>
        <w:t>Plastics</w:t>
      </w:r>
      <w:proofErr w:type="spellEnd"/>
      <w:r w:rsidR="00521707" w:rsidRPr="00FF1AEA">
        <w:rPr>
          <w:color w:val="000000" w:themeColor="text1"/>
        </w:rPr>
        <w:t xml:space="preserve">, </w:t>
      </w:r>
      <w:r w:rsidR="00A660DD" w:rsidRPr="00FF1AEA">
        <w:rPr>
          <w:color w:val="000000" w:themeColor="text1"/>
        </w:rPr>
        <w:t xml:space="preserve">an indicator for evaluating the impact </w:t>
      </w:r>
      <w:r w:rsidR="00521707" w:rsidRPr="00FF1AEA">
        <w:rPr>
          <w:color w:val="000000" w:themeColor="text1"/>
        </w:rPr>
        <w:t xml:space="preserve">of introducing </w:t>
      </w:r>
      <w:r w:rsidR="007C3B42" w:rsidRPr="00FF1AEA">
        <w:rPr>
          <w:color w:val="000000" w:themeColor="text1"/>
        </w:rPr>
        <w:t xml:space="preserve">a </w:t>
      </w:r>
      <w:r w:rsidR="00521707" w:rsidRPr="00FF1AEA">
        <w:rPr>
          <w:color w:val="000000" w:themeColor="text1"/>
        </w:rPr>
        <w:t xml:space="preserve">recycling </w:t>
      </w:r>
      <w:r w:rsidR="007C3B42" w:rsidRPr="00FF1AEA">
        <w:rPr>
          <w:color w:val="000000" w:themeColor="text1"/>
        </w:rPr>
        <w:t xml:space="preserve">technology </w:t>
      </w:r>
      <w:r w:rsidR="00521707" w:rsidRPr="00FF1AEA">
        <w:rPr>
          <w:color w:val="000000" w:themeColor="text1"/>
        </w:rPr>
        <w:t xml:space="preserve">from the </w:t>
      </w:r>
      <w:r w:rsidR="00521707" w:rsidRPr="00FF1AEA">
        <w:rPr>
          <w:color w:val="000000" w:themeColor="text1"/>
        </w:rPr>
        <w:lastRenderedPageBreak/>
        <w:t>perspective of carbon resource circulation, was developed.</w:t>
      </w:r>
      <w:r w:rsidR="00AC3996" w:rsidRPr="00FF1AEA">
        <w:rPr>
          <w:color w:val="000000" w:themeColor="text1"/>
        </w:rPr>
        <w:t xml:space="preserve"> As a result, we confirmed the impact of introducing </w:t>
      </w:r>
      <w:r w:rsidR="00B43CA2" w:rsidRPr="00FF1AEA">
        <w:rPr>
          <w:color w:val="000000" w:themeColor="text1"/>
        </w:rPr>
        <w:t xml:space="preserve">recycling </w:t>
      </w:r>
      <w:r w:rsidR="00AC3996" w:rsidRPr="00FF1AEA">
        <w:rPr>
          <w:color w:val="000000" w:themeColor="text1"/>
        </w:rPr>
        <w:t xml:space="preserve">in terms of not only GHG emission reduction, but also its contribution to resource circularity. </w:t>
      </w:r>
      <w:r w:rsidR="00BD68B0" w:rsidRPr="00FF1AEA">
        <w:rPr>
          <w:color w:val="000000" w:themeColor="text1"/>
        </w:rPr>
        <w:t xml:space="preserve">It </w:t>
      </w:r>
      <w:r w:rsidR="00E642D5" w:rsidRPr="00FF1AEA">
        <w:rPr>
          <w:color w:val="000000" w:themeColor="text1"/>
        </w:rPr>
        <w:t>shows</w:t>
      </w:r>
      <w:r w:rsidR="00BD68B0" w:rsidRPr="00FF1AEA">
        <w:rPr>
          <w:color w:val="000000" w:themeColor="text1"/>
        </w:rPr>
        <w:t xml:space="preserve"> </w:t>
      </w:r>
      <w:r w:rsidR="0095676E" w:rsidRPr="00FF1AEA">
        <w:rPr>
          <w:color w:val="000000" w:themeColor="text1"/>
        </w:rPr>
        <w:t xml:space="preserve">the </w:t>
      </w:r>
      <w:r w:rsidR="00BD68B0" w:rsidRPr="00FF1AEA">
        <w:rPr>
          <w:color w:val="000000" w:themeColor="text1"/>
        </w:rPr>
        <w:t>importan</w:t>
      </w:r>
      <w:r w:rsidR="0095676E" w:rsidRPr="00FF1AEA">
        <w:rPr>
          <w:color w:val="000000" w:themeColor="text1"/>
        </w:rPr>
        <w:t>ce</w:t>
      </w:r>
      <w:r w:rsidR="00BD68B0" w:rsidRPr="00FF1AEA">
        <w:rPr>
          <w:color w:val="000000" w:themeColor="text1"/>
        </w:rPr>
        <w:t xml:space="preserve"> </w:t>
      </w:r>
      <w:r w:rsidR="0095676E" w:rsidRPr="00FF1AEA">
        <w:rPr>
          <w:color w:val="000000" w:themeColor="text1"/>
        </w:rPr>
        <w:t>of increasing</w:t>
      </w:r>
      <w:r w:rsidR="00BD68B0" w:rsidRPr="00FF1AEA">
        <w:rPr>
          <w:color w:val="000000" w:themeColor="text1"/>
        </w:rPr>
        <w:t xml:space="preserve"> the amount of waste plastics treated by catalytic cracking and </w:t>
      </w:r>
      <w:r w:rsidR="00A660DD" w:rsidRPr="00FF1AEA">
        <w:rPr>
          <w:color w:val="000000" w:themeColor="text1"/>
        </w:rPr>
        <w:t>MR in promoting carbon resource circulation. However, because the evaluation results</w:t>
      </w:r>
      <w:r w:rsidR="00BD68B0" w:rsidRPr="00FF1AEA">
        <w:rPr>
          <w:color w:val="000000" w:themeColor="text1"/>
        </w:rPr>
        <w:t xml:space="preserve"> are highly dependent on the state and composition of waste plastics, it is also essential to set up multiple scenarios that take these factors into account in detail. In the future, we need to clarify the supply and composition of waste plastics by material flow analysis and proceed to set up multiple scenarios. </w:t>
      </w:r>
      <w:r w:rsidR="00A660DD" w:rsidRPr="00FF1AEA">
        <w:rPr>
          <w:color w:val="000000" w:themeColor="text1"/>
        </w:rPr>
        <w:t xml:space="preserve">Also, </w:t>
      </w:r>
      <w:proofErr w:type="spellStart"/>
      <w:r w:rsidR="00A660DD" w:rsidRPr="00FF1AEA">
        <w:rPr>
          <w:color w:val="000000" w:themeColor="text1"/>
        </w:rPr>
        <w:t>RSCI</w:t>
      </w:r>
      <w:r w:rsidR="00A660DD" w:rsidRPr="00FF1AEA">
        <w:rPr>
          <w:color w:val="000000" w:themeColor="text1"/>
          <w:vertAlign w:val="subscript"/>
        </w:rPr>
        <w:t>Plastics</w:t>
      </w:r>
      <w:proofErr w:type="spellEnd"/>
      <w:r w:rsidR="00A660DD" w:rsidRPr="00FF1AEA">
        <w:rPr>
          <w:color w:val="000000" w:themeColor="text1"/>
        </w:rPr>
        <w:t xml:space="preserve"> does not take into consideration the quality of plastic resins. Therefore, in future studies it would be preferable to identify the destination products of plastic resins and incorporate parameters that indicate changes into physical properties.</w:t>
      </w:r>
    </w:p>
    <w:p w14:paraId="5F26D870" w14:textId="0E06E2E6" w:rsidR="008B624A" w:rsidRDefault="00B84632" w:rsidP="00BE3468">
      <w:pPr>
        <w:pStyle w:val="Els-1storder-head"/>
        <w:numPr>
          <w:ilvl w:val="0"/>
          <w:numId w:val="0"/>
        </w:numPr>
        <w:spacing w:after="120"/>
        <w:rPr>
          <w:lang w:val="en-GB" w:eastAsia="ja-JP"/>
        </w:rPr>
      </w:pPr>
      <w:r>
        <w:rPr>
          <w:lang w:val="en-GB" w:eastAsia="ja-JP"/>
        </w:rPr>
        <w:t>Acknowledgement</w:t>
      </w:r>
    </w:p>
    <w:p w14:paraId="1DE96990" w14:textId="3F9B6634" w:rsidR="00BE3468" w:rsidRPr="00BE3468" w:rsidRDefault="00256D6D" w:rsidP="00256D6D">
      <w:pPr>
        <w:pStyle w:val="Els-body-text"/>
      </w:pPr>
      <w:r>
        <w:rPr>
          <w:lang w:eastAsia="ja-JP"/>
        </w:rPr>
        <w:t xml:space="preserve">This work </w:t>
      </w:r>
      <w:r w:rsidR="003416E0">
        <w:rPr>
          <w:lang w:eastAsia="ja-JP"/>
        </w:rPr>
        <w:t xml:space="preserve">contains the results of projects </w:t>
      </w:r>
      <w:r>
        <w:rPr>
          <w:lang w:eastAsia="ja-JP"/>
        </w:rPr>
        <w:t>supported by New Energy and Industrial Technology Development</w:t>
      </w:r>
      <w:r w:rsidR="003416E0">
        <w:rPr>
          <w:lang w:eastAsia="ja-JP"/>
        </w:rPr>
        <w:t xml:space="preserve"> </w:t>
      </w:r>
      <w:r>
        <w:rPr>
          <w:lang w:eastAsia="ja-JP"/>
        </w:rPr>
        <w:t>Organization (NEDO, Grant number JPNP20012)</w:t>
      </w:r>
      <w:r w:rsidR="003416E0">
        <w:rPr>
          <w:lang w:eastAsia="ja-JP"/>
        </w:rPr>
        <w:t xml:space="preserve">, </w:t>
      </w:r>
      <w:r w:rsidR="00BE3468">
        <w:rPr>
          <w:lang w:val="en-GB"/>
        </w:rPr>
        <w:t xml:space="preserve">JST COI-NEXT </w:t>
      </w:r>
      <w:r w:rsidR="00BE3468" w:rsidRPr="009D45E1">
        <w:rPr>
          <w:lang w:val="en-GB"/>
        </w:rPr>
        <w:t>JPMJPF2003</w:t>
      </w:r>
      <w:r w:rsidR="00BE3468" w:rsidRPr="00ED4F6C">
        <w:rPr>
          <w:lang w:val="en-GB"/>
        </w:rPr>
        <w:t xml:space="preserve">. Activities of the Presidential Endowed Chair for </w:t>
      </w:r>
      <w:r w:rsidR="00A96316">
        <w:rPr>
          <w:lang w:val="en-GB"/>
        </w:rPr>
        <w:t>"</w:t>
      </w:r>
      <w:r w:rsidR="00BE3468" w:rsidRPr="00ED4F6C">
        <w:rPr>
          <w:lang w:val="en-GB"/>
        </w:rPr>
        <w:t>Platinum Society</w:t>
      </w:r>
      <w:r w:rsidR="00A96316">
        <w:rPr>
          <w:lang w:val="en-GB"/>
        </w:rPr>
        <w:t>"</w:t>
      </w:r>
      <w:r w:rsidR="00A96316" w:rsidRPr="00ED4F6C">
        <w:rPr>
          <w:lang w:val="en-GB"/>
        </w:rPr>
        <w:t xml:space="preserve"> </w:t>
      </w:r>
      <w:r w:rsidR="00BE3468" w:rsidRPr="00ED4F6C">
        <w:rPr>
          <w:lang w:val="en-GB"/>
        </w:rPr>
        <w:t>at the University of Tokyo are supported by Mitsui Fudosan Corporation, Sekisui House, Ltd., the East Japan Railway Company, and Toyota Tsusho Corporation.</w:t>
      </w:r>
    </w:p>
    <w:p w14:paraId="10FB143E" w14:textId="77777777" w:rsidR="008B624A" w:rsidRDefault="008B624A" w:rsidP="008B624A">
      <w:pPr>
        <w:pStyle w:val="Els-reference-head"/>
      </w:pPr>
      <w:r>
        <w:t>References</w:t>
      </w:r>
    </w:p>
    <w:p w14:paraId="47A633A4" w14:textId="65F24265" w:rsidR="00564E44" w:rsidRDefault="008A58A7" w:rsidP="00E85BD2">
      <w:pPr>
        <w:pStyle w:val="Els-referenceno-number"/>
        <w:rPr>
          <w:lang w:val="en-US" w:eastAsia="ja-JP"/>
        </w:rPr>
      </w:pPr>
      <w:r w:rsidRPr="008A58A7">
        <w:rPr>
          <w:lang w:val="en-US" w:eastAsia="ja-JP"/>
        </w:rPr>
        <w:t>Japan Initiative for Marine Environment</w:t>
      </w:r>
      <w:r>
        <w:rPr>
          <w:lang w:val="en-US" w:eastAsia="ja-JP"/>
        </w:rPr>
        <w:t xml:space="preserve"> (</w:t>
      </w:r>
      <w:r w:rsidR="00564E44">
        <w:rPr>
          <w:rFonts w:hint="eastAsia"/>
          <w:lang w:val="en-US" w:eastAsia="ja-JP"/>
        </w:rPr>
        <w:t>J</w:t>
      </w:r>
      <w:r w:rsidR="00564E44">
        <w:rPr>
          <w:lang w:val="en-US" w:eastAsia="ja-JP"/>
        </w:rPr>
        <w:t>aIME</w:t>
      </w:r>
      <w:r>
        <w:rPr>
          <w:lang w:val="en-US" w:eastAsia="ja-JP"/>
        </w:rPr>
        <w:t xml:space="preserve">), </w:t>
      </w:r>
      <w:r w:rsidR="00564E44">
        <w:rPr>
          <w:lang w:val="en-US" w:eastAsia="ja-JP"/>
        </w:rPr>
        <w:t xml:space="preserve">2022, </w:t>
      </w:r>
      <w:r w:rsidR="00564E44" w:rsidRPr="00EA424E">
        <w:rPr>
          <w:lang w:val="en-US"/>
        </w:rPr>
        <w:t>Life cycle assessment</w:t>
      </w:r>
      <w:r w:rsidR="00564E44" w:rsidRPr="00564E44">
        <w:rPr>
          <w:lang w:val="en-US" w:eastAsia="ja-JP"/>
        </w:rPr>
        <w:t xml:space="preserve"> </w:t>
      </w:r>
      <w:r w:rsidR="00564E44">
        <w:rPr>
          <w:lang w:val="en-US" w:eastAsia="ja-JP"/>
        </w:rPr>
        <w:t>of i</w:t>
      </w:r>
      <w:r w:rsidR="00564E44" w:rsidRPr="00564E44">
        <w:rPr>
          <w:lang w:val="en-US" w:eastAsia="ja-JP"/>
        </w:rPr>
        <w:t>ndustrial waste plastics</w:t>
      </w:r>
      <w:r w:rsidR="00FD1827">
        <w:rPr>
          <w:lang w:val="en-US" w:eastAsia="ja-JP"/>
        </w:rPr>
        <w:t xml:space="preserve">, </w:t>
      </w:r>
      <w:r w:rsidR="0010677D" w:rsidRPr="0010677D">
        <w:rPr>
          <w:rFonts w:hint="eastAsia"/>
          <w:lang w:val="en-US" w:eastAsia="ja-JP"/>
        </w:rPr>
        <w:t>https://www.nikkakyo.org/system/files/</w:t>
      </w:r>
      <w:r w:rsidR="0010677D" w:rsidRPr="0010677D">
        <w:rPr>
          <w:rFonts w:hint="eastAsia"/>
          <w:lang w:val="en-US" w:eastAsia="ja-JP"/>
        </w:rPr>
        <w:t>産業系廃プラスチックの環境負荷評価（</w:t>
      </w:r>
      <w:r w:rsidR="0010677D" w:rsidRPr="0010677D">
        <w:rPr>
          <w:rFonts w:hint="eastAsia"/>
          <w:lang w:val="en-US" w:eastAsia="ja-JP"/>
        </w:rPr>
        <w:t>LCA</w:t>
      </w:r>
      <w:r w:rsidR="0010677D" w:rsidRPr="0010677D">
        <w:rPr>
          <w:rFonts w:hint="eastAsia"/>
          <w:lang w:val="en-US" w:eastAsia="ja-JP"/>
        </w:rPr>
        <w:t>）</w:t>
      </w:r>
      <w:r w:rsidR="0010677D" w:rsidRPr="0010677D">
        <w:rPr>
          <w:rFonts w:hint="eastAsia"/>
          <w:lang w:val="en-US" w:eastAsia="ja-JP"/>
        </w:rPr>
        <w:t>_0.pdf</w:t>
      </w:r>
    </w:p>
    <w:p w14:paraId="4A5A682D" w14:textId="53851D49" w:rsidR="00874EDD" w:rsidRPr="00874EDD" w:rsidRDefault="00874EDD" w:rsidP="00874EDD">
      <w:pPr>
        <w:pStyle w:val="Els-referenceno-number"/>
        <w:rPr>
          <w:lang w:val="en-US" w:eastAsia="ja-JP"/>
        </w:rPr>
      </w:pPr>
      <w:r w:rsidRPr="00874EDD">
        <w:rPr>
          <w:lang w:val="en-US" w:eastAsia="ja-JP"/>
        </w:rPr>
        <w:t>T</w:t>
      </w:r>
      <w:r>
        <w:rPr>
          <w:lang w:val="en-US" w:eastAsia="ja-JP"/>
        </w:rPr>
        <w:t>.</w:t>
      </w:r>
      <w:r w:rsidRPr="00874EDD">
        <w:rPr>
          <w:lang w:val="en-US" w:eastAsia="ja-JP"/>
        </w:rPr>
        <w:t xml:space="preserve"> Ghosh, G</w:t>
      </w:r>
      <w:r>
        <w:rPr>
          <w:lang w:val="en-US" w:eastAsia="ja-JP"/>
        </w:rPr>
        <w:t>.</w:t>
      </w:r>
      <w:r w:rsidRPr="00874EDD">
        <w:rPr>
          <w:lang w:val="en-US" w:eastAsia="ja-JP"/>
        </w:rPr>
        <w:t xml:space="preserve"> Avery, A</w:t>
      </w:r>
      <w:r>
        <w:rPr>
          <w:lang w:val="en-US" w:eastAsia="ja-JP"/>
        </w:rPr>
        <w:t>.</w:t>
      </w:r>
      <w:r w:rsidRPr="00874EDD">
        <w:rPr>
          <w:lang w:val="en-US" w:eastAsia="ja-JP"/>
        </w:rPr>
        <w:t xml:space="preserve"> Bhatt, T</w:t>
      </w:r>
      <w:r>
        <w:rPr>
          <w:lang w:val="en-US" w:eastAsia="ja-JP"/>
        </w:rPr>
        <w:t>.</w:t>
      </w:r>
      <w:r w:rsidRPr="00874EDD">
        <w:rPr>
          <w:lang w:val="en-US" w:eastAsia="ja-JP"/>
        </w:rPr>
        <w:t xml:space="preserve"> Uekert, J</w:t>
      </w:r>
      <w:r>
        <w:rPr>
          <w:lang w:val="en-US" w:eastAsia="ja-JP"/>
        </w:rPr>
        <w:t>.</w:t>
      </w:r>
      <w:r w:rsidRPr="00874EDD">
        <w:rPr>
          <w:lang w:val="en-US" w:eastAsia="ja-JP"/>
        </w:rPr>
        <w:t xml:space="preserve"> Walzberg, A</w:t>
      </w:r>
      <w:r>
        <w:rPr>
          <w:lang w:val="en-US" w:eastAsia="ja-JP"/>
        </w:rPr>
        <w:t>.</w:t>
      </w:r>
      <w:r w:rsidRPr="00874EDD">
        <w:rPr>
          <w:lang w:val="en-US" w:eastAsia="ja-JP"/>
        </w:rPr>
        <w:t xml:space="preserve"> Carpenter</w:t>
      </w:r>
      <w:r>
        <w:rPr>
          <w:lang w:val="en-US" w:eastAsia="ja-JP"/>
        </w:rPr>
        <w:t xml:space="preserve">, 2023, </w:t>
      </w:r>
      <w:r w:rsidRPr="00874EDD">
        <w:rPr>
          <w:lang w:val="en-US" w:eastAsia="ja-JP"/>
        </w:rPr>
        <w:t>Towards a circular economy for PET bottle resin using a system dynamics</w:t>
      </w:r>
      <w:r>
        <w:rPr>
          <w:rFonts w:hint="eastAsia"/>
          <w:lang w:val="en-US" w:eastAsia="ja-JP"/>
        </w:rPr>
        <w:t xml:space="preserve"> </w:t>
      </w:r>
      <w:r w:rsidRPr="00874EDD">
        <w:rPr>
          <w:lang w:val="en-US" w:eastAsia="ja-JP"/>
        </w:rPr>
        <w:t>inspired material flow model</w:t>
      </w:r>
      <w:r>
        <w:rPr>
          <w:lang w:val="en-US" w:eastAsia="ja-JP"/>
        </w:rPr>
        <w:t xml:space="preserve">, </w:t>
      </w:r>
      <w:r w:rsidRPr="008169E0">
        <w:rPr>
          <w:lang w:val="en-US"/>
        </w:rPr>
        <w:t>J. Clean. Prod.,</w:t>
      </w:r>
      <w:r>
        <w:rPr>
          <w:lang w:val="en-US"/>
        </w:rPr>
        <w:t xml:space="preserve"> 383, 135208</w:t>
      </w:r>
    </w:p>
    <w:p w14:paraId="418D5EBD" w14:textId="27F2B0CB" w:rsidR="00E85BD2" w:rsidRDefault="00E85BD2" w:rsidP="00E85BD2">
      <w:pPr>
        <w:pStyle w:val="Els-referenceno-number"/>
        <w:rPr>
          <w:lang w:val="en-US"/>
        </w:rPr>
      </w:pPr>
      <w:r w:rsidRPr="00E85BD2">
        <w:rPr>
          <w:lang w:val="en-US"/>
        </w:rPr>
        <w:t>H</w:t>
      </w:r>
      <w:r w:rsidR="00D30B3F">
        <w:rPr>
          <w:lang w:val="en-US"/>
        </w:rPr>
        <w:t>.</w:t>
      </w:r>
      <w:r w:rsidRPr="00E85BD2">
        <w:rPr>
          <w:lang w:val="en-US"/>
        </w:rPr>
        <w:t xml:space="preserve"> Jeswani, C</w:t>
      </w:r>
      <w:r w:rsidR="00D30B3F">
        <w:rPr>
          <w:lang w:val="en-US"/>
        </w:rPr>
        <w:t>.</w:t>
      </w:r>
      <w:r w:rsidRPr="00E85BD2">
        <w:rPr>
          <w:lang w:val="en-US"/>
        </w:rPr>
        <w:t xml:space="preserve"> Krüger, M</w:t>
      </w:r>
      <w:r w:rsidR="00D30B3F">
        <w:rPr>
          <w:lang w:val="en-US"/>
        </w:rPr>
        <w:t>.</w:t>
      </w:r>
      <w:r w:rsidRPr="00E85BD2">
        <w:rPr>
          <w:lang w:val="en-US"/>
        </w:rPr>
        <w:t xml:space="preserve"> Russ, M</w:t>
      </w:r>
      <w:r w:rsidR="00D30B3F">
        <w:rPr>
          <w:lang w:val="en-US"/>
        </w:rPr>
        <w:t>.</w:t>
      </w:r>
      <w:r w:rsidRPr="00E85BD2">
        <w:rPr>
          <w:lang w:val="en-US"/>
        </w:rPr>
        <w:t xml:space="preserve"> Horlacher, F</w:t>
      </w:r>
      <w:r w:rsidR="00D30B3F">
        <w:rPr>
          <w:lang w:val="en-US"/>
        </w:rPr>
        <w:t>.</w:t>
      </w:r>
      <w:r w:rsidRPr="00E85BD2">
        <w:rPr>
          <w:lang w:val="en-US"/>
        </w:rPr>
        <w:t xml:space="preserve"> Antony,</w:t>
      </w:r>
      <w:r>
        <w:rPr>
          <w:rFonts w:hint="eastAsia"/>
          <w:lang w:val="en-US" w:eastAsia="ja-JP"/>
        </w:rPr>
        <w:t xml:space="preserve"> </w:t>
      </w:r>
      <w:r w:rsidRPr="00E85BD2">
        <w:rPr>
          <w:lang w:val="en-US"/>
        </w:rPr>
        <w:t>S</w:t>
      </w:r>
      <w:r w:rsidR="00D30B3F">
        <w:rPr>
          <w:lang w:val="en-US"/>
        </w:rPr>
        <w:t>.</w:t>
      </w:r>
      <w:r w:rsidRPr="00E85BD2">
        <w:rPr>
          <w:lang w:val="en-US"/>
        </w:rPr>
        <w:t xml:space="preserve"> Hann, A</w:t>
      </w:r>
      <w:r w:rsidR="00D30B3F">
        <w:rPr>
          <w:lang w:val="en-US"/>
        </w:rPr>
        <w:t>.</w:t>
      </w:r>
      <w:r w:rsidRPr="00E85BD2">
        <w:rPr>
          <w:lang w:val="en-US"/>
        </w:rPr>
        <w:t xml:space="preserve"> Azapagic</w:t>
      </w:r>
      <w:r>
        <w:rPr>
          <w:lang w:val="en-US"/>
        </w:rPr>
        <w:t xml:space="preserve">, 2021, </w:t>
      </w:r>
      <w:r w:rsidRPr="00E85BD2">
        <w:rPr>
          <w:lang w:val="en-US"/>
        </w:rPr>
        <w:t>Life cycle environmental impacts of chemical recycling via pyrolysis of</w:t>
      </w:r>
      <w:r>
        <w:rPr>
          <w:rFonts w:hint="eastAsia"/>
          <w:lang w:val="en-US" w:eastAsia="ja-JP"/>
        </w:rPr>
        <w:t xml:space="preserve"> </w:t>
      </w:r>
      <w:r w:rsidRPr="00E85BD2">
        <w:rPr>
          <w:lang w:val="en-US"/>
        </w:rPr>
        <w:t>mixed plastic waste in comparison with mechanical recycling and</w:t>
      </w:r>
      <w:r>
        <w:rPr>
          <w:rFonts w:hint="eastAsia"/>
          <w:lang w:val="en-US" w:eastAsia="ja-JP"/>
        </w:rPr>
        <w:t xml:space="preserve"> </w:t>
      </w:r>
      <w:r w:rsidRPr="00E85BD2">
        <w:rPr>
          <w:lang w:val="en-US"/>
        </w:rPr>
        <w:t>energy recovery</w:t>
      </w:r>
      <w:r>
        <w:rPr>
          <w:lang w:val="en-US"/>
        </w:rPr>
        <w:t xml:space="preserve">, </w:t>
      </w:r>
      <w:r w:rsidRPr="00E85BD2">
        <w:rPr>
          <w:lang w:val="en-US"/>
        </w:rPr>
        <w:t>Science of the Total Envir</w:t>
      </w:r>
      <w:r>
        <w:rPr>
          <w:lang w:val="en-US"/>
        </w:rPr>
        <w:t xml:space="preserve">., </w:t>
      </w:r>
      <w:r w:rsidRPr="00E85BD2">
        <w:rPr>
          <w:lang w:val="en-US"/>
        </w:rPr>
        <w:t>769</w:t>
      </w:r>
      <w:r>
        <w:rPr>
          <w:lang w:val="en-US"/>
        </w:rPr>
        <w:t xml:space="preserve">, </w:t>
      </w:r>
      <w:r w:rsidRPr="00E85BD2">
        <w:rPr>
          <w:lang w:val="en-US"/>
        </w:rPr>
        <w:t>144483</w:t>
      </w:r>
    </w:p>
    <w:p w14:paraId="1997B889" w14:textId="3775E197" w:rsidR="003B256E" w:rsidRDefault="003B256E" w:rsidP="003B256E">
      <w:pPr>
        <w:pStyle w:val="Els-referenceno-number"/>
        <w:rPr>
          <w:lang w:val="en-US"/>
        </w:rPr>
      </w:pPr>
      <w:r>
        <w:rPr>
          <w:lang w:val="en-US"/>
        </w:rPr>
        <w:t xml:space="preserve">F. </w:t>
      </w:r>
      <w:r w:rsidRPr="00EA424E">
        <w:rPr>
          <w:lang w:val="en-US"/>
        </w:rPr>
        <w:t xml:space="preserve">Keller, </w:t>
      </w:r>
      <w:r>
        <w:rPr>
          <w:lang w:val="en-US"/>
        </w:rPr>
        <w:t xml:space="preserve">R.L. </w:t>
      </w:r>
      <w:r w:rsidRPr="00EA424E">
        <w:rPr>
          <w:lang w:val="en-US"/>
        </w:rPr>
        <w:t xml:space="preserve">Voss, </w:t>
      </w:r>
      <w:r>
        <w:rPr>
          <w:lang w:val="en-US"/>
        </w:rPr>
        <w:t>R.P.</w:t>
      </w:r>
      <w:r w:rsidRPr="00EA424E">
        <w:rPr>
          <w:lang w:val="en-US"/>
        </w:rPr>
        <w:t xml:space="preserve"> Lee, </w:t>
      </w:r>
      <w:r>
        <w:rPr>
          <w:lang w:val="en-US"/>
        </w:rPr>
        <w:t>B.</w:t>
      </w:r>
      <w:r w:rsidRPr="00EA424E">
        <w:rPr>
          <w:lang w:val="en-US"/>
        </w:rPr>
        <w:t xml:space="preserve"> Meyer, </w:t>
      </w:r>
      <w:r>
        <w:rPr>
          <w:lang w:val="en-US"/>
        </w:rPr>
        <w:t xml:space="preserve">2022, </w:t>
      </w:r>
      <w:r w:rsidRPr="00EA424E">
        <w:rPr>
          <w:lang w:val="en-US"/>
        </w:rPr>
        <w:t>Life cycle assessment of global warming potential of feedstock recycling technologies: Case study of waste gasification and pyrolysis in an integrated inventory model for waste treatment and chemical production in Germany</w:t>
      </w:r>
      <w:r>
        <w:rPr>
          <w:lang w:val="en-US"/>
        </w:rPr>
        <w:t>,</w:t>
      </w:r>
      <w:r w:rsidRPr="00EA424E">
        <w:rPr>
          <w:lang w:val="en-US"/>
        </w:rPr>
        <w:t xml:space="preserve"> Resour. Conserv. Recycl. 179, 106106 </w:t>
      </w:r>
    </w:p>
    <w:p w14:paraId="2D84E814" w14:textId="72313CE8" w:rsidR="003B256E" w:rsidRDefault="003B256E" w:rsidP="00E85BD2">
      <w:pPr>
        <w:pStyle w:val="Els-referenceno-number"/>
      </w:pPr>
      <w:r>
        <w:t>Y</w:t>
      </w:r>
      <w:r w:rsidR="00FD1827">
        <w:t>.</w:t>
      </w:r>
      <w:r>
        <w:t xml:space="preserve"> Kikuchi, Y</w:t>
      </w:r>
      <w:r w:rsidR="00FD1827">
        <w:t>.</w:t>
      </w:r>
      <w:r>
        <w:t xml:space="preserve"> Nomura,</w:t>
      </w:r>
      <w:r>
        <w:rPr>
          <w:vertAlign w:val="superscript"/>
        </w:rPr>
        <w:t xml:space="preserve"> </w:t>
      </w:r>
      <w:r>
        <w:t>T</w:t>
      </w:r>
      <w:r w:rsidR="00FD1827">
        <w:t>.</w:t>
      </w:r>
      <w:r>
        <w:t xml:space="preserve"> Nakamura,</w:t>
      </w:r>
      <w:r>
        <w:rPr>
          <w:vertAlign w:val="superscript"/>
        </w:rPr>
        <w:t xml:space="preserve"> </w:t>
      </w:r>
      <w:r>
        <w:t>S</w:t>
      </w:r>
      <w:r w:rsidR="00FD1827">
        <w:t>.</w:t>
      </w:r>
      <w:r>
        <w:t xml:space="preserve"> Fujii, A</w:t>
      </w:r>
      <w:r w:rsidR="00FD1827">
        <w:t>.</w:t>
      </w:r>
      <w:r>
        <w:t xml:space="preserve"> Heiho,</w:t>
      </w:r>
      <w:r>
        <w:rPr>
          <w:vertAlign w:val="superscript"/>
        </w:rPr>
        <w:t xml:space="preserve"> </w:t>
      </w:r>
      <w:r>
        <w:t>Y</w:t>
      </w:r>
      <w:r w:rsidR="00FD1827">
        <w:t>.</w:t>
      </w:r>
      <w:r>
        <w:t xml:space="preserve"> Kanematsu, 2023, </w:t>
      </w:r>
      <w:r w:rsidRPr="003B256E">
        <w:t>Application of CAPE Tools into Prospective Life Cycle Assessment: A Case Study in Feedstock Recycling of Waste Plastics</w:t>
      </w:r>
      <w:r>
        <w:t>, Comput</w:t>
      </w:r>
      <w:r w:rsidR="00FD1827">
        <w:t xml:space="preserve">. </w:t>
      </w:r>
      <w:r>
        <w:t>Aided Chem</w:t>
      </w:r>
      <w:r w:rsidR="00FD1827">
        <w:t>.</w:t>
      </w:r>
      <w:r>
        <w:t xml:space="preserve"> Eng</w:t>
      </w:r>
      <w:r w:rsidR="00FD1827">
        <w:t>.</w:t>
      </w:r>
      <w:r>
        <w:t>, 52, 2477-2482</w:t>
      </w:r>
    </w:p>
    <w:p w14:paraId="0A9BFD99" w14:textId="63046919" w:rsidR="00E85BD2" w:rsidRDefault="00E85BD2" w:rsidP="00E85BD2">
      <w:pPr>
        <w:pStyle w:val="Els-referenceno-number"/>
        <w:rPr>
          <w:lang w:val="en-US"/>
        </w:rPr>
      </w:pPr>
      <w:r w:rsidRPr="00E85BD2">
        <w:rPr>
          <w:lang w:val="en-US"/>
        </w:rPr>
        <w:t>I</w:t>
      </w:r>
      <w:r w:rsidR="00D30B3F">
        <w:rPr>
          <w:lang w:val="en-US"/>
        </w:rPr>
        <w:t>.</w:t>
      </w:r>
      <w:r w:rsidRPr="00E85BD2">
        <w:rPr>
          <w:lang w:val="en-US"/>
        </w:rPr>
        <w:t xml:space="preserve"> S</w:t>
      </w:r>
      <w:r w:rsidR="00D30B3F">
        <w:rPr>
          <w:lang w:val="en-US"/>
        </w:rPr>
        <w:t>.</w:t>
      </w:r>
      <w:r w:rsidRPr="00E85BD2">
        <w:rPr>
          <w:lang w:val="en-US"/>
        </w:rPr>
        <w:t xml:space="preserve"> Lase, D</w:t>
      </w:r>
      <w:r w:rsidR="00D30B3F">
        <w:rPr>
          <w:lang w:val="en-US"/>
        </w:rPr>
        <w:t>.</w:t>
      </w:r>
      <w:r w:rsidRPr="00E85BD2">
        <w:rPr>
          <w:lang w:val="en-US"/>
        </w:rPr>
        <w:t xml:space="preserve"> Tonini, D</w:t>
      </w:r>
      <w:r w:rsidR="00D30B3F">
        <w:rPr>
          <w:lang w:val="en-US"/>
        </w:rPr>
        <w:t>.</w:t>
      </w:r>
      <w:r w:rsidRPr="00E85BD2">
        <w:rPr>
          <w:lang w:val="en-US"/>
        </w:rPr>
        <w:t xml:space="preserve"> Caro, P</w:t>
      </w:r>
      <w:r w:rsidR="00D30B3F">
        <w:rPr>
          <w:lang w:val="en-US"/>
        </w:rPr>
        <w:t>.</w:t>
      </w:r>
      <w:r w:rsidRPr="00E85BD2">
        <w:rPr>
          <w:lang w:val="en-US"/>
        </w:rPr>
        <w:t xml:space="preserve"> F. Albizzati, J</w:t>
      </w:r>
      <w:r w:rsidR="00D30B3F">
        <w:rPr>
          <w:lang w:val="en-US"/>
        </w:rPr>
        <w:t>.</w:t>
      </w:r>
      <w:r w:rsidRPr="00E85BD2">
        <w:rPr>
          <w:lang w:val="en-US"/>
        </w:rPr>
        <w:t xml:space="preserve"> Cristobal,</w:t>
      </w:r>
      <w:r>
        <w:rPr>
          <w:lang w:val="en-US"/>
        </w:rPr>
        <w:t xml:space="preserve"> </w:t>
      </w:r>
      <w:r w:rsidRPr="00E85BD2">
        <w:rPr>
          <w:lang w:val="en-US"/>
        </w:rPr>
        <w:t>M</w:t>
      </w:r>
      <w:r w:rsidR="00D30B3F">
        <w:rPr>
          <w:lang w:val="en-US"/>
        </w:rPr>
        <w:t>.</w:t>
      </w:r>
      <w:r w:rsidRPr="00E85BD2">
        <w:rPr>
          <w:lang w:val="en-US"/>
        </w:rPr>
        <w:t xml:space="preserve"> Roosen, M</w:t>
      </w:r>
      <w:r w:rsidR="00D30B3F">
        <w:rPr>
          <w:lang w:val="en-US"/>
        </w:rPr>
        <w:t>.</w:t>
      </w:r>
      <w:r w:rsidRPr="00E85BD2">
        <w:rPr>
          <w:lang w:val="en-US"/>
        </w:rPr>
        <w:t xml:space="preserve"> Kusenberg, K</w:t>
      </w:r>
      <w:r w:rsidR="00D30B3F">
        <w:rPr>
          <w:lang w:val="en-US"/>
        </w:rPr>
        <w:t>.</w:t>
      </w:r>
      <w:r w:rsidRPr="00E85BD2">
        <w:rPr>
          <w:lang w:val="en-US"/>
        </w:rPr>
        <w:t xml:space="preserve"> Ragaert, K</w:t>
      </w:r>
      <w:r w:rsidR="00D30B3F">
        <w:rPr>
          <w:lang w:val="en-US"/>
        </w:rPr>
        <w:t>.</w:t>
      </w:r>
      <w:r w:rsidRPr="00E85BD2">
        <w:rPr>
          <w:lang w:val="en-US"/>
        </w:rPr>
        <w:t xml:space="preserve"> M. Van Geem, J</w:t>
      </w:r>
      <w:r w:rsidR="00D30B3F">
        <w:rPr>
          <w:lang w:val="en-US"/>
        </w:rPr>
        <w:t>.</w:t>
      </w:r>
      <w:r w:rsidRPr="00E85BD2">
        <w:rPr>
          <w:lang w:val="en-US"/>
        </w:rPr>
        <w:t xml:space="preserve"> Dewulf,</w:t>
      </w:r>
      <w:r>
        <w:rPr>
          <w:rFonts w:hint="eastAsia"/>
          <w:lang w:val="en-US" w:eastAsia="ja-JP"/>
        </w:rPr>
        <w:t xml:space="preserve"> </w:t>
      </w:r>
      <w:r w:rsidRPr="00E85BD2">
        <w:rPr>
          <w:lang w:val="en-US"/>
        </w:rPr>
        <w:t>S</w:t>
      </w:r>
      <w:r w:rsidR="00D30B3F">
        <w:rPr>
          <w:lang w:val="en-US"/>
        </w:rPr>
        <w:t>.</w:t>
      </w:r>
      <w:r w:rsidRPr="00E85BD2">
        <w:rPr>
          <w:lang w:val="en-US"/>
        </w:rPr>
        <w:t xml:space="preserve"> De</w:t>
      </w:r>
      <w:r>
        <w:rPr>
          <w:lang w:val="en-US"/>
        </w:rPr>
        <w:t xml:space="preserve"> </w:t>
      </w:r>
      <w:r w:rsidRPr="00E85BD2">
        <w:rPr>
          <w:lang w:val="en-US"/>
        </w:rPr>
        <w:t>Meester</w:t>
      </w:r>
      <w:r>
        <w:rPr>
          <w:lang w:val="en-US"/>
        </w:rPr>
        <w:t xml:space="preserve">, </w:t>
      </w:r>
      <w:r w:rsidRPr="00E85BD2">
        <w:rPr>
          <w:lang w:val="en-US"/>
        </w:rPr>
        <w:t>Resour</w:t>
      </w:r>
      <w:r>
        <w:rPr>
          <w:lang w:val="en-US"/>
        </w:rPr>
        <w:t>.</w:t>
      </w:r>
      <w:r w:rsidRPr="00E85BD2">
        <w:rPr>
          <w:lang w:val="en-US"/>
        </w:rPr>
        <w:t>, Conserv</w:t>
      </w:r>
      <w:r>
        <w:rPr>
          <w:lang w:val="en-US"/>
        </w:rPr>
        <w:t>.</w:t>
      </w:r>
      <w:r w:rsidRPr="00E85BD2">
        <w:rPr>
          <w:lang w:val="en-US"/>
        </w:rPr>
        <w:t xml:space="preserve"> Recyc</w:t>
      </w:r>
      <w:r>
        <w:rPr>
          <w:lang w:val="en-US"/>
        </w:rPr>
        <w:t xml:space="preserve">l., </w:t>
      </w:r>
      <w:r w:rsidRPr="00E85BD2">
        <w:rPr>
          <w:lang w:val="en-US"/>
        </w:rPr>
        <w:t>192</w:t>
      </w:r>
      <w:r>
        <w:rPr>
          <w:lang w:val="en-US"/>
        </w:rPr>
        <w:t xml:space="preserve">, </w:t>
      </w:r>
      <w:r w:rsidRPr="00E85BD2">
        <w:rPr>
          <w:lang w:val="en-US"/>
        </w:rPr>
        <w:t>106916</w:t>
      </w:r>
    </w:p>
    <w:p w14:paraId="597F87FB" w14:textId="5EE0CF1A" w:rsidR="00564E44" w:rsidRDefault="00564E44" w:rsidP="00564E44">
      <w:pPr>
        <w:pStyle w:val="Els-referenceno-number"/>
        <w:rPr>
          <w:lang w:val="en-US"/>
        </w:rPr>
      </w:pPr>
      <w:r w:rsidRPr="00564E44">
        <w:rPr>
          <w:lang w:val="en-US"/>
        </w:rPr>
        <w:t>J</w:t>
      </w:r>
      <w:r w:rsidR="00D30B3F">
        <w:rPr>
          <w:lang w:val="en-US"/>
        </w:rPr>
        <w:t>.</w:t>
      </w:r>
      <w:r w:rsidRPr="00564E44">
        <w:rPr>
          <w:lang w:val="en-US"/>
        </w:rPr>
        <w:t xml:space="preserve"> Matos, C</w:t>
      </w:r>
      <w:r w:rsidR="00D30B3F">
        <w:rPr>
          <w:lang w:val="en-US"/>
        </w:rPr>
        <w:t>.</w:t>
      </w:r>
      <w:r w:rsidRPr="00564E44">
        <w:rPr>
          <w:lang w:val="en-US"/>
        </w:rPr>
        <w:t xml:space="preserve"> Martins, C</w:t>
      </w:r>
      <w:r w:rsidR="00D30B3F">
        <w:rPr>
          <w:lang w:val="en-US"/>
        </w:rPr>
        <w:t>.</w:t>
      </w:r>
      <w:r w:rsidRPr="00564E44">
        <w:rPr>
          <w:lang w:val="en-US"/>
        </w:rPr>
        <w:t xml:space="preserve"> L. Simoes, R</w:t>
      </w:r>
      <w:r w:rsidR="00D30B3F">
        <w:rPr>
          <w:lang w:val="en-US"/>
        </w:rPr>
        <w:t>.</w:t>
      </w:r>
      <w:r w:rsidRPr="00564E44">
        <w:rPr>
          <w:lang w:val="en-US"/>
        </w:rPr>
        <w:t xml:space="preserve"> Simoes</w:t>
      </w:r>
      <w:r>
        <w:rPr>
          <w:lang w:val="en-US"/>
        </w:rPr>
        <w:t xml:space="preserve">, 2023, </w:t>
      </w:r>
      <w:r w:rsidRPr="00564E44">
        <w:rPr>
          <w:lang w:val="en-US"/>
        </w:rPr>
        <w:t>Susta</w:t>
      </w:r>
      <w:r>
        <w:rPr>
          <w:lang w:val="en-US"/>
        </w:rPr>
        <w:t>.</w:t>
      </w:r>
      <w:r w:rsidRPr="00564E44">
        <w:rPr>
          <w:lang w:val="en-US"/>
        </w:rPr>
        <w:t xml:space="preserve"> Prod</w:t>
      </w:r>
      <w:r>
        <w:rPr>
          <w:lang w:val="en-US"/>
        </w:rPr>
        <w:t>.</w:t>
      </w:r>
      <w:r w:rsidRPr="00564E44">
        <w:rPr>
          <w:lang w:val="en-US"/>
        </w:rPr>
        <w:t xml:space="preserve"> and Cons</w:t>
      </w:r>
      <w:r>
        <w:rPr>
          <w:lang w:val="en-US"/>
        </w:rPr>
        <w:t xml:space="preserve">., </w:t>
      </w:r>
      <w:r w:rsidRPr="00564E44">
        <w:rPr>
          <w:lang w:val="en-US"/>
        </w:rPr>
        <w:t>39</w:t>
      </w:r>
      <w:r>
        <w:rPr>
          <w:lang w:val="en-US"/>
        </w:rPr>
        <w:t xml:space="preserve">, </w:t>
      </w:r>
      <w:r w:rsidRPr="00564E44">
        <w:rPr>
          <w:lang w:val="en-US"/>
        </w:rPr>
        <w:t>521–533</w:t>
      </w:r>
    </w:p>
    <w:p w14:paraId="7D861F7D" w14:textId="208554D5" w:rsidR="00BC016B" w:rsidRDefault="00BC016B" w:rsidP="008B624A">
      <w:pPr>
        <w:pStyle w:val="Els-referenceno-number"/>
        <w:rPr>
          <w:lang w:val="en-US"/>
        </w:rPr>
      </w:pPr>
      <w:r w:rsidRPr="00BC016B">
        <w:rPr>
          <w:lang w:val="en-US"/>
        </w:rPr>
        <w:t>F</w:t>
      </w:r>
      <w:r w:rsidR="00D30B3F">
        <w:rPr>
          <w:lang w:val="en-US"/>
        </w:rPr>
        <w:t>.</w:t>
      </w:r>
      <w:r w:rsidRPr="00BC016B">
        <w:rPr>
          <w:lang w:val="en-US"/>
        </w:rPr>
        <w:t xml:space="preserve"> Meng, A</w:t>
      </w:r>
      <w:r w:rsidR="00D30B3F">
        <w:rPr>
          <w:lang w:val="en-US"/>
        </w:rPr>
        <w:t>.</w:t>
      </w:r>
      <w:r w:rsidRPr="00BC016B">
        <w:rPr>
          <w:lang w:val="en-US"/>
        </w:rPr>
        <w:t xml:space="preserve"> Wagner,</w:t>
      </w:r>
      <w:r w:rsidR="0058250F">
        <w:rPr>
          <w:lang w:val="en-US"/>
        </w:rPr>
        <w:t xml:space="preserve"> </w:t>
      </w:r>
      <w:r w:rsidRPr="00BC016B">
        <w:rPr>
          <w:lang w:val="en-US"/>
        </w:rPr>
        <w:t>A</w:t>
      </w:r>
      <w:r w:rsidR="00D30B3F">
        <w:rPr>
          <w:lang w:val="en-US"/>
        </w:rPr>
        <w:t>.</w:t>
      </w:r>
      <w:r w:rsidRPr="00BC016B">
        <w:rPr>
          <w:lang w:val="en-US"/>
        </w:rPr>
        <w:t xml:space="preserve"> B. Kremer, D</w:t>
      </w:r>
      <w:r w:rsidR="00D30B3F">
        <w:rPr>
          <w:lang w:val="en-US"/>
        </w:rPr>
        <w:t>.</w:t>
      </w:r>
      <w:r w:rsidRPr="00BC016B">
        <w:rPr>
          <w:lang w:val="en-US"/>
        </w:rPr>
        <w:t xml:space="preserve"> Kanazawa, J</w:t>
      </w:r>
      <w:r w:rsidR="00D30B3F">
        <w:rPr>
          <w:lang w:val="en-US"/>
        </w:rPr>
        <w:t>.</w:t>
      </w:r>
      <w:r w:rsidRPr="00BC016B">
        <w:rPr>
          <w:lang w:val="en-US"/>
        </w:rPr>
        <w:t xml:space="preserve"> J. Leung, P</w:t>
      </w:r>
      <w:r w:rsidR="00D30B3F">
        <w:rPr>
          <w:lang w:val="en-US"/>
        </w:rPr>
        <w:t>.</w:t>
      </w:r>
      <w:r w:rsidRPr="00BC016B">
        <w:rPr>
          <w:lang w:val="en-US"/>
        </w:rPr>
        <w:t xml:space="preserve"> Goult, M</w:t>
      </w:r>
      <w:r w:rsidR="00D30B3F">
        <w:rPr>
          <w:lang w:val="en-US"/>
        </w:rPr>
        <w:t>.</w:t>
      </w:r>
      <w:r w:rsidRPr="00BC016B">
        <w:rPr>
          <w:lang w:val="en-US"/>
        </w:rPr>
        <w:t xml:space="preserve"> Guan, S</w:t>
      </w:r>
      <w:r w:rsidR="00DF0C33">
        <w:rPr>
          <w:lang w:val="en-US"/>
        </w:rPr>
        <w:t xml:space="preserve">. </w:t>
      </w:r>
      <w:r w:rsidRPr="00BC016B">
        <w:rPr>
          <w:lang w:val="en-US"/>
        </w:rPr>
        <w:t>Herrmann, E</w:t>
      </w:r>
      <w:r w:rsidR="00DF0C33">
        <w:rPr>
          <w:lang w:val="en-US"/>
        </w:rPr>
        <w:t>.</w:t>
      </w:r>
      <w:r w:rsidRPr="00BC016B">
        <w:rPr>
          <w:lang w:val="en-US"/>
        </w:rPr>
        <w:t xml:space="preserve"> Speelman, P</w:t>
      </w:r>
      <w:r w:rsidR="00DF0C33">
        <w:rPr>
          <w:lang w:val="en-US"/>
        </w:rPr>
        <w:t>.</w:t>
      </w:r>
      <w:r w:rsidRPr="00BC016B">
        <w:rPr>
          <w:lang w:val="en-US"/>
        </w:rPr>
        <w:t xml:space="preserve"> Sauter, S</w:t>
      </w:r>
      <w:r w:rsidR="00DF0C33">
        <w:rPr>
          <w:lang w:val="en-US"/>
        </w:rPr>
        <w:t>.</w:t>
      </w:r>
      <w:r w:rsidRPr="00BC016B">
        <w:rPr>
          <w:lang w:val="en-US"/>
        </w:rPr>
        <w:t xml:space="preserve"> Lingeswaran, M</w:t>
      </w:r>
      <w:r w:rsidR="00DF0C33">
        <w:rPr>
          <w:lang w:val="en-US"/>
        </w:rPr>
        <w:t>.</w:t>
      </w:r>
      <w:r w:rsidRPr="00BC016B">
        <w:rPr>
          <w:lang w:val="en-US"/>
        </w:rPr>
        <w:t xml:space="preserve"> M. Stuchtey, K</w:t>
      </w:r>
      <w:r w:rsidR="00DF0C33">
        <w:rPr>
          <w:lang w:val="en-US"/>
        </w:rPr>
        <w:t>.</w:t>
      </w:r>
      <w:r w:rsidRPr="00BC016B">
        <w:rPr>
          <w:lang w:val="en-US"/>
        </w:rPr>
        <w:t xml:space="preserve"> Hansen, E</w:t>
      </w:r>
      <w:r w:rsidR="00DF0C33">
        <w:rPr>
          <w:lang w:val="en-US"/>
        </w:rPr>
        <w:t>.</w:t>
      </w:r>
      <w:r w:rsidRPr="00BC016B">
        <w:rPr>
          <w:lang w:val="en-US"/>
        </w:rPr>
        <w:t xml:space="preserve"> Masanet, A</w:t>
      </w:r>
      <w:r w:rsidR="00DF0C33">
        <w:rPr>
          <w:lang w:val="en-US"/>
        </w:rPr>
        <w:t>.</w:t>
      </w:r>
      <w:r w:rsidRPr="00BC016B">
        <w:rPr>
          <w:lang w:val="en-US"/>
        </w:rPr>
        <w:t xml:space="preserve"> C. Serrenho, N</w:t>
      </w:r>
      <w:r w:rsidR="00DF0C33">
        <w:rPr>
          <w:lang w:val="en-US"/>
        </w:rPr>
        <w:t>.</w:t>
      </w:r>
      <w:r w:rsidRPr="00BC016B">
        <w:rPr>
          <w:lang w:val="en-US"/>
        </w:rPr>
        <w:t xml:space="preserve"> Ishii, Y</w:t>
      </w:r>
      <w:r w:rsidR="00DF0C33">
        <w:rPr>
          <w:lang w:val="en-US"/>
        </w:rPr>
        <w:t>.</w:t>
      </w:r>
      <w:r w:rsidRPr="00BC016B">
        <w:rPr>
          <w:lang w:val="en-US"/>
        </w:rPr>
        <w:t xml:space="preserve"> Kikuchi, and J</w:t>
      </w:r>
      <w:r w:rsidR="00DF0C33">
        <w:rPr>
          <w:lang w:val="en-US"/>
        </w:rPr>
        <w:t>.</w:t>
      </w:r>
      <w:r w:rsidRPr="00BC016B">
        <w:rPr>
          <w:lang w:val="en-US"/>
        </w:rPr>
        <w:t xml:space="preserve"> M. Cullena,</w:t>
      </w:r>
      <w:r w:rsidR="0058250F">
        <w:rPr>
          <w:lang w:val="en-US"/>
        </w:rPr>
        <w:t xml:space="preserve"> 2023, </w:t>
      </w:r>
      <w:r w:rsidR="0058250F" w:rsidRPr="0058250F">
        <w:rPr>
          <w:lang w:val="en-US"/>
        </w:rPr>
        <w:t>Planet-compatible pathways for transitioning the chemical industry</w:t>
      </w:r>
      <w:r w:rsidR="0058250F">
        <w:rPr>
          <w:lang w:val="en-US"/>
        </w:rPr>
        <w:t xml:space="preserve">, </w:t>
      </w:r>
      <w:r w:rsidR="00FD1827" w:rsidRPr="00FD1827">
        <w:rPr>
          <w:lang w:val="en-US"/>
        </w:rPr>
        <w:t>Proc. Natl. Acad. Sci.</w:t>
      </w:r>
      <w:r w:rsidR="0058250F">
        <w:rPr>
          <w:lang w:val="en-US"/>
        </w:rPr>
        <w:t>,</w:t>
      </w:r>
      <w:r w:rsidR="0058250F" w:rsidRPr="0058250F">
        <w:rPr>
          <w:lang w:val="en-US"/>
        </w:rPr>
        <w:t xml:space="preserve"> 120</w:t>
      </w:r>
      <w:r w:rsidR="005A6A04">
        <w:rPr>
          <w:rFonts w:hint="eastAsia"/>
          <w:lang w:val="en-US" w:eastAsia="ja-JP"/>
        </w:rPr>
        <w:t>(</w:t>
      </w:r>
      <w:r w:rsidR="0058250F" w:rsidRPr="0058250F">
        <w:rPr>
          <w:lang w:val="en-US"/>
        </w:rPr>
        <w:t>8</w:t>
      </w:r>
      <w:r w:rsidR="005A6A04">
        <w:rPr>
          <w:lang w:val="en-US"/>
        </w:rPr>
        <w:t>)</w:t>
      </w:r>
      <w:r w:rsidR="0058250F">
        <w:rPr>
          <w:lang w:val="en-US"/>
        </w:rPr>
        <w:t>,</w:t>
      </w:r>
      <w:r w:rsidR="0058250F" w:rsidRPr="0058250F">
        <w:rPr>
          <w:lang w:val="en-US"/>
        </w:rPr>
        <w:t xml:space="preserve"> e2218294120</w:t>
      </w:r>
    </w:p>
    <w:p w14:paraId="25DFE75E" w14:textId="2A6CAED3" w:rsidR="003B256E" w:rsidRDefault="003B256E" w:rsidP="003B256E">
      <w:pPr>
        <w:pStyle w:val="Els-referenceno-number"/>
      </w:pPr>
      <w:r>
        <w:t>A.E. Schwarz, T.N. Ligthart, D. G</w:t>
      </w:r>
      <w:r w:rsidR="00386382">
        <w:t>.</w:t>
      </w:r>
      <w:r>
        <w:t xml:space="preserve"> Bizarro, P. De Wild, B. Vreugdenhil, T. van Harmelen, 2021, Plastic recycling in a circular economy; determining environmental performance through an LCA matrix model approach, Waste Manage</w:t>
      </w:r>
      <w:r w:rsidR="00FD1827">
        <w:t>.</w:t>
      </w:r>
      <w:r>
        <w:t>, 121, 331–342</w:t>
      </w:r>
    </w:p>
    <w:p w14:paraId="0DCE6D9A" w14:textId="10DC910D" w:rsidR="00215794" w:rsidRPr="003B256E" w:rsidRDefault="00215794" w:rsidP="00215794">
      <w:pPr>
        <w:pStyle w:val="Els-referenceno-number"/>
      </w:pPr>
      <w:r>
        <w:t>K</w:t>
      </w:r>
      <w:r w:rsidR="00386382">
        <w:t>.</w:t>
      </w:r>
      <w:r>
        <w:t xml:space="preserve"> Vadoudi, P</w:t>
      </w:r>
      <w:r w:rsidR="00386382">
        <w:t>.</w:t>
      </w:r>
      <w:r>
        <w:t xml:space="preserve"> Deckers, C</w:t>
      </w:r>
      <w:r w:rsidR="00386382">
        <w:t>.</w:t>
      </w:r>
      <w:r>
        <w:t xml:space="preserve"> Demuytere, H</w:t>
      </w:r>
      <w:r w:rsidR="00386382">
        <w:t>.</w:t>
      </w:r>
      <w:r>
        <w:t xml:space="preserve"> Askanian, V</w:t>
      </w:r>
      <w:r w:rsidR="00386382">
        <w:t>.</w:t>
      </w:r>
      <w:r>
        <w:t xml:space="preserve"> Verney, 2022, Comparing a material circularity indicator to life cycle assessment: The</w:t>
      </w:r>
      <w:r w:rsidR="00386382">
        <w:t xml:space="preserve"> </w:t>
      </w:r>
      <w:r>
        <w:t xml:space="preserve">case of a three-layer plastic packaging, </w:t>
      </w:r>
      <w:r w:rsidRPr="00564E44">
        <w:rPr>
          <w:lang w:val="en-US"/>
        </w:rPr>
        <w:t>Susta</w:t>
      </w:r>
      <w:r>
        <w:rPr>
          <w:lang w:val="en-US"/>
        </w:rPr>
        <w:t>.</w:t>
      </w:r>
      <w:r w:rsidRPr="00564E44">
        <w:rPr>
          <w:lang w:val="en-US"/>
        </w:rPr>
        <w:t xml:space="preserve"> Prod</w:t>
      </w:r>
      <w:r>
        <w:rPr>
          <w:lang w:val="en-US"/>
        </w:rPr>
        <w:t>.</w:t>
      </w:r>
      <w:r w:rsidRPr="00564E44">
        <w:rPr>
          <w:lang w:val="en-US"/>
        </w:rPr>
        <w:t xml:space="preserve"> and Cons</w:t>
      </w:r>
      <w:r>
        <w:rPr>
          <w:lang w:val="en-US"/>
        </w:rPr>
        <w:t xml:space="preserve">., </w:t>
      </w:r>
      <w:r w:rsidRPr="00215794">
        <w:rPr>
          <w:lang w:val="en-US"/>
        </w:rPr>
        <w:t>33</w:t>
      </w:r>
      <w:r>
        <w:rPr>
          <w:lang w:val="en-US"/>
        </w:rPr>
        <w:t xml:space="preserve">, </w:t>
      </w:r>
      <w:r w:rsidRPr="00215794">
        <w:rPr>
          <w:lang w:val="en-US"/>
        </w:rPr>
        <w:t>820–830</w:t>
      </w:r>
    </w:p>
    <w:p w14:paraId="4F851331" w14:textId="0440C753" w:rsidR="00B84632" w:rsidRPr="00B20DA3" w:rsidRDefault="003B256E" w:rsidP="002C532C">
      <w:pPr>
        <w:pStyle w:val="Els-referenceno-number"/>
        <w:rPr>
          <w:lang w:val="en-US"/>
        </w:rPr>
      </w:pPr>
      <w:r>
        <w:rPr>
          <w:rFonts w:hint="eastAsia"/>
          <w:lang w:val="en-US" w:eastAsia="ja-JP"/>
        </w:rPr>
        <w:t>T</w:t>
      </w:r>
      <w:r>
        <w:rPr>
          <w:lang w:val="en-US" w:eastAsia="ja-JP"/>
        </w:rPr>
        <w:t xml:space="preserve">. Yoshitome, K. Saito, K. Tamura, 2022, </w:t>
      </w:r>
      <w:r w:rsidRPr="003A6B9A">
        <w:rPr>
          <w:lang w:val="en-US" w:eastAsia="ja-JP"/>
        </w:rPr>
        <w:t>Modeling of refinery equipment configuration and CO</w:t>
      </w:r>
      <w:r w:rsidRPr="003A6B9A">
        <w:rPr>
          <w:vertAlign w:val="subscript"/>
          <w:lang w:val="en-US" w:eastAsia="ja-JP"/>
        </w:rPr>
        <w:t>2</w:t>
      </w:r>
      <w:r w:rsidRPr="003A6B9A">
        <w:rPr>
          <w:lang w:val="en-US" w:eastAsia="ja-JP"/>
        </w:rPr>
        <w:t xml:space="preserve"> emissions</w:t>
      </w:r>
      <w:r>
        <w:rPr>
          <w:lang w:val="en-US" w:eastAsia="ja-JP"/>
        </w:rPr>
        <w:t xml:space="preserve">, </w:t>
      </w:r>
      <w:r>
        <w:rPr>
          <w:rFonts w:hint="eastAsia"/>
        </w:rPr>
        <w:t>PETROTECH,</w:t>
      </w:r>
      <w:r>
        <w:t xml:space="preserve"> 45 (1), 21-28</w:t>
      </w:r>
    </w:p>
    <w:sectPr w:rsidR="00B84632" w:rsidRPr="00B20DA3"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0871" w14:textId="77777777" w:rsidR="007C1668" w:rsidRDefault="007C1668">
      <w:r>
        <w:separator/>
      </w:r>
    </w:p>
  </w:endnote>
  <w:endnote w:type="continuationSeparator" w:id="0">
    <w:p w14:paraId="598A9C9C" w14:textId="77777777" w:rsidR="007C1668" w:rsidRDefault="007C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F536" w14:textId="77777777" w:rsidR="007C1668" w:rsidRDefault="007C1668">
      <w:r>
        <w:separator/>
      </w:r>
    </w:p>
  </w:footnote>
  <w:footnote w:type="continuationSeparator" w:id="0">
    <w:p w14:paraId="58972A4F" w14:textId="77777777" w:rsidR="007C1668" w:rsidRDefault="007C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49662DA" w:rsidR="00DD3D9E" w:rsidRDefault="00DD3D9E">
    <w:pPr>
      <w:pStyle w:val="a5"/>
      <w:tabs>
        <w:tab w:val="clear" w:pos="7200"/>
        <w:tab w:val="right" w:pos="7088"/>
      </w:tabs>
    </w:pPr>
    <w:r>
      <w:rPr>
        <w:rStyle w:val="aa"/>
      </w:rPr>
      <w:tab/>
    </w:r>
    <w:r>
      <w:rPr>
        <w:rStyle w:val="aa"/>
        <w:i/>
      </w:rPr>
      <w:tab/>
    </w:r>
    <w:r w:rsidR="00A12AE5">
      <w:rPr>
        <w:i/>
      </w:rPr>
      <w:t>T. Nakamura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426D" w14:textId="77777777" w:rsidR="003A4A78" w:rsidRDefault="00A12AE5" w:rsidP="00256D6D">
    <w:pPr>
      <w:pStyle w:val="a5"/>
      <w:tabs>
        <w:tab w:val="clear" w:pos="7200"/>
        <w:tab w:val="right" w:pos="7088"/>
      </w:tabs>
      <w:rPr>
        <w:i/>
      </w:rPr>
    </w:pPr>
    <w:r w:rsidRPr="00A12AE5">
      <w:rPr>
        <w:i/>
      </w:rPr>
      <w:t>Assessment of Plastic Recycling Technologies Based on Carbon Resource Circularity Considering Feedstock and Energy Use</w:t>
    </w:r>
  </w:p>
  <w:p w14:paraId="144DE6CA" w14:textId="2664C7D7" w:rsidR="00DD3D9E" w:rsidRDefault="00DD3D9E">
    <w:pPr>
      <w:pStyle w:val="a5"/>
      <w:tabs>
        <w:tab w:val="clear" w:pos="7200"/>
        <w:tab w:val="right" w:pos="7088"/>
      </w:tabs>
      <w:jc w:val="right"/>
      <w:rPr>
        <w:sz w:val="24"/>
      </w:rPr>
    </w:pPr>
    <w:r>
      <w:rPr>
        <w:rStyle w:val="aa"/>
        <w:i/>
        <w:sz w:val="24"/>
      </w:rPr>
      <w:tab/>
    </w:r>
    <w:r>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426"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332227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xNLW0MDcyNTIzMjJQ0lEKTi0uzszPAykwrAUAgA3jgCwAAAA="/>
  </w:docVars>
  <w:rsids>
    <w:rsidRoot w:val="00B63237"/>
    <w:rsid w:val="00025ECC"/>
    <w:rsid w:val="000350D8"/>
    <w:rsid w:val="000462A4"/>
    <w:rsid w:val="0006041A"/>
    <w:rsid w:val="00060C28"/>
    <w:rsid w:val="000614C7"/>
    <w:rsid w:val="00061B1F"/>
    <w:rsid w:val="0008255D"/>
    <w:rsid w:val="00092B91"/>
    <w:rsid w:val="000A64B8"/>
    <w:rsid w:val="000A6568"/>
    <w:rsid w:val="000A7008"/>
    <w:rsid w:val="000C2E14"/>
    <w:rsid w:val="000D3D9B"/>
    <w:rsid w:val="000E0D88"/>
    <w:rsid w:val="000E1E75"/>
    <w:rsid w:val="000E2AEF"/>
    <w:rsid w:val="000E7E6D"/>
    <w:rsid w:val="000F192E"/>
    <w:rsid w:val="000F1E4E"/>
    <w:rsid w:val="000F4C03"/>
    <w:rsid w:val="00106537"/>
    <w:rsid w:val="0010677D"/>
    <w:rsid w:val="0011037A"/>
    <w:rsid w:val="00110897"/>
    <w:rsid w:val="0011437C"/>
    <w:rsid w:val="0012377C"/>
    <w:rsid w:val="001240D2"/>
    <w:rsid w:val="001449E1"/>
    <w:rsid w:val="001453E1"/>
    <w:rsid w:val="00153C3B"/>
    <w:rsid w:val="00157AC4"/>
    <w:rsid w:val="0016032F"/>
    <w:rsid w:val="001879F6"/>
    <w:rsid w:val="001A00B4"/>
    <w:rsid w:val="001A0747"/>
    <w:rsid w:val="001A0970"/>
    <w:rsid w:val="001A5CA1"/>
    <w:rsid w:val="001B57C0"/>
    <w:rsid w:val="001B793C"/>
    <w:rsid w:val="001C0148"/>
    <w:rsid w:val="001C757E"/>
    <w:rsid w:val="001D11D2"/>
    <w:rsid w:val="001D5BF8"/>
    <w:rsid w:val="0020390F"/>
    <w:rsid w:val="00215794"/>
    <w:rsid w:val="00224022"/>
    <w:rsid w:val="00224C7F"/>
    <w:rsid w:val="00240A31"/>
    <w:rsid w:val="002412FB"/>
    <w:rsid w:val="00253CD4"/>
    <w:rsid w:val="00256D6D"/>
    <w:rsid w:val="002612C1"/>
    <w:rsid w:val="002626D2"/>
    <w:rsid w:val="00264926"/>
    <w:rsid w:val="0027181E"/>
    <w:rsid w:val="00273205"/>
    <w:rsid w:val="00296EAB"/>
    <w:rsid w:val="002A2625"/>
    <w:rsid w:val="002A44D4"/>
    <w:rsid w:val="002A4B47"/>
    <w:rsid w:val="002A4E0A"/>
    <w:rsid w:val="002B0124"/>
    <w:rsid w:val="002B3EF0"/>
    <w:rsid w:val="002C532C"/>
    <w:rsid w:val="002D2C2C"/>
    <w:rsid w:val="002E10C6"/>
    <w:rsid w:val="002E1D07"/>
    <w:rsid w:val="002E2A11"/>
    <w:rsid w:val="002F3DC9"/>
    <w:rsid w:val="003162E5"/>
    <w:rsid w:val="00323C59"/>
    <w:rsid w:val="0032572F"/>
    <w:rsid w:val="00326B24"/>
    <w:rsid w:val="003416E0"/>
    <w:rsid w:val="003552CA"/>
    <w:rsid w:val="0037734D"/>
    <w:rsid w:val="0038255B"/>
    <w:rsid w:val="00386382"/>
    <w:rsid w:val="003A446C"/>
    <w:rsid w:val="003A4A78"/>
    <w:rsid w:val="003B256E"/>
    <w:rsid w:val="003C38B9"/>
    <w:rsid w:val="003D0547"/>
    <w:rsid w:val="003D1582"/>
    <w:rsid w:val="003D196D"/>
    <w:rsid w:val="003D7E4C"/>
    <w:rsid w:val="003E3ACE"/>
    <w:rsid w:val="003E41C2"/>
    <w:rsid w:val="003E79E0"/>
    <w:rsid w:val="003F4FC2"/>
    <w:rsid w:val="00427EB1"/>
    <w:rsid w:val="0044796D"/>
    <w:rsid w:val="00454E04"/>
    <w:rsid w:val="00463012"/>
    <w:rsid w:val="00466369"/>
    <w:rsid w:val="00467F5F"/>
    <w:rsid w:val="00472809"/>
    <w:rsid w:val="00474E93"/>
    <w:rsid w:val="004774FE"/>
    <w:rsid w:val="00482694"/>
    <w:rsid w:val="0049772C"/>
    <w:rsid w:val="004B128E"/>
    <w:rsid w:val="004D3259"/>
    <w:rsid w:val="004F0F44"/>
    <w:rsid w:val="004F31BA"/>
    <w:rsid w:val="004F56F9"/>
    <w:rsid w:val="004F586B"/>
    <w:rsid w:val="00502A82"/>
    <w:rsid w:val="00504FD5"/>
    <w:rsid w:val="005056BD"/>
    <w:rsid w:val="00521707"/>
    <w:rsid w:val="0052792C"/>
    <w:rsid w:val="00552EEB"/>
    <w:rsid w:val="00560F19"/>
    <w:rsid w:val="00564E44"/>
    <w:rsid w:val="00567097"/>
    <w:rsid w:val="0057215A"/>
    <w:rsid w:val="00580FDF"/>
    <w:rsid w:val="00581FFB"/>
    <w:rsid w:val="005824D6"/>
    <w:rsid w:val="0058250F"/>
    <w:rsid w:val="00593E04"/>
    <w:rsid w:val="00597FBD"/>
    <w:rsid w:val="005A6A04"/>
    <w:rsid w:val="005B2192"/>
    <w:rsid w:val="005B609F"/>
    <w:rsid w:val="005D66ED"/>
    <w:rsid w:val="005D724C"/>
    <w:rsid w:val="005E3E79"/>
    <w:rsid w:val="005E41A0"/>
    <w:rsid w:val="005E68D7"/>
    <w:rsid w:val="005F46A7"/>
    <w:rsid w:val="006215D1"/>
    <w:rsid w:val="00627B4B"/>
    <w:rsid w:val="00627EFE"/>
    <w:rsid w:val="00630FEF"/>
    <w:rsid w:val="006548D3"/>
    <w:rsid w:val="0066438C"/>
    <w:rsid w:val="00697E61"/>
    <w:rsid w:val="006A69BF"/>
    <w:rsid w:val="006B1E8E"/>
    <w:rsid w:val="006B4D84"/>
    <w:rsid w:val="006C094F"/>
    <w:rsid w:val="006C10B3"/>
    <w:rsid w:val="006C6F29"/>
    <w:rsid w:val="006C7B74"/>
    <w:rsid w:val="006E0498"/>
    <w:rsid w:val="006E1E3E"/>
    <w:rsid w:val="006E3FD0"/>
    <w:rsid w:val="006F283F"/>
    <w:rsid w:val="006F6EAF"/>
    <w:rsid w:val="00704C10"/>
    <w:rsid w:val="007068EC"/>
    <w:rsid w:val="00707E3F"/>
    <w:rsid w:val="007117EE"/>
    <w:rsid w:val="00711DF4"/>
    <w:rsid w:val="00712605"/>
    <w:rsid w:val="00717605"/>
    <w:rsid w:val="007253C3"/>
    <w:rsid w:val="00734A15"/>
    <w:rsid w:val="007416AA"/>
    <w:rsid w:val="00741CFB"/>
    <w:rsid w:val="00752F82"/>
    <w:rsid w:val="0075680D"/>
    <w:rsid w:val="00767D72"/>
    <w:rsid w:val="00776DE4"/>
    <w:rsid w:val="00790DF9"/>
    <w:rsid w:val="007A05BC"/>
    <w:rsid w:val="007A64F2"/>
    <w:rsid w:val="007B2371"/>
    <w:rsid w:val="007C1668"/>
    <w:rsid w:val="007C3B42"/>
    <w:rsid w:val="007D0102"/>
    <w:rsid w:val="007D0E89"/>
    <w:rsid w:val="007D15E0"/>
    <w:rsid w:val="007D70A1"/>
    <w:rsid w:val="007E58A1"/>
    <w:rsid w:val="007F148F"/>
    <w:rsid w:val="008012E3"/>
    <w:rsid w:val="008079F5"/>
    <w:rsid w:val="008132E8"/>
    <w:rsid w:val="00813829"/>
    <w:rsid w:val="00813B3F"/>
    <w:rsid w:val="00816552"/>
    <w:rsid w:val="008167FF"/>
    <w:rsid w:val="00823407"/>
    <w:rsid w:val="008255A7"/>
    <w:rsid w:val="00835F1B"/>
    <w:rsid w:val="00842308"/>
    <w:rsid w:val="00843092"/>
    <w:rsid w:val="00866861"/>
    <w:rsid w:val="00874EDD"/>
    <w:rsid w:val="00880DDD"/>
    <w:rsid w:val="008813FE"/>
    <w:rsid w:val="0088388B"/>
    <w:rsid w:val="0088604F"/>
    <w:rsid w:val="00892ED7"/>
    <w:rsid w:val="008A38F7"/>
    <w:rsid w:val="008A5651"/>
    <w:rsid w:val="008A58A7"/>
    <w:rsid w:val="008B0184"/>
    <w:rsid w:val="008B5BBC"/>
    <w:rsid w:val="008B624A"/>
    <w:rsid w:val="008B7D08"/>
    <w:rsid w:val="008C084A"/>
    <w:rsid w:val="008C3205"/>
    <w:rsid w:val="008C32C4"/>
    <w:rsid w:val="008C5D02"/>
    <w:rsid w:val="008D075A"/>
    <w:rsid w:val="008D2649"/>
    <w:rsid w:val="008F1B61"/>
    <w:rsid w:val="008F7B15"/>
    <w:rsid w:val="0090568D"/>
    <w:rsid w:val="009125C9"/>
    <w:rsid w:val="00912E1C"/>
    <w:rsid w:val="00913879"/>
    <w:rsid w:val="00917661"/>
    <w:rsid w:val="009177D9"/>
    <w:rsid w:val="00921589"/>
    <w:rsid w:val="00927788"/>
    <w:rsid w:val="009535CD"/>
    <w:rsid w:val="0095676E"/>
    <w:rsid w:val="00970E5D"/>
    <w:rsid w:val="00971258"/>
    <w:rsid w:val="0097701C"/>
    <w:rsid w:val="00980A65"/>
    <w:rsid w:val="00982B13"/>
    <w:rsid w:val="00983455"/>
    <w:rsid w:val="009845A1"/>
    <w:rsid w:val="00991A69"/>
    <w:rsid w:val="00991E09"/>
    <w:rsid w:val="009A6C05"/>
    <w:rsid w:val="009A79DD"/>
    <w:rsid w:val="009B5F9D"/>
    <w:rsid w:val="009B7BC6"/>
    <w:rsid w:val="009C1F0D"/>
    <w:rsid w:val="009C4945"/>
    <w:rsid w:val="009C5BA4"/>
    <w:rsid w:val="009D6B8D"/>
    <w:rsid w:val="00A013B4"/>
    <w:rsid w:val="00A01B3B"/>
    <w:rsid w:val="00A020D5"/>
    <w:rsid w:val="00A12AE5"/>
    <w:rsid w:val="00A14192"/>
    <w:rsid w:val="00A2421C"/>
    <w:rsid w:val="00A25E70"/>
    <w:rsid w:val="00A33765"/>
    <w:rsid w:val="00A34B69"/>
    <w:rsid w:val="00A34FC5"/>
    <w:rsid w:val="00A3724F"/>
    <w:rsid w:val="00A405D3"/>
    <w:rsid w:val="00A50140"/>
    <w:rsid w:val="00A51631"/>
    <w:rsid w:val="00A63269"/>
    <w:rsid w:val="00A660DD"/>
    <w:rsid w:val="00A66CB3"/>
    <w:rsid w:val="00A765D3"/>
    <w:rsid w:val="00A77DF7"/>
    <w:rsid w:val="00A87EE1"/>
    <w:rsid w:val="00A92377"/>
    <w:rsid w:val="00A95B0D"/>
    <w:rsid w:val="00A96316"/>
    <w:rsid w:val="00AA7401"/>
    <w:rsid w:val="00AB29ED"/>
    <w:rsid w:val="00AB35C8"/>
    <w:rsid w:val="00AB58B5"/>
    <w:rsid w:val="00AC3996"/>
    <w:rsid w:val="00AD462D"/>
    <w:rsid w:val="00AD6EF2"/>
    <w:rsid w:val="00AD7879"/>
    <w:rsid w:val="00AD7F4A"/>
    <w:rsid w:val="00AE28E7"/>
    <w:rsid w:val="00AE4BD8"/>
    <w:rsid w:val="00AF0E61"/>
    <w:rsid w:val="00AF22E9"/>
    <w:rsid w:val="00B02A48"/>
    <w:rsid w:val="00B13F0F"/>
    <w:rsid w:val="00B15FD6"/>
    <w:rsid w:val="00B16BF8"/>
    <w:rsid w:val="00B20DA3"/>
    <w:rsid w:val="00B314C7"/>
    <w:rsid w:val="00B35453"/>
    <w:rsid w:val="00B42915"/>
    <w:rsid w:val="00B4388F"/>
    <w:rsid w:val="00B43CA2"/>
    <w:rsid w:val="00B53EC2"/>
    <w:rsid w:val="00B6095A"/>
    <w:rsid w:val="00B62798"/>
    <w:rsid w:val="00B63237"/>
    <w:rsid w:val="00B70589"/>
    <w:rsid w:val="00B71B0B"/>
    <w:rsid w:val="00B74A2D"/>
    <w:rsid w:val="00B81FA8"/>
    <w:rsid w:val="00B84632"/>
    <w:rsid w:val="00B91A72"/>
    <w:rsid w:val="00BC016B"/>
    <w:rsid w:val="00BD68B0"/>
    <w:rsid w:val="00BD69C4"/>
    <w:rsid w:val="00BE3468"/>
    <w:rsid w:val="00BE3BBB"/>
    <w:rsid w:val="00BE5134"/>
    <w:rsid w:val="00BE52C1"/>
    <w:rsid w:val="00BF0863"/>
    <w:rsid w:val="00C001DF"/>
    <w:rsid w:val="00C06BB5"/>
    <w:rsid w:val="00C1100A"/>
    <w:rsid w:val="00C1428F"/>
    <w:rsid w:val="00C301CC"/>
    <w:rsid w:val="00C35582"/>
    <w:rsid w:val="00C452A9"/>
    <w:rsid w:val="00C469F8"/>
    <w:rsid w:val="00C46CEE"/>
    <w:rsid w:val="00C47FA2"/>
    <w:rsid w:val="00C706FF"/>
    <w:rsid w:val="00C75707"/>
    <w:rsid w:val="00C83981"/>
    <w:rsid w:val="00C8592C"/>
    <w:rsid w:val="00C960DC"/>
    <w:rsid w:val="00C96412"/>
    <w:rsid w:val="00C97C03"/>
    <w:rsid w:val="00CA2C57"/>
    <w:rsid w:val="00CA41B5"/>
    <w:rsid w:val="00CC021A"/>
    <w:rsid w:val="00CC0EA3"/>
    <w:rsid w:val="00CC59E1"/>
    <w:rsid w:val="00CD449A"/>
    <w:rsid w:val="00CD4F69"/>
    <w:rsid w:val="00CE4D5A"/>
    <w:rsid w:val="00CF48A9"/>
    <w:rsid w:val="00CF49E5"/>
    <w:rsid w:val="00D02C75"/>
    <w:rsid w:val="00D10E22"/>
    <w:rsid w:val="00D1170D"/>
    <w:rsid w:val="00D13D2C"/>
    <w:rsid w:val="00D14C17"/>
    <w:rsid w:val="00D23B31"/>
    <w:rsid w:val="00D2775B"/>
    <w:rsid w:val="00D3065C"/>
    <w:rsid w:val="00D30B3F"/>
    <w:rsid w:val="00D32D58"/>
    <w:rsid w:val="00D33248"/>
    <w:rsid w:val="00D3342E"/>
    <w:rsid w:val="00D36580"/>
    <w:rsid w:val="00D435AC"/>
    <w:rsid w:val="00D611F5"/>
    <w:rsid w:val="00D7672E"/>
    <w:rsid w:val="00DA20E8"/>
    <w:rsid w:val="00DC2F94"/>
    <w:rsid w:val="00DC4D69"/>
    <w:rsid w:val="00DC67BD"/>
    <w:rsid w:val="00DD1417"/>
    <w:rsid w:val="00DD3D9E"/>
    <w:rsid w:val="00DD7908"/>
    <w:rsid w:val="00DE3AE7"/>
    <w:rsid w:val="00DF0C33"/>
    <w:rsid w:val="00E05945"/>
    <w:rsid w:val="00E141F9"/>
    <w:rsid w:val="00E16778"/>
    <w:rsid w:val="00E2146F"/>
    <w:rsid w:val="00E37542"/>
    <w:rsid w:val="00E55AFB"/>
    <w:rsid w:val="00E642D5"/>
    <w:rsid w:val="00E71FCA"/>
    <w:rsid w:val="00E81BE1"/>
    <w:rsid w:val="00E821F8"/>
    <w:rsid w:val="00E82297"/>
    <w:rsid w:val="00E83C0E"/>
    <w:rsid w:val="00E85BD2"/>
    <w:rsid w:val="00E860EB"/>
    <w:rsid w:val="00E91BE1"/>
    <w:rsid w:val="00E92F1E"/>
    <w:rsid w:val="00E93271"/>
    <w:rsid w:val="00E93547"/>
    <w:rsid w:val="00EC4F31"/>
    <w:rsid w:val="00EC6419"/>
    <w:rsid w:val="00ED18DE"/>
    <w:rsid w:val="00ED2EC9"/>
    <w:rsid w:val="00ED4441"/>
    <w:rsid w:val="00EE1A76"/>
    <w:rsid w:val="00EF2E72"/>
    <w:rsid w:val="00EF39FD"/>
    <w:rsid w:val="00F06842"/>
    <w:rsid w:val="00F107FD"/>
    <w:rsid w:val="00F154BD"/>
    <w:rsid w:val="00F173F3"/>
    <w:rsid w:val="00F179EE"/>
    <w:rsid w:val="00F376C2"/>
    <w:rsid w:val="00F50C95"/>
    <w:rsid w:val="00F50DE0"/>
    <w:rsid w:val="00F515E7"/>
    <w:rsid w:val="00F56156"/>
    <w:rsid w:val="00F57119"/>
    <w:rsid w:val="00F774AB"/>
    <w:rsid w:val="00F908A4"/>
    <w:rsid w:val="00F92B6A"/>
    <w:rsid w:val="00FB426D"/>
    <w:rsid w:val="00FB64A8"/>
    <w:rsid w:val="00FC5CCD"/>
    <w:rsid w:val="00FD1827"/>
    <w:rsid w:val="00FD4E5A"/>
    <w:rsid w:val="00FE60F0"/>
    <w:rsid w:val="00FF1AEA"/>
    <w:rsid w:val="00FF1BE0"/>
    <w:rsid w:val="00FF51A6"/>
    <w:rsid w:val="00FF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DE67F"/>
  <w15:docId w15:val="{0006C425-E025-4E54-A38A-B81C8C55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Placeholder Text"/>
    <w:basedOn w:val="a0"/>
    <w:uiPriority w:val="99"/>
    <w:semiHidden/>
    <w:rsid w:val="00A013B4"/>
    <w:rPr>
      <w:color w:val="666666"/>
    </w:rPr>
  </w:style>
  <w:style w:type="paragraph" w:styleId="af0">
    <w:name w:val="Revision"/>
    <w:hidden/>
    <w:uiPriority w:val="99"/>
    <w:semiHidden/>
    <w:rsid w:val="00A516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8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2792</Words>
  <Characters>15915</Characters>
  <Application>Microsoft Office Word</Application>
  <DocSecurity>0</DocSecurity>
  <Lines>132</Lines>
  <Paragraphs>37</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中村　拓真</cp:lastModifiedBy>
  <cp:revision>2</cp:revision>
  <cp:lastPrinted>2023-12-25T12:41:00Z</cp:lastPrinted>
  <dcterms:created xsi:type="dcterms:W3CDTF">2024-01-01T14:14:00Z</dcterms:created>
  <dcterms:modified xsi:type="dcterms:W3CDTF">2024-01-01T14:14:00Z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