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57CC27DC" w:rsidR="00DD3D9E" w:rsidRPr="00F126F7" w:rsidRDefault="00487643">
      <w:pPr>
        <w:pStyle w:val="Els-Title"/>
        <w:rPr>
          <w:color w:val="000000" w:themeColor="text1"/>
          <w:lang w:val="en-GB"/>
        </w:rPr>
      </w:pPr>
      <w:r w:rsidRPr="00F126F7">
        <w:rPr>
          <w:color w:val="000000" w:themeColor="text1"/>
          <w:lang w:val="en-GB"/>
        </w:rPr>
        <w:t>Solving Combined Sizing and Dispatch of PV and Battery Storage for a Microgrid using ADMM</w:t>
      </w:r>
    </w:p>
    <w:p w14:paraId="144DE680" w14:textId="1E0300B2" w:rsidR="00DD3D9E" w:rsidRPr="00F126F7" w:rsidRDefault="00404D95">
      <w:pPr>
        <w:pStyle w:val="Els-Author"/>
      </w:pPr>
      <w:r w:rsidRPr="00F126F7">
        <w:t>Robert Steven,</w:t>
      </w:r>
      <w:r w:rsidRPr="00F126F7">
        <w:rPr>
          <w:vertAlign w:val="superscript"/>
        </w:rPr>
        <w:t>a</w:t>
      </w:r>
      <w:r w:rsidRPr="00F126F7">
        <w:t xml:space="preserve"> Oleksiy Klymenko,</w:t>
      </w:r>
      <w:r w:rsidR="00C06EE1" w:rsidRPr="00F126F7">
        <w:rPr>
          <w:vertAlign w:val="superscript"/>
        </w:rPr>
        <w:t>a</w:t>
      </w:r>
      <w:r w:rsidRPr="00F126F7">
        <w:t xml:space="preserve"> </w:t>
      </w:r>
      <w:r w:rsidR="00C06EE1" w:rsidRPr="00F126F7">
        <w:t>Michael Short</w:t>
      </w:r>
      <w:r w:rsidR="00C06EE1" w:rsidRPr="00F126F7">
        <w:rPr>
          <w:vertAlign w:val="superscript"/>
        </w:rPr>
        <w:t>a,b</w:t>
      </w:r>
      <w:r w:rsidR="008D75A2" w:rsidRPr="00F126F7">
        <w:rPr>
          <w:vertAlign w:val="superscript"/>
        </w:rPr>
        <w:t>*</w:t>
      </w:r>
    </w:p>
    <w:p w14:paraId="71DB34D4" w14:textId="0690D1CA" w:rsidR="00CD7F22" w:rsidRPr="00F126F7" w:rsidRDefault="00CD7F22" w:rsidP="00CD7F22">
      <w:pPr>
        <w:pStyle w:val="Els-Affiliation"/>
      </w:pPr>
      <w:r w:rsidRPr="00F126F7">
        <w:rPr>
          <w:vertAlign w:val="superscript"/>
        </w:rPr>
        <w:t>a</w:t>
      </w:r>
      <w:r w:rsidRPr="00F126F7">
        <w:t xml:space="preserve">School of Chemistry and Chemical Engineering, University of Surrey, Guildford, Surrey, GU2 7XH, </w:t>
      </w:r>
      <w:r w:rsidR="000E5BAC">
        <w:t>UK</w:t>
      </w:r>
      <w:r w:rsidRPr="00F126F7">
        <w:t>.</w:t>
      </w:r>
    </w:p>
    <w:p w14:paraId="0186A22E" w14:textId="5D640608" w:rsidR="00CD7F22" w:rsidRPr="00F126F7" w:rsidRDefault="00CD7F22" w:rsidP="00CD7F22">
      <w:pPr>
        <w:pStyle w:val="Els-Affiliation"/>
      </w:pPr>
      <w:r w:rsidRPr="00F126F7">
        <w:rPr>
          <w:vertAlign w:val="superscript"/>
        </w:rPr>
        <w:t>b</w:t>
      </w:r>
      <w:r w:rsidRPr="00F126F7">
        <w:t xml:space="preserve">Institute for Sustainability, University of Surrey, Guildford, Surrey, GU2 7XH, </w:t>
      </w:r>
      <w:r w:rsidR="000E5BAC">
        <w:t>UK</w:t>
      </w:r>
      <w:r w:rsidRPr="00F126F7">
        <w:t>.</w:t>
      </w:r>
    </w:p>
    <w:p w14:paraId="144DE683" w14:textId="6350B146" w:rsidR="008D2649" w:rsidRPr="00F126F7" w:rsidRDefault="00621777" w:rsidP="00CD7F22">
      <w:pPr>
        <w:pStyle w:val="Els-Affiliation"/>
      </w:pPr>
      <w:r w:rsidRPr="00F126F7">
        <w:rPr>
          <w:vertAlign w:val="superscript"/>
        </w:rPr>
        <w:t>*</w:t>
      </w:r>
      <w:r w:rsidR="00CD7F22" w:rsidRPr="00F126F7">
        <w:t>m.short@surrey.ac.uk</w:t>
      </w:r>
    </w:p>
    <w:p w14:paraId="144DE684" w14:textId="77777777" w:rsidR="008D2649" w:rsidRPr="00F126F7" w:rsidRDefault="008D2649" w:rsidP="008D2649">
      <w:pPr>
        <w:pStyle w:val="Els-Abstract"/>
        <w:rPr>
          <w:lang w:val="en-GB"/>
        </w:rPr>
      </w:pPr>
      <w:r w:rsidRPr="00F126F7">
        <w:rPr>
          <w:lang w:val="en-GB"/>
        </w:rPr>
        <w:t>Abstract</w:t>
      </w:r>
    </w:p>
    <w:p w14:paraId="12293F8D" w14:textId="24E7DAB7" w:rsidR="00AA2FC4" w:rsidRPr="00F126F7" w:rsidRDefault="00B429B0" w:rsidP="002C6174">
      <w:pPr>
        <w:pStyle w:val="Els-body-text"/>
        <w:rPr>
          <w:lang w:val="en-GB"/>
        </w:rPr>
      </w:pPr>
      <w:r w:rsidRPr="00F126F7">
        <w:rPr>
          <w:lang w:val="en-GB"/>
        </w:rPr>
        <w:t xml:space="preserve">This paper presents results </w:t>
      </w:r>
      <w:r w:rsidR="00F50712" w:rsidRPr="00F126F7">
        <w:rPr>
          <w:lang w:val="en-GB"/>
        </w:rPr>
        <w:t>for</w:t>
      </w:r>
      <w:r w:rsidR="00C66C93" w:rsidRPr="00F126F7">
        <w:rPr>
          <w:lang w:val="en-GB"/>
        </w:rPr>
        <w:t xml:space="preserve"> solving a </w:t>
      </w:r>
      <w:r w:rsidR="00C52CB8" w:rsidRPr="00F126F7">
        <w:rPr>
          <w:lang w:val="en-GB"/>
        </w:rPr>
        <w:t>mixed-integer linear programming</w:t>
      </w:r>
      <w:r w:rsidR="00D92F61">
        <w:rPr>
          <w:lang w:val="en-GB"/>
        </w:rPr>
        <w:t>-</w:t>
      </w:r>
      <w:r w:rsidR="00C52CB8" w:rsidRPr="00F126F7">
        <w:rPr>
          <w:lang w:val="en-GB"/>
        </w:rPr>
        <w:t>based</w:t>
      </w:r>
      <w:r w:rsidR="00C66C93" w:rsidRPr="00F126F7">
        <w:rPr>
          <w:lang w:val="en-GB"/>
        </w:rPr>
        <w:t xml:space="preserve"> </w:t>
      </w:r>
      <w:r w:rsidR="0044510C" w:rsidRPr="00F126F7">
        <w:rPr>
          <w:lang w:val="en-GB"/>
        </w:rPr>
        <w:t xml:space="preserve">optimal </w:t>
      </w:r>
      <w:r w:rsidR="000E1EBF" w:rsidRPr="00F126F7">
        <w:rPr>
          <w:lang w:val="en-GB"/>
        </w:rPr>
        <w:t xml:space="preserve">microgrid </w:t>
      </w:r>
      <w:r w:rsidR="00C66C93" w:rsidRPr="00F126F7">
        <w:rPr>
          <w:lang w:val="en-GB"/>
        </w:rPr>
        <w:t>design problem in a distributed fashion using the alternating direction method of multipliers</w:t>
      </w:r>
      <w:r w:rsidR="007E2D41" w:rsidRPr="00F126F7">
        <w:rPr>
          <w:lang w:val="en-GB"/>
        </w:rPr>
        <w:t xml:space="preserve"> (ADMM)</w:t>
      </w:r>
      <w:r w:rsidR="00C66C93" w:rsidRPr="00F126F7">
        <w:rPr>
          <w:lang w:val="en-GB"/>
        </w:rPr>
        <w:t>.</w:t>
      </w:r>
      <w:r w:rsidR="00C85405" w:rsidRPr="00F126F7">
        <w:rPr>
          <w:lang w:val="en-GB"/>
        </w:rPr>
        <w:t xml:space="preserve"> </w:t>
      </w:r>
      <w:r w:rsidR="00F965D4" w:rsidRPr="00F126F7">
        <w:rPr>
          <w:lang w:val="en-GB"/>
        </w:rPr>
        <w:t xml:space="preserve">A 7-bus network, with </w:t>
      </w:r>
      <w:r w:rsidR="00364495" w:rsidRPr="00F126F7">
        <w:rPr>
          <w:lang w:val="en-GB"/>
        </w:rPr>
        <w:t>options for</w:t>
      </w:r>
      <w:r w:rsidR="00F965D4" w:rsidRPr="00F126F7">
        <w:rPr>
          <w:lang w:val="en-GB"/>
        </w:rPr>
        <w:t xml:space="preserve"> installing photovoltaic</w:t>
      </w:r>
      <w:r w:rsidR="007B487A" w:rsidRPr="00F126F7">
        <w:rPr>
          <w:lang w:val="en-GB"/>
        </w:rPr>
        <w:t xml:space="preserve"> </w:t>
      </w:r>
      <w:r w:rsidR="00F965D4" w:rsidRPr="00F126F7">
        <w:rPr>
          <w:lang w:val="en-GB"/>
        </w:rPr>
        <w:t xml:space="preserve">panels, </w:t>
      </w:r>
      <w:proofErr w:type="gramStart"/>
      <w:r w:rsidR="00F965D4" w:rsidRPr="00F126F7">
        <w:rPr>
          <w:lang w:val="en-GB"/>
        </w:rPr>
        <w:t>boilers</w:t>
      </w:r>
      <w:proofErr w:type="gramEnd"/>
      <w:r w:rsidR="00F965D4" w:rsidRPr="00F126F7">
        <w:rPr>
          <w:lang w:val="en-GB"/>
        </w:rPr>
        <w:t xml:space="preserve"> and battery storage, is considered.</w:t>
      </w:r>
      <w:r w:rsidR="003F7E7D" w:rsidRPr="00F126F7">
        <w:rPr>
          <w:lang w:val="en-GB"/>
        </w:rPr>
        <w:t xml:space="preserve"> </w:t>
      </w:r>
      <w:r w:rsidR="00520179" w:rsidRPr="00F126F7">
        <w:rPr>
          <w:lang w:val="en-GB"/>
        </w:rPr>
        <w:t xml:space="preserve">A </w:t>
      </w:r>
      <w:r w:rsidR="008861EC" w:rsidRPr="00F126F7">
        <w:rPr>
          <w:lang w:val="en-GB"/>
        </w:rPr>
        <w:t xml:space="preserve">representative-season, </w:t>
      </w:r>
      <w:r w:rsidR="00520179" w:rsidRPr="00F126F7">
        <w:rPr>
          <w:lang w:val="en-GB"/>
        </w:rPr>
        <w:t xml:space="preserve">multi-year formulation is presented </w:t>
      </w:r>
      <w:r w:rsidR="00502DFE" w:rsidRPr="00F126F7">
        <w:rPr>
          <w:lang w:val="en-GB"/>
        </w:rPr>
        <w:t>and</w:t>
      </w:r>
      <w:r w:rsidR="002538BA">
        <w:rPr>
          <w:lang w:val="en-GB"/>
        </w:rPr>
        <w:t>,</w:t>
      </w:r>
      <w:r w:rsidR="00502DFE" w:rsidRPr="00F126F7">
        <w:rPr>
          <w:lang w:val="en-GB"/>
        </w:rPr>
        <w:t xml:space="preserve"> when solved in a </w:t>
      </w:r>
      <w:r w:rsidR="006D6BB0" w:rsidRPr="00F126F7">
        <w:rPr>
          <w:lang w:val="en-GB"/>
        </w:rPr>
        <w:t>distributed</w:t>
      </w:r>
      <w:r w:rsidR="00502DFE" w:rsidRPr="00F126F7">
        <w:rPr>
          <w:lang w:val="en-GB"/>
        </w:rPr>
        <w:t xml:space="preserve"> fashion, </w:t>
      </w:r>
      <w:r w:rsidR="00CA02B5" w:rsidRPr="00F126F7">
        <w:rPr>
          <w:lang w:val="en-GB"/>
        </w:rPr>
        <w:t>was</w:t>
      </w:r>
      <w:r w:rsidR="00502DFE" w:rsidRPr="00F126F7">
        <w:rPr>
          <w:lang w:val="en-GB"/>
        </w:rPr>
        <w:t xml:space="preserve"> decomposed temporally</w:t>
      </w:r>
      <w:r w:rsidR="006D6BB0" w:rsidRPr="00F126F7">
        <w:rPr>
          <w:lang w:val="en-GB"/>
        </w:rPr>
        <w:t xml:space="preserve">. It is shown that </w:t>
      </w:r>
      <w:r w:rsidR="002C286D" w:rsidRPr="00F126F7">
        <w:rPr>
          <w:lang w:val="en-GB"/>
        </w:rPr>
        <w:t xml:space="preserve">when a sufficiently large number of years are considered, </w:t>
      </w:r>
      <w:r w:rsidR="000754B7" w:rsidRPr="00F126F7">
        <w:rPr>
          <w:lang w:val="en-GB"/>
        </w:rPr>
        <w:t>assuming the ADMM iterations are computed in parallel</w:t>
      </w:r>
      <w:r w:rsidR="00720F57" w:rsidRPr="00F126F7">
        <w:rPr>
          <w:lang w:val="en-GB"/>
        </w:rPr>
        <w:t>,</w:t>
      </w:r>
      <w:r w:rsidR="000754B7" w:rsidRPr="00F126F7">
        <w:rPr>
          <w:lang w:val="en-GB"/>
        </w:rPr>
        <w:t xml:space="preserve"> then the overall solve time </w:t>
      </w:r>
      <w:r w:rsidR="0047038E" w:rsidRPr="00F126F7">
        <w:rPr>
          <w:lang w:val="en-GB"/>
        </w:rPr>
        <w:t>can</w:t>
      </w:r>
      <w:r w:rsidR="000754B7" w:rsidRPr="00F126F7">
        <w:rPr>
          <w:lang w:val="en-GB"/>
        </w:rPr>
        <w:t xml:space="preserve"> be less than that of the same problem solved in a </w:t>
      </w:r>
      <w:r w:rsidR="00F25A51">
        <w:rPr>
          <w:lang w:val="en-GB"/>
        </w:rPr>
        <w:t>centralised</w:t>
      </w:r>
      <w:r w:rsidR="000754B7" w:rsidRPr="00F126F7">
        <w:rPr>
          <w:lang w:val="en-GB"/>
        </w:rPr>
        <w:t xml:space="preserve"> manner</w:t>
      </w:r>
      <w:r w:rsidR="008E6DAF" w:rsidRPr="00F126F7">
        <w:rPr>
          <w:lang w:val="en-GB"/>
        </w:rPr>
        <w:t xml:space="preserve">, whilst still producing </w:t>
      </w:r>
      <w:r w:rsidR="008E2A0A" w:rsidRPr="00F126F7">
        <w:rPr>
          <w:lang w:val="en-GB"/>
        </w:rPr>
        <w:t>near-optimal results</w:t>
      </w:r>
      <w:r w:rsidR="000754B7" w:rsidRPr="00F126F7">
        <w:rPr>
          <w:lang w:val="en-GB"/>
        </w:rPr>
        <w:t>.</w:t>
      </w:r>
      <w:r w:rsidR="00AA2915">
        <w:rPr>
          <w:lang w:val="en-GB"/>
        </w:rPr>
        <w:t xml:space="preserve"> </w:t>
      </w:r>
      <w:r w:rsidR="000405B4">
        <w:rPr>
          <w:lang w:val="en-GB"/>
        </w:rPr>
        <w:t xml:space="preserve">When considering </w:t>
      </w:r>
      <w:r w:rsidR="00ED40D0">
        <w:rPr>
          <w:lang w:val="en-GB"/>
        </w:rPr>
        <w:t xml:space="preserve">a time period of </w:t>
      </w:r>
      <w:r w:rsidR="000405B4">
        <w:rPr>
          <w:lang w:val="en-GB"/>
        </w:rPr>
        <w:t>50 years, a reduction of 4</w:t>
      </w:r>
      <w:r w:rsidR="00145A8B">
        <w:rPr>
          <w:lang w:val="en-GB"/>
        </w:rPr>
        <w:t>3</w:t>
      </w:r>
      <w:r w:rsidR="00CC604F">
        <w:rPr>
          <w:lang w:val="en-GB"/>
        </w:rPr>
        <w:t xml:space="preserve"> </w:t>
      </w:r>
      <w:r w:rsidR="000405B4">
        <w:rPr>
          <w:lang w:val="en-GB"/>
        </w:rPr>
        <w:t xml:space="preserve">% in overall </w:t>
      </w:r>
      <w:r w:rsidR="00145A8B">
        <w:rPr>
          <w:lang w:val="en-GB"/>
        </w:rPr>
        <w:t>solve time is achieved.</w:t>
      </w:r>
      <w:r w:rsidR="00404687">
        <w:rPr>
          <w:lang w:val="en-GB"/>
        </w:rPr>
        <w:t xml:space="preserve"> </w:t>
      </w:r>
      <w:r w:rsidR="00E52FD7">
        <w:rPr>
          <w:lang w:val="en-GB"/>
        </w:rPr>
        <w:t xml:space="preserve">This highlights the potential use </w:t>
      </w:r>
      <w:r w:rsidR="005F617D">
        <w:rPr>
          <w:lang w:val="en-GB"/>
        </w:rPr>
        <w:t>of</w:t>
      </w:r>
      <w:r w:rsidR="00E52FD7">
        <w:rPr>
          <w:lang w:val="en-GB"/>
        </w:rPr>
        <w:t xml:space="preserve"> this technique to enable </w:t>
      </w:r>
      <w:r w:rsidR="00AA2FC4">
        <w:rPr>
          <w:lang w:val="en-GB"/>
        </w:rPr>
        <w:t xml:space="preserve">the design of microgrids at scales </w:t>
      </w:r>
      <w:r w:rsidR="00371ECB">
        <w:rPr>
          <w:lang w:val="en-GB"/>
        </w:rPr>
        <w:t>w</w:t>
      </w:r>
      <w:r w:rsidR="00AA2FC4">
        <w:rPr>
          <w:lang w:val="en-GB"/>
        </w:rPr>
        <w:t xml:space="preserve">here </w:t>
      </w:r>
      <w:r w:rsidR="00371ECB">
        <w:rPr>
          <w:lang w:val="en-GB"/>
        </w:rPr>
        <w:t>centralised methods</w:t>
      </w:r>
      <w:r w:rsidR="00AA2FC4">
        <w:rPr>
          <w:lang w:val="en-GB"/>
        </w:rPr>
        <w:t xml:space="preserve"> may </w:t>
      </w:r>
      <w:r w:rsidR="00371ECB">
        <w:rPr>
          <w:lang w:val="en-GB"/>
        </w:rPr>
        <w:t>struggle.</w:t>
      </w:r>
    </w:p>
    <w:p w14:paraId="5FD73497" w14:textId="77777777" w:rsidR="005A7520" w:rsidRPr="00F126F7" w:rsidRDefault="005A7520" w:rsidP="005A7520">
      <w:pPr>
        <w:pStyle w:val="Els-body-text"/>
        <w:rPr>
          <w:lang w:val="en-GB"/>
        </w:rPr>
      </w:pPr>
    </w:p>
    <w:p w14:paraId="144DE687" w14:textId="0259387F" w:rsidR="008D2649" w:rsidRPr="00F126F7" w:rsidRDefault="008D2649" w:rsidP="008D2649">
      <w:pPr>
        <w:pStyle w:val="Els-body-text"/>
        <w:spacing w:after="120"/>
        <w:rPr>
          <w:lang w:val="en-GB"/>
        </w:rPr>
      </w:pPr>
      <w:r w:rsidRPr="00F126F7">
        <w:rPr>
          <w:b/>
          <w:bCs/>
          <w:lang w:val="en-GB"/>
        </w:rPr>
        <w:t>Keywords</w:t>
      </w:r>
      <w:r w:rsidRPr="00F126F7">
        <w:rPr>
          <w:lang w:val="en-GB"/>
        </w:rPr>
        <w:t xml:space="preserve">: </w:t>
      </w:r>
      <w:r w:rsidR="00B51182" w:rsidRPr="00F126F7">
        <w:rPr>
          <w:lang w:val="en-GB"/>
        </w:rPr>
        <w:t>Distributed Energy Systems, Renewable Energy, Distributed Optimi</w:t>
      </w:r>
      <w:r w:rsidR="002937C7">
        <w:rPr>
          <w:lang w:val="en-GB"/>
        </w:rPr>
        <w:t>s</w:t>
      </w:r>
      <w:r w:rsidR="00B51182" w:rsidRPr="00F126F7">
        <w:rPr>
          <w:lang w:val="en-GB"/>
        </w:rPr>
        <w:t>ation, ADMM</w:t>
      </w:r>
    </w:p>
    <w:p w14:paraId="144DE689" w14:textId="790FA428" w:rsidR="008D2649" w:rsidRPr="00F126F7" w:rsidRDefault="006239C7" w:rsidP="008D2649">
      <w:pPr>
        <w:pStyle w:val="Els-1storder-head"/>
        <w:rPr>
          <w:lang w:val="en-GB"/>
        </w:rPr>
      </w:pPr>
      <w:r w:rsidRPr="00F126F7">
        <w:rPr>
          <w:lang w:val="en-GB"/>
        </w:rPr>
        <w:t>Introduction</w:t>
      </w:r>
    </w:p>
    <w:p w14:paraId="30103537" w14:textId="372091B9" w:rsidR="003521B5" w:rsidRPr="00F126F7" w:rsidRDefault="00121D35" w:rsidP="00C615D2">
      <w:pPr>
        <w:pStyle w:val="Els-body-text"/>
        <w:rPr>
          <w:lang w:val="en-GB"/>
        </w:rPr>
      </w:pPr>
      <w:r w:rsidRPr="00F126F7">
        <w:rPr>
          <w:lang w:val="en-GB"/>
        </w:rPr>
        <w:t xml:space="preserve">To meet the pressing need of net-zero carbon emissions, </w:t>
      </w:r>
      <w:r w:rsidR="009B45CF" w:rsidRPr="00F126F7">
        <w:rPr>
          <w:lang w:val="en-GB"/>
        </w:rPr>
        <w:t xml:space="preserve">electrical grids have been undergoing a </w:t>
      </w:r>
      <w:r w:rsidR="00484341" w:rsidRPr="00F126F7">
        <w:rPr>
          <w:lang w:val="en-GB"/>
        </w:rPr>
        <w:t xml:space="preserve">recent </w:t>
      </w:r>
      <w:r w:rsidR="009B45CF" w:rsidRPr="00F126F7">
        <w:rPr>
          <w:lang w:val="en-GB"/>
        </w:rPr>
        <w:t>radical process of decarboni</w:t>
      </w:r>
      <w:r w:rsidR="002937C7">
        <w:rPr>
          <w:lang w:val="en-GB"/>
        </w:rPr>
        <w:t>s</w:t>
      </w:r>
      <w:r w:rsidR="009B45CF" w:rsidRPr="00F126F7">
        <w:rPr>
          <w:lang w:val="en-GB"/>
        </w:rPr>
        <w:t>ation</w:t>
      </w:r>
      <w:r w:rsidR="00500D75" w:rsidRPr="00F126F7">
        <w:rPr>
          <w:lang w:val="en-GB"/>
        </w:rPr>
        <w:t xml:space="preserve">. </w:t>
      </w:r>
      <w:r w:rsidR="001D2F9D" w:rsidRPr="00F126F7">
        <w:rPr>
          <w:lang w:val="en-GB"/>
        </w:rPr>
        <w:t>One of the k</w:t>
      </w:r>
      <w:r w:rsidR="00153884" w:rsidRPr="00F126F7">
        <w:rPr>
          <w:lang w:val="en-GB"/>
        </w:rPr>
        <w:t>ey</w:t>
      </w:r>
      <w:r w:rsidR="001D2F9D" w:rsidRPr="00F126F7">
        <w:rPr>
          <w:lang w:val="en-GB"/>
        </w:rPr>
        <w:t>s</w:t>
      </w:r>
      <w:r w:rsidR="00153884" w:rsidRPr="00F126F7">
        <w:rPr>
          <w:lang w:val="en-GB"/>
        </w:rPr>
        <w:t xml:space="preserve"> to enabling this has been distributed energy resources such as </w:t>
      </w:r>
      <w:r w:rsidR="003E6D22" w:rsidRPr="00F126F7">
        <w:rPr>
          <w:lang w:val="en-GB"/>
        </w:rPr>
        <w:t xml:space="preserve">photovoltaic </w:t>
      </w:r>
      <w:r w:rsidR="003E6D22" w:rsidRPr="00093122">
        <w:t xml:space="preserve">(PV) </w:t>
      </w:r>
      <w:r w:rsidR="003E6D22" w:rsidRPr="00F126F7">
        <w:rPr>
          <w:lang w:val="en-GB"/>
        </w:rPr>
        <w:t>panels and battery storage</w:t>
      </w:r>
      <w:r w:rsidR="00C61443" w:rsidRPr="00F126F7">
        <w:rPr>
          <w:lang w:val="en-GB"/>
        </w:rPr>
        <w:t xml:space="preserve"> which can be </w:t>
      </w:r>
      <w:r w:rsidR="007B487A" w:rsidRPr="00F126F7">
        <w:rPr>
          <w:lang w:val="en-GB"/>
        </w:rPr>
        <w:t>co-located at</w:t>
      </w:r>
      <w:r w:rsidR="0073504E" w:rsidRPr="00F126F7">
        <w:rPr>
          <w:lang w:val="en-GB"/>
        </w:rPr>
        <w:t xml:space="preserve"> electrical loads to </w:t>
      </w:r>
      <w:r w:rsidR="005E1434" w:rsidRPr="00F126F7">
        <w:rPr>
          <w:lang w:val="en-GB"/>
        </w:rPr>
        <w:t>form connected or islanded microgrids.</w:t>
      </w:r>
    </w:p>
    <w:p w14:paraId="2C4A09E3" w14:textId="49C3A8DE" w:rsidR="00FB79F0" w:rsidRPr="00F126F7" w:rsidRDefault="003521B5" w:rsidP="00C615D2">
      <w:pPr>
        <w:pStyle w:val="Els-body-text"/>
        <w:rPr>
          <w:lang w:val="en-GB"/>
        </w:rPr>
      </w:pPr>
      <w:r w:rsidRPr="00F126F7">
        <w:rPr>
          <w:lang w:val="en-GB"/>
        </w:rPr>
        <w:t>The</w:t>
      </w:r>
      <w:r w:rsidR="00FC616A" w:rsidRPr="00F126F7">
        <w:rPr>
          <w:lang w:val="en-GB"/>
        </w:rPr>
        <w:t xml:space="preserve"> optimal</w:t>
      </w:r>
      <w:r w:rsidRPr="00F126F7">
        <w:rPr>
          <w:lang w:val="en-GB"/>
        </w:rPr>
        <w:t xml:space="preserve"> design problem </w:t>
      </w:r>
      <w:r w:rsidR="00B22B02" w:rsidRPr="00F126F7">
        <w:rPr>
          <w:lang w:val="en-GB"/>
        </w:rPr>
        <w:t xml:space="preserve">of </w:t>
      </w:r>
      <w:r w:rsidR="003B2B3F" w:rsidRPr="00F126F7">
        <w:rPr>
          <w:lang w:val="en-GB"/>
        </w:rPr>
        <w:t xml:space="preserve">determining the optimal placement and sizing of these assets to jointly </w:t>
      </w:r>
      <w:r w:rsidR="007B487A" w:rsidRPr="00F126F7">
        <w:rPr>
          <w:lang w:val="en-GB"/>
        </w:rPr>
        <w:t xml:space="preserve">minimise </w:t>
      </w:r>
      <w:r w:rsidR="003B2B3F" w:rsidRPr="00F126F7">
        <w:rPr>
          <w:lang w:val="en-GB"/>
        </w:rPr>
        <w:t>the capital</w:t>
      </w:r>
      <w:r w:rsidR="00CE52D6" w:rsidRPr="00F126F7">
        <w:rPr>
          <w:lang w:val="en-GB"/>
        </w:rPr>
        <w:t xml:space="preserve"> (CAPEX)</w:t>
      </w:r>
      <w:r w:rsidR="003B2B3F" w:rsidRPr="00F126F7">
        <w:rPr>
          <w:lang w:val="en-GB"/>
        </w:rPr>
        <w:t xml:space="preserve"> and operational</w:t>
      </w:r>
      <w:r w:rsidR="00CE52D6" w:rsidRPr="00F126F7">
        <w:rPr>
          <w:lang w:val="en-GB"/>
        </w:rPr>
        <w:t xml:space="preserve"> </w:t>
      </w:r>
      <w:r w:rsidR="005B372B" w:rsidRPr="00F126F7">
        <w:rPr>
          <w:lang w:val="en-GB"/>
        </w:rPr>
        <w:t>(</w:t>
      </w:r>
      <w:r w:rsidR="00CE52D6" w:rsidRPr="00F126F7">
        <w:rPr>
          <w:lang w:val="en-GB"/>
        </w:rPr>
        <w:t>OPEX)</w:t>
      </w:r>
      <w:r w:rsidR="003B2B3F" w:rsidRPr="00F126F7">
        <w:rPr>
          <w:lang w:val="en-GB"/>
        </w:rPr>
        <w:t xml:space="preserve"> expenditure</w:t>
      </w:r>
      <w:r w:rsidR="00DF1731" w:rsidRPr="00F126F7">
        <w:rPr>
          <w:lang w:val="en-GB"/>
        </w:rPr>
        <w:t xml:space="preserve">, over a fixed time period, </w:t>
      </w:r>
      <w:r w:rsidR="00176161" w:rsidRPr="00F126F7">
        <w:rPr>
          <w:lang w:val="en-GB"/>
        </w:rPr>
        <w:t>can be</w:t>
      </w:r>
      <w:r w:rsidR="002D065B" w:rsidRPr="00F126F7">
        <w:rPr>
          <w:lang w:val="en-GB"/>
        </w:rPr>
        <w:t xml:space="preserve"> formulated as a</w:t>
      </w:r>
      <w:r w:rsidR="00BE12AA">
        <w:rPr>
          <w:lang w:val="en-GB"/>
        </w:rPr>
        <w:t xml:space="preserve"> mixed</w:t>
      </w:r>
      <w:r w:rsidR="006E66DA">
        <w:rPr>
          <w:lang w:val="en-GB"/>
        </w:rPr>
        <w:t>-integer linear programming</w:t>
      </w:r>
      <w:r w:rsidR="007B487A" w:rsidRPr="00F126F7">
        <w:rPr>
          <w:lang w:val="en-GB"/>
        </w:rPr>
        <w:t xml:space="preserve"> </w:t>
      </w:r>
      <w:r w:rsidR="006E66DA">
        <w:rPr>
          <w:lang w:val="en-GB"/>
        </w:rPr>
        <w:t>(</w:t>
      </w:r>
      <w:r w:rsidR="002D065B" w:rsidRPr="00F126F7">
        <w:rPr>
          <w:lang w:val="en-GB"/>
        </w:rPr>
        <w:t>MILP</w:t>
      </w:r>
      <w:r w:rsidR="0020616C">
        <w:rPr>
          <w:lang w:val="en-GB"/>
        </w:rPr>
        <w:t>)</w:t>
      </w:r>
      <w:r w:rsidR="002D065B" w:rsidRPr="00F126F7">
        <w:rPr>
          <w:lang w:val="en-GB"/>
        </w:rPr>
        <w:t xml:space="preserve"> problem.</w:t>
      </w:r>
      <w:r w:rsidR="007B487A" w:rsidRPr="00F126F7">
        <w:rPr>
          <w:lang w:val="en-GB"/>
        </w:rPr>
        <w:t xml:space="preserve"> </w:t>
      </w:r>
      <w:r w:rsidR="00392A40" w:rsidRPr="00F126F7">
        <w:rPr>
          <w:lang w:val="en-GB"/>
        </w:rPr>
        <w:t>Problems of this form</w:t>
      </w:r>
      <w:r w:rsidR="001621C4" w:rsidRPr="00F126F7">
        <w:rPr>
          <w:lang w:val="en-GB"/>
        </w:rPr>
        <w:t xml:space="preserve"> </w:t>
      </w:r>
      <w:r w:rsidR="00392A40" w:rsidRPr="00F126F7">
        <w:rPr>
          <w:lang w:val="en-GB"/>
        </w:rPr>
        <w:t>can</w:t>
      </w:r>
      <w:r w:rsidR="001621C4" w:rsidRPr="00F126F7">
        <w:rPr>
          <w:lang w:val="en-GB"/>
        </w:rPr>
        <w:t xml:space="preserve"> </w:t>
      </w:r>
      <w:r w:rsidR="00392A40" w:rsidRPr="00F126F7">
        <w:rPr>
          <w:lang w:val="en-GB"/>
        </w:rPr>
        <w:t>be</w:t>
      </w:r>
      <w:r w:rsidR="001621C4" w:rsidRPr="00F126F7">
        <w:rPr>
          <w:lang w:val="en-GB"/>
        </w:rPr>
        <w:t xml:space="preserve"> decomposed and solved in a distributed manner using ADMM</w:t>
      </w:r>
      <w:r w:rsidR="00A256E9">
        <w:rPr>
          <w:lang w:val="en-GB"/>
        </w:rPr>
        <w:t xml:space="preserve">, described by Boyd et al. (2011) as a </w:t>
      </w:r>
      <w:r w:rsidR="000B572A">
        <w:rPr>
          <w:lang w:val="en-GB"/>
        </w:rPr>
        <w:t xml:space="preserve">means of solving </w:t>
      </w:r>
      <w:r w:rsidR="00AF6E0C">
        <w:rPr>
          <w:lang w:val="en-GB"/>
        </w:rPr>
        <w:t xml:space="preserve">convex optimisation problems </w:t>
      </w:r>
      <w:r w:rsidR="002B3F6A">
        <w:rPr>
          <w:lang w:val="en-GB"/>
        </w:rPr>
        <w:t>containing separable objective functions</w:t>
      </w:r>
      <w:r w:rsidR="00DF3F0A">
        <w:rPr>
          <w:lang w:val="en-GB"/>
        </w:rPr>
        <w:t>,</w:t>
      </w:r>
      <w:r w:rsidR="00BB29BD">
        <w:rPr>
          <w:lang w:val="en-GB"/>
        </w:rPr>
        <w:t xml:space="preserve"> using a “decomposition-coordination” process</w:t>
      </w:r>
      <w:r w:rsidR="003A4A93">
        <w:rPr>
          <w:lang w:val="en-GB"/>
        </w:rPr>
        <w:t>.</w:t>
      </w:r>
      <w:r w:rsidR="00062B71">
        <w:rPr>
          <w:lang w:val="en-GB"/>
        </w:rPr>
        <w:t xml:space="preserve"> </w:t>
      </w:r>
      <w:r w:rsidR="00B6662F">
        <w:rPr>
          <w:lang w:val="en-GB"/>
        </w:rPr>
        <w:t>The objective terms for the original problem are decomposed into smaller subproblems</w:t>
      </w:r>
      <w:r w:rsidR="007E448E">
        <w:rPr>
          <w:lang w:val="en-GB"/>
        </w:rPr>
        <w:t xml:space="preserve">, </w:t>
      </w:r>
      <w:r w:rsidR="000E1CD9">
        <w:rPr>
          <w:lang w:val="en-GB"/>
        </w:rPr>
        <w:t>solved in parallel</w:t>
      </w:r>
      <w:r w:rsidR="007E448E">
        <w:rPr>
          <w:lang w:val="en-GB"/>
        </w:rPr>
        <w:t>, with</w:t>
      </w:r>
      <w:r w:rsidR="00E53BB9">
        <w:rPr>
          <w:lang w:val="en-GB"/>
        </w:rPr>
        <w:t xml:space="preserve"> coordination step</w:t>
      </w:r>
      <w:r w:rsidR="00A90AD4">
        <w:rPr>
          <w:lang w:val="en-GB"/>
        </w:rPr>
        <w:t>s</w:t>
      </w:r>
      <w:r w:rsidR="00E53BB9">
        <w:rPr>
          <w:lang w:val="en-GB"/>
        </w:rPr>
        <w:t xml:space="preserve"> </w:t>
      </w:r>
      <w:r w:rsidR="00CA5489">
        <w:rPr>
          <w:lang w:val="en-GB"/>
        </w:rPr>
        <w:t xml:space="preserve">to ensure a uniform </w:t>
      </w:r>
      <w:r w:rsidR="00A90AD4">
        <w:rPr>
          <w:lang w:val="en-GB"/>
        </w:rPr>
        <w:t xml:space="preserve">overall </w:t>
      </w:r>
      <w:r w:rsidR="00CA5489">
        <w:rPr>
          <w:lang w:val="en-GB"/>
        </w:rPr>
        <w:t>solution</w:t>
      </w:r>
      <w:r w:rsidR="0032751F">
        <w:rPr>
          <w:lang w:val="en-GB"/>
        </w:rPr>
        <w:t xml:space="preserve"> </w:t>
      </w:r>
      <w:r w:rsidR="00A865E0" w:rsidRPr="00F126F7">
        <w:rPr>
          <w:lang w:val="en-GB"/>
        </w:rPr>
        <w:t xml:space="preserve">(Boyd et al., 2011). </w:t>
      </w:r>
      <w:r w:rsidR="00A54509" w:rsidRPr="00F126F7">
        <w:rPr>
          <w:lang w:val="en-GB"/>
        </w:rPr>
        <w:t xml:space="preserve">Whilst a well-known drawback of ADMM </w:t>
      </w:r>
      <w:r w:rsidR="00E87C6E" w:rsidRPr="00F126F7">
        <w:rPr>
          <w:lang w:val="en-GB"/>
        </w:rPr>
        <w:t xml:space="preserve">is its </w:t>
      </w:r>
      <w:r w:rsidR="00ED4A90" w:rsidRPr="00F126F7">
        <w:rPr>
          <w:lang w:val="en-GB"/>
        </w:rPr>
        <w:t>slow convergence rate</w:t>
      </w:r>
      <w:r w:rsidR="006F5435" w:rsidRPr="00F126F7">
        <w:rPr>
          <w:lang w:val="en-GB"/>
        </w:rPr>
        <w:t xml:space="preserve"> </w:t>
      </w:r>
      <w:r w:rsidR="00ED4A90" w:rsidRPr="00F126F7">
        <w:rPr>
          <w:lang w:val="en-GB"/>
        </w:rPr>
        <w:t xml:space="preserve">(Boyd et al., 2011), </w:t>
      </w:r>
      <w:r w:rsidR="00E87C6E" w:rsidRPr="00F126F7">
        <w:rPr>
          <w:lang w:val="en-GB"/>
        </w:rPr>
        <w:t>w</w:t>
      </w:r>
      <w:r w:rsidR="00D057D9" w:rsidRPr="00F126F7">
        <w:rPr>
          <w:lang w:val="en-GB"/>
        </w:rPr>
        <w:t xml:space="preserve">ith a sufficient level of </w:t>
      </w:r>
      <w:r w:rsidR="007B487A" w:rsidRPr="00F126F7">
        <w:rPr>
          <w:lang w:val="en-GB"/>
        </w:rPr>
        <w:t>parallelisation</w:t>
      </w:r>
      <w:r w:rsidR="00D057D9" w:rsidRPr="00F126F7">
        <w:rPr>
          <w:lang w:val="en-GB"/>
        </w:rPr>
        <w:t xml:space="preserve">, </w:t>
      </w:r>
      <w:r w:rsidR="004E3B2A" w:rsidRPr="00F126F7">
        <w:rPr>
          <w:lang w:val="en-GB"/>
        </w:rPr>
        <w:t xml:space="preserve">the </w:t>
      </w:r>
      <w:r w:rsidR="00094A01" w:rsidRPr="00F126F7">
        <w:rPr>
          <w:lang w:val="en-GB"/>
        </w:rPr>
        <w:t xml:space="preserve">overall </w:t>
      </w:r>
      <w:r w:rsidR="004E3B2A" w:rsidRPr="00F126F7">
        <w:rPr>
          <w:lang w:val="en-GB"/>
        </w:rPr>
        <w:t xml:space="preserve">solve time for </w:t>
      </w:r>
      <w:r w:rsidR="00575F70" w:rsidRPr="00F126F7">
        <w:rPr>
          <w:lang w:val="en-GB"/>
        </w:rPr>
        <w:t xml:space="preserve">other </w:t>
      </w:r>
      <w:r w:rsidR="004E3B2A" w:rsidRPr="00F126F7">
        <w:rPr>
          <w:lang w:val="en-GB"/>
        </w:rPr>
        <w:t>problem</w:t>
      </w:r>
      <w:r w:rsidR="00575F70" w:rsidRPr="00F126F7">
        <w:rPr>
          <w:lang w:val="en-GB"/>
        </w:rPr>
        <w:t xml:space="preserve"> formulations</w:t>
      </w:r>
      <w:r w:rsidR="004E3B2A" w:rsidRPr="00F126F7">
        <w:rPr>
          <w:lang w:val="en-GB"/>
        </w:rPr>
        <w:t xml:space="preserve"> using ADMM </w:t>
      </w:r>
      <w:r w:rsidR="00094A01" w:rsidRPr="00F126F7">
        <w:rPr>
          <w:lang w:val="en-GB"/>
        </w:rPr>
        <w:t>ha</w:t>
      </w:r>
      <w:r w:rsidR="00E469C8">
        <w:rPr>
          <w:lang w:val="en-GB"/>
        </w:rPr>
        <w:t>s</w:t>
      </w:r>
      <w:r w:rsidR="00094A01" w:rsidRPr="00F126F7">
        <w:rPr>
          <w:lang w:val="en-GB"/>
        </w:rPr>
        <w:t xml:space="preserve"> been shown to</w:t>
      </w:r>
      <w:r w:rsidR="004E3B2A" w:rsidRPr="00F126F7">
        <w:rPr>
          <w:lang w:val="en-GB"/>
        </w:rPr>
        <w:t xml:space="preserve"> be reduced below that of the equivalent </w:t>
      </w:r>
      <w:r w:rsidR="007B487A" w:rsidRPr="00F126F7">
        <w:rPr>
          <w:lang w:val="en-GB"/>
        </w:rPr>
        <w:t xml:space="preserve">centralised </w:t>
      </w:r>
      <w:r w:rsidR="006066F9" w:rsidRPr="00F126F7">
        <w:rPr>
          <w:lang w:val="en-GB"/>
        </w:rPr>
        <w:t>problem formulation (Guo et al., 2017).</w:t>
      </w:r>
      <w:r w:rsidR="00905449">
        <w:rPr>
          <w:lang w:val="en-GB"/>
        </w:rPr>
        <w:t xml:space="preserve"> The literature shows that</w:t>
      </w:r>
      <w:r w:rsidR="007E0E95">
        <w:rPr>
          <w:lang w:val="en-GB"/>
        </w:rPr>
        <w:t xml:space="preserve"> ADMM has been </w:t>
      </w:r>
      <w:r w:rsidR="006E1F2E">
        <w:rPr>
          <w:lang w:val="en-GB"/>
        </w:rPr>
        <w:t>applied extensively to problems relating to microgrids, such as energy trading</w:t>
      </w:r>
      <w:r w:rsidR="002C07B5">
        <w:rPr>
          <w:lang w:val="en-GB"/>
        </w:rPr>
        <w:t xml:space="preserve"> </w:t>
      </w:r>
      <w:r w:rsidR="00976D15">
        <w:rPr>
          <w:lang w:val="en-GB"/>
        </w:rPr>
        <w:t>(</w:t>
      </w:r>
      <w:r w:rsidR="00976D15" w:rsidRPr="00976D15">
        <w:rPr>
          <w:lang w:val="en-GB"/>
        </w:rPr>
        <w:t xml:space="preserve">Paudel and </w:t>
      </w:r>
      <w:proofErr w:type="spellStart"/>
      <w:r w:rsidR="00976D15" w:rsidRPr="00976D15">
        <w:rPr>
          <w:lang w:val="en-GB"/>
        </w:rPr>
        <w:t>Gooi</w:t>
      </w:r>
      <w:proofErr w:type="spellEnd"/>
      <w:r w:rsidR="00976D15" w:rsidRPr="00976D15">
        <w:rPr>
          <w:lang w:val="en-GB"/>
        </w:rPr>
        <w:t>, 2019</w:t>
      </w:r>
      <w:r w:rsidR="00976D15">
        <w:rPr>
          <w:lang w:val="en-GB"/>
        </w:rPr>
        <w:t>)</w:t>
      </w:r>
      <w:r w:rsidR="006E1F2E">
        <w:rPr>
          <w:lang w:val="en-GB"/>
        </w:rPr>
        <w:t>, economic dispatch</w:t>
      </w:r>
      <w:r w:rsidR="002C07B5">
        <w:rPr>
          <w:lang w:val="en-GB"/>
        </w:rPr>
        <w:t xml:space="preserve"> </w:t>
      </w:r>
      <w:r w:rsidR="003E0074">
        <w:t>(Chen and Yang, 2018)</w:t>
      </w:r>
      <w:r w:rsidR="006E1F2E">
        <w:rPr>
          <w:lang w:val="en-GB"/>
        </w:rPr>
        <w:t xml:space="preserve"> </w:t>
      </w:r>
      <w:r w:rsidR="002C07B5">
        <w:rPr>
          <w:lang w:val="en-GB"/>
        </w:rPr>
        <w:t xml:space="preserve">and </w:t>
      </w:r>
      <w:r w:rsidR="0026390D">
        <w:rPr>
          <w:lang w:val="en-GB"/>
        </w:rPr>
        <w:t>optimal power flow</w:t>
      </w:r>
      <w:r w:rsidR="002C07B5">
        <w:rPr>
          <w:lang w:val="en-GB"/>
        </w:rPr>
        <w:t xml:space="preserve"> </w:t>
      </w:r>
      <w:r w:rsidR="00F720CB">
        <w:rPr>
          <w:lang w:val="en-GB"/>
        </w:rPr>
        <w:t>(Wang et al., 2020)</w:t>
      </w:r>
      <w:r w:rsidR="00754626">
        <w:rPr>
          <w:lang w:val="en-GB"/>
        </w:rPr>
        <w:t xml:space="preserve"> but has not,</w:t>
      </w:r>
      <w:r w:rsidR="002C07B5">
        <w:rPr>
          <w:lang w:val="en-GB"/>
        </w:rPr>
        <w:t xml:space="preserve"> t</w:t>
      </w:r>
      <w:r w:rsidR="006F53C1">
        <w:rPr>
          <w:lang w:val="en-GB"/>
        </w:rPr>
        <w:t xml:space="preserve">o the authors </w:t>
      </w:r>
      <w:r w:rsidR="006F53C1">
        <w:rPr>
          <w:lang w:val="en-GB"/>
        </w:rPr>
        <w:lastRenderedPageBreak/>
        <w:t>knowledge</w:t>
      </w:r>
      <w:r w:rsidR="00754626">
        <w:rPr>
          <w:lang w:val="en-GB"/>
        </w:rPr>
        <w:t xml:space="preserve">, </w:t>
      </w:r>
      <w:r w:rsidR="006F53C1">
        <w:rPr>
          <w:lang w:val="en-GB"/>
        </w:rPr>
        <w:t xml:space="preserve">previously been used for microgrid </w:t>
      </w:r>
      <w:r w:rsidR="007E0E95">
        <w:rPr>
          <w:lang w:val="en-GB"/>
        </w:rPr>
        <w:t>design problems</w:t>
      </w:r>
      <w:r w:rsidR="00992C6E">
        <w:rPr>
          <w:lang w:val="en-GB"/>
        </w:rPr>
        <w:t xml:space="preserve">. This is </w:t>
      </w:r>
      <w:r w:rsidR="00F72FD6">
        <w:rPr>
          <w:lang w:val="en-GB"/>
        </w:rPr>
        <w:t>further</w:t>
      </w:r>
      <w:r w:rsidR="00992C6E">
        <w:rPr>
          <w:lang w:val="en-GB"/>
        </w:rPr>
        <w:t xml:space="preserve"> evidenced </w:t>
      </w:r>
      <w:r w:rsidR="00F72FD6">
        <w:rPr>
          <w:lang w:val="en-GB"/>
        </w:rPr>
        <w:t xml:space="preserve">by the fact that design problems are not referenced as a </w:t>
      </w:r>
      <w:r w:rsidR="002B713A">
        <w:rPr>
          <w:lang w:val="en-GB"/>
        </w:rPr>
        <w:t>considered application area in a recent survey examining the use of ADMM in smart power grids</w:t>
      </w:r>
      <w:r w:rsidR="00B82601">
        <w:rPr>
          <w:lang w:val="en-GB"/>
        </w:rPr>
        <w:t xml:space="preserve"> </w:t>
      </w:r>
      <w:r w:rsidR="000732C8">
        <w:rPr>
          <w:lang w:val="en-GB"/>
        </w:rPr>
        <w:t>(</w:t>
      </w:r>
      <w:r w:rsidR="000732C8" w:rsidRPr="00B52829">
        <w:t xml:space="preserve">Maneesha </w:t>
      </w:r>
      <w:r w:rsidR="000732C8">
        <w:t>and</w:t>
      </w:r>
      <w:r w:rsidR="000732C8" w:rsidRPr="00B52829">
        <w:t xml:space="preserve"> Swarup</w:t>
      </w:r>
      <w:r w:rsidR="000732C8">
        <w:t>, 2021</w:t>
      </w:r>
      <w:r w:rsidR="000732C8">
        <w:rPr>
          <w:lang w:val="en-GB"/>
        </w:rPr>
        <w:t>)</w:t>
      </w:r>
      <w:r w:rsidR="002B713A">
        <w:rPr>
          <w:lang w:val="en-GB"/>
        </w:rPr>
        <w:t>.</w:t>
      </w:r>
    </w:p>
    <w:p w14:paraId="144DE699" w14:textId="2F684991" w:rsidR="008D2649" w:rsidRPr="00F126F7" w:rsidRDefault="002808B5" w:rsidP="008D2649">
      <w:pPr>
        <w:pStyle w:val="Els-1storder-head"/>
        <w:rPr>
          <w:lang w:val="en-GB"/>
        </w:rPr>
      </w:pPr>
      <w:r w:rsidRPr="00F126F7">
        <w:rPr>
          <w:lang w:val="en-GB"/>
        </w:rPr>
        <w:t>Methodology</w:t>
      </w:r>
    </w:p>
    <w:p w14:paraId="651C2414" w14:textId="539C2E01" w:rsidR="002D2427" w:rsidRPr="00F126F7" w:rsidRDefault="002D2427" w:rsidP="002D2427">
      <w:pPr>
        <w:pStyle w:val="Els-2ndorder-head"/>
        <w:rPr>
          <w:lang w:val="en-GB"/>
        </w:rPr>
      </w:pPr>
      <w:r w:rsidRPr="00F126F7">
        <w:rPr>
          <w:lang w:val="en-GB"/>
        </w:rPr>
        <w:t>Main Problem Formulation</w:t>
      </w:r>
    </w:p>
    <w:p w14:paraId="5984E658" w14:textId="28FA81B9" w:rsidR="00202BF5" w:rsidRDefault="00A11FCE" w:rsidP="000404C3">
      <w:pPr>
        <w:pStyle w:val="Els-body-text"/>
        <w:rPr>
          <w:lang w:val="en-GB"/>
        </w:rPr>
      </w:pPr>
      <w:proofErr w:type="gramStart"/>
      <w:r w:rsidRPr="00F126F7">
        <w:rPr>
          <w:lang w:val="en-GB"/>
        </w:rPr>
        <w:t>A</w:t>
      </w:r>
      <w:r w:rsidR="007B487A" w:rsidRPr="00F126F7">
        <w:rPr>
          <w:lang w:val="en-GB"/>
        </w:rPr>
        <w:t>n</w:t>
      </w:r>
      <w:proofErr w:type="gramEnd"/>
      <w:r w:rsidRPr="00F126F7">
        <w:rPr>
          <w:lang w:val="en-GB"/>
        </w:rPr>
        <w:t xml:space="preserve"> </w:t>
      </w:r>
      <w:r w:rsidR="00CB565A" w:rsidRPr="00F126F7">
        <w:rPr>
          <w:lang w:val="en-GB"/>
        </w:rPr>
        <w:t>MILP</w:t>
      </w:r>
      <w:r w:rsidRPr="00F126F7">
        <w:rPr>
          <w:lang w:val="en-GB"/>
        </w:rPr>
        <w:t xml:space="preserve"> formulation</w:t>
      </w:r>
      <w:r w:rsidR="00CB565A" w:rsidRPr="00F126F7">
        <w:rPr>
          <w:lang w:val="en-GB"/>
        </w:rPr>
        <w:t xml:space="preserve"> is used, employing the </w:t>
      </w:r>
      <w:r w:rsidR="00F27233" w:rsidRPr="00F126F7">
        <w:rPr>
          <w:lang w:val="en-GB"/>
        </w:rPr>
        <w:t xml:space="preserve">modelling </w:t>
      </w:r>
      <w:r w:rsidR="002339DB" w:rsidRPr="00F126F7">
        <w:rPr>
          <w:lang w:val="en-GB"/>
        </w:rPr>
        <w:t xml:space="preserve">elements </w:t>
      </w:r>
      <w:r w:rsidR="00D651CB" w:rsidRPr="00F126F7">
        <w:rPr>
          <w:lang w:val="en-GB"/>
        </w:rPr>
        <w:t xml:space="preserve">presented by De Mel </w:t>
      </w:r>
      <w:r w:rsidR="00066B3D" w:rsidRPr="00F126F7">
        <w:rPr>
          <w:lang w:val="en-GB"/>
        </w:rPr>
        <w:t xml:space="preserve">et al. </w:t>
      </w:r>
      <w:r w:rsidR="00D651CB" w:rsidRPr="00F126F7">
        <w:rPr>
          <w:lang w:val="en-GB"/>
        </w:rPr>
        <w:t>(202</w:t>
      </w:r>
      <w:r w:rsidR="006442E9">
        <w:rPr>
          <w:lang w:val="en-GB"/>
        </w:rPr>
        <w:t>4</w:t>
      </w:r>
      <w:r w:rsidR="00D651CB" w:rsidRPr="00F126F7">
        <w:rPr>
          <w:lang w:val="en-GB"/>
        </w:rPr>
        <w:t>)</w:t>
      </w:r>
      <w:r w:rsidR="00630C94" w:rsidRPr="00F126F7">
        <w:rPr>
          <w:lang w:val="en-GB"/>
        </w:rPr>
        <w:t xml:space="preserve">. </w:t>
      </w:r>
      <w:r w:rsidR="00612605" w:rsidRPr="00F126F7">
        <w:rPr>
          <w:lang w:val="en-GB"/>
        </w:rPr>
        <w:t xml:space="preserve">These </w:t>
      </w:r>
      <w:r w:rsidR="00D569F6" w:rsidRPr="00F126F7">
        <w:rPr>
          <w:lang w:val="en-GB"/>
        </w:rPr>
        <w:t xml:space="preserve">include </w:t>
      </w:r>
      <w:r w:rsidR="003E6D22" w:rsidRPr="00F126F7">
        <w:rPr>
          <w:lang w:val="en-GB"/>
        </w:rPr>
        <w:t>PV</w:t>
      </w:r>
      <w:r w:rsidR="00D569F6" w:rsidRPr="00F126F7">
        <w:rPr>
          <w:lang w:val="en-GB"/>
        </w:rPr>
        <w:t xml:space="preserve"> </w:t>
      </w:r>
      <w:r w:rsidR="0036481B" w:rsidRPr="00F126F7">
        <w:rPr>
          <w:lang w:val="en-GB"/>
        </w:rPr>
        <w:t>panels</w:t>
      </w:r>
      <w:r w:rsidR="00E51BAB" w:rsidRPr="00F126F7">
        <w:rPr>
          <w:lang w:val="en-GB"/>
        </w:rPr>
        <w:t xml:space="preserve">, </w:t>
      </w:r>
      <w:proofErr w:type="gramStart"/>
      <w:r w:rsidR="00E51BAB" w:rsidRPr="00F126F7">
        <w:rPr>
          <w:lang w:val="en-GB"/>
        </w:rPr>
        <w:t>boilers</w:t>
      </w:r>
      <w:proofErr w:type="gramEnd"/>
      <w:r w:rsidR="00E51BAB" w:rsidRPr="00F126F7">
        <w:rPr>
          <w:lang w:val="en-GB"/>
        </w:rPr>
        <w:t xml:space="preserve"> and battery storage</w:t>
      </w:r>
      <w:r w:rsidR="006E3D61" w:rsidRPr="00F126F7">
        <w:rPr>
          <w:lang w:val="en-GB"/>
        </w:rPr>
        <w:t xml:space="preserve">, as well as electrical and heat energy balance. </w:t>
      </w:r>
      <w:r w:rsidR="00E83304" w:rsidRPr="00F126F7">
        <w:rPr>
          <w:lang w:val="en-GB"/>
        </w:rPr>
        <w:t xml:space="preserve">To preserve the </w:t>
      </w:r>
      <w:r w:rsidR="00961D57" w:rsidRPr="00F126F7">
        <w:rPr>
          <w:lang w:val="en-GB"/>
        </w:rPr>
        <w:t>linearity of the formulation</w:t>
      </w:r>
      <w:r w:rsidR="00E83304" w:rsidRPr="00F126F7">
        <w:rPr>
          <w:lang w:val="en-GB"/>
        </w:rPr>
        <w:t xml:space="preserve">, the DC-OPF power flow approximation </w:t>
      </w:r>
      <w:r w:rsidR="00F24104" w:rsidRPr="00F126F7">
        <w:rPr>
          <w:lang w:val="en-GB"/>
        </w:rPr>
        <w:t>(</w:t>
      </w:r>
      <w:r w:rsidR="00A43770" w:rsidRPr="00F126F7">
        <w:rPr>
          <w:lang w:val="en-GB"/>
        </w:rPr>
        <w:t>F</w:t>
      </w:r>
      <w:r w:rsidR="00F24104" w:rsidRPr="00F126F7">
        <w:rPr>
          <w:lang w:val="en-GB"/>
        </w:rPr>
        <w:t xml:space="preserve">rank </w:t>
      </w:r>
      <w:r w:rsidR="00D17AF5" w:rsidRPr="00F126F7">
        <w:rPr>
          <w:lang w:val="en-GB"/>
        </w:rPr>
        <w:t>and</w:t>
      </w:r>
      <w:r w:rsidR="00F24104" w:rsidRPr="00F126F7">
        <w:rPr>
          <w:lang w:val="en-GB"/>
        </w:rPr>
        <w:t xml:space="preserve"> Rebennack, 2016)</w:t>
      </w:r>
      <w:r w:rsidR="005C279A" w:rsidRPr="00F126F7">
        <w:rPr>
          <w:lang w:val="en-GB"/>
        </w:rPr>
        <w:t xml:space="preserve"> was used.</w:t>
      </w:r>
      <w:r w:rsidR="002E4095" w:rsidRPr="00F126F7">
        <w:rPr>
          <w:lang w:val="en-GB"/>
        </w:rPr>
        <w:t xml:space="preserve"> </w:t>
      </w:r>
      <w:r w:rsidR="000A132D" w:rsidRPr="00F126F7">
        <w:rPr>
          <w:lang w:val="en-GB"/>
        </w:rPr>
        <w:t xml:space="preserve">The </w:t>
      </w:r>
      <w:r w:rsidR="0078092F" w:rsidRPr="00F126F7">
        <w:rPr>
          <w:lang w:val="en-GB"/>
        </w:rPr>
        <w:t>original</w:t>
      </w:r>
      <w:r w:rsidR="000A132D" w:rsidRPr="00F126F7">
        <w:rPr>
          <w:lang w:val="en-GB"/>
        </w:rPr>
        <w:t xml:space="preserve"> formulation used a representative seasonal </w:t>
      </w:r>
      <w:r w:rsidR="00946351" w:rsidRPr="00F126F7">
        <w:rPr>
          <w:lang w:val="en-GB"/>
        </w:rPr>
        <w:t xml:space="preserve">approach, </w:t>
      </w:r>
      <w:r w:rsidR="00677EFA" w:rsidRPr="00F126F7">
        <w:rPr>
          <w:lang w:val="en-GB"/>
        </w:rPr>
        <w:t xml:space="preserve">whereby a single </w:t>
      </w:r>
      <w:r w:rsidR="00FD23B6" w:rsidRPr="00F126F7">
        <w:rPr>
          <w:lang w:val="en-GB"/>
        </w:rPr>
        <w:t>24-hour</w:t>
      </w:r>
      <w:r w:rsidR="00677EFA" w:rsidRPr="00F126F7">
        <w:rPr>
          <w:lang w:val="en-GB"/>
        </w:rPr>
        <w:t xml:space="preserve"> period </w:t>
      </w:r>
      <w:r w:rsidR="00ED3067" w:rsidRPr="00F126F7">
        <w:rPr>
          <w:lang w:val="en-GB"/>
        </w:rPr>
        <w:t>of averaged electrical and heat load</w:t>
      </w:r>
      <w:r w:rsidR="003D7D60">
        <w:rPr>
          <w:lang w:val="en-GB"/>
        </w:rPr>
        <w:t xml:space="preserve">, with a </w:t>
      </w:r>
      <w:r w:rsidR="00361652">
        <w:rPr>
          <w:lang w:val="en-GB"/>
        </w:rPr>
        <w:t>1-hour</w:t>
      </w:r>
      <w:r w:rsidR="003D7D60">
        <w:rPr>
          <w:lang w:val="en-GB"/>
        </w:rPr>
        <w:t xml:space="preserve"> temporal resolution,</w:t>
      </w:r>
      <w:r w:rsidR="00ED3067" w:rsidRPr="00F126F7">
        <w:rPr>
          <w:lang w:val="en-GB"/>
        </w:rPr>
        <w:t xml:space="preserve"> </w:t>
      </w:r>
      <w:r w:rsidR="002B6528" w:rsidRPr="00F126F7">
        <w:rPr>
          <w:lang w:val="en-GB"/>
        </w:rPr>
        <w:t>was</w:t>
      </w:r>
      <w:r w:rsidR="00ED3067" w:rsidRPr="00F126F7">
        <w:rPr>
          <w:lang w:val="en-GB"/>
        </w:rPr>
        <w:t xml:space="preserve"> considered for each season</w:t>
      </w:r>
      <w:r w:rsidR="00A73E1C" w:rsidRPr="00F126F7">
        <w:rPr>
          <w:lang w:val="en-GB"/>
        </w:rPr>
        <w:t xml:space="preserve"> (De Mel et al., 202</w:t>
      </w:r>
      <w:r w:rsidR="006A7740">
        <w:rPr>
          <w:lang w:val="en-GB"/>
        </w:rPr>
        <w:t>4</w:t>
      </w:r>
      <w:r w:rsidR="00A73E1C" w:rsidRPr="00F126F7">
        <w:rPr>
          <w:lang w:val="en-GB"/>
        </w:rPr>
        <w:t>)</w:t>
      </w:r>
      <w:r w:rsidR="00ED3067" w:rsidRPr="00F126F7">
        <w:rPr>
          <w:lang w:val="en-GB"/>
        </w:rPr>
        <w:t>. This</w:t>
      </w:r>
      <w:r w:rsidR="00946351" w:rsidRPr="00F126F7">
        <w:rPr>
          <w:lang w:val="en-GB"/>
        </w:rPr>
        <w:t xml:space="preserve"> was extended </w:t>
      </w:r>
      <w:r w:rsidR="00C37771" w:rsidRPr="00F126F7">
        <w:rPr>
          <w:lang w:val="en-GB"/>
        </w:rPr>
        <w:t xml:space="preserve">to multiple years by adding additional linking constraints for the three decision variables, </w:t>
      </w:r>
      <w:r w:rsidR="000404C3">
        <w:rPr>
          <w:lang w:val="en-GB"/>
        </w:rPr>
        <w:t>shown below in Eq. (</w:t>
      </w:r>
      <w:r w:rsidR="004455AD">
        <w:rPr>
          <w:lang w:val="en-GB"/>
        </w:rPr>
        <w:t>4</w:t>
      </w:r>
      <w:r w:rsidR="000404C3">
        <w:rPr>
          <w:lang w:val="en-GB"/>
        </w:rPr>
        <w:t>).</w:t>
      </w:r>
      <w:r w:rsidR="00121617" w:rsidRPr="00F126F7">
        <w:rPr>
          <w:lang w:val="en-GB"/>
        </w:rPr>
        <w:t xml:space="preserve"> </w:t>
      </w:r>
      <w:r w:rsidR="0024481A" w:rsidRPr="00F126F7">
        <w:rPr>
          <w:lang w:val="en-GB"/>
        </w:rPr>
        <w:t xml:space="preserve">The objective function for each </w:t>
      </w:r>
      <w:r w:rsidR="0024481A">
        <w:rPr>
          <w:lang w:val="en-GB"/>
        </w:rPr>
        <w:t>i</w:t>
      </w:r>
      <w:r w:rsidR="0024481A" w:rsidRPr="00F126F7">
        <w:rPr>
          <w:lang w:val="en-GB"/>
        </w:rPr>
        <w:t xml:space="preserve">ndividual season is defined as the total seasonal cost (TSC) </w:t>
      </w:r>
      <w:r w:rsidR="0024481A">
        <w:rPr>
          <w:lang w:val="en-GB"/>
        </w:rPr>
        <w:t xml:space="preserve">in Eq. </w:t>
      </w:r>
      <w:r w:rsidR="0024481A" w:rsidRPr="00F126F7">
        <w:rPr>
          <w:lang w:val="en-GB"/>
        </w:rPr>
        <w:t>(1)</w:t>
      </w:r>
      <w:r w:rsidR="0024481A">
        <w:rPr>
          <w:lang w:val="en-GB"/>
        </w:rPr>
        <w:t>.</w:t>
      </w:r>
    </w:p>
    <w:tbl>
      <w:tblPr>
        <w:tblW w:w="7086" w:type="dxa"/>
        <w:tblLook w:val="04A0" w:firstRow="1" w:lastRow="0" w:firstColumn="1" w:lastColumn="0" w:noHBand="0" w:noVBand="1"/>
      </w:tblPr>
      <w:tblGrid>
        <w:gridCol w:w="5376"/>
        <w:gridCol w:w="836"/>
        <w:gridCol w:w="874"/>
      </w:tblGrid>
      <w:tr w:rsidR="003665C6" w:rsidRPr="00F25A51" w14:paraId="0CD8C1D3" w14:textId="77777777" w:rsidTr="00A17644">
        <w:tc>
          <w:tcPr>
            <w:tcW w:w="5376" w:type="dxa"/>
            <w:shd w:val="clear" w:color="auto" w:fill="auto"/>
            <w:vAlign w:val="center"/>
          </w:tcPr>
          <w:p w14:paraId="7998B156" w14:textId="77777777" w:rsidR="003665C6" w:rsidRPr="003D2C14" w:rsidRDefault="00A17644" w:rsidP="00A067EE">
            <w:pPr>
              <w:pStyle w:val="Els-body-text"/>
              <w:spacing w:before="120" w:after="120" w:line="264" w:lineRule="auto"/>
              <w:rPr>
                <w:iCs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Cambria Math"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TSC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Cambria Math"/>
                        <w:iCs/>
                        <w:lang w:val="en-GB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OPEX,grid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Cs/>
                        <w:lang w:val="en-GB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OPEX,PV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Cambria Math"/>
                        <w:iCs/>
                        <w:lang w:val="en-GB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OPEX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boiler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Cambria Math"/>
                        <w:iCs/>
                        <w:lang w:val="en-GB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m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OPEX,batt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Cambria Math"/>
                        <w:iCs/>
                        <w:lang w:val="en-GB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Cambria Math"/>
                            <w:iCs/>
                            <w:lang w:val="en-GB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lang w:val="en-GB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lang w:val="en-GB"/>
                          </w:rPr>
                          <m:t>m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lang w:val="en-GB"/>
                          </w:rPr>
                          <m:t>export,income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Cs/>
                            <w:lang w:val="en-GB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m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GB"/>
                          </w:rPr>
                          <m:t>FIT,income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,m∈</m:t>
                </m:r>
                <m:r>
                  <m:rPr>
                    <m:sty m:val="b"/>
                  </m:rPr>
                  <w:rPr>
                    <w:rFonts w:ascii="Cambria Math" w:hAnsi="Cambria Math" w:cs="Cambria Math"/>
                    <w:lang w:val="en-GB"/>
                  </w:rPr>
                  <m:t>M</m:t>
                </m:r>
              </m:oMath>
            </m:oMathPara>
          </w:p>
        </w:tc>
        <w:tc>
          <w:tcPr>
            <w:tcW w:w="836" w:type="dxa"/>
          </w:tcPr>
          <w:p w14:paraId="40E3C092" w14:textId="77777777" w:rsidR="003665C6" w:rsidRPr="00F126F7" w:rsidRDefault="003665C6" w:rsidP="00A067EE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1D82A39" w14:textId="06A9F334" w:rsidR="003665C6" w:rsidRPr="00F126F7" w:rsidRDefault="003665C6" w:rsidP="00A067EE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F126F7">
              <w:rPr>
                <w:lang w:val="en-GB"/>
              </w:rPr>
              <w:t>(1)</w:t>
            </w:r>
          </w:p>
        </w:tc>
      </w:tr>
    </w:tbl>
    <w:p w14:paraId="553FE212" w14:textId="77777777" w:rsidR="005C437C" w:rsidRDefault="002455ED" w:rsidP="005C437C">
      <w:pPr>
        <w:pStyle w:val="Els-body-text"/>
        <w:rPr>
          <w:lang w:val="en-GB"/>
        </w:rPr>
      </w:pPr>
      <w:r>
        <w:rPr>
          <w:lang w:val="en-GB"/>
        </w:rPr>
        <w:t>The terms in Eq. (1) include the operational costs for the PV, boiler and battery technologies considered here, as well as the cost of purchasing power from the main grid (</w:t>
      </w:r>
      <w:proofErr w:type="spellStart"/>
      <w:proofErr w:type="gramStart"/>
      <w:r>
        <w:rPr>
          <w:lang w:val="en-GB"/>
        </w:rPr>
        <w:t>C</w:t>
      </w:r>
      <w:r w:rsidRPr="00F126F7">
        <w:rPr>
          <w:vertAlign w:val="superscript"/>
          <w:lang w:val="en-GB"/>
        </w:rPr>
        <w:t>OPEX,grid</w:t>
      </w:r>
      <w:proofErr w:type="spellEnd"/>
      <w:proofErr w:type="gramEnd"/>
      <w:r>
        <w:rPr>
          <w:lang w:val="en-GB"/>
        </w:rPr>
        <w:t>), income from selling excess power back to the grid (</w:t>
      </w:r>
      <w:proofErr w:type="spellStart"/>
      <w:r>
        <w:rPr>
          <w:lang w:val="en-GB"/>
        </w:rPr>
        <w:t>C</w:t>
      </w:r>
      <w:r w:rsidRPr="00F126F7">
        <w:rPr>
          <w:vertAlign w:val="superscript"/>
          <w:lang w:val="en-GB"/>
        </w:rPr>
        <w:t>export,income</w:t>
      </w:r>
      <w:proofErr w:type="spellEnd"/>
      <w:r>
        <w:rPr>
          <w:lang w:val="en-GB"/>
        </w:rPr>
        <w:t>) and income from a feed-in-tariff scheme (</w:t>
      </w:r>
      <w:proofErr w:type="spellStart"/>
      <w:r>
        <w:rPr>
          <w:lang w:val="en-GB"/>
        </w:rPr>
        <w:t>C</w:t>
      </w:r>
      <w:r w:rsidRPr="00F126F7">
        <w:rPr>
          <w:vertAlign w:val="superscript"/>
          <w:lang w:val="en-GB"/>
        </w:rPr>
        <w:t>FIT,income</w:t>
      </w:r>
      <w:proofErr w:type="spellEnd"/>
      <w:r>
        <w:rPr>
          <w:lang w:val="en-GB"/>
        </w:rPr>
        <w:t xml:space="preserve">). </w:t>
      </w:r>
      <w:r w:rsidR="005C437C">
        <w:rPr>
          <w:lang w:val="en-GB"/>
        </w:rPr>
        <w:t xml:space="preserve">The reader is encouraged to refer to </w:t>
      </w:r>
      <w:r w:rsidR="005C437C" w:rsidRPr="00D47996">
        <w:rPr>
          <w:lang w:val="en-GB"/>
        </w:rPr>
        <w:t>De Mel et al. (202</w:t>
      </w:r>
      <w:r w:rsidR="005C437C">
        <w:rPr>
          <w:lang w:val="en-GB"/>
        </w:rPr>
        <w:t>4</w:t>
      </w:r>
      <w:r w:rsidR="005C437C" w:rsidRPr="00D47996">
        <w:rPr>
          <w:lang w:val="en-GB"/>
        </w:rPr>
        <w:t>)</w:t>
      </w:r>
      <w:r w:rsidR="005C437C">
        <w:rPr>
          <w:lang w:val="en-GB"/>
        </w:rPr>
        <w:t xml:space="preserve"> for further details. </w:t>
      </w:r>
    </w:p>
    <w:p w14:paraId="584CCDB3" w14:textId="2B8572DD" w:rsidR="00173B54" w:rsidRDefault="0030138B" w:rsidP="000404C3">
      <w:pPr>
        <w:pStyle w:val="Els-body-text"/>
        <w:rPr>
          <w:lang w:val="en-GB"/>
        </w:rPr>
      </w:pPr>
      <w:r w:rsidRPr="00620CB3">
        <w:rPr>
          <w:lang w:val="en-GB"/>
        </w:rPr>
        <w:t>Only a single investment, made at the start of the overall time period</w:t>
      </w:r>
      <w:r w:rsidR="0044678F">
        <w:rPr>
          <w:lang w:val="en-GB"/>
        </w:rPr>
        <w:t>,</w:t>
      </w:r>
      <w:r w:rsidRPr="00620CB3">
        <w:rPr>
          <w:lang w:val="en-GB"/>
        </w:rPr>
        <w:t xml:space="preserve"> is considered, </w:t>
      </w:r>
      <w:r>
        <w:rPr>
          <w:lang w:val="en-GB"/>
        </w:rPr>
        <w:t xml:space="preserve">and so </w:t>
      </w:r>
      <w:r w:rsidRPr="00F126F7">
        <w:rPr>
          <w:lang w:val="en-GB"/>
        </w:rPr>
        <w:t>the overall objective function</w:t>
      </w:r>
      <w:r>
        <w:rPr>
          <w:lang w:val="en-GB"/>
        </w:rPr>
        <w:t>, the total cost (TC), becomes</w:t>
      </w:r>
      <w:r w:rsidRPr="00F126F7">
        <w:rPr>
          <w:lang w:val="en-GB"/>
        </w:rPr>
        <w:t xml:space="preserve"> the sum of </w:t>
      </w:r>
      <w:r>
        <w:rPr>
          <w:lang w:val="en-GB"/>
        </w:rPr>
        <w:t xml:space="preserve">this CAPEX and </w:t>
      </w:r>
      <w:r w:rsidR="006C0939">
        <w:rPr>
          <w:lang w:val="en-GB"/>
        </w:rPr>
        <w:t>the</w:t>
      </w:r>
      <w:r w:rsidRPr="00F126F7">
        <w:rPr>
          <w:lang w:val="en-GB"/>
        </w:rPr>
        <w:t xml:space="preserve"> TSC across all seasons and years</w:t>
      </w:r>
      <w:r w:rsidR="009C141A">
        <w:rPr>
          <w:lang w:val="en-GB"/>
        </w:rPr>
        <w:t>, defined in Eq. (</w:t>
      </w:r>
      <w:r w:rsidR="004455AD">
        <w:rPr>
          <w:lang w:val="en-GB"/>
        </w:rPr>
        <w:t>2</w:t>
      </w:r>
      <w:r w:rsidR="009C141A">
        <w:rPr>
          <w:lang w:val="en-GB"/>
        </w:rPr>
        <w:t>)</w:t>
      </w:r>
      <w:r w:rsidRPr="00F126F7">
        <w:rPr>
          <w:lang w:val="en-GB"/>
        </w:rPr>
        <w:t>.</w:t>
      </w:r>
    </w:p>
    <w:tbl>
      <w:tblPr>
        <w:tblW w:w="7077" w:type="dxa"/>
        <w:tblLook w:val="04A0" w:firstRow="1" w:lastRow="0" w:firstColumn="1" w:lastColumn="0" w:noHBand="0" w:noVBand="1"/>
      </w:tblPr>
      <w:tblGrid>
        <w:gridCol w:w="6119"/>
        <w:gridCol w:w="958"/>
      </w:tblGrid>
      <w:tr w:rsidR="00202BF5" w:rsidRPr="00F25A51" w14:paraId="23A8C012" w14:textId="77777777" w:rsidTr="00A067EE">
        <w:tc>
          <w:tcPr>
            <w:tcW w:w="6119" w:type="dxa"/>
            <w:shd w:val="clear" w:color="auto" w:fill="auto"/>
            <w:vAlign w:val="center"/>
          </w:tcPr>
          <w:p w14:paraId="622E5D5D" w14:textId="51BC8C5A" w:rsidR="00202BF5" w:rsidRPr="00FB030A" w:rsidRDefault="00FB030A" w:rsidP="00A067EE">
            <w:pPr>
              <w:pStyle w:val="Els-body-text"/>
              <w:spacing w:before="120" w:after="120" w:line="264" w:lineRule="auto"/>
              <w:rPr>
                <w:iCs/>
                <w:lang w:val="en-GB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TC=</m:t>
                </m:r>
                <m:sSup>
                  <m:sSupPr>
                    <m:ctrlPr>
                      <w:rPr>
                        <w:rFonts w:ascii="Cambria Math" w:hAnsi="Cambria Math" w:cs="Cambria Math"/>
                        <w:iCs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CAPEX,PV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CAPEX,boiler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mbria Math"/>
                        <w:iCs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CAPEX,batt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+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Cambria Math"/>
                        <w:iCs/>
                        <w:lang w:val="en-GB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m∈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lang w:val="en-GB"/>
                      </w:rPr>
                      <m:t>M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Cambria Math"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lang w:val="en-GB"/>
                          </w:rPr>
                          <m:t>TSC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lang w:val="en-GB"/>
                          </w:rPr>
                          <m:t>m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958" w:type="dxa"/>
            <w:shd w:val="clear" w:color="auto" w:fill="auto"/>
            <w:vAlign w:val="center"/>
          </w:tcPr>
          <w:p w14:paraId="27C09F37" w14:textId="3F142BE7" w:rsidR="00202BF5" w:rsidRPr="00F126F7" w:rsidRDefault="00202BF5" w:rsidP="00A067EE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F126F7">
              <w:rPr>
                <w:lang w:val="en-GB"/>
              </w:rPr>
              <w:t>(</w:t>
            </w:r>
            <w:r w:rsidR="00A90DA2">
              <w:rPr>
                <w:lang w:val="en-GB"/>
              </w:rPr>
              <w:t>2</w:t>
            </w:r>
            <w:r w:rsidRPr="00F126F7">
              <w:rPr>
                <w:lang w:val="en-GB"/>
              </w:rPr>
              <w:t>)</w:t>
            </w:r>
          </w:p>
        </w:tc>
      </w:tr>
    </w:tbl>
    <w:p w14:paraId="40B27FCF" w14:textId="60ADE539" w:rsidR="00DB0FF7" w:rsidRPr="00F126F7" w:rsidRDefault="00BA7DBE" w:rsidP="00BA7DBE">
      <w:pPr>
        <w:pStyle w:val="Els-body-text"/>
        <w:rPr>
          <w:lang w:val="en-GB"/>
        </w:rPr>
      </w:pPr>
      <w:r w:rsidRPr="00F126F7">
        <w:rPr>
          <w:lang w:val="en-GB"/>
        </w:rPr>
        <w:t xml:space="preserve">The subscript </w:t>
      </w:r>
      <w:r w:rsidRPr="00F126F7">
        <w:rPr>
          <w:i/>
          <w:iCs/>
          <w:lang w:val="en-GB"/>
        </w:rPr>
        <w:t>m</w:t>
      </w:r>
      <w:r w:rsidRPr="00F126F7">
        <w:rPr>
          <w:lang w:val="en-GB"/>
        </w:rPr>
        <w:t xml:space="preserve"> denotes the time period</w:t>
      </w:r>
      <w:r w:rsidR="00AC49C4" w:rsidRPr="00F126F7">
        <w:rPr>
          <w:lang w:val="en-GB"/>
        </w:rPr>
        <w:t xml:space="preserve"> index</w:t>
      </w:r>
      <w:r w:rsidRPr="00F126F7">
        <w:rPr>
          <w:lang w:val="en-GB"/>
        </w:rPr>
        <w:t>,</w:t>
      </w:r>
      <w:r w:rsidR="00AC49C4" w:rsidRPr="00F126F7">
        <w:rPr>
          <w:lang w:val="en-GB"/>
        </w:rPr>
        <w:t xml:space="preserve"> with </w:t>
      </w:r>
      <w:r w:rsidR="00AC49C4" w:rsidRPr="00A17644">
        <w:rPr>
          <w:b/>
          <w:bCs/>
          <w:i/>
          <w:iCs/>
        </w:rPr>
        <w:t>M</w:t>
      </w:r>
      <w:r w:rsidR="00AC49C4" w:rsidRPr="00F126F7">
        <w:rPr>
          <w:lang w:val="en-GB"/>
        </w:rPr>
        <w:t xml:space="preserve"> being the </w:t>
      </w:r>
      <w:r w:rsidR="00C40AD4">
        <w:rPr>
          <w:lang w:val="en-GB"/>
        </w:rPr>
        <w:t>set of all</w:t>
      </w:r>
      <w:r w:rsidR="00AC49C4" w:rsidRPr="00F126F7">
        <w:rPr>
          <w:lang w:val="en-GB"/>
        </w:rPr>
        <w:t xml:space="preserve"> considered time periods, namely </w:t>
      </w:r>
      <w:r w:rsidRPr="00F126F7">
        <w:rPr>
          <w:lang w:val="en-GB"/>
        </w:rPr>
        <w:t xml:space="preserve">4 seasons </w:t>
      </w:r>
      <w:r w:rsidR="00D02BB5">
        <w:rPr>
          <w:lang w:val="en-GB"/>
        </w:rPr>
        <w:t>in each of the</w:t>
      </w:r>
      <w:r w:rsidRPr="00F126F7">
        <w:rPr>
          <w:lang w:val="en-GB"/>
        </w:rPr>
        <w:t xml:space="preserve"> considered years</w:t>
      </w:r>
      <w:r w:rsidR="00F04603" w:rsidRPr="00F126F7">
        <w:rPr>
          <w:lang w:val="en-GB"/>
        </w:rPr>
        <w:t>.</w:t>
      </w:r>
      <w:r w:rsidR="002455ED">
        <w:rPr>
          <w:lang w:val="en-GB"/>
        </w:rPr>
        <w:t xml:space="preserve"> </w:t>
      </w:r>
      <w:r w:rsidR="00D66553">
        <w:rPr>
          <w:lang w:val="en-GB"/>
        </w:rPr>
        <w:t xml:space="preserve">Extending the considered time period </w:t>
      </w:r>
      <w:r w:rsidR="00B3181D">
        <w:rPr>
          <w:lang w:val="en-GB"/>
        </w:rPr>
        <w:t>here</w:t>
      </w:r>
      <w:r w:rsidR="002F627B">
        <w:rPr>
          <w:lang w:val="en-GB"/>
        </w:rPr>
        <w:t xml:space="preserve"> allows the </w:t>
      </w:r>
      <w:r w:rsidR="00025FC7">
        <w:rPr>
          <w:lang w:val="en-GB"/>
        </w:rPr>
        <w:t xml:space="preserve">model to </w:t>
      </w:r>
      <w:proofErr w:type="gramStart"/>
      <w:r w:rsidR="001B0450">
        <w:rPr>
          <w:lang w:val="en-GB"/>
        </w:rPr>
        <w:t>take into account</w:t>
      </w:r>
      <w:proofErr w:type="gramEnd"/>
      <w:r w:rsidR="001B0450">
        <w:rPr>
          <w:lang w:val="en-GB"/>
        </w:rPr>
        <w:t xml:space="preserve"> </w:t>
      </w:r>
      <w:r w:rsidR="007A17B7">
        <w:rPr>
          <w:lang w:val="en-GB"/>
        </w:rPr>
        <w:t xml:space="preserve">trends and </w:t>
      </w:r>
      <w:r w:rsidR="001B0450">
        <w:rPr>
          <w:lang w:val="en-GB"/>
        </w:rPr>
        <w:t>changes in parameters such as electricity pricing</w:t>
      </w:r>
      <w:r w:rsidR="00C77A4C">
        <w:rPr>
          <w:lang w:val="en-GB"/>
        </w:rPr>
        <w:t>, grid carbon intensity</w:t>
      </w:r>
      <w:r w:rsidR="001B0450">
        <w:rPr>
          <w:lang w:val="en-GB"/>
        </w:rPr>
        <w:t xml:space="preserve"> and </w:t>
      </w:r>
      <w:r w:rsidR="00D43174">
        <w:rPr>
          <w:lang w:val="en-GB"/>
        </w:rPr>
        <w:t>electrical load</w:t>
      </w:r>
      <w:r w:rsidR="007A17B7">
        <w:rPr>
          <w:lang w:val="en-GB"/>
        </w:rPr>
        <w:t>.</w:t>
      </w:r>
    </w:p>
    <w:p w14:paraId="218EEAB5" w14:textId="6C7E609B" w:rsidR="00F7719C" w:rsidRPr="00F126F7" w:rsidRDefault="00F7719C" w:rsidP="00A11FCE">
      <w:pPr>
        <w:pStyle w:val="Els-2ndorder-head"/>
        <w:rPr>
          <w:lang w:val="en-GB"/>
        </w:rPr>
      </w:pPr>
      <w:r w:rsidRPr="00F126F7">
        <w:rPr>
          <w:lang w:val="en-GB"/>
        </w:rPr>
        <w:t>Problem Decomposition</w:t>
      </w:r>
    </w:p>
    <w:p w14:paraId="3CA33AB3" w14:textId="48E3A2C5" w:rsidR="00E76F67" w:rsidRPr="00F126F7" w:rsidRDefault="00AE181A" w:rsidP="00A11FCE">
      <w:pPr>
        <w:pStyle w:val="Els-body-text"/>
        <w:rPr>
          <w:lang w:val="en-GB"/>
        </w:rPr>
      </w:pPr>
      <w:r w:rsidRPr="00F126F7">
        <w:rPr>
          <w:lang w:val="en-GB"/>
        </w:rPr>
        <w:t>The problem formulation is decomposed</w:t>
      </w:r>
      <w:r w:rsidR="00E43CCD" w:rsidRPr="00F126F7">
        <w:rPr>
          <w:lang w:val="en-GB"/>
        </w:rPr>
        <w:t xml:space="preserve"> temporally</w:t>
      </w:r>
      <w:r w:rsidRPr="00F126F7">
        <w:rPr>
          <w:lang w:val="en-GB"/>
        </w:rPr>
        <w:t>,</w:t>
      </w:r>
      <w:r w:rsidR="00D07918" w:rsidRPr="00F126F7">
        <w:rPr>
          <w:lang w:val="en-GB"/>
        </w:rPr>
        <w:t xml:space="preserve"> with a single subproblem for each</w:t>
      </w:r>
      <w:r w:rsidR="005B25B1" w:rsidRPr="00F126F7">
        <w:rPr>
          <w:lang w:val="en-GB"/>
        </w:rPr>
        <w:t xml:space="preserve"> </w:t>
      </w:r>
      <w:r w:rsidR="005B25B1" w:rsidRPr="00F126F7">
        <w:rPr>
          <w:i/>
          <w:iCs/>
          <w:lang w:val="en-GB"/>
        </w:rPr>
        <w:t>m</w:t>
      </w:r>
      <w:r w:rsidR="005B25B1" w:rsidRPr="00F126F7">
        <w:rPr>
          <w:lang w:val="en-GB"/>
        </w:rPr>
        <w:t>,</w:t>
      </w:r>
      <w:r w:rsidRPr="00F126F7">
        <w:rPr>
          <w:lang w:val="en-GB"/>
        </w:rPr>
        <w:t xml:space="preserve"> using the </w:t>
      </w:r>
      <w:r w:rsidR="00936777" w:rsidRPr="00F126F7">
        <w:rPr>
          <w:lang w:val="en-GB"/>
        </w:rPr>
        <w:t xml:space="preserve">consensus version of </w:t>
      </w:r>
      <w:r w:rsidR="001E00A2" w:rsidRPr="00F126F7">
        <w:rPr>
          <w:lang w:val="en-GB"/>
        </w:rPr>
        <w:t>ADMM</w:t>
      </w:r>
      <w:r w:rsidR="00936777" w:rsidRPr="00F126F7">
        <w:rPr>
          <w:lang w:val="en-GB"/>
        </w:rPr>
        <w:t xml:space="preserve"> (Boyd et al., 201</w:t>
      </w:r>
      <w:r w:rsidR="00AA47AA" w:rsidRPr="00F126F7">
        <w:rPr>
          <w:lang w:val="en-GB"/>
        </w:rPr>
        <w:t>1</w:t>
      </w:r>
      <w:r w:rsidR="00936777" w:rsidRPr="00F126F7">
        <w:rPr>
          <w:lang w:val="en-GB"/>
        </w:rPr>
        <w:t>)</w:t>
      </w:r>
      <w:r w:rsidR="001E00A2" w:rsidRPr="00F126F7">
        <w:rPr>
          <w:lang w:val="en-GB"/>
        </w:rPr>
        <w:t>.</w:t>
      </w:r>
      <w:r w:rsidR="005E01D3" w:rsidRPr="00F126F7">
        <w:rPr>
          <w:lang w:val="en-GB"/>
        </w:rPr>
        <w:t xml:space="preserve"> </w:t>
      </w:r>
      <w:r w:rsidR="004811B4" w:rsidRPr="00F126F7">
        <w:rPr>
          <w:lang w:val="en-GB"/>
        </w:rPr>
        <w:t>The consensus formulation given by Boyd et al. (201</w:t>
      </w:r>
      <w:r w:rsidR="00AA47AA" w:rsidRPr="00F126F7">
        <w:rPr>
          <w:lang w:val="en-GB"/>
        </w:rPr>
        <w:t>1</w:t>
      </w:r>
      <w:r w:rsidR="004811B4" w:rsidRPr="00F126F7">
        <w:rPr>
          <w:lang w:val="en-GB"/>
        </w:rPr>
        <w:t>) is as follows: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2"/>
        <w:gridCol w:w="964"/>
      </w:tblGrid>
      <w:tr w:rsidR="00311A13" w:rsidRPr="00F25A51" w14:paraId="5158009D" w14:textId="77777777" w:rsidTr="00CC2B31">
        <w:tc>
          <w:tcPr>
            <w:tcW w:w="6317" w:type="dxa"/>
            <w:shd w:val="clear" w:color="auto" w:fill="auto"/>
            <w:vAlign w:val="center"/>
          </w:tcPr>
          <w:p w14:paraId="55E8EE15" w14:textId="2D833F23" w:rsidR="009A2D9D" w:rsidRPr="00F126F7" w:rsidRDefault="00A17644" w:rsidP="00293DF1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Cs/>
                      <w:lang w:val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min</m:t>
                  </m:r>
                </m:fNam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Cs/>
                          <w:lang w:val="en-GB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i=1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Cs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Cs/>
                              <w:lang w:val="en-GB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Cs/>
                                  <w:lang w:val="en-GB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</m:nary>
                </m:e>
              </m:func>
            </m:oMath>
            <w:r w:rsidR="00B22A5C" w:rsidRPr="00F126F7">
              <w:rPr>
                <w:lang w:val="en-GB"/>
              </w:rPr>
              <w:t xml:space="preserve"> </w:t>
            </w:r>
            <w:r w:rsidR="00C061BC" w:rsidRPr="00F126F7">
              <w:rPr>
                <w:lang w:val="en-GB"/>
              </w:rPr>
              <w:t>s.t.</w:t>
            </w:r>
            <w:r w:rsidR="00B22A5C" w:rsidRPr="00F126F7">
              <w:rPr>
                <w:lang w:val="en-GB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Cs/>
                      <w:lang w:val="en-GB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GB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GB"/>
                </w:rPr>
                <m:t>z=0, i=1,…,N</m:t>
              </m:r>
            </m:oMath>
          </w:p>
        </w:tc>
        <w:tc>
          <w:tcPr>
            <w:tcW w:w="985" w:type="dxa"/>
            <w:shd w:val="clear" w:color="auto" w:fill="auto"/>
            <w:vAlign w:val="center"/>
          </w:tcPr>
          <w:p w14:paraId="64028FEA" w14:textId="0A3FAF06" w:rsidR="009A2D9D" w:rsidRPr="00F126F7" w:rsidRDefault="009A2D9D" w:rsidP="00293DF1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F126F7">
              <w:rPr>
                <w:lang w:val="en-GB"/>
              </w:rPr>
              <w:t>(</w:t>
            </w:r>
            <w:r w:rsidR="00A90DA2">
              <w:rPr>
                <w:lang w:val="en-GB"/>
              </w:rPr>
              <w:t>3</w:t>
            </w:r>
            <w:r w:rsidRPr="00F126F7">
              <w:rPr>
                <w:lang w:val="en-GB"/>
              </w:rPr>
              <w:t>)</w:t>
            </w:r>
          </w:p>
        </w:tc>
      </w:tr>
    </w:tbl>
    <w:p w14:paraId="0729D1F8" w14:textId="7426F409" w:rsidR="00AE181A" w:rsidRPr="00F126F7" w:rsidRDefault="005412A9" w:rsidP="00A11FCE">
      <w:pPr>
        <w:pStyle w:val="Els-body-text"/>
        <w:rPr>
          <w:lang w:val="en-GB"/>
        </w:rPr>
      </w:pPr>
      <w:r w:rsidRPr="00F126F7">
        <w:rPr>
          <w:lang w:val="en-GB"/>
        </w:rPr>
        <w:t>For this problem</w:t>
      </w:r>
      <w:r w:rsidR="00046196" w:rsidRPr="00F126F7">
        <w:rPr>
          <w:lang w:val="en-GB"/>
        </w:rPr>
        <w:t>, the</w:t>
      </w:r>
      <w:r w:rsidR="005E01D3" w:rsidRPr="00F126F7">
        <w:rPr>
          <w:lang w:val="en-GB"/>
        </w:rPr>
        <w:t xml:space="preserve"> consensus variables are given as: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3"/>
        <w:gridCol w:w="964"/>
      </w:tblGrid>
      <w:tr w:rsidR="008269A6" w:rsidRPr="00F25A51" w14:paraId="5207636E" w14:textId="77777777" w:rsidTr="000404C3">
        <w:tc>
          <w:tcPr>
            <w:tcW w:w="6123" w:type="dxa"/>
            <w:shd w:val="clear" w:color="auto" w:fill="auto"/>
            <w:vAlign w:val="center"/>
          </w:tcPr>
          <w:p w14:paraId="39AF84B8" w14:textId="507F8218" w:rsidR="00FF552C" w:rsidRPr="00BE451C" w:rsidRDefault="00A17644" w:rsidP="00293DF1">
            <w:pPr>
              <w:pStyle w:val="Els-body-text"/>
              <w:spacing w:before="120" w:after="120" w:line="264" w:lineRule="auto"/>
              <w:rPr>
                <w:iCs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GB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Cs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Cs/>
                            <w:lang w:val="en-GB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Cs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GB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cs="Cambria Math"/>
                                  <w:iCs/>
                                  <w:lang w:val="en-GB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lang w:val="en-GB"/>
                                </w:rPr>
                                <m:t>m</m:t>
                              </m:r>
                              <m:ctrlPr>
                                <w:rPr>
                                  <w:rFonts w:ascii="Cambria Math" w:hAnsi="Cambria Math" w:cs="Cambria Math"/>
                                  <w:iCs/>
                                  <w:lang w:val="en-GB"/>
                                </w:rPr>
                              </m:ctrlP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lang w:val="en-GB"/>
                                </w:rPr>
                                <m:t>panel,PV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Cs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lang w:val="en-GB"/>
                                </w:rPr>
                                <m:t>H</m:t>
                              </m:r>
                              <m:ctrlPr>
                                <w:rPr>
                                  <w:rFonts w:ascii="Cambria Math" w:hAnsi="Cambria Math" w:cs="Cambria Math"/>
                                  <w:iCs/>
                                  <w:lang w:val="en-GB"/>
                                </w:rPr>
                              </m:ctrlP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lang w:val="en-GB"/>
                                </w:rPr>
                                <m:t>m</m:t>
                              </m:r>
                              <m:ctrlPr>
                                <w:rPr>
                                  <w:rFonts w:ascii="Cambria Math" w:hAnsi="Cambria Math" w:cs="Cambria Math"/>
                                  <w:iCs/>
                                  <w:lang w:val="en-GB"/>
                                </w:rPr>
                              </m:ctrlP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lang w:val="en-GB"/>
                                </w:rPr>
                                <m:t>gen,max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Cambria Math"/>
                                  <w:iCs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lang w:val="en-GB"/>
                                </w:rPr>
                                <m:t>Cap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lang w:val="en-GB"/>
                                </w:rPr>
                                <m:t>m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lang w:val="en-GB"/>
                                </w:rPr>
                                <m:t>batt</m:t>
                              </m:r>
                            </m:sup>
                          </m:sSubSup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GB"/>
                  </w:rPr>
                  <m:t>=z,m∈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lang w:val="en-GB"/>
                  </w:rPr>
                  <m:t>M</m:t>
                </m:r>
              </m:oMath>
            </m:oMathPara>
          </w:p>
        </w:tc>
        <w:tc>
          <w:tcPr>
            <w:tcW w:w="964" w:type="dxa"/>
            <w:shd w:val="clear" w:color="auto" w:fill="auto"/>
            <w:vAlign w:val="center"/>
          </w:tcPr>
          <w:p w14:paraId="1D8352AC" w14:textId="482A418F" w:rsidR="00FF552C" w:rsidRPr="00F126F7" w:rsidRDefault="00FF552C" w:rsidP="00293DF1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F126F7">
              <w:rPr>
                <w:lang w:val="en-GB"/>
              </w:rPr>
              <w:t>(</w:t>
            </w:r>
            <w:r w:rsidR="00A90DA2">
              <w:rPr>
                <w:lang w:val="en-GB"/>
              </w:rPr>
              <w:t>4</w:t>
            </w:r>
            <w:r w:rsidRPr="00F126F7">
              <w:rPr>
                <w:lang w:val="en-GB"/>
              </w:rPr>
              <w:t>)</w:t>
            </w:r>
          </w:p>
        </w:tc>
      </w:tr>
    </w:tbl>
    <w:p w14:paraId="66258333" w14:textId="69FF0C46" w:rsidR="00D759A4" w:rsidRPr="00F126F7" w:rsidRDefault="002A234C" w:rsidP="00A11FCE">
      <w:pPr>
        <w:pStyle w:val="Els-body-text"/>
        <w:rPr>
          <w:lang w:val="en-GB"/>
        </w:rPr>
      </w:pPr>
      <w:r>
        <w:rPr>
          <w:lang w:val="en-GB"/>
        </w:rPr>
        <w:t xml:space="preserve">Where </w:t>
      </w:r>
      <w:proofErr w:type="spellStart"/>
      <w:proofErr w:type="gramStart"/>
      <w:r w:rsidRPr="00A17644">
        <w:rPr>
          <w:i/>
          <w:iCs/>
          <w:lang w:val="en-GB"/>
        </w:rPr>
        <w:t>n</w:t>
      </w:r>
      <w:r w:rsidRPr="00A17644">
        <w:rPr>
          <w:vertAlign w:val="superscript"/>
          <w:lang w:val="en-GB"/>
        </w:rPr>
        <w:t>panel,PV</w:t>
      </w:r>
      <w:proofErr w:type="spellEnd"/>
      <w:proofErr w:type="gramEnd"/>
      <w:r>
        <w:rPr>
          <w:lang w:val="en-GB"/>
        </w:rPr>
        <w:t xml:space="preserve"> is </w:t>
      </w:r>
      <w:r w:rsidR="000404C3" w:rsidRPr="000404C3">
        <w:rPr>
          <w:lang w:val="en-GB"/>
        </w:rPr>
        <w:t xml:space="preserve">the number of PV panels on each roof, </w:t>
      </w:r>
      <w:proofErr w:type="spellStart"/>
      <w:r w:rsidR="001A03F4" w:rsidRPr="00A17644">
        <w:rPr>
          <w:i/>
          <w:iCs/>
          <w:lang w:val="en-GB"/>
        </w:rPr>
        <w:t>H</w:t>
      </w:r>
      <w:r w:rsidR="001A03F4" w:rsidRPr="00A17644">
        <w:rPr>
          <w:vertAlign w:val="superscript"/>
          <w:lang w:val="en-GB"/>
        </w:rPr>
        <w:t>gen,max</w:t>
      </w:r>
      <w:proofErr w:type="spellEnd"/>
      <w:r w:rsidR="001A03F4">
        <w:rPr>
          <w:lang w:val="en-GB"/>
        </w:rPr>
        <w:t xml:space="preserve"> is the </w:t>
      </w:r>
      <w:r w:rsidR="000A6DA8" w:rsidRPr="000404C3">
        <w:rPr>
          <w:lang w:val="en-GB"/>
        </w:rPr>
        <w:t xml:space="preserve">maximum boiler heat generation </w:t>
      </w:r>
      <w:r w:rsidR="000404C3" w:rsidRPr="000404C3">
        <w:rPr>
          <w:lang w:val="en-GB"/>
        </w:rPr>
        <w:t xml:space="preserve">and </w:t>
      </w:r>
      <w:proofErr w:type="spellStart"/>
      <w:r w:rsidR="00410841" w:rsidRPr="00A17644">
        <w:rPr>
          <w:i/>
          <w:iCs/>
          <w:lang w:val="en-GB"/>
        </w:rPr>
        <w:t>Cap</w:t>
      </w:r>
      <w:r w:rsidR="00410841" w:rsidRPr="00A17644">
        <w:rPr>
          <w:vertAlign w:val="superscript"/>
          <w:lang w:val="en-GB"/>
        </w:rPr>
        <w:t>batt</w:t>
      </w:r>
      <w:proofErr w:type="spellEnd"/>
      <w:r w:rsidR="00410841">
        <w:rPr>
          <w:lang w:val="en-GB"/>
        </w:rPr>
        <w:t xml:space="preserve"> is the</w:t>
      </w:r>
      <w:r w:rsidR="000A6DA8">
        <w:rPr>
          <w:lang w:val="en-GB"/>
        </w:rPr>
        <w:t xml:space="preserve"> </w:t>
      </w:r>
      <w:r w:rsidR="000A6DA8" w:rsidRPr="000404C3">
        <w:rPr>
          <w:lang w:val="en-GB"/>
        </w:rPr>
        <w:t>installed battery capacity</w:t>
      </w:r>
      <w:r w:rsidR="000404C3" w:rsidRPr="000404C3">
        <w:rPr>
          <w:lang w:val="en-GB"/>
        </w:rPr>
        <w:t>.</w:t>
      </w:r>
      <w:r w:rsidR="00410841">
        <w:rPr>
          <w:lang w:val="en-GB"/>
        </w:rPr>
        <w:t xml:space="preserve"> </w:t>
      </w:r>
      <w:r w:rsidR="00661E7A">
        <w:rPr>
          <w:lang w:val="en-GB"/>
        </w:rPr>
        <w:t xml:space="preserve">Here, </w:t>
      </w:r>
      <w:r w:rsidR="00661E7A" w:rsidRPr="00A17644">
        <w:rPr>
          <w:i/>
          <w:iCs/>
          <w:lang w:val="en-GB"/>
        </w:rPr>
        <w:t>x</w:t>
      </w:r>
      <w:r w:rsidR="00661E7A" w:rsidRPr="00F126F7">
        <w:rPr>
          <w:vertAlign w:val="subscript"/>
          <w:lang w:val="en-GB"/>
        </w:rPr>
        <w:t>m</w:t>
      </w:r>
      <w:r w:rsidR="00661E7A">
        <w:rPr>
          <w:lang w:val="en-GB"/>
        </w:rPr>
        <w:t xml:space="preserve"> </w:t>
      </w:r>
      <w:r w:rsidR="00FA0081">
        <w:rPr>
          <w:lang w:val="en-GB"/>
        </w:rPr>
        <w:t xml:space="preserve">defines the copy of </w:t>
      </w:r>
      <w:r w:rsidR="00FA0081">
        <w:rPr>
          <w:lang w:val="en-GB"/>
        </w:rPr>
        <w:lastRenderedPageBreak/>
        <w:t xml:space="preserve">the consensus variables in each subproblem </w:t>
      </w:r>
      <w:r w:rsidR="00FA0081" w:rsidRPr="00F126F7">
        <w:rPr>
          <w:i/>
          <w:iCs/>
          <w:lang w:val="en-GB"/>
        </w:rPr>
        <w:t>m</w:t>
      </w:r>
      <w:r w:rsidR="00FA0081">
        <w:rPr>
          <w:lang w:val="en-GB"/>
        </w:rPr>
        <w:t xml:space="preserve"> whilst </w:t>
      </w:r>
      <w:r w:rsidR="00E90DA3" w:rsidRPr="00A17644">
        <w:rPr>
          <w:i/>
          <w:iCs/>
          <w:lang w:val="en-GB"/>
        </w:rPr>
        <w:t>z</w:t>
      </w:r>
      <w:r w:rsidR="00E90DA3">
        <w:rPr>
          <w:lang w:val="en-GB"/>
        </w:rPr>
        <w:t xml:space="preserve"> is defined </w:t>
      </w:r>
      <w:r w:rsidR="00FA0F18">
        <w:rPr>
          <w:lang w:val="en-GB"/>
        </w:rPr>
        <w:t xml:space="preserve">globally </w:t>
      </w:r>
      <w:r w:rsidR="00E90DA3">
        <w:rPr>
          <w:lang w:val="en-GB"/>
        </w:rPr>
        <w:t xml:space="preserve">as the </w:t>
      </w:r>
      <w:r w:rsidR="00FA0F18">
        <w:rPr>
          <w:lang w:val="en-GB"/>
        </w:rPr>
        <w:t>“central collector”</w:t>
      </w:r>
      <w:r w:rsidR="00FA0F18" w:rsidRPr="00FA0F18">
        <w:rPr>
          <w:lang w:val="en-GB"/>
        </w:rPr>
        <w:t xml:space="preserve"> </w:t>
      </w:r>
      <w:r w:rsidR="00FA0F18" w:rsidRPr="00D47996">
        <w:rPr>
          <w:lang w:val="en-GB"/>
        </w:rPr>
        <w:t>(Boyd et al., 2011).</w:t>
      </w:r>
      <w:r w:rsidR="00FA0F18">
        <w:rPr>
          <w:lang w:val="en-GB"/>
        </w:rPr>
        <w:t xml:space="preserve"> </w:t>
      </w:r>
      <w:r w:rsidR="00D759A4" w:rsidRPr="00F126F7">
        <w:rPr>
          <w:lang w:val="en-GB"/>
        </w:rPr>
        <w:t>The addition of the consensus constraint</w:t>
      </w:r>
      <w:r w:rsidR="000A7A71" w:rsidRPr="00F126F7">
        <w:rPr>
          <w:lang w:val="en-GB"/>
        </w:rPr>
        <w:t>, shown generally in</w:t>
      </w:r>
      <w:r w:rsidR="002679CE">
        <w:rPr>
          <w:lang w:val="en-GB"/>
        </w:rPr>
        <w:t xml:space="preserve"> Eq.</w:t>
      </w:r>
      <w:r w:rsidR="000A7A71" w:rsidRPr="00F126F7">
        <w:rPr>
          <w:lang w:val="en-GB"/>
        </w:rPr>
        <w:t xml:space="preserve"> (</w:t>
      </w:r>
      <w:r w:rsidR="004455AD">
        <w:rPr>
          <w:lang w:val="en-GB"/>
        </w:rPr>
        <w:t>3</w:t>
      </w:r>
      <w:r w:rsidR="000A7A71" w:rsidRPr="00F126F7">
        <w:rPr>
          <w:lang w:val="en-GB"/>
        </w:rPr>
        <w:t>) and specifically for this</w:t>
      </w:r>
      <w:r w:rsidR="000F2413" w:rsidRPr="00F126F7">
        <w:rPr>
          <w:lang w:val="en-GB"/>
        </w:rPr>
        <w:t xml:space="preserve"> problem in </w:t>
      </w:r>
      <w:r w:rsidR="002679CE">
        <w:rPr>
          <w:lang w:val="en-GB"/>
        </w:rPr>
        <w:t xml:space="preserve">Eq. </w:t>
      </w:r>
      <w:r w:rsidR="000F2413" w:rsidRPr="00F126F7">
        <w:rPr>
          <w:lang w:val="en-GB"/>
        </w:rPr>
        <w:t>(</w:t>
      </w:r>
      <w:r w:rsidR="004455AD">
        <w:rPr>
          <w:lang w:val="en-GB"/>
        </w:rPr>
        <w:t>4</w:t>
      </w:r>
      <w:r w:rsidR="000F2413" w:rsidRPr="00F126F7">
        <w:rPr>
          <w:lang w:val="en-GB"/>
        </w:rPr>
        <w:t xml:space="preserve">), gives the formulation a separable </w:t>
      </w:r>
      <w:r w:rsidR="00DA3B1A" w:rsidRPr="00F126F7">
        <w:rPr>
          <w:lang w:val="en-GB"/>
        </w:rPr>
        <w:t>objective function, tied together with complicating constraints, suitable for solving using ADMM (Boyd et al., 2011).</w:t>
      </w:r>
    </w:p>
    <w:p w14:paraId="521AC2C3" w14:textId="25BA70EA" w:rsidR="00060635" w:rsidRPr="00F126F7" w:rsidRDefault="001C4BBB" w:rsidP="00A11FCE">
      <w:pPr>
        <w:pStyle w:val="Els-body-text"/>
        <w:rPr>
          <w:lang w:val="en-GB"/>
        </w:rPr>
      </w:pPr>
      <w:r w:rsidRPr="00F126F7">
        <w:rPr>
          <w:lang w:val="en-GB"/>
        </w:rPr>
        <w:t>The augmented Lagrangian</w:t>
      </w:r>
      <w:r w:rsidR="002973EB" w:rsidRPr="00F126F7">
        <w:rPr>
          <w:lang w:val="en-GB"/>
        </w:rPr>
        <w:t xml:space="preserve"> for the problem </w:t>
      </w:r>
      <w:r w:rsidR="00457209" w:rsidRPr="00F126F7">
        <w:rPr>
          <w:lang w:val="en-GB"/>
        </w:rPr>
        <w:t>then becomes</w:t>
      </w:r>
      <w:r w:rsidR="00060635" w:rsidRPr="00F126F7">
        <w:rPr>
          <w:lang w:val="en-GB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3"/>
        <w:gridCol w:w="963"/>
      </w:tblGrid>
      <w:tr w:rsidR="005134CD" w:rsidRPr="00F25A51" w14:paraId="54B01056" w14:textId="77777777" w:rsidTr="00CC2B31">
        <w:tc>
          <w:tcPr>
            <w:tcW w:w="6317" w:type="dxa"/>
            <w:shd w:val="clear" w:color="auto" w:fill="auto"/>
            <w:vAlign w:val="center"/>
          </w:tcPr>
          <w:p w14:paraId="6A17660E" w14:textId="58A2ED12" w:rsidR="00F01A65" w:rsidRPr="00B876AF" w:rsidRDefault="00A17644" w:rsidP="00293DF1">
            <w:pPr>
              <w:pStyle w:val="Els-body-text"/>
              <w:spacing w:before="120" w:after="120" w:line="264" w:lineRule="auto"/>
              <w:rPr>
                <w:iCs/>
                <w:lang w:val="en-GB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Cs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min</m:t>
                    </m:r>
                  </m:fName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/>
                            <w:iCs/>
                            <w:lang w:val="en-GB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m∈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M</m:t>
                        </m:r>
                      </m:sub>
                      <m:sup/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Cs/>
                                <w:lang w:val="en-GB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en-GB"/>
                                  </w:rPr>
                                  <m:t>TSC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en-GB"/>
                                  </w:rPr>
                                  <m:t>m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GB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en-GB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en-GB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en-GB"/>
                                  </w:rPr>
                                  <m:t>T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  <w:lang w:val="en-GB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Cs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n-GB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n-GB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en-GB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en-GB"/>
                                  </w:rPr>
                                  <m:t>z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GB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  <w:lang w:val="en-GB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Cs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n-GB"/>
                                      </w:rPr>
                                      <m:t>ρ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n-GB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Cs/>
                                    <w:lang w:val="en-GB"/>
                                  </w:rPr>
                                </m:ctrlPr>
                              </m:sSubSupPr>
                              <m:e>
                                <m:d>
                                  <m:dPr>
                                    <m:begChr m:val="‖"/>
                                    <m:endChr m:val="‖"/>
                                    <m:ctrlPr>
                                      <w:rPr>
                                        <w:rFonts w:ascii="Cambria Math" w:eastAsiaTheme="minorEastAsia" w:hAnsi="Cambria Math"/>
                                        <w:iCs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Cs/>
                                            <w:lang w:val="en-GB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lang w:val="en-GB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lang w:val="en-GB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n-GB"/>
                                      </w:rPr>
                                      <m:t>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en-GB"/>
                                      </w:rPr>
                                      <m:t>z</m:t>
                                    </m:r>
                                  </m:e>
                                </m:d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en-GB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en-GB"/>
                                  </w:rPr>
                                  <m:t>2</m:t>
                                </m:r>
                              </m:sup>
                            </m:sSubSup>
                          </m:e>
                        </m:d>
                      </m:e>
                    </m:nary>
                  </m:e>
                </m:func>
              </m:oMath>
            </m:oMathPara>
          </w:p>
        </w:tc>
        <w:tc>
          <w:tcPr>
            <w:tcW w:w="985" w:type="dxa"/>
            <w:shd w:val="clear" w:color="auto" w:fill="auto"/>
            <w:vAlign w:val="center"/>
          </w:tcPr>
          <w:p w14:paraId="1EB30413" w14:textId="7886C373" w:rsidR="00F01A65" w:rsidRPr="00F126F7" w:rsidRDefault="00F01A65" w:rsidP="00293DF1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F126F7">
              <w:rPr>
                <w:lang w:val="en-GB"/>
              </w:rPr>
              <w:t>(</w:t>
            </w:r>
            <w:r w:rsidR="00A90DA2">
              <w:rPr>
                <w:lang w:val="en-GB"/>
              </w:rPr>
              <w:t>5</w:t>
            </w:r>
            <w:r w:rsidRPr="00F126F7">
              <w:rPr>
                <w:lang w:val="en-GB"/>
              </w:rPr>
              <w:t>)</w:t>
            </w:r>
          </w:p>
        </w:tc>
      </w:tr>
    </w:tbl>
    <w:p w14:paraId="7D826663" w14:textId="7BEFEC02" w:rsidR="00060635" w:rsidRPr="00F126F7" w:rsidRDefault="00E62AE0" w:rsidP="00A11FCE">
      <w:pPr>
        <w:pStyle w:val="Els-body-text"/>
        <w:rPr>
          <w:lang w:val="en-GB"/>
        </w:rPr>
      </w:pPr>
      <w:r w:rsidRPr="00F126F7">
        <w:rPr>
          <w:lang w:val="en-GB"/>
        </w:rPr>
        <w:t xml:space="preserve">Here, </w:t>
      </w:r>
      <w:proofErr w:type="spellStart"/>
      <w:r w:rsidR="00FE7F04" w:rsidRPr="00A17644">
        <w:rPr>
          <w:i/>
          <w:iCs/>
          <w:lang w:val="en-GB"/>
        </w:rPr>
        <w:t>y</w:t>
      </w:r>
      <w:r w:rsidR="00FE7F04" w:rsidRPr="00F126F7">
        <w:rPr>
          <w:vertAlign w:val="subscript"/>
          <w:lang w:val="en-GB"/>
        </w:rPr>
        <w:t>m</w:t>
      </w:r>
      <w:proofErr w:type="spellEnd"/>
      <w:r w:rsidR="00FE7F04" w:rsidRPr="00F126F7">
        <w:rPr>
          <w:lang w:val="en-GB"/>
        </w:rPr>
        <w:t xml:space="preserve"> </w:t>
      </w:r>
      <w:r w:rsidRPr="00F126F7">
        <w:rPr>
          <w:lang w:val="en-GB"/>
        </w:rPr>
        <w:t xml:space="preserve">is the Lagrange multiplier associated with the consensus </w:t>
      </w:r>
      <w:r w:rsidR="000C5869" w:rsidRPr="00F126F7">
        <w:rPr>
          <w:lang w:val="en-GB"/>
        </w:rPr>
        <w:t xml:space="preserve">constraint and </w:t>
      </w:r>
      <w:r w:rsidR="00E67954" w:rsidRPr="00A17644">
        <w:rPr>
          <w:i/>
          <w:iCs/>
          <w:lang w:val="en-GB"/>
        </w:rPr>
        <w:t>ρ</w:t>
      </w:r>
      <w:r w:rsidR="00E67954" w:rsidRPr="00F126F7">
        <w:rPr>
          <w:lang w:val="en-GB"/>
        </w:rPr>
        <w:t xml:space="preserve"> </w:t>
      </w:r>
      <w:r w:rsidR="00502956" w:rsidRPr="00F126F7">
        <w:rPr>
          <w:lang w:val="en-GB"/>
        </w:rPr>
        <w:t>is the ADMM penalty parameter</w:t>
      </w:r>
      <w:r w:rsidR="00071EAA" w:rsidRPr="00F126F7">
        <w:rPr>
          <w:lang w:val="en-GB"/>
        </w:rPr>
        <w:t xml:space="preserve"> (Boyd et al., 2011)</w:t>
      </w:r>
      <w:r w:rsidR="00502956" w:rsidRPr="00F126F7">
        <w:rPr>
          <w:lang w:val="en-GB"/>
        </w:rPr>
        <w:t>.</w:t>
      </w:r>
      <w:r w:rsidR="0070376D" w:rsidRPr="00F126F7">
        <w:rPr>
          <w:lang w:val="en-GB"/>
        </w:rPr>
        <w:t xml:space="preserve"> </w:t>
      </w:r>
      <w:r w:rsidR="00060635" w:rsidRPr="00F126F7">
        <w:rPr>
          <w:lang w:val="en-GB"/>
        </w:rPr>
        <w:t>The reader is referred to Boyd et al. (201</w:t>
      </w:r>
      <w:r w:rsidR="00AA47AA" w:rsidRPr="00F126F7">
        <w:rPr>
          <w:lang w:val="en-GB"/>
        </w:rPr>
        <w:t>1</w:t>
      </w:r>
      <w:r w:rsidR="00060635" w:rsidRPr="00F126F7">
        <w:rPr>
          <w:lang w:val="en-GB"/>
        </w:rPr>
        <w:t xml:space="preserve">) for the </w:t>
      </w:r>
      <w:r w:rsidR="00A776DB" w:rsidRPr="00F126F7">
        <w:rPr>
          <w:lang w:val="en-GB"/>
        </w:rPr>
        <w:t xml:space="preserve">corresponding </w:t>
      </w:r>
      <w:r w:rsidR="00060635" w:rsidRPr="00F126F7">
        <w:rPr>
          <w:lang w:val="en-GB"/>
        </w:rPr>
        <w:t xml:space="preserve">ADMM </w:t>
      </w:r>
      <w:r w:rsidR="00A776DB" w:rsidRPr="00F126F7">
        <w:rPr>
          <w:lang w:val="en-GB"/>
        </w:rPr>
        <w:t>algorithmic steps.</w:t>
      </w:r>
      <w:r w:rsidR="00377B44" w:rsidRPr="00F126F7">
        <w:rPr>
          <w:lang w:val="en-GB"/>
        </w:rPr>
        <w:t xml:space="preserve"> These steps are carried out iteratively until either the maximum number of iterations is </w:t>
      </w:r>
      <w:proofErr w:type="gramStart"/>
      <w:r w:rsidR="00377B44" w:rsidRPr="00F126F7">
        <w:rPr>
          <w:lang w:val="en-GB"/>
        </w:rPr>
        <w:t>reached</w:t>
      </w:r>
      <w:proofErr w:type="gramEnd"/>
      <w:r w:rsidR="00377B44" w:rsidRPr="00F126F7">
        <w:rPr>
          <w:lang w:val="en-GB"/>
        </w:rPr>
        <w:t xml:space="preserve"> </w:t>
      </w:r>
      <w:r w:rsidR="00DC4262" w:rsidRPr="00F126F7">
        <w:rPr>
          <w:lang w:val="en-GB"/>
        </w:rPr>
        <w:t xml:space="preserve">or convergence is declared </w:t>
      </w:r>
      <w:r w:rsidR="00D92196" w:rsidRPr="00F126F7">
        <w:rPr>
          <w:lang w:val="en-GB"/>
        </w:rPr>
        <w:t xml:space="preserve">by reducing the primal gap below the </w:t>
      </w:r>
      <w:r w:rsidR="00FB1989" w:rsidRPr="00F126F7">
        <w:rPr>
          <w:lang w:val="en-GB"/>
        </w:rPr>
        <w:t>given</w:t>
      </w:r>
      <w:r w:rsidR="00D92196" w:rsidRPr="00F126F7">
        <w:rPr>
          <w:lang w:val="en-GB"/>
        </w:rPr>
        <w:t xml:space="preserve"> threshold. </w:t>
      </w:r>
      <w:r w:rsidR="00A834DE" w:rsidRPr="00F126F7">
        <w:rPr>
          <w:lang w:val="en-GB"/>
        </w:rPr>
        <w:t xml:space="preserve">The threshold is defined as </w:t>
      </w:r>
      <w:r w:rsidR="00E53134" w:rsidRPr="00A17644">
        <w:rPr>
          <w:i/>
          <w:iCs/>
          <w:lang w:val="en-GB"/>
        </w:rPr>
        <w:t>ε</w:t>
      </w:r>
      <w:r w:rsidR="003771F8" w:rsidRPr="00F126F7">
        <w:rPr>
          <w:lang w:val="en-GB"/>
        </w:rPr>
        <w:t>, with the corresponding primal gap convergence</w:t>
      </w:r>
      <w:r w:rsidR="009637A3" w:rsidRPr="00F126F7">
        <w:rPr>
          <w:lang w:val="en-GB"/>
        </w:rPr>
        <w:t xml:space="preserve"> criteria</w:t>
      </w:r>
      <w:r w:rsidR="003771F8" w:rsidRPr="00F126F7">
        <w:rPr>
          <w:lang w:val="en-GB"/>
        </w:rPr>
        <w:t xml:space="preserve"> across </w:t>
      </w:r>
      <w:r w:rsidR="002F2A20" w:rsidRPr="00F126F7">
        <w:rPr>
          <w:lang w:val="en-GB"/>
        </w:rPr>
        <w:t>all subproblems</w:t>
      </w:r>
      <w:r w:rsidR="00A34817" w:rsidRPr="00F126F7">
        <w:rPr>
          <w:lang w:val="en-GB"/>
        </w:rPr>
        <w:t xml:space="preserve"> for iteration </w:t>
      </w:r>
      <w:r w:rsidR="00A34817" w:rsidRPr="00F126F7">
        <w:rPr>
          <w:i/>
          <w:iCs/>
          <w:lang w:val="en-GB"/>
        </w:rPr>
        <w:t>k</w:t>
      </w:r>
      <w:r w:rsidR="004027CE" w:rsidRPr="00F126F7">
        <w:rPr>
          <w:lang w:val="en-GB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0"/>
        <w:gridCol w:w="966"/>
      </w:tblGrid>
      <w:tr w:rsidR="004027CE" w:rsidRPr="00F25A51" w14:paraId="5856295D" w14:textId="77777777" w:rsidTr="00CC2B31">
        <w:tc>
          <w:tcPr>
            <w:tcW w:w="6317" w:type="dxa"/>
            <w:shd w:val="clear" w:color="auto" w:fill="auto"/>
            <w:vAlign w:val="center"/>
          </w:tcPr>
          <w:p w14:paraId="247EB09D" w14:textId="10285874" w:rsidR="004027CE" w:rsidRPr="00B876AF" w:rsidRDefault="00A17644" w:rsidP="00293DF1">
            <w:pPr>
              <w:pStyle w:val="Els-body-text"/>
              <w:spacing w:before="120" w:after="120" w:line="264" w:lineRule="auto"/>
              <w:rPr>
                <w:iCs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lang w:val="en-GB"/>
                      </w:rPr>
                    </m:ctrlPr>
                  </m:sSub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eastAsiaTheme="minorEastAsia" w:hAnsi="Cambria Math"/>
                            <w:iCs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Cs/>
                                <w:lang w:val="en-GB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GB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GB"/>
                              </w:rPr>
                              <m:t>m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GB"/>
                              </w:rPr>
                              <m:t>k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Cs/>
                                <w:lang w:val="en-GB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GB"/>
                              </w:rPr>
                              <m:t>z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en-GB"/>
                              </w:rPr>
                              <m:t>k</m:t>
                            </m:r>
                          </m:sup>
                        </m:sSup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∞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GB"/>
                  </w:rPr>
                  <m:t>≤ε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,∀m∈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en-GB"/>
                  </w:rPr>
                  <m:t>M</m:t>
                </m:r>
              </m:oMath>
            </m:oMathPara>
          </w:p>
        </w:tc>
        <w:tc>
          <w:tcPr>
            <w:tcW w:w="985" w:type="dxa"/>
            <w:shd w:val="clear" w:color="auto" w:fill="auto"/>
            <w:vAlign w:val="center"/>
          </w:tcPr>
          <w:p w14:paraId="2B4A3168" w14:textId="650513CD" w:rsidR="004027CE" w:rsidRPr="00F126F7" w:rsidRDefault="004027CE" w:rsidP="00293DF1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F126F7">
              <w:rPr>
                <w:lang w:val="en-GB"/>
              </w:rPr>
              <w:t>(</w:t>
            </w:r>
            <w:r w:rsidR="00A90DA2">
              <w:rPr>
                <w:lang w:val="en-GB"/>
              </w:rPr>
              <w:t>6</w:t>
            </w:r>
            <w:r w:rsidRPr="00F126F7">
              <w:rPr>
                <w:lang w:val="en-GB"/>
              </w:rPr>
              <w:t>)</w:t>
            </w:r>
          </w:p>
        </w:tc>
      </w:tr>
    </w:tbl>
    <w:p w14:paraId="57710432" w14:textId="3ACECB5F" w:rsidR="003A5957" w:rsidRPr="00F126F7" w:rsidRDefault="003A5957" w:rsidP="00A11FCE">
      <w:pPr>
        <w:pStyle w:val="Els-2ndorder-head"/>
        <w:rPr>
          <w:lang w:val="en-GB"/>
        </w:rPr>
      </w:pPr>
      <w:r w:rsidRPr="00F126F7">
        <w:rPr>
          <w:lang w:val="en-GB"/>
        </w:rPr>
        <w:t>Test Network</w:t>
      </w:r>
    </w:p>
    <w:p w14:paraId="3A5596F0" w14:textId="5DA8D4BE" w:rsidR="003D2D98" w:rsidRPr="00F126F7" w:rsidRDefault="006C7213" w:rsidP="00A11FCE">
      <w:pPr>
        <w:pStyle w:val="Els-body-text"/>
        <w:rPr>
          <w:lang w:val="en-GB"/>
        </w:rPr>
      </w:pPr>
      <w:r w:rsidRPr="00F126F7">
        <w:rPr>
          <w:lang w:val="en-GB"/>
        </w:rPr>
        <w:t xml:space="preserve">The </w:t>
      </w:r>
      <w:r w:rsidR="00B61932" w:rsidRPr="00F126F7">
        <w:rPr>
          <w:lang w:val="en-GB"/>
        </w:rPr>
        <w:t>network</w:t>
      </w:r>
      <w:r w:rsidR="009A4063" w:rsidRPr="00F126F7">
        <w:rPr>
          <w:lang w:val="en-GB"/>
        </w:rPr>
        <w:t xml:space="preserve"> used for the results presented here is the 7-bus network </w:t>
      </w:r>
      <w:r w:rsidR="00947DD5" w:rsidRPr="00F126F7">
        <w:rPr>
          <w:lang w:val="en-GB"/>
        </w:rPr>
        <w:t xml:space="preserve">from De Mel et al. (2022). </w:t>
      </w:r>
      <w:r w:rsidR="00FD1D54" w:rsidRPr="00F126F7">
        <w:rPr>
          <w:lang w:val="en-GB"/>
        </w:rPr>
        <w:t>Data for only a single year is provided</w:t>
      </w:r>
      <w:r w:rsidR="0080258F" w:rsidRPr="00F126F7">
        <w:rPr>
          <w:lang w:val="en-GB"/>
        </w:rPr>
        <w:t xml:space="preserve">, to </w:t>
      </w:r>
      <w:r w:rsidR="00DF4CBA" w:rsidRPr="00F126F7">
        <w:rPr>
          <w:lang w:val="en-GB"/>
        </w:rPr>
        <w:t>extrapolate this to multiple years</w:t>
      </w:r>
      <w:r w:rsidR="00993495" w:rsidRPr="00F126F7">
        <w:rPr>
          <w:lang w:val="en-GB"/>
        </w:rPr>
        <w:t xml:space="preserve"> the </w:t>
      </w:r>
      <w:r w:rsidR="00DF4CBA" w:rsidRPr="00F126F7">
        <w:rPr>
          <w:lang w:val="en-GB"/>
        </w:rPr>
        <w:t xml:space="preserve">electrical load, heat load and irradiance values </w:t>
      </w:r>
      <w:r w:rsidR="00CA6018" w:rsidRPr="00F126F7">
        <w:rPr>
          <w:lang w:val="en-GB"/>
        </w:rPr>
        <w:t>were multiplied by a uniformly distributed random value between 0.5 and 1.5.</w:t>
      </w:r>
      <w:r w:rsidR="00BA0BA2" w:rsidRPr="00F126F7">
        <w:rPr>
          <w:lang w:val="en-GB"/>
        </w:rPr>
        <w:t xml:space="preserve"> Whilst this is not expected </w:t>
      </w:r>
      <w:r w:rsidR="00B37D57" w:rsidRPr="00F126F7">
        <w:rPr>
          <w:lang w:val="en-GB"/>
        </w:rPr>
        <w:t xml:space="preserve">to </w:t>
      </w:r>
      <w:r w:rsidR="00CC7B73" w:rsidRPr="00F126F7">
        <w:rPr>
          <w:lang w:val="en-GB"/>
        </w:rPr>
        <w:t xml:space="preserve">be representative of </w:t>
      </w:r>
      <w:r w:rsidR="00ED306E" w:rsidRPr="00F126F7">
        <w:rPr>
          <w:lang w:val="en-GB"/>
        </w:rPr>
        <w:t>a real-world scenario</w:t>
      </w:r>
      <w:r w:rsidR="00BD7A91">
        <w:rPr>
          <w:lang w:val="en-GB"/>
        </w:rPr>
        <w:t>,</w:t>
      </w:r>
      <w:r w:rsidR="00ED306E" w:rsidRPr="00F126F7">
        <w:rPr>
          <w:lang w:val="en-GB"/>
        </w:rPr>
        <w:t xml:space="preserve"> it provide</w:t>
      </w:r>
      <w:r w:rsidR="00EE521C" w:rsidRPr="00F126F7">
        <w:rPr>
          <w:lang w:val="en-GB"/>
        </w:rPr>
        <w:t>s</w:t>
      </w:r>
      <w:r w:rsidR="00ED306E" w:rsidRPr="00F126F7">
        <w:rPr>
          <w:lang w:val="en-GB"/>
        </w:rPr>
        <w:t xml:space="preserve"> </w:t>
      </w:r>
      <w:r w:rsidR="00EE521C" w:rsidRPr="00F126F7">
        <w:rPr>
          <w:lang w:val="en-GB"/>
        </w:rPr>
        <w:t xml:space="preserve">appropriate </w:t>
      </w:r>
      <w:r w:rsidR="00ED306E" w:rsidRPr="00F126F7">
        <w:rPr>
          <w:lang w:val="en-GB"/>
        </w:rPr>
        <w:t xml:space="preserve">datasets for </w:t>
      </w:r>
      <w:r w:rsidR="00326345" w:rsidRPr="00F126F7">
        <w:rPr>
          <w:lang w:val="en-GB"/>
        </w:rPr>
        <w:t>each considered year.</w:t>
      </w:r>
    </w:p>
    <w:p w14:paraId="6C469C88" w14:textId="3579D7F8" w:rsidR="00B92149" w:rsidRPr="00F126F7" w:rsidRDefault="00B92149" w:rsidP="00A11FCE">
      <w:pPr>
        <w:pStyle w:val="Els-2ndorder-head"/>
        <w:rPr>
          <w:lang w:val="en-GB"/>
        </w:rPr>
      </w:pPr>
      <w:r w:rsidRPr="00F126F7">
        <w:rPr>
          <w:lang w:val="en-GB"/>
        </w:rPr>
        <w:t>Experiments</w:t>
      </w:r>
    </w:p>
    <w:p w14:paraId="1F0610A5" w14:textId="276B8214" w:rsidR="003D2D98" w:rsidRPr="00F126F7" w:rsidRDefault="008D016B" w:rsidP="00A11FCE">
      <w:pPr>
        <w:pStyle w:val="Els-body-text"/>
        <w:rPr>
          <w:lang w:val="en-GB"/>
        </w:rPr>
      </w:pPr>
      <w:r w:rsidRPr="00F126F7">
        <w:rPr>
          <w:lang w:val="en-GB"/>
        </w:rPr>
        <w:t xml:space="preserve">The performance of ADMM in terms of convergence </w:t>
      </w:r>
      <w:r w:rsidR="00434FBA" w:rsidRPr="00F126F7">
        <w:rPr>
          <w:lang w:val="en-GB"/>
        </w:rPr>
        <w:t xml:space="preserve">is </w:t>
      </w:r>
      <w:r w:rsidRPr="00F126F7">
        <w:rPr>
          <w:lang w:val="en-GB"/>
        </w:rPr>
        <w:t xml:space="preserve">known to depend on </w:t>
      </w:r>
      <w:r w:rsidR="004233AF" w:rsidRPr="00F126F7">
        <w:rPr>
          <w:lang w:val="en-GB"/>
        </w:rPr>
        <w:t>the</w:t>
      </w:r>
      <w:r w:rsidR="00B82B33" w:rsidRPr="00F126F7">
        <w:rPr>
          <w:lang w:val="en-GB"/>
        </w:rPr>
        <w:t xml:space="preserve"> chosen</w:t>
      </w:r>
      <w:r w:rsidR="004233AF" w:rsidRPr="00F126F7">
        <w:rPr>
          <w:lang w:val="en-GB"/>
        </w:rPr>
        <w:t xml:space="preserve"> value of</w:t>
      </w:r>
      <w:r w:rsidR="00560FC8" w:rsidRPr="00F126F7">
        <w:rPr>
          <w:lang w:val="en-GB"/>
        </w:rPr>
        <w:t xml:space="preserve"> the</w:t>
      </w:r>
      <w:r w:rsidR="004233AF" w:rsidRPr="00F126F7">
        <w:rPr>
          <w:lang w:val="en-GB"/>
        </w:rPr>
        <w:t xml:space="preserve"> penalty parameter, </w:t>
      </w:r>
      <w:r w:rsidR="00E53134" w:rsidRPr="00A17644">
        <w:rPr>
          <w:i/>
          <w:iCs/>
          <w:lang w:val="en-GB"/>
        </w:rPr>
        <w:t>ρ</w:t>
      </w:r>
      <w:r w:rsidR="004233AF" w:rsidRPr="00F126F7">
        <w:rPr>
          <w:lang w:val="en-GB"/>
        </w:rPr>
        <w:t xml:space="preserve">, that is used </w:t>
      </w:r>
      <w:r w:rsidR="00B82B33" w:rsidRPr="00F126F7">
        <w:rPr>
          <w:lang w:val="en-GB"/>
        </w:rPr>
        <w:t>(Boyd et al., 2011)</w:t>
      </w:r>
      <w:r w:rsidR="004233AF" w:rsidRPr="00F126F7">
        <w:rPr>
          <w:lang w:val="en-GB"/>
        </w:rPr>
        <w:t>.</w:t>
      </w:r>
      <w:r w:rsidR="001361AD" w:rsidRPr="00F126F7">
        <w:rPr>
          <w:lang w:val="en-GB"/>
        </w:rPr>
        <w:t xml:space="preserve"> </w:t>
      </w:r>
      <w:r w:rsidR="000846D0" w:rsidRPr="00F126F7">
        <w:rPr>
          <w:lang w:val="en-GB"/>
        </w:rPr>
        <w:t xml:space="preserve">Here, we start with an exploratory set of </w:t>
      </w:r>
      <w:r w:rsidR="007C0538">
        <w:rPr>
          <w:lang w:val="en-GB"/>
        </w:rPr>
        <w:t xml:space="preserve">computational </w:t>
      </w:r>
      <w:r w:rsidR="000846D0" w:rsidRPr="00F126F7">
        <w:rPr>
          <w:lang w:val="en-GB"/>
        </w:rPr>
        <w:t xml:space="preserve">experiments </w:t>
      </w:r>
      <w:r w:rsidR="00EE704B">
        <w:rPr>
          <w:lang w:val="en-GB"/>
        </w:rPr>
        <w:t>with</w:t>
      </w:r>
      <w:r w:rsidR="00656DDF" w:rsidRPr="00F126F7">
        <w:rPr>
          <w:lang w:val="en-GB"/>
        </w:rPr>
        <w:t xml:space="preserve"> value</w:t>
      </w:r>
      <w:r w:rsidR="00EE704B">
        <w:rPr>
          <w:lang w:val="en-GB"/>
        </w:rPr>
        <w:t>s</w:t>
      </w:r>
      <w:r w:rsidR="00656DDF" w:rsidRPr="00F126F7">
        <w:rPr>
          <w:lang w:val="en-GB"/>
        </w:rPr>
        <w:t xml:space="preserve"> of </w:t>
      </w:r>
      <w:r w:rsidR="00FA3101" w:rsidRPr="00A17644">
        <w:rPr>
          <w:i/>
          <w:iCs/>
          <w:lang w:val="en-GB"/>
        </w:rPr>
        <w:t>ρ</w:t>
      </w:r>
      <w:r w:rsidR="00FA3101" w:rsidRPr="00F126F7">
        <w:rPr>
          <w:lang w:val="en-GB"/>
        </w:rPr>
        <w:t xml:space="preserve"> </w:t>
      </w:r>
      <w:r w:rsidR="009F3793" w:rsidRPr="00F126F7">
        <w:rPr>
          <w:lang w:val="en-GB"/>
        </w:rPr>
        <w:t>between 1000 and 0.01</w:t>
      </w:r>
      <w:r w:rsidR="00656DDF" w:rsidRPr="00F126F7">
        <w:rPr>
          <w:lang w:val="en-GB"/>
        </w:rPr>
        <w:t>, number of years considered</w:t>
      </w:r>
      <w:r w:rsidR="009F3793" w:rsidRPr="00F126F7">
        <w:rPr>
          <w:lang w:val="en-GB"/>
        </w:rPr>
        <w:t xml:space="preserve"> between 1 and </w:t>
      </w:r>
      <w:r w:rsidR="004D498B">
        <w:rPr>
          <w:lang w:val="en-GB"/>
        </w:rPr>
        <w:t>50</w:t>
      </w:r>
      <w:r w:rsidR="004D498B" w:rsidRPr="00F126F7">
        <w:rPr>
          <w:lang w:val="en-GB"/>
        </w:rPr>
        <w:t xml:space="preserve"> </w:t>
      </w:r>
      <w:r w:rsidR="00027C4F" w:rsidRPr="00F126F7">
        <w:rPr>
          <w:lang w:val="en-GB"/>
        </w:rPr>
        <w:t xml:space="preserve">and </w:t>
      </w:r>
      <w:r w:rsidR="009F3793" w:rsidRPr="00F126F7">
        <w:rPr>
          <w:lang w:val="en-GB"/>
        </w:rPr>
        <w:t>note the results for</w:t>
      </w:r>
      <w:r w:rsidR="00027C4F" w:rsidRPr="00F126F7">
        <w:rPr>
          <w:lang w:val="en-GB"/>
        </w:rPr>
        <w:t xml:space="preserve"> required primal gap convergence threshold</w:t>
      </w:r>
      <w:r w:rsidR="009F3793" w:rsidRPr="00F126F7">
        <w:rPr>
          <w:lang w:val="en-GB"/>
        </w:rPr>
        <w:t>s</w:t>
      </w:r>
      <w:r w:rsidR="00F1739E" w:rsidRPr="00F126F7">
        <w:rPr>
          <w:lang w:val="en-GB"/>
        </w:rPr>
        <w:t xml:space="preserve">, </w:t>
      </w:r>
      <w:r w:rsidR="004B59F6" w:rsidRPr="00A17644">
        <w:rPr>
          <w:i/>
          <w:iCs/>
          <w:lang w:val="en-GB"/>
        </w:rPr>
        <w:t>ε</w:t>
      </w:r>
      <w:r w:rsidR="00F1739E" w:rsidRPr="00F126F7">
        <w:rPr>
          <w:lang w:val="en-GB"/>
        </w:rPr>
        <w:t>,</w:t>
      </w:r>
      <w:r w:rsidR="004B59F6" w:rsidRPr="00F126F7">
        <w:rPr>
          <w:lang w:val="en-GB"/>
        </w:rPr>
        <w:t xml:space="preserve"> </w:t>
      </w:r>
      <w:r w:rsidR="009F3793" w:rsidRPr="00F126F7">
        <w:rPr>
          <w:lang w:val="en-GB"/>
        </w:rPr>
        <w:t>of 1, 0.1 and 0.01</w:t>
      </w:r>
      <w:r w:rsidR="00027C4F" w:rsidRPr="00F126F7">
        <w:rPr>
          <w:lang w:val="en-GB"/>
        </w:rPr>
        <w:t>.</w:t>
      </w:r>
      <w:r w:rsidR="000C0B5D" w:rsidRPr="00F126F7">
        <w:rPr>
          <w:lang w:val="en-GB"/>
        </w:rPr>
        <w:t xml:space="preserve"> </w:t>
      </w:r>
      <w:r w:rsidR="0001698B" w:rsidRPr="00F126F7">
        <w:rPr>
          <w:lang w:val="en-GB"/>
        </w:rPr>
        <w:t xml:space="preserve">The problem was also solved in a </w:t>
      </w:r>
      <w:r w:rsidR="00F25A51">
        <w:rPr>
          <w:lang w:val="en-GB"/>
        </w:rPr>
        <w:t>centralised</w:t>
      </w:r>
      <w:r w:rsidR="0001698B" w:rsidRPr="00F126F7">
        <w:rPr>
          <w:lang w:val="en-GB"/>
        </w:rPr>
        <w:t xml:space="preserve"> manner </w:t>
      </w:r>
      <w:r w:rsidR="0043646A" w:rsidRPr="00F126F7">
        <w:rPr>
          <w:lang w:val="en-GB"/>
        </w:rPr>
        <w:t>and</w:t>
      </w:r>
      <w:r w:rsidR="00E30626">
        <w:rPr>
          <w:lang w:val="en-GB"/>
        </w:rPr>
        <w:t xml:space="preserve"> </w:t>
      </w:r>
      <w:r w:rsidR="00D21664">
        <w:rPr>
          <w:lang w:val="en-GB"/>
        </w:rPr>
        <w:t xml:space="preserve">CPU </w:t>
      </w:r>
      <w:r w:rsidR="0043646A" w:rsidRPr="00F126F7">
        <w:rPr>
          <w:lang w:val="en-GB"/>
        </w:rPr>
        <w:t>solve time</w:t>
      </w:r>
      <w:r w:rsidR="000B78D4" w:rsidRPr="00F126F7">
        <w:rPr>
          <w:lang w:val="en-GB"/>
        </w:rPr>
        <w:t>s</w:t>
      </w:r>
      <w:r w:rsidR="0043646A" w:rsidRPr="00F126F7">
        <w:rPr>
          <w:lang w:val="en-GB"/>
        </w:rPr>
        <w:t xml:space="preserve"> for both </w:t>
      </w:r>
      <w:r w:rsidR="00F25A51">
        <w:rPr>
          <w:lang w:val="en-GB"/>
        </w:rPr>
        <w:t>centralised</w:t>
      </w:r>
      <w:r w:rsidR="0043646A" w:rsidRPr="00F126F7">
        <w:rPr>
          <w:lang w:val="en-GB"/>
        </w:rPr>
        <w:t xml:space="preserve"> </w:t>
      </w:r>
      <w:r w:rsidR="00810DE4" w:rsidRPr="00F126F7">
        <w:rPr>
          <w:lang w:val="en-GB"/>
        </w:rPr>
        <w:t xml:space="preserve">and ADMM formulations </w:t>
      </w:r>
      <w:r w:rsidR="000B78D4" w:rsidRPr="00F126F7">
        <w:rPr>
          <w:lang w:val="en-GB"/>
        </w:rPr>
        <w:t>were</w:t>
      </w:r>
      <w:r w:rsidR="00810DE4" w:rsidRPr="00F126F7">
        <w:rPr>
          <w:lang w:val="en-GB"/>
        </w:rPr>
        <w:t xml:space="preserve"> recorded, along with optimality gap</w:t>
      </w:r>
      <w:r w:rsidR="00EE521C" w:rsidRPr="00F126F7">
        <w:rPr>
          <w:lang w:val="en-GB"/>
        </w:rPr>
        <w:t>s</w:t>
      </w:r>
      <w:r w:rsidR="00384FE3" w:rsidRPr="00F126F7">
        <w:rPr>
          <w:lang w:val="en-GB"/>
        </w:rPr>
        <w:t>.</w:t>
      </w:r>
      <w:r w:rsidR="00D96DB4" w:rsidRPr="00F126F7">
        <w:rPr>
          <w:lang w:val="en-GB"/>
        </w:rPr>
        <w:t xml:space="preserve"> The optimality gap here is simply taken </w:t>
      </w:r>
      <w:r w:rsidR="00EE521C" w:rsidRPr="00F126F7">
        <w:rPr>
          <w:lang w:val="en-GB"/>
        </w:rPr>
        <w:t>as</w:t>
      </w:r>
      <w:r w:rsidR="00D96DB4" w:rsidRPr="00F126F7">
        <w:rPr>
          <w:lang w:val="en-GB"/>
        </w:rPr>
        <w:t xml:space="preserve"> the difference between the overall objective </w:t>
      </w:r>
      <w:r w:rsidR="00F526A9" w:rsidRPr="00F126F7">
        <w:rPr>
          <w:lang w:val="en-GB"/>
        </w:rPr>
        <w:t>value</w:t>
      </w:r>
      <w:r w:rsidR="00D96DB4" w:rsidRPr="00F126F7">
        <w:rPr>
          <w:lang w:val="en-GB"/>
        </w:rPr>
        <w:t xml:space="preserve"> of the </w:t>
      </w:r>
      <w:r w:rsidR="00F526A9" w:rsidRPr="00F126F7">
        <w:rPr>
          <w:lang w:val="en-GB"/>
        </w:rPr>
        <w:t xml:space="preserve">two formulations: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1"/>
        <w:gridCol w:w="965"/>
      </w:tblGrid>
      <w:tr w:rsidR="003E358A" w:rsidRPr="00F25A51" w14:paraId="2B4AE75E" w14:textId="77777777" w:rsidTr="00CC2B31">
        <w:tc>
          <w:tcPr>
            <w:tcW w:w="6317" w:type="dxa"/>
            <w:shd w:val="clear" w:color="auto" w:fill="auto"/>
            <w:vAlign w:val="center"/>
          </w:tcPr>
          <w:p w14:paraId="47FE29CC" w14:textId="1A90FCCB" w:rsidR="00E15D11" w:rsidRPr="00C17375" w:rsidRDefault="00A17644" w:rsidP="00293DF1">
            <w:pPr>
              <w:pStyle w:val="Els-body-text"/>
              <w:spacing w:before="120" w:after="120" w:line="264" w:lineRule="auto"/>
              <w:rPr>
                <w:iCs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obj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gap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obj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/>
                      </w:rPr>
                      <m:t>ADMM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obj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central</m:t>
                    </m:r>
                  </m:sub>
                </m:sSub>
              </m:oMath>
            </m:oMathPara>
          </w:p>
        </w:tc>
        <w:tc>
          <w:tcPr>
            <w:tcW w:w="985" w:type="dxa"/>
            <w:shd w:val="clear" w:color="auto" w:fill="auto"/>
            <w:vAlign w:val="center"/>
          </w:tcPr>
          <w:p w14:paraId="7C96410F" w14:textId="0ED59796" w:rsidR="00E15D11" w:rsidRPr="00F126F7" w:rsidRDefault="00E15D11" w:rsidP="00293DF1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F126F7">
              <w:rPr>
                <w:lang w:val="en-GB"/>
              </w:rPr>
              <w:t>(</w:t>
            </w:r>
            <w:r w:rsidR="00A90DA2">
              <w:rPr>
                <w:lang w:val="en-GB"/>
              </w:rPr>
              <w:t>7</w:t>
            </w:r>
            <w:r w:rsidRPr="00F126F7">
              <w:rPr>
                <w:lang w:val="en-GB"/>
              </w:rPr>
              <w:t>)</w:t>
            </w:r>
          </w:p>
        </w:tc>
      </w:tr>
    </w:tbl>
    <w:p w14:paraId="6E0880C9" w14:textId="27F4DAFE" w:rsidR="00F526A9" w:rsidRPr="00F126F7" w:rsidRDefault="00F526A9" w:rsidP="00A11FCE">
      <w:pPr>
        <w:pStyle w:val="Els-body-text"/>
        <w:rPr>
          <w:lang w:val="en-GB"/>
        </w:rPr>
      </w:pPr>
      <w:r w:rsidRPr="00F126F7">
        <w:rPr>
          <w:lang w:val="en-GB"/>
        </w:rPr>
        <w:t xml:space="preserve">Here, a positive value for the optimality gap indicates that the ADMM formulation returned a sub-optimal </w:t>
      </w:r>
      <w:r w:rsidR="00367726" w:rsidRPr="00F126F7">
        <w:rPr>
          <w:lang w:val="en-GB"/>
        </w:rPr>
        <w:t>result.</w:t>
      </w:r>
      <w:r w:rsidR="00E15D11" w:rsidRPr="00F126F7">
        <w:rPr>
          <w:lang w:val="en-GB"/>
        </w:rPr>
        <w:t xml:space="preserve"> </w:t>
      </w:r>
    </w:p>
    <w:p w14:paraId="0055B375" w14:textId="77DA8A50" w:rsidR="00147536" w:rsidRPr="00F126F7" w:rsidRDefault="00BB335D" w:rsidP="00A11FCE">
      <w:pPr>
        <w:pStyle w:val="Els-body-text"/>
        <w:rPr>
          <w:lang w:val="en-GB"/>
        </w:rPr>
      </w:pPr>
      <w:r w:rsidRPr="00F126F7">
        <w:rPr>
          <w:lang w:val="en-GB"/>
        </w:rPr>
        <w:t xml:space="preserve">To determine the solve time for the ADMM solution, </w:t>
      </w:r>
      <w:r w:rsidR="00A055F0" w:rsidRPr="00F126F7">
        <w:rPr>
          <w:lang w:val="en-GB"/>
        </w:rPr>
        <w:t xml:space="preserve">it is assumed that each of the subproblems </w:t>
      </w:r>
      <w:r w:rsidR="005E13A7" w:rsidRPr="00F126F7">
        <w:rPr>
          <w:lang w:val="en-GB"/>
        </w:rPr>
        <w:t xml:space="preserve">are being solved in parallel </w:t>
      </w:r>
      <w:r w:rsidR="00EA7735" w:rsidRPr="00F126F7">
        <w:rPr>
          <w:lang w:val="en-GB"/>
        </w:rPr>
        <w:t>(</w:t>
      </w:r>
      <w:r w:rsidR="007A531B" w:rsidRPr="00F126F7">
        <w:rPr>
          <w:lang w:val="en-GB"/>
        </w:rPr>
        <w:t xml:space="preserve">the </w:t>
      </w:r>
      <w:r w:rsidR="00EA7735" w:rsidRPr="00A17644">
        <w:rPr>
          <w:i/>
          <w:iCs/>
          <w:lang w:val="en-GB"/>
        </w:rPr>
        <w:t>x</w:t>
      </w:r>
      <w:r w:rsidR="00EA7735" w:rsidRPr="00F126F7">
        <w:rPr>
          <w:vertAlign w:val="superscript"/>
          <w:lang w:val="en-GB"/>
        </w:rPr>
        <w:t>k+1</w:t>
      </w:r>
      <w:r w:rsidR="00EA7735" w:rsidRPr="00F126F7">
        <w:rPr>
          <w:lang w:val="en-GB"/>
        </w:rPr>
        <w:t xml:space="preserve"> update </w:t>
      </w:r>
      <w:r w:rsidR="00823810" w:rsidRPr="00F126F7">
        <w:rPr>
          <w:lang w:val="en-GB"/>
        </w:rPr>
        <w:t>step in Boyd et al. (2011)</w:t>
      </w:r>
      <w:r w:rsidR="00EA7735" w:rsidRPr="00F126F7">
        <w:rPr>
          <w:lang w:val="en-GB"/>
        </w:rPr>
        <w:t>)</w:t>
      </w:r>
      <w:r w:rsidR="007A531B" w:rsidRPr="00F126F7">
        <w:rPr>
          <w:lang w:val="en-GB"/>
        </w:rPr>
        <w:t xml:space="preserve"> and the time taken for </w:t>
      </w:r>
      <w:r w:rsidR="00BD55A2" w:rsidRPr="00F126F7">
        <w:rPr>
          <w:lang w:val="en-GB"/>
        </w:rPr>
        <w:t>any</w:t>
      </w:r>
      <w:r w:rsidR="007A531B" w:rsidRPr="00F126F7">
        <w:rPr>
          <w:lang w:val="en-GB"/>
        </w:rPr>
        <w:t xml:space="preserve"> communication </w:t>
      </w:r>
      <w:r w:rsidR="001C1957" w:rsidRPr="00F126F7">
        <w:rPr>
          <w:lang w:val="en-GB"/>
        </w:rPr>
        <w:t xml:space="preserve">of the </w:t>
      </w:r>
      <w:r w:rsidR="009E3A82" w:rsidRPr="00A17644">
        <w:rPr>
          <w:i/>
          <w:iCs/>
          <w:lang w:val="en-GB"/>
        </w:rPr>
        <w:t>x</w:t>
      </w:r>
      <w:r w:rsidR="009E3A82" w:rsidRPr="00F126F7">
        <w:rPr>
          <w:vertAlign w:val="superscript"/>
          <w:lang w:val="en-GB"/>
        </w:rPr>
        <w:t>k+1</w:t>
      </w:r>
      <w:r w:rsidR="009E3A82" w:rsidRPr="00F126F7">
        <w:rPr>
          <w:lang w:val="en-GB"/>
        </w:rPr>
        <w:t xml:space="preserve"> values, as well as the updates for </w:t>
      </w:r>
      <w:r w:rsidR="009E3A82" w:rsidRPr="00A17644">
        <w:rPr>
          <w:i/>
          <w:iCs/>
          <w:lang w:val="en-GB"/>
        </w:rPr>
        <w:t>z</w:t>
      </w:r>
      <w:r w:rsidR="009E3A82" w:rsidRPr="00F126F7">
        <w:rPr>
          <w:lang w:val="en-GB"/>
        </w:rPr>
        <w:t xml:space="preserve"> and </w:t>
      </w:r>
      <w:r w:rsidR="009E3A82" w:rsidRPr="00A17644">
        <w:rPr>
          <w:i/>
          <w:iCs/>
          <w:lang w:val="en-GB"/>
        </w:rPr>
        <w:t>y</w:t>
      </w:r>
      <w:r w:rsidR="00CB7819" w:rsidRPr="00F126F7">
        <w:rPr>
          <w:lang w:val="en-GB"/>
        </w:rPr>
        <w:t xml:space="preserve"> are negligible. </w:t>
      </w:r>
      <w:r w:rsidR="00EC0001" w:rsidRPr="00F126F7">
        <w:rPr>
          <w:lang w:val="en-GB"/>
        </w:rPr>
        <w:t xml:space="preserve">As this is a synchronous implementation, the </w:t>
      </w:r>
      <w:r w:rsidR="009971CD" w:rsidRPr="00F126F7">
        <w:rPr>
          <w:lang w:val="en-GB"/>
        </w:rPr>
        <w:t xml:space="preserve">total solve time for the ADMM solution is taken as the maximum </w:t>
      </w:r>
      <w:r w:rsidR="00027E05" w:rsidRPr="00A17644">
        <w:rPr>
          <w:i/>
          <w:iCs/>
          <w:lang w:val="en-GB"/>
        </w:rPr>
        <w:t>x</w:t>
      </w:r>
      <w:r w:rsidR="00027E05" w:rsidRPr="00F126F7">
        <w:rPr>
          <w:vertAlign w:val="superscript"/>
          <w:lang w:val="en-GB"/>
        </w:rPr>
        <w:t>k+1</w:t>
      </w:r>
      <w:r w:rsidR="00027E05" w:rsidRPr="00F126F7">
        <w:rPr>
          <w:lang w:val="en-GB"/>
        </w:rPr>
        <w:t xml:space="preserve"> solve time </w:t>
      </w:r>
      <w:r w:rsidR="00091C88" w:rsidRPr="00F126F7">
        <w:rPr>
          <w:lang w:val="en-GB"/>
        </w:rPr>
        <w:t>for</w:t>
      </w:r>
      <w:r w:rsidR="00027E05" w:rsidRPr="00F126F7">
        <w:rPr>
          <w:lang w:val="en-GB"/>
        </w:rPr>
        <w:t xml:space="preserve"> all subproblems</w:t>
      </w:r>
      <w:r w:rsidR="00091C88" w:rsidRPr="00F126F7">
        <w:rPr>
          <w:lang w:val="en-GB"/>
        </w:rPr>
        <w:t xml:space="preserve"> in each </w:t>
      </w:r>
      <w:r w:rsidR="00F81A53" w:rsidRPr="00F126F7">
        <w:rPr>
          <w:lang w:val="en-GB"/>
        </w:rPr>
        <w:t>iteration</w:t>
      </w:r>
      <w:r w:rsidR="00027E05" w:rsidRPr="00F126F7">
        <w:rPr>
          <w:lang w:val="en-GB"/>
        </w:rPr>
        <w:t xml:space="preserve">, summed </w:t>
      </w:r>
      <w:r w:rsidR="00F91827" w:rsidRPr="00F126F7">
        <w:rPr>
          <w:lang w:val="en-GB"/>
        </w:rPr>
        <w:t>over</w:t>
      </w:r>
      <w:r w:rsidR="00091C88" w:rsidRPr="00F126F7">
        <w:rPr>
          <w:lang w:val="en-GB"/>
        </w:rPr>
        <w:t xml:space="preserve"> all iterations.</w:t>
      </w:r>
      <w:r w:rsidR="001957C1" w:rsidRPr="00F126F7">
        <w:rPr>
          <w:lang w:val="en-GB"/>
        </w:rPr>
        <w:t xml:space="preserve"> The solve times are presented as a ratio, </w:t>
      </w:r>
      <w:r w:rsidR="00FF7C55" w:rsidRPr="00F126F7">
        <w:rPr>
          <w:lang w:val="en-GB"/>
        </w:rPr>
        <w:t xml:space="preserve">where a ratio value larger than 1 indicates that the ADMM formulation took longer to solve compared to the </w:t>
      </w:r>
      <w:r w:rsidR="00F25A51">
        <w:rPr>
          <w:lang w:val="en-GB"/>
        </w:rPr>
        <w:t>centralised</w:t>
      </w:r>
      <w:r w:rsidR="00C84416" w:rsidRPr="00F126F7">
        <w:rPr>
          <w:lang w:val="en-GB"/>
        </w:rPr>
        <w:t xml:space="preserve"> formulation and vice versa</w:t>
      </w:r>
      <w:r w:rsidR="00724AB5" w:rsidRPr="00F126F7">
        <w:rPr>
          <w:lang w:val="en-GB"/>
        </w:rPr>
        <w:t>.</w:t>
      </w:r>
    </w:p>
    <w:p w14:paraId="78AEF41B" w14:textId="50D9828A" w:rsidR="00760D27" w:rsidRPr="00F126F7" w:rsidRDefault="00147536" w:rsidP="00A11FCE">
      <w:pPr>
        <w:pStyle w:val="Els-2ndorder-head"/>
        <w:rPr>
          <w:lang w:val="en-GB"/>
        </w:rPr>
      </w:pPr>
      <w:r w:rsidRPr="00F126F7">
        <w:rPr>
          <w:lang w:val="en-GB"/>
        </w:rPr>
        <w:t>Implementation</w:t>
      </w:r>
    </w:p>
    <w:p w14:paraId="3D74E715" w14:textId="6EAC69CB" w:rsidR="0044195E" w:rsidRPr="00F126F7" w:rsidRDefault="00632970" w:rsidP="00A17644">
      <w:pPr>
        <w:jc w:val="both"/>
      </w:pPr>
      <w:r w:rsidRPr="00F126F7">
        <w:t xml:space="preserve">All problems were implemented </w:t>
      </w:r>
      <w:r w:rsidR="009764FE">
        <w:t>with</w:t>
      </w:r>
      <w:r w:rsidRPr="00F126F7">
        <w:t xml:space="preserve"> the Julia programming language </w:t>
      </w:r>
      <w:r w:rsidR="00791D6B" w:rsidRPr="00F126F7">
        <w:t>(Bezanson et al., 2017)</w:t>
      </w:r>
      <w:r w:rsidRPr="00F126F7">
        <w:t xml:space="preserve"> using the JuMP modelling language </w:t>
      </w:r>
      <w:r w:rsidR="00C63B66" w:rsidRPr="00F126F7">
        <w:t>(Lubin et al., 2023)</w:t>
      </w:r>
      <w:r w:rsidRPr="00F126F7">
        <w:t xml:space="preserve"> and solved using the </w:t>
      </w:r>
      <w:r w:rsidRPr="00F126F7">
        <w:lastRenderedPageBreak/>
        <w:t>Gurobi solver</w:t>
      </w:r>
      <w:r w:rsidR="00141742" w:rsidRPr="00F126F7">
        <w:t xml:space="preserve"> (Gurobi, 2023)</w:t>
      </w:r>
      <w:r w:rsidR="00AA7056" w:rsidRPr="00F126F7">
        <w:t xml:space="preserve">. </w:t>
      </w:r>
      <w:r w:rsidR="00C4003A" w:rsidRPr="00F126F7">
        <w:t>All results were computed</w:t>
      </w:r>
      <w:r w:rsidR="00B04E17" w:rsidRPr="00F126F7">
        <w:t xml:space="preserve"> on a</w:t>
      </w:r>
      <w:r w:rsidR="00C4003A" w:rsidRPr="00F126F7">
        <w:t xml:space="preserve"> </w:t>
      </w:r>
      <w:r w:rsidR="00B04E17" w:rsidRPr="00F126F7">
        <w:t>Dell Latitude 7420 laptop with an Intel i5-1135G7 processor running at 2.40 GHz and 16 GB of RAM</w:t>
      </w:r>
      <w:r w:rsidR="00BC764E" w:rsidRPr="00F126F7">
        <w:t>.</w:t>
      </w:r>
    </w:p>
    <w:p w14:paraId="144DE6A1" w14:textId="2DF326FC" w:rsidR="008D2649" w:rsidRPr="00F126F7" w:rsidRDefault="00612FF1" w:rsidP="008D2649">
      <w:pPr>
        <w:pStyle w:val="Els-1storder-head"/>
        <w:spacing w:after="120"/>
        <w:rPr>
          <w:lang w:val="en-GB"/>
        </w:rPr>
      </w:pPr>
      <w:r w:rsidRPr="00F126F7">
        <w:rPr>
          <w:lang w:val="en-GB"/>
        </w:rPr>
        <w:t>Results</w:t>
      </w:r>
    </w:p>
    <w:p w14:paraId="708B43FC" w14:textId="15F91800" w:rsidR="004E32C2" w:rsidRPr="00F126F7" w:rsidRDefault="004E32C2" w:rsidP="004E32C2">
      <w:pPr>
        <w:pStyle w:val="Els-2ndorder-head"/>
        <w:rPr>
          <w:lang w:val="en-GB"/>
        </w:rPr>
      </w:pPr>
      <w:r w:rsidRPr="00F126F7">
        <w:rPr>
          <w:lang w:val="en-GB"/>
        </w:rPr>
        <w:t xml:space="preserve">Initial </w:t>
      </w:r>
      <w:r w:rsidR="00F25A51">
        <w:rPr>
          <w:lang w:val="en-GB"/>
        </w:rPr>
        <w:t>Centralised</w:t>
      </w:r>
      <w:r w:rsidR="00BE2A86" w:rsidRPr="00F126F7">
        <w:rPr>
          <w:lang w:val="en-GB"/>
        </w:rPr>
        <w:t xml:space="preserve"> Results</w:t>
      </w:r>
    </w:p>
    <w:p w14:paraId="11339422" w14:textId="719A0D93" w:rsidR="00D9198D" w:rsidRPr="00F126F7" w:rsidRDefault="00341DC2" w:rsidP="004E32C2">
      <w:pPr>
        <w:pStyle w:val="Els-body-text"/>
        <w:rPr>
          <w:lang w:val="en-GB"/>
        </w:rPr>
      </w:pPr>
      <w:r w:rsidRPr="00F126F7">
        <w:rPr>
          <w:lang w:val="en-GB"/>
        </w:rPr>
        <w:t xml:space="preserve">The </w:t>
      </w:r>
      <w:r w:rsidR="00592F39" w:rsidRPr="00F126F7">
        <w:rPr>
          <w:lang w:val="en-GB"/>
        </w:rPr>
        <w:t xml:space="preserve">objective value and </w:t>
      </w:r>
      <w:r w:rsidR="00F46E37">
        <w:rPr>
          <w:lang w:val="en-GB"/>
        </w:rPr>
        <w:t xml:space="preserve">CPU </w:t>
      </w:r>
      <w:r w:rsidR="00592F39" w:rsidRPr="00F126F7">
        <w:rPr>
          <w:lang w:val="en-GB"/>
        </w:rPr>
        <w:t>solve time</w:t>
      </w:r>
      <w:r w:rsidR="001B3241" w:rsidRPr="00F126F7">
        <w:rPr>
          <w:lang w:val="en-GB"/>
        </w:rPr>
        <w:t xml:space="preserve"> for the </w:t>
      </w:r>
      <w:r w:rsidR="00F25A51">
        <w:rPr>
          <w:lang w:val="en-GB"/>
        </w:rPr>
        <w:t>centralised</w:t>
      </w:r>
      <w:r w:rsidR="001B3241" w:rsidRPr="00F126F7">
        <w:rPr>
          <w:lang w:val="en-GB"/>
        </w:rPr>
        <w:t xml:space="preserve"> formulation </w:t>
      </w:r>
      <w:r w:rsidR="00592F39" w:rsidRPr="00F126F7">
        <w:rPr>
          <w:lang w:val="en-GB"/>
        </w:rPr>
        <w:t>are shown in</w:t>
      </w:r>
      <w:r w:rsidR="00896E97" w:rsidRPr="00F126F7">
        <w:rPr>
          <w:lang w:val="en-GB"/>
        </w:rPr>
        <w:t xml:space="preserve"> </w:t>
      </w:r>
      <w:r w:rsidR="00896E97" w:rsidRPr="00F126F7">
        <w:rPr>
          <w:lang w:val="en-GB"/>
        </w:rPr>
        <w:fldChar w:fldCharType="begin"/>
      </w:r>
      <w:r w:rsidR="00896E97" w:rsidRPr="00F126F7">
        <w:rPr>
          <w:lang w:val="en-GB"/>
        </w:rPr>
        <w:instrText xml:space="preserve"> REF _Ref152001256 </w:instrText>
      </w:r>
      <w:r w:rsidR="00896E97" w:rsidRPr="00F126F7">
        <w:rPr>
          <w:lang w:val="en-GB"/>
        </w:rPr>
        <w:fldChar w:fldCharType="separate"/>
      </w:r>
      <w:r w:rsidR="00200E3F" w:rsidRPr="00F126F7">
        <w:rPr>
          <w:lang w:val="en-GB"/>
        </w:rPr>
        <w:t xml:space="preserve">Figure </w:t>
      </w:r>
      <w:r w:rsidR="00200E3F">
        <w:rPr>
          <w:noProof/>
          <w:lang w:val="en-GB"/>
        </w:rPr>
        <w:t>1</w:t>
      </w:r>
      <w:r w:rsidR="00896E97" w:rsidRPr="00F126F7">
        <w:rPr>
          <w:lang w:val="en-GB"/>
        </w:rPr>
        <w:fldChar w:fldCharType="end"/>
      </w:r>
      <w:r w:rsidR="00D9198D" w:rsidRPr="00F126F7">
        <w:rPr>
          <w:lang w:val="en-GB"/>
        </w:rPr>
        <w:t xml:space="preserve">. </w:t>
      </w:r>
    </w:p>
    <w:p w14:paraId="65999061" w14:textId="3E07ABDA" w:rsidR="00886CB8" w:rsidRPr="00F126F7" w:rsidRDefault="008B2BBF" w:rsidP="00A17644">
      <w:pPr>
        <w:pStyle w:val="Els-body-text"/>
        <w:keepNext/>
        <w:spacing w:before="120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E2236A0" wp14:editId="060E5037">
            <wp:extent cx="3633569" cy="1800000"/>
            <wp:effectExtent l="0" t="0" r="5080" b="0"/>
            <wp:docPr id="18071515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" t="907" r="488" b="913"/>
                    <a:stretch/>
                  </pic:blipFill>
                  <pic:spPr bwMode="auto">
                    <a:xfrm>
                      <a:off x="0" y="0"/>
                      <a:ext cx="363356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DF269" w14:textId="67D4F266" w:rsidR="00D9198D" w:rsidRPr="00F126F7" w:rsidRDefault="002D039B" w:rsidP="00AB6107">
      <w:pPr>
        <w:pStyle w:val="Caption"/>
        <w:jc w:val="center"/>
        <w:rPr>
          <w:lang w:val="en-GB"/>
        </w:rPr>
      </w:pPr>
      <w:bookmarkStart w:id="0" w:name="_Ref152001256"/>
      <w:bookmarkStart w:id="1" w:name="_Ref152001244"/>
      <w:r w:rsidRPr="00F126F7">
        <w:rPr>
          <w:lang w:val="en-GB"/>
        </w:rPr>
        <w:t xml:space="preserve">Figure </w:t>
      </w:r>
      <w:r w:rsidRPr="00F126F7">
        <w:rPr>
          <w:lang w:val="en-GB"/>
        </w:rPr>
        <w:fldChar w:fldCharType="begin"/>
      </w:r>
      <w:r w:rsidRPr="00F126F7">
        <w:rPr>
          <w:lang w:val="en-GB"/>
        </w:rPr>
        <w:instrText xml:space="preserve"> SEQ Figure \* ARABIC </w:instrText>
      </w:r>
      <w:r w:rsidRPr="00F126F7">
        <w:rPr>
          <w:lang w:val="en-GB"/>
        </w:rPr>
        <w:fldChar w:fldCharType="separate"/>
      </w:r>
      <w:r w:rsidR="00200E3F">
        <w:rPr>
          <w:noProof/>
          <w:lang w:val="en-GB"/>
        </w:rPr>
        <w:t>1</w:t>
      </w:r>
      <w:r w:rsidRPr="00F126F7">
        <w:rPr>
          <w:lang w:val="en-GB"/>
        </w:rPr>
        <w:fldChar w:fldCharType="end"/>
      </w:r>
      <w:bookmarkEnd w:id="0"/>
      <w:r w:rsidRPr="00F126F7">
        <w:rPr>
          <w:lang w:val="en-GB"/>
        </w:rPr>
        <w:t xml:space="preserve">: </w:t>
      </w:r>
      <w:r w:rsidR="00F25A51">
        <w:rPr>
          <w:lang w:val="en-GB"/>
        </w:rPr>
        <w:t>Centralised</w:t>
      </w:r>
      <w:r w:rsidRPr="00F126F7">
        <w:rPr>
          <w:lang w:val="en-GB"/>
        </w:rPr>
        <w:t xml:space="preserve"> Solution </w:t>
      </w:r>
      <w:r w:rsidR="007512D1">
        <w:rPr>
          <w:lang w:val="en-GB"/>
        </w:rPr>
        <w:t xml:space="preserve">CPU </w:t>
      </w:r>
      <w:r w:rsidRPr="00F126F7">
        <w:rPr>
          <w:lang w:val="en-GB"/>
        </w:rPr>
        <w:t>Solve Time</w:t>
      </w:r>
      <w:bookmarkEnd w:id="1"/>
      <w:r w:rsidR="000E3134" w:rsidRPr="00F126F7">
        <w:rPr>
          <w:lang w:val="en-GB"/>
        </w:rPr>
        <w:t xml:space="preserve"> and Objective Value</w:t>
      </w:r>
    </w:p>
    <w:p w14:paraId="60177E82" w14:textId="6CF8BD8D" w:rsidR="00375482" w:rsidRDefault="00375482" w:rsidP="004E32C2">
      <w:pPr>
        <w:pStyle w:val="Els-body-text"/>
        <w:rPr>
          <w:lang w:val="en-GB"/>
        </w:rPr>
      </w:pPr>
      <w:r>
        <w:rPr>
          <w:lang w:val="en-GB"/>
        </w:rPr>
        <w:t>The objective value here is presented as the overall cost (including CAPEX, OPEX and income)</w:t>
      </w:r>
      <w:r w:rsidR="0084060F">
        <w:rPr>
          <w:lang w:val="en-GB"/>
        </w:rPr>
        <w:t>,</w:t>
      </w:r>
      <w:r>
        <w:rPr>
          <w:lang w:val="en-GB"/>
        </w:rPr>
        <w:t xml:space="preserve"> </w:t>
      </w:r>
      <w:r w:rsidR="000E5CDD">
        <w:rPr>
          <w:lang w:val="en-GB"/>
        </w:rPr>
        <w:t>normalised by the number of years considered</w:t>
      </w:r>
      <w:r w:rsidR="0084060F">
        <w:rPr>
          <w:lang w:val="en-GB"/>
        </w:rPr>
        <w:t>, to give the total cost per year.</w:t>
      </w:r>
    </w:p>
    <w:p w14:paraId="5E4DFA61" w14:textId="1EDDAE91" w:rsidR="004E32C2" w:rsidRPr="00F126F7" w:rsidRDefault="00D9198D" w:rsidP="004E32C2">
      <w:pPr>
        <w:pStyle w:val="Els-body-text"/>
        <w:rPr>
          <w:lang w:val="en-GB"/>
        </w:rPr>
      </w:pPr>
      <w:r w:rsidRPr="00F126F7">
        <w:rPr>
          <w:lang w:val="en-GB"/>
        </w:rPr>
        <w:t xml:space="preserve">These </w:t>
      </w:r>
      <w:r w:rsidR="00C35FF5" w:rsidRPr="00F126F7">
        <w:rPr>
          <w:lang w:val="en-GB"/>
        </w:rPr>
        <w:t xml:space="preserve">results </w:t>
      </w:r>
      <w:r w:rsidRPr="00F126F7">
        <w:rPr>
          <w:lang w:val="en-GB"/>
        </w:rPr>
        <w:t xml:space="preserve">correspond to the following </w:t>
      </w:r>
      <w:r w:rsidR="000421CF" w:rsidRPr="00F126F7">
        <w:rPr>
          <w:lang w:val="en-GB"/>
        </w:rPr>
        <w:t>values for the decision variables highlighted in the previous section</w:t>
      </w:r>
      <w:r w:rsidR="00F321D8" w:rsidRPr="00F126F7">
        <w:rPr>
          <w:lang w:val="en-GB"/>
        </w:rPr>
        <w:t xml:space="preserve">, </w:t>
      </w:r>
      <w:r w:rsidR="00C35FF5" w:rsidRPr="00F126F7">
        <w:rPr>
          <w:lang w:val="en-GB"/>
        </w:rPr>
        <w:t xml:space="preserve">a subset of </w:t>
      </w:r>
      <w:r w:rsidR="00F321D8" w:rsidRPr="00F126F7">
        <w:rPr>
          <w:lang w:val="en-GB"/>
        </w:rPr>
        <w:t xml:space="preserve">which are shown </w:t>
      </w:r>
      <w:r w:rsidR="00DF155F" w:rsidRPr="00F126F7">
        <w:rPr>
          <w:lang w:val="en-GB"/>
        </w:rPr>
        <w:fldChar w:fldCharType="begin"/>
      </w:r>
      <w:r w:rsidR="00DF155F" w:rsidRPr="00F126F7">
        <w:rPr>
          <w:lang w:val="en-GB"/>
        </w:rPr>
        <w:instrText xml:space="preserve"> REF _Ref152058885 \p </w:instrText>
      </w:r>
      <w:r w:rsidR="00DF155F" w:rsidRPr="00F126F7">
        <w:rPr>
          <w:lang w:val="en-GB"/>
        </w:rPr>
        <w:fldChar w:fldCharType="separate"/>
      </w:r>
      <w:r w:rsidR="00200E3F">
        <w:rPr>
          <w:lang w:val="en-GB"/>
        </w:rPr>
        <w:t>below</w:t>
      </w:r>
      <w:r w:rsidR="00DF155F" w:rsidRPr="00F126F7">
        <w:rPr>
          <w:lang w:val="en-GB"/>
        </w:rPr>
        <w:fldChar w:fldCharType="end"/>
      </w:r>
      <w:r w:rsidR="00F321D8" w:rsidRPr="00F126F7">
        <w:rPr>
          <w:lang w:val="en-GB"/>
        </w:rPr>
        <w:t xml:space="preserve"> in</w:t>
      </w:r>
      <w:r w:rsidR="00DF155F" w:rsidRPr="00F126F7">
        <w:rPr>
          <w:lang w:val="en-GB"/>
        </w:rPr>
        <w:t xml:space="preserve"> </w:t>
      </w:r>
      <w:r w:rsidR="00DF155F" w:rsidRPr="00F126F7">
        <w:rPr>
          <w:lang w:val="en-GB"/>
        </w:rPr>
        <w:fldChar w:fldCharType="begin"/>
      </w:r>
      <w:r w:rsidR="00DF155F" w:rsidRPr="00F126F7">
        <w:rPr>
          <w:lang w:val="en-GB"/>
        </w:rPr>
        <w:instrText xml:space="preserve"> REF _Ref152058894 </w:instrText>
      </w:r>
      <w:r w:rsidR="00DF155F" w:rsidRPr="00F126F7">
        <w:rPr>
          <w:lang w:val="en-GB"/>
        </w:rPr>
        <w:fldChar w:fldCharType="separate"/>
      </w:r>
      <w:r w:rsidR="00200E3F" w:rsidRPr="00F126F7">
        <w:rPr>
          <w:lang w:val="en-GB"/>
        </w:rPr>
        <w:t xml:space="preserve">Table </w:t>
      </w:r>
      <w:r w:rsidR="00200E3F">
        <w:rPr>
          <w:noProof/>
          <w:lang w:val="en-GB"/>
        </w:rPr>
        <w:t>1</w:t>
      </w:r>
      <w:r w:rsidR="00DF155F" w:rsidRPr="00F126F7">
        <w:rPr>
          <w:lang w:val="en-GB"/>
        </w:rPr>
        <w:fldChar w:fldCharType="end"/>
      </w:r>
      <w:r w:rsidR="00F321D8" w:rsidRPr="00F126F7">
        <w:rPr>
          <w:lang w:val="en-GB"/>
        </w:rPr>
        <w:t>.</w:t>
      </w:r>
    </w:p>
    <w:p w14:paraId="7E8BAF19" w14:textId="46AE0441" w:rsidR="00C41B15" w:rsidRPr="00F126F7" w:rsidRDefault="00C41B15" w:rsidP="00C41B15">
      <w:pPr>
        <w:pStyle w:val="Caption"/>
        <w:keepNext/>
        <w:rPr>
          <w:lang w:val="en-GB"/>
        </w:rPr>
      </w:pPr>
      <w:bookmarkStart w:id="2" w:name="_Ref152058894"/>
      <w:bookmarkStart w:id="3" w:name="_Ref152058885"/>
      <w:r w:rsidRPr="00F126F7">
        <w:rPr>
          <w:lang w:val="en-GB"/>
        </w:rPr>
        <w:t xml:space="preserve">Table </w:t>
      </w:r>
      <w:r w:rsidRPr="00F126F7">
        <w:rPr>
          <w:lang w:val="en-GB"/>
        </w:rPr>
        <w:fldChar w:fldCharType="begin"/>
      </w:r>
      <w:r w:rsidRPr="00F126F7">
        <w:rPr>
          <w:lang w:val="en-GB"/>
        </w:rPr>
        <w:instrText xml:space="preserve"> SEQ Table \* ARABIC </w:instrText>
      </w:r>
      <w:r w:rsidRPr="00F126F7">
        <w:rPr>
          <w:lang w:val="en-GB"/>
        </w:rPr>
        <w:fldChar w:fldCharType="separate"/>
      </w:r>
      <w:r w:rsidR="00200E3F">
        <w:rPr>
          <w:noProof/>
          <w:lang w:val="en-GB"/>
        </w:rPr>
        <w:t>1</w:t>
      </w:r>
      <w:r w:rsidRPr="00F126F7">
        <w:rPr>
          <w:lang w:val="en-GB"/>
        </w:rPr>
        <w:fldChar w:fldCharType="end"/>
      </w:r>
      <w:bookmarkEnd w:id="2"/>
      <w:r w:rsidR="00D0149B" w:rsidRPr="00F126F7">
        <w:rPr>
          <w:lang w:val="en-GB"/>
        </w:rPr>
        <w:t xml:space="preserve"> Optimal Decision Variables for 1 and 50 Years</w:t>
      </w:r>
      <w:bookmarkEnd w:id="3"/>
    </w:p>
    <w:tbl>
      <w:tblPr>
        <w:tblStyle w:val="TableGrid"/>
        <w:tblW w:w="7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91"/>
        <w:gridCol w:w="1095"/>
        <w:gridCol w:w="1014"/>
        <w:gridCol w:w="915"/>
        <w:gridCol w:w="1211"/>
        <w:gridCol w:w="1340"/>
      </w:tblGrid>
      <w:tr w:rsidR="003525AE" w:rsidRPr="00F25A51" w14:paraId="7FE71A09" w14:textId="77777777" w:rsidTr="00F126F7">
        <w:trPr>
          <w:trHeight w:val="300"/>
        </w:trPr>
        <w:tc>
          <w:tcPr>
            <w:tcW w:w="721" w:type="dxa"/>
            <w:tcBorders>
              <w:top w:val="single" w:sz="4" w:space="0" w:color="auto"/>
            </w:tcBorders>
            <w:noWrap/>
            <w:hideMark/>
          </w:tcPr>
          <w:p w14:paraId="00F50051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</w:p>
        </w:tc>
        <w:tc>
          <w:tcPr>
            <w:tcW w:w="2900" w:type="dxa"/>
            <w:gridSpan w:val="3"/>
            <w:tcBorders>
              <w:top w:val="single" w:sz="4" w:space="0" w:color="auto"/>
            </w:tcBorders>
            <w:noWrap/>
            <w:hideMark/>
          </w:tcPr>
          <w:p w14:paraId="5219DB79" w14:textId="77777777" w:rsidR="00C41B15" w:rsidRPr="00F25A51" w:rsidRDefault="00C41B15" w:rsidP="00FB045A">
            <w:pPr>
              <w:pStyle w:val="Els-body-text"/>
              <w:jc w:val="center"/>
              <w:rPr>
                <w:lang w:val="en-GB"/>
              </w:rPr>
            </w:pPr>
            <w:r w:rsidRPr="00F25A51">
              <w:rPr>
                <w:lang w:val="en-GB"/>
              </w:rPr>
              <w:t>1 year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</w:tcBorders>
            <w:noWrap/>
            <w:hideMark/>
          </w:tcPr>
          <w:p w14:paraId="450585B4" w14:textId="77777777" w:rsidR="00C41B15" w:rsidRPr="00F25A51" w:rsidRDefault="00C41B15" w:rsidP="00FB045A">
            <w:pPr>
              <w:pStyle w:val="Els-body-text"/>
              <w:jc w:val="center"/>
              <w:rPr>
                <w:lang w:val="en-GB"/>
              </w:rPr>
            </w:pPr>
            <w:r w:rsidRPr="00F25A51">
              <w:rPr>
                <w:lang w:val="en-GB"/>
              </w:rPr>
              <w:t>50 years</w:t>
            </w:r>
          </w:p>
        </w:tc>
      </w:tr>
      <w:tr w:rsidR="003525AE" w:rsidRPr="00F25A51" w14:paraId="1BD0EFA9" w14:textId="77777777" w:rsidTr="00F126F7">
        <w:trPr>
          <w:trHeight w:val="300"/>
        </w:trPr>
        <w:tc>
          <w:tcPr>
            <w:tcW w:w="721" w:type="dxa"/>
            <w:tcBorders>
              <w:bottom w:val="single" w:sz="4" w:space="0" w:color="auto"/>
            </w:tcBorders>
            <w:noWrap/>
            <w:hideMark/>
          </w:tcPr>
          <w:p w14:paraId="5FDECEB1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Load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noWrap/>
            <w:hideMark/>
          </w:tcPr>
          <w:p w14:paraId="01AC4D39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No. of PV Panels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noWrap/>
            <w:hideMark/>
          </w:tcPr>
          <w:p w14:paraId="4A1B2CEB" w14:textId="5E32B3C2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Max Heat Gen</w:t>
            </w:r>
            <w:r w:rsidR="00E93644">
              <w:rPr>
                <w:lang w:val="en-GB"/>
              </w:rPr>
              <w:t xml:space="preserve"> (kWh)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noWrap/>
            <w:hideMark/>
          </w:tcPr>
          <w:p w14:paraId="0F970978" w14:textId="53BDAC5D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Battery Capacity</w:t>
            </w:r>
            <w:r w:rsidR="00911268">
              <w:rPr>
                <w:lang w:val="en-GB"/>
              </w:rPr>
              <w:t xml:space="preserve"> (kW</w:t>
            </w:r>
            <w:r w:rsidR="00815467">
              <w:rPr>
                <w:lang w:val="en-GB"/>
              </w:rPr>
              <w:t>h</w:t>
            </w:r>
            <w:r w:rsidR="00911268">
              <w:rPr>
                <w:lang w:val="en-GB"/>
              </w:rPr>
              <w:t>)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noWrap/>
            <w:hideMark/>
          </w:tcPr>
          <w:p w14:paraId="3052FFC2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No. of PV Panels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noWrap/>
            <w:hideMark/>
          </w:tcPr>
          <w:p w14:paraId="7B2A9408" w14:textId="47A4236D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Max Heat Gen</w:t>
            </w:r>
            <w:r w:rsidR="00E93644">
              <w:rPr>
                <w:lang w:val="en-GB"/>
              </w:rPr>
              <w:t xml:space="preserve"> (kWh)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noWrap/>
            <w:hideMark/>
          </w:tcPr>
          <w:p w14:paraId="2B7DFFF4" w14:textId="07987B18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Battery Capacity</w:t>
            </w:r>
            <w:r w:rsidR="00911268">
              <w:rPr>
                <w:lang w:val="en-GB"/>
              </w:rPr>
              <w:t xml:space="preserve"> (kWh)</w:t>
            </w:r>
          </w:p>
        </w:tc>
      </w:tr>
      <w:tr w:rsidR="003525AE" w:rsidRPr="00F25A51" w14:paraId="07861373" w14:textId="77777777" w:rsidTr="00F126F7">
        <w:trPr>
          <w:trHeight w:val="300"/>
        </w:trPr>
        <w:tc>
          <w:tcPr>
            <w:tcW w:w="721" w:type="dxa"/>
            <w:tcBorders>
              <w:top w:val="single" w:sz="4" w:space="0" w:color="auto"/>
            </w:tcBorders>
            <w:noWrap/>
            <w:hideMark/>
          </w:tcPr>
          <w:p w14:paraId="3986ECD4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</w:tcBorders>
            <w:noWrap/>
            <w:hideMark/>
          </w:tcPr>
          <w:p w14:paraId="083850F8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85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noWrap/>
            <w:hideMark/>
          </w:tcPr>
          <w:p w14:paraId="7386E64C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6.67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noWrap/>
            <w:hideMark/>
          </w:tcPr>
          <w:p w14:paraId="193DF842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0.00</w:t>
            </w:r>
          </w:p>
        </w:tc>
        <w:tc>
          <w:tcPr>
            <w:tcW w:w="915" w:type="dxa"/>
            <w:tcBorders>
              <w:top w:val="single" w:sz="4" w:space="0" w:color="auto"/>
            </w:tcBorders>
            <w:noWrap/>
            <w:hideMark/>
          </w:tcPr>
          <w:p w14:paraId="7969BF2F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85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noWrap/>
            <w:hideMark/>
          </w:tcPr>
          <w:p w14:paraId="68D86BA7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14.85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noWrap/>
            <w:hideMark/>
          </w:tcPr>
          <w:p w14:paraId="51A6CFFE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7.11</w:t>
            </w:r>
          </w:p>
        </w:tc>
      </w:tr>
      <w:tr w:rsidR="003525AE" w:rsidRPr="00F25A51" w14:paraId="372BA70F" w14:textId="77777777" w:rsidTr="00F126F7">
        <w:trPr>
          <w:trHeight w:val="300"/>
        </w:trPr>
        <w:tc>
          <w:tcPr>
            <w:tcW w:w="721" w:type="dxa"/>
            <w:noWrap/>
            <w:hideMark/>
          </w:tcPr>
          <w:p w14:paraId="3DA4E3E4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2</w:t>
            </w:r>
          </w:p>
        </w:tc>
        <w:tc>
          <w:tcPr>
            <w:tcW w:w="791" w:type="dxa"/>
            <w:noWrap/>
            <w:hideMark/>
          </w:tcPr>
          <w:p w14:paraId="79C775BF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400</w:t>
            </w:r>
          </w:p>
        </w:tc>
        <w:tc>
          <w:tcPr>
            <w:tcW w:w="1095" w:type="dxa"/>
            <w:noWrap/>
            <w:hideMark/>
          </w:tcPr>
          <w:p w14:paraId="73FD0B02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31.84</w:t>
            </w:r>
          </w:p>
        </w:tc>
        <w:tc>
          <w:tcPr>
            <w:tcW w:w="1014" w:type="dxa"/>
            <w:noWrap/>
            <w:hideMark/>
          </w:tcPr>
          <w:p w14:paraId="4D9C37D9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0.00</w:t>
            </w:r>
          </w:p>
        </w:tc>
        <w:tc>
          <w:tcPr>
            <w:tcW w:w="915" w:type="dxa"/>
            <w:noWrap/>
            <w:hideMark/>
          </w:tcPr>
          <w:p w14:paraId="7D175DDD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400</w:t>
            </w:r>
          </w:p>
        </w:tc>
        <w:tc>
          <w:tcPr>
            <w:tcW w:w="1211" w:type="dxa"/>
            <w:noWrap/>
            <w:hideMark/>
          </w:tcPr>
          <w:p w14:paraId="0478E5EB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70.87</w:t>
            </w:r>
          </w:p>
        </w:tc>
        <w:tc>
          <w:tcPr>
            <w:tcW w:w="1340" w:type="dxa"/>
            <w:noWrap/>
            <w:hideMark/>
          </w:tcPr>
          <w:p w14:paraId="2D191AF3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33.60</w:t>
            </w:r>
          </w:p>
        </w:tc>
      </w:tr>
      <w:tr w:rsidR="003525AE" w:rsidRPr="00F25A51" w14:paraId="5A47D068" w14:textId="77777777" w:rsidTr="00F126F7">
        <w:trPr>
          <w:trHeight w:val="300"/>
        </w:trPr>
        <w:tc>
          <w:tcPr>
            <w:tcW w:w="721" w:type="dxa"/>
            <w:noWrap/>
            <w:hideMark/>
          </w:tcPr>
          <w:p w14:paraId="20B4A891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3</w:t>
            </w:r>
          </w:p>
        </w:tc>
        <w:tc>
          <w:tcPr>
            <w:tcW w:w="791" w:type="dxa"/>
            <w:noWrap/>
            <w:hideMark/>
          </w:tcPr>
          <w:p w14:paraId="4DB38C68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342</w:t>
            </w:r>
          </w:p>
        </w:tc>
        <w:tc>
          <w:tcPr>
            <w:tcW w:w="1095" w:type="dxa"/>
            <w:noWrap/>
            <w:hideMark/>
          </w:tcPr>
          <w:p w14:paraId="7C1E416D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18.10</w:t>
            </w:r>
          </w:p>
        </w:tc>
        <w:tc>
          <w:tcPr>
            <w:tcW w:w="1014" w:type="dxa"/>
            <w:noWrap/>
            <w:hideMark/>
          </w:tcPr>
          <w:p w14:paraId="2FC0F606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0.00</w:t>
            </w:r>
          </w:p>
        </w:tc>
        <w:tc>
          <w:tcPr>
            <w:tcW w:w="915" w:type="dxa"/>
            <w:noWrap/>
            <w:hideMark/>
          </w:tcPr>
          <w:p w14:paraId="18AB0EBC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342</w:t>
            </w:r>
          </w:p>
        </w:tc>
        <w:tc>
          <w:tcPr>
            <w:tcW w:w="1211" w:type="dxa"/>
            <w:noWrap/>
            <w:hideMark/>
          </w:tcPr>
          <w:p w14:paraId="756111DE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40.30</w:t>
            </w:r>
          </w:p>
        </w:tc>
        <w:tc>
          <w:tcPr>
            <w:tcW w:w="1340" w:type="dxa"/>
            <w:noWrap/>
            <w:hideMark/>
          </w:tcPr>
          <w:p w14:paraId="27F76E1B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25.62</w:t>
            </w:r>
          </w:p>
        </w:tc>
      </w:tr>
      <w:tr w:rsidR="003525AE" w:rsidRPr="00F25A51" w14:paraId="06D75227" w14:textId="77777777" w:rsidTr="00F126F7">
        <w:trPr>
          <w:trHeight w:val="300"/>
        </w:trPr>
        <w:tc>
          <w:tcPr>
            <w:tcW w:w="721" w:type="dxa"/>
            <w:noWrap/>
            <w:hideMark/>
          </w:tcPr>
          <w:p w14:paraId="10131461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4</w:t>
            </w:r>
          </w:p>
        </w:tc>
        <w:tc>
          <w:tcPr>
            <w:tcW w:w="791" w:type="dxa"/>
            <w:noWrap/>
            <w:hideMark/>
          </w:tcPr>
          <w:p w14:paraId="4701849C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85</w:t>
            </w:r>
          </w:p>
        </w:tc>
        <w:tc>
          <w:tcPr>
            <w:tcW w:w="1095" w:type="dxa"/>
            <w:noWrap/>
            <w:hideMark/>
          </w:tcPr>
          <w:p w14:paraId="2049376E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4.25</w:t>
            </w:r>
          </w:p>
        </w:tc>
        <w:tc>
          <w:tcPr>
            <w:tcW w:w="1014" w:type="dxa"/>
            <w:noWrap/>
            <w:hideMark/>
          </w:tcPr>
          <w:p w14:paraId="33E039DF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0.00</w:t>
            </w:r>
          </w:p>
        </w:tc>
        <w:tc>
          <w:tcPr>
            <w:tcW w:w="915" w:type="dxa"/>
            <w:noWrap/>
            <w:hideMark/>
          </w:tcPr>
          <w:p w14:paraId="3C1901B8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85</w:t>
            </w:r>
          </w:p>
        </w:tc>
        <w:tc>
          <w:tcPr>
            <w:tcW w:w="1211" w:type="dxa"/>
            <w:noWrap/>
            <w:hideMark/>
          </w:tcPr>
          <w:p w14:paraId="2663C44A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9.47</w:t>
            </w:r>
          </w:p>
        </w:tc>
        <w:tc>
          <w:tcPr>
            <w:tcW w:w="1340" w:type="dxa"/>
            <w:noWrap/>
            <w:hideMark/>
          </w:tcPr>
          <w:p w14:paraId="5C6E198E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6.79</w:t>
            </w:r>
          </w:p>
        </w:tc>
      </w:tr>
      <w:tr w:rsidR="003525AE" w:rsidRPr="00F25A51" w14:paraId="2679182C" w14:textId="77777777" w:rsidTr="00F126F7">
        <w:trPr>
          <w:trHeight w:val="300"/>
        </w:trPr>
        <w:tc>
          <w:tcPr>
            <w:tcW w:w="721" w:type="dxa"/>
            <w:tcBorders>
              <w:bottom w:val="single" w:sz="4" w:space="0" w:color="auto"/>
            </w:tcBorders>
            <w:noWrap/>
            <w:hideMark/>
          </w:tcPr>
          <w:p w14:paraId="0D77556C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5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noWrap/>
            <w:hideMark/>
          </w:tcPr>
          <w:p w14:paraId="3614CD01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314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noWrap/>
            <w:hideMark/>
          </w:tcPr>
          <w:p w14:paraId="57095EC0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20.96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noWrap/>
            <w:hideMark/>
          </w:tcPr>
          <w:p w14:paraId="1D84DF38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0.00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noWrap/>
            <w:hideMark/>
          </w:tcPr>
          <w:p w14:paraId="0D74174D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314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noWrap/>
            <w:hideMark/>
          </w:tcPr>
          <w:p w14:paraId="39AEA20A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46.65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noWrap/>
            <w:hideMark/>
          </w:tcPr>
          <w:p w14:paraId="7B8B34E4" w14:textId="77777777" w:rsidR="00C41B15" w:rsidRPr="00F25A51" w:rsidRDefault="00C41B15" w:rsidP="00C41B15">
            <w:pPr>
              <w:pStyle w:val="Els-body-text"/>
              <w:rPr>
                <w:lang w:val="en-GB"/>
              </w:rPr>
            </w:pPr>
            <w:r w:rsidRPr="00F25A51">
              <w:rPr>
                <w:lang w:val="en-GB"/>
              </w:rPr>
              <w:t>22.16</w:t>
            </w:r>
          </w:p>
        </w:tc>
      </w:tr>
    </w:tbl>
    <w:p w14:paraId="5D914222" w14:textId="4812D309" w:rsidR="00C41B15" w:rsidRDefault="0053344A" w:rsidP="004E32C2">
      <w:pPr>
        <w:pStyle w:val="Els-body-text"/>
        <w:rPr>
          <w:lang w:val="en-GB"/>
        </w:rPr>
      </w:pPr>
      <w:r w:rsidRPr="00F126F7">
        <w:rPr>
          <w:lang w:val="en-GB"/>
        </w:rPr>
        <w:t>The number of</w:t>
      </w:r>
      <w:r w:rsidR="00B76B7E" w:rsidRPr="00F126F7">
        <w:rPr>
          <w:lang w:val="en-GB"/>
        </w:rPr>
        <w:t xml:space="preserve"> installed</w:t>
      </w:r>
      <w:r w:rsidRPr="00F126F7">
        <w:rPr>
          <w:lang w:val="en-GB"/>
        </w:rPr>
        <w:t xml:space="preserve"> PV panels selected remains</w:t>
      </w:r>
      <w:r w:rsidR="001D42E4" w:rsidRPr="00F126F7">
        <w:rPr>
          <w:lang w:val="en-GB"/>
        </w:rPr>
        <w:t xml:space="preserve"> the same for both </w:t>
      </w:r>
      <w:r w:rsidR="00613FF0" w:rsidRPr="00F126F7">
        <w:rPr>
          <w:lang w:val="en-GB"/>
        </w:rPr>
        <w:t xml:space="preserve">the </w:t>
      </w:r>
      <w:r w:rsidR="001D42E4" w:rsidRPr="00F126F7">
        <w:rPr>
          <w:lang w:val="en-GB"/>
        </w:rPr>
        <w:t>minimum and maximum number of years considered, this number is the maximum possible number of panels for the given load roof areas.</w:t>
      </w:r>
      <w:r w:rsidR="00241C8F">
        <w:rPr>
          <w:lang w:val="en-GB"/>
        </w:rPr>
        <w:t xml:space="preserve"> Batteries on the other hand are only installed </w:t>
      </w:r>
      <w:r w:rsidR="00811AE8">
        <w:rPr>
          <w:lang w:val="en-GB"/>
        </w:rPr>
        <w:t xml:space="preserve">when the investment cost is </w:t>
      </w:r>
      <w:r w:rsidR="00377675">
        <w:rPr>
          <w:lang w:val="en-GB"/>
        </w:rPr>
        <w:t>spread</w:t>
      </w:r>
      <w:r w:rsidR="00811AE8">
        <w:rPr>
          <w:lang w:val="en-GB"/>
        </w:rPr>
        <w:t xml:space="preserve"> over more years</w:t>
      </w:r>
      <w:r w:rsidR="007C6D16">
        <w:rPr>
          <w:lang w:val="en-GB"/>
        </w:rPr>
        <w:t xml:space="preserve"> and is outweighed by </w:t>
      </w:r>
      <w:r w:rsidR="00CE5959">
        <w:rPr>
          <w:lang w:val="en-GB"/>
        </w:rPr>
        <w:t>export income</w:t>
      </w:r>
      <w:r w:rsidR="00811AE8">
        <w:rPr>
          <w:lang w:val="en-GB"/>
        </w:rPr>
        <w:t>.</w:t>
      </w:r>
    </w:p>
    <w:p w14:paraId="6681E600" w14:textId="6150BEAB" w:rsidR="00251CA9" w:rsidRPr="00F126F7" w:rsidRDefault="004E3151" w:rsidP="00251CA9">
      <w:pPr>
        <w:pStyle w:val="Els-2ndorder-head"/>
        <w:rPr>
          <w:lang w:val="en-GB"/>
        </w:rPr>
      </w:pPr>
      <w:r w:rsidRPr="00D47996">
        <w:rPr>
          <w:lang w:val="en-GB"/>
        </w:rPr>
        <w:t>ρ</w:t>
      </w:r>
      <w:r w:rsidR="00251CA9" w:rsidRPr="00F126F7">
        <w:rPr>
          <w:lang w:val="en-GB"/>
        </w:rPr>
        <w:t xml:space="preserve"> Value Sweep</w:t>
      </w:r>
    </w:p>
    <w:p w14:paraId="7986618E" w14:textId="2D727222" w:rsidR="008A21D6" w:rsidRPr="00F126F7" w:rsidRDefault="0020045F" w:rsidP="008A21D6">
      <w:pPr>
        <w:pStyle w:val="Els-body-text"/>
        <w:rPr>
          <w:lang w:val="en-GB"/>
        </w:rPr>
      </w:pPr>
      <w:r w:rsidRPr="00F126F7">
        <w:rPr>
          <w:lang w:val="en-GB"/>
        </w:rPr>
        <w:t>The following plot show</w:t>
      </w:r>
      <w:r w:rsidR="007823FC">
        <w:rPr>
          <w:lang w:val="en-GB"/>
        </w:rPr>
        <w:t>s</w:t>
      </w:r>
      <w:r w:rsidRPr="00F126F7">
        <w:rPr>
          <w:lang w:val="en-GB"/>
        </w:rPr>
        <w:t xml:space="preserve"> the </w:t>
      </w:r>
      <w:r w:rsidR="00D55B26" w:rsidRPr="00F126F7">
        <w:rPr>
          <w:lang w:val="en-GB"/>
        </w:rPr>
        <w:t xml:space="preserve">optimality gap for the ADMM formulation and </w:t>
      </w:r>
      <w:r w:rsidR="005C0747">
        <w:rPr>
          <w:lang w:val="en-GB"/>
        </w:rPr>
        <w:t xml:space="preserve">CPU </w:t>
      </w:r>
      <w:r w:rsidR="00D55B26" w:rsidRPr="00F126F7">
        <w:rPr>
          <w:lang w:val="en-GB"/>
        </w:rPr>
        <w:t xml:space="preserve">solve time ratio, for a </w:t>
      </w:r>
      <w:r w:rsidR="00577B47" w:rsidRPr="00F126F7">
        <w:rPr>
          <w:lang w:val="en-GB"/>
        </w:rPr>
        <w:t>primal gap convergence threshold of 1.</w:t>
      </w:r>
      <w:r w:rsidR="007823FC">
        <w:rPr>
          <w:lang w:val="en-GB"/>
        </w:rPr>
        <w:t xml:space="preserve"> </w:t>
      </w:r>
      <w:r w:rsidR="007823FC" w:rsidRPr="00D47996">
        <w:rPr>
          <w:lang w:val="en-GB"/>
        </w:rPr>
        <w:t xml:space="preserve">From the plot in </w:t>
      </w:r>
      <w:r w:rsidR="007823FC" w:rsidRPr="00D47996">
        <w:rPr>
          <w:lang w:val="en-GB"/>
        </w:rPr>
        <w:fldChar w:fldCharType="begin"/>
      </w:r>
      <w:r w:rsidR="007823FC" w:rsidRPr="00D47996">
        <w:rPr>
          <w:lang w:val="en-GB"/>
        </w:rPr>
        <w:instrText xml:space="preserve"> REF _Ref152061022 </w:instrText>
      </w:r>
      <w:r w:rsidR="007823FC" w:rsidRPr="00D47996">
        <w:rPr>
          <w:lang w:val="en-GB"/>
        </w:rPr>
        <w:fldChar w:fldCharType="separate"/>
      </w:r>
      <w:r w:rsidR="00200E3F" w:rsidRPr="00F126F7">
        <w:rPr>
          <w:lang w:val="en-GB"/>
        </w:rPr>
        <w:t xml:space="preserve">Figure </w:t>
      </w:r>
      <w:r w:rsidR="00200E3F">
        <w:rPr>
          <w:noProof/>
          <w:lang w:val="en-GB"/>
        </w:rPr>
        <w:t>2</w:t>
      </w:r>
      <w:r w:rsidR="007823FC" w:rsidRPr="00D47996">
        <w:rPr>
          <w:lang w:val="en-GB"/>
        </w:rPr>
        <w:fldChar w:fldCharType="end"/>
      </w:r>
      <w:r w:rsidR="007823FC" w:rsidRPr="00D47996">
        <w:rPr>
          <w:lang w:val="en-GB"/>
        </w:rPr>
        <w:t xml:space="preserve">, a value of </w:t>
      </w:r>
      <w:r w:rsidR="007823FC" w:rsidRPr="00A17644">
        <w:rPr>
          <w:i/>
          <w:iCs/>
          <w:lang w:val="en-GB"/>
        </w:rPr>
        <w:t>ρ</w:t>
      </w:r>
      <w:r w:rsidR="007823FC" w:rsidRPr="00D47996">
        <w:rPr>
          <w:lang w:val="en-GB"/>
        </w:rPr>
        <w:t xml:space="preserve">=0.1 is selected as an optimal trade-off between both the optimality gap and the </w:t>
      </w:r>
      <w:r w:rsidR="007823FC">
        <w:rPr>
          <w:lang w:val="en-GB"/>
        </w:rPr>
        <w:t xml:space="preserve">CPU </w:t>
      </w:r>
      <w:r w:rsidR="007823FC" w:rsidRPr="00D47996">
        <w:rPr>
          <w:lang w:val="en-GB"/>
        </w:rPr>
        <w:t>solve time ratio.</w:t>
      </w:r>
    </w:p>
    <w:p w14:paraId="235CE3D6" w14:textId="1A9151B4" w:rsidR="001174ED" w:rsidRPr="00F126F7" w:rsidRDefault="001174ED" w:rsidP="00A17644">
      <w:pPr>
        <w:pStyle w:val="Els-body-text"/>
        <w:keepNext/>
        <w:spacing w:before="120"/>
        <w:jc w:val="center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4E937648" wp14:editId="1A4B8BD7">
            <wp:extent cx="3929250" cy="2268000"/>
            <wp:effectExtent l="0" t="0" r="0" b="0"/>
            <wp:docPr id="5658523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" t="10707" r="1125" b="5121"/>
                    <a:stretch/>
                  </pic:blipFill>
                  <pic:spPr bwMode="auto">
                    <a:xfrm>
                      <a:off x="0" y="0"/>
                      <a:ext cx="392925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2C8BC" w14:textId="47590760" w:rsidR="00577B47" w:rsidRPr="00F126F7" w:rsidRDefault="00C72380" w:rsidP="00C72380">
      <w:pPr>
        <w:pStyle w:val="Caption"/>
        <w:jc w:val="center"/>
        <w:rPr>
          <w:lang w:val="en-GB"/>
        </w:rPr>
      </w:pPr>
      <w:bookmarkStart w:id="4" w:name="_Ref152061022"/>
      <w:r w:rsidRPr="00F126F7">
        <w:rPr>
          <w:lang w:val="en-GB"/>
        </w:rPr>
        <w:t xml:space="preserve">Figure </w:t>
      </w:r>
      <w:r w:rsidRPr="00F126F7">
        <w:rPr>
          <w:lang w:val="en-GB"/>
        </w:rPr>
        <w:fldChar w:fldCharType="begin"/>
      </w:r>
      <w:r w:rsidRPr="00F126F7">
        <w:rPr>
          <w:lang w:val="en-GB"/>
        </w:rPr>
        <w:instrText xml:space="preserve"> SEQ Figure \* ARABIC </w:instrText>
      </w:r>
      <w:r w:rsidRPr="00F126F7">
        <w:rPr>
          <w:lang w:val="en-GB"/>
        </w:rPr>
        <w:fldChar w:fldCharType="separate"/>
      </w:r>
      <w:r w:rsidR="00200E3F">
        <w:rPr>
          <w:noProof/>
          <w:lang w:val="en-GB"/>
        </w:rPr>
        <w:t>2</w:t>
      </w:r>
      <w:r w:rsidRPr="00F126F7">
        <w:rPr>
          <w:lang w:val="en-GB"/>
        </w:rPr>
        <w:fldChar w:fldCharType="end"/>
      </w:r>
      <w:bookmarkEnd w:id="4"/>
      <w:r w:rsidRPr="00F126F7">
        <w:rPr>
          <w:lang w:val="en-GB"/>
        </w:rPr>
        <w:t xml:space="preserve">: </w:t>
      </w:r>
      <w:r w:rsidR="009430E8" w:rsidRPr="00A17644">
        <w:rPr>
          <w:rFonts w:ascii="Calibri" w:hAnsi="Calibri" w:cs="Calibri"/>
          <w:i/>
          <w:iCs/>
          <w:lang w:val="en-GB"/>
        </w:rPr>
        <w:t>ρ</w:t>
      </w:r>
      <w:r w:rsidR="009430E8">
        <w:rPr>
          <w:lang w:val="en-GB"/>
        </w:rPr>
        <w:t xml:space="preserve"> </w:t>
      </w:r>
      <w:r w:rsidRPr="00F126F7">
        <w:rPr>
          <w:lang w:val="en-GB"/>
        </w:rPr>
        <w:t xml:space="preserve">Value Sweep </w:t>
      </w:r>
      <w:r w:rsidR="00B93120">
        <w:rPr>
          <w:lang w:val="en-GB"/>
        </w:rPr>
        <w:t>–</w:t>
      </w:r>
      <w:r w:rsidRPr="00F126F7">
        <w:rPr>
          <w:lang w:val="en-GB"/>
        </w:rPr>
        <w:t xml:space="preserve"> Optimality Gap</w:t>
      </w:r>
      <w:r w:rsidR="009E69A8">
        <w:rPr>
          <w:lang w:val="en-GB"/>
        </w:rPr>
        <w:t xml:space="preserve"> (Solid Line) &amp; </w:t>
      </w:r>
      <w:r w:rsidR="00B93120">
        <w:rPr>
          <w:lang w:val="en-GB"/>
        </w:rPr>
        <w:t xml:space="preserve">CPU </w:t>
      </w:r>
      <w:r w:rsidR="009E69A8">
        <w:rPr>
          <w:lang w:val="en-GB"/>
        </w:rPr>
        <w:t>Solve Time Ratio (Dashed Line)</w:t>
      </w:r>
    </w:p>
    <w:p w14:paraId="5357A899" w14:textId="1C0C2D4D" w:rsidR="00621273" w:rsidRPr="00F126F7" w:rsidRDefault="00621273" w:rsidP="00621273">
      <w:pPr>
        <w:pStyle w:val="Els-2ndorder-head"/>
        <w:rPr>
          <w:lang w:val="en-GB"/>
        </w:rPr>
      </w:pPr>
      <w:r w:rsidRPr="00F126F7">
        <w:rPr>
          <w:lang w:val="en-GB"/>
        </w:rPr>
        <w:t>Performance Across No. of Considered Years</w:t>
      </w:r>
    </w:p>
    <w:p w14:paraId="03DC2B81" w14:textId="24BD11D1" w:rsidR="00251CA9" w:rsidRPr="00F126F7" w:rsidRDefault="009348FA" w:rsidP="00251CA9">
      <w:pPr>
        <w:pStyle w:val="Els-body-text"/>
        <w:rPr>
          <w:lang w:val="en-GB"/>
        </w:rPr>
      </w:pPr>
      <w:r w:rsidRPr="00F126F7">
        <w:rPr>
          <w:lang w:val="en-GB"/>
        </w:rPr>
        <w:t xml:space="preserve">The plot shown in </w:t>
      </w:r>
      <w:r w:rsidRPr="00F126F7">
        <w:fldChar w:fldCharType="begin"/>
      </w:r>
      <w:r w:rsidRPr="00F126F7">
        <w:rPr>
          <w:lang w:val="en-GB"/>
        </w:rPr>
        <w:instrText xml:space="preserve"> REF _Ref152061600 </w:instrText>
      </w:r>
      <w:r w:rsidRPr="00F126F7">
        <w:fldChar w:fldCharType="separate"/>
      </w:r>
      <w:r w:rsidR="00200E3F" w:rsidRPr="00F126F7">
        <w:rPr>
          <w:lang w:val="en-GB"/>
        </w:rPr>
        <w:t xml:space="preserve">Figure </w:t>
      </w:r>
      <w:r w:rsidR="00200E3F">
        <w:rPr>
          <w:noProof/>
          <w:lang w:val="en-GB"/>
        </w:rPr>
        <w:t>3</w:t>
      </w:r>
      <w:r w:rsidRPr="00F126F7">
        <w:fldChar w:fldCharType="end"/>
      </w:r>
      <w:r w:rsidRPr="00F126F7">
        <w:rPr>
          <w:lang w:val="en-GB"/>
        </w:rPr>
        <w:t xml:space="preserve"> </w:t>
      </w:r>
      <w:r w:rsidR="00363317">
        <w:rPr>
          <w:lang w:val="en-GB"/>
        </w:rPr>
        <w:t>gives</w:t>
      </w:r>
      <w:r w:rsidRPr="00F126F7">
        <w:rPr>
          <w:lang w:val="en-GB"/>
        </w:rPr>
        <w:t xml:space="preserve"> </w:t>
      </w:r>
      <w:r w:rsidR="009746E7" w:rsidRPr="00F126F7">
        <w:rPr>
          <w:lang w:val="en-GB"/>
        </w:rPr>
        <w:t xml:space="preserve">the performance of the ADMM formulation with </w:t>
      </w:r>
      <w:r w:rsidR="009746E7" w:rsidRPr="00A17644">
        <w:rPr>
          <w:i/>
          <w:iCs/>
        </w:rPr>
        <w:t>ρ</w:t>
      </w:r>
      <w:r w:rsidR="009746E7" w:rsidRPr="00F126F7">
        <w:rPr>
          <w:lang w:val="en-GB"/>
        </w:rPr>
        <w:t>=0.1</w:t>
      </w:r>
      <w:r w:rsidR="002B6BD7" w:rsidRPr="00F126F7">
        <w:rPr>
          <w:lang w:val="en-GB"/>
        </w:rPr>
        <w:t xml:space="preserve"> in terms of </w:t>
      </w:r>
      <w:r w:rsidR="00635FD7">
        <w:rPr>
          <w:lang w:val="en-GB"/>
        </w:rPr>
        <w:t xml:space="preserve">CPU </w:t>
      </w:r>
      <w:r w:rsidR="002B6BD7" w:rsidRPr="00F126F7">
        <w:rPr>
          <w:lang w:val="en-GB"/>
        </w:rPr>
        <w:t>solve time ratio and optimality gap,</w:t>
      </w:r>
      <w:r w:rsidR="009746E7" w:rsidRPr="00F126F7">
        <w:rPr>
          <w:lang w:val="en-GB"/>
        </w:rPr>
        <w:t xml:space="preserve"> considering a number of years between 1 and 50.</w:t>
      </w:r>
      <w:r w:rsidR="00F70AF4">
        <w:rPr>
          <w:lang w:val="en-GB"/>
        </w:rPr>
        <w:t xml:space="preserve"> </w:t>
      </w:r>
      <w:r w:rsidR="001C5B64">
        <w:rPr>
          <w:lang w:val="en-GB"/>
        </w:rPr>
        <w:t xml:space="preserve">The final point </w:t>
      </w:r>
      <w:r w:rsidR="00393504">
        <w:rPr>
          <w:lang w:val="en-GB"/>
        </w:rPr>
        <w:t xml:space="preserve">for 50 years and a threshold of </w:t>
      </w:r>
      <w:r w:rsidR="009D3D1E">
        <w:rPr>
          <w:lang w:val="en-GB"/>
        </w:rPr>
        <w:t>0.0</w:t>
      </w:r>
      <w:r w:rsidR="00393504">
        <w:rPr>
          <w:lang w:val="en-GB"/>
        </w:rPr>
        <w:t xml:space="preserve">1 is omitted as </w:t>
      </w:r>
      <w:r w:rsidR="009D3D1E">
        <w:rPr>
          <w:lang w:val="en-GB"/>
        </w:rPr>
        <w:t>ADMM did not converge</w:t>
      </w:r>
      <w:r w:rsidR="00514594">
        <w:rPr>
          <w:lang w:val="en-GB"/>
        </w:rPr>
        <w:t xml:space="preserve"> within the iteration limit.</w:t>
      </w:r>
    </w:p>
    <w:p w14:paraId="48D9D32C" w14:textId="046132A1" w:rsidR="000F7E3C" w:rsidRPr="00F126F7" w:rsidRDefault="000F7E3C" w:rsidP="00A17644">
      <w:pPr>
        <w:pStyle w:val="Els-body-text"/>
        <w:keepNext/>
        <w:spacing w:before="120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5F8ECBC" wp14:editId="22E75A50">
            <wp:extent cx="3551370" cy="1800000"/>
            <wp:effectExtent l="0" t="0" r="0" b="0"/>
            <wp:docPr id="10235492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" t="993" r="441" b="805"/>
                    <a:stretch/>
                  </pic:blipFill>
                  <pic:spPr bwMode="auto">
                    <a:xfrm>
                      <a:off x="0" y="0"/>
                      <a:ext cx="355137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0F7F0" w14:textId="10B78197" w:rsidR="00DF2CA1" w:rsidRPr="00A03D9F" w:rsidRDefault="00C72380" w:rsidP="00F126F7">
      <w:pPr>
        <w:pStyle w:val="Caption"/>
        <w:jc w:val="center"/>
      </w:pPr>
      <w:bookmarkStart w:id="5" w:name="_Ref152061600"/>
      <w:r w:rsidRPr="00F126F7">
        <w:rPr>
          <w:lang w:val="en-GB"/>
        </w:rPr>
        <w:t xml:space="preserve">Figure </w:t>
      </w:r>
      <w:r w:rsidRPr="00F126F7">
        <w:rPr>
          <w:lang w:val="en-GB"/>
        </w:rPr>
        <w:fldChar w:fldCharType="begin"/>
      </w:r>
      <w:r w:rsidRPr="00F126F7">
        <w:rPr>
          <w:lang w:val="en-GB"/>
        </w:rPr>
        <w:instrText xml:space="preserve"> SEQ Figure \* ARABIC </w:instrText>
      </w:r>
      <w:r w:rsidRPr="00F126F7">
        <w:rPr>
          <w:lang w:val="en-GB"/>
        </w:rPr>
        <w:fldChar w:fldCharType="separate"/>
      </w:r>
      <w:r w:rsidR="00200E3F">
        <w:rPr>
          <w:noProof/>
          <w:lang w:val="en-GB"/>
        </w:rPr>
        <w:t>3</w:t>
      </w:r>
      <w:r w:rsidRPr="00F126F7">
        <w:rPr>
          <w:lang w:val="en-GB"/>
        </w:rPr>
        <w:fldChar w:fldCharType="end"/>
      </w:r>
      <w:bookmarkEnd w:id="5"/>
      <w:r w:rsidRPr="00F126F7">
        <w:rPr>
          <w:lang w:val="en-GB"/>
        </w:rPr>
        <w:t xml:space="preserve">: </w:t>
      </w:r>
      <w:r w:rsidR="00376E9E">
        <w:rPr>
          <w:lang w:val="en-GB"/>
        </w:rPr>
        <w:t xml:space="preserve">CPU </w:t>
      </w:r>
      <w:r w:rsidRPr="00F126F7">
        <w:rPr>
          <w:lang w:val="en-GB"/>
        </w:rPr>
        <w:t>Solve Time Ratio</w:t>
      </w:r>
      <w:r w:rsidR="003E5071">
        <w:rPr>
          <w:lang w:val="en-GB"/>
        </w:rPr>
        <w:t xml:space="preserve"> (Solid Line) and Optimality Gap (Dashed Line)</w:t>
      </w:r>
      <w:r w:rsidRPr="00F126F7">
        <w:rPr>
          <w:lang w:val="en-GB"/>
        </w:rPr>
        <w:t xml:space="preserve"> for </w:t>
      </w:r>
      <w:r w:rsidR="00773D6C" w:rsidRPr="00B806A6">
        <w:rPr>
          <w:lang w:val="en-GB"/>
        </w:rPr>
        <w:t>ρ</w:t>
      </w:r>
      <w:r w:rsidR="00773D6C" w:rsidRPr="00773D6C" w:rsidDel="00773D6C">
        <w:rPr>
          <w:lang w:val="en-GB"/>
        </w:rPr>
        <w:t xml:space="preserve"> </w:t>
      </w:r>
      <w:r w:rsidRPr="00F126F7">
        <w:rPr>
          <w:lang w:val="en-GB"/>
        </w:rPr>
        <w:t>=0.1</w:t>
      </w:r>
    </w:p>
    <w:p w14:paraId="3FFA48D9" w14:textId="178EDC9A" w:rsidR="00DF2CA1" w:rsidRPr="00F126F7" w:rsidRDefault="00DF2CA1" w:rsidP="00DF2CA1">
      <w:pPr>
        <w:pStyle w:val="Els-1storder-head"/>
        <w:spacing w:after="120"/>
        <w:rPr>
          <w:lang w:val="en-GB"/>
        </w:rPr>
      </w:pPr>
      <w:r w:rsidRPr="00F126F7">
        <w:rPr>
          <w:lang w:val="en-GB"/>
        </w:rPr>
        <w:t>Discussion</w:t>
      </w:r>
    </w:p>
    <w:p w14:paraId="243E7453" w14:textId="7AE60AE4" w:rsidR="00E040FC" w:rsidRPr="00F126F7" w:rsidRDefault="0053344A" w:rsidP="00E040FC">
      <w:pPr>
        <w:pStyle w:val="Els-body-text"/>
        <w:rPr>
          <w:lang w:val="en-GB"/>
        </w:rPr>
      </w:pPr>
      <w:r w:rsidRPr="00F126F7">
        <w:rPr>
          <w:lang w:val="en-GB"/>
        </w:rPr>
        <w:t>In</w:t>
      </w:r>
      <w:r w:rsidR="00E040FC" w:rsidRPr="00F126F7">
        <w:rPr>
          <w:lang w:val="en-GB"/>
        </w:rPr>
        <w:t xml:space="preserve"> the initial results in </w:t>
      </w:r>
      <w:r w:rsidR="00E040FC" w:rsidRPr="00F126F7">
        <w:rPr>
          <w:lang w:val="en-GB"/>
        </w:rPr>
        <w:fldChar w:fldCharType="begin"/>
      </w:r>
      <w:r w:rsidR="00E040FC" w:rsidRPr="00F126F7">
        <w:rPr>
          <w:lang w:val="en-GB"/>
        </w:rPr>
        <w:instrText xml:space="preserve"> REF _Ref152001256 </w:instrText>
      </w:r>
      <w:r w:rsidR="00E040FC" w:rsidRPr="00F126F7">
        <w:rPr>
          <w:lang w:val="en-GB"/>
        </w:rPr>
        <w:fldChar w:fldCharType="separate"/>
      </w:r>
      <w:r w:rsidR="00200E3F" w:rsidRPr="00F126F7">
        <w:rPr>
          <w:lang w:val="en-GB"/>
        </w:rPr>
        <w:t xml:space="preserve">Figure </w:t>
      </w:r>
      <w:r w:rsidR="00200E3F">
        <w:rPr>
          <w:noProof/>
          <w:lang w:val="en-GB"/>
        </w:rPr>
        <w:t>1</w:t>
      </w:r>
      <w:r w:rsidR="00E040FC" w:rsidRPr="00F126F7">
        <w:rPr>
          <w:lang w:val="en-GB"/>
        </w:rPr>
        <w:fldChar w:fldCharType="end"/>
      </w:r>
      <w:r w:rsidR="00E040FC" w:rsidRPr="00F126F7">
        <w:rPr>
          <w:lang w:val="en-GB"/>
        </w:rPr>
        <w:t xml:space="preserve"> and </w:t>
      </w:r>
      <w:r w:rsidR="00E040FC" w:rsidRPr="00F126F7">
        <w:rPr>
          <w:lang w:val="en-GB"/>
        </w:rPr>
        <w:fldChar w:fldCharType="begin"/>
      </w:r>
      <w:r w:rsidR="00E040FC" w:rsidRPr="00F126F7">
        <w:rPr>
          <w:lang w:val="en-GB"/>
        </w:rPr>
        <w:instrText xml:space="preserve"> REF _Ref152058894 </w:instrText>
      </w:r>
      <w:r w:rsidR="00E040FC" w:rsidRPr="00F126F7">
        <w:rPr>
          <w:lang w:val="en-GB"/>
        </w:rPr>
        <w:fldChar w:fldCharType="separate"/>
      </w:r>
      <w:r w:rsidR="00200E3F" w:rsidRPr="00F126F7">
        <w:rPr>
          <w:lang w:val="en-GB"/>
        </w:rPr>
        <w:t xml:space="preserve">Table </w:t>
      </w:r>
      <w:r w:rsidR="00200E3F">
        <w:rPr>
          <w:noProof/>
          <w:lang w:val="en-GB"/>
        </w:rPr>
        <w:t>1</w:t>
      </w:r>
      <w:r w:rsidR="00E040FC" w:rsidRPr="00F126F7">
        <w:rPr>
          <w:lang w:val="en-GB"/>
        </w:rPr>
        <w:fldChar w:fldCharType="end"/>
      </w:r>
      <w:r w:rsidR="00E040FC" w:rsidRPr="00F126F7">
        <w:rPr>
          <w:lang w:val="en-GB"/>
        </w:rPr>
        <w:t xml:space="preserve">, </w:t>
      </w:r>
      <w:r w:rsidR="005B44B6" w:rsidRPr="00F126F7">
        <w:rPr>
          <w:lang w:val="en-GB"/>
        </w:rPr>
        <w:t>whilst the number of PV panels remains constant,</w:t>
      </w:r>
      <w:r w:rsidR="00B07E28" w:rsidRPr="00F126F7">
        <w:rPr>
          <w:lang w:val="en-GB"/>
        </w:rPr>
        <w:t xml:space="preserve"> battery storage is only selected for a longer considered time period, </w:t>
      </w:r>
      <w:r w:rsidR="00DB228E" w:rsidRPr="00F126F7">
        <w:rPr>
          <w:lang w:val="en-GB"/>
        </w:rPr>
        <w:t>reflecting the larger investment that this entails.</w:t>
      </w:r>
      <w:r w:rsidR="002F1D75" w:rsidRPr="00F126F7">
        <w:rPr>
          <w:lang w:val="en-GB"/>
        </w:rPr>
        <w:t xml:space="preserve"> </w:t>
      </w:r>
      <w:r w:rsidR="00B01312" w:rsidRPr="00F126F7">
        <w:rPr>
          <w:lang w:val="en-GB"/>
        </w:rPr>
        <w:t xml:space="preserve">Due to the ability to sell energy back to the grid, objective </w:t>
      </w:r>
      <w:r w:rsidR="00514DE8" w:rsidRPr="00F126F7">
        <w:rPr>
          <w:lang w:val="en-GB"/>
        </w:rPr>
        <w:t xml:space="preserve">values </w:t>
      </w:r>
      <w:r w:rsidR="00160116" w:rsidRPr="00F126F7">
        <w:rPr>
          <w:lang w:val="en-GB"/>
        </w:rPr>
        <w:t xml:space="preserve">become </w:t>
      </w:r>
      <w:r w:rsidR="00DB3174" w:rsidRPr="00F126F7">
        <w:rPr>
          <w:lang w:val="en-GB"/>
        </w:rPr>
        <w:t>increasingly attractive</w:t>
      </w:r>
      <w:r w:rsidR="00160116" w:rsidRPr="00F126F7">
        <w:rPr>
          <w:lang w:val="en-GB"/>
        </w:rPr>
        <w:t xml:space="preserve"> </w:t>
      </w:r>
      <w:r w:rsidR="00514DE8" w:rsidRPr="00F126F7">
        <w:rPr>
          <w:lang w:val="en-GB"/>
        </w:rPr>
        <w:t>for longer timescales</w:t>
      </w:r>
      <w:r w:rsidR="00E25D8A" w:rsidRPr="00F126F7">
        <w:rPr>
          <w:lang w:val="en-GB"/>
        </w:rPr>
        <w:t xml:space="preserve">, paying back </w:t>
      </w:r>
      <w:r w:rsidR="00C20E8C" w:rsidRPr="00F126F7">
        <w:rPr>
          <w:lang w:val="en-GB"/>
        </w:rPr>
        <w:t>the up-front</w:t>
      </w:r>
      <w:r w:rsidR="00E25D8A" w:rsidRPr="00F126F7">
        <w:rPr>
          <w:lang w:val="en-GB"/>
        </w:rPr>
        <w:t xml:space="preserve"> investment costs in PV and batteries.</w:t>
      </w:r>
      <w:r w:rsidR="008B4A40" w:rsidRPr="00F126F7">
        <w:rPr>
          <w:lang w:val="en-GB"/>
        </w:rPr>
        <w:t xml:space="preserve"> </w:t>
      </w:r>
      <w:r w:rsidR="0087074A">
        <w:rPr>
          <w:lang w:val="en-GB"/>
        </w:rPr>
        <w:t>T</w:t>
      </w:r>
      <w:r w:rsidR="002F1D75" w:rsidRPr="00F126F7">
        <w:rPr>
          <w:lang w:val="en-GB"/>
        </w:rPr>
        <w:t xml:space="preserve">he time taken to solve the formulation in a </w:t>
      </w:r>
      <w:r w:rsidR="00F25A51">
        <w:rPr>
          <w:lang w:val="en-GB"/>
        </w:rPr>
        <w:t>centralised</w:t>
      </w:r>
      <w:r w:rsidR="002F1D75" w:rsidRPr="00F126F7">
        <w:rPr>
          <w:lang w:val="en-GB"/>
        </w:rPr>
        <w:t xml:space="preserve"> manner scales with the </w:t>
      </w:r>
      <w:r w:rsidR="004E4690">
        <w:rPr>
          <w:lang w:val="en-GB"/>
        </w:rPr>
        <w:t>problem size</w:t>
      </w:r>
      <w:r w:rsidR="002F1D75" w:rsidRPr="00F126F7">
        <w:rPr>
          <w:lang w:val="en-GB"/>
        </w:rPr>
        <w:t>, from &lt;1</w:t>
      </w:r>
      <w:r w:rsidR="00680B11" w:rsidRPr="00F126F7">
        <w:rPr>
          <w:lang w:val="en-GB"/>
        </w:rPr>
        <w:t xml:space="preserve"> </w:t>
      </w:r>
      <w:r w:rsidR="00DB3174" w:rsidRPr="00F126F7">
        <w:rPr>
          <w:lang w:val="en-GB"/>
        </w:rPr>
        <w:t>CPUs</w:t>
      </w:r>
      <w:r w:rsidR="00137C15">
        <w:rPr>
          <w:lang w:val="en-GB"/>
        </w:rPr>
        <w:t xml:space="preserve"> </w:t>
      </w:r>
      <w:r w:rsidR="00680B11" w:rsidRPr="00F126F7">
        <w:rPr>
          <w:lang w:val="en-GB"/>
        </w:rPr>
        <w:t xml:space="preserve">to 14 </w:t>
      </w:r>
      <w:r w:rsidR="00DB3174" w:rsidRPr="00F126F7">
        <w:rPr>
          <w:lang w:val="en-GB"/>
        </w:rPr>
        <w:t>CPUs</w:t>
      </w:r>
      <w:r w:rsidR="00680B11" w:rsidRPr="00F126F7">
        <w:rPr>
          <w:lang w:val="en-GB"/>
        </w:rPr>
        <w:t xml:space="preserve"> for 50 years.</w:t>
      </w:r>
    </w:p>
    <w:p w14:paraId="44944C54" w14:textId="4A3E18E5" w:rsidR="00A21668" w:rsidRPr="00F126F7" w:rsidRDefault="00A3194C" w:rsidP="00C423F0">
      <w:pPr>
        <w:pStyle w:val="Els-body-text"/>
        <w:rPr>
          <w:lang w:val="en-GB"/>
        </w:rPr>
      </w:pPr>
      <w:r w:rsidRPr="00F126F7">
        <w:rPr>
          <w:lang w:val="en-GB"/>
        </w:rPr>
        <w:t xml:space="preserve">For the ADMM formulation, </w:t>
      </w:r>
      <w:r w:rsidR="004D49A0" w:rsidRPr="00F126F7">
        <w:rPr>
          <w:lang w:val="en-GB"/>
        </w:rPr>
        <w:t>when sweeping the value of ρ, a clear region exists affording both a low optimality gap</w:t>
      </w:r>
      <w:r w:rsidR="009F6A28" w:rsidRPr="00F126F7">
        <w:rPr>
          <w:lang w:val="en-GB"/>
        </w:rPr>
        <w:t>, which increases if ρ is set too high,</w:t>
      </w:r>
      <w:r w:rsidR="004D49A0" w:rsidRPr="00F126F7">
        <w:rPr>
          <w:lang w:val="en-GB"/>
        </w:rPr>
        <w:t xml:space="preserve"> and </w:t>
      </w:r>
      <w:r w:rsidR="009F6A28" w:rsidRPr="00F126F7">
        <w:rPr>
          <w:lang w:val="en-GB"/>
        </w:rPr>
        <w:t xml:space="preserve">a </w:t>
      </w:r>
      <w:r w:rsidR="00ED6C82" w:rsidRPr="00F126F7">
        <w:rPr>
          <w:lang w:val="en-GB"/>
        </w:rPr>
        <w:t xml:space="preserve">minimal </w:t>
      </w:r>
      <w:r w:rsidR="003C2ACB">
        <w:rPr>
          <w:lang w:val="en-GB"/>
        </w:rPr>
        <w:t xml:space="preserve">CPU </w:t>
      </w:r>
      <w:r w:rsidR="00ED6C82" w:rsidRPr="00F126F7">
        <w:rPr>
          <w:lang w:val="en-GB"/>
        </w:rPr>
        <w:t>solve time ratio</w:t>
      </w:r>
      <w:r w:rsidR="009F6A28" w:rsidRPr="00F126F7">
        <w:rPr>
          <w:lang w:val="en-GB"/>
        </w:rPr>
        <w:t xml:space="preserve">, which increases if </w:t>
      </w:r>
      <w:r w:rsidR="00956CCB" w:rsidRPr="00F126F7">
        <w:rPr>
          <w:lang w:val="en-GB"/>
        </w:rPr>
        <w:t>ρ is set too low.</w:t>
      </w:r>
      <w:r w:rsidR="00A72824" w:rsidRPr="00F126F7">
        <w:rPr>
          <w:lang w:val="en-GB"/>
        </w:rPr>
        <w:t xml:space="preserve"> </w:t>
      </w:r>
      <w:r w:rsidR="00F56C76" w:rsidRPr="00F126F7">
        <w:rPr>
          <w:lang w:val="en-GB"/>
        </w:rPr>
        <w:t xml:space="preserve">With </w:t>
      </w:r>
      <w:r w:rsidR="00F56C76" w:rsidRPr="00A17644">
        <w:rPr>
          <w:i/>
          <w:iCs/>
          <w:lang w:val="en-GB"/>
        </w:rPr>
        <w:t>ρ</w:t>
      </w:r>
      <w:r w:rsidR="00F56C76" w:rsidRPr="00F126F7">
        <w:rPr>
          <w:lang w:val="en-GB"/>
        </w:rPr>
        <w:t xml:space="preserve"> set to 0.1, </w:t>
      </w:r>
      <w:r w:rsidR="000F181E" w:rsidRPr="00F126F7">
        <w:rPr>
          <w:lang w:val="en-GB"/>
        </w:rPr>
        <w:t xml:space="preserve">the plot in </w:t>
      </w:r>
      <w:r w:rsidR="000F181E" w:rsidRPr="00F126F7">
        <w:rPr>
          <w:lang w:val="en-GB"/>
        </w:rPr>
        <w:fldChar w:fldCharType="begin"/>
      </w:r>
      <w:r w:rsidR="000F181E" w:rsidRPr="00F126F7">
        <w:rPr>
          <w:lang w:val="en-GB"/>
        </w:rPr>
        <w:instrText xml:space="preserve"> REF _Ref152061600 </w:instrText>
      </w:r>
      <w:r w:rsidR="000F181E" w:rsidRPr="00F126F7">
        <w:rPr>
          <w:lang w:val="en-GB"/>
        </w:rPr>
        <w:fldChar w:fldCharType="separate"/>
      </w:r>
      <w:r w:rsidR="00200E3F" w:rsidRPr="00F126F7">
        <w:rPr>
          <w:lang w:val="en-GB"/>
        </w:rPr>
        <w:t xml:space="preserve">Figure </w:t>
      </w:r>
      <w:r w:rsidR="00200E3F">
        <w:rPr>
          <w:noProof/>
          <w:lang w:val="en-GB"/>
        </w:rPr>
        <w:t>3</w:t>
      </w:r>
      <w:r w:rsidR="000F181E" w:rsidRPr="00F126F7">
        <w:rPr>
          <w:lang w:val="en-GB"/>
        </w:rPr>
        <w:fldChar w:fldCharType="end"/>
      </w:r>
      <w:r w:rsidR="000F181E" w:rsidRPr="00F126F7">
        <w:rPr>
          <w:lang w:val="en-GB"/>
        </w:rPr>
        <w:t xml:space="preserve"> </w:t>
      </w:r>
      <w:r w:rsidR="001C1561" w:rsidRPr="00F126F7">
        <w:rPr>
          <w:lang w:val="en-GB"/>
        </w:rPr>
        <w:t>demonstrate</w:t>
      </w:r>
      <w:r w:rsidR="008C67EA">
        <w:rPr>
          <w:lang w:val="en-GB"/>
        </w:rPr>
        <w:t>s</w:t>
      </w:r>
      <w:r w:rsidR="001C1561" w:rsidRPr="00F126F7">
        <w:rPr>
          <w:lang w:val="en-GB"/>
        </w:rPr>
        <w:t xml:space="preserve"> a low optimality gap</w:t>
      </w:r>
      <w:r w:rsidR="0089717F" w:rsidRPr="00F126F7">
        <w:rPr>
          <w:lang w:val="en-GB"/>
        </w:rPr>
        <w:t xml:space="preserve">, implying that the solution mimics that of the </w:t>
      </w:r>
      <w:r w:rsidR="00F25A51">
        <w:rPr>
          <w:lang w:val="en-GB"/>
        </w:rPr>
        <w:t>centralised</w:t>
      </w:r>
      <w:r w:rsidR="0089717F" w:rsidRPr="00F126F7">
        <w:rPr>
          <w:lang w:val="en-GB"/>
        </w:rPr>
        <w:t xml:space="preserve"> formulation, with a decreasing </w:t>
      </w:r>
      <w:r w:rsidR="003C2ACB">
        <w:rPr>
          <w:lang w:val="en-GB"/>
        </w:rPr>
        <w:t xml:space="preserve">CPU </w:t>
      </w:r>
      <w:r w:rsidR="0089717F" w:rsidRPr="00F126F7">
        <w:rPr>
          <w:lang w:val="en-GB"/>
        </w:rPr>
        <w:t xml:space="preserve">solve time ratio as more years are </w:t>
      </w:r>
      <w:r w:rsidR="0089717F" w:rsidRPr="00F126F7">
        <w:rPr>
          <w:lang w:val="en-GB"/>
        </w:rPr>
        <w:lastRenderedPageBreak/>
        <w:t xml:space="preserve">considered. </w:t>
      </w:r>
      <w:r w:rsidR="0092782D" w:rsidRPr="00F126F7">
        <w:rPr>
          <w:lang w:val="en-GB"/>
        </w:rPr>
        <w:t xml:space="preserve">For a primal gap convergence threshold of 1, there is a “break-even” point at 30 years, </w:t>
      </w:r>
      <w:r w:rsidR="00D61EE6">
        <w:rPr>
          <w:lang w:val="en-GB"/>
        </w:rPr>
        <w:t>when</w:t>
      </w:r>
      <w:r w:rsidR="0092782D" w:rsidRPr="00F126F7">
        <w:rPr>
          <w:lang w:val="en-GB"/>
        </w:rPr>
        <w:t xml:space="preserve"> considering more years than this, </w:t>
      </w:r>
      <w:r w:rsidR="005C71AB" w:rsidRPr="00F126F7">
        <w:rPr>
          <w:lang w:val="en-GB"/>
        </w:rPr>
        <w:t xml:space="preserve">the overall solve time for the ADMM solution is lower than that of the </w:t>
      </w:r>
      <w:r w:rsidR="00F25A51">
        <w:rPr>
          <w:lang w:val="en-GB"/>
        </w:rPr>
        <w:t>centralised</w:t>
      </w:r>
      <w:r w:rsidR="00907437" w:rsidRPr="00F126F7">
        <w:rPr>
          <w:lang w:val="en-GB"/>
        </w:rPr>
        <w:t xml:space="preserve"> solution</w:t>
      </w:r>
      <w:r w:rsidR="00A039F4" w:rsidRPr="00F126F7">
        <w:rPr>
          <w:lang w:val="en-GB"/>
        </w:rPr>
        <w:t xml:space="preserve"> when decomposed temporally into each considered time period.</w:t>
      </w:r>
      <w:r w:rsidR="00EB32F3">
        <w:rPr>
          <w:lang w:val="en-GB"/>
        </w:rPr>
        <w:t xml:space="preserve"> </w:t>
      </w:r>
      <w:r w:rsidR="00420745">
        <w:rPr>
          <w:lang w:val="en-GB"/>
        </w:rPr>
        <w:t xml:space="preserve">This </w:t>
      </w:r>
      <w:r w:rsidR="00DF2502">
        <w:rPr>
          <w:lang w:val="en-GB"/>
        </w:rPr>
        <w:t xml:space="preserve">demonstrates </w:t>
      </w:r>
      <w:r w:rsidR="00A70B5C">
        <w:rPr>
          <w:lang w:val="en-GB"/>
        </w:rPr>
        <w:t xml:space="preserve">the enhanced ability </w:t>
      </w:r>
      <w:r w:rsidR="003C6F2B">
        <w:rPr>
          <w:lang w:val="en-GB"/>
        </w:rPr>
        <w:t>of</w:t>
      </w:r>
      <w:r w:rsidR="00A70B5C">
        <w:rPr>
          <w:lang w:val="en-GB"/>
        </w:rPr>
        <w:t xml:space="preserve"> the ADMM </w:t>
      </w:r>
      <w:r w:rsidR="005E3F21">
        <w:rPr>
          <w:lang w:val="en-GB"/>
        </w:rPr>
        <w:t xml:space="preserve">formulation </w:t>
      </w:r>
      <w:r w:rsidR="00C423F0">
        <w:rPr>
          <w:lang w:val="en-GB"/>
        </w:rPr>
        <w:t>to provide solutions in a timely manner when considering more time periods.</w:t>
      </w:r>
    </w:p>
    <w:p w14:paraId="144DE6A5" w14:textId="36CDE194" w:rsidR="008D2649" w:rsidRPr="00F126F7" w:rsidRDefault="00747EAA" w:rsidP="008D2649">
      <w:pPr>
        <w:pStyle w:val="Els-1storder-head"/>
        <w:spacing w:after="120"/>
        <w:rPr>
          <w:lang w:val="en-GB"/>
        </w:rPr>
      </w:pPr>
      <w:r w:rsidRPr="00F126F7">
        <w:rPr>
          <w:lang w:val="en-GB"/>
        </w:rPr>
        <w:t>Conclusion</w:t>
      </w:r>
      <w:r w:rsidR="00882CA8" w:rsidRPr="00F126F7">
        <w:rPr>
          <w:lang w:val="en-GB"/>
        </w:rPr>
        <w:t>s</w:t>
      </w:r>
    </w:p>
    <w:p w14:paraId="2EF832B6" w14:textId="5F3EC164" w:rsidR="006B1C4D" w:rsidRPr="00F126F7" w:rsidRDefault="00B725E0" w:rsidP="006B1C4D">
      <w:pPr>
        <w:pStyle w:val="Els-body-text"/>
        <w:rPr>
          <w:lang w:val="en-GB"/>
        </w:rPr>
      </w:pPr>
      <w:r w:rsidRPr="00F126F7">
        <w:rPr>
          <w:lang w:val="en-GB"/>
        </w:rPr>
        <w:t xml:space="preserve">The results presented </w:t>
      </w:r>
      <w:r w:rsidR="00BB5FA1" w:rsidRPr="00F126F7">
        <w:rPr>
          <w:lang w:val="en-GB"/>
        </w:rPr>
        <w:t>here</w:t>
      </w:r>
      <w:r w:rsidRPr="00F126F7">
        <w:rPr>
          <w:lang w:val="en-GB"/>
        </w:rPr>
        <w:t xml:space="preserve"> highlight the </w:t>
      </w:r>
      <w:r w:rsidR="00437596" w:rsidRPr="00F126F7">
        <w:rPr>
          <w:lang w:val="en-GB"/>
        </w:rPr>
        <w:t xml:space="preserve">potential for ADMM to </w:t>
      </w:r>
      <w:r w:rsidR="00E921FF" w:rsidRPr="00F126F7">
        <w:rPr>
          <w:lang w:val="en-GB"/>
        </w:rPr>
        <w:t xml:space="preserve">speed-up the solving </w:t>
      </w:r>
      <w:r w:rsidR="00847326" w:rsidRPr="00F126F7">
        <w:rPr>
          <w:lang w:val="en-GB"/>
        </w:rPr>
        <w:t xml:space="preserve">of MILP microgrid design problems, whilst still </w:t>
      </w:r>
      <w:r w:rsidR="003A4879" w:rsidRPr="00F126F7">
        <w:rPr>
          <w:lang w:val="en-GB"/>
        </w:rPr>
        <w:t xml:space="preserve">providing results that closely match those calculated in a </w:t>
      </w:r>
      <w:r w:rsidR="00F25A51">
        <w:rPr>
          <w:lang w:val="en-GB"/>
        </w:rPr>
        <w:t>centralised</w:t>
      </w:r>
      <w:r w:rsidR="003A4879" w:rsidRPr="00F126F7">
        <w:rPr>
          <w:lang w:val="en-GB"/>
        </w:rPr>
        <w:t xml:space="preserve"> fashion</w:t>
      </w:r>
      <w:r w:rsidR="00AE65FD" w:rsidRPr="00F126F7">
        <w:rPr>
          <w:lang w:val="en-GB"/>
        </w:rPr>
        <w:t xml:space="preserve">. </w:t>
      </w:r>
      <w:r w:rsidR="005525B9">
        <w:rPr>
          <w:lang w:val="en-GB"/>
        </w:rPr>
        <w:t xml:space="preserve">When considered over 50 years, </w:t>
      </w:r>
      <w:r w:rsidR="00C95A68">
        <w:rPr>
          <w:lang w:val="en-GB"/>
        </w:rPr>
        <w:t xml:space="preserve">use of </w:t>
      </w:r>
      <w:r w:rsidR="00474185">
        <w:rPr>
          <w:lang w:val="en-GB"/>
        </w:rPr>
        <w:t xml:space="preserve">the ADMM formulation </w:t>
      </w:r>
      <w:r w:rsidR="00C95A68">
        <w:rPr>
          <w:lang w:val="en-GB"/>
        </w:rPr>
        <w:t>resulted in a</w:t>
      </w:r>
      <w:r w:rsidR="006D21A3">
        <w:rPr>
          <w:lang w:val="en-GB"/>
        </w:rPr>
        <w:t xml:space="preserve"> reduction in </w:t>
      </w:r>
      <w:r w:rsidR="000F050F">
        <w:rPr>
          <w:lang w:val="en-GB"/>
        </w:rPr>
        <w:t>CPU solve time of 43</w:t>
      </w:r>
      <w:r w:rsidR="005863BF">
        <w:rPr>
          <w:lang w:val="en-GB"/>
        </w:rPr>
        <w:t xml:space="preserve"> </w:t>
      </w:r>
      <w:r w:rsidR="000F050F">
        <w:rPr>
          <w:lang w:val="en-GB"/>
        </w:rPr>
        <w:t xml:space="preserve">%, assuming parallel computation. </w:t>
      </w:r>
      <w:r w:rsidR="00AE65FD" w:rsidRPr="00F126F7">
        <w:rPr>
          <w:lang w:val="en-GB"/>
        </w:rPr>
        <w:t xml:space="preserve">Care must be taken however, as these time savings from </w:t>
      </w:r>
      <w:r w:rsidR="00502772">
        <w:rPr>
          <w:lang w:val="en-GB"/>
        </w:rPr>
        <w:t>use of the</w:t>
      </w:r>
      <w:r w:rsidR="00AE65FD" w:rsidRPr="00F126F7">
        <w:rPr>
          <w:lang w:val="en-GB"/>
        </w:rPr>
        <w:t xml:space="preserve"> parallel formulation are only seen with sufficiently large problem sizes.</w:t>
      </w:r>
    </w:p>
    <w:p w14:paraId="59E2E545" w14:textId="0BF1B378" w:rsidR="006B1C4D" w:rsidRPr="00F126F7" w:rsidRDefault="00462475" w:rsidP="006B1C4D">
      <w:pPr>
        <w:pStyle w:val="Els-body-text"/>
        <w:rPr>
          <w:lang w:val="en-GB"/>
        </w:rPr>
      </w:pPr>
      <w:r w:rsidRPr="00F126F7">
        <w:rPr>
          <w:lang w:val="en-GB"/>
        </w:rPr>
        <w:t xml:space="preserve">Further work will involve </w:t>
      </w:r>
      <w:r w:rsidR="00C278BA" w:rsidRPr="00F126F7">
        <w:rPr>
          <w:lang w:val="en-GB"/>
        </w:rPr>
        <w:t>adding</w:t>
      </w:r>
      <w:r w:rsidR="007D697D" w:rsidRPr="00F126F7">
        <w:rPr>
          <w:lang w:val="en-GB"/>
        </w:rPr>
        <w:t xml:space="preserve"> additional objective function</w:t>
      </w:r>
      <w:r w:rsidRPr="00F126F7">
        <w:rPr>
          <w:lang w:val="en-GB"/>
        </w:rPr>
        <w:t xml:space="preserve"> terms, such as </w:t>
      </w:r>
      <w:r w:rsidR="00DA53F6" w:rsidRPr="00F126F7">
        <w:rPr>
          <w:lang w:val="en-GB"/>
        </w:rPr>
        <w:t xml:space="preserve">asset lifetimes and associated </w:t>
      </w:r>
      <w:r w:rsidRPr="00F126F7">
        <w:rPr>
          <w:lang w:val="en-GB"/>
        </w:rPr>
        <w:t>maintenance</w:t>
      </w:r>
      <w:r w:rsidR="00DA53F6" w:rsidRPr="00F126F7">
        <w:rPr>
          <w:lang w:val="en-GB"/>
        </w:rPr>
        <w:t xml:space="preserve"> and </w:t>
      </w:r>
      <w:r w:rsidRPr="00F126F7">
        <w:rPr>
          <w:lang w:val="en-GB"/>
        </w:rPr>
        <w:t xml:space="preserve">disposal </w:t>
      </w:r>
      <w:proofErr w:type="gramStart"/>
      <w:r w:rsidR="00DA53F6" w:rsidRPr="00F126F7">
        <w:rPr>
          <w:lang w:val="en-GB"/>
        </w:rPr>
        <w:t>costs</w:t>
      </w:r>
      <w:r w:rsidR="00B84EE7" w:rsidRPr="00F126F7">
        <w:rPr>
          <w:lang w:val="en-GB"/>
        </w:rPr>
        <w:t>,</w:t>
      </w:r>
      <w:r w:rsidR="00330195" w:rsidRPr="00F126F7">
        <w:rPr>
          <w:lang w:val="en-GB"/>
        </w:rPr>
        <w:t xml:space="preserve"> and</w:t>
      </w:r>
      <w:proofErr w:type="gramEnd"/>
      <w:r w:rsidR="00330195" w:rsidRPr="00F126F7">
        <w:rPr>
          <w:lang w:val="en-GB"/>
        </w:rPr>
        <w:t xml:space="preserve"> </w:t>
      </w:r>
      <w:r w:rsidR="00DD016C" w:rsidRPr="00F126F7">
        <w:rPr>
          <w:lang w:val="en-GB"/>
        </w:rPr>
        <w:t>adding the ability for capital expenditure to be made at different points throughout the considered time period</w:t>
      </w:r>
      <w:r w:rsidR="00330195" w:rsidRPr="00F126F7">
        <w:rPr>
          <w:lang w:val="en-GB"/>
        </w:rPr>
        <w:t xml:space="preserve">. </w:t>
      </w:r>
      <w:r w:rsidR="00C278BA" w:rsidRPr="00F126F7">
        <w:rPr>
          <w:lang w:val="en-GB"/>
        </w:rPr>
        <w:t>T</w:t>
      </w:r>
      <w:r w:rsidR="006653DC" w:rsidRPr="00F126F7">
        <w:rPr>
          <w:lang w:val="en-GB"/>
        </w:rPr>
        <w:t xml:space="preserve">esting with the larger </w:t>
      </w:r>
      <w:r w:rsidR="00B10C61" w:rsidRPr="00F126F7">
        <w:rPr>
          <w:lang w:val="en-GB"/>
        </w:rPr>
        <w:t>M</w:t>
      </w:r>
      <w:r w:rsidR="00861D47" w:rsidRPr="00F126F7">
        <w:rPr>
          <w:lang w:val="en-GB"/>
        </w:rPr>
        <w:t xml:space="preserve">odified IEEE EU LV </w:t>
      </w:r>
      <w:r w:rsidR="00B10C61" w:rsidRPr="00F126F7">
        <w:rPr>
          <w:lang w:val="en-GB"/>
        </w:rPr>
        <w:t>N</w:t>
      </w:r>
      <w:r w:rsidR="00861D47" w:rsidRPr="00F126F7">
        <w:rPr>
          <w:lang w:val="en-GB"/>
        </w:rPr>
        <w:t>etwork</w:t>
      </w:r>
      <w:r w:rsidR="00297E31" w:rsidRPr="00F126F7">
        <w:rPr>
          <w:lang w:val="en-GB"/>
        </w:rPr>
        <w:t xml:space="preserve"> and using the AC-OPF power flow formulation, as presented in De Mel et al. (202</w:t>
      </w:r>
      <w:r w:rsidR="006A7740">
        <w:rPr>
          <w:lang w:val="en-GB"/>
        </w:rPr>
        <w:t>4</w:t>
      </w:r>
      <w:r w:rsidR="00297E31" w:rsidRPr="00F126F7">
        <w:rPr>
          <w:lang w:val="en-GB"/>
        </w:rPr>
        <w:t xml:space="preserve">) will also </w:t>
      </w:r>
      <w:r w:rsidR="00FC2454" w:rsidRPr="00F126F7">
        <w:rPr>
          <w:lang w:val="en-GB"/>
        </w:rPr>
        <w:t>be completed.</w:t>
      </w:r>
      <w:r w:rsidR="00EF7826" w:rsidRPr="00F126F7">
        <w:rPr>
          <w:lang w:val="en-GB"/>
        </w:rPr>
        <w:t xml:space="preserve"> </w:t>
      </w:r>
      <w:r w:rsidR="00294A78" w:rsidRPr="00F126F7">
        <w:rPr>
          <w:lang w:val="en-GB"/>
        </w:rPr>
        <w:t xml:space="preserve">The formulation presented above </w:t>
      </w:r>
      <w:r w:rsidR="004C671E" w:rsidRPr="00F126F7">
        <w:rPr>
          <w:lang w:val="en-GB"/>
        </w:rPr>
        <w:t>can be extended to include elements such as heat pumps,</w:t>
      </w:r>
      <w:r w:rsidR="00FC2454" w:rsidRPr="00F126F7">
        <w:rPr>
          <w:lang w:val="en-GB"/>
        </w:rPr>
        <w:t xml:space="preserve"> electric vehicle </w:t>
      </w:r>
      <w:r w:rsidR="00306D8D" w:rsidRPr="00F126F7">
        <w:rPr>
          <w:lang w:val="en-GB"/>
        </w:rPr>
        <w:t>charging,</w:t>
      </w:r>
      <w:r w:rsidR="00FC2454" w:rsidRPr="00F126F7">
        <w:rPr>
          <w:lang w:val="en-GB"/>
        </w:rPr>
        <w:t xml:space="preserve"> and demand response</w:t>
      </w:r>
      <w:r w:rsidR="00523559" w:rsidRPr="00F126F7">
        <w:rPr>
          <w:lang w:val="en-GB"/>
        </w:rPr>
        <w:t xml:space="preserve"> and f</w:t>
      </w:r>
      <w:r w:rsidR="00F16865" w:rsidRPr="00F126F7">
        <w:rPr>
          <w:lang w:val="en-GB"/>
        </w:rPr>
        <w:t xml:space="preserve">urther research will </w:t>
      </w:r>
      <w:r w:rsidR="00AA3971" w:rsidRPr="00F126F7">
        <w:rPr>
          <w:lang w:val="en-GB"/>
        </w:rPr>
        <w:t xml:space="preserve">also </w:t>
      </w:r>
      <w:r w:rsidR="00F16865" w:rsidRPr="00F126F7">
        <w:rPr>
          <w:lang w:val="en-GB"/>
        </w:rPr>
        <w:t xml:space="preserve">look at incorporating </w:t>
      </w:r>
      <w:r w:rsidR="007A2176" w:rsidRPr="00F126F7">
        <w:rPr>
          <w:lang w:val="en-GB"/>
        </w:rPr>
        <w:t xml:space="preserve">spatial decomposition into the formulation and comparing the results </w:t>
      </w:r>
      <w:r w:rsidR="00E41D8F" w:rsidRPr="00F126F7">
        <w:rPr>
          <w:lang w:val="en-GB"/>
        </w:rPr>
        <w:t xml:space="preserve">obtained </w:t>
      </w:r>
      <w:r w:rsidR="00B96622" w:rsidRPr="00F126F7">
        <w:rPr>
          <w:lang w:val="en-GB"/>
        </w:rPr>
        <w:t>from</w:t>
      </w:r>
      <w:r w:rsidR="007A2176" w:rsidRPr="00F126F7">
        <w:rPr>
          <w:lang w:val="en-GB"/>
        </w:rPr>
        <w:t xml:space="preserve"> ADMM with other decomposition methods</w:t>
      </w:r>
      <w:r w:rsidR="00F37159" w:rsidRPr="00F126F7">
        <w:rPr>
          <w:lang w:val="en-GB"/>
        </w:rPr>
        <w:t>.</w:t>
      </w:r>
      <w:r w:rsidR="00BA14B4" w:rsidRPr="00F126F7">
        <w:rPr>
          <w:lang w:val="en-GB"/>
        </w:rPr>
        <w:t xml:space="preserve"> </w:t>
      </w:r>
    </w:p>
    <w:p w14:paraId="144DE6BF" w14:textId="608D0AD6" w:rsidR="008D2649" w:rsidRDefault="008D2649" w:rsidP="008D2649">
      <w:pPr>
        <w:pStyle w:val="Els-reference-head"/>
        <w:rPr>
          <w:lang w:val="en-GB"/>
        </w:rPr>
      </w:pPr>
      <w:r w:rsidRPr="00F126F7">
        <w:rPr>
          <w:lang w:val="en-GB"/>
        </w:rPr>
        <w:t>References</w:t>
      </w:r>
    </w:p>
    <w:p w14:paraId="740928AA" w14:textId="77777777" w:rsidR="00C2460C" w:rsidRPr="00D47996" w:rsidRDefault="00C2460C" w:rsidP="00C2460C">
      <w:pPr>
        <w:pStyle w:val="Els-referenceno-number"/>
      </w:pPr>
      <w:r w:rsidRPr="00D47996">
        <w:t>J. Bezanson, A. Edelman, S. Karpinski and V. B. Shah, 2017, Julia: A fresh approach to numerical computing, SIAM review, 59, 1, 65-98</w:t>
      </w:r>
    </w:p>
    <w:p w14:paraId="30A7845F" w14:textId="77777777" w:rsidR="00C2460C" w:rsidRDefault="00C2460C" w:rsidP="00C2460C">
      <w:pPr>
        <w:pStyle w:val="Els-referenceno-number"/>
      </w:pPr>
      <w:r w:rsidRPr="00D47996">
        <w:t>S. Boyd, N. Parikh, E. Chu, B. Peleato and J. Eckstein, 2011, Distributed optimi</w:t>
      </w:r>
      <w:r>
        <w:t>s</w:t>
      </w:r>
      <w:r w:rsidRPr="00D47996">
        <w:t>ation and statistical learning via the alternating direction method of multipliers, Foundations and Trends in Machine Learning, 3, 1, 1-122</w:t>
      </w:r>
    </w:p>
    <w:p w14:paraId="3FFAE5E3" w14:textId="77777777" w:rsidR="00C2460C" w:rsidRDefault="00C2460C" w:rsidP="00C2460C">
      <w:pPr>
        <w:pStyle w:val="Els-referenceno-number"/>
      </w:pPr>
      <w:r>
        <w:t xml:space="preserve">G. Chen and Q. Yang, 2018, </w:t>
      </w:r>
      <w:r w:rsidRPr="00FD0F83">
        <w:t>An ADMM-Based Distributed Algorithm for Economic Dispatch in Islanded Microgrids</w:t>
      </w:r>
      <w:r>
        <w:t xml:space="preserve">, </w:t>
      </w:r>
      <w:r w:rsidRPr="00FD0F83">
        <w:t>IEEE Transactions on Industrial Informatics</w:t>
      </w:r>
      <w:r>
        <w:t xml:space="preserve">, 14, 9, </w:t>
      </w:r>
      <w:r w:rsidRPr="00FD0F83">
        <w:t>3892-3903</w:t>
      </w:r>
    </w:p>
    <w:p w14:paraId="0E938EF4" w14:textId="77777777" w:rsidR="00C2460C" w:rsidRPr="00D47996" w:rsidRDefault="00C2460C" w:rsidP="00C2460C">
      <w:pPr>
        <w:pStyle w:val="Els-referenceno-number"/>
      </w:pPr>
      <w:r w:rsidRPr="00D47996">
        <w:t>I. De Mel, O. Klymenko and M. Short, 2022, Optimal Design of Distributed Energy Systems Considering the Impacts on Electrical Power Networks, arxiv</w:t>
      </w:r>
    </w:p>
    <w:p w14:paraId="2EF12551" w14:textId="77777777" w:rsidR="00C2460C" w:rsidRPr="00D47996" w:rsidRDefault="00C2460C" w:rsidP="00C2460C">
      <w:pPr>
        <w:pStyle w:val="Els-referenceno-number"/>
      </w:pPr>
      <w:r w:rsidRPr="00642E51">
        <w:t>I</w:t>
      </w:r>
      <w:r>
        <w:t>.</w:t>
      </w:r>
      <w:r w:rsidRPr="00642E51">
        <w:t xml:space="preserve"> De Mel, O</w:t>
      </w:r>
      <w:r>
        <w:t>.</w:t>
      </w:r>
      <w:r w:rsidRPr="00642E51">
        <w:t xml:space="preserve"> V. Klymenko</w:t>
      </w:r>
      <w:r>
        <w:t xml:space="preserve"> and</w:t>
      </w:r>
      <w:r w:rsidRPr="00642E51">
        <w:t xml:space="preserve"> M</w:t>
      </w:r>
      <w:r>
        <w:t>.</w:t>
      </w:r>
      <w:r w:rsidRPr="00642E51">
        <w:t xml:space="preserve"> Short</w:t>
      </w:r>
      <w:r>
        <w:t xml:space="preserve">, 2024, </w:t>
      </w:r>
      <w:r w:rsidRPr="00642E51">
        <w:t>Complementarity reformulations for the optimal design of distributed energy systems with multiphase optimal power flow</w:t>
      </w:r>
      <w:r>
        <w:t xml:space="preserve">, </w:t>
      </w:r>
      <w:r w:rsidRPr="00D93BE3">
        <w:t>International Journal of Electrical Power &amp; Energy Systems</w:t>
      </w:r>
      <w:r>
        <w:t xml:space="preserve">, 155, B, </w:t>
      </w:r>
      <w:r w:rsidRPr="003478F3">
        <w:t>109610</w:t>
      </w:r>
    </w:p>
    <w:p w14:paraId="11A23181" w14:textId="77777777" w:rsidR="00C2460C" w:rsidRDefault="00C2460C" w:rsidP="00C2460C">
      <w:pPr>
        <w:pStyle w:val="Els-referenceno-number"/>
      </w:pPr>
      <w:r w:rsidRPr="00D47996">
        <w:t>S. Frank and S. Rebennack, 2016, An introduction to optimal power flow: Theory, formulation, and examples, 48, 12, 1172-1197</w:t>
      </w:r>
    </w:p>
    <w:p w14:paraId="5599D3FC" w14:textId="06752071" w:rsidR="000C2D00" w:rsidRPr="00D47996" w:rsidRDefault="000C2D00" w:rsidP="000C2D00">
      <w:pPr>
        <w:pStyle w:val="Els-referenceno-number"/>
      </w:pPr>
      <w:r w:rsidRPr="00D47996">
        <w:t>J. Guo, G. Hug and O. K. Tonguz, 2017, A Case for Nonconvex Distributed Optimization in Large-Scale Power Systems, IEEE Transactions on Power Systems, 32, 5, 3842-3851</w:t>
      </w:r>
    </w:p>
    <w:p w14:paraId="636CF7E9" w14:textId="77777777" w:rsidR="00C2460C" w:rsidRPr="00D47996" w:rsidRDefault="00C2460C" w:rsidP="00C2460C">
      <w:pPr>
        <w:pStyle w:val="Els-referenceno-number"/>
      </w:pPr>
      <w:r w:rsidRPr="00D47996">
        <w:t>Gurobi Optimization, LLC, 2023, Gurobi Optimizer Reference Manual</w:t>
      </w:r>
    </w:p>
    <w:p w14:paraId="206EBA71" w14:textId="77777777" w:rsidR="000C2D00" w:rsidRPr="00D47996" w:rsidRDefault="000C2D00" w:rsidP="000C2D00">
      <w:pPr>
        <w:pStyle w:val="Els-referenceno-number"/>
      </w:pPr>
      <w:r w:rsidRPr="00D47996">
        <w:t>M. Lubin, O. Dowson, J. Dias Garcia, J. Huchette, B. Legat and J. P. Vielma, 2023, JuMP 1.0: Recent improvements to a modeling language for mathematical optimization, Mathematical Programming Computation</w:t>
      </w:r>
    </w:p>
    <w:p w14:paraId="4378524C" w14:textId="23123948" w:rsidR="000C2D00" w:rsidRDefault="000C2D00" w:rsidP="000C2D00">
      <w:pPr>
        <w:pStyle w:val="Els-referenceno-number"/>
      </w:pPr>
      <w:r w:rsidRPr="00B52829">
        <w:t>A</w:t>
      </w:r>
      <w:r>
        <w:t>.</w:t>
      </w:r>
      <w:r w:rsidRPr="00B52829">
        <w:t xml:space="preserve"> Maneesha</w:t>
      </w:r>
      <w:r>
        <w:t xml:space="preserve"> and</w:t>
      </w:r>
      <w:r w:rsidRPr="00B52829">
        <w:t xml:space="preserve"> K. S</w:t>
      </w:r>
      <w:r>
        <w:t>.</w:t>
      </w:r>
      <w:r w:rsidRPr="00B52829">
        <w:t xml:space="preserve"> Swarup</w:t>
      </w:r>
      <w:r>
        <w:t xml:space="preserve">, 2021, </w:t>
      </w:r>
      <w:r w:rsidRPr="00C90D80">
        <w:t>A survey on applications of Alternating Direction Method of Multipliers in smart power grids</w:t>
      </w:r>
      <w:r>
        <w:t xml:space="preserve">, </w:t>
      </w:r>
      <w:r w:rsidRPr="00C90D80">
        <w:t>Renewable and Sustainable Energy Reviews</w:t>
      </w:r>
      <w:r>
        <w:t>, 152</w:t>
      </w:r>
      <w:r w:rsidR="003C117F">
        <w:t>,</w:t>
      </w:r>
      <w:r>
        <w:t xml:space="preserve"> </w:t>
      </w:r>
      <w:r w:rsidRPr="00D5260E">
        <w:t>111687</w:t>
      </w:r>
    </w:p>
    <w:p w14:paraId="6446E575" w14:textId="77777777" w:rsidR="000C2D00" w:rsidRDefault="000C2D00" w:rsidP="000C2D00">
      <w:pPr>
        <w:pStyle w:val="Els-referenceno-number"/>
      </w:pPr>
      <w:r w:rsidRPr="00023BBB">
        <w:t>A. Paudel and H. B. Gooi</w:t>
      </w:r>
      <w:r>
        <w:t xml:space="preserve">, 2019, </w:t>
      </w:r>
      <w:r w:rsidRPr="00023BBB">
        <w:t>Pricing in Peer-to-Peer Energy Trading Using Distributed Optimization Approach</w:t>
      </w:r>
      <w:r>
        <w:t xml:space="preserve">, </w:t>
      </w:r>
      <w:r w:rsidRPr="00A41155">
        <w:t>2019 IEEE Power &amp; Energy Society General Meeting (PESGM)</w:t>
      </w:r>
    </w:p>
    <w:p w14:paraId="0F7B3085" w14:textId="205BFF25" w:rsidR="00D64270" w:rsidRPr="00F126F7" w:rsidRDefault="000C2D00" w:rsidP="00612D6A">
      <w:pPr>
        <w:pStyle w:val="Els-referenceno-number"/>
      </w:pPr>
      <w:r w:rsidRPr="00551ED2">
        <w:t>Y. Wang, T. L. Nguyen, C. Ju, Y. Xu, B. Wang and X. Feng</w:t>
      </w:r>
      <w:r>
        <w:t xml:space="preserve">, 2020, </w:t>
      </w:r>
      <w:r w:rsidRPr="0085320A">
        <w:t>A Distributed Secondary-Tertiary Coordinated Control Framework for Islanded Microgrids</w:t>
      </w:r>
      <w:r>
        <w:t xml:space="preserve">, </w:t>
      </w:r>
      <w:r w:rsidRPr="0085320A">
        <w:t>2020 IEEE 18th International Conference on Industrial Informatics (INDIN)</w:t>
      </w:r>
      <w:r>
        <w:t xml:space="preserve">, 1, </w:t>
      </w:r>
      <w:r w:rsidRPr="00574709">
        <w:t>603-608</w:t>
      </w:r>
    </w:p>
    <w:sectPr w:rsidR="00D64270" w:rsidRPr="00F126F7" w:rsidSect="008B0184">
      <w:headerReference w:type="even" r:id="rId14"/>
      <w:headerReference w:type="default" r:id="rId15"/>
      <w:headerReference w:type="first" r:id="rId16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92E2" w14:textId="77777777" w:rsidR="003F221F" w:rsidRDefault="003F221F">
      <w:r>
        <w:separator/>
      </w:r>
    </w:p>
  </w:endnote>
  <w:endnote w:type="continuationSeparator" w:id="0">
    <w:p w14:paraId="52C3F874" w14:textId="77777777" w:rsidR="003F221F" w:rsidRDefault="003F221F">
      <w:r>
        <w:continuationSeparator/>
      </w:r>
    </w:p>
  </w:endnote>
  <w:endnote w:type="continuationNotice" w:id="1">
    <w:p w14:paraId="225327F7" w14:textId="77777777" w:rsidR="003F221F" w:rsidRDefault="003F2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EDA5" w14:textId="77777777" w:rsidR="003F221F" w:rsidRDefault="003F221F">
      <w:r>
        <w:separator/>
      </w:r>
    </w:p>
  </w:footnote>
  <w:footnote w:type="continuationSeparator" w:id="0">
    <w:p w14:paraId="3D8BE5F1" w14:textId="77777777" w:rsidR="003F221F" w:rsidRDefault="003F221F">
      <w:r>
        <w:continuationSeparator/>
      </w:r>
    </w:p>
  </w:footnote>
  <w:footnote w:type="continuationNotice" w:id="1">
    <w:p w14:paraId="348BCC1E" w14:textId="77777777" w:rsidR="003F221F" w:rsidRDefault="003F2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152F5775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3A4665">
      <w:rPr>
        <w:rStyle w:val="PageNumber"/>
        <w:i/>
      </w:rPr>
      <w:t>R. Steven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1B8BFF8A" w:rsidR="00DD3D9E" w:rsidRDefault="00CB049B">
    <w:pPr>
      <w:pStyle w:val="Header"/>
      <w:tabs>
        <w:tab w:val="clear" w:pos="7200"/>
        <w:tab w:val="right" w:pos="7088"/>
      </w:tabs>
      <w:jc w:val="right"/>
      <w:rPr>
        <w:sz w:val="24"/>
      </w:rPr>
    </w:pPr>
    <w:r>
      <w:rPr>
        <w:i/>
      </w:rPr>
      <w:t xml:space="preserve">Solving Combined Sizing and </w:t>
    </w:r>
    <w:r w:rsidR="00EB736D">
      <w:rPr>
        <w:i/>
      </w:rPr>
      <w:t>Dispatch of PV and Battery Storage for a Microgrid using ADMM</w:t>
    </w:r>
    <w:r w:rsidR="00DD3D9E">
      <w:rPr>
        <w:rStyle w:val="PageNumber"/>
        <w:i/>
        <w:sz w:val="24"/>
      </w:rPr>
      <w:tab/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Manenti, Gintaras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3625623"/>
    <w:multiLevelType w:val="hybridMultilevel"/>
    <w:tmpl w:val="7B8E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4BE4"/>
    <w:multiLevelType w:val="hybridMultilevel"/>
    <w:tmpl w:val="5804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4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5" w15:restartNumberingAfterBreak="0">
    <w:nsid w:val="1D533EF9"/>
    <w:multiLevelType w:val="hybridMultilevel"/>
    <w:tmpl w:val="2910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7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9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4D63EA"/>
    <w:multiLevelType w:val="hybridMultilevel"/>
    <w:tmpl w:val="9808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D3AFB"/>
    <w:multiLevelType w:val="hybridMultilevel"/>
    <w:tmpl w:val="C4EA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95518"/>
    <w:multiLevelType w:val="hybridMultilevel"/>
    <w:tmpl w:val="7B6A1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7" w15:restartNumberingAfterBreak="0">
    <w:nsid w:val="55B00545"/>
    <w:multiLevelType w:val="hybridMultilevel"/>
    <w:tmpl w:val="93E2D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F1E5A7F"/>
    <w:multiLevelType w:val="hybridMultilevel"/>
    <w:tmpl w:val="FAF4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D1BF7"/>
    <w:multiLevelType w:val="hybridMultilevel"/>
    <w:tmpl w:val="1BF04A38"/>
    <w:lvl w:ilvl="0" w:tplc="1B2A635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A40E3CD4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99141B"/>
    <w:multiLevelType w:val="hybridMultilevel"/>
    <w:tmpl w:val="EFB0B1AE"/>
    <w:lvl w:ilvl="0" w:tplc="1B2A635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2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8"/>
  </w:num>
  <w:num w:numId="2" w16cid:durableId="47382885">
    <w:abstractNumId w:val="18"/>
  </w:num>
  <w:num w:numId="3" w16cid:durableId="967853731">
    <w:abstractNumId w:val="18"/>
  </w:num>
  <w:num w:numId="4" w16cid:durableId="1739282265">
    <w:abstractNumId w:val="18"/>
  </w:num>
  <w:num w:numId="5" w16cid:durableId="698892343">
    <w:abstractNumId w:val="0"/>
  </w:num>
  <w:num w:numId="6" w16cid:durableId="1660883641">
    <w:abstractNumId w:val="9"/>
  </w:num>
  <w:num w:numId="7" w16cid:durableId="1863349795">
    <w:abstractNumId w:val="19"/>
  </w:num>
  <w:num w:numId="8" w16cid:durableId="1750734252">
    <w:abstractNumId w:val="3"/>
  </w:num>
  <w:num w:numId="9" w16cid:durableId="203061615">
    <w:abstractNumId w:val="16"/>
  </w:num>
  <w:num w:numId="10" w16cid:durableId="1478497114">
    <w:abstractNumId w:val="24"/>
  </w:num>
  <w:num w:numId="11" w16cid:durableId="1896693444">
    <w:abstractNumId w:val="23"/>
  </w:num>
  <w:num w:numId="12" w16cid:durableId="774787662">
    <w:abstractNumId w:val="8"/>
  </w:num>
  <w:num w:numId="13" w16cid:durableId="1525900646">
    <w:abstractNumId w:val="14"/>
  </w:num>
  <w:num w:numId="14" w16cid:durableId="1455515963">
    <w:abstractNumId w:val="4"/>
  </w:num>
  <w:num w:numId="15" w16cid:durableId="446657998">
    <w:abstractNumId w:val="10"/>
  </w:num>
  <w:num w:numId="16" w16cid:durableId="322592235">
    <w:abstractNumId w:val="6"/>
  </w:num>
  <w:num w:numId="17" w16cid:durableId="596719075">
    <w:abstractNumId w:val="7"/>
  </w:num>
  <w:num w:numId="18" w16cid:durableId="886648604">
    <w:abstractNumId w:val="15"/>
  </w:num>
  <w:num w:numId="19" w16cid:durableId="1425220960">
    <w:abstractNumId w:val="1"/>
  </w:num>
  <w:num w:numId="20" w16cid:durableId="264965507">
    <w:abstractNumId w:val="2"/>
  </w:num>
  <w:num w:numId="21" w16cid:durableId="2134210305">
    <w:abstractNumId w:val="11"/>
  </w:num>
  <w:num w:numId="22" w16cid:durableId="570889994">
    <w:abstractNumId w:val="5"/>
  </w:num>
  <w:num w:numId="23" w16cid:durableId="1923906943">
    <w:abstractNumId w:val="17"/>
  </w:num>
  <w:num w:numId="24" w16cid:durableId="1159267184">
    <w:abstractNumId w:val="21"/>
  </w:num>
  <w:num w:numId="25" w16cid:durableId="203493556">
    <w:abstractNumId w:val="22"/>
  </w:num>
  <w:num w:numId="26" w16cid:durableId="1258902474">
    <w:abstractNumId w:val="12"/>
  </w:num>
  <w:num w:numId="27" w16cid:durableId="867917114">
    <w:abstractNumId w:val="13"/>
  </w:num>
  <w:num w:numId="28" w16cid:durableId="6977054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2468"/>
    <w:rsid w:val="00003114"/>
    <w:rsid w:val="00004B09"/>
    <w:rsid w:val="0001698B"/>
    <w:rsid w:val="000205E8"/>
    <w:rsid w:val="0002067A"/>
    <w:rsid w:val="00023BBB"/>
    <w:rsid w:val="000245A5"/>
    <w:rsid w:val="000251EA"/>
    <w:rsid w:val="00025FC7"/>
    <w:rsid w:val="0002754C"/>
    <w:rsid w:val="00027C4F"/>
    <w:rsid w:val="00027E05"/>
    <w:rsid w:val="000318C5"/>
    <w:rsid w:val="00034C87"/>
    <w:rsid w:val="00037A70"/>
    <w:rsid w:val="000404C3"/>
    <w:rsid w:val="000405B4"/>
    <w:rsid w:val="000421CF"/>
    <w:rsid w:val="00046196"/>
    <w:rsid w:val="00050ECE"/>
    <w:rsid w:val="00054955"/>
    <w:rsid w:val="00060635"/>
    <w:rsid w:val="00062530"/>
    <w:rsid w:val="00062B71"/>
    <w:rsid w:val="00063C2E"/>
    <w:rsid w:val="00065097"/>
    <w:rsid w:val="00066B3D"/>
    <w:rsid w:val="000714E6"/>
    <w:rsid w:val="00071EAA"/>
    <w:rsid w:val="000732C8"/>
    <w:rsid w:val="000754B7"/>
    <w:rsid w:val="00075FBF"/>
    <w:rsid w:val="00083F0B"/>
    <w:rsid w:val="000846D0"/>
    <w:rsid w:val="00090295"/>
    <w:rsid w:val="00091C88"/>
    <w:rsid w:val="00093122"/>
    <w:rsid w:val="000946EB"/>
    <w:rsid w:val="000947F8"/>
    <w:rsid w:val="00094A01"/>
    <w:rsid w:val="0009703B"/>
    <w:rsid w:val="000974FA"/>
    <w:rsid w:val="000A132D"/>
    <w:rsid w:val="000A5BDC"/>
    <w:rsid w:val="000A6DA8"/>
    <w:rsid w:val="000A7A71"/>
    <w:rsid w:val="000B4002"/>
    <w:rsid w:val="000B4588"/>
    <w:rsid w:val="000B572A"/>
    <w:rsid w:val="000B62BA"/>
    <w:rsid w:val="000B78D4"/>
    <w:rsid w:val="000B7AAF"/>
    <w:rsid w:val="000C0688"/>
    <w:rsid w:val="000C0B5D"/>
    <w:rsid w:val="000C2D00"/>
    <w:rsid w:val="000C5869"/>
    <w:rsid w:val="000C6E48"/>
    <w:rsid w:val="000D3D9B"/>
    <w:rsid w:val="000D42E5"/>
    <w:rsid w:val="000D5AEE"/>
    <w:rsid w:val="000D645F"/>
    <w:rsid w:val="000E0A5A"/>
    <w:rsid w:val="000E1CD9"/>
    <w:rsid w:val="000E1EBF"/>
    <w:rsid w:val="000E3134"/>
    <w:rsid w:val="000E49B6"/>
    <w:rsid w:val="000E5BAC"/>
    <w:rsid w:val="000E5CDD"/>
    <w:rsid w:val="000E7430"/>
    <w:rsid w:val="000F050F"/>
    <w:rsid w:val="000F181E"/>
    <w:rsid w:val="000F1D0E"/>
    <w:rsid w:val="000F2413"/>
    <w:rsid w:val="000F7B75"/>
    <w:rsid w:val="000F7E3C"/>
    <w:rsid w:val="00102891"/>
    <w:rsid w:val="0010450C"/>
    <w:rsid w:val="001174ED"/>
    <w:rsid w:val="00121617"/>
    <w:rsid w:val="00121D35"/>
    <w:rsid w:val="0012364B"/>
    <w:rsid w:val="00127BFE"/>
    <w:rsid w:val="00133D70"/>
    <w:rsid w:val="001361AD"/>
    <w:rsid w:val="00137C15"/>
    <w:rsid w:val="00141278"/>
    <w:rsid w:val="00141742"/>
    <w:rsid w:val="00145A8B"/>
    <w:rsid w:val="0014731D"/>
    <w:rsid w:val="00147536"/>
    <w:rsid w:val="00153884"/>
    <w:rsid w:val="001600E2"/>
    <w:rsid w:val="00160116"/>
    <w:rsid w:val="0016032F"/>
    <w:rsid w:val="0016147D"/>
    <w:rsid w:val="001621C4"/>
    <w:rsid w:val="00163EB1"/>
    <w:rsid w:val="00166A84"/>
    <w:rsid w:val="00172E81"/>
    <w:rsid w:val="00173B54"/>
    <w:rsid w:val="00175431"/>
    <w:rsid w:val="00176161"/>
    <w:rsid w:val="00185336"/>
    <w:rsid w:val="00185787"/>
    <w:rsid w:val="001858EC"/>
    <w:rsid w:val="001879F6"/>
    <w:rsid w:val="001957C1"/>
    <w:rsid w:val="001A03F4"/>
    <w:rsid w:val="001A0C6D"/>
    <w:rsid w:val="001A0EEF"/>
    <w:rsid w:val="001A1C26"/>
    <w:rsid w:val="001A28CD"/>
    <w:rsid w:val="001A322C"/>
    <w:rsid w:val="001B0450"/>
    <w:rsid w:val="001B0481"/>
    <w:rsid w:val="001B11D7"/>
    <w:rsid w:val="001B2E9F"/>
    <w:rsid w:val="001B3241"/>
    <w:rsid w:val="001B5A08"/>
    <w:rsid w:val="001B67F6"/>
    <w:rsid w:val="001B6A47"/>
    <w:rsid w:val="001C0148"/>
    <w:rsid w:val="001C07BF"/>
    <w:rsid w:val="001C1452"/>
    <w:rsid w:val="001C1561"/>
    <w:rsid w:val="001C1957"/>
    <w:rsid w:val="001C4BBB"/>
    <w:rsid w:val="001C4ECB"/>
    <w:rsid w:val="001C5B64"/>
    <w:rsid w:val="001C757E"/>
    <w:rsid w:val="001D2F9D"/>
    <w:rsid w:val="001D42E4"/>
    <w:rsid w:val="001D60E2"/>
    <w:rsid w:val="001D7616"/>
    <w:rsid w:val="001E00A2"/>
    <w:rsid w:val="001E1CD3"/>
    <w:rsid w:val="001E27E9"/>
    <w:rsid w:val="001E28BF"/>
    <w:rsid w:val="001E3705"/>
    <w:rsid w:val="001E4C53"/>
    <w:rsid w:val="001F21CA"/>
    <w:rsid w:val="001F3D1B"/>
    <w:rsid w:val="001F473E"/>
    <w:rsid w:val="0020045F"/>
    <w:rsid w:val="00200E3F"/>
    <w:rsid w:val="002014D3"/>
    <w:rsid w:val="00202BF5"/>
    <w:rsid w:val="0020390F"/>
    <w:rsid w:val="0020444C"/>
    <w:rsid w:val="0020616C"/>
    <w:rsid w:val="002136C3"/>
    <w:rsid w:val="0021451B"/>
    <w:rsid w:val="002158E6"/>
    <w:rsid w:val="002209FC"/>
    <w:rsid w:val="00220F85"/>
    <w:rsid w:val="00221527"/>
    <w:rsid w:val="00226DB0"/>
    <w:rsid w:val="002332FA"/>
    <w:rsid w:val="0023336D"/>
    <w:rsid w:val="0023372B"/>
    <w:rsid w:val="002339DB"/>
    <w:rsid w:val="00240CE8"/>
    <w:rsid w:val="00241C8F"/>
    <w:rsid w:val="0024481A"/>
    <w:rsid w:val="002455ED"/>
    <w:rsid w:val="00251CA9"/>
    <w:rsid w:val="002538BA"/>
    <w:rsid w:val="00254059"/>
    <w:rsid w:val="00254151"/>
    <w:rsid w:val="00261631"/>
    <w:rsid w:val="0026390D"/>
    <w:rsid w:val="00264926"/>
    <w:rsid w:val="002679CE"/>
    <w:rsid w:val="0027160F"/>
    <w:rsid w:val="00274D31"/>
    <w:rsid w:val="002808B5"/>
    <w:rsid w:val="0028118C"/>
    <w:rsid w:val="00283BB0"/>
    <w:rsid w:val="0028791F"/>
    <w:rsid w:val="002937C7"/>
    <w:rsid w:val="00294A78"/>
    <w:rsid w:val="002973EB"/>
    <w:rsid w:val="0029765E"/>
    <w:rsid w:val="00297E31"/>
    <w:rsid w:val="002A18FC"/>
    <w:rsid w:val="002A234C"/>
    <w:rsid w:val="002B3F6A"/>
    <w:rsid w:val="002B6528"/>
    <w:rsid w:val="002B683D"/>
    <w:rsid w:val="002B6BD7"/>
    <w:rsid w:val="002B713A"/>
    <w:rsid w:val="002C0226"/>
    <w:rsid w:val="002C07B5"/>
    <w:rsid w:val="002C113D"/>
    <w:rsid w:val="002C286D"/>
    <w:rsid w:val="002C600C"/>
    <w:rsid w:val="002C6174"/>
    <w:rsid w:val="002C6F15"/>
    <w:rsid w:val="002D02B9"/>
    <w:rsid w:val="002D039B"/>
    <w:rsid w:val="002D05DE"/>
    <w:rsid w:val="002D065B"/>
    <w:rsid w:val="002D222F"/>
    <w:rsid w:val="002D2427"/>
    <w:rsid w:val="002D3C2A"/>
    <w:rsid w:val="002D73EC"/>
    <w:rsid w:val="002E13D1"/>
    <w:rsid w:val="002E1E04"/>
    <w:rsid w:val="002E4095"/>
    <w:rsid w:val="002E5C17"/>
    <w:rsid w:val="002E6254"/>
    <w:rsid w:val="002E667D"/>
    <w:rsid w:val="002F1D75"/>
    <w:rsid w:val="002F2A20"/>
    <w:rsid w:val="002F3A27"/>
    <w:rsid w:val="002F61CA"/>
    <w:rsid w:val="002F627B"/>
    <w:rsid w:val="002F7378"/>
    <w:rsid w:val="0030138B"/>
    <w:rsid w:val="00302C19"/>
    <w:rsid w:val="00306D8D"/>
    <w:rsid w:val="00307877"/>
    <w:rsid w:val="00311A13"/>
    <w:rsid w:val="00317C52"/>
    <w:rsid w:val="00326345"/>
    <w:rsid w:val="00326C8F"/>
    <w:rsid w:val="0032751F"/>
    <w:rsid w:val="00330195"/>
    <w:rsid w:val="00336F66"/>
    <w:rsid w:val="00340A29"/>
    <w:rsid w:val="00341D03"/>
    <w:rsid w:val="00341DC2"/>
    <w:rsid w:val="003429FF"/>
    <w:rsid w:val="003478F3"/>
    <w:rsid w:val="00351407"/>
    <w:rsid w:val="0035215D"/>
    <w:rsid w:val="003521B5"/>
    <w:rsid w:val="003525AE"/>
    <w:rsid w:val="00357D5A"/>
    <w:rsid w:val="003607F9"/>
    <w:rsid w:val="00361652"/>
    <w:rsid w:val="00363317"/>
    <w:rsid w:val="00364495"/>
    <w:rsid w:val="003644FE"/>
    <w:rsid w:val="0036481B"/>
    <w:rsid w:val="003665C6"/>
    <w:rsid w:val="00367726"/>
    <w:rsid w:val="00371ECB"/>
    <w:rsid w:val="00373045"/>
    <w:rsid w:val="00373BD8"/>
    <w:rsid w:val="00375482"/>
    <w:rsid w:val="00375B86"/>
    <w:rsid w:val="00376E9E"/>
    <w:rsid w:val="003771F8"/>
    <w:rsid w:val="00377675"/>
    <w:rsid w:val="0037772C"/>
    <w:rsid w:val="00377B44"/>
    <w:rsid w:val="00384FE3"/>
    <w:rsid w:val="003878CB"/>
    <w:rsid w:val="00387DFB"/>
    <w:rsid w:val="00392A40"/>
    <w:rsid w:val="003934F6"/>
    <w:rsid w:val="00393504"/>
    <w:rsid w:val="003937BD"/>
    <w:rsid w:val="00394FA9"/>
    <w:rsid w:val="003A0B03"/>
    <w:rsid w:val="003A4665"/>
    <w:rsid w:val="003A4879"/>
    <w:rsid w:val="003A4A93"/>
    <w:rsid w:val="003A5957"/>
    <w:rsid w:val="003B023D"/>
    <w:rsid w:val="003B1C27"/>
    <w:rsid w:val="003B2B3F"/>
    <w:rsid w:val="003B2E72"/>
    <w:rsid w:val="003B4676"/>
    <w:rsid w:val="003C117F"/>
    <w:rsid w:val="003C2ACB"/>
    <w:rsid w:val="003C6F2B"/>
    <w:rsid w:val="003D1582"/>
    <w:rsid w:val="003D2BD3"/>
    <w:rsid w:val="003D2C14"/>
    <w:rsid w:val="003D2D98"/>
    <w:rsid w:val="003D7D60"/>
    <w:rsid w:val="003D7E4C"/>
    <w:rsid w:val="003E0074"/>
    <w:rsid w:val="003E104E"/>
    <w:rsid w:val="003E2F90"/>
    <w:rsid w:val="003E358A"/>
    <w:rsid w:val="003E41C2"/>
    <w:rsid w:val="003E5071"/>
    <w:rsid w:val="003E6D22"/>
    <w:rsid w:val="003E708A"/>
    <w:rsid w:val="003F0BA8"/>
    <w:rsid w:val="003F1D75"/>
    <w:rsid w:val="003F1DD2"/>
    <w:rsid w:val="003F221F"/>
    <w:rsid w:val="003F7E7D"/>
    <w:rsid w:val="004027CE"/>
    <w:rsid w:val="00402D8A"/>
    <w:rsid w:val="00404687"/>
    <w:rsid w:val="00404D95"/>
    <w:rsid w:val="004058C7"/>
    <w:rsid w:val="004102FE"/>
    <w:rsid w:val="00410841"/>
    <w:rsid w:val="00420745"/>
    <w:rsid w:val="004233AF"/>
    <w:rsid w:val="004325AD"/>
    <w:rsid w:val="00433F65"/>
    <w:rsid w:val="00434FBA"/>
    <w:rsid w:val="00435F2C"/>
    <w:rsid w:val="0043646A"/>
    <w:rsid w:val="00437596"/>
    <w:rsid w:val="004403E3"/>
    <w:rsid w:val="0044195E"/>
    <w:rsid w:val="0044510C"/>
    <w:rsid w:val="00445341"/>
    <w:rsid w:val="004455AD"/>
    <w:rsid w:val="0044678F"/>
    <w:rsid w:val="00457209"/>
    <w:rsid w:val="00462475"/>
    <w:rsid w:val="0047038E"/>
    <w:rsid w:val="00471CC1"/>
    <w:rsid w:val="0047353B"/>
    <w:rsid w:val="00474185"/>
    <w:rsid w:val="00474844"/>
    <w:rsid w:val="004758EB"/>
    <w:rsid w:val="004811B4"/>
    <w:rsid w:val="00483602"/>
    <w:rsid w:val="00484341"/>
    <w:rsid w:val="00485E2F"/>
    <w:rsid w:val="00486DEA"/>
    <w:rsid w:val="00487643"/>
    <w:rsid w:val="00492363"/>
    <w:rsid w:val="00494C6A"/>
    <w:rsid w:val="0049772C"/>
    <w:rsid w:val="004A067F"/>
    <w:rsid w:val="004A1DBC"/>
    <w:rsid w:val="004A7CAC"/>
    <w:rsid w:val="004B06E8"/>
    <w:rsid w:val="004B4EF6"/>
    <w:rsid w:val="004B59F6"/>
    <w:rsid w:val="004B7017"/>
    <w:rsid w:val="004C055E"/>
    <w:rsid w:val="004C3446"/>
    <w:rsid w:val="004C671E"/>
    <w:rsid w:val="004C7FBE"/>
    <w:rsid w:val="004D1AAF"/>
    <w:rsid w:val="004D284E"/>
    <w:rsid w:val="004D498B"/>
    <w:rsid w:val="004D49A0"/>
    <w:rsid w:val="004D673C"/>
    <w:rsid w:val="004D73E8"/>
    <w:rsid w:val="004E3151"/>
    <w:rsid w:val="004E32C2"/>
    <w:rsid w:val="004E3664"/>
    <w:rsid w:val="004E3B2A"/>
    <w:rsid w:val="004E4690"/>
    <w:rsid w:val="004E4D2E"/>
    <w:rsid w:val="004F34D2"/>
    <w:rsid w:val="004F6FA6"/>
    <w:rsid w:val="00500D75"/>
    <w:rsid w:val="00502772"/>
    <w:rsid w:val="00502956"/>
    <w:rsid w:val="00502DFE"/>
    <w:rsid w:val="005134CD"/>
    <w:rsid w:val="00514594"/>
    <w:rsid w:val="005147BA"/>
    <w:rsid w:val="00514DE8"/>
    <w:rsid w:val="00520179"/>
    <w:rsid w:val="00523559"/>
    <w:rsid w:val="0052715F"/>
    <w:rsid w:val="0053344A"/>
    <w:rsid w:val="00534834"/>
    <w:rsid w:val="00534DAC"/>
    <w:rsid w:val="00535A79"/>
    <w:rsid w:val="005412A9"/>
    <w:rsid w:val="00546EFA"/>
    <w:rsid w:val="00551ED2"/>
    <w:rsid w:val="005525B9"/>
    <w:rsid w:val="00552EEB"/>
    <w:rsid w:val="00557EBC"/>
    <w:rsid w:val="005602E9"/>
    <w:rsid w:val="00560FC8"/>
    <w:rsid w:val="005674FD"/>
    <w:rsid w:val="005729A0"/>
    <w:rsid w:val="005746AE"/>
    <w:rsid w:val="00574709"/>
    <w:rsid w:val="00574DCE"/>
    <w:rsid w:val="00575F70"/>
    <w:rsid w:val="00577B47"/>
    <w:rsid w:val="00585B95"/>
    <w:rsid w:val="005863BF"/>
    <w:rsid w:val="00592F39"/>
    <w:rsid w:val="00594731"/>
    <w:rsid w:val="005A007B"/>
    <w:rsid w:val="005A0439"/>
    <w:rsid w:val="005A1F0B"/>
    <w:rsid w:val="005A2796"/>
    <w:rsid w:val="005A3FD2"/>
    <w:rsid w:val="005A7520"/>
    <w:rsid w:val="005A7DD0"/>
    <w:rsid w:val="005B25B1"/>
    <w:rsid w:val="005B372B"/>
    <w:rsid w:val="005B44B6"/>
    <w:rsid w:val="005C0747"/>
    <w:rsid w:val="005C1346"/>
    <w:rsid w:val="005C2275"/>
    <w:rsid w:val="005C279A"/>
    <w:rsid w:val="005C291E"/>
    <w:rsid w:val="005C3E2A"/>
    <w:rsid w:val="005C437C"/>
    <w:rsid w:val="005C4EEC"/>
    <w:rsid w:val="005C648A"/>
    <w:rsid w:val="005C71AB"/>
    <w:rsid w:val="005D141F"/>
    <w:rsid w:val="005D2E2F"/>
    <w:rsid w:val="005D42FD"/>
    <w:rsid w:val="005D5CD8"/>
    <w:rsid w:val="005D6F26"/>
    <w:rsid w:val="005E01D3"/>
    <w:rsid w:val="005E13A7"/>
    <w:rsid w:val="005E1434"/>
    <w:rsid w:val="005E3F21"/>
    <w:rsid w:val="005F1B3C"/>
    <w:rsid w:val="005F617D"/>
    <w:rsid w:val="005F7B8F"/>
    <w:rsid w:val="006016AA"/>
    <w:rsid w:val="006025F5"/>
    <w:rsid w:val="006027AA"/>
    <w:rsid w:val="006043F4"/>
    <w:rsid w:val="006066F9"/>
    <w:rsid w:val="00607B4C"/>
    <w:rsid w:val="00612605"/>
    <w:rsid w:val="00612D6A"/>
    <w:rsid w:val="00612FF1"/>
    <w:rsid w:val="00613604"/>
    <w:rsid w:val="00613FF0"/>
    <w:rsid w:val="006147AE"/>
    <w:rsid w:val="006151B3"/>
    <w:rsid w:val="00617381"/>
    <w:rsid w:val="00621273"/>
    <w:rsid w:val="00621777"/>
    <w:rsid w:val="00622137"/>
    <w:rsid w:val="006239C7"/>
    <w:rsid w:val="0062567A"/>
    <w:rsid w:val="006268A7"/>
    <w:rsid w:val="00626B37"/>
    <w:rsid w:val="00627FDB"/>
    <w:rsid w:val="00630C94"/>
    <w:rsid w:val="00632970"/>
    <w:rsid w:val="0063466E"/>
    <w:rsid w:val="00635FD7"/>
    <w:rsid w:val="0063725B"/>
    <w:rsid w:val="00642E51"/>
    <w:rsid w:val="006442E9"/>
    <w:rsid w:val="00644EE1"/>
    <w:rsid w:val="00656DDF"/>
    <w:rsid w:val="00661862"/>
    <w:rsid w:val="00661E7A"/>
    <w:rsid w:val="006653DC"/>
    <w:rsid w:val="006700F5"/>
    <w:rsid w:val="00673282"/>
    <w:rsid w:val="00674F82"/>
    <w:rsid w:val="00677EFA"/>
    <w:rsid w:val="00680B11"/>
    <w:rsid w:val="00687416"/>
    <w:rsid w:val="00692724"/>
    <w:rsid w:val="0069464C"/>
    <w:rsid w:val="006A0153"/>
    <w:rsid w:val="006A06EB"/>
    <w:rsid w:val="006A3024"/>
    <w:rsid w:val="006A69BF"/>
    <w:rsid w:val="006A7740"/>
    <w:rsid w:val="006B1C4D"/>
    <w:rsid w:val="006C0939"/>
    <w:rsid w:val="006C7213"/>
    <w:rsid w:val="006C7EEA"/>
    <w:rsid w:val="006D21A3"/>
    <w:rsid w:val="006D565A"/>
    <w:rsid w:val="006D6BB0"/>
    <w:rsid w:val="006E0377"/>
    <w:rsid w:val="006E1F2E"/>
    <w:rsid w:val="006E2C2E"/>
    <w:rsid w:val="006E3D30"/>
    <w:rsid w:val="006E3D61"/>
    <w:rsid w:val="006E4A7B"/>
    <w:rsid w:val="006E66DA"/>
    <w:rsid w:val="006F53C1"/>
    <w:rsid w:val="006F5435"/>
    <w:rsid w:val="0070376D"/>
    <w:rsid w:val="00705875"/>
    <w:rsid w:val="00710D3F"/>
    <w:rsid w:val="00711DF4"/>
    <w:rsid w:val="00713B1A"/>
    <w:rsid w:val="00720F57"/>
    <w:rsid w:val="0072164A"/>
    <w:rsid w:val="00723982"/>
    <w:rsid w:val="00723CDA"/>
    <w:rsid w:val="00724AB5"/>
    <w:rsid w:val="0073504E"/>
    <w:rsid w:val="00736205"/>
    <w:rsid w:val="007372B0"/>
    <w:rsid w:val="007379C7"/>
    <w:rsid w:val="00740EE1"/>
    <w:rsid w:val="00741BA3"/>
    <w:rsid w:val="00746E14"/>
    <w:rsid w:val="00747885"/>
    <w:rsid w:val="00747EAA"/>
    <w:rsid w:val="00750884"/>
    <w:rsid w:val="00751011"/>
    <w:rsid w:val="007512D1"/>
    <w:rsid w:val="00753E6E"/>
    <w:rsid w:val="00754626"/>
    <w:rsid w:val="00754829"/>
    <w:rsid w:val="00760D27"/>
    <w:rsid w:val="007671A8"/>
    <w:rsid w:val="007719F5"/>
    <w:rsid w:val="00773D6C"/>
    <w:rsid w:val="0078092F"/>
    <w:rsid w:val="00780BDC"/>
    <w:rsid w:val="007823FC"/>
    <w:rsid w:val="00791D6B"/>
    <w:rsid w:val="00794E84"/>
    <w:rsid w:val="007960FF"/>
    <w:rsid w:val="00797E1A"/>
    <w:rsid w:val="007A17B7"/>
    <w:rsid w:val="007A2176"/>
    <w:rsid w:val="007A3632"/>
    <w:rsid w:val="007A38AB"/>
    <w:rsid w:val="007A4D38"/>
    <w:rsid w:val="007A531B"/>
    <w:rsid w:val="007A63D1"/>
    <w:rsid w:val="007A7538"/>
    <w:rsid w:val="007A7B2A"/>
    <w:rsid w:val="007B389E"/>
    <w:rsid w:val="007B38CB"/>
    <w:rsid w:val="007B3938"/>
    <w:rsid w:val="007B3B14"/>
    <w:rsid w:val="007B487A"/>
    <w:rsid w:val="007C0101"/>
    <w:rsid w:val="007C0538"/>
    <w:rsid w:val="007C6D16"/>
    <w:rsid w:val="007C79AC"/>
    <w:rsid w:val="007D2F32"/>
    <w:rsid w:val="007D3B71"/>
    <w:rsid w:val="007D57E0"/>
    <w:rsid w:val="007D697D"/>
    <w:rsid w:val="007D70A1"/>
    <w:rsid w:val="007D7A78"/>
    <w:rsid w:val="007E0A8F"/>
    <w:rsid w:val="007E0E95"/>
    <w:rsid w:val="007E1D28"/>
    <w:rsid w:val="007E2D41"/>
    <w:rsid w:val="007E448E"/>
    <w:rsid w:val="007E5243"/>
    <w:rsid w:val="007E5B7E"/>
    <w:rsid w:val="007E6661"/>
    <w:rsid w:val="007E6F0F"/>
    <w:rsid w:val="007E771D"/>
    <w:rsid w:val="007F079B"/>
    <w:rsid w:val="007F1A79"/>
    <w:rsid w:val="007F5C53"/>
    <w:rsid w:val="0080258F"/>
    <w:rsid w:val="00810DE4"/>
    <w:rsid w:val="00810FFC"/>
    <w:rsid w:val="00811AE8"/>
    <w:rsid w:val="008132E8"/>
    <w:rsid w:val="00813741"/>
    <w:rsid w:val="00814EC3"/>
    <w:rsid w:val="00815467"/>
    <w:rsid w:val="008229AD"/>
    <w:rsid w:val="00823407"/>
    <w:rsid w:val="00823810"/>
    <w:rsid w:val="008269A6"/>
    <w:rsid w:val="00827DF3"/>
    <w:rsid w:val="008300D8"/>
    <w:rsid w:val="0083213F"/>
    <w:rsid w:val="00832631"/>
    <w:rsid w:val="00832BB1"/>
    <w:rsid w:val="0083321B"/>
    <w:rsid w:val="00836761"/>
    <w:rsid w:val="0084060F"/>
    <w:rsid w:val="00840BB6"/>
    <w:rsid w:val="008461ED"/>
    <w:rsid w:val="00847326"/>
    <w:rsid w:val="0085320A"/>
    <w:rsid w:val="0085376F"/>
    <w:rsid w:val="00857CB9"/>
    <w:rsid w:val="00861B6B"/>
    <w:rsid w:val="00861C64"/>
    <w:rsid w:val="00861D47"/>
    <w:rsid w:val="00866CBC"/>
    <w:rsid w:val="0087074A"/>
    <w:rsid w:val="008804CF"/>
    <w:rsid w:val="00882CA8"/>
    <w:rsid w:val="00883819"/>
    <w:rsid w:val="008861EC"/>
    <w:rsid w:val="00886CB8"/>
    <w:rsid w:val="00887F56"/>
    <w:rsid w:val="00896E97"/>
    <w:rsid w:val="0089717F"/>
    <w:rsid w:val="008A21D6"/>
    <w:rsid w:val="008A2694"/>
    <w:rsid w:val="008A6C96"/>
    <w:rsid w:val="008A74C0"/>
    <w:rsid w:val="008A792B"/>
    <w:rsid w:val="008B0184"/>
    <w:rsid w:val="008B2BBF"/>
    <w:rsid w:val="008B3E3A"/>
    <w:rsid w:val="008B4A40"/>
    <w:rsid w:val="008C17CC"/>
    <w:rsid w:val="008C5D02"/>
    <w:rsid w:val="008C5EE3"/>
    <w:rsid w:val="008C67EA"/>
    <w:rsid w:val="008D016B"/>
    <w:rsid w:val="008D2649"/>
    <w:rsid w:val="008D75A2"/>
    <w:rsid w:val="008E0F97"/>
    <w:rsid w:val="008E2A0A"/>
    <w:rsid w:val="008E6DAF"/>
    <w:rsid w:val="00904B4D"/>
    <w:rsid w:val="00904CB0"/>
    <w:rsid w:val="00905449"/>
    <w:rsid w:val="0090568D"/>
    <w:rsid w:val="00907437"/>
    <w:rsid w:val="009101B8"/>
    <w:rsid w:val="00911268"/>
    <w:rsid w:val="009125C9"/>
    <w:rsid w:val="00913879"/>
    <w:rsid w:val="00913E0D"/>
    <w:rsid w:val="009148F1"/>
    <w:rsid w:val="00917661"/>
    <w:rsid w:val="009201B6"/>
    <w:rsid w:val="009208B4"/>
    <w:rsid w:val="0092411E"/>
    <w:rsid w:val="00924A5F"/>
    <w:rsid w:val="0092782D"/>
    <w:rsid w:val="00931626"/>
    <w:rsid w:val="009348FA"/>
    <w:rsid w:val="0093664B"/>
    <w:rsid w:val="00936777"/>
    <w:rsid w:val="00940BAE"/>
    <w:rsid w:val="009430E8"/>
    <w:rsid w:val="00946351"/>
    <w:rsid w:val="00947DD5"/>
    <w:rsid w:val="00950EA2"/>
    <w:rsid w:val="0095548C"/>
    <w:rsid w:val="00955A8F"/>
    <w:rsid w:val="00956CCB"/>
    <w:rsid w:val="00956EDE"/>
    <w:rsid w:val="00961D57"/>
    <w:rsid w:val="00962249"/>
    <w:rsid w:val="009637A3"/>
    <w:rsid w:val="00964B8B"/>
    <w:rsid w:val="00965727"/>
    <w:rsid w:val="00970E5D"/>
    <w:rsid w:val="00973EDF"/>
    <w:rsid w:val="009746E7"/>
    <w:rsid w:val="009764FE"/>
    <w:rsid w:val="00976D15"/>
    <w:rsid w:val="0097701C"/>
    <w:rsid w:val="00980A65"/>
    <w:rsid w:val="00985A6F"/>
    <w:rsid w:val="00987E5D"/>
    <w:rsid w:val="00992C6E"/>
    <w:rsid w:val="00993495"/>
    <w:rsid w:val="00995652"/>
    <w:rsid w:val="009971CD"/>
    <w:rsid w:val="009A0825"/>
    <w:rsid w:val="009A2D9D"/>
    <w:rsid w:val="009A4063"/>
    <w:rsid w:val="009B2172"/>
    <w:rsid w:val="009B2C82"/>
    <w:rsid w:val="009B45CF"/>
    <w:rsid w:val="009B54F4"/>
    <w:rsid w:val="009B5808"/>
    <w:rsid w:val="009C141A"/>
    <w:rsid w:val="009C4281"/>
    <w:rsid w:val="009D3AEB"/>
    <w:rsid w:val="009D3D1E"/>
    <w:rsid w:val="009E1FE6"/>
    <w:rsid w:val="009E3A82"/>
    <w:rsid w:val="009E61C0"/>
    <w:rsid w:val="009E69A8"/>
    <w:rsid w:val="009F1624"/>
    <w:rsid w:val="009F3793"/>
    <w:rsid w:val="009F6A28"/>
    <w:rsid w:val="00A016D0"/>
    <w:rsid w:val="00A0367B"/>
    <w:rsid w:val="00A039F4"/>
    <w:rsid w:val="00A03D9F"/>
    <w:rsid w:val="00A04CAC"/>
    <w:rsid w:val="00A055F0"/>
    <w:rsid w:val="00A11FCE"/>
    <w:rsid w:val="00A17644"/>
    <w:rsid w:val="00A21668"/>
    <w:rsid w:val="00A21CA7"/>
    <w:rsid w:val="00A224AF"/>
    <w:rsid w:val="00A256E9"/>
    <w:rsid w:val="00A25E70"/>
    <w:rsid w:val="00A3194C"/>
    <w:rsid w:val="00A33765"/>
    <w:rsid w:val="00A33877"/>
    <w:rsid w:val="00A34817"/>
    <w:rsid w:val="00A41155"/>
    <w:rsid w:val="00A42427"/>
    <w:rsid w:val="00A43770"/>
    <w:rsid w:val="00A51DC7"/>
    <w:rsid w:val="00A5373D"/>
    <w:rsid w:val="00A5416F"/>
    <w:rsid w:val="00A541AD"/>
    <w:rsid w:val="00A54509"/>
    <w:rsid w:val="00A55047"/>
    <w:rsid w:val="00A57748"/>
    <w:rsid w:val="00A63269"/>
    <w:rsid w:val="00A64892"/>
    <w:rsid w:val="00A66C72"/>
    <w:rsid w:val="00A70B5C"/>
    <w:rsid w:val="00A71257"/>
    <w:rsid w:val="00A72824"/>
    <w:rsid w:val="00A72D59"/>
    <w:rsid w:val="00A7316A"/>
    <w:rsid w:val="00A73E1C"/>
    <w:rsid w:val="00A742A4"/>
    <w:rsid w:val="00A7482E"/>
    <w:rsid w:val="00A776DB"/>
    <w:rsid w:val="00A803B0"/>
    <w:rsid w:val="00A819FF"/>
    <w:rsid w:val="00A834DE"/>
    <w:rsid w:val="00A865E0"/>
    <w:rsid w:val="00A9045B"/>
    <w:rsid w:val="00A90AD4"/>
    <w:rsid w:val="00A90DA2"/>
    <w:rsid w:val="00A92377"/>
    <w:rsid w:val="00A938BC"/>
    <w:rsid w:val="00A97D3F"/>
    <w:rsid w:val="00AA0F58"/>
    <w:rsid w:val="00AA2915"/>
    <w:rsid w:val="00AA2FC4"/>
    <w:rsid w:val="00AA3971"/>
    <w:rsid w:val="00AA47AA"/>
    <w:rsid w:val="00AA7056"/>
    <w:rsid w:val="00AB1358"/>
    <w:rsid w:val="00AB23D8"/>
    <w:rsid w:val="00AB28EB"/>
    <w:rsid w:val="00AB29ED"/>
    <w:rsid w:val="00AB6107"/>
    <w:rsid w:val="00AC3C71"/>
    <w:rsid w:val="00AC49C4"/>
    <w:rsid w:val="00AC69EC"/>
    <w:rsid w:val="00AD1619"/>
    <w:rsid w:val="00AD450C"/>
    <w:rsid w:val="00AD6877"/>
    <w:rsid w:val="00AE181A"/>
    <w:rsid w:val="00AE4BD8"/>
    <w:rsid w:val="00AE5184"/>
    <w:rsid w:val="00AE65FD"/>
    <w:rsid w:val="00AE764E"/>
    <w:rsid w:val="00AF1B58"/>
    <w:rsid w:val="00AF35A2"/>
    <w:rsid w:val="00AF3BEB"/>
    <w:rsid w:val="00AF6134"/>
    <w:rsid w:val="00AF6E0C"/>
    <w:rsid w:val="00B01312"/>
    <w:rsid w:val="00B04927"/>
    <w:rsid w:val="00B04E17"/>
    <w:rsid w:val="00B07E28"/>
    <w:rsid w:val="00B10C61"/>
    <w:rsid w:val="00B116BB"/>
    <w:rsid w:val="00B1389E"/>
    <w:rsid w:val="00B22A5C"/>
    <w:rsid w:val="00B22B02"/>
    <w:rsid w:val="00B23B3A"/>
    <w:rsid w:val="00B3181D"/>
    <w:rsid w:val="00B35D61"/>
    <w:rsid w:val="00B37D57"/>
    <w:rsid w:val="00B421EC"/>
    <w:rsid w:val="00B429B0"/>
    <w:rsid w:val="00B4388F"/>
    <w:rsid w:val="00B47C2E"/>
    <w:rsid w:val="00B51182"/>
    <w:rsid w:val="00B51811"/>
    <w:rsid w:val="00B5244C"/>
    <w:rsid w:val="00B52829"/>
    <w:rsid w:val="00B61932"/>
    <w:rsid w:val="00B63237"/>
    <w:rsid w:val="00B639D7"/>
    <w:rsid w:val="00B6662F"/>
    <w:rsid w:val="00B66D2A"/>
    <w:rsid w:val="00B673C8"/>
    <w:rsid w:val="00B725E0"/>
    <w:rsid w:val="00B74018"/>
    <w:rsid w:val="00B76075"/>
    <w:rsid w:val="00B76B7E"/>
    <w:rsid w:val="00B82601"/>
    <w:rsid w:val="00B827AF"/>
    <w:rsid w:val="00B82B33"/>
    <w:rsid w:val="00B84EE7"/>
    <w:rsid w:val="00B876AF"/>
    <w:rsid w:val="00B906B2"/>
    <w:rsid w:val="00B92149"/>
    <w:rsid w:val="00B93120"/>
    <w:rsid w:val="00B96276"/>
    <w:rsid w:val="00B96622"/>
    <w:rsid w:val="00BA0BA2"/>
    <w:rsid w:val="00BA14B4"/>
    <w:rsid w:val="00BA396A"/>
    <w:rsid w:val="00BA3C13"/>
    <w:rsid w:val="00BA6C8F"/>
    <w:rsid w:val="00BA7DBE"/>
    <w:rsid w:val="00BB1983"/>
    <w:rsid w:val="00BB239E"/>
    <w:rsid w:val="00BB29BD"/>
    <w:rsid w:val="00BB335D"/>
    <w:rsid w:val="00BB509A"/>
    <w:rsid w:val="00BB5FA1"/>
    <w:rsid w:val="00BC1D48"/>
    <w:rsid w:val="00BC5A9B"/>
    <w:rsid w:val="00BC6287"/>
    <w:rsid w:val="00BC701E"/>
    <w:rsid w:val="00BC764E"/>
    <w:rsid w:val="00BC76B2"/>
    <w:rsid w:val="00BD55A2"/>
    <w:rsid w:val="00BD57E0"/>
    <w:rsid w:val="00BD7287"/>
    <w:rsid w:val="00BD7A91"/>
    <w:rsid w:val="00BE086A"/>
    <w:rsid w:val="00BE12AA"/>
    <w:rsid w:val="00BE2A86"/>
    <w:rsid w:val="00BE451C"/>
    <w:rsid w:val="00BE6605"/>
    <w:rsid w:val="00BF5130"/>
    <w:rsid w:val="00C023B5"/>
    <w:rsid w:val="00C02FDF"/>
    <w:rsid w:val="00C0619A"/>
    <w:rsid w:val="00C061BC"/>
    <w:rsid w:val="00C062C0"/>
    <w:rsid w:val="00C06EE1"/>
    <w:rsid w:val="00C144CB"/>
    <w:rsid w:val="00C17375"/>
    <w:rsid w:val="00C20E8C"/>
    <w:rsid w:val="00C21B69"/>
    <w:rsid w:val="00C2460C"/>
    <w:rsid w:val="00C263E2"/>
    <w:rsid w:val="00C278BA"/>
    <w:rsid w:val="00C35EE4"/>
    <w:rsid w:val="00C35FF5"/>
    <w:rsid w:val="00C37771"/>
    <w:rsid w:val="00C3795E"/>
    <w:rsid w:val="00C4003A"/>
    <w:rsid w:val="00C40AD4"/>
    <w:rsid w:val="00C41B15"/>
    <w:rsid w:val="00C423F0"/>
    <w:rsid w:val="00C44D83"/>
    <w:rsid w:val="00C4570A"/>
    <w:rsid w:val="00C46F13"/>
    <w:rsid w:val="00C47F44"/>
    <w:rsid w:val="00C52CB8"/>
    <w:rsid w:val="00C534C6"/>
    <w:rsid w:val="00C61443"/>
    <w:rsid w:val="00C615D2"/>
    <w:rsid w:val="00C63B66"/>
    <w:rsid w:val="00C66C93"/>
    <w:rsid w:val="00C72380"/>
    <w:rsid w:val="00C727AC"/>
    <w:rsid w:val="00C77A4C"/>
    <w:rsid w:val="00C836A8"/>
    <w:rsid w:val="00C83F49"/>
    <w:rsid w:val="00C84416"/>
    <w:rsid w:val="00C85176"/>
    <w:rsid w:val="00C85405"/>
    <w:rsid w:val="00C90D80"/>
    <w:rsid w:val="00C911AD"/>
    <w:rsid w:val="00C95A68"/>
    <w:rsid w:val="00C95D29"/>
    <w:rsid w:val="00C960DC"/>
    <w:rsid w:val="00C97A98"/>
    <w:rsid w:val="00CA02B5"/>
    <w:rsid w:val="00CA5489"/>
    <w:rsid w:val="00CA6018"/>
    <w:rsid w:val="00CB049B"/>
    <w:rsid w:val="00CB565A"/>
    <w:rsid w:val="00CB7819"/>
    <w:rsid w:val="00CC0DC7"/>
    <w:rsid w:val="00CC259C"/>
    <w:rsid w:val="00CC2B31"/>
    <w:rsid w:val="00CC39DA"/>
    <w:rsid w:val="00CC4B1F"/>
    <w:rsid w:val="00CC604F"/>
    <w:rsid w:val="00CC6C0B"/>
    <w:rsid w:val="00CC7B73"/>
    <w:rsid w:val="00CD0438"/>
    <w:rsid w:val="00CD2FEA"/>
    <w:rsid w:val="00CD7F22"/>
    <w:rsid w:val="00CE52D6"/>
    <w:rsid w:val="00CE5541"/>
    <w:rsid w:val="00CE5959"/>
    <w:rsid w:val="00CE6834"/>
    <w:rsid w:val="00CF1860"/>
    <w:rsid w:val="00CF4C14"/>
    <w:rsid w:val="00CF60EA"/>
    <w:rsid w:val="00D0149B"/>
    <w:rsid w:val="00D02BB5"/>
    <w:rsid w:val="00D02C75"/>
    <w:rsid w:val="00D057D9"/>
    <w:rsid w:val="00D07918"/>
    <w:rsid w:val="00D07E42"/>
    <w:rsid w:val="00D07E8D"/>
    <w:rsid w:val="00D101E9"/>
    <w:rsid w:val="00D10E22"/>
    <w:rsid w:val="00D13CB2"/>
    <w:rsid w:val="00D13D2C"/>
    <w:rsid w:val="00D14FE9"/>
    <w:rsid w:val="00D16CE8"/>
    <w:rsid w:val="00D17AF5"/>
    <w:rsid w:val="00D20B0B"/>
    <w:rsid w:val="00D21664"/>
    <w:rsid w:val="00D23BD0"/>
    <w:rsid w:val="00D33DEB"/>
    <w:rsid w:val="00D40469"/>
    <w:rsid w:val="00D408F2"/>
    <w:rsid w:val="00D425BE"/>
    <w:rsid w:val="00D43174"/>
    <w:rsid w:val="00D443EA"/>
    <w:rsid w:val="00D5260E"/>
    <w:rsid w:val="00D55B26"/>
    <w:rsid w:val="00D569F6"/>
    <w:rsid w:val="00D61EE6"/>
    <w:rsid w:val="00D64270"/>
    <w:rsid w:val="00D651CB"/>
    <w:rsid w:val="00D66553"/>
    <w:rsid w:val="00D703F6"/>
    <w:rsid w:val="00D740ED"/>
    <w:rsid w:val="00D742BD"/>
    <w:rsid w:val="00D759A4"/>
    <w:rsid w:val="00D86E2A"/>
    <w:rsid w:val="00D9198D"/>
    <w:rsid w:val="00D92196"/>
    <w:rsid w:val="00D92F61"/>
    <w:rsid w:val="00D93B3F"/>
    <w:rsid w:val="00D93BE3"/>
    <w:rsid w:val="00D94E28"/>
    <w:rsid w:val="00D955C1"/>
    <w:rsid w:val="00D96DB4"/>
    <w:rsid w:val="00D9744B"/>
    <w:rsid w:val="00D97E43"/>
    <w:rsid w:val="00DA3B1A"/>
    <w:rsid w:val="00DA53F6"/>
    <w:rsid w:val="00DA582B"/>
    <w:rsid w:val="00DA5BC8"/>
    <w:rsid w:val="00DA6AE0"/>
    <w:rsid w:val="00DB0FF7"/>
    <w:rsid w:val="00DB228E"/>
    <w:rsid w:val="00DB3174"/>
    <w:rsid w:val="00DB5958"/>
    <w:rsid w:val="00DC1C09"/>
    <w:rsid w:val="00DC2F94"/>
    <w:rsid w:val="00DC4262"/>
    <w:rsid w:val="00DD016C"/>
    <w:rsid w:val="00DD2927"/>
    <w:rsid w:val="00DD3D9E"/>
    <w:rsid w:val="00DD7908"/>
    <w:rsid w:val="00DE35C9"/>
    <w:rsid w:val="00DE65DA"/>
    <w:rsid w:val="00DF155F"/>
    <w:rsid w:val="00DF1731"/>
    <w:rsid w:val="00DF1F74"/>
    <w:rsid w:val="00DF2502"/>
    <w:rsid w:val="00DF2CA1"/>
    <w:rsid w:val="00DF3F0A"/>
    <w:rsid w:val="00DF4CBA"/>
    <w:rsid w:val="00E00A1D"/>
    <w:rsid w:val="00E040FC"/>
    <w:rsid w:val="00E102A2"/>
    <w:rsid w:val="00E15B49"/>
    <w:rsid w:val="00E15D11"/>
    <w:rsid w:val="00E208B6"/>
    <w:rsid w:val="00E2554D"/>
    <w:rsid w:val="00E25D8A"/>
    <w:rsid w:val="00E30626"/>
    <w:rsid w:val="00E41A63"/>
    <w:rsid w:val="00E41D8F"/>
    <w:rsid w:val="00E4350C"/>
    <w:rsid w:val="00E43CCD"/>
    <w:rsid w:val="00E469C8"/>
    <w:rsid w:val="00E4760A"/>
    <w:rsid w:val="00E51BAB"/>
    <w:rsid w:val="00E52FD7"/>
    <w:rsid w:val="00E53134"/>
    <w:rsid w:val="00E53BB9"/>
    <w:rsid w:val="00E579A6"/>
    <w:rsid w:val="00E62AE0"/>
    <w:rsid w:val="00E67954"/>
    <w:rsid w:val="00E75A0F"/>
    <w:rsid w:val="00E76F67"/>
    <w:rsid w:val="00E775A2"/>
    <w:rsid w:val="00E82297"/>
    <w:rsid w:val="00E83304"/>
    <w:rsid w:val="00E85656"/>
    <w:rsid w:val="00E86D35"/>
    <w:rsid w:val="00E87C6E"/>
    <w:rsid w:val="00E90DA3"/>
    <w:rsid w:val="00E92130"/>
    <w:rsid w:val="00E921FF"/>
    <w:rsid w:val="00E93644"/>
    <w:rsid w:val="00E93C7A"/>
    <w:rsid w:val="00EA7735"/>
    <w:rsid w:val="00EB2B9D"/>
    <w:rsid w:val="00EB32F3"/>
    <w:rsid w:val="00EB736D"/>
    <w:rsid w:val="00EC0001"/>
    <w:rsid w:val="00EC18E2"/>
    <w:rsid w:val="00ED3067"/>
    <w:rsid w:val="00ED306E"/>
    <w:rsid w:val="00ED40D0"/>
    <w:rsid w:val="00ED4A90"/>
    <w:rsid w:val="00ED525A"/>
    <w:rsid w:val="00ED6C82"/>
    <w:rsid w:val="00EE28F8"/>
    <w:rsid w:val="00EE4136"/>
    <w:rsid w:val="00EE521C"/>
    <w:rsid w:val="00EE704B"/>
    <w:rsid w:val="00EF39FD"/>
    <w:rsid w:val="00EF7826"/>
    <w:rsid w:val="00EF7912"/>
    <w:rsid w:val="00F01A65"/>
    <w:rsid w:val="00F021E4"/>
    <w:rsid w:val="00F04603"/>
    <w:rsid w:val="00F06533"/>
    <w:rsid w:val="00F06842"/>
    <w:rsid w:val="00F07347"/>
    <w:rsid w:val="00F1074A"/>
    <w:rsid w:val="00F107FD"/>
    <w:rsid w:val="00F126F7"/>
    <w:rsid w:val="00F12B4C"/>
    <w:rsid w:val="00F16865"/>
    <w:rsid w:val="00F1739E"/>
    <w:rsid w:val="00F20042"/>
    <w:rsid w:val="00F20950"/>
    <w:rsid w:val="00F22C60"/>
    <w:rsid w:val="00F2343B"/>
    <w:rsid w:val="00F24104"/>
    <w:rsid w:val="00F25A51"/>
    <w:rsid w:val="00F27233"/>
    <w:rsid w:val="00F30A6C"/>
    <w:rsid w:val="00F321D8"/>
    <w:rsid w:val="00F36E2A"/>
    <w:rsid w:val="00F37159"/>
    <w:rsid w:val="00F37BC6"/>
    <w:rsid w:val="00F46E37"/>
    <w:rsid w:val="00F50712"/>
    <w:rsid w:val="00F50B2A"/>
    <w:rsid w:val="00F526A9"/>
    <w:rsid w:val="00F56C76"/>
    <w:rsid w:val="00F70AF4"/>
    <w:rsid w:val="00F720CB"/>
    <w:rsid w:val="00F72FD6"/>
    <w:rsid w:val="00F73144"/>
    <w:rsid w:val="00F7719C"/>
    <w:rsid w:val="00F803ED"/>
    <w:rsid w:val="00F804AB"/>
    <w:rsid w:val="00F81A53"/>
    <w:rsid w:val="00F82655"/>
    <w:rsid w:val="00F8577D"/>
    <w:rsid w:val="00F91827"/>
    <w:rsid w:val="00F92847"/>
    <w:rsid w:val="00F965D4"/>
    <w:rsid w:val="00F96D7D"/>
    <w:rsid w:val="00FA0081"/>
    <w:rsid w:val="00FA0A3E"/>
    <w:rsid w:val="00FA0F18"/>
    <w:rsid w:val="00FA2274"/>
    <w:rsid w:val="00FA3101"/>
    <w:rsid w:val="00FA579E"/>
    <w:rsid w:val="00FA747B"/>
    <w:rsid w:val="00FB030A"/>
    <w:rsid w:val="00FB045A"/>
    <w:rsid w:val="00FB1989"/>
    <w:rsid w:val="00FB2E5B"/>
    <w:rsid w:val="00FB3C94"/>
    <w:rsid w:val="00FB64A8"/>
    <w:rsid w:val="00FB79F0"/>
    <w:rsid w:val="00FC2454"/>
    <w:rsid w:val="00FC3033"/>
    <w:rsid w:val="00FC43E8"/>
    <w:rsid w:val="00FC616A"/>
    <w:rsid w:val="00FD0F83"/>
    <w:rsid w:val="00FD1D54"/>
    <w:rsid w:val="00FD23B6"/>
    <w:rsid w:val="00FD2F07"/>
    <w:rsid w:val="00FD666A"/>
    <w:rsid w:val="00FE5173"/>
    <w:rsid w:val="00FE7F04"/>
    <w:rsid w:val="00FF552C"/>
    <w:rsid w:val="00FF7649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BF5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B66D2A"/>
    <w:rPr>
      <w:color w:val="666666"/>
    </w:rPr>
  </w:style>
  <w:style w:type="paragraph" w:styleId="ListParagraph">
    <w:name w:val="List Paragraph"/>
    <w:basedOn w:val="Normal"/>
    <w:uiPriority w:val="34"/>
    <w:qFormat/>
    <w:rsid w:val="003A0B03"/>
    <w:pPr>
      <w:ind w:left="720"/>
      <w:contextualSpacing/>
    </w:pPr>
  </w:style>
  <w:style w:type="table" w:styleId="TableGrid">
    <w:name w:val="Table Grid"/>
    <w:basedOn w:val="TableNormal"/>
    <w:rsid w:val="004C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487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2F32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A5416F"/>
    <w:rPr>
      <w:lang w:eastAsia="en-US"/>
    </w:rPr>
  </w:style>
  <w:style w:type="character" w:styleId="Emphasis">
    <w:name w:val="Emphasis"/>
    <w:basedOn w:val="DefaultParagraphFont"/>
    <w:uiPriority w:val="20"/>
    <w:qFormat/>
    <w:rsid w:val="001C0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b520d6-6d4f-4417-85fc-441fc4e9bd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4C58F21402B4EA246FFF17EB937BB" ma:contentTypeVersion="17" ma:contentTypeDescription="Create a new document." ma:contentTypeScope="" ma:versionID="9c8fb58ae1d324337271fc1dba9c60f4">
  <xsd:schema xmlns:xsd="http://www.w3.org/2001/XMLSchema" xmlns:xs="http://www.w3.org/2001/XMLSchema" xmlns:p="http://schemas.microsoft.com/office/2006/metadata/properties" xmlns:ns3="9bb520d6-6d4f-4417-85fc-441fc4e9bdac" xmlns:ns4="87bf590f-f470-4b9f-b9d2-2e2ca1d8fe6a" targetNamespace="http://schemas.microsoft.com/office/2006/metadata/properties" ma:root="true" ma:fieldsID="70be4fac9bdb829a98e00cb00826e5fe" ns3:_="" ns4:_="">
    <xsd:import namespace="9bb520d6-6d4f-4417-85fc-441fc4e9bdac"/>
    <xsd:import namespace="87bf590f-f470-4b9f-b9d2-2e2ca1d8f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520d6-6d4f-4417-85fc-441fc4e9b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f590f-f470-4b9f-b9d2-2e2ca1d8f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74F03-9F67-4F44-BF66-60AD96C391EA}">
  <ds:schemaRefs>
    <ds:schemaRef ds:uri="http://schemas.microsoft.com/office/2006/metadata/properties"/>
    <ds:schemaRef ds:uri="http://schemas.microsoft.com/office/infopath/2007/PartnerControls"/>
    <ds:schemaRef ds:uri="9bb520d6-6d4f-4417-85fc-441fc4e9bdac"/>
  </ds:schemaRefs>
</ds:datastoreItem>
</file>

<file path=customXml/itemProps2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390B6-E298-4920-AB9A-ACBC7285B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520d6-6d4f-4417-85fc-441fc4e9bdac"/>
    <ds:schemaRef ds:uri="87bf590f-f470-4b9f-b9d2-2e2ca1d8f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809CA-36AA-4ECE-9C46-BD26310178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225</TotalTime>
  <Pages>6</Pages>
  <Words>2516</Words>
  <Characters>13768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Steven, Robert A (PG/R - Chemistry &amp; Chem Eng)</cp:lastModifiedBy>
  <cp:revision>34</cp:revision>
  <cp:lastPrinted>2023-12-18T13:42:00Z</cp:lastPrinted>
  <dcterms:created xsi:type="dcterms:W3CDTF">2023-12-14T15:04:00Z</dcterms:created>
  <dcterms:modified xsi:type="dcterms:W3CDTF">2023-12-18T13:51:00Z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ontentTypeId">
    <vt:lpwstr>0x010100A124C58F21402B4EA246FFF17EB937BB</vt:lpwstr>
  </property>
</Properties>
</file>