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78AFAE96" w:rsidR="00DD3D9E" w:rsidRPr="00B4388F" w:rsidRDefault="00465BD3">
      <w:pPr>
        <w:pStyle w:val="Els-Title"/>
        <w:rPr>
          <w:color w:val="000000" w:themeColor="text1"/>
        </w:rPr>
      </w:pPr>
      <w:r>
        <w:rPr>
          <w:color w:val="000000" w:themeColor="text1"/>
        </w:rPr>
        <w:t xml:space="preserve">Applicability of </w:t>
      </w:r>
      <w:r w:rsidR="00AF7B49">
        <w:rPr>
          <w:color w:val="000000" w:themeColor="text1"/>
        </w:rPr>
        <w:t>E</w:t>
      </w:r>
      <w:r>
        <w:rPr>
          <w:color w:val="000000" w:themeColor="text1"/>
        </w:rPr>
        <w:t xml:space="preserve">nergy </w:t>
      </w:r>
      <w:r w:rsidR="00AF7B49">
        <w:rPr>
          <w:color w:val="000000" w:themeColor="text1"/>
        </w:rPr>
        <w:t>S</w:t>
      </w:r>
      <w:r>
        <w:rPr>
          <w:color w:val="000000" w:themeColor="text1"/>
        </w:rPr>
        <w:t xml:space="preserve">torage for </w:t>
      </w:r>
      <w:r w:rsidR="00AF7B49">
        <w:rPr>
          <w:color w:val="000000" w:themeColor="text1"/>
        </w:rPr>
        <w:t>M</w:t>
      </w:r>
      <w:r>
        <w:rPr>
          <w:color w:val="000000" w:themeColor="text1"/>
        </w:rPr>
        <w:t xml:space="preserve">itigating </w:t>
      </w:r>
      <w:r w:rsidR="00AF7B49">
        <w:rPr>
          <w:color w:val="000000" w:themeColor="text1"/>
        </w:rPr>
        <w:t>V</w:t>
      </w:r>
      <w:r>
        <w:rPr>
          <w:color w:val="000000" w:themeColor="text1"/>
        </w:rPr>
        <w:t xml:space="preserve">ariability of </w:t>
      </w:r>
      <w:r w:rsidR="00AF7B49">
        <w:rPr>
          <w:color w:val="000000" w:themeColor="text1"/>
        </w:rPr>
        <w:t>R</w:t>
      </w:r>
      <w:r>
        <w:rPr>
          <w:color w:val="000000" w:themeColor="text1"/>
        </w:rPr>
        <w:t xml:space="preserve">enewable </w:t>
      </w:r>
      <w:r w:rsidR="00AF7B49">
        <w:rPr>
          <w:color w:val="000000" w:themeColor="text1"/>
        </w:rPr>
        <w:t>E</w:t>
      </w:r>
      <w:r>
        <w:rPr>
          <w:color w:val="000000" w:themeColor="text1"/>
        </w:rPr>
        <w:t xml:space="preserve">lectricity </w:t>
      </w:r>
      <w:r w:rsidR="00AF7B49">
        <w:rPr>
          <w:color w:val="000000" w:themeColor="text1"/>
        </w:rPr>
        <w:t>C</w:t>
      </w:r>
      <w:r>
        <w:rPr>
          <w:color w:val="000000" w:themeColor="text1"/>
        </w:rPr>
        <w:t xml:space="preserve">onsidering </w:t>
      </w:r>
      <w:r w:rsidR="006A1D42">
        <w:rPr>
          <w:color w:val="000000" w:themeColor="text1"/>
        </w:rPr>
        <w:t xml:space="preserve">Life </w:t>
      </w:r>
      <w:proofErr w:type="gramStart"/>
      <w:r w:rsidR="006A1D42">
        <w:rPr>
          <w:color w:val="000000" w:themeColor="text1"/>
        </w:rPr>
        <w:t>cycle</w:t>
      </w:r>
      <w:proofErr w:type="gramEnd"/>
      <w:r>
        <w:rPr>
          <w:color w:val="000000" w:themeColor="text1"/>
        </w:rPr>
        <w:t xml:space="preserve"> </w:t>
      </w:r>
      <w:r w:rsidR="00AF7B49">
        <w:rPr>
          <w:color w:val="000000" w:themeColor="text1"/>
        </w:rPr>
        <w:t>I</w:t>
      </w:r>
      <w:r>
        <w:rPr>
          <w:color w:val="000000" w:themeColor="text1"/>
        </w:rPr>
        <w:t>mpacts</w:t>
      </w:r>
    </w:p>
    <w:p w14:paraId="7258C247" w14:textId="77777777" w:rsidR="00A2145A" w:rsidRDefault="00A2145A" w:rsidP="00A2145A">
      <w:pPr>
        <w:pStyle w:val="Els-Author"/>
      </w:pPr>
      <w:r>
        <w:t>Ayumi Yamaki</w:t>
      </w:r>
      <w:r w:rsidRPr="00C174AD">
        <w:rPr>
          <w:vertAlign w:val="superscript"/>
        </w:rPr>
        <w:t xml:space="preserve"> </w:t>
      </w:r>
      <w:r w:rsidRPr="00CF5E4C">
        <w:rPr>
          <w:vertAlign w:val="superscript"/>
        </w:rPr>
        <w:t>a</w:t>
      </w:r>
      <w:r>
        <w:t>, Shoma Fujii</w:t>
      </w:r>
      <w:r w:rsidRPr="00C174AD">
        <w:rPr>
          <w:vertAlign w:val="superscript"/>
        </w:rPr>
        <w:t xml:space="preserve"> </w:t>
      </w:r>
      <w:r w:rsidRPr="00CF5E4C">
        <w:rPr>
          <w:vertAlign w:val="superscript"/>
        </w:rPr>
        <w:t>a</w:t>
      </w:r>
      <w:r>
        <w:t>, Yuichiro Kanematsu</w:t>
      </w:r>
      <w:r w:rsidRPr="00C174AD">
        <w:rPr>
          <w:vertAlign w:val="superscript"/>
        </w:rPr>
        <w:t xml:space="preserve"> </w:t>
      </w:r>
      <w:r>
        <w:rPr>
          <w:vertAlign w:val="superscript"/>
        </w:rPr>
        <w:t>b</w:t>
      </w:r>
      <w:r>
        <w:t>, Yasunori Kikuchi*</w:t>
      </w:r>
      <w:r>
        <w:rPr>
          <w:vertAlign w:val="superscript"/>
        </w:rPr>
        <w:t>a,b,c</w:t>
      </w:r>
      <w:r>
        <w:t xml:space="preserve"> </w:t>
      </w:r>
    </w:p>
    <w:p w14:paraId="52221F7E" w14:textId="77777777" w:rsidR="00A2145A" w:rsidRDefault="00A2145A" w:rsidP="00A2145A">
      <w:pPr>
        <w:pStyle w:val="Els-Affiliation"/>
      </w:pPr>
      <w:r>
        <w:rPr>
          <w:vertAlign w:val="superscript"/>
        </w:rPr>
        <w:t>a</w:t>
      </w:r>
      <w:r>
        <w:t xml:space="preserve"> Institute for Future Initiatives, The University of Tokyo, </w:t>
      </w:r>
      <w:r w:rsidRPr="003559D1">
        <w:t>7-3-1 Hongo, Bunkyo-ku, Tokyo 113-8654, Japan</w:t>
      </w:r>
    </w:p>
    <w:p w14:paraId="021F0ECD" w14:textId="77777777" w:rsidR="00A2145A" w:rsidRDefault="00A2145A" w:rsidP="00A2145A">
      <w:pPr>
        <w:pStyle w:val="Els-Affiliation"/>
      </w:pPr>
      <w:r>
        <w:rPr>
          <w:vertAlign w:val="superscript"/>
        </w:rPr>
        <w:t>b</w:t>
      </w:r>
      <w:r>
        <w:t xml:space="preserve"> Presidential Endowed Chair for "Platinum Society", Organization for Interdisciplinary Research Project, The University of Tokyo, </w:t>
      </w:r>
      <w:r w:rsidRPr="008503AB">
        <w:t>7-3-1 Hongo, Bunkyo-ku, Tokyo 113-8656, Japan</w:t>
      </w:r>
    </w:p>
    <w:p w14:paraId="7C8782C5" w14:textId="77777777" w:rsidR="00A2145A" w:rsidRDefault="00A2145A" w:rsidP="00A2145A">
      <w:pPr>
        <w:pStyle w:val="Els-Affiliation"/>
      </w:pPr>
      <w:r>
        <w:rPr>
          <w:vertAlign w:val="superscript"/>
        </w:rPr>
        <w:t>c</w:t>
      </w:r>
      <w:r>
        <w:t xml:space="preserve"> Department of Chemical System Engineering, The University of Tokyo, </w:t>
      </w:r>
      <w:r w:rsidRPr="009E2516">
        <w:t>7-3-1 Hongo, Bunkyo-ku, Tokyo 113-8656, Japan</w:t>
      </w:r>
    </w:p>
    <w:p w14:paraId="75B0B787" w14:textId="77777777" w:rsidR="00A2145A" w:rsidRPr="00A94774" w:rsidRDefault="00A2145A" w:rsidP="00A2145A">
      <w:pPr>
        <w:pStyle w:val="Els-Affiliation"/>
        <w:spacing w:after="120"/>
      </w:pPr>
      <w:r>
        <w:t>ykikuchi@ifi.u-tokyo.ac.jp</w:t>
      </w:r>
    </w:p>
    <w:p w14:paraId="144DE684" w14:textId="77777777" w:rsidR="008D2649" w:rsidRDefault="008D2649" w:rsidP="008D2649">
      <w:pPr>
        <w:pStyle w:val="Els-Abstract"/>
      </w:pPr>
      <w:r>
        <w:t>Abstract</w:t>
      </w:r>
    </w:p>
    <w:p w14:paraId="144DE686" w14:textId="1A4FFA06" w:rsidR="008D2649" w:rsidRDefault="00514709" w:rsidP="00057B32">
      <w:pPr>
        <w:pStyle w:val="Els-body-text"/>
        <w:spacing w:after="120"/>
        <w:rPr>
          <w:lang w:val="en-GB"/>
        </w:rPr>
      </w:pPr>
      <w:r w:rsidRPr="00514709">
        <w:rPr>
          <w:lang w:val="en-GB"/>
        </w:rPr>
        <w:t xml:space="preserve">To achieve </w:t>
      </w:r>
      <w:r w:rsidR="007C622E" w:rsidRPr="007C622E">
        <w:rPr>
          <w:lang w:val="en-GB"/>
        </w:rPr>
        <w:t>carbon neutrality</w:t>
      </w:r>
      <w:r w:rsidRPr="00514709">
        <w:rPr>
          <w:lang w:val="en-GB"/>
        </w:rPr>
        <w:t>, power generation from variable renewable energy (VRE) has been accelerated</w:t>
      </w:r>
      <w:r w:rsidR="00057B32">
        <w:rPr>
          <w:lang w:val="en-GB"/>
        </w:rPr>
        <w:t>.</w:t>
      </w:r>
      <w:r w:rsidR="00F1168F">
        <w:rPr>
          <w:lang w:val="en-GB"/>
        </w:rPr>
        <w:t xml:space="preserve"> </w:t>
      </w:r>
      <w:r w:rsidR="00057B32">
        <w:rPr>
          <w:lang w:val="en-GB"/>
        </w:rPr>
        <w:t xml:space="preserve">VRE variability can be mitigated by installing </w:t>
      </w:r>
      <w:r w:rsidR="0013616E">
        <w:rPr>
          <w:lang w:val="en-GB"/>
        </w:rPr>
        <w:t>energy storage</w:t>
      </w:r>
      <w:r w:rsidR="00EE1557">
        <w:rPr>
          <w:lang w:val="en-GB"/>
        </w:rPr>
        <w:t xml:space="preserve">. </w:t>
      </w:r>
      <w:r w:rsidRPr="00514709">
        <w:rPr>
          <w:lang w:val="en-GB"/>
        </w:rPr>
        <w:t xml:space="preserve">This study aims to </w:t>
      </w:r>
      <w:r w:rsidR="007B4331">
        <w:rPr>
          <w:lang w:val="en-GB"/>
        </w:rPr>
        <w:t xml:space="preserve">evaluate </w:t>
      </w:r>
      <w:r w:rsidR="006A1D42">
        <w:rPr>
          <w:lang w:val="en-GB"/>
        </w:rPr>
        <w:t>life cycle</w:t>
      </w:r>
      <w:r w:rsidR="007B4331">
        <w:rPr>
          <w:lang w:val="en-GB"/>
        </w:rPr>
        <w:t xml:space="preserve"> impacts of</w:t>
      </w:r>
      <w:r w:rsidRPr="00514709">
        <w:rPr>
          <w:lang w:val="en-GB"/>
        </w:rPr>
        <w:t xml:space="preserve"> an energy storage system with battery, H</w:t>
      </w:r>
      <w:r w:rsidRPr="004B23FD">
        <w:rPr>
          <w:vertAlign w:val="subscript"/>
          <w:lang w:val="en-GB"/>
        </w:rPr>
        <w:t>2</w:t>
      </w:r>
      <w:r w:rsidRPr="00514709">
        <w:rPr>
          <w:lang w:val="en-GB"/>
        </w:rPr>
        <w:t xml:space="preserve"> storage, or </w:t>
      </w:r>
      <w:r w:rsidR="002D120A">
        <w:rPr>
          <w:lang w:val="en-GB"/>
        </w:rPr>
        <w:t>thermal energy storage</w:t>
      </w:r>
      <w:r w:rsidRPr="00514709">
        <w:rPr>
          <w:lang w:val="en-GB"/>
        </w:rPr>
        <w:t xml:space="preserve">. </w:t>
      </w:r>
      <w:r w:rsidR="002D120A">
        <w:rPr>
          <w:lang w:val="en-GB"/>
        </w:rPr>
        <w:t>A</w:t>
      </w:r>
      <w:r w:rsidRPr="00514709">
        <w:rPr>
          <w:lang w:val="en-GB"/>
        </w:rPr>
        <w:t xml:space="preserve"> model of the energy storage system with </w:t>
      </w:r>
      <w:r w:rsidR="00CD53FB">
        <w:rPr>
          <w:lang w:val="en-GB"/>
        </w:rPr>
        <w:t>VRE</w:t>
      </w:r>
      <w:r w:rsidR="00CD53FB" w:rsidRPr="00514709">
        <w:rPr>
          <w:lang w:val="en-GB"/>
        </w:rPr>
        <w:t xml:space="preserve"> </w:t>
      </w:r>
      <w:r w:rsidR="002D120A">
        <w:rPr>
          <w:lang w:val="en-GB"/>
        </w:rPr>
        <w:t xml:space="preserve">was constructed </w:t>
      </w:r>
      <w:r w:rsidR="00CD53FB" w:rsidRPr="00514709">
        <w:rPr>
          <w:lang w:val="en-GB"/>
        </w:rPr>
        <w:t>and</w:t>
      </w:r>
      <w:r w:rsidRPr="00514709">
        <w:rPr>
          <w:lang w:val="en-GB"/>
        </w:rPr>
        <w:t xml:space="preserve"> the annual energy flow</w:t>
      </w:r>
      <w:r w:rsidR="002D120A">
        <w:rPr>
          <w:lang w:val="en-GB"/>
        </w:rPr>
        <w:t xml:space="preserve"> was </w:t>
      </w:r>
      <w:r w:rsidR="002D120A" w:rsidRPr="00514709">
        <w:rPr>
          <w:lang w:val="en-GB"/>
        </w:rPr>
        <w:t>simulated</w:t>
      </w:r>
      <w:r w:rsidRPr="00514709">
        <w:rPr>
          <w:lang w:val="en-GB"/>
        </w:rPr>
        <w:t xml:space="preserve">. The energy storage system targeted in this study assumed that all </w:t>
      </w:r>
      <w:r w:rsidR="00057B32">
        <w:rPr>
          <w:lang w:val="en-GB"/>
        </w:rPr>
        <w:t xml:space="preserve">the </w:t>
      </w:r>
      <w:r w:rsidR="00CD53FB">
        <w:rPr>
          <w:lang w:val="en-GB"/>
        </w:rPr>
        <w:t xml:space="preserve">energy derived </w:t>
      </w:r>
      <w:r w:rsidR="00487DAA">
        <w:rPr>
          <w:lang w:val="en-GB"/>
        </w:rPr>
        <w:t xml:space="preserve">from </w:t>
      </w:r>
      <w:r w:rsidR="00CD53FB">
        <w:rPr>
          <w:lang w:val="en-GB"/>
        </w:rPr>
        <w:t>VRE</w:t>
      </w:r>
      <w:r w:rsidRPr="00514709">
        <w:rPr>
          <w:lang w:val="en-GB"/>
        </w:rPr>
        <w:t xml:space="preserve"> was stored in the energy storage and supplied to consumers. </w:t>
      </w:r>
      <w:r w:rsidR="002D120A">
        <w:rPr>
          <w:lang w:val="en-GB"/>
        </w:rPr>
        <w:t>The</w:t>
      </w:r>
      <w:r w:rsidRPr="00514709">
        <w:rPr>
          <w:lang w:val="en-GB"/>
        </w:rPr>
        <w:t xml:space="preserve"> amount of power </w:t>
      </w:r>
      <w:r w:rsidR="00FA6C23">
        <w:rPr>
          <w:lang w:val="en-GB"/>
        </w:rPr>
        <w:t>to-be-</w:t>
      </w:r>
      <w:r w:rsidRPr="00514709">
        <w:rPr>
          <w:lang w:val="en-GB"/>
        </w:rPr>
        <w:t>s</w:t>
      </w:r>
      <w:r w:rsidR="00057B32">
        <w:rPr>
          <w:lang w:val="en-GB"/>
        </w:rPr>
        <w:t>old</w:t>
      </w:r>
      <w:r w:rsidRPr="00514709">
        <w:rPr>
          <w:lang w:val="en-GB"/>
        </w:rPr>
        <w:t xml:space="preserve"> from the energy storage system based on the </w:t>
      </w:r>
      <w:r w:rsidR="00581F21">
        <w:rPr>
          <w:lang w:val="en-GB"/>
        </w:rPr>
        <w:t>VRE</w:t>
      </w:r>
      <w:r w:rsidRPr="00514709">
        <w:rPr>
          <w:lang w:val="en-GB"/>
        </w:rPr>
        <w:t xml:space="preserve"> and </w:t>
      </w:r>
      <w:r w:rsidR="00057B32">
        <w:rPr>
          <w:lang w:val="en-GB"/>
        </w:rPr>
        <w:t xml:space="preserve">the </w:t>
      </w:r>
      <w:r w:rsidRPr="00514709">
        <w:rPr>
          <w:lang w:val="en-GB"/>
        </w:rPr>
        <w:t>energy storage installation</w:t>
      </w:r>
      <w:r w:rsidR="002D120A">
        <w:rPr>
          <w:lang w:val="en-GB"/>
        </w:rPr>
        <w:t xml:space="preserve"> were calculated</w:t>
      </w:r>
      <w:r w:rsidRPr="00514709">
        <w:rPr>
          <w:lang w:val="en-GB"/>
        </w:rPr>
        <w:t xml:space="preserve">. </w:t>
      </w:r>
      <w:r w:rsidR="002D120A">
        <w:rPr>
          <w:lang w:val="en-GB"/>
        </w:rPr>
        <w:t xml:space="preserve">A </w:t>
      </w:r>
      <w:r w:rsidR="006A1D42">
        <w:rPr>
          <w:lang w:val="en-GB"/>
        </w:rPr>
        <w:t>life cycle</w:t>
      </w:r>
      <w:r w:rsidR="002D120A" w:rsidRPr="00514709">
        <w:rPr>
          <w:lang w:val="en-GB"/>
        </w:rPr>
        <w:t xml:space="preserve"> assessment</w:t>
      </w:r>
      <w:r w:rsidR="002D120A">
        <w:rPr>
          <w:lang w:val="en-GB"/>
        </w:rPr>
        <w:t xml:space="preserve"> </w:t>
      </w:r>
      <w:r w:rsidR="00002AC9">
        <w:rPr>
          <w:lang w:val="en-GB"/>
        </w:rPr>
        <w:t>was performed to evaluate</w:t>
      </w:r>
      <w:r w:rsidR="002D120A">
        <w:rPr>
          <w:lang w:val="en-GB"/>
        </w:rPr>
        <w:t xml:space="preserve"> t</w:t>
      </w:r>
      <w:r w:rsidR="00057B32">
        <w:rPr>
          <w:lang w:val="en-GB"/>
        </w:rPr>
        <w:t>he</w:t>
      </w:r>
      <w:r w:rsidR="0090373F">
        <w:rPr>
          <w:lang w:val="en-GB"/>
        </w:rPr>
        <w:t xml:space="preserve"> g</w:t>
      </w:r>
      <w:r w:rsidRPr="00514709">
        <w:rPr>
          <w:lang w:val="en-GB"/>
        </w:rPr>
        <w:t>reenhouse gas (GHG) emissions</w:t>
      </w:r>
      <w:r w:rsidR="00251867">
        <w:rPr>
          <w:lang w:val="en-GB"/>
        </w:rPr>
        <w:t>,</w:t>
      </w:r>
      <w:r w:rsidRPr="00514709">
        <w:rPr>
          <w:lang w:val="en-GB"/>
        </w:rPr>
        <w:t xml:space="preserve"> abiotic resource depletion (ARD)</w:t>
      </w:r>
      <w:r w:rsidR="00595123">
        <w:rPr>
          <w:lang w:val="en-GB"/>
        </w:rPr>
        <w:t>,</w:t>
      </w:r>
      <w:r w:rsidR="00251867">
        <w:rPr>
          <w:lang w:val="en-GB"/>
        </w:rPr>
        <w:t xml:space="preserve"> and </w:t>
      </w:r>
      <w:r w:rsidR="00251867" w:rsidRPr="00251867">
        <w:rPr>
          <w:lang w:val="en-GB"/>
        </w:rPr>
        <w:t>intensity of GHG and ARD</w:t>
      </w:r>
      <w:r w:rsidRPr="00514709">
        <w:rPr>
          <w:lang w:val="en-GB"/>
        </w:rPr>
        <w:t xml:space="preserve"> </w:t>
      </w:r>
      <w:r w:rsidR="00F36461">
        <w:rPr>
          <w:lang w:val="en-GB"/>
        </w:rPr>
        <w:t xml:space="preserve">as </w:t>
      </w:r>
      <w:r w:rsidR="006A1D42">
        <w:rPr>
          <w:lang w:val="en-GB"/>
        </w:rPr>
        <w:t>life cycle</w:t>
      </w:r>
      <w:r w:rsidR="00F36461">
        <w:rPr>
          <w:lang w:val="en-GB"/>
        </w:rPr>
        <w:t xml:space="preserve"> impacts</w:t>
      </w:r>
      <w:r w:rsidR="00002AC9">
        <w:rPr>
          <w:lang w:val="en-GB"/>
        </w:rPr>
        <w:t>.</w:t>
      </w:r>
      <w:r w:rsidRPr="00514709">
        <w:rPr>
          <w:lang w:val="en-GB"/>
        </w:rPr>
        <w:t xml:space="preserve"> The smallest </w:t>
      </w:r>
      <w:r w:rsidR="006A1D42">
        <w:rPr>
          <w:lang w:val="en-GB"/>
        </w:rPr>
        <w:t>life cycle</w:t>
      </w:r>
      <w:r w:rsidR="00F36461">
        <w:rPr>
          <w:lang w:val="en-GB"/>
        </w:rPr>
        <w:t xml:space="preserve"> impacts</w:t>
      </w:r>
      <w:r w:rsidRPr="00514709">
        <w:rPr>
          <w:lang w:val="en-GB"/>
        </w:rPr>
        <w:t xml:space="preserve"> varied depending on the type and amount of energy storage. A quantitative evaluation of the energy supply capacity and the environmental impacts of the energy storage system could assist in designing </w:t>
      </w:r>
      <w:r w:rsidR="00057B32">
        <w:rPr>
          <w:lang w:val="en-GB"/>
        </w:rPr>
        <w:t>an</w:t>
      </w:r>
      <w:r w:rsidRPr="00514709">
        <w:rPr>
          <w:lang w:val="en-GB"/>
        </w:rPr>
        <w:t xml:space="preserve"> energy storage system with VRE</w:t>
      </w:r>
      <w:r w:rsidR="00687882">
        <w:rPr>
          <w:lang w:val="en-GB"/>
        </w:rPr>
        <w:t>,</w:t>
      </w:r>
      <w:r w:rsidRPr="00514709">
        <w:rPr>
          <w:lang w:val="en-GB"/>
        </w:rPr>
        <w:t xml:space="preserve"> </w:t>
      </w:r>
      <w:r w:rsidR="00B8699B">
        <w:rPr>
          <w:lang w:val="en-GB"/>
        </w:rPr>
        <w:t>considering</w:t>
      </w:r>
      <w:r w:rsidRPr="00514709">
        <w:rPr>
          <w:lang w:val="en-GB"/>
        </w:rPr>
        <w:t xml:space="preserve"> regional energy supply systems.</w:t>
      </w:r>
    </w:p>
    <w:p w14:paraId="144DE687" w14:textId="75225F32" w:rsidR="008D2649" w:rsidRDefault="008D2649" w:rsidP="008D2649">
      <w:pPr>
        <w:pStyle w:val="Els-body-text"/>
        <w:spacing w:after="120"/>
        <w:rPr>
          <w:lang w:val="en-GB"/>
        </w:rPr>
      </w:pPr>
      <w:r>
        <w:rPr>
          <w:b/>
          <w:bCs/>
          <w:lang w:val="en-GB"/>
        </w:rPr>
        <w:t>Keywords</w:t>
      </w:r>
      <w:r>
        <w:rPr>
          <w:lang w:val="en-GB"/>
        </w:rPr>
        <w:t xml:space="preserve">: </w:t>
      </w:r>
      <w:r w:rsidR="00B01449">
        <w:rPr>
          <w:lang w:val="en-GB"/>
        </w:rPr>
        <w:t xml:space="preserve">battery, hydrogen storage, thermal energy storage, </w:t>
      </w:r>
      <w:r w:rsidR="006A1D42">
        <w:rPr>
          <w:lang w:val="en-GB"/>
        </w:rPr>
        <w:t>life cycle</w:t>
      </w:r>
      <w:r w:rsidR="00F025B0" w:rsidRPr="00F025B0">
        <w:rPr>
          <w:lang w:val="en-GB"/>
        </w:rPr>
        <w:t xml:space="preserve"> greenhouse gas emissions, abiotic resource depletion</w:t>
      </w:r>
    </w:p>
    <w:p w14:paraId="144DE689" w14:textId="6584AF82" w:rsidR="008D2649" w:rsidRDefault="000B6694" w:rsidP="008D2649">
      <w:pPr>
        <w:pStyle w:val="Els-1storder-head"/>
      </w:pPr>
      <w:r>
        <w:t>Introduction</w:t>
      </w:r>
    </w:p>
    <w:p w14:paraId="5784BE4E" w14:textId="5B3E06E1" w:rsidR="00BD1FE5" w:rsidRDefault="00BD1FE5" w:rsidP="00BD1FE5">
      <w:pPr>
        <w:pStyle w:val="Els-body-text"/>
      </w:pPr>
      <w:r>
        <w:t>The installation of variable renewable energy (VRE) has expanded around the world to</w:t>
      </w:r>
      <w:r w:rsidR="00AF7B49">
        <w:t>ward the</w:t>
      </w:r>
      <w:r>
        <w:t xml:space="preserve"> achieve</w:t>
      </w:r>
      <w:r w:rsidR="00AF7B49">
        <w:t>ment of</w:t>
      </w:r>
      <w:r>
        <w:t xml:space="preserve"> a sustainable society, although </w:t>
      </w:r>
      <w:r w:rsidR="00AF7B49">
        <w:t xml:space="preserve">ensuring a stable power supply by </w:t>
      </w:r>
      <w:r>
        <w:t xml:space="preserve">power generation from VRE </w:t>
      </w:r>
      <w:r w:rsidR="00AF7B49">
        <w:t>is a challenge because of</w:t>
      </w:r>
      <w:r>
        <w:t xml:space="preserve"> </w:t>
      </w:r>
      <w:r w:rsidR="00FB7DC2">
        <w:t>lack of stability</w:t>
      </w:r>
      <w:r>
        <w:t>. To accelerate VRE penetration, there are projects underway to install energy storage, such as batteries, hydrogen (H</w:t>
      </w:r>
      <w:r w:rsidRPr="008B53FD">
        <w:rPr>
          <w:vertAlign w:val="subscript"/>
        </w:rPr>
        <w:t>2</w:t>
      </w:r>
      <w:r>
        <w:t>) storage, and thermal energy storage (TES). Batteries store electricity</w:t>
      </w:r>
      <w:r w:rsidR="00A37A20">
        <w:t>,</w:t>
      </w:r>
      <w:r>
        <w:t xml:space="preserve"> wh</w:t>
      </w:r>
      <w:r w:rsidR="00EE1BDD">
        <w:t>ereas</w:t>
      </w:r>
      <w:r>
        <w:t xml:space="preserve"> </w:t>
      </w:r>
      <w:r w:rsidR="008B53FD">
        <w:t>H</w:t>
      </w:r>
      <w:r w:rsidR="008B53FD" w:rsidRPr="008B53FD">
        <w:rPr>
          <w:vertAlign w:val="subscript"/>
        </w:rPr>
        <w:t>2</w:t>
      </w:r>
      <w:r>
        <w:t xml:space="preserve"> storage and TES should </w:t>
      </w:r>
      <w:r w:rsidR="00EE1BDD">
        <w:t xml:space="preserve">be </w:t>
      </w:r>
      <w:r>
        <w:t>convert</w:t>
      </w:r>
      <w:r w:rsidR="00EE1BDD">
        <w:t>ed</w:t>
      </w:r>
      <w:r>
        <w:t xml:space="preserve"> </w:t>
      </w:r>
      <w:r w:rsidR="00AF7B49">
        <w:t>in</w:t>
      </w:r>
      <w:r>
        <w:t xml:space="preserve">to electricity </w:t>
      </w:r>
      <w:r w:rsidR="00EE1BDD">
        <w:t>before use</w:t>
      </w:r>
      <w:r>
        <w:t xml:space="preserve">. Therefore, batteries can supply electricity more effectively than </w:t>
      </w:r>
      <w:r w:rsidR="004B23FD" w:rsidRPr="00514709">
        <w:rPr>
          <w:lang w:val="en-GB"/>
        </w:rPr>
        <w:t>H</w:t>
      </w:r>
      <w:r w:rsidR="004B23FD" w:rsidRPr="004B23FD">
        <w:rPr>
          <w:vertAlign w:val="subscript"/>
          <w:lang w:val="en-GB"/>
        </w:rPr>
        <w:t>2</w:t>
      </w:r>
      <w:r>
        <w:t xml:space="preserve"> storage or TES. However, batter</w:t>
      </w:r>
      <w:r w:rsidR="00DC769C">
        <w:t>y production has a</w:t>
      </w:r>
      <w:r>
        <w:t xml:space="preserve"> relatively high environmental impact </w:t>
      </w:r>
      <w:r w:rsidR="0061072C">
        <w:rPr>
          <w:noProof/>
        </w:rPr>
        <w:t>(Peters et al., 2017)</w:t>
      </w:r>
      <w:r w:rsidR="0061072C" w:rsidRPr="0061072C">
        <w:t xml:space="preserve"> </w:t>
      </w:r>
      <w:r>
        <w:t xml:space="preserve">and </w:t>
      </w:r>
      <w:r w:rsidR="00DC769C">
        <w:t xml:space="preserve">batteries </w:t>
      </w:r>
      <w:r>
        <w:t xml:space="preserve">require relatively high investment costs for long-term storage </w:t>
      </w:r>
      <w:r w:rsidR="00197176">
        <w:rPr>
          <w:noProof/>
        </w:rPr>
        <w:t>(Battke et al., 2013)</w:t>
      </w:r>
      <w:r>
        <w:t xml:space="preserve">. </w:t>
      </w:r>
      <w:r w:rsidR="006A1D42">
        <w:t>Life cycle</w:t>
      </w:r>
      <w:r w:rsidR="00606E03">
        <w:t xml:space="preserve"> assessment</w:t>
      </w:r>
      <w:r w:rsidR="004C7881">
        <w:t>s</w:t>
      </w:r>
      <w:r w:rsidR="00606E03">
        <w:t xml:space="preserve"> (LCAs)</w:t>
      </w:r>
      <w:r w:rsidR="00D711E3">
        <w:t xml:space="preserve"> of </w:t>
      </w:r>
      <w:r w:rsidR="00606E03">
        <w:t xml:space="preserve">other </w:t>
      </w:r>
      <w:r w:rsidR="00D711E3">
        <w:t>energy storage</w:t>
      </w:r>
      <w:r w:rsidR="00E906EC">
        <w:t xml:space="preserve"> methods</w:t>
      </w:r>
      <w:r w:rsidR="00D711E3">
        <w:t xml:space="preserve"> </w:t>
      </w:r>
      <w:r w:rsidR="00AA5BEB">
        <w:t>have been</w:t>
      </w:r>
      <w:r w:rsidR="004C7881">
        <w:t xml:space="preserve"> </w:t>
      </w:r>
      <w:r w:rsidR="00606E03">
        <w:t xml:space="preserve">conducted </w:t>
      </w:r>
      <w:r w:rsidR="005A6A96">
        <w:rPr>
          <w:noProof/>
        </w:rPr>
        <w:t>(Strazza et al., 2015, Oró et al., 2012)</w:t>
      </w:r>
      <w:r>
        <w:t xml:space="preserve">. </w:t>
      </w:r>
      <w:r w:rsidR="00E906EC">
        <w:t>Because</w:t>
      </w:r>
      <w:r>
        <w:t xml:space="preserve"> </w:t>
      </w:r>
      <w:r w:rsidR="00A44BBB">
        <w:t xml:space="preserve">the environmental impacts of energy storage differ </w:t>
      </w:r>
      <w:r w:rsidR="00E906EC">
        <w:t>according to</w:t>
      </w:r>
      <w:r w:rsidR="00DE3F6A">
        <w:t xml:space="preserve"> the </w:t>
      </w:r>
      <w:r w:rsidR="005C40E8" w:rsidRPr="005C40E8">
        <w:t>characteristics</w:t>
      </w:r>
      <w:r w:rsidR="00BF47CB">
        <w:t xml:space="preserve"> of the region where the energy storage is installed</w:t>
      </w:r>
      <w:r w:rsidR="00D22B03">
        <w:t>,</w:t>
      </w:r>
      <w:r w:rsidR="006F3A51">
        <w:t xml:space="preserve"> even</w:t>
      </w:r>
      <w:r w:rsidR="00E906EC">
        <w:t xml:space="preserve"> </w:t>
      </w:r>
      <w:r w:rsidR="00E906EC">
        <w:lastRenderedPageBreak/>
        <w:t>for</w:t>
      </w:r>
      <w:r w:rsidR="006F3A51">
        <w:t xml:space="preserve"> </w:t>
      </w:r>
      <w:r w:rsidR="003000F1">
        <w:t xml:space="preserve">installing </w:t>
      </w:r>
      <w:r w:rsidR="00597CE4">
        <w:t>the same type and amount of energy storage</w:t>
      </w:r>
      <w:r w:rsidR="0025477C" w:rsidRPr="0025477C">
        <w:t xml:space="preserve"> </w:t>
      </w:r>
      <w:r w:rsidR="0025477C">
        <w:rPr>
          <w:noProof/>
        </w:rPr>
        <w:t>(Yamaki et al., 2023)</w:t>
      </w:r>
      <w:r w:rsidR="00BF47CB">
        <w:t xml:space="preserve">, </w:t>
      </w:r>
      <w:r w:rsidR="005156DD">
        <w:t xml:space="preserve">a model is needed to compare </w:t>
      </w:r>
      <w:r>
        <w:t>energy storage considering energy demand and the VRE characteristic of the region.</w:t>
      </w:r>
    </w:p>
    <w:p w14:paraId="144DE698" w14:textId="5822BFA4" w:rsidR="008D2649" w:rsidRPr="002D193D" w:rsidRDefault="00ED164F" w:rsidP="00BD1FE5">
      <w:pPr>
        <w:pStyle w:val="Els-body-text"/>
      </w:pPr>
      <w:r>
        <w:t>T</w:t>
      </w:r>
      <w:r w:rsidR="00BD1FE5">
        <w:t>his study</w:t>
      </w:r>
      <w:r>
        <w:t xml:space="preserve"> constructed</w:t>
      </w:r>
      <w:r w:rsidR="00BD1FE5">
        <w:t xml:space="preserve"> </w:t>
      </w:r>
      <w:r>
        <w:t>a</w:t>
      </w:r>
      <w:r w:rsidR="005156DD">
        <w:t xml:space="preserve"> model of</w:t>
      </w:r>
      <w:r w:rsidR="00BD1FE5">
        <w:t xml:space="preserve"> energy storage systems assumed to </w:t>
      </w:r>
      <w:r w:rsidR="00E906EC">
        <w:t>be required for</w:t>
      </w:r>
      <w:r w:rsidR="00BD1FE5">
        <w:t xml:space="preserve"> batter</w:t>
      </w:r>
      <w:r w:rsidR="00E906EC">
        <w:t>ies</w:t>
      </w:r>
      <w:r w:rsidR="00BD1FE5">
        <w:t xml:space="preserve">, </w:t>
      </w:r>
      <w:r w:rsidR="00F31B30">
        <w:t>H</w:t>
      </w:r>
      <w:r w:rsidR="00F31B30" w:rsidRPr="008B53FD">
        <w:rPr>
          <w:vertAlign w:val="subscript"/>
        </w:rPr>
        <w:t>2</w:t>
      </w:r>
      <w:r w:rsidR="00BD1FE5">
        <w:t xml:space="preserve"> storage</w:t>
      </w:r>
      <w:r w:rsidR="000A0D03">
        <w:t>,</w:t>
      </w:r>
      <w:r w:rsidR="00BD1FE5">
        <w:t xml:space="preserve"> or TES</w:t>
      </w:r>
      <w:r w:rsidR="00E906EC">
        <w:t>; the systems were</w:t>
      </w:r>
      <w:r w:rsidR="00BD1FE5">
        <w:t xml:space="preserve"> compare</w:t>
      </w:r>
      <w:r w:rsidR="00E906EC">
        <w:t xml:space="preserve">d </w:t>
      </w:r>
      <w:r w:rsidR="00BD1FE5">
        <w:t xml:space="preserve">by LCA. </w:t>
      </w:r>
      <w:r w:rsidR="00E906EC">
        <w:t>An</w:t>
      </w:r>
      <w:r w:rsidR="00BD1FE5">
        <w:t xml:space="preserve"> energy storage system is installed as a new energy supply system to </w:t>
      </w:r>
      <w:r w:rsidR="001311CE">
        <w:t>mitigate</w:t>
      </w:r>
      <w:r w:rsidR="00BD1FE5">
        <w:t xml:space="preserve"> the </w:t>
      </w:r>
      <w:r w:rsidR="00774904" w:rsidRPr="00774904">
        <w:t>variability</w:t>
      </w:r>
      <w:r w:rsidR="00BD1FE5">
        <w:t xml:space="preserve"> of </w:t>
      </w:r>
      <w:r w:rsidR="007E678E">
        <w:t>VRE</w:t>
      </w:r>
      <w:r w:rsidR="006C0CE1">
        <w:t>s</w:t>
      </w:r>
      <w:r w:rsidR="00BD1FE5">
        <w:t xml:space="preserve"> and connect to the grid. </w:t>
      </w:r>
      <w:r w:rsidR="002F52F2">
        <w:t>An</w:t>
      </w:r>
      <w:r w:rsidR="00BD1FE5">
        <w:t xml:space="preserve"> energy </w:t>
      </w:r>
      <w:r w:rsidR="00A728D1">
        <w:t>storage</w:t>
      </w:r>
      <w:r w:rsidR="002F52F2">
        <w:t xml:space="preserve"> </w:t>
      </w:r>
      <w:r w:rsidR="00BD1FE5">
        <w:t xml:space="preserve">system </w:t>
      </w:r>
      <w:r w:rsidR="00D11FEA">
        <w:t xml:space="preserve">with </w:t>
      </w:r>
      <w:r w:rsidR="00623938">
        <w:t xml:space="preserve">the </w:t>
      </w:r>
      <w:r w:rsidR="00BD1FE5">
        <w:t xml:space="preserve">battery, </w:t>
      </w:r>
      <w:r w:rsidR="009B7149">
        <w:t>H</w:t>
      </w:r>
      <w:r w:rsidR="009B7149" w:rsidRPr="008B53FD">
        <w:rPr>
          <w:vertAlign w:val="subscript"/>
        </w:rPr>
        <w:t>2</w:t>
      </w:r>
      <w:r w:rsidR="00BD1FE5">
        <w:t xml:space="preserve"> storage</w:t>
      </w:r>
      <w:r w:rsidR="00C25937">
        <w:t>,</w:t>
      </w:r>
      <w:r w:rsidR="00BD1FE5">
        <w:t xml:space="preserve"> and TES </w:t>
      </w:r>
      <w:r w:rsidR="00AF7B49">
        <w:t>is</w:t>
      </w:r>
      <w:r w:rsidR="00BD1FE5">
        <w:t xml:space="preserve"> referred to as </w:t>
      </w:r>
      <w:r w:rsidR="00842B38">
        <w:t>a</w:t>
      </w:r>
      <w:r w:rsidR="00376983">
        <w:t xml:space="preserve"> </w:t>
      </w:r>
      <w:r w:rsidR="00BD1FE5">
        <w:t>battery system,</w:t>
      </w:r>
      <w:r w:rsidR="00842B38">
        <w:t xml:space="preserve"> </w:t>
      </w:r>
      <w:r w:rsidR="009B7149">
        <w:t>H</w:t>
      </w:r>
      <w:r w:rsidR="009B7149" w:rsidRPr="008B53FD">
        <w:rPr>
          <w:vertAlign w:val="subscript"/>
        </w:rPr>
        <w:t>2</w:t>
      </w:r>
      <w:r w:rsidR="00BD1FE5">
        <w:t xml:space="preserve"> system, and TES system, respectively. The model of the energy storage system </w:t>
      </w:r>
      <w:r w:rsidR="006C0CE1">
        <w:t>was</w:t>
      </w:r>
      <w:r w:rsidR="00BD1FE5">
        <w:t xml:space="preserve"> constructed to simulate the energy flows for </w:t>
      </w:r>
      <w:r w:rsidR="009B7149">
        <w:t>a one</w:t>
      </w:r>
      <w:r w:rsidR="00BD1FE5">
        <w:t xml:space="preserve">-year period. We calculated the amount of power </w:t>
      </w:r>
      <w:r w:rsidR="000527B2">
        <w:t>that would be sold</w:t>
      </w:r>
      <w:r w:rsidR="00BD1FE5">
        <w:t xml:space="preserve"> from the energy storage system and analyzed </w:t>
      </w:r>
      <w:r w:rsidR="006A1D42">
        <w:t>life cycle</w:t>
      </w:r>
      <w:r w:rsidR="00BD1FE5">
        <w:t xml:space="preserve"> </w:t>
      </w:r>
      <w:r w:rsidR="00860D16">
        <w:t xml:space="preserve">impacts. </w:t>
      </w:r>
      <w:r w:rsidR="00F872E2">
        <w:t xml:space="preserve">For </w:t>
      </w:r>
      <w:r w:rsidR="006A1D42">
        <w:t>life cycle</w:t>
      </w:r>
      <w:r w:rsidR="00F872E2">
        <w:t xml:space="preserve"> impacts, </w:t>
      </w:r>
      <w:r w:rsidR="006A1D42">
        <w:t>life cycle</w:t>
      </w:r>
      <w:r w:rsidR="0069541B">
        <w:t xml:space="preserve"> </w:t>
      </w:r>
      <w:r w:rsidR="00BD1FE5">
        <w:t>greenhouse gas (LC-GHG)</w:t>
      </w:r>
      <w:r w:rsidR="00DA702A">
        <w:t>,</w:t>
      </w:r>
      <w:r w:rsidR="00BD1FE5">
        <w:t xml:space="preserve"> abiotic resource depletion (ARD)</w:t>
      </w:r>
      <w:r w:rsidR="00CE3503">
        <w:t>,</w:t>
      </w:r>
      <w:r w:rsidR="007E678E" w:rsidRPr="007E678E">
        <w:t xml:space="preserve"> </w:t>
      </w:r>
      <w:r w:rsidR="000D22B9">
        <w:t xml:space="preserve">and </w:t>
      </w:r>
      <w:r w:rsidR="00234545">
        <w:t>greenhouse gas</w:t>
      </w:r>
      <w:r w:rsidR="00234545" w:rsidRPr="007E678E">
        <w:t xml:space="preserve"> </w:t>
      </w:r>
      <w:r w:rsidR="00234545">
        <w:t>(</w:t>
      </w:r>
      <w:r w:rsidR="007E678E" w:rsidRPr="007E678E">
        <w:t>GHG</w:t>
      </w:r>
      <w:r w:rsidR="00234545">
        <w:t>)</w:t>
      </w:r>
      <w:r w:rsidR="007E678E" w:rsidRPr="007E678E">
        <w:t xml:space="preserve"> </w:t>
      </w:r>
      <w:r w:rsidR="00D6716C">
        <w:t xml:space="preserve">and ARD </w:t>
      </w:r>
      <w:r w:rsidR="000527B2" w:rsidRPr="007E678E">
        <w:t>intensities</w:t>
      </w:r>
      <w:r w:rsidR="000D22B9">
        <w:t xml:space="preserve"> </w:t>
      </w:r>
      <w:r w:rsidR="00DA702A">
        <w:t>were evaluated</w:t>
      </w:r>
      <w:r w:rsidR="007E678E" w:rsidRPr="007E678E">
        <w:t xml:space="preserve">. We </w:t>
      </w:r>
      <w:proofErr w:type="gramStart"/>
      <w:r w:rsidR="007E678E" w:rsidRPr="007E678E">
        <w:t>discuss</w:t>
      </w:r>
      <w:proofErr w:type="gramEnd"/>
      <w:r w:rsidR="007E678E" w:rsidRPr="007E678E">
        <w:t xml:space="preserve"> the applicability of </w:t>
      </w:r>
      <w:r w:rsidR="001E6E00" w:rsidRPr="007E678E">
        <w:t>energy</w:t>
      </w:r>
      <w:r w:rsidR="007E678E" w:rsidRPr="007E678E">
        <w:t xml:space="preserve"> storage </w:t>
      </w:r>
      <w:r w:rsidR="001E6E00" w:rsidRPr="007E678E">
        <w:t>systems</w:t>
      </w:r>
      <w:r w:rsidR="007E678E" w:rsidRPr="007E678E">
        <w:t>.</w:t>
      </w:r>
    </w:p>
    <w:p w14:paraId="144DE699" w14:textId="46179129" w:rsidR="008D2649" w:rsidRDefault="00E863EE" w:rsidP="008D2649">
      <w:pPr>
        <w:pStyle w:val="Els-1storder-head"/>
      </w:pPr>
      <w:r w:rsidRPr="00E863EE">
        <w:t>Materials and methods</w:t>
      </w:r>
    </w:p>
    <w:p w14:paraId="144DE69A" w14:textId="7CCB1BD1" w:rsidR="008D2649" w:rsidRDefault="000A490F" w:rsidP="008D2649">
      <w:pPr>
        <w:pStyle w:val="Els-2ndorder-head"/>
      </w:pPr>
      <w:r w:rsidRPr="000A490F">
        <w:t>Energy and material flows of the energy storage system</w:t>
      </w:r>
    </w:p>
    <w:p w14:paraId="13FDDA0F" w14:textId="309899D8" w:rsidR="00D7460E" w:rsidRDefault="00D7460E" w:rsidP="00D7460E">
      <w:pPr>
        <w:pStyle w:val="Els-body-text"/>
      </w:pPr>
      <w:r>
        <w:t xml:space="preserve">The energy and material flow of the energy storage systems targeted in this study is shown in Figure 1. In energy storage systems, VRE is assumed to be stored and supplied as electricity. In the battery system, electricity is assumed to be generated </w:t>
      </w:r>
      <w:r w:rsidR="007F5446">
        <w:t>by a</w:t>
      </w:r>
      <w:r w:rsidR="006109CB">
        <w:t xml:space="preserve"> VRE</w:t>
      </w:r>
      <w:r>
        <w:t>, stored, and supplied. In the H</w:t>
      </w:r>
      <w:r w:rsidRPr="00D7460E">
        <w:rPr>
          <w:vertAlign w:val="subscript"/>
        </w:rPr>
        <w:t>2</w:t>
      </w:r>
      <w:r>
        <w:t xml:space="preserve"> system, H</w:t>
      </w:r>
      <w:r w:rsidRPr="00D7460E">
        <w:rPr>
          <w:vertAlign w:val="subscript"/>
        </w:rPr>
        <w:t>2</w:t>
      </w:r>
      <w:r>
        <w:t xml:space="preserve"> is assumed to be produced </w:t>
      </w:r>
      <w:r w:rsidR="007F5446">
        <w:t>by</w:t>
      </w:r>
      <w:r>
        <w:t xml:space="preserve"> electrolyzers using </w:t>
      </w:r>
      <w:r w:rsidR="00271B63">
        <w:t>VRE</w:t>
      </w:r>
      <w:r w:rsidR="002F7ECD">
        <w:t xml:space="preserve"> </w:t>
      </w:r>
      <w:r w:rsidR="00204EDA">
        <w:t>electricity</w:t>
      </w:r>
      <w:r>
        <w:t>, stored as liquefied H</w:t>
      </w:r>
      <w:r w:rsidRPr="005125E8">
        <w:rPr>
          <w:vertAlign w:val="subscript"/>
        </w:rPr>
        <w:t>2</w:t>
      </w:r>
      <w:r>
        <w:t xml:space="preserve"> in a tank, and converted </w:t>
      </w:r>
      <w:r w:rsidR="002F1293">
        <w:t>in</w:t>
      </w:r>
      <w:r>
        <w:t xml:space="preserve">to power in fuel cells. In the TES system, </w:t>
      </w:r>
      <w:r w:rsidR="00EF2315">
        <w:t>heat</w:t>
      </w:r>
      <w:r>
        <w:t xml:space="preserve"> is generated </w:t>
      </w:r>
      <w:r w:rsidR="007337B2">
        <w:t xml:space="preserve">directly </w:t>
      </w:r>
      <w:r>
        <w:t xml:space="preserve">from </w:t>
      </w:r>
      <w:r w:rsidR="00411BE9">
        <w:t>VRE</w:t>
      </w:r>
      <w:r>
        <w:t xml:space="preserve">, stored in molten salts, and converted </w:t>
      </w:r>
      <w:r w:rsidR="002F1293">
        <w:t>in</w:t>
      </w:r>
      <w:r>
        <w:t>to steam in a heat exchanger for power generation in steam turbines.</w:t>
      </w:r>
    </w:p>
    <w:p w14:paraId="65335020" w14:textId="0C71B90B" w:rsidR="003E73EE" w:rsidRDefault="007F5446" w:rsidP="00D7460E">
      <w:pPr>
        <w:pStyle w:val="Els-body-text"/>
      </w:pPr>
      <w:r>
        <w:t xml:space="preserve">An </w:t>
      </w:r>
      <w:r w:rsidR="00D7460E">
        <w:t>LCA was conducted for the cradle-to-grave energy storage and other facilities, assum</w:t>
      </w:r>
      <w:r>
        <w:t>ed</w:t>
      </w:r>
      <w:r w:rsidR="00D7460E">
        <w:t xml:space="preserve"> </w:t>
      </w:r>
      <w:r w:rsidR="0003382B">
        <w:t xml:space="preserve">to </w:t>
      </w:r>
      <w:r>
        <w:t>have</w:t>
      </w:r>
      <w:r w:rsidR="00D7460E">
        <w:t xml:space="preserve"> a new energy storage system</w:t>
      </w:r>
      <w:r>
        <w:t xml:space="preserve"> installed</w:t>
      </w:r>
      <w:r w:rsidR="00D7460E">
        <w:t>. The LCA</w:t>
      </w:r>
      <w:r>
        <w:t xml:space="preserve"> </w:t>
      </w:r>
      <w:r w:rsidR="00D7460E">
        <w:t xml:space="preserve">covered </w:t>
      </w:r>
      <w:r>
        <w:t xml:space="preserve">the </w:t>
      </w:r>
      <w:r w:rsidR="00E921BD">
        <w:t>facilities</w:t>
      </w:r>
      <w:r w:rsidR="00D85EC7">
        <w:t xml:space="preserve"> of power/heat generation from VRE</w:t>
      </w:r>
      <w:r>
        <w:t>, the</w:t>
      </w:r>
      <w:r w:rsidR="00D85EC7">
        <w:t xml:space="preserve"> </w:t>
      </w:r>
      <w:r w:rsidR="00D7460E">
        <w:t>battery in the battery system</w:t>
      </w:r>
      <w:r>
        <w:t>, the</w:t>
      </w:r>
      <w:r w:rsidR="00D7460E">
        <w:t xml:space="preserve"> H</w:t>
      </w:r>
      <w:r w:rsidR="00D7460E" w:rsidRPr="00252700">
        <w:rPr>
          <w:vertAlign w:val="subscript"/>
        </w:rPr>
        <w:t>2</w:t>
      </w:r>
      <w:r w:rsidR="00D7460E">
        <w:t xml:space="preserve"> tank, electrolyzer,</w:t>
      </w:r>
      <w:r w:rsidR="0003382B">
        <w:t xml:space="preserve"> and</w:t>
      </w:r>
      <w:r w:rsidR="00D7460E">
        <w:t xml:space="preserve"> fuel cell in the H</w:t>
      </w:r>
      <w:r w:rsidR="00D7460E" w:rsidRPr="00D7460E">
        <w:rPr>
          <w:vertAlign w:val="subscript"/>
        </w:rPr>
        <w:t>2</w:t>
      </w:r>
      <w:r w:rsidR="00D7460E">
        <w:t xml:space="preserve"> system</w:t>
      </w:r>
      <w:r>
        <w:t xml:space="preserve"> and the </w:t>
      </w:r>
      <w:r w:rsidR="00D7460E">
        <w:t>molten salt, its tanks, heat exchanger,</w:t>
      </w:r>
      <w:r w:rsidR="0003382B">
        <w:t xml:space="preserve"> and</w:t>
      </w:r>
      <w:r w:rsidR="00D7460E">
        <w:t xml:space="preserve"> steam turbine in the TES system.</w:t>
      </w:r>
      <w:r w:rsidR="005156DD">
        <w:t xml:space="preserve"> </w:t>
      </w:r>
      <w:r w:rsidR="007D6681" w:rsidRPr="007062C0">
        <w:t>The functional unit was the annual</w:t>
      </w:r>
      <w:r w:rsidR="007D6681">
        <w:t xml:space="preserve"> VRE in</w:t>
      </w:r>
      <w:r>
        <w:t>stability</w:t>
      </w:r>
      <w:r w:rsidR="007D6681" w:rsidRPr="007062C0">
        <w:t>. The foreground data for the LCA was obtained through energy flow simulations. The background data, such as materials for the energy systems, w</w:t>
      </w:r>
      <w:r w:rsidR="003E73EE">
        <w:t>ere</w:t>
      </w:r>
      <w:r w:rsidR="007D6681" w:rsidRPr="007062C0">
        <w:t xml:space="preserve"> extracted from the Japanese LCA database, </w:t>
      </w:r>
      <w:r>
        <w:t>the i</w:t>
      </w:r>
      <w:r w:rsidR="007D6681" w:rsidRPr="00CB3607">
        <w:t xml:space="preserve">nventory </w:t>
      </w:r>
      <w:r>
        <w:t>d</w:t>
      </w:r>
      <w:r w:rsidR="007D6681" w:rsidRPr="00CB3607">
        <w:t>atabase for environmental analysis version 3.2 (IDEA)</w:t>
      </w:r>
      <w:r w:rsidR="007D6681" w:rsidRPr="007062C0">
        <w:t xml:space="preserve"> </w:t>
      </w:r>
      <w:r w:rsidR="007D6681">
        <w:rPr>
          <w:noProof/>
        </w:rPr>
        <w:t>(AIST, 2019)</w:t>
      </w:r>
      <w:r w:rsidR="007D6681" w:rsidRPr="007062C0">
        <w:t>.</w:t>
      </w:r>
      <w:r w:rsidR="007D6681">
        <w:t xml:space="preserve"> </w:t>
      </w:r>
      <w:r w:rsidR="00E921BD">
        <w:t xml:space="preserve">LC-GHG and ARD were calculated by </w:t>
      </w:r>
      <w:r w:rsidR="005A28C5">
        <w:t xml:space="preserve">adding </w:t>
      </w:r>
      <w:r>
        <w:t xml:space="preserve">the </w:t>
      </w:r>
      <w:r w:rsidR="00CB3607" w:rsidRPr="00CB3607">
        <w:t>GHG emission and ARD from production</w:t>
      </w:r>
      <w:r w:rsidR="002F1293">
        <w:t xml:space="preserve"> </w:t>
      </w:r>
      <w:r w:rsidR="00CB3607" w:rsidRPr="00CB3607">
        <w:t>to</w:t>
      </w:r>
      <w:r w:rsidR="002F1293">
        <w:t xml:space="preserve"> </w:t>
      </w:r>
      <w:r w:rsidR="00CB3607" w:rsidRPr="00CB3607">
        <w:t xml:space="preserve">disposal of each </w:t>
      </w:r>
      <w:r w:rsidR="00E921BD">
        <w:t>facility</w:t>
      </w:r>
      <w:r w:rsidR="00CB3607" w:rsidRPr="00CB3607">
        <w:t xml:space="preserve"> extract</w:t>
      </w:r>
      <w:r w:rsidR="007D6681">
        <w:t>ed</w:t>
      </w:r>
      <w:r w:rsidR="00CB3607" w:rsidRPr="00CB3607">
        <w:t xml:space="preserve"> from </w:t>
      </w:r>
      <w:r w:rsidR="00A97695">
        <w:t xml:space="preserve">the </w:t>
      </w:r>
      <w:r w:rsidR="007D6681">
        <w:t>data</w:t>
      </w:r>
      <w:r>
        <w:t>,</w:t>
      </w:r>
      <w:r w:rsidR="007D6681">
        <w:t xml:space="preserve"> </w:t>
      </w:r>
      <w:r w:rsidR="005A28C5">
        <w:t>respectively</w:t>
      </w:r>
      <w:r w:rsidR="00CB3607" w:rsidRPr="00CB3607">
        <w:t xml:space="preserve">. </w:t>
      </w:r>
      <w:r w:rsidR="003E73EE">
        <w:t xml:space="preserve">The </w:t>
      </w:r>
      <w:r w:rsidR="00CB3607" w:rsidRPr="00CB3607">
        <w:t xml:space="preserve">GHG and ARD intensities were expressed </w:t>
      </w:r>
      <w:r w:rsidR="00DB1E2E">
        <w:t xml:space="preserve">in </w:t>
      </w:r>
      <w:r w:rsidR="00DB1E2E" w:rsidRPr="00CB3607">
        <w:t xml:space="preserve">LC-GHG and ARD </w:t>
      </w:r>
      <w:r w:rsidR="00CB3607" w:rsidRPr="00CB3607">
        <w:t xml:space="preserve">per power </w:t>
      </w:r>
      <w:r w:rsidR="003E73EE">
        <w:t>to be sold</w:t>
      </w:r>
      <w:r w:rsidR="00CB3607" w:rsidRPr="00CB3607">
        <w:t xml:space="preserve">. </w:t>
      </w:r>
      <w:r w:rsidR="007D6681">
        <w:t>Alt</w:t>
      </w:r>
      <w:r w:rsidR="00CB3607" w:rsidRPr="00CB3607">
        <w:t>hough GHG emissions are reduced by VRE installation, ARD would increase due to rare metal utilization in the production of energy storage. Therefore, it is important to evaluate both GHG emissions and ARD.</w:t>
      </w:r>
    </w:p>
    <w:p w14:paraId="144DE69C" w14:textId="18A1FC2A" w:rsidR="008D2649" w:rsidRDefault="00A10FCB" w:rsidP="003A07CE">
      <w:pPr>
        <w:pStyle w:val="Els-body-text"/>
        <w:jc w:val="center"/>
        <w:rPr>
          <w:noProof/>
        </w:rPr>
      </w:pPr>
      <w:r>
        <w:rPr>
          <w:noProof/>
          <w:lang w:eastAsia="zh-CN"/>
        </w:rPr>
        <w:drawing>
          <wp:inline distT="0" distB="0" distL="0" distR="0" wp14:anchorId="5D2F7795" wp14:editId="5A04F521">
            <wp:extent cx="4186289" cy="1728000"/>
            <wp:effectExtent l="0" t="0" r="5080" b="0"/>
            <wp:docPr id="8956771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677140" name="Picture 3"/>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86289" cy="1728000"/>
                    </a:xfrm>
                    <a:prstGeom prst="rect">
                      <a:avLst/>
                    </a:prstGeom>
                    <a:noFill/>
                    <a:ln>
                      <a:noFill/>
                    </a:ln>
                  </pic:spPr>
                </pic:pic>
              </a:graphicData>
            </a:graphic>
          </wp:inline>
        </w:drawing>
      </w:r>
    </w:p>
    <w:p w14:paraId="68CF04C5" w14:textId="182ECA3E" w:rsidR="00C4510C" w:rsidRPr="00A10FCB" w:rsidRDefault="00A10FCB" w:rsidP="00D7460E">
      <w:pPr>
        <w:pStyle w:val="Els-body-text"/>
      </w:pPr>
      <w:bookmarkStart w:id="0" w:name="_Ref150862577"/>
      <w:r w:rsidRPr="00A10FCB">
        <w:rPr>
          <w:sz w:val="18"/>
          <w:szCs w:val="18"/>
        </w:rPr>
        <w:t xml:space="preserve">Figure </w:t>
      </w:r>
      <w:r w:rsidRPr="00A10FCB">
        <w:rPr>
          <w:sz w:val="18"/>
          <w:szCs w:val="18"/>
        </w:rPr>
        <w:fldChar w:fldCharType="begin"/>
      </w:r>
      <w:r w:rsidRPr="00A10FCB">
        <w:rPr>
          <w:sz w:val="18"/>
          <w:szCs w:val="18"/>
        </w:rPr>
        <w:instrText xml:space="preserve"> SEQ Figure \* ARABIC </w:instrText>
      </w:r>
      <w:r w:rsidRPr="00A10FCB">
        <w:rPr>
          <w:sz w:val="18"/>
          <w:szCs w:val="18"/>
        </w:rPr>
        <w:fldChar w:fldCharType="separate"/>
      </w:r>
      <w:r>
        <w:rPr>
          <w:noProof/>
          <w:sz w:val="18"/>
          <w:szCs w:val="18"/>
        </w:rPr>
        <w:t>1</w:t>
      </w:r>
      <w:r w:rsidRPr="00A10FCB">
        <w:rPr>
          <w:sz w:val="18"/>
          <w:szCs w:val="18"/>
        </w:rPr>
        <w:fldChar w:fldCharType="end"/>
      </w:r>
      <w:bookmarkEnd w:id="0"/>
      <w:r w:rsidRPr="00A10FCB">
        <w:rPr>
          <w:sz w:val="18"/>
          <w:szCs w:val="18"/>
        </w:rPr>
        <w:t xml:space="preserve"> Energy and material flows of the energy storage systems.</w:t>
      </w:r>
    </w:p>
    <w:p w14:paraId="42BED800" w14:textId="283BF0D0" w:rsidR="008B7323" w:rsidRDefault="008B7323" w:rsidP="008B7323">
      <w:pPr>
        <w:pStyle w:val="Els-2ndorder-head"/>
      </w:pPr>
      <w:r w:rsidRPr="008B7323">
        <w:lastRenderedPageBreak/>
        <w:t>Model of the energy storage systems</w:t>
      </w:r>
    </w:p>
    <w:p w14:paraId="5E58F2CB" w14:textId="4288572A" w:rsidR="005979E5" w:rsidRDefault="00231D6D" w:rsidP="003E73EE">
      <w:pPr>
        <w:pStyle w:val="Els-body-text"/>
      </w:pPr>
      <w:r w:rsidRPr="00231D6D">
        <w:t xml:space="preserve">The model constructed in this study assumed that all </w:t>
      </w:r>
      <w:r w:rsidR="00C55D50">
        <w:t xml:space="preserve">VRE-derived energy </w:t>
      </w:r>
      <w:r w:rsidRPr="00231D6D">
        <w:t>was stored in energy storage and supplied electricity to consumers.</w:t>
      </w:r>
      <w:r>
        <w:t xml:space="preserve"> </w:t>
      </w:r>
      <w:r w:rsidR="00114B95" w:rsidRPr="00114B95">
        <w:t xml:space="preserve">The simulations were </w:t>
      </w:r>
      <w:r w:rsidR="003E73EE">
        <w:t>perform</w:t>
      </w:r>
      <w:r w:rsidR="00114B95" w:rsidRPr="00114B95">
        <w:t>ed in Microsoft Excel.</w:t>
      </w:r>
      <w:r w:rsidR="00114B95">
        <w:t xml:space="preserve"> </w:t>
      </w:r>
      <w:r w:rsidR="00114B95" w:rsidRPr="00114B95">
        <w:t>The energy flow was calculated hourly from 0:00 on January 1st to 24:00 on December 31st</w:t>
      </w:r>
      <w:r w:rsidR="00C24008">
        <w:t xml:space="preserve"> </w:t>
      </w:r>
      <w:r w:rsidR="00E01671" w:rsidRPr="00E01671">
        <w:t>based on the model made by</w:t>
      </w:r>
      <w:r w:rsidR="002B215C" w:rsidRPr="002B215C">
        <w:t xml:space="preserve"> </w:t>
      </w:r>
      <w:r w:rsidR="002B215C">
        <w:rPr>
          <w:noProof/>
        </w:rPr>
        <w:t>Yamaki et al. (2020)</w:t>
      </w:r>
      <w:r w:rsidR="00114B95" w:rsidRPr="00114B95">
        <w:t>.</w:t>
      </w:r>
      <w:r w:rsidR="00114B95">
        <w:t xml:space="preserve"> </w:t>
      </w:r>
      <w:r w:rsidR="006A1D42">
        <w:t>Life cycle</w:t>
      </w:r>
      <w:r w:rsidR="00A964A3">
        <w:t xml:space="preserve"> impacts</w:t>
      </w:r>
      <w:r w:rsidR="00A964A3" w:rsidRPr="003178F0">
        <w:t xml:space="preserve"> were calculated from the amount of energy storage and wind installation.</w:t>
      </w:r>
      <w:r w:rsidR="00A964A3">
        <w:t xml:space="preserve"> </w:t>
      </w:r>
    </w:p>
    <w:p w14:paraId="21627802" w14:textId="0384C918" w:rsidR="00A516EF" w:rsidRDefault="00E965A0" w:rsidP="008B7323">
      <w:pPr>
        <w:pStyle w:val="Els-body-text"/>
      </w:pPr>
      <w:r w:rsidRPr="003178F0">
        <w:t>The amount</w:t>
      </w:r>
      <w:r w:rsidR="003763DF">
        <w:t>s</w:t>
      </w:r>
      <w:r w:rsidRPr="003178F0">
        <w:t xml:space="preserve"> of energy storage and </w:t>
      </w:r>
      <w:r w:rsidR="0012419F">
        <w:t>VRE</w:t>
      </w:r>
      <w:r w:rsidRPr="003178F0">
        <w:t xml:space="preserve"> installation were set, and then the maximum amount of power </w:t>
      </w:r>
      <w:r w:rsidR="003763DF">
        <w:t>to be sold</w:t>
      </w:r>
      <w:r w:rsidRPr="003178F0">
        <w:t xml:space="preserve"> from the energy storage system was estimated. </w:t>
      </w:r>
      <w:r w:rsidR="00A516EF">
        <w:t>In the simulation, t</w:t>
      </w:r>
      <w:r w:rsidR="00A516EF" w:rsidRPr="00F961CC">
        <w:t xml:space="preserve">he stored energy was calculated </w:t>
      </w:r>
      <w:r w:rsidR="00A516EF">
        <w:t xml:space="preserve">hourly </w:t>
      </w:r>
      <w:r w:rsidR="00A516EF" w:rsidRPr="00F961CC">
        <w:t xml:space="preserve">from the charge of VRE-derived power/heat and the discharge of power </w:t>
      </w:r>
      <w:r w:rsidR="003763DF">
        <w:t>to be sold</w:t>
      </w:r>
      <w:r w:rsidR="001E7CE9">
        <w:rPr>
          <w:rFonts w:hint="eastAsia"/>
          <w:lang w:eastAsia="ja-JP"/>
        </w:rPr>
        <w:t xml:space="preserve"> </w:t>
      </w:r>
      <w:r w:rsidR="001E7CE9">
        <w:rPr>
          <w:lang w:eastAsia="ja-JP"/>
        </w:rPr>
        <w:t>using Eq</w:t>
      </w:r>
      <w:r w:rsidR="00F67118">
        <w:rPr>
          <w:lang w:eastAsia="ja-JP"/>
        </w:rPr>
        <w:t xml:space="preserve">. </w:t>
      </w:r>
      <w:r w:rsidR="00F67118">
        <w:rPr>
          <w:lang w:eastAsia="ja-JP"/>
        </w:rPr>
        <w:fldChar w:fldCharType="begin"/>
      </w:r>
      <w:r w:rsidR="00F67118">
        <w:rPr>
          <w:lang w:eastAsia="ja-JP"/>
        </w:rPr>
        <w:instrText xml:space="preserve"> REF _Ref151371939 \h </w:instrText>
      </w:r>
      <w:r w:rsidR="00F67118">
        <w:rPr>
          <w:lang w:eastAsia="ja-JP"/>
        </w:rPr>
      </w:r>
      <w:r w:rsidR="00F67118">
        <w:rPr>
          <w:lang w:eastAsia="ja-JP"/>
        </w:rPr>
        <w:fldChar w:fldCharType="separate"/>
      </w:r>
      <w:r w:rsidR="00A10FCB">
        <w:t>(</w:t>
      </w:r>
      <w:r w:rsidR="00A10FCB">
        <w:rPr>
          <w:noProof/>
        </w:rPr>
        <w:t>1</w:t>
      </w:r>
      <w:r w:rsidR="00A10FCB">
        <w:t>)</w:t>
      </w:r>
      <w:r w:rsidR="00F67118">
        <w:rPr>
          <w:lang w:eastAsia="ja-JP"/>
        </w:rPr>
        <w:fldChar w:fldCharType="end"/>
      </w:r>
      <w:r w:rsidR="00E0430E">
        <w:rPr>
          <w:lang w:eastAsia="ja-JP"/>
        </w:rPr>
        <w:t>.</w:t>
      </w:r>
    </w:p>
    <w:tbl>
      <w:tblPr>
        <w:tblW w:w="7087" w:type="dxa"/>
        <w:tblLook w:val="04A0" w:firstRow="1" w:lastRow="0" w:firstColumn="1" w:lastColumn="0" w:noHBand="0" w:noVBand="1"/>
      </w:tblPr>
      <w:tblGrid>
        <w:gridCol w:w="6129"/>
        <w:gridCol w:w="958"/>
      </w:tblGrid>
      <w:tr w:rsidR="00B73C01" w:rsidRPr="00A94774" w14:paraId="4E291D11" w14:textId="77777777" w:rsidTr="00F67118">
        <w:tc>
          <w:tcPr>
            <w:tcW w:w="6129" w:type="dxa"/>
            <w:shd w:val="clear" w:color="auto" w:fill="auto"/>
            <w:vAlign w:val="center"/>
          </w:tcPr>
          <w:p w14:paraId="3609C4CD" w14:textId="5895AB47" w:rsidR="00B73C01" w:rsidRPr="00E0430E" w:rsidRDefault="00115875" w:rsidP="00E0430E">
            <w:pPr>
              <w:pStyle w:val="Els-body-text"/>
              <w:spacing w:before="120" w:after="120" w:line="264" w:lineRule="auto"/>
              <w:rPr>
                <w:lang w:val="en-GB"/>
              </w:rPr>
            </w:pPr>
            <m:oMathPara>
              <m:oMathParaPr>
                <m:jc m:val="left"/>
              </m:oMathParaPr>
              <m:oMath>
                <m:sSub>
                  <m:sSubPr>
                    <m:ctrlPr>
                      <w:rPr>
                        <w:rFonts w:ascii="Cambria Math" w:hAnsi="Cambria Math"/>
                        <w:i/>
                        <w:lang w:val="en-GB"/>
                      </w:rPr>
                    </m:ctrlPr>
                  </m:sSubPr>
                  <m:e>
                    <m:r>
                      <w:rPr>
                        <w:rFonts w:ascii="Cambria Math"/>
                        <w:lang w:val="en-GB"/>
                      </w:rPr>
                      <m:t>Q</m:t>
                    </m:r>
                  </m:e>
                  <m:sub>
                    <m:r>
                      <m:rPr>
                        <m:sty m:val="p"/>
                      </m:rPr>
                      <w:rPr>
                        <w:rFonts w:ascii="Cambria Math"/>
                        <w:lang w:val="en-GB"/>
                      </w:rPr>
                      <m:t>storage</m:t>
                    </m:r>
                  </m:sub>
                </m:sSub>
                <m:d>
                  <m:dPr>
                    <m:ctrlPr>
                      <w:rPr>
                        <w:rFonts w:ascii="Cambria Math" w:hAnsi="Cambria Math"/>
                        <w:i/>
                        <w:lang w:val="en-GB"/>
                      </w:rPr>
                    </m:ctrlPr>
                  </m:dPr>
                  <m:e>
                    <m:r>
                      <w:rPr>
                        <w:rFonts w:ascii="Cambria Math"/>
                        <w:lang w:val="en-GB"/>
                      </w:rPr>
                      <m:t>t</m:t>
                    </m:r>
                  </m:e>
                </m:d>
                <m:r>
                  <w:rPr>
                    <w:rFonts w:ascii="Cambria Math"/>
                    <w:lang w:val="en-GB"/>
                  </w:rPr>
                  <m:t>=</m:t>
                </m:r>
                <m:sSub>
                  <m:sSubPr>
                    <m:ctrlPr>
                      <w:rPr>
                        <w:rFonts w:ascii="Cambria Math" w:hAnsi="Cambria Math"/>
                        <w:i/>
                        <w:lang w:val="en-GB"/>
                      </w:rPr>
                    </m:ctrlPr>
                  </m:sSubPr>
                  <m:e>
                    <m:r>
                      <w:rPr>
                        <w:rFonts w:ascii="Cambria Math"/>
                        <w:lang w:val="en-GB"/>
                      </w:rPr>
                      <m:t>Q</m:t>
                    </m:r>
                  </m:e>
                  <m:sub>
                    <m:r>
                      <m:rPr>
                        <m:sty m:val="p"/>
                      </m:rPr>
                      <w:rPr>
                        <w:rFonts w:ascii="Cambria Math"/>
                        <w:lang w:val="en-GB"/>
                      </w:rPr>
                      <m:t>storage</m:t>
                    </m:r>
                  </m:sub>
                </m:sSub>
                <m:d>
                  <m:dPr>
                    <m:ctrlPr>
                      <w:rPr>
                        <w:rFonts w:ascii="Cambria Math" w:hAnsi="Cambria Math"/>
                        <w:i/>
                        <w:lang w:val="en-GB"/>
                      </w:rPr>
                    </m:ctrlPr>
                  </m:dPr>
                  <m:e>
                    <m:r>
                      <w:rPr>
                        <w:rFonts w:ascii="Cambria Math"/>
                        <w:lang w:val="en-GB"/>
                      </w:rPr>
                      <m:t>t</m:t>
                    </m:r>
                    <m:r>
                      <w:rPr>
                        <w:rFonts w:ascii="Cambria Math"/>
                        <w:lang w:val="en-GB"/>
                      </w:rPr>
                      <m:t>-</m:t>
                    </m:r>
                    <m:r>
                      <w:rPr>
                        <w:rFonts w:ascii="Cambria Math" w:hAnsi="Cambria Math"/>
                        <w:lang w:val="en-GB"/>
                      </w:rPr>
                      <m:t>∆</m:t>
                    </m:r>
                    <m:r>
                      <w:rPr>
                        <w:rFonts w:ascii="Cambria Math"/>
                        <w:lang w:val="en-GB"/>
                      </w:rPr>
                      <m:t>t</m:t>
                    </m:r>
                  </m:e>
                </m:d>
                <m:r>
                  <w:rPr>
                    <w:rFonts w:ascii="Cambria Math"/>
                    <w:lang w:val="en-GB"/>
                  </w:rPr>
                  <m:t>+</m:t>
                </m:r>
                <m:sSub>
                  <m:sSubPr>
                    <m:ctrlPr>
                      <w:rPr>
                        <w:rFonts w:ascii="Cambria Math" w:hAnsi="Cambria Math"/>
                        <w:i/>
                        <w:lang w:val="en-GB"/>
                      </w:rPr>
                    </m:ctrlPr>
                  </m:sSubPr>
                  <m:e>
                    <m:r>
                      <w:rPr>
                        <w:rFonts w:ascii="Cambria Math"/>
                        <w:lang w:val="en-GB"/>
                      </w:rPr>
                      <m:t>Q</m:t>
                    </m:r>
                  </m:e>
                  <m:sub>
                    <m:r>
                      <m:rPr>
                        <m:sty m:val="p"/>
                      </m:rPr>
                      <w:rPr>
                        <w:rFonts w:ascii="Cambria Math"/>
                        <w:lang w:val="en-GB"/>
                      </w:rPr>
                      <m:t>in</m:t>
                    </m:r>
                  </m:sub>
                </m:sSub>
                <m:d>
                  <m:dPr>
                    <m:ctrlPr>
                      <w:rPr>
                        <w:rFonts w:ascii="Cambria Math" w:hAnsi="Cambria Math"/>
                        <w:i/>
                        <w:lang w:val="en-GB"/>
                      </w:rPr>
                    </m:ctrlPr>
                  </m:dPr>
                  <m:e>
                    <m:r>
                      <w:rPr>
                        <w:rFonts w:ascii="Cambria Math"/>
                        <w:lang w:val="en-GB"/>
                      </w:rPr>
                      <m:t>t</m:t>
                    </m:r>
                  </m:e>
                </m:d>
                <m:r>
                  <w:rPr>
                    <w:rFonts w:ascii="Cambria Math"/>
                    <w:lang w:val="en-GB"/>
                  </w:rPr>
                  <m:t>-</m:t>
                </m:r>
                <m:sSub>
                  <m:sSubPr>
                    <m:ctrlPr>
                      <w:rPr>
                        <w:rFonts w:ascii="Cambria Math" w:hAnsi="Cambria Math"/>
                        <w:i/>
                        <w:lang w:val="en-GB"/>
                      </w:rPr>
                    </m:ctrlPr>
                  </m:sSubPr>
                  <m:e>
                    <m:r>
                      <w:rPr>
                        <w:rFonts w:ascii="Cambria Math"/>
                        <w:lang w:val="en-GB"/>
                      </w:rPr>
                      <m:t>Q</m:t>
                    </m:r>
                  </m:e>
                  <m:sub>
                    <m:r>
                      <m:rPr>
                        <m:sty m:val="p"/>
                      </m:rPr>
                      <w:rPr>
                        <w:rFonts w:ascii="Cambria Math"/>
                        <w:lang w:val="en-GB"/>
                      </w:rPr>
                      <m:t>out</m:t>
                    </m:r>
                  </m:sub>
                </m:sSub>
                <m:d>
                  <m:dPr>
                    <m:ctrlPr>
                      <w:rPr>
                        <w:rFonts w:ascii="Cambria Math" w:hAnsi="Cambria Math"/>
                        <w:i/>
                        <w:lang w:val="en-GB"/>
                      </w:rPr>
                    </m:ctrlPr>
                  </m:dPr>
                  <m:e>
                    <m:r>
                      <w:rPr>
                        <w:rFonts w:ascii="Cambria Math"/>
                        <w:lang w:val="en-GB"/>
                      </w:rPr>
                      <m:t>t</m:t>
                    </m:r>
                  </m:e>
                </m:d>
                <m:r>
                  <w:rPr>
                    <w:rFonts w:ascii="Cambria Math"/>
                    <w:lang w:val="en-GB"/>
                  </w:rPr>
                  <m:t>-</m:t>
                </m:r>
                <m:sSub>
                  <m:sSubPr>
                    <m:ctrlPr>
                      <w:rPr>
                        <w:rFonts w:ascii="Cambria Math" w:hAnsi="Cambria Math"/>
                        <w:i/>
                        <w:lang w:val="en-GB"/>
                      </w:rPr>
                    </m:ctrlPr>
                  </m:sSubPr>
                  <m:e>
                    <m:r>
                      <w:rPr>
                        <w:rFonts w:ascii="Cambria Math"/>
                        <w:lang w:val="en-GB"/>
                      </w:rPr>
                      <m:t>Q</m:t>
                    </m:r>
                  </m:e>
                  <m:sub>
                    <m:r>
                      <m:rPr>
                        <m:sty m:val="p"/>
                      </m:rPr>
                      <w:rPr>
                        <w:rFonts w:ascii="Cambria Math"/>
                        <w:lang w:val="en-GB"/>
                      </w:rPr>
                      <m:t>leakage</m:t>
                    </m:r>
                  </m:sub>
                </m:sSub>
                <m:d>
                  <m:dPr>
                    <m:ctrlPr>
                      <w:rPr>
                        <w:rFonts w:ascii="Cambria Math" w:hAnsi="Cambria Math"/>
                        <w:i/>
                        <w:lang w:val="en-GB"/>
                      </w:rPr>
                    </m:ctrlPr>
                  </m:dPr>
                  <m:e>
                    <m:r>
                      <w:rPr>
                        <w:rFonts w:ascii="Cambria Math"/>
                        <w:lang w:val="en-GB"/>
                      </w:rPr>
                      <m:t>t</m:t>
                    </m:r>
                  </m:e>
                </m:d>
              </m:oMath>
            </m:oMathPara>
          </w:p>
        </w:tc>
        <w:tc>
          <w:tcPr>
            <w:tcW w:w="958" w:type="dxa"/>
            <w:shd w:val="clear" w:color="auto" w:fill="auto"/>
            <w:vAlign w:val="center"/>
          </w:tcPr>
          <w:p w14:paraId="2FCFB395" w14:textId="5291844A" w:rsidR="00B73C01" w:rsidRPr="00A94774" w:rsidRDefault="00F67118" w:rsidP="00762C94">
            <w:pPr>
              <w:pStyle w:val="Els-body-text"/>
              <w:spacing w:before="120" w:after="120" w:line="264" w:lineRule="auto"/>
              <w:jc w:val="right"/>
              <w:rPr>
                <w:lang w:val="en-GB"/>
              </w:rPr>
            </w:pPr>
            <w:bookmarkStart w:id="1" w:name="_Ref151371939"/>
            <w:r>
              <w:t>(</w:t>
            </w:r>
            <w:r>
              <w:fldChar w:fldCharType="begin"/>
            </w:r>
            <w:r>
              <w:instrText xml:space="preserve"> SEQ Equation \* ARABIC </w:instrText>
            </w:r>
            <w:r>
              <w:fldChar w:fldCharType="separate"/>
            </w:r>
            <w:r w:rsidR="00A10FCB">
              <w:rPr>
                <w:noProof/>
              </w:rPr>
              <w:t>1</w:t>
            </w:r>
            <w:r>
              <w:fldChar w:fldCharType="end"/>
            </w:r>
            <w:r>
              <w:t>)</w:t>
            </w:r>
            <w:bookmarkEnd w:id="1"/>
          </w:p>
        </w:tc>
      </w:tr>
    </w:tbl>
    <w:p w14:paraId="628EA53F" w14:textId="764184EB" w:rsidR="008B7323" w:rsidRDefault="000D22B9" w:rsidP="008B7323">
      <w:pPr>
        <w:pStyle w:val="Els-body-text"/>
      </w:pPr>
      <w:r>
        <w:rPr>
          <w:rFonts w:hint="eastAsia"/>
          <w:lang w:eastAsia="ja-JP"/>
        </w:rPr>
        <w:t>H</w:t>
      </w:r>
      <w:r>
        <w:rPr>
          <w:lang w:eastAsia="ja-JP"/>
        </w:rPr>
        <w:t xml:space="preserve">ere, </w:t>
      </w:r>
      <w:proofErr w:type="spellStart"/>
      <w:r w:rsidRPr="00F53480">
        <w:rPr>
          <w:i/>
          <w:iCs/>
          <w:lang w:eastAsia="ja-JP"/>
        </w:rPr>
        <w:t>Q</w:t>
      </w:r>
      <w:r w:rsidRPr="00F53480">
        <w:rPr>
          <w:vertAlign w:val="subscript"/>
          <w:lang w:eastAsia="ja-JP"/>
        </w:rPr>
        <w:t>storage</w:t>
      </w:r>
      <w:proofErr w:type="spellEnd"/>
      <w:r>
        <w:rPr>
          <w:lang w:eastAsia="ja-JP"/>
        </w:rPr>
        <w:t>(</w:t>
      </w:r>
      <w:r w:rsidRPr="00F53480">
        <w:rPr>
          <w:i/>
          <w:iCs/>
          <w:lang w:eastAsia="ja-JP"/>
        </w:rPr>
        <w:t>t</w:t>
      </w:r>
      <w:r>
        <w:rPr>
          <w:lang w:eastAsia="ja-JP"/>
        </w:rPr>
        <w:t xml:space="preserve">) is stored energy in the targeted energy storage at time </w:t>
      </w:r>
      <w:r w:rsidRPr="00353EFD">
        <w:rPr>
          <w:i/>
          <w:iCs/>
          <w:lang w:eastAsia="ja-JP"/>
        </w:rPr>
        <w:t>t</w:t>
      </w:r>
      <w:r>
        <w:rPr>
          <w:lang w:eastAsia="ja-JP"/>
        </w:rPr>
        <w:t xml:space="preserve">. </w:t>
      </w:r>
      <w:r w:rsidRPr="00647123">
        <w:rPr>
          <w:i/>
          <w:iCs/>
          <w:lang w:eastAsia="ja-JP"/>
        </w:rPr>
        <w:t>Q</w:t>
      </w:r>
      <w:r w:rsidRPr="00647123">
        <w:rPr>
          <w:vertAlign w:val="subscript"/>
          <w:lang w:eastAsia="ja-JP"/>
        </w:rPr>
        <w:t>in</w:t>
      </w:r>
      <w:r>
        <w:rPr>
          <w:lang w:eastAsia="ja-JP"/>
        </w:rPr>
        <w:t>(</w:t>
      </w:r>
      <w:r w:rsidRPr="00647123">
        <w:rPr>
          <w:i/>
          <w:iCs/>
          <w:lang w:eastAsia="ja-JP"/>
        </w:rPr>
        <w:t>t</w:t>
      </w:r>
      <w:r>
        <w:rPr>
          <w:lang w:eastAsia="ja-JP"/>
        </w:rPr>
        <w:t xml:space="preserve">) is input energy supplied from VRE, and </w:t>
      </w:r>
      <w:proofErr w:type="spellStart"/>
      <w:r w:rsidRPr="00647123">
        <w:rPr>
          <w:i/>
          <w:iCs/>
          <w:lang w:eastAsia="ja-JP"/>
        </w:rPr>
        <w:t>Q</w:t>
      </w:r>
      <w:r>
        <w:rPr>
          <w:vertAlign w:val="subscript"/>
          <w:lang w:eastAsia="ja-JP"/>
        </w:rPr>
        <w:t>out</w:t>
      </w:r>
      <w:proofErr w:type="spellEnd"/>
      <w:r>
        <w:rPr>
          <w:lang w:eastAsia="ja-JP"/>
        </w:rPr>
        <w:t>(</w:t>
      </w:r>
      <w:r w:rsidRPr="00647123">
        <w:rPr>
          <w:i/>
          <w:iCs/>
          <w:lang w:eastAsia="ja-JP"/>
        </w:rPr>
        <w:t>t</w:t>
      </w:r>
      <w:r>
        <w:rPr>
          <w:lang w:eastAsia="ja-JP"/>
        </w:rPr>
        <w:t xml:space="preserve">) is output energy from the energy storage, which is calculated from the amount of </w:t>
      </w:r>
      <w:r w:rsidR="006A1D42">
        <w:rPr>
          <w:lang w:eastAsia="ja-JP"/>
        </w:rPr>
        <w:t>power sales</w:t>
      </w:r>
      <w:r>
        <w:rPr>
          <w:lang w:eastAsia="ja-JP"/>
        </w:rPr>
        <w:t xml:space="preserve">. </w:t>
      </w:r>
      <w:proofErr w:type="spellStart"/>
      <w:r w:rsidRPr="005525AE">
        <w:rPr>
          <w:i/>
          <w:iCs/>
          <w:lang w:eastAsia="ja-JP"/>
        </w:rPr>
        <w:t>Q</w:t>
      </w:r>
      <w:r w:rsidRPr="005525AE">
        <w:rPr>
          <w:vertAlign w:val="subscript"/>
          <w:lang w:eastAsia="ja-JP"/>
        </w:rPr>
        <w:t>leakage</w:t>
      </w:r>
      <w:proofErr w:type="spellEnd"/>
      <w:r>
        <w:rPr>
          <w:lang w:eastAsia="ja-JP"/>
        </w:rPr>
        <w:t>(</w:t>
      </w:r>
      <w:r w:rsidRPr="005525AE">
        <w:rPr>
          <w:i/>
          <w:iCs/>
          <w:lang w:eastAsia="ja-JP"/>
        </w:rPr>
        <w:t>t</w:t>
      </w:r>
      <w:r>
        <w:rPr>
          <w:lang w:eastAsia="ja-JP"/>
        </w:rPr>
        <w:t xml:space="preserve">) is energy leakage from energy storage, i.e., </w:t>
      </w:r>
      <w:r w:rsidRPr="00471FC0">
        <w:rPr>
          <w:lang w:eastAsia="ja-JP"/>
        </w:rPr>
        <w:t>battery self-discharge, H</w:t>
      </w:r>
      <w:r w:rsidRPr="00804C62">
        <w:rPr>
          <w:vertAlign w:val="subscript"/>
          <w:lang w:eastAsia="ja-JP"/>
        </w:rPr>
        <w:t>2</w:t>
      </w:r>
      <w:r w:rsidRPr="00471FC0">
        <w:rPr>
          <w:lang w:eastAsia="ja-JP"/>
        </w:rPr>
        <w:t xml:space="preserve"> leakage, </w:t>
      </w:r>
      <w:r>
        <w:rPr>
          <w:lang w:eastAsia="ja-JP"/>
        </w:rPr>
        <w:t>and</w:t>
      </w:r>
      <w:r w:rsidRPr="00471FC0">
        <w:rPr>
          <w:lang w:eastAsia="ja-JP"/>
        </w:rPr>
        <w:t xml:space="preserve"> heat </w:t>
      </w:r>
      <w:r>
        <w:rPr>
          <w:lang w:eastAsia="ja-JP"/>
        </w:rPr>
        <w:t>leakage.</w:t>
      </w:r>
      <w:r w:rsidRPr="00B27FC8">
        <w:rPr>
          <w:i/>
          <w:iCs/>
          <w:lang w:eastAsia="ja-JP"/>
        </w:rPr>
        <w:t xml:space="preserve"> </w:t>
      </w:r>
      <w:r w:rsidRPr="00DC4000">
        <w:rPr>
          <w:lang w:eastAsia="ja-JP"/>
        </w:rPr>
        <w:t>T</w:t>
      </w:r>
      <w:r>
        <w:rPr>
          <w:lang w:eastAsia="ja-JP"/>
        </w:rPr>
        <w:t xml:space="preserve">he amount of </w:t>
      </w:r>
      <w:r w:rsidR="006A1D42">
        <w:rPr>
          <w:lang w:eastAsia="ja-JP"/>
        </w:rPr>
        <w:t>power sales</w:t>
      </w:r>
      <w:r>
        <w:rPr>
          <w:lang w:eastAsia="ja-JP"/>
        </w:rPr>
        <w:t xml:space="preserve"> </w:t>
      </w:r>
      <w:r w:rsidR="00B27FC8">
        <w:rPr>
          <w:lang w:eastAsia="ja-JP"/>
        </w:rPr>
        <w:t>is adjusted to occur</w:t>
      </w:r>
      <w:r w:rsidR="0036594A">
        <w:rPr>
          <w:lang w:eastAsia="ja-JP"/>
        </w:rPr>
        <w:t xml:space="preserve"> </w:t>
      </w:r>
      <w:r w:rsidR="00066C46">
        <w:rPr>
          <w:lang w:eastAsia="ja-JP"/>
        </w:rPr>
        <w:t xml:space="preserve">in </w:t>
      </w:r>
      <w:r w:rsidR="0036594A" w:rsidRPr="008926C0">
        <w:t xml:space="preserve">periods of zero </w:t>
      </w:r>
      <w:proofErr w:type="spellStart"/>
      <w:r w:rsidR="002E64D8" w:rsidRPr="002E64D8">
        <w:rPr>
          <w:i/>
          <w:iCs/>
        </w:rPr>
        <w:t>Q</w:t>
      </w:r>
      <w:r w:rsidR="002E64D8" w:rsidRPr="002E64D8">
        <w:rPr>
          <w:vertAlign w:val="subscript"/>
        </w:rPr>
        <w:t>storage</w:t>
      </w:r>
      <w:proofErr w:type="spellEnd"/>
      <w:r w:rsidR="002E64D8">
        <w:t xml:space="preserve">, </w:t>
      </w:r>
      <w:r w:rsidR="00EA04A0">
        <w:t>and t</w:t>
      </w:r>
      <w:r w:rsidR="00C348BD">
        <w:t>he</w:t>
      </w:r>
      <w:r w:rsidR="00BA24B6">
        <w:t xml:space="preserve"> </w:t>
      </w:r>
      <w:r w:rsidR="00BA24B6" w:rsidRPr="008926C0">
        <w:t>power</w:t>
      </w:r>
      <w:r w:rsidR="00920092">
        <w:t xml:space="preserve"> sales</w:t>
      </w:r>
      <w:r w:rsidR="00BA24B6" w:rsidRPr="008926C0">
        <w:t xml:space="preserve"> value represents the maximum that the targeted energy storage system could sell.</w:t>
      </w:r>
      <w:r w:rsidR="001C6756">
        <w:t xml:space="preserve"> </w:t>
      </w:r>
      <w:r w:rsidR="001C6756" w:rsidRPr="008926C0">
        <w:t>This study present</w:t>
      </w:r>
      <w:r w:rsidR="00694A44">
        <w:t>s</w:t>
      </w:r>
      <w:r w:rsidR="001C6756" w:rsidRPr="008926C0">
        <w:t xml:space="preserve"> the value of power </w:t>
      </w:r>
      <w:r w:rsidR="00694A44">
        <w:t>to be sold</w:t>
      </w:r>
      <w:r w:rsidR="001C6756" w:rsidRPr="008926C0">
        <w:t xml:space="preserve"> as a result of power </w:t>
      </w:r>
      <w:r w:rsidR="00543242">
        <w:t>sales</w:t>
      </w:r>
      <w:r w:rsidR="001C6756" w:rsidRPr="008926C0">
        <w:t>.</w:t>
      </w:r>
      <w:r w:rsidR="00DB6BF4">
        <w:t xml:space="preserve"> </w:t>
      </w:r>
      <w:r w:rsidR="00114B95" w:rsidRPr="00114B95">
        <w:t>To supply electricity for more than one year, it was assumed that the amount of stored energy, i.e., the amount</w:t>
      </w:r>
      <w:r w:rsidR="00694A44">
        <w:t>s</w:t>
      </w:r>
      <w:r w:rsidR="00114B95" w:rsidRPr="00114B95">
        <w:t xml:space="preserve"> of electricity in the battery, </w:t>
      </w:r>
      <w:r w:rsidR="004B23FD" w:rsidRPr="00514709">
        <w:rPr>
          <w:lang w:val="en-GB"/>
        </w:rPr>
        <w:t>H</w:t>
      </w:r>
      <w:r w:rsidR="004B23FD" w:rsidRPr="004B23FD">
        <w:rPr>
          <w:vertAlign w:val="subscript"/>
          <w:lang w:val="en-GB"/>
        </w:rPr>
        <w:t>2</w:t>
      </w:r>
      <w:r w:rsidR="00114B95" w:rsidRPr="00114B95">
        <w:t xml:space="preserve"> in the </w:t>
      </w:r>
      <w:r w:rsidR="004B23FD" w:rsidRPr="00514709">
        <w:rPr>
          <w:lang w:val="en-GB"/>
        </w:rPr>
        <w:t>H</w:t>
      </w:r>
      <w:r w:rsidR="004B23FD" w:rsidRPr="004B23FD">
        <w:rPr>
          <w:vertAlign w:val="subscript"/>
          <w:lang w:val="en-GB"/>
        </w:rPr>
        <w:t>2</w:t>
      </w:r>
      <w:r w:rsidR="00114B95" w:rsidRPr="00114B95">
        <w:t xml:space="preserve"> tank, and the temperature and amount of molten salt in the TES tank, were the same at 0:00 on January 1st and at 24:00 on December 31st.</w:t>
      </w:r>
    </w:p>
    <w:p w14:paraId="17786728" w14:textId="4E187E56" w:rsidR="00F12CEA" w:rsidRDefault="00065BA7" w:rsidP="00F12CEA">
      <w:pPr>
        <w:pStyle w:val="Els-2ndorder-head"/>
      </w:pPr>
      <w:r w:rsidRPr="00065BA7">
        <w:t>Analysis settings</w:t>
      </w:r>
    </w:p>
    <w:p w14:paraId="06A588A9" w14:textId="4A952D5F" w:rsidR="00F12CEA" w:rsidRDefault="007062C0" w:rsidP="00F12CEA">
      <w:pPr>
        <w:pStyle w:val="Els-body-text"/>
      </w:pPr>
      <w:r w:rsidRPr="007062C0">
        <w:t>In energy flow simulations</w:t>
      </w:r>
      <w:r w:rsidR="00790C59" w:rsidRPr="00790C59">
        <w:t>, wind energy was assumed to b</w:t>
      </w:r>
      <w:r w:rsidR="007C6219">
        <w:t>e</w:t>
      </w:r>
      <w:r w:rsidR="00790C59" w:rsidRPr="00790C59">
        <w:t xml:space="preserve"> </w:t>
      </w:r>
      <w:r w:rsidR="007C6219">
        <w:t>delivered as a type of</w:t>
      </w:r>
      <w:r w:rsidR="00790C59" w:rsidRPr="00790C59">
        <w:t xml:space="preserve"> VRE. </w:t>
      </w:r>
      <w:r w:rsidR="009C0D36">
        <w:t>F</w:t>
      </w:r>
      <w:r w:rsidR="00790C59" w:rsidRPr="00790C59">
        <w:t>acilities for power</w:t>
      </w:r>
      <w:r w:rsidR="007D49A6">
        <w:rPr>
          <w:rFonts w:hint="eastAsia"/>
          <w:lang w:eastAsia="ja-JP"/>
        </w:rPr>
        <w:t>/</w:t>
      </w:r>
      <w:r w:rsidR="00790C59" w:rsidRPr="00790C59">
        <w:t xml:space="preserve">heat generation from wind energy </w:t>
      </w:r>
      <w:r w:rsidR="000E0313">
        <w:t>are</w:t>
      </w:r>
      <w:r w:rsidR="00790C59" w:rsidRPr="00790C59">
        <w:t xml:space="preserve"> assumed to </w:t>
      </w:r>
      <w:r w:rsidR="007C6219">
        <w:t xml:space="preserve">be </w:t>
      </w:r>
      <w:r w:rsidR="00790C59" w:rsidRPr="00790C59">
        <w:t>install</w:t>
      </w:r>
      <w:r w:rsidR="007C6219">
        <w:t>ed as</w:t>
      </w:r>
      <w:r w:rsidR="00790C59" w:rsidRPr="00790C59">
        <w:t xml:space="preserve"> wind turbines (WTs) or wind-thermal energy converters (</w:t>
      </w:r>
      <w:proofErr w:type="spellStart"/>
      <w:r w:rsidR="00790C59" w:rsidRPr="00790C59">
        <w:t>WEC</w:t>
      </w:r>
      <w:r w:rsidR="00790C59" w:rsidRPr="000720ED">
        <w:rPr>
          <w:vertAlign w:val="subscript"/>
        </w:rPr>
        <w:t>th</w:t>
      </w:r>
      <w:proofErr w:type="spellEnd"/>
      <w:r w:rsidR="00790C59" w:rsidRPr="00790C59">
        <w:t>)</w:t>
      </w:r>
      <w:r w:rsidR="00853B5A">
        <w:t xml:space="preserve">. </w:t>
      </w:r>
      <w:r w:rsidR="007C6219">
        <w:t xml:space="preserve">A </w:t>
      </w:r>
      <w:proofErr w:type="spellStart"/>
      <w:r w:rsidR="00853B5A">
        <w:t>WE</w:t>
      </w:r>
      <w:r w:rsidR="00EE414B">
        <w:t>C</w:t>
      </w:r>
      <w:r w:rsidR="00EE414B" w:rsidRPr="00EE414B">
        <w:rPr>
          <w:vertAlign w:val="subscript"/>
        </w:rPr>
        <w:t>th</w:t>
      </w:r>
      <w:proofErr w:type="spellEnd"/>
      <w:r w:rsidR="00790C59" w:rsidRPr="00790C59">
        <w:t xml:space="preserve"> </w:t>
      </w:r>
      <w:r w:rsidR="00007349" w:rsidRPr="00007349">
        <w:t>directly convert</w:t>
      </w:r>
      <w:r w:rsidR="000E0313">
        <w:t>s</w:t>
      </w:r>
      <w:r w:rsidR="00007349" w:rsidRPr="00007349">
        <w:t xml:space="preserve"> wind-derived rotational energy into thermal energy</w:t>
      </w:r>
      <w:r w:rsidR="00790C59" w:rsidRPr="00790C59">
        <w:t xml:space="preserve"> </w:t>
      </w:r>
      <w:r w:rsidR="000720ED">
        <w:rPr>
          <w:noProof/>
        </w:rPr>
        <w:t>(Okazaki et al., 2015)</w:t>
      </w:r>
      <w:r w:rsidR="00790C59" w:rsidRPr="00790C59">
        <w:t>.</w:t>
      </w:r>
      <w:r w:rsidRPr="007062C0">
        <w:t xml:space="preserve"> </w:t>
      </w:r>
    </w:p>
    <w:p w14:paraId="69C59C15" w14:textId="60B8DC3A" w:rsidR="00F7658B" w:rsidRDefault="00F7658B" w:rsidP="00F7658B">
      <w:pPr>
        <w:pStyle w:val="Els-body-text"/>
        <w:rPr>
          <w:lang w:eastAsia="ja-JP"/>
        </w:rPr>
      </w:pPr>
      <w:r>
        <w:t xml:space="preserve">In the battery system, the number of battery cells was assumed to be two. </w:t>
      </w:r>
      <w:r w:rsidR="007C6219">
        <w:t>C</w:t>
      </w:r>
      <w:r>
        <w:t>ell</w:t>
      </w:r>
      <w:r w:rsidR="007C6219">
        <w:t>s</w:t>
      </w:r>
      <w:r>
        <w:t xml:space="preserve"> </w:t>
      </w:r>
      <w:r w:rsidR="007C6219">
        <w:t>were</w:t>
      </w:r>
      <w:r>
        <w:t xml:space="preserve"> assumed to be incapable of charging and discharging simultaneously. In the H</w:t>
      </w:r>
      <w:r w:rsidRPr="0006788F">
        <w:rPr>
          <w:vertAlign w:val="subscript"/>
        </w:rPr>
        <w:t>2</w:t>
      </w:r>
      <w:r>
        <w:t xml:space="preserve"> system, the capacity of the electrolyzer was determined based on the capacities of </w:t>
      </w:r>
      <w:r w:rsidR="007C6219">
        <w:t xml:space="preserve">the </w:t>
      </w:r>
      <w:r>
        <w:t xml:space="preserve">WT and </w:t>
      </w:r>
      <w:r w:rsidR="007C6219">
        <w:t>the</w:t>
      </w:r>
      <w:r>
        <w:t xml:space="preserve"> H</w:t>
      </w:r>
      <w:r w:rsidRPr="0006788F">
        <w:rPr>
          <w:vertAlign w:val="subscript"/>
        </w:rPr>
        <w:t>2</w:t>
      </w:r>
      <w:r>
        <w:t xml:space="preserve"> tank. When </w:t>
      </w:r>
      <w:r w:rsidR="00694A44">
        <w:t xml:space="preserve">sufficient </w:t>
      </w:r>
      <w:r>
        <w:t>WT</w:t>
      </w:r>
      <w:r w:rsidR="00694A44">
        <w:t>s</w:t>
      </w:r>
      <w:r>
        <w:t xml:space="preserve"> and </w:t>
      </w:r>
      <w:proofErr w:type="gramStart"/>
      <w:r>
        <w:t xml:space="preserve">an </w:t>
      </w:r>
      <w:r w:rsidR="0006788F">
        <w:t>H</w:t>
      </w:r>
      <w:r w:rsidR="0006788F" w:rsidRPr="0006788F">
        <w:rPr>
          <w:vertAlign w:val="subscript"/>
        </w:rPr>
        <w:t>2</w:t>
      </w:r>
      <w:proofErr w:type="gramEnd"/>
      <w:r>
        <w:t xml:space="preserve"> tank</w:t>
      </w:r>
      <w:r w:rsidR="00694A44">
        <w:t>s</w:t>
      </w:r>
      <w:r>
        <w:t xml:space="preserve"> are installed, the electrolyzer </w:t>
      </w:r>
      <w:r w:rsidR="00E5535B">
        <w:t xml:space="preserve">capacity </w:t>
      </w:r>
      <w:r>
        <w:t xml:space="preserve">is assumed to be equal to the </w:t>
      </w:r>
      <w:r w:rsidR="00E5535B">
        <w:t xml:space="preserve">WT </w:t>
      </w:r>
      <w:r>
        <w:t xml:space="preserve">capacity. </w:t>
      </w:r>
      <w:r w:rsidRPr="0035570A">
        <w:t xml:space="preserve">When a small </w:t>
      </w:r>
      <w:r w:rsidR="0006788F" w:rsidRPr="0035570A">
        <w:t>H</w:t>
      </w:r>
      <w:r w:rsidR="0006788F" w:rsidRPr="0035570A">
        <w:rPr>
          <w:vertAlign w:val="subscript"/>
        </w:rPr>
        <w:t>2</w:t>
      </w:r>
      <w:r w:rsidRPr="0035570A">
        <w:t xml:space="preserve"> tank is installed, it m</w:t>
      </w:r>
      <w:r w:rsidR="007C6219">
        <w:t>ight</w:t>
      </w:r>
      <w:r w:rsidRPr="0035570A">
        <w:t xml:space="preserve"> not be able to store all </w:t>
      </w:r>
      <w:r w:rsidR="007C6219">
        <w:t xml:space="preserve">the </w:t>
      </w:r>
      <w:r w:rsidR="0006788F" w:rsidRPr="0035570A">
        <w:t>H</w:t>
      </w:r>
      <w:r w:rsidR="0006788F" w:rsidRPr="0035570A">
        <w:rPr>
          <w:vertAlign w:val="subscript"/>
        </w:rPr>
        <w:t>2</w:t>
      </w:r>
      <w:r w:rsidRPr="0035570A">
        <w:t xml:space="preserve"> generated from WT</w:t>
      </w:r>
      <w:r w:rsidR="00694A44">
        <w:t>s</w:t>
      </w:r>
      <w:r w:rsidR="00E318C8" w:rsidRPr="0035570A">
        <w:t>, so the electrolyzer capacity is limited to a scale that</w:t>
      </w:r>
      <w:r w:rsidR="00133CC9" w:rsidRPr="0035570A">
        <w:t xml:space="preserve"> </w:t>
      </w:r>
      <w:r w:rsidR="00760F6F" w:rsidRPr="0035570A">
        <w:t>could</w:t>
      </w:r>
      <w:r w:rsidR="00587AB4" w:rsidRPr="0035570A">
        <w:t xml:space="preserve"> produce the amount of</w:t>
      </w:r>
      <w:r w:rsidRPr="0035570A">
        <w:t xml:space="preserve"> </w:t>
      </w:r>
      <w:r w:rsidR="004B23FD" w:rsidRPr="0035570A">
        <w:rPr>
          <w:lang w:val="en-GB"/>
        </w:rPr>
        <w:t>H</w:t>
      </w:r>
      <w:r w:rsidR="004B23FD" w:rsidRPr="0035570A">
        <w:rPr>
          <w:vertAlign w:val="subscript"/>
          <w:lang w:val="en-GB"/>
        </w:rPr>
        <w:t>2</w:t>
      </w:r>
      <w:r w:rsidRPr="0035570A">
        <w:t xml:space="preserve"> that </w:t>
      </w:r>
      <w:r w:rsidR="00760F6F" w:rsidRPr="0035570A">
        <w:t>could</w:t>
      </w:r>
      <w:r w:rsidRPr="0035570A">
        <w:t xml:space="preserve"> be stored in </w:t>
      </w:r>
      <w:r w:rsidR="007C6219">
        <w:t>the</w:t>
      </w:r>
      <w:r w:rsidRPr="0035570A">
        <w:t xml:space="preserve"> small </w:t>
      </w:r>
      <w:r w:rsidR="0006788F" w:rsidRPr="0035570A">
        <w:t>H</w:t>
      </w:r>
      <w:r w:rsidR="0006788F" w:rsidRPr="0035570A">
        <w:rPr>
          <w:vertAlign w:val="subscript"/>
        </w:rPr>
        <w:t>2</w:t>
      </w:r>
      <w:r w:rsidRPr="0035570A">
        <w:t xml:space="preserve"> tank. </w:t>
      </w:r>
      <w:r w:rsidR="00947611" w:rsidRPr="00947611">
        <w:t>T</w:t>
      </w:r>
      <w:r w:rsidR="007C6219">
        <w:t>o</w:t>
      </w:r>
      <w:r w:rsidR="007C6219" w:rsidRPr="00947611">
        <w:t xml:space="preserve"> avoid low-load operation</w:t>
      </w:r>
      <w:r w:rsidR="007C6219">
        <w:t>,</w:t>
      </w:r>
      <w:r w:rsidR="007C6219" w:rsidRPr="00947611">
        <w:t xml:space="preserve"> </w:t>
      </w:r>
      <w:r w:rsidR="007C6219">
        <w:t>t</w:t>
      </w:r>
      <w:r w:rsidR="00947611" w:rsidRPr="00947611">
        <w:t xml:space="preserve">he electrolyzer was assumed to produce </w:t>
      </w:r>
      <w:r w:rsidR="00947611">
        <w:t>H</w:t>
      </w:r>
      <w:r w:rsidR="00947611" w:rsidRPr="0006788F">
        <w:rPr>
          <w:vertAlign w:val="subscript"/>
        </w:rPr>
        <w:t>2</w:t>
      </w:r>
      <w:r w:rsidR="00947611" w:rsidRPr="00947611">
        <w:t xml:space="preserve"> when power generation exceeded 50% of the electrolyzer capacity</w:t>
      </w:r>
      <w:r w:rsidR="004F27D3">
        <w:t>.</w:t>
      </w:r>
      <w:r w:rsidR="00947611" w:rsidRPr="00947611">
        <w:t xml:space="preserve"> </w:t>
      </w:r>
      <w:r w:rsidR="004F27D3">
        <w:t>F</w:t>
      </w:r>
      <w:r w:rsidR="00947611" w:rsidRPr="00947611">
        <w:t xml:space="preserve">or </w:t>
      </w:r>
      <w:r w:rsidR="004F27D3">
        <w:t xml:space="preserve">the installation of the </w:t>
      </w:r>
      <w:r w:rsidR="00947611" w:rsidRPr="00947611">
        <w:t>100.8 MW</w:t>
      </w:r>
      <w:r w:rsidR="009D11FD">
        <w:t>-WT</w:t>
      </w:r>
      <w:r w:rsidR="00947611" w:rsidRPr="00947611">
        <w:t xml:space="preserve">, </w:t>
      </w:r>
      <w:r w:rsidR="00947611">
        <w:t>H</w:t>
      </w:r>
      <w:r w:rsidR="00947611" w:rsidRPr="0006788F">
        <w:rPr>
          <w:vertAlign w:val="subscript"/>
        </w:rPr>
        <w:t>2</w:t>
      </w:r>
      <w:r w:rsidR="00947611" w:rsidRPr="00947611">
        <w:t xml:space="preserve"> was assumed to be produced when generating power over 50.4 MW because </w:t>
      </w:r>
      <w:r w:rsidR="004F27D3">
        <w:t>the</w:t>
      </w:r>
      <w:r w:rsidR="004F27D3" w:rsidRPr="00947611">
        <w:t xml:space="preserve"> electrolyzer </w:t>
      </w:r>
      <w:r w:rsidR="004F27D3">
        <w:t xml:space="preserve">was </w:t>
      </w:r>
      <w:r w:rsidR="00947611" w:rsidRPr="00947611">
        <w:t>100.8 MW.</w:t>
      </w:r>
      <w:r w:rsidR="00750969">
        <w:rPr>
          <w:rFonts w:hint="eastAsia"/>
          <w:lang w:eastAsia="ja-JP"/>
        </w:rPr>
        <w:t xml:space="preserve"> </w:t>
      </w:r>
      <w:r w:rsidR="00750969">
        <w:t>If large volumes of H</w:t>
      </w:r>
      <w:r w:rsidR="00750969" w:rsidRPr="0006788F">
        <w:rPr>
          <w:vertAlign w:val="subscript"/>
        </w:rPr>
        <w:t>2</w:t>
      </w:r>
      <w:r w:rsidR="00750969">
        <w:t xml:space="preserve"> are to be produced, several electrolyzers are assumed to be installed</w:t>
      </w:r>
      <w:r w:rsidR="00A97695">
        <w:t xml:space="preserve">, </w:t>
      </w:r>
      <w:r w:rsidR="006E4E6D">
        <w:t>configuring</w:t>
      </w:r>
      <w:r w:rsidR="00750969">
        <w:t xml:space="preserve"> the total capacity of the electrolyzers.</w:t>
      </w:r>
    </w:p>
    <w:p w14:paraId="766BEE79" w14:textId="2EE587C5" w:rsidR="00E97CC5" w:rsidRDefault="00903D97" w:rsidP="00F7658B">
      <w:pPr>
        <w:pStyle w:val="Els-body-text"/>
      </w:pPr>
      <w:r>
        <w:t>The e</w:t>
      </w:r>
      <w:r w:rsidR="00E97CC5" w:rsidRPr="00E97CC5">
        <w:t xml:space="preserve">nergy conversion rate </w:t>
      </w:r>
      <w:r w:rsidR="00691D6A">
        <w:t>was</w:t>
      </w:r>
      <w:r w:rsidR="00E97CC5" w:rsidRPr="00E97CC5">
        <w:t xml:space="preserve"> assumed to be fast enough to operate the energy storage system. In this study, all </w:t>
      </w:r>
      <w:r w:rsidR="00691D6A">
        <w:t xml:space="preserve">the </w:t>
      </w:r>
      <w:r w:rsidR="00E97CC5" w:rsidRPr="00E97CC5">
        <w:t xml:space="preserve">wind energy input </w:t>
      </w:r>
      <w:r w:rsidR="00691D6A">
        <w:t>for</w:t>
      </w:r>
      <w:r w:rsidR="00E97CC5" w:rsidRPr="00E97CC5">
        <w:t xml:space="preserve"> one hour </w:t>
      </w:r>
      <w:r w:rsidR="00691D6A">
        <w:t>wa</w:t>
      </w:r>
      <w:r w:rsidR="00E97CC5" w:rsidRPr="00E97CC5">
        <w:t>s assumed to be converted into the target energy, such as H</w:t>
      </w:r>
      <w:r w:rsidR="00E97CC5" w:rsidRPr="000B6E5D">
        <w:rPr>
          <w:vertAlign w:val="subscript"/>
        </w:rPr>
        <w:t>2</w:t>
      </w:r>
      <w:r w:rsidR="00E97CC5" w:rsidRPr="00E97CC5">
        <w:t xml:space="preserve"> and heat, in one hour. Also, H</w:t>
      </w:r>
      <w:r w:rsidR="00E97CC5" w:rsidRPr="000B6E5D">
        <w:rPr>
          <w:vertAlign w:val="subscript"/>
        </w:rPr>
        <w:t>2</w:t>
      </w:r>
      <w:r w:rsidR="00E97CC5" w:rsidRPr="00E97CC5">
        <w:t xml:space="preserve"> and heat </w:t>
      </w:r>
      <w:r w:rsidR="00691D6A">
        <w:t>we</w:t>
      </w:r>
      <w:r w:rsidR="00E97CC5" w:rsidRPr="00E97CC5">
        <w:t xml:space="preserve">re assumed to be converted into power depending on the amount of </w:t>
      </w:r>
      <w:r w:rsidR="006A1D42">
        <w:t>power sales</w:t>
      </w:r>
      <w:r w:rsidR="00E97CC5" w:rsidRPr="00E97CC5">
        <w:t>.</w:t>
      </w:r>
    </w:p>
    <w:p w14:paraId="144DE6A1" w14:textId="51848BFA" w:rsidR="008D2649" w:rsidRPr="00A94774" w:rsidRDefault="00C47B60" w:rsidP="008D2649">
      <w:pPr>
        <w:pStyle w:val="Els-1storder-head"/>
        <w:spacing w:after="120"/>
        <w:rPr>
          <w:lang w:val="en-GB"/>
        </w:rPr>
      </w:pPr>
      <w:r>
        <w:rPr>
          <w:lang w:val="en-GB"/>
        </w:rPr>
        <w:t>Results and discussions</w:t>
      </w:r>
    </w:p>
    <w:p w14:paraId="439C0014" w14:textId="170683A9" w:rsidR="00DB7C43" w:rsidRPr="00DB7C43" w:rsidRDefault="00700846" w:rsidP="00387DE0">
      <w:pPr>
        <w:pStyle w:val="Els-2ndorder-head"/>
      </w:pPr>
      <w:r>
        <w:t>Power sold from the e</w:t>
      </w:r>
      <w:r w:rsidR="002510D7" w:rsidRPr="002510D7">
        <w:t xml:space="preserve">nergy storage </w:t>
      </w:r>
      <w:proofErr w:type="gramStart"/>
      <w:r w:rsidR="002510D7" w:rsidRPr="002510D7">
        <w:t>systems</w:t>
      </w:r>
      <w:proofErr w:type="gramEnd"/>
    </w:p>
    <w:p w14:paraId="4466D1C0" w14:textId="505F804E" w:rsidR="00C54DDF" w:rsidRDefault="00C54DDF" w:rsidP="00387DE0">
      <w:pPr>
        <w:pStyle w:val="Els-body-text"/>
        <w:rPr>
          <w:lang w:val="en-GB"/>
        </w:rPr>
      </w:pPr>
      <w:r w:rsidRPr="00387DE0">
        <w:rPr>
          <w:lang w:val="en-GB"/>
        </w:rPr>
        <w:t xml:space="preserve">The energy flows of the energy storage systems were </w:t>
      </w:r>
      <w:r w:rsidR="00700846" w:rsidRPr="00387DE0">
        <w:rPr>
          <w:lang w:val="en-GB"/>
        </w:rPr>
        <w:t>simulated,</w:t>
      </w:r>
      <w:r>
        <w:rPr>
          <w:lang w:val="en-GB"/>
        </w:rPr>
        <w:t xml:space="preserve"> and </w:t>
      </w:r>
      <w:r w:rsidR="00691D6A">
        <w:rPr>
          <w:lang w:val="en-GB"/>
        </w:rPr>
        <w:t xml:space="preserve">the </w:t>
      </w:r>
      <w:r w:rsidR="000D22B9">
        <w:rPr>
          <w:lang w:val="en-GB"/>
        </w:rPr>
        <w:t>power to be sold</w:t>
      </w:r>
      <w:r w:rsidR="00ED511B">
        <w:rPr>
          <w:lang w:val="en-GB"/>
        </w:rPr>
        <w:t xml:space="preserve"> was calculated </w:t>
      </w:r>
      <w:r w:rsidR="00ED511B" w:rsidRPr="00542F94">
        <w:rPr>
          <w:lang w:val="en-GB"/>
        </w:rPr>
        <w:t xml:space="preserve">for various amounts of </w:t>
      </w:r>
      <w:r w:rsidR="00B4210D" w:rsidRPr="00B4210D">
        <w:rPr>
          <w:lang w:val="en-GB"/>
        </w:rPr>
        <w:t>WT/</w:t>
      </w:r>
      <w:proofErr w:type="spellStart"/>
      <w:r w:rsidR="00B4210D" w:rsidRPr="00B4210D">
        <w:rPr>
          <w:lang w:val="en-GB"/>
        </w:rPr>
        <w:t>WEC</w:t>
      </w:r>
      <w:r w:rsidR="00B4210D" w:rsidRPr="00B4210D">
        <w:rPr>
          <w:vertAlign w:val="subscript"/>
          <w:lang w:val="en-GB"/>
        </w:rPr>
        <w:t>th</w:t>
      </w:r>
      <w:proofErr w:type="spellEnd"/>
      <w:r w:rsidR="00ED511B" w:rsidRPr="00542F94">
        <w:rPr>
          <w:lang w:val="en-GB"/>
        </w:rPr>
        <w:t xml:space="preserve"> and energy storage</w:t>
      </w:r>
      <w:r w:rsidR="00ED511B" w:rsidRPr="00387DE0">
        <w:rPr>
          <w:lang w:val="en-GB"/>
        </w:rPr>
        <w:t>.</w:t>
      </w:r>
      <w:r w:rsidR="004A54A5">
        <w:rPr>
          <w:lang w:val="en-GB"/>
        </w:rPr>
        <w:t xml:space="preserve"> </w:t>
      </w:r>
      <w:r w:rsidR="00FE32B7">
        <w:rPr>
          <w:lang w:val="en-GB"/>
        </w:rPr>
        <w:t>T</w:t>
      </w:r>
      <w:r w:rsidR="00FE32B7" w:rsidRPr="00FE32B7">
        <w:rPr>
          <w:lang w:val="en-GB"/>
        </w:rPr>
        <w:t xml:space="preserve">he maximum </w:t>
      </w:r>
      <w:r w:rsidR="00FE32B7" w:rsidRPr="00FE32B7">
        <w:rPr>
          <w:lang w:val="en-GB"/>
        </w:rPr>
        <w:lastRenderedPageBreak/>
        <w:t xml:space="preserve">amount of </w:t>
      </w:r>
      <w:r w:rsidR="000D22B9">
        <w:rPr>
          <w:lang w:val="en-GB"/>
        </w:rPr>
        <w:t>power to be sold</w:t>
      </w:r>
      <w:r w:rsidR="00FE32B7" w:rsidRPr="00FE32B7">
        <w:rPr>
          <w:lang w:val="en-GB"/>
        </w:rPr>
        <w:t xml:space="preserve"> from the energy storage system was </w:t>
      </w:r>
      <w:r w:rsidR="00E65C34">
        <w:rPr>
          <w:lang w:val="en-GB"/>
        </w:rPr>
        <w:t>calculated when</w:t>
      </w:r>
      <w:r w:rsidR="00566CD9">
        <w:rPr>
          <w:lang w:val="en-GB"/>
        </w:rPr>
        <w:t xml:space="preserve"> the amount of energy storage and </w:t>
      </w:r>
      <w:r w:rsidR="00F2792C" w:rsidRPr="00B4210D">
        <w:rPr>
          <w:lang w:val="en-GB"/>
        </w:rPr>
        <w:t>WT/</w:t>
      </w:r>
      <w:proofErr w:type="spellStart"/>
      <w:r w:rsidR="00F2792C" w:rsidRPr="00B4210D">
        <w:rPr>
          <w:lang w:val="en-GB"/>
        </w:rPr>
        <w:t>WEC</w:t>
      </w:r>
      <w:r w:rsidR="00F2792C" w:rsidRPr="00B4210D">
        <w:rPr>
          <w:vertAlign w:val="subscript"/>
          <w:lang w:val="en-GB"/>
        </w:rPr>
        <w:t>th</w:t>
      </w:r>
      <w:proofErr w:type="spellEnd"/>
      <w:r w:rsidR="00566CD9">
        <w:rPr>
          <w:lang w:val="en-GB"/>
        </w:rPr>
        <w:t xml:space="preserve"> installation were set.</w:t>
      </w:r>
    </w:p>
    <w:p w14:paraId="7CA0DC72" w14:textId="59AC13C6" w:rsidR="00091BF2" w:rsidRDefault="00091BF2" w:rsidP="00387DE0">
      <w:pPr>
        <w:pStyle w:val="Els-body-text"/>
        <w:rPr>
          <w:lang w:val="en-GB"/>
        </w:rPr>
      </w:pPr>
      <w:r w:rsidRPr="00091BF2">
        <w:rPr>
          <w:lang w:val="en-GB"/>
        </w:rPr>
        <w:t xml:space="preserve">The amount of </w:t>
      </w:r>
      <w:r w:rsidR="000D22B9">
        <w:rPr>
          <w:lang w:val="en-GB"/>
        </w:rPr>
        <w:t>power to be sold</w:t>
      </w:r>
      <w:r w:rsidRPr="00091BF2">
        <w:rPr>
          <w:lang w:val="en-GB"/>
        </w:rPr>
        <w:t xml:space="preserve"> </w:t>
      </w:r>
      <w:r w:rsidR="00691D6A">
        <w:rPr>
          <w:lang w:val="en-GB"/>
        </w:rPr>
        <w:t>was</w:t>
      </w:r>
      <w:r w:rsidRPr="00091BF2">
        <w:rPr>
          <w:lang w:val="en-GB"/>
        </w:rPr>
        <w:t xml:space="preserve"> assumed to be constant throughout the year. Regardless of the type of energy storage, the amount of </w:t>
      </w:r>
      <w:r w:rsidR="000D22B9">
        <w:rPr>
          <w:lang w:val="en-GB"/>
        </w:rPr>
        <w:t>power to be sold</w:t>
      </w:r>
      <w:r w:rsidRPr="00091BF2">
        <w:rPr>
          <w:lang w:val="en-GB"/>
        </w:rPr>
        <w:t xml:space="preserve"> increased as the amount of </w:t>
      </w:r>
      <w:r w:rsidR="00B4210D" w:rsidRPr="00B4210D">
        <w:rPr>
          <w:lang w:val="en-GB"/>
        </w:rPr>
        <w:t>WT/</w:t>
      </w:r>
      <w:proofErr w:type="spellStart"/>
      <w:r w:rsidR="00B4210D" w:rsidRPr="00B4210D">
        <w:rPr>
          <w:lang w:val="en-GB"/>
        </w:rPr>
        <w:t>WEC</w:t>
      </w:r>
      <w:r w:rsidR="00B4210D" w:rsidRPr="00B4210D">
        <w:rPr>
          <w:vertAlign w:val="subscript"/>
          <w:lang w:val="en-GB"/>
        </w:rPr>
        <w:t>th</w:t>
      </w:r>
      <w:proofErr w:type="spellEnd"/>
      <w:r w:rsidRPr="00091BF2">
        <w:rPr>
          <w:lang w:val="en-GB"/>
        </w:rPr>
        <w:t xml:space="preserve"> and energy storage installed increased (</w:t>
      </w:r>
      <w:r w:rsidR="00A10FCB">
        <w:rPr>
          <w:lang w:val="en-GB"/>
        </w:rPr>
        <w:fldChar w:fldCharType="begin"/>
      </w:r>
      <w:r w:rsidR="00A10FCB">
        <w:rPr>
          <w:lang w:val="en-GB"/>
        </w:rPr>
        <w:instrText xml:space="preserve"> REF _Ref154614218 \h </w:instrText>
      </w:r>
      <w:r w:rsidR="00A10FCB">
        <w:rPr>
          <w:lang w:val="en-GB"/>
        </w:rPr>
      </w:r>
      <w:r w:rsidR="00A10FCB">
        <w:rPr>
          <w:lang w:val="en-GB"/>
        </w:rPr>
        <w:fldChar w:fldCharType="separate"/>
      </w:r>
      <w:r w:rsidR="00A10FCB">
        <w:t xml:space="preserve">Figure </w:t>
      </w:r>
      <w:r w:rsidR="00A10FCB">
        <w:rPr>
          <w:noProof/>
        </w:rPr>
        <w:t>2</w:t>
      </w:r>
      <w:r w:rsidR="00A10FCB">
        <w:rPr>
          <w:lang w:val="en-GB"/>
        </w:rPr>
        <w:fldChar w:fldCharType="end"/>
      </w:r>
      <w:r w:rsidRPr="00091BF2">
        <w:rPr>
          <w:lang w:val="en-GB"/>
        </w:rPr>
        <w:t xml:space="preserve">). However, if the </w:t>
      </w:r>
      <w:r w:rsidR="00D75FF3">
        <w:rPr>
          <w:lang w:val="en-GB"/>
        </w:rPr>
        <w:t>large</w:t>
      </w:r>
      <w:r w:rsidRPr="00091BF2">
        <w:rPr>
          <w:lang w:val="en-GB"/>
        </w:rPr>
        <w:t xml:space="preserve"> energy storage </w:t>
      </w:r>
      <w:r w:rsidR="00D75FF3">
        <w:rPr>
          <w:lang w:val="en-GB"/>
        </w:rPr>
        <w:t>facilities</w:t>
      </w:r>
      <w:r w:rsidR="00CE1CD1">
        <w:rPr>
          <w:lang w:val="en-GB"/>
        </w:rPr>
        <w:t xml:space="preserve"> were ins</w:t>
      </w:r>
      <w:r w:rsidR="00DA4E37">
        <w:rPr>
          <w:lang w:val="en-GB"/>
        </w:rPr>
        <w:t>t</w:t>
      </w:r>
      <w:r w:rsidR="00CE1CD1">
        <w:rPr>
          <w:lang w:val="en-GB"/>
        </w:rPr>
        <w:t>alled</w:t>
      </w:r>
      <w:r w:rsidRPr="00091BF2">
        <w:rPr>
          <w:lang w:val="en-GB"/>
        </w:rPr>
        <w:t xml:space="preserve">, </w:t>
      </w:r>
      <w:r w:rsidR="00691D6A">
        <w:rPr>
          <w:lang w:val="en-GB"/>
        </w:rPr>
        <w:t xml:space="preserve">the </w:t>
      </w:r>
      <w:r w:rsidRPr="00091BF2">
        <w:rPr>
          <w:lang w:val="en-GB"/>
        </w:rPr>
        <w:t xml:space="preserve">power </w:t>
      </w:r>
      <w:r w:rsidR="00691D6A">
        <w:rPr>
          <w:lang w:val="en-GB"/>
        </w:rPr>
        <w:t>sales</w:t>
      </w:r>
      <w:r w:rsidRPr="00091BF2">
        <w:rPr>
          <w:lang w:val="en-GB"/>
        </w:rPr>
        <w:t xml:space="preserve"> increased slightly or decreased. </w:t>
      </w:r>
      <w:r w:rsidR="002F1293">
        <w:rPr>
          <w:lang w:val="en-GB"/>
        </w:rPr>
        <w:t>I</w:t>
      </w:r>
      <w:r w:rsidRPr="00091BF2">
        <w:rPr>
          <w:lang w:val="en-GB"/>
        </w:rPr>
        <w:t xml:space="preserve">n the case of </w:t>
      </w:r>
      <w:r w:rsidR="00970F0E">
        <w:rPr>
          <w:lang w:val="en-GB"/>
        </w:rPr>
        <w:t xml:space="preserve">the </w:t>
      </w:r>
      <w:r w:rsidRPr="00091BF2">
        <w:rPr>
          <w:lang w:val="en-GB"/>
        </w:rPr>
        <w:t>TES system</w:t>
      </w:r>
      <w:r w:rsidR="002F1293">
        <w:rPr>
          <w:lang w:val="en-GB"/>
        </w:rPr>
        <w:t xml:space="preserve"> in particular</w:t>
      </w:r>
      <w:r w:rsidRPr="00091BF2">
        <w:rPr>
          <w:lang w:val="en-GB"/>
        </w:rPr>
        <w:t xml:space="preserve">, the molten salt stored in the cold tank also releases heat due to its temperature of 290 </w:t>
      </w:r>
      <w:r w:rsidR="00EE78B7" w:rsidRPr="002D193D">
        <w:t>°C</w:t>
      </w:r>
      <w:r w:rsidRPr="00091BF2">
        <w:rPr>
          <w:lang w:val="en-GB"/>
        </w:rPr>
        <w:t xml:space="preserve">. If an excessive TES was installed, the excess molten salt stored in the cold tank released heat, resulting in a decrease in the amount of </w:t>
      </w:r>
      <w:r w:rsidR="000D22B9">
        <w:rPr>
          <w:lang w:val="en-GB"/>
        </w:rPr>
        <w:t>power to be sold</w:t>
      </w:r>
      <w:r w:rsidRPr="00091BF2">
        <w:rPr>
          <w:lang w:val="en-GB"/>
        </w:rPr>
        <w:t xml:space="preserve">. Therefore, to use stored energy effectively, the amount of energy storage should be installed in proportion to the amount of </w:t>
      </w:r>
      <w:r w:rsidR="00B4210D" w:rsidRPr="00B4210D">
        <w:rPr>
          <w:lang w:val="en-GB"/>
        </w:rPr>
        <w:t>WT/</w:t>
      </w:r>
      <w:proofErr w:type="spellStart"/>
      <w:r w:rsidR="00B4210D" w:rsidRPr="00B4210D">
        <w:rPr>
          <w:lang w:val="en-GB"/>
        </w:rPr>
        <w:t>WEC</w:t>
      </w:r>
      <w:r w:rsidR="00B4210D" w:rsidRPr="00B4210D">
        <w:rPr>
          <w:vertAlign w:val="subscript"/>
          <w:lang w:val="en-GB"/>
        </w:rPr>
        <w:t>th</w:t>
      </w:r>
      <w:proofErr w:type="spellEnd"/>
      <w:r w:rsidRPr="00091BF2">
        <w:rPr>
          <w:lang w:val="en-GB"/>
        </w:rPr>
        <w:t xml:space="preserve"> installation.</w:t>
      </w:r>
    </w:p>
    <w:p w14:paraId="1DFE9D6B" w14:textId="162FAB30" w:rsidR="00CB539B" w:rsidRDefault="00CB539B" w:rsidP="00F33687">
      <w:pPr>
        <w:pStyle w:val="Els-body-text"/>
        <w:jc w:val="center"/>
        <w:rPr>
          <w:lang w:val="en-GB"/>
        </w:rPr>
      </w:pPr>
      <w:r>
        <w:rPr>
          <w:noProof/>
          <w:lang w:val="en-GB"/>
        </w:rPr>
        <w:drawing>
          <wp:inline distT="0" distB="0" distL="0" distR="0" wp14:anchorId="66554A30" wp14:editId="10063AA8">
            <wp:extent cx="3463701" cy="1512000"/>
            <wp:effectExtent l="0" t="0" r="3810" b="0"/>
            <wp:docPr id="1436866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63701" cy="1512000"/>
                    </a:xfrm>
                    <a:prstGeom prst="rect">
                      <a:avLst/>
                    </a:prstGeom>
                    <a:noFill/>
                    <a:ln>
                      <a:noFill/>
                    </a:ln>
                  </pic:spPr>
                </pic:pic>
              </a:graphicData>
            </a:graphic>
          </wp:inline>
        </w:drawing>
      </w:r>
    </w:p>
    <w:p w14:paraId="61B2E24A" w14:textId="725E011B" w:rsidR="00F33687" w:rsidRDefault="00F33687" w:rsidP="0054368A">
      <w:pPr>
        <w:pStyle w:val="Els-caption"/>
      </w:pPr>
      <w:bookmarkStart w:id="2" w:name="_Ref154614218"/>
      <w:r>
        <w:t xml:space="preserve">Figure </w:t>
      </w:r>
      <w:r>
        <w:fldChar w:fldCharType="begin"/>
      </w:r>
      <w:r>
        <w:instrText xml:space="preserve"> SEQ Figure \* ARABIC </w:instrText>
      </w:r>
      <w:r>
        <w:fldChar w:fldCharType="separate"/>
      </w:r>
      <w:r w:rsidR="00A10FCB">
        <w:rPr>
          <w:noProof/>
        </w:rPr>
        <w:t>2</w:t>
      </w:r>
      <w:r>
        <w:fldChar w:fldCharType="end"/>
      </w:r>
      <w:bookmarkEnd w:id="2"/>
      <w:r>
        <w:t xml:space="preserve"> Power sold from the energy storage system</w:t>
      </w:r>
      <w:r w:rsidRPr="00C91271">
        <w:t>.</w:t>
      </w:r>
    </w:p>
    <w:p w14:paraId="704A297B" w14:textId="5122D7C0" w:rsidR="00ED511B" w:rsidRPr="00DB7C43" w:rsidRDefault="006A1D42" w:rsidP="00ED511B">
      <w:pPr>
        <w:pStyle w:val="Els-2ndorder-head"/>
      </w:pPr>
      <w:r>
        <w:t>Life cycle</w:t>
      </w:r>
      <w:r w:rsidR="00283238" w:rsidRPr="00283238">
        <w:t xml:space="preserve"> impacts of the energy storage system</w:t>
      </w:r>
      <w:r w:rsidR="001E6E00">
        <w:rPr>
          <w:rFonts w:hint="eastAsia"/>
          <w:lang w:eastAsia="ja-JP"/>
        </w:rPr>
        <w:t>s</w:t>
      </w:r>
    </w:p>
    <w:p w14:paraId="34799CD6" w14:textId="061975CA" w:rsidR="00962070" w:rsidRDefault="006A1D42" w:rsidP="00387DE0">
      <w:pPr>
        <w:pStyle w:val="Els-body-text"/>
        <w:rPr>
          <w:lang w:val="en-GB"/>
        </w:rPr>
      </w:pPr>
      <w:r>
        <w:t>Life cycle</w:t>
      </w:r>
      <w:r w:rsidR="00DE0184">
        <w:t xml:space="preserve"> impacts</w:t>
      </w:r>
      <w:r w:rsidR="00962070" w:rsidRPr="00962070">
        <w:rPr>
          <w:lang w:val="en-GB"/>
        </w:rPr>
        <w:t xml:space="preserve"> were evaluated for various amounts of </w:t>
      </w:r>
      <w:r w:rsidR="00F2792C" w:rsidRPr="00B4210D">
        <w:rPr>
          <w:lang w:val="en-GB"/>
        </w:rPr>
        <w:t>WT/</w:t>
      </w:r>
      <w:proofErr w:type="spellStart"/>
      <w:r w:rsidR="00F2792C" w:rsidRPr="00B4210D">
        <w:rPr>
          <w:lang w:val="en-GB"/>
        </w:rPr>
        <w:t>WEC</w:t>
      </w:r>
      <w:r w:rsidR="00F2792C" w:rsidRPr="00B4210D">
        <w:rPr>
          <w:vertAlign w:val="subscript"/>
          <w:lang w:val="en-GB"/>
        </w:rPr>
        <w:t>th</w:t>
      </w:r>
      <w:proofErr w:type="spellEnd"/>
      <w:r w:rsidR="00962070" w:rsidRPr="00962070">
        <w:rPr>
          <w:lang w:val="en-GB"/>
        </w:rPr>
        <w:t xml:space="preserve"> and energy storage. </w:t>
      </w:r>
      <w:r w:rsidR="00FC1B61">
        <w:rPr>
          <w:lang w:val="en-GB"/>
        </w:rPr>
        <w:t xml:space="preserve">The </w:t>
      </w:r>
      <w:r w:rsidR="006D0ADD" w:rsidRPr="006D0ADD">
        <w:rPr>
          <w:lang w:val="en-GB"/>
        </w:rPr>
        <w:t>GHG and ARD intensities</w:t>
      </w:r>
      <w:r w:rsidR="00FC1B61">
        <w:rPr>
          <w:lang w:val="en-GB"/>
        </w:rPr>
        <w:t xml:space="preserve"> are shown in </w:t>
      </w:r>
      <w:r w:rsidR="00FC1B61">
        <w:rPr>
          <w:lang w:val="en-GB"/>
        </w:rPr>
        <w:fldChar w:fldCharType="begin"/>
      </w:r>
      <w:r w:rsidR="00FC1B61">
        <w:rPr>
          <w:lang w:val="en-GB"/>
        </w:rPr>
        <w:instrText xml:space="preserve"> REF _Ref150871062 \h </w:instrText>
      </w:r>
      <w:r w:rsidR="00FC1B61">
        <w:rPr>
          <w:lang w:val="en-GB"/>
        </w:rPr>
      </w:r>
      <w:r w:rsidR="00FC1B61">
        <w:rPr>
          <w:lang w:val="en-GB"/>
        </w:rPr>
        <w:fldChar w:fldCharType="separate"/>
      </w:r>
      <w:r w:rsidR="00FC1B61">
        <w:t xml:space="preserve">Figure </w:t>
      </w:r>
      <w:r w:rsidR="00FC1B61">
        <w:rPr>
          <w:noProof/>
        </w:rPr>
        <w:t>3</w:t>
      </w:r>
      <w:r w:rsidR="00FC1B61">
        <w:rPr>
          <w:lang w:val="en-GB"/>
        </w:rPr>
        <w:fldChar w:fldCharType="end"/>
      </w:r>
      <w:r w:rsidR="006D0ADD" w:rsidRPr="006D0ADD">
        <w:rPr>
          <w:lang w:val="en-GB"/>
        </w:rPr>
        <w:t>.</w:t>
      </w:r>
      <w:r w:rsidR="006D0ADD">
        <w:rPr>
          <w:lang w:val="en-GB"/>
        </w:rPr>
        <w:t xml:space="preserve"> </w:t>
      </w:r>
      <w:r w:rsidR="00962070" w:rsidRPr="00962070">
        <w:rPr>
          <w:lang w:val="en-GB"/>
        </w:rPr>
        <w:t xml:space="preserve">LC-GHG and ARD </w:t>
      </w:r>
      <w:r w:rsidR="00F77343">
        <w:rPr>
          <w:lang w:val="en-GB"/>
        </w:rPr>
        <w:t xml:space="preserve">were considered </w:t>
      </w:r>
      <w:r w:rsidR="00962070" w:rsidRPr="00962070">
        <w:rPr>
          <w:lang w:val="en-GB"/>
        </w:rPr>
        <w:t xml:space="preserve">from production </w:t>
      </w:r>
      <w:r w:rsidR="009512EA">
        <w:rPr>
          <w:lang w:val="en-GB"/>
        </w:rPr>
        <w:t>to</w:t>
      </w:r>
      <w:r w:rsidR="00962070" w:rsidRPr="00962070">
        <w:rPr>
          <w:lang w:val="en-GB"/>
        </w:rPr>
        <w:t xml:space="preserve"> disposal of </w:t>
      </w:r>
      <w:r w:rsidR="00B4210D" w:rsidRPr="00B4210D">
        <w:rPr>
          <w:lang w:val="en-GB"/>
        </w:rPr>
        <w:t>WT/</w:t>
      </w:r>
      <w:proofErr w:type="spellStart"/>
      <w:r w:rsidR="00B4210D" w:rsidRPr="00B4210D">
        <w:rPr>
          <w:lang w:val="en-GB"/>
        </w:rPr>
        <w:t>WEC</w:t>
      </w:r>
      <w:r w:rsidR="00B4210D" w:rsidRPr="00B4210D">
        <w:rPr>
          <w:vertAlign w:val="subscript"/>
          <w:lang w:val="en-GB"/>
        </w:rPr>
        <w:t>th</w:t>
      </w:r>
      <w:proofErr w:type="spellEnd"/>
      <w:r w:rsidR="00962070" w:rsidRPr="00962070">
        <w:rPr>
          <w:lang w:val="en-GB"/>
        </w:rPr>
        <w:t>, energy storage</w:t>
      </w:r>
      <w:r w:rsidR="00B3087E">
        <w:rPr>
          <w:lang w:val="en-GB"/>
        </w:rPr>
        <w:t>,</w:t>
      </w:r>
      <w:r w:rsidR="00962070" w:rsidRPr="00962070">
        <w:rPr>
          <w:lang w:val="en-GB"/>
        </w:rPr>
        <w:t xml:space="preserve"> and </w:t>
      </w:r>
      <w:r w:rsidR="007D49A6" w:rsidRPr="00962070">
        <w:rPr>
          <w:lang w:val="en-GB"/>
        </w:rPr>
        <w:t>other</w:t>
      </w:r>
      <w:r w:rsidR="007D49A6">
        <w:rPr>
          <w:lang w:val="en-GB"/>
        </w:rPr>
        <w:t xml:space="preserve"> utilities</w:t>
      </w:r>
      <w:r w:rsidR="00962070" w:rsidRPr="00962070">
        <w:rPr>
          <w:lang w:val="en-GB"/>
        </w:rPr>
        <w:t xml:space="preserve">. Other utilities included </w:t>
      </w:r>
      <w:r w:rsidR="00DE2B54">
        <w:rPr>
          <w:lang w:val="en-GB"/>
        </w:rPr>
        <w:t xml:space="preserve">an </w:t>
      </w:r>
      <w:r w:rsidR="00962070" w:rsidRPr="00962070">
        <w:rPr>
          <w:lang w:val="en-GB"/>
        </w:rPr>
        <w:t>electrolyzer and fuel cell in the H</w:t>
      </w:r>
      <w:r w:rsidR="00962070" w:rsidRPr="00D80FA1">
        <w:rPr>
          <w:vertAlign w:val="subscript"/>
          <w:lang w:val="en-GB"/>
        </w:rPr>
        <w:t>2</w:t>
      </w:r>
      <w:r w:rsidR="00962070" w:rsidRPr="00962070">
        <w:rPr>
          <w:lang w:val="en-GB"/>
        </w:rPr>
        <w:t xml:space="preserve"> system and </w:t>
      </w:r>
      <w:r w:rsidR="00DE2B54">
        <w:rPr>
          <w:lang w:val="en-GB"/>
        </w:rPr>
        <w:t xml:space="preserve">a </w:t>
      </w:r>
      <w:r w:rsidR="00962070" w:rsidRPr="00962070">
        <w:rPr>
          <w:lang w:val="en-GB"/>
        </w:rPr>
        <w:t xml:space="preserve">steam turbine and heat exchanger in the TES system. </w:t>
      </w:r>
      <w:r w:rsidR="00FC1B61">
        <w:rPr>
          <w:lang w:val="en-GB"/>
        </w:rPr>
        <w:t xml:space="preserve">The </w:t>
      </w:r>
      <w:r w:rsidR="00962070" w:rsidRPr="00962070">
        <w:rPr>
          <w:lang w:val="en-GB"/>
        </w:rPr>
        <w:t xml:space="preserve">GHG and ARD intensities were </w:t>
      </w:r>
      <w:r w:rsidR="00FE5430">
        <w:rPr>
          <w:lang w:val="en-GB"/>
        </w:rPr>
        <w:t xml:space="preserve">calculated from </w:t>
      </w:r>
      <w:r w:rsidR="00271314">
        <w:rPr>
          <w:lang w:val="en-GB"/>
        </w:rPr>
        <w:t xml:space="preserve">LC-GHG and ARD and </w:t>
      </w:r>
      <w:r w:rsidR="00962070" w:rsidRPr="00962070">
        <w:rPr>
          <w:lang w:val="en-GB"/>
        </w:rPr>
        <w:t xml:space="preserve">expressed per power </w:t>
      </w:r>
      <w:r w:rsidR="00370CC6">
        <w:rPr>
          <w:lang w:val="en-GB"/>
        </w:rPr>
        <w:t>sales</w:t>
      </w:r>
      <w:r w:rsidR="00962070" w:rsidRPr="00962070">
        <w:rPr>
          <w:lang w:val="en-GB"/>
        </w:rPr>
        <w:t>.</w:t>
      </w:r>
    </w:p>
    <w:p w14:paraId="0B665935" w14:textId="5E328D5A" w:rsidR="00193B31" w:rsidRDefault="00B4210D" w:rsidP="00387DE0">
      <w:pPr>
        <w:pStyle w:val="Els-body-text"/>
        <w:rPr>
          <w:lang w:val="en-GB"/>
        </w:rPr>
      </w:pPr>
      <w:r w:rsidRPr="00B4210D">
        <w:rPr>
          <w:lang w:val="en-GB"/>
        </w:rPr>
        <w:t xml:space="preserve">GHG intensities were compared in </w:t>
      </w:r>
      <w:r>
        <w:fldChar w:fldCharType="begin"/>
      </w:r>
      <w:r>
        <w:rPr>
          <w:lang w:val="en-GB"/>
        </w:rPr>
        <w:instrText xml:space="preserve"> REF _Ref150871062 \h </w:instrText>
      </w:r>
      <w:r>
        <w:fldChar w:fldCharType="separate"/>
      </w:r>
      <w:r w:rsidR="00A10FCB">
        <w:t xml:space="preserve">Figure </w:t>
      </w:r>
      <w:r w:rsidR="00A10FCB">
        <w:rPr>
          <w:noProof/>
        </w:rPr>
        <w:t>3</w:t>
      </w:r>
      <w:r>
        <w:fldChar w:fldCharType="end"/>
      </w:r>
      <w:r w:rsidRPr="00B4210D">
        <w:rPr>
          <w:lang w:val="en-GB"/>
        </w:rPr>
        <w:t xml:space="preserve"> (a). In all systems, GHG intensities were high with small energy storages due to the large impact of WT/</w:t>
      </w:r>
      <w:proofErr w:type="spellStart"/>
      <w:r w:rsidRPr="00B4210D">
        <w:rPr>
          <w:lang w:val="en-GB"/>
        </w:rPr>
        <w:t>WEC</w:t>
      </w:r>
      <w:r w:rsidRPr="00B4210D">
        <w:rPr>
          <w:vertAlign w:val="subscript"/>
          <w:lang w:val="en-GB"/>
        </w:rPr>
        <w:t>th</w:t>
      </w:r>
      <w:proofErr w:type="spellEnd"/>
      <w:r w:rsidRPr="00B4210D">
        <w:rPr>
          <w:lang w:val="en-GB"/>
        </w:rPr>
        <w:t xml:space="preserve"> production. When a few large energy storage</w:t>
      </w:r>
      <w:r w:rsidR="00FC1B61">
        <w:rPr>
          <w:lang w:val="en-GB"/>
        </w:rPr>
        <w:t xml:space="preserve"> facilities</w:t>
      </w:r>
      <w:r w:rsidRPr="00B4210D">
        <w:rPr>
          <w:lang w:val="en-GB"/>
        </w:rPr>
        <w:t xml:space="preserve"> were installed, GHG intensities decreased because the amount of power s</w:t>
      </w:r>
      <w:r w:rsidR="00FC1B61">
        <w:rPr>
          <w:lang w:val="en-GB"/>
        </w:rPr>
        <w:t>old</w:t>
      </w:r>
      <w:r w:rsidRPr="00B4210D">
        <w:rPr>
          <w:lang w:val="en-GB"/>
        </w:rPr>
        <w:t xml:space="preserve"> increased. When excess energy storage</w:t>
      </w:r>
      <w:r w:rsidR="00FC1B61">
        <w:rPr>
          <w:lang w:val="en-GB"/>
        </w:rPr>
        <w:t xml:space="preserve"> facilities</w:t>
      </w:r>
      <w:r w:rsidRPr="00B4210D">
        <w:rPr>
          <w:lang w:val="en-GB"/>
        </w:rPr>
        <w:t xml:space="preserve"> were installed, GHG intensities were high due to high GHG emissions from the production of energy storage</w:t>
      </w:r>
      <w:r w:rsidR="00FC1B61">
        <w:rPr>
          <w:lang w:val="en-GB"/>
        </w:rPr>
        <w:t xml:space="preserve"> facilities</w:t>
      </w:r>
      <w:r w:rsidRPr="00B4210D">
        <w:rPr>
          <w:lang w:val="en-GB"/>
        </w:rPr>
        <w:t>.</w:t>
      </w:r>
      <w:r w:rsidR="00FC1B61">
        <w:rPr>
          <w:lang w:val="en-GB"/>
        </w:rPr>
        <w:t xml:space="preserve"> </w:t>
      </w:r>
      <w:r w:rsidR="002F1293">
        <w:rPr>
          <w:lang w:val="en-GB"/>
        </w:rPr>
        <w:t xml:space="preserve">For the </w:t>
      </w:r>
      <w:r w:rsidRPr="00B4210D">
        <w:rPr>
          <w:lang w:val="en-GB"/>
        </w:rPr>
        <w:t>H</w:t>
      </w:r>
      <w:r w:rsidRPr="001C2AEF">
        <w:rPr>
          <w:vertAlign w:val="subscript"/>
          <w:lang w:val="en-GB"/>
        </w:rPr>
        <w:t>2</w:t>
      </w:r>
      <w:r w:rsidRPr="00B4210D">
        <w:rPr>
          <w:lang w:val="en-GB"/>
        </w:rPr>
        <w:t xml:space="preserve"> system</w:t>
      </w:r>
      <w:r w:rsidR="00FC1B61">
        <w:rPr>
          <w:lang w:val="en-GB"/>
        </w:rPr>
        <w:t>, in particular</w:t>
      </w:r>
      <w:r w:rsidRPr="00B4210D">
        <w:rPr>
          <w:lang w:val="en-GB"/>
        </w:rPr>
        <w:t xml:space="preserve">, </w:t>
      </w:r>
      <w:r w:rsidR="007D6681">
        <w:rPr>
          <w:lang w:val="en-GB"/>
        </w:rPr>
        <w:t>al</w:t>
      </w:r>
      <w:r w:rsidRPr="00B4210D">
        <w:rPr>
          <w:lang w:val="en-GB"/>
        </w:rPr>
        <w:t xml:space="preserve">though it showed the lowest GHG intensity with large energy storage in the three systems, it showed the highest GHG intensity with small energy storage. This is because GHG emissions from the production of </w:t>
      </w:r>
      <w:r w:rsidR="00FC1B61">
        <w:rPr>
          <w:lang w:val="en-GB"/>
        </w:rPr>
        <w:t xml:space="preserve">the </w:t>
      </w:r>
      <w:r w:rsidRPr="00B4210D">
        <w:rPr>
          <w:lang w:val="en-GB"/>
        </w:rPr>
        <w:t xml:space="preserve">electrolyzer, which increased in scale with the WT installation, increased in order to use the wind-derived electricity for </w:t>
      </w:r>
      <w:r w:rsidR="001C2AEF" w:rsidRPr="00B4210D">
        <w:rPr>
          <w:lang w:val="en-GB"/>
        </w:rPr>
        <w:t>H</w:t>
      </w:r>
      <w:r w:rsidR="001C2AEF" w:rsidRPr="001C2AEF">
        <w:rPr>
          <w:vertAlign w:val="subscript"/>
          <w:lang w:val="en-GB"/>
        </w:rPr>
        <w:t>2</w:t>
      </w:r>
      <w:r w:rsidRPr="00B4210D">
        <w:rPr>
          <w:lang w:val="en-GB"/>
        </w:rPr>
        <w:t xml:space="preserve"> production. Therefore, even with smaller </w:t>
      </w:r>
      <w:r w:rsidR="001C2AEF" w:rsidRPr="00B4210D">
        <w:rPr>
          <w:lang w:val="en-GB"/>
        </w:rPr>
        <w:t>H</w:t>
      </w:r>
      <w:r w:rsidR="001C2AEF" w:rsidRPr="001C2AEF">
        <w:rPr>
          <w:vertAlign w:val="subscript"/>
          <w:lang w:val="en-GB"/>
        </w:rPr>
        <w:t>2</w:t>
      </w:r>
      <w:r w:rsidRPr="00B4210D">
        <w:rPr>
          <w:lang w:val="en-GB"/>
        </w:rPr>
        <w:t xml:space="preserve"> tanks, </w:t>
      </w:r>
      <w:r w:rsidR="00FC1B61">
        <w:rPr>
          <w:lang w:val="en-GB"/>
        </w:rPr>
        <w:t xml:space="preserve">the </w:t>
      </w:r>
      <w:r w:rsidRPr="00B4210D">
        <w:rPr>
          <w:lang w:val="en-GB"/>
        </w:rPr>
        <w:t xml:space="preserve">GHG intensity was higher when a large WT was installed. In addition, when </w:t>
      </w:r>
      <w:r w:rsidR="001C2AEF" w:rsidRPr="00B4210D">
        <w:rPr>
          <w:lang w:val="en-GB"/>
        </w:rPr>
        <w:t>H</w:t>
      </w:r>
      <w:r w:rsidR="001C2AEF" w:rsidRPr="001C2AEF">
        <w:rPr>
          <w:vertAlign w:val="subscript"/>
          <w:lang w:val="en-GB"/>
        </w:rPr>
        <w:t>2</w:t>
      </w:r>
      <w:r w:rsidRPr="00B4210D">
        <w:rPr>
          <w:lang w:val="en-GB"/>
        </w:rPr>
        <w:t xml:space="preserve"> production increased due to </w:t>
      </w:r>
      <w:r w:rsidR="001C2AEF">
        <w:rPr>
          <w:lang w:val="en-GB"/>
        </w:rPr>
        <w:t xml:space="preserve">a </w:t>
      </w:r>
      <w:r w:rsidRPr="00B4210D">
        <w:rPr>
          <w:lang w:val="en-GB"/>
        </w:rPr>
        <w:t xml:space="preserve">large </w:t>
      </w:r>
      <w:r w:rsidR="001C2AEF" w:rsidRPr="00B4210D">
        <w:rPr>
          <w:lang w:val="en-GB"/>
        </w:rPr>
        <w:t>H</w:t>
      </w:r>
      <w:r w:rsidR="001C2AEF" w:rsidRPr="001C2AEF">
        <w:rPr>
          <w:vertAlign w:val="subscript"/>
          <w:lang w:val="en-GB"/>
        </w:rPr>
        <w:t>2</w:t>
      </w:r>
      <w:r w:rsidRPr="00B4210D">
        <w:rPr>
          <w:lang w:val="en-GB"/>
        </w:rPr>
        <w:t xml:space="preserve"> tank, GHG emissions from liquef</w:t>
      </w:r>
      <w:r w:rsidR="00FC1B61">
        <w:rPr>
          <w:lang w:val="en-GB"/>
        </w:rPr>
        <w:t>ied</w:t>
      </w:r>
      <w:r w:rsidRPr="00B4210D">
        <w:rPr>
          <w:lang w:val="en-GB"/>
        </w:rPr>
        <w:t xml:space="preserve"> </w:t>
      </w:r>
      <w:r w:rsidR="001C2AEF" w:rsidRPr="00B4210D">
        <w:rPr>
          <w:lang w:val="en-GB"/>
        </w:rPr>
        <w:t>H</w:t>
      </w:r>
      <w:r w:rsidR="001C2AEF" w:rsidRPr="001C2AEF">
        <w:rPr>
          <w:vertAlign w:val="subscript"/>
          <w:lang w:val="en-GB"/>
        </w:rPr>
        <w:t>2</w:t>
      </w:r>
      <w:r w:rsidRPr="00B4210D">
        <w:rPr>
          <w:lang w:val="en-GB"/>
        </w:rPr>
        <w:t xml:space="preserve"> </w:t>
      </w:r>
      <w:r w:rsidR="001C2AEF">
        <w:rPr>
          <w:lang w:val="en-GB"/>
        </w:rPr>
        <w:t>were</w:t>
      </w:r>
      <w:r w:rsidRPr="00B4210D">
        <w:rPr>
          <w:lang w:val="en-GB"/>
        </w:rPr>
        <w:t xml:space="preserve"> high.</w:t>
      </w:r>
      <w:r w:rsidR="00DC7F58">
        <w:rPr>
          <w:lang w:val="en-GB"/>
        </w:rPr>
        <w:t xml:space="preserve"> </w:t>
      </w:r>
      <w:r w:rsidR="00634A0F" w:rsidRPr="00634A0F">
        <w:rPr>
          <w:lang w:val="en-GB"/>
        </w:rPr>
        <w:t xml:space="preserve">When </w:t>
      </w:r>
      <w:r w:rsidR="00F2792C" w:rsidRPr="00B4210D">
        <w:rPr>
          <w:lang w:val="en-GB"/>
        </w:rPr>
        <w:t>WT/</w:t>
      </w:r>
      <w:proofErr w:type="spellStart"/>
      <w:r w:rsidR="00F2792C" w:rsidRPr="00B4210D">
        <w:rPr>
          <w:lang w:val="en-GB"/>
        </w:rPr>
        <w:t>WEC</w:t>
      </w:r>
      <w:r w:rsidR="00F2792C" w:rsidRPr="00B4210D">
        <w:rPr>
          <w:vertAlign w:val="subscript"/>
          <w:lang w:val="en-GB"/>
        </w:rPr>
        <w:t>th</w:t>
      </w:r>
      <w:proofErr w:type="spellEnd"/>
      <w:r w:rsidR="00634A0F" w:rsidRPr="00634A0F">
        <w:rPr>
          <w:lang w:val="en-GB"/>
        </w:rPr>
        <w:t xml:space="preserve"> was installed </w:t>
      </w:r>
      <w:r w:rsidR="00A52B2B">
        <w:rPr>
          <w:lang w:val="en-GB"/>
        </w:rPr>
        <w:t xml:space="preserve">at </w:t>
      </w:r>
      <w:r w:rsidR="00634A0F" w:rsidRPr="00634A0F">
        <w:rPr>
          <w:lang w:val="en-GB"/>
        </w:rPr>
        <w:t xml:space="preserve">100.8 MW, </w:t>
      </w:r>
      <w:r w:rsidR="00FC1B61">
        <w:rPr>
          <w:lang w:val="en-GB"/>
        </w:rPr>
        <w:t xml:space="preserve">the </w:t>
      </w:r>
      <w:r w:rsidR="00634A0F" w:rsidRPr="00634A0F">
        <w:rPr>
          <w:lang w:val="en-GB"/>
        </w:rPr>
        <w:t xml:space="preserve">minimum GHG intensities were </w:t>
      </w:r>
      <w:r w:rsidR="005B3618">
        <w:rPr>
          <w:lang w:val="en-GB"/>
        </w:rPr>
        <w:t>0.42</w:t>
      </w:r>
      <w:r w:rsidR="00634A0F" w:rsidRPr="00634A0F">
        <w:rPr>
          <w:lang w:val="en-GB"/>
        </w:rPr>
        <w:t xml:space="preserve"> kg-CO</w:t>
      </w:r>
      <w:r w:rsidR="00634A0F" w:rsidRPr="005B3618">
        <w:rPr>
          <w:vertAlign w:val="subscript"/>
          <w:lang w:val="en-GB"/>
        </w:rPr>
        <w:t>2</w:t>
      </w:r>
      <w:r w:rsidR="00634A0F" w:rsidRPr="00634A0F">
        <w:rPr>
          <w:lang w:val="en-GB"/>
        </w:rPr>
        <w:t xml:space="preserve">eq/kWh for </w:t>
      </w:r>
      <w:r w:rsidR="00FC1B61">
        <w:rPr>
          <w:lang w:val="en-GB"/>
        </w:rPr>
        <w:t xml:space="preserve">a battery of </w:t>
      </w:r>
      <w:r w:rsidR="005B3618">
        <w:rPr>
          <w:lang w:val="en-GB"/>
        </w:rPr>
        <w:t>1.1</w:t>
      </w:r>
      <w:r w:rsidR="00634A0F" w:rsidRPr="00634A0F">
        <w:rPr>
          <w:lang w:val="en-GB"/>
        </w:rPr>
        <w:t xml:space="preserve"> GWh, </w:t>
      </w:r>
      <w:r w:rsidR="00C509D1">
        <w:rPr>
          <w:lang w:val="en-GB"/>
        </w:rPr>
        <w:t>0.3</w:t>
      </w:r>
      <w:r w:rsidR="00E37A47">
        <w:rPr>
          <w:lang w:val="en-GB"/>
        </w:rPr>
        <w:t>4</w:t>
      </w:r>
      <w:r w:rsidR="00C509D1" w:rsidRPr="00C509D1">
        <w:rPr>
          <w:lang w:val="en-GB"/>
        </w:rPr>
        <w:t xml:space="preserve"> </w:t>
      </w:r>
      <w:r w:rsidR="00C509D1" w:rsidRPr="00634A0F">
        <w:rPr>
          <w:lang w:val="en-GB"/>
        </w:rPr>
        <w:t>kg-CO</w:t>
      </w:r>
      <w:r w:rsidR="00C509D1" w:rsidRPr="005B3618">
        <w:rPr>
          <w:vertAlign w:val="subscript"/>
          <w:lang w:val="en-GB"/>
        </w:rPr>
        <w:t>2</w:t>
      </w:r>
      <w:r w:rsidR="00C509D1" w:rsidRPr="00634A0F">
        <w:rPr>
          <w:lang w:val="en-GB"/>
        </w:rPr>
        <w:t>eq/kWh</w:t>
      </w:r>
      <w:r w:rsidR="00634A0F" w:rsidRPr="00634A0F">
        <w:rPr>
          <w:lang w:val="en-GB"/>
        </w:rPr>
        <w:t xml:space="preserve"> for 53 GWh-H</w:t>
      </w:r>
      <w:r w:rsidR="00634A0F" w:rsidRPr="00C509D1">
        <w:rPr>
          <w:vertAlign w:val="subscript"/>
          <w:lang w:val="en-GB"/>
        </w:rPr>
        <w:t>2</w:t>
      </w:r>
      <w:r w:rsidR="00634A0F" w:rsidRPr="00634A0F">
        <w:rPr>
          <w:lang w:val="en-GB"/>
        </w:rPr>
        <w:t xml:space="preserve"> storage, and </w:t>
      </w:r>
      <w:r w:rsidR="00C509D1">
        <w:rPr>
          <w:lang w:val="en-GB"/>
        </w:rPr>
        <w:t>0.17</w:t>
      </w:r>
      <w:r w:rsidR="00C509D1" w:rsidRPr="00C509D1">
        <w:rPr>
          <w:lang w:val="en-GB"/>
        </w:rPr>
        <w:t xml:space="preserve"> </w:t>
      </w:r>
      <w:r w:rsidR="00C509D1" w:rsidRPr="00634A0F">
        <w:rPr>
          <w:lang w:val="en-GB"/>
        </w:rPr>
        <w:t>kg-CO</w:t>
      </w:r>
      <w:r w:rsidR="00C509D1" w:rsidRPr="005B3618">
        <w:rPr>
          <w:vertAlign w:val="subscript"/>
          <w:lang w:val="en-GB"/>
        </w:rPr>
        <w:t>2</w:t>
      </w:r>
      <w:r w:rsidR="00C509D1" w:rsidRPr="00634A0F">
        <w:rPr>
          <w:lang w:val="en-GB"/>
        </w:rPr>
        <w:t>eq/kWh</w:t>
      </w:r>
      <w:r w:rsidR="00634A0F" w:rsidRPr="00634A0F">
        <w:rPr>
          <w:lang w:val="en-GB"/>
        </w:rPr>
        <w:t xml:space="preserve"> for </w:t>
      </w:r>
      <w:r w:rsidR="00E37A47">
        <w:rPr>
          <w:lang w:val="en-GB"/>
        </w:rPr>
        <w:t>2.9</w:t>
      </w:r>
      <w:r w:rsidR="00634A0F" w:rsidRPr="00634A0F">
        <w:rPr>
          <w:lang w:val="en-GB"/>
        </w:rPr>
        <w:t xml:space="preserve"> GWh-TES.</w:t>
      </w:r>
    </w:p>
    <w:p w14:paraId="78075471" w14:textId="26FA7DC9" w:rsidR="00A10FCB" w:rsidRDefault="00A41AE5" w:rsidP="00387DE0">
      <w:pPr>
        <w:pStyle w:val="Els-body-text"/>
        <w:rPr>
          <w:lang w:val="en-GB"/>
        </w:rPr>
      </w:pPr>
      <w:r>
        <w:rPr>
          <w:lang w:val="en-GB"/>
        </w:rPr>
        <w:t xml:space="preserve">The </w:t>
      </w:r>
      <w:r w:rsidR="00A10FCB" w:rsidRPr="00D06950">
        <w:rPr>
          <w:lang w:val="en-GB"/>
        </w:rPr>
        <w:t xml:space="preserve">ARD intensities of the energy systems </w:t>
      </w:r>
      <w:r w:rsidR="00A10FCB">
        <w:rPr>
          <w:lang w:val="en-GB"/>
        </w:rPr>
        <w:t>are</w:t>
      </w:r>
      <w:r w:rsidR="00A10FCB" w:rsidRPr="00D06950">
        <w:rPr>
          <w:lang w:val="en-GB"/>
        </w:rPr>
        <w:t xml:space="preserve"> shown in </w:t>
      </w:r>
      <w:r w:rsidR="00A10FCB">
        <w:rPr>
          <w:lang w:val="en-GB"/>
        </w:rPr>
        <w:fldChar w:fldCharType="begin"/>
      </w:r>
      <w:r w:rsidR="00A10FCB">
        <w:rPr>
          <w:lang w:val="en-GB"/>
        </w:rPr>
        <w:instrText xml:space="preserve"> REF _Ref150871062 \h </w:instrText>
      </w:r>
      <w:r w:rsidR="00A10FCB">
        <w:rPr>
          <w:lang w:val="en-GB"/>
        </w:rPr>
      </w:r>
      <w:r w:rsidR="00A10FCB">
        <w:rPr>
          <w:lang w:val="en-GB"/>
        </w:rPr>
        <w:fldChar w:fldCharType="separate"/>
      </w:r>
      <w:r w:rsidR="00A10FCB">
        <w:t xml:space="preserve">Figure </w:t>
      </w:r>
      <w:r w:rsidR="00A10FCB">
        <w:rPr>
          <w:noProof/>
        </w:rPr>
        <w:t>3</w:t>
      </w:r>
      <w:r w:rsidR="00A10FCB">
        <w:rPr>
          <w:lang w:val="en-GB"/>
        </w:rPr>
        <w:fldChar w:fldCharType="end"/>
      </w:r>
      <w:r w:rsidR="00A10FCB" w:rsidRPr="00D06950">
        <w:rPr>
          <w:lang w:val="en-GB"/>
        </w:rPr>
        <w:t xml:space="preserve"> (</w:t>
      </w:r>
      <w:r w:rsidR="00A10FCB">
        <w:rPr>
          <w:lang w:val="en-GB"/>
        </w:rPr>
        <w:t>b</w:t>
      </w:r>
      <w:r w:rsidR="00A10FCB" w:rsidRPr="00D06950">
        <w:rPr>
          <w:lang w:val="en-GB"/>
        </w:rPr>
        <w:t>).</w:t>
      </w:r>
      <w:r w:rsidR="00A10FCB">
        <w:rPr>
          <w:lang w:val="en-GB"/>
        </w:rPr>
        <w:t xml:space="preserve"> </w:t>
      </w:r>
      <w:r>
        <w:rPr>
          <w:lang w:val="en-GB"/>
        </w:rPr>
        <w:t>Like the</w:t>
      </w:r>
      <w:r w:rsidR="00A10FCB" w:rsidRPr="00B4210D">
        <w:rPr>
          <w:lang w:val="en-GB"/>
        </w:rPr>
        <w:t xml:space="preserve"> GHG intensities, ARD intensities were high with small or excess large energy storage, </w:t>
      </w:r>
      <w:r>
        <w:rPr>
          <w:lang w:val="en-GB"/>
        </w:rPr>
        <w:t>but</w:t>
      </w:r>
      <w:r w:rsidR="00A10FCB" w:rsidRPr="00B4210D">
        <w:rPr>
          <w:lang w:val="en-GB"/>
        </w:rPr>
        <w:t xml:space="preserve"> they were low with appropriate capacity of energy storage. </w:t>
      </w:r>
      <w:r>
        <w:rPr>
          <w:lang w:val="en-GB"/>
        </w:rPr>
        <w:t>However,</w:t>
      </w:r>
      <w:r w:rsidR="00A10FCB" w:rsidRPr="00B4210D">
        <w:rPr>
          <w:lang w:val="en-GB"/>
        </w:rPr>
        <w:t xml:space="preserve"> ARD from </w:t>
      </w:r>
      <w:r w:rsidR="00A10FCB">
        <w:rPr>
          <w:lang w:val="en-GB"/>
        </w:rPr>
        <w:t xml:space="preserve">the </w:t>
      </w:r>
      <w:r w:rsidR="00A10FCB" w:rsidRPr="00B4210D">
        <w:rPr>
          <w:lang w:val="en-GB"/>
        </w:rPr>
        <w:t>operation, such as H</w:t>
      </w:r>
      <w:r w:rsidR="00A10FCB" w:rsidRPr="00A10FCB">
        <w:rPr>
          <w:vertAlign w:val="subscript"/>
          <w:lang w:val="en-GB"/>
        </w:rPr>
        <w:t>2</w:t>
      </w:r>
      <w:r w:rsidR="00A10FCB" w:rsidRPr="00B4210D">
        <w:rPr>
          <w:lang w:val="en-GB"/>
        </w:rPr>
        <w:t xml:space="preserve"> liquef</w:t>
      </w:r>
      <w:r>
        <w:rPr>
          <w:lang w:val="en-GB"/>
        </w:rPr>
        <w:t>ied</w:t>
      </w:r>
      <w:r w:rsidR="00A10FCB" w:rsidRPr="00B4210D">
        <w:rPr>
          <w:lang w:val="en-GB"/>
        </w:rPr>
        <w:t xml:space="preserve">, was low, so ARD from </w:t>
      </w:r>
      <w:r w:rsidR="00A10FCB">
        <w:rPr>
          <w:lang w:val="en-GB"/>
        </w:rPr>
        <w:t xml:space="preserve">the </w:t>
      </w:r>
      <w:r w:rsidR="00A10FCB" w:rsidRPr="00B4210D">
        <w:rPr>
          <w:lang w:val="en-GB"/>
        </w:rPr>
        <w:t>production of the electrolyzer in the H</w:t>
      </w:r>
      <w:r w:rsidR="00A10FCB" w:rsidRPr="00A10FCB">
        <w:rPr>
          <w:vertAlign w:val="subscript"/>
          <w:lang w:val="en-GB"/>
        </w:rPr>
        <w:t>2</w:t>
      </w:r>
      <w:r w:rsidR="00A10FCB" w:rsidRPr="00B4210D">
        <w:rPr>
          <w:lang w:val="en-GB"/>
        </w:rPr>
        <w:t xml:space="preserve"> system, WT/</w:t>
      </w:r>
      <w:proofErr w:type="spellStart"/>
      <w:r w:rsidR="00A10FCB" w:rsidRPr="00B4210D">
        <w:rPr>
          <w:lang w:val="en-GB"/>
        </w:rPr>
        <w:t>WEC</w:t>
      </w:r>
      <w:r w:rsidR="00A10FCB" w:rsidRPr="00A10FCB">
        <w:rPr>
          <w:vertAlign w:val="subscript"/>
          <w:lang w:val="en-GB"/>
        </w:rPr>
        <w:t>th</w:t>
      </w:r>
      <w:proofErr w:type="spellEnd"/>
      <w:r w:rsidR="00A10FCB" w:rsidRPr="00B4210D">
        <w:rPr>
          <w:lang w:val="en-GB"/>
        </w:rPr>
        <w:t>, and energy storages had a high impact.</w:t>
      </w:r>
      <w:r w:rsidR="00A10FCB">
        <w:rPr>
          <w:lang w:val="en-GB"/>
        </w:rPr>
        <w:t xml:space="preserve"> </w:t>
      </w:r>
      <w:r w:rsidR="00A10FCB" w:rsidRPr="00E43C32">
        <w:rPr>
          <w:lang w:val="en-GB"/>
        </w:rPr>
        <w:t xml:space="preserve">When </w:t>
      </w:r>
      <w:r w:rsidR="00B62AD6" w:rsidRPr="00B4210D">
        <w:rPr>
          <w:lang w:val="en-GB"/>
        </w:rPr>
        <w:t>WT/</w:t>
      </w:r>
      <w:proofErr w:type="spellStart"/>
      <w:r w:rsidR="00B62AD6" w:rsidRPr="00B4210D">
        <w:rPr>
          <w:lang w:val="en-GB"/>
        </w:rPr>
        <w:t>WEC</w:t>
      </w:r>
      <w:r w:rsidR="00B62AD6" w:rsidRPr="00A10FCB">
        <w:rPr>
          <w:vertAlign w:val="subscript"/>
          <w:lang w:val="en-GB"/>
        </w:rPr>
        <w:t>th</w:t>
      </w:r>
      <w:proofErr w:type="spellEnd"/>
      <w:r w:rsidR="00A10FCB" w:rsidRPr="00E43C32">
        <w:rPr>
          <w:lang w:val="en-GB"/>
        </w:rPr>
        <w:t xml:space="preserve"> was </w:t>
      </w:r>
      <w:r w:rsidR="00A10FCB" w:rsidRPr="00E43C32">
        <w:rPr>
          <w:lang w:val="en-GB"/>
        </w:rPr>
        <w:lastRenderedPageBreak/>
        <w:t xml:space="preserve">installed </w:t>
      </w:r>
      <w:r w:rsidR="00A10FCB">
        <w:rPr>
          <w:lang w:val="en-GB"/>
        </w:rPr>
        <w:t xml:space="preserve">at </w:t>
      </w:r>
      <w:r w:rsidR="00A10FCB" w:rsidRPr="00E43C32">
        <w:rPr>
          <w:lang w:val="en-GB"/>
        </w:rPr>
        <w:t xml:space="preserve">100.8 MW, </w:t>
      </w:r>
      <w:r>
        <w:rPr>
          <w:lang w:val="en-GB"/>
        </w:rPr>
        <w:t xml:space="preserve">the </w:t>
      </w:r>
      <w:r w:rsidR="00A10FCB" w:rsidRPr="00E43C32">
        <w:rPr>
          <w:lang w:val="en-GB"/>
        </w:rPr>
        <w:t>minimum ARD intensit</w:t>
      </w:r>
      <w:r w:rsidR="00A10FCB">
        <w:rPr>
          <w:lang w:val="en-GB"/>
        </w:rPr>
        <w:t>ies</w:t>
      </w:r>
      <w:r w:rsidR="00A10FCB" w:rsidRPr="00E43C32">
        <w:rPr>
          <w:lang w:val="en-GB"/>
        </w:rPr>
        <w:t xml:space="preserve"> were </w:t>
      </w:r>
      <w:r w:rsidR="00A10FCB">
        <w:rPr>
          <w:lang w:val="en-GB"/>
        </w:rPr>
        <w:t>0.011</w:t>
      </w:r>
      <w:r w:rsidR="00A10FCB" w:rsidRPr="00E43C32">
        <w:rPr>
          <w:lang w:val="en-GB"/>
        </w:rPr>
        <w:t xml:space="preserve"> g-</w:t>
      </w:r>
      <w:proofErr w:type="spellStart"/>
      <w:r w:rsidR="00A10FCB">
        <w:rPr>
          <w:lang w:val="en-GB"/>
        </w:rPr>
        <w:t>Sb</w:t>
      </w:r>
      <w:r w:rsidR="00A10FCB" w:rsidRPr="00E43C32">
        <w:rPr>
          <w:lang w:val="en-GB"/>
        </w:rPr>
        <w:t>eq</w:t>
      </w:r>
      <w:proofErr w:type="spellEnd"/>
      <w:r w:rsidR="00A10FCB" w:rsidRPr="00E43C32">
        <w:rPr>
          <w:lang w:val="en-GB"/>
        </w:rPr>
        <w:t xml:space="preserve">/kWh for </w:t>
      </w:r>
      <w:r w:rsidR="00A10FCB">
        <w:rPr>
          <w:lang w:val="en-GB"/>
        </w:rPr>
        <w:t>2.9</w:t>
      </w:r>
      <w:r w:rsidR="00A10FCB" w:rsidRPr="00E43C32">
        <w:rPr>
          <w:lang w:val="en-GB"/>
        </w:rPr>
        <w:t xml:space="preserve"> GWh-battery, </w:t>
      </w:r>
      <w:r w:rsidR="00A10FCB">
        <w:rPr>
          <w:lang w:val="en-GB"/>
        </w:rPr>
        <w:t>0.027</w:t>
      </w:r>
      <w:r w:rsidR="00A10FCB" w:rsidRPr="00B438FC">
        <w:rPr>
          <w:lang w:val="en-GB"/>
        </w:rPr>
        <w:t xml:space="preserve"> </w:t>
      </w:r>
      <w:r w:rsidR="00A10FCB" w:rsidRPr="00E43C32">
        <w:rPr>
          <w:lang w:val="en-GB"/>
        </w:rPr>
        <w:t>g-</w:t>
      </w:r>
      <w:proofErr w:type="spellStart"/>
      <w:r w:rsidR="00A10FCB">
        <w:rPr>
          <w:lang w:val="en-GB"/>
        </w:rPr>
        <w:t>Sb</w:t>
      </w:r>
      <w:r w:rsidR="00A10FCB" w:rsidRPr="00E43C32">
        <w:rPr>
          <w:lang w:val="en-GB"/>
        </w:rPr>
        <w:t>eq</w:t>
      </w:r>
      <w:proofErr w:type="spellEnd"/>
      <w:r w:rsidR="00A10FCB" w:rsidRPr="00E43C32">
        <w:rPr>
          <w:lang w:val="en-GB"/>
        </w:rPr>
        <w:t>/kWh for 53 GWh-H</w:t>
      </w:r>
      <w:r w:rsidR="00A10FCB" w:rsidRPr="00832E92">
        <w:rPr>
          <w:vertAlign w:val="subscript"/>
          <w:lang w:val="en-GB"/>
        </w:rPr>
        <w:t>2</w:t>
      </w:r>
      <w:r w:rsidR="00A10FCB" w:rsidRPr="00E43C32">
        <w:rPr>
          <w:lang w:val="en-GB"/>
        </w:rPr>
        <w:t xml:space="preserve"> storage, and </w:t>
      </w:r>
      <w:r w:rsidR="00A10FCB">
        <w:rPr>
          <w:lang w:val="en-GB"/>
        </w:rPr>
        <w:t>0.0066</w:t>
      </w:r>
      <w:r w:rsidR="00A10FCB" w:rsidRPr="00B438FC">
        <w:rPr>
          <w:lang w:val="en-GB"/>
        </w:rPr>
        <w:t xml:space="preserve"> </w:t>
      </w:r>
      <w:r w:rsidR="00A10FCB" w:rsidRPr="00E43C32">
        <w:rPr>
          <w:lang w:val="en-GB"/>
        </w:rPr>
        <w:t>g-</w:t>
      </w:r>
      <w:proofErr w:type="spellStart"/>
      <w:r w:rsidR="00A10FCB">
        <w:rPr>
          <w:lang w:val="en-GB"/>
        </w:rPr>
        <w:t>Sb</w:t>
      </w:r>
      <w:r w:rsidR="00A10FCB" w:rsidRPr="00E43C32">
        <w:rPr>
          <w:lang w:val="en-GB"/>
        </w:rPr>
        <w:t>eq</w:t>
      </w:r>
      <w:proofErr w:type="spellEnd"/>
      <w:r w:rsidR="00A10FCB" w:rsidRPr="00E43C32">
        <w:rPr>
          <w:lang w:val="en-GB"/>
        </w:rPr>
        <w:t xml:space="preserve">/kWh for </w:t>
      </w:r>
      <w:r w:rsidR="00A10FCB">
        <w:rPr>
          <w:lang w:val="en-GB"/>
        </w:rPr>
        <w:t>2.9</w:t>
      </w:r>
      <w:r w:rsidR="00A10FCB" w:rsidRPr="00E43C32">
        <w:rPr>
          <w:lang w:val="en-GB"/>
        </w:rPr>
        <w:t xml:space="preserve"> GWh-TES.</w:t>
      </w:r>
    </w:p>
    <w:p w14:paraId="50DEC1B4" w14:textId="67804049" w:rsidR="00CB539B" w:rsidRDefault="00CB539B" w:rsidP="00BB2A3F">
      <w:pPr>
        <w:pStyle w:val="Els-body-text"/>
        <w:jc w:val="center"/>
        <w:rPr>
          <w:lang w:val="en-GB"/>
        </w:rPr>
      </w:pPr>
      <w:r>
        <w:rPr>
          <w:noProof/>
          <w:lang w:val="en-GB"/>
        </w:rPr>
        <w:drawing>
          <wp:inline distT="0" distB="0" distL="0" distR="0" wp14:anchorId="542DBA03" wp14:editId="09A4BD7E">
            <wp:extent cx="4500000" cy="2059683"/>
            <wp:effectExtent l="0" t="0" r="0" b="0"/>
            <wp:docPr id="192717308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00000" cy="2059683"/>
                    </a:xfrm>
                    <a:prstGeom prst="rect">
                      <a:avLst/>
                    </a:prstGeom>
                    <a:noFill/>
                    <a:ln>
                      <a:noFill/>
                    </a:ln>
                  </pic:spPr>
                </pic:pic>
              </a:graphicData>
            </a:graphic>
          </wp:inline>
        </w:drawing>
      </w:r>
    </w:p>
    <w:p w14:paraId="3D5A6C35" w14:textId="6B54BF3C" w:rsidR="00F33687" w:rsidRDefault="00F33687" w:rsidP="0054368A">
      <w:pPr>
        <w:pStyle w:val="Els-caption"/>
      </w:pPr>
      <w:bookmarkStart w:id="3" w:name="_Ref150871062"/>
      <w:r>
        <w:t xml:space="preserve">Figure </w:t>
      </w:r>
      <w:r>
        <w:fldChar w:fldCharType="begin"/>
      </w:r>
      <w:r>
        <w:instrText xml:space="preserve"> SEQ Figure \* ARABIC </w:instrText>
      </w:r>
      <w:r>
        <w:fldChar w:fldCharType="separate"/>
      </w:r>
      <w:r w:rsidR="00A10FCB">
        <w:rPr>
          <w:noProof/>
        </w:rPr>
        <w:t>3</w:t>
      </w:r>
      <w:r>
        <w:fldChar w:fldCharType="end"/>
      </w:r>
      <w:bookmarkEnd w:id="3"/>
      <w:r>
        <w:t xml:space="preserve"> </w:t>
      </w:r>
      <w:r w:rsidR="006A1D42">
        <w:t>Life cycle</w:t>
      </w:r>
      <w:r>
        <w:t xml:space="preserve"> impacts of the energy storage system</w:t>
      </w:r>
      <w:r w:rsidRPr="00C91271">
        <w:t xml:space="preserve">. (a) </w:t>
      </w:r>
      <w:r>
        <w:t xml:space="preserve">GHG intensity for </w:t>
      </w:r>
      <w:r w:rsidR="006A1D42">
        <w:t>power sales</w:t>
      </w:r>
      <w:r w:rsidRPr="00C91271">
        <w:t>. (</w:t>
      </w:r>
      <w:r>
        <w:t>b</w:t>
      </w:r>
      <w:r w:rsidRPr="00C91271">
        <w:t xml:space="preserve">) </w:t>
      </w:r>
      <w:r>
        <w:t>ARD intensity</w:t>
      </w:r>
      <w:r w:rsidRPr="00C12FA9">
        <w:t xml:space="preserve"> </w:t>
      </w:r>
      <w:r>
        <w:t xml:space="preserve">for </w:t>
      </w:r>
      <w:r w:rsidR="006A1D42">
        <w:t>power sales</w:t>
      </w:r>
      <w:r w:rsidRPr="00C91271">
        <w:t>.</w:t>
      </w:r>
    </w:p>
    <w:p w14:paraId="57166741" w14:textId="4F064F6C" w:rsidR="00DB7C43" w:rsidRPr="00DB7C43" w:rsidRDefault="00860A3D" w:rsidP="00207D35">
      <w:pPr>
        <w:pStyle w:val="Els-2ndorder-head"/>
      </w:pPr>
      <w:r w:rsidRPr="00860A3D">
        <w:t>Applicability</w:t>
      </w:r>
      <w:r w:rsidR="00B30C4E" w:rsidRPr="00B30C4E">
        <w:t xml:space="preserve"> of the energy storage system</w:t>
      </w:r>
      <w:r w:rsidR="004D60D3">
        <w:t>s</w:t>
      </w:r>
    </w:p>
    <w:p w14:paraId="2B259290" w14:textId="29281117" w:rsidR="00364CA8" w:rsidRPr="00364CA8" w:rsidRDefault="00364CA8" w:rsidP="00364CA8">
      <w:pPr>
        <w:pStyle w:val="Els-body-text"/>
        <w:rPr>
          <w:lang w:val="en-GB"/>
        </w:rPr>
      </w:pPr>
      <w:r w:rsidRPr="00364CA8">
        <w:rPr>
          <w:lang w:val="en-GB"/>
        </w:rPr>
        <w:t xml:space="preserve">When a large </w:t>
      </w:r>
      <w:r w:rsidR="00F2792C" w:rsidRPr="00B4210D">
        <w:rPr>
          <w:lang w:val="en-GB"/>
        </w:rPr>
        <w:t>WT/</w:t>
      </w:r>
      <w:proofErr w:type="spellStart"/>
      <w:r w:rsidR="00F2792C" w:rsidRPr="00B4210D">
        <w:rPr>
          <w:lang w:val="en-GB"/>
        </w:rPr>
        <w:t>WEC</w:t>
      </w:r>
      <w:r w:rsidR="00F2792C" w:rsidRPr="00B4210D">
        <w:rPr>
          <w:vertAlign w:val="subscript"/>
          <w:lang w:val="en-GB"/>
        </w:rPr>
        <w:t>th</w:t>
      </w:r>
      <w:proofErr w:type="spellEnd"/>
      <w:r w:rsidR="00C52BA8">
        <w:rPr>
          <w:lang w:val="en-GB"/>
        </w:rPr>
        <w:t xml:space="preserve"> and </w:t>
      </w:r>
      <w:r w:rsidRPr="00364CA8">
        <w:rPr>
          <w:lang w:val="en-GB"/>
        </w:rPr>
        <w:t xml:space="preserve">energy storage was installed, </w:t>
      </w:r>
      <w:r w:rsidR="00470E74">
        <w:rPr>
          <w:lang w:val="en-GB"/>
        </w:rPr>
        <w:t xml:space="preserve">the </w:t>
      </w:r>
      <w:r w:rsidR="004B23FD" w:rsidRPr="00514709">
        <w:rPr>
          <w:lang w:val="en-GB"/>
        </w:rPr>
        <w:t>H</w:t>
      </w:r>
      <w:r w:rsidR="004B23FD" w:rsidRPr="004B23FD">
        <w:rPr>
          <w:vertAlign w:val="subscript"/>
          <w:lang w:val="en-GB"/>
        </w:rPr>
        <w:t>2</w:t>
      </w:r>
      <w:r w:rsidRPr="00364CA8">
        <w:rPr>
          <w:lang w:val="en-GB"/>
        </w:rPr>
        <w:t xml:space="preserve"> or TES </w:t>
      </w:r>
      <w:r w:rsidR="00470E74">
        <w:rPr>
          <w:lang w:val="en-GB"/>
        </w:rPr>
        <w:t>system</w:t>
      </w:r>
      <w:r w:rsidR="00061DB7">
        <w:rPr>
          <w:lang w:val="en-GB"/>
        </w:rPr>
        <w:t>s</w:t>
      </w:r>
      <w:r w:rsidR="00470E74">
        <w:rPr>
          <w:lang w:val="en-GB"/>
        </w:rPr>
        <w:t xml:space="preserve"> </w:t>
      </w:r>
      <w:r w:rsidRPr="00364CA8">
        <w:rPr>
          <w:lang w:val="en-GB"/>
        </w:rPr>
        <w:t>seem</w:t>
      </w:r>
      <w:r w:rsidR="00377166">
        <w:rPr>
          <w:lang w:val="en-GB"/>
        </w:rPr>
        <w:t>ed</w:t>
      </w:r>
      <w:r w:rsidRPr="00364CA8">
        <w:rPr>
          <w:lang w:val="en-GB"/>
        </w:rPr>
        <w:t xml:space="preserve"> to be suitable because of </w:t>
      </w:r>
      <w:r w:rsidR="008948A7">
        <w:rPr>
          <w:lang w:val="en-GB"/>
        </w:rPr>
        <w:t>their</w:t>
      </w:r>
      <w:r w:rsidRPr="00364CA8">
        <w:rPr>
          <w:lang w:val="en-GB"/>
        </w:rPr>
        <w:t xml:space="preserve"> smaller </w:t>
      </w:r>
      <w:r w:rsidR="006A1D42">
        <w:rPr>
          <w:lang w:val="en-GB"/>
        </w:rPr>
        <w:t>life cycle</w:t>
      </w:r>
      <w:r w:rsidR="00291E10">
        <w:rPr>
          <w:lang w:val="en-GB"/>
        </w:rPr>
        <w:t xml:space="preserve"> </w:t>
      </w:r>
      <w:r w:rsidR="006A3247">
        <w:rPr>
          <w:lang w:val="en-GB"/>
        </w:rPr>
        <w:t>impacts</w:t>
      </w:r>
      <w:r w:rsidR="00C52BA8">
        <w:rPr>
          <w:lang w:val="en-GB"/>
        </w:rPr>
        <w:t xml:space="preserve"> </w:t>
      </w:r>
      <w:r w:rsidRPr="00364CA8">
        <w:rPr>
          <w:lang w:val="en-GB"/>
        </w:rPr>
        <w:t>than batter</w:t>
      </w:r>
      <w:r w:rsidR="008948A7">
        <w:rPr>
          <w:lang w:val="en-GB"/>
        </w:rPr>
        <w:t>ies</w:t>
      </w:r>
      <w:r w:rsidRPr="00364CA8">
        <w:rPr>
          <w:lang w:val="en-GB"/>
        </w:rPr>
        <w:t xml:space="preserve">. There was a trade-off between </w:t>
      </w:r>
      <w:r w:rsidR="00061DB7">
        <w:rPr>
          <w:lang w:val="en-GB"/>
        </w:rPr>
        <w:t xml:space="preserve">the </w:t>
      </w:r>
      <w:r w:rsidR="004B23FD" w:rsidRPr="00514709">
        <w:rPr>
          <w:lang w:val="en-GB"/>
        </w:rPr>
        <w:t>H</w:t>
      </w:r>
      <w:r w:rsidR="004B23FD" w:rsidRPr="004B23FD">
        <w:rPr>
          <w:vertAlign w:val="subscript"/>
          <w:lang w:val="en-GB"/>
        </w:rPr>
        <w:t>2</w:t>
      </w:r>
      <w:r w:rsidRPr="00364CA8">
        <w:rPr>
          <w:lang w:val="en-GB"/>
        </w:rPr>
        <w:t xml:space="preserve"> and TES </w:t>
      </w:r>
      <w:r w:rsidR="00061DB7">
        <w:rPr>
          <w:lang w:val="en-GB"/>
        </w:rPr>
        <w:t xml:space="preserve">systems </w:t>
      </w:r>
      <w:r w:rsidRPr="00364CA8">
        <w:rPr>
          <w:lang w:val="en-GB"/>
        </w:rPr>
        <w:t xml:space="preserve">because the </w:t>
      </w:r>
      <w:r w:rsidR="004B23FD" w:rsidRPr="00514709">
        <w:rPr>
          <w:lang w:val="en-GB"/>
        </w:rPr>
        <w:t>H</w:t>
      </w:r>
      <w:r w:rsidR="004B23FD" w:rsidRPr="004B23FD">
        <w:rPr>
          <w:vertAlign w:val="subscript"/>
          <w:lang w:val="en-GB"/>
        </w:rPr>
        <w:t>2</w:t>
      </w:r>
      <w:r w:rsidRPr="00364CA8">
        <w:rPr>
          <w:lang w:val="en-GB"/>
        </w:rPr>
        <w:t xml:space="preserve"> system had </w:t>
      </w:r>
      <w:r w:rsidR="00063423">
        <w:rPr>
          <w:lang w:val="en-GB"/>
        </w:rPr>
        <w:t xml:space="preserve">a </w:t>
      </w:r>
      <w:r w:rsidRPr="00364CA8">
        <w:rPr>
          <w:lang w:val="en-GB"/>
        </w:rPr>
        <w:t xml:space="preserve">lower GHG </w:t>
      </w:r>
      <w:r w:rsidR="00B67716">
        <w:rPr>
          <w:lang w:val="en-GB"/>
        </w:rPr>
        <w:t>intensity</w:t>
      </w:r>
      <w:r w:rsidR="00157CC6">
        <w:rPr>
          <w:lang w:val="en-GB"/>
        </w:rPr>
        <w:t>,</w:t>
      </w:r>
      <w:r w:rsidR="00B67716">
        <w:rPr>
          <w:lang w:val="en-GB"/>
        </w:rPr>
        <w:t xml:space="preserve"> </w:t>
      </w:r>
      <w:r w:rsidRPr="00364CA8">
        <w:rPr>
          <w:lang w:val="en-GB"/>
        </w:rPr>
        <w:t>wh</w:t>
      </w:r>
      <w:r w:rsidR="00063423">
        <w:rPr>
          <w:lang w:val="en-GB"/>
        </w:rPr>
        <w:t>ereas</w:t>
      </w:r>
      <w:r w:rsidRPr="00364CA8">
        <w:rPr>
          <w:lang w:val="en-GB"/>
        </w:rPr>
        <w:t xml:space="preserve"> the TES system had </w:t>
      </w:r>
      <w:r w:rsidR="00063423">
        <w:rPr>
          <w:lang w:val="en-GB"/>
        </w:rPr>
        <w:t xml:space="preserve">a </w:t>
      </w:r>
      <w:r w:rsidRPr="00364CA8">
        <w:rPr>
          <w:lang w:val="en-GB"/>
        </w:rPr>
        <w:t>lower ARD</w:t>
      </w:r>
      <w:r w:rsidR="00B67716">
        <w:rPr>
          <w:lang w:val="en-GB"/>
        </w:rPr>
        <w:t xml:space="preserve"> intensity</w:t>
      </w:r>
      <w:r w:rsidRPr="00364CA8">
        <w:rPr>
          <w:lang w:val="en-GB"/>
        </w:rPr>
        <w:t xml:space="preserve">. To decide whether to install </w:t>
      </w:r>
      <w:r w:rsidR="00063423">
        <w:rPr>
          <w:lang w:val="en-GB"/>
        </w:rPr>
        <w:t xml:space="preserve">an </w:t>
      </w:r>
      <w:r w:rsidR="004B23FD" w:rsidRPr="00514709">
        <w:rPr>
          <w:lang w:val="en-GB"/>
        </w:rPr>
        <w:t>H</w:t>
      </w:r>
      <w:r w:rsidR="004B23FD" w:rsidRPr="004B23FD">
        <w:rPr>
          <w:vertAlign w:val="subscript"/>
          <w:lang w:val="en-GB"/>
        </w:rPr>
        <w:t>2</w:t>
      </w:r>
      <w:r w:rsidRPr="00364CA8">
        <w:rPr>
          <w:lang w:val="en-GB"/>
        </w:rPr>
        <w:t xml:space="preserve"> storage or TES, it is important to consider the demand </w:t>
      </w:r>
      <w:r w:rsidR="00DE63D8">
        <w:rPr>
          <w:lang w:val="en-GB"/>
        </w:rPr>
        <w:t>for</w:t>
      </w:r>
      <w:r w:rsidRPr="00364CA8">
        <w:rPr>
          <w:lang w:val="en-GB"/>
        </w:rPr>
        <w:t xml:space="preserve"> </w:t>
      </w:r>
      <w:r w:rsidR="004B23FD" w:rsidRPr="00514709">
        <w:rPr>
          <w:lang w:val="en-GB"/>
        </w:rPr>
        <w:t>H</w:t>
      </w:r>
      <w:r w:rsidR="004B23FD" w:rsidRPr="004B23FD">
        <w:rPr>
          <w:vertAlign w:val="subscript"/>
          <w:lang w:val="en-GB"/>
        </w:rPr>
        <w:t>2</w:t>
      </w:r>
      <w:r w:rsidRPr="00364CA8">
        <w:rPr>
          <w:lang w:val="en-GB"/>
        </w:rPr>
        <w:t xml:space="preserve"> and heat in the region where the energy storage system </w:t>
      </w:r>
      <w:r w:rsidR="00063423">
        <w:rPr>
          <w:lang w:val="en-GB"/>
        </w:rPr>
        <w:t>is to</w:t>
      </w:r>
      <w:r w:rsidRPr="00364CA8">
        <w:rPr>
          <w:lang w:val="en-GB"/>
        </w:rPr>
        <w:t xml:space="preserve"> be installed. </w:t>
      </w:r>
      <w:r w:rsidR="004B23FD" w:rsidRPr="00514709">
        <w:rPr>
          <w:lang w:val="en-GB"/>
        </w:rPr>
        <w:t>H</w:t>
      </w:r>
      <w:r w:rsidR="004B23FD" w:rsidRPr="004B23FD">
        <w:rPr>
          <w:vertAlign w:val="subscript"/>
          <w:lang w:val="en-GB"/>
        </w:rPr>
        <w:t>2</w:t>
      </w:r>
      <w:r w:rsidRPr="00364CA8">
        <w:rPr>
          <w:lang w:val="en-GB"/>
        </w:rPr>
        <w:t xml:space="preserve"> is used as fuel for vehicles and materials for factories, and heat is used as an energy source for factories and houses. This study enabled a quantitative evaluation of the environmental performance of the energy storage system</w:t>
      </w:r>
      <w:r w:rsidR="00203404">
        <w:rPr>
          <w:lang w:val="en-GB"/>
        </w:rPr>
        <w:t>,</w:t>
      </w:r>
      <w:r w:rsidRPr="00364CA8">
        <w:rPr>
          <w:lang w:val="en-GB"/>
        </w:rPr>
        <w:t xml:space="preserve"> including its operation</w:t>
      </w:r>
      <w:r w:rsidR="00203404">
        <w:rPr>
          <w:lang w:val="en-GB"/>
        </w:rPr>
        <w:t>,</w:t>
      </w:r>
      <w:r w:rsidRPr="00364CA8">
        <w:rPr>
          <w:lang w:val="en-GB"/>
        </w:rPr>
        <w:t xml:space="preserve"> and detailed energy storage system installation</w:t>
      </w:r>
      <w:r w:rsidR="00203404">
        <w:rPr>
          <w:lang w:val="en-GB"/>
        </w:rPr>
        <w:t xml:space="preserve"> plan</w:t>
      </w:r>
      <w:r w:rsidRPr="00364CA8">
        <w:rPr>
          <w:lang w:val="en-GB"/>
        </w:rPr>
        <w:t>.</w:t>
      </w:r>
    </w:p>
    <w:p w14:paraId="60B98F3B" w14:textId="452050B1" w:rsidR="00364CA8" w:rsidRDefault="00497D77" w:rsidP="00364CA8">
      <w:pPr>
        <w:pStyle w:val="Els-body-text"/>
        <w:rPr>
          <w:lang w:val="en-GB"/>
        </w:rPr>
      </w:pPr>
      <w:r w:rsidRPr="00497D77">
        <w:rPr>
          <w:lang w:val="en-GB"/>
        </w:rPr>
        <w:t xml:space="preserve">In </w:t>
      </w:r>
      <w:r w:rsidR="00157CC6">
        <w:rPr>
          <w:lang w:val="en-GB"/>
        </w:rPr>
        <w:t xml:space="preserve">areas </w:t>
      </w:r>
      <w:r w:rsidRPr="00497D77">
        <w:rPr>
          <w:lang w:val="en-GB"/>
        </w:rPr>
        <w:t xml:space="preserve">where the energy storage system is installed, </w:t>
      </w:r>
      <w:r w:rsidR="006A1D42">
        <w:rPr>
          <w:lang w:val="en-GB"/>
        </w:rPr>
        <w:t>life cycle</w:t>
      </w:r>
      <w:r w:rsidRPr="00497D77">
        <w:rPr>
          <w:lang w:val="en-GB"/>
        </w:rPr>
        <w:t xml:space="preserve"> impacts </w:t>
      </w:r>
      <w:r w:rsidR="00063423">
        <w:rPr>
          <w:lang w:val="en-GB"/>
        </w:rPr>
        <w:t xml:space="preserve">can be reduced </w:t>
      </w:r>
      <w:r w:rsidRPr="00497D77">
        <w:rPr>
          <w:lang w:val="en-GB"/>
        </w:rPr>
        <w:t xml:space="preserve">and </w:t>
      </w:r>
      <w:r w:rsidR="00A2145A">
        <w:rPr>
          <w:rFonts w:hint="eastAsia"/>
          <w:lang w:val="en-GB" w:eastAsia="ja-JP"/>
        </w:rPr>
        <w:t>p</w:t>
      </w:r>
      <w:r w:rsidR="00A2145A">
        <w:rPr>
          <w:lang w:val="en-GB" w:eastAsia="ja-JP"/>
        </w:rPr>
        <w:t>revent from</w:t>
      </w:r>
      <w:r w:rsidRPr="00497D77">
        <w:rPr>
          <w:lang w:val="en-GB"/>
        </w:rPr>
        <w:t xml:space="preserve"> blackouts of conventional power plants due to natural disasters. Furthermore, installing new equipment, such as energy storage, would create employment opportunities to operate the energy storage systems, stimulate the local economy, and promote regional revitalization. Therefore, energy storage systems have many types of applicability, such as contributing to carbon neutrality and revitalizing the region.</w:t>
      </w:r>
    </w:p>
    <w:p w14:paraId="71731DEC" w14:textId="03C47C0F" w:rsidR="004D68C2" w:rsidRPr="00207D35" w:rsidRDefault="00173996" w:rsidP="00364CA8">
      <w:pPr>
        <w:pStyle w:val="Els-body-text"/>
        <w:rPr>
          <w:lang w:val="en-GB"/>
        </w:rPr>
      </w:pPr>
      <w:r w:rsidRPr="00173996">
        <w:rPr>
          <w:lang w:val="en-GB"/>
        </w:rPr>
        <w:t xml:space="preserve">In this study, the </w:t>
      </w:r>
      <w:r w:rsidR="00063423" w:rsidRPr="00173996">
        <w:rPr>
          <w:lang w:val="en-GB"/>
        </w:rPr>
        <w:t xml:space="preserve">installed </w:t>
      </w:r>
      <w:r w:rsidRPr="00173996">
        <w:rPr>
          <w:lang w:val="en-GB"/>
        </w:rPr>
        <w:t xml:space="preserve">energy storage systems </w:t>
      </w:r>
      <w:r w:rsidR="00063423">
        <w:rPr>
          <w:lang w:val="en-GB"/>
        </w:rPr>
        <w:t xml:space="preserve">covered </w:t>
      </w:r>
      <w:r w:rsidRPr="00173996">
        <w:rPr>
          <w:lang w:val="en-GB"/>
        </w:rPr>
        <w:t xml:space="preserve">only one type of energy storage and </w:t>
      </w:r>
      <w:r w:rsidR="00A2145A">
        <w:rPr>
          <w:lang w:val="en-GB"/>
        </w:rPr>
        <w:t>the amount of</w:t>
      </w:r>
      <w:r w:rsidR="00A2145A" w:rsidRPr="00173996">
        <w:rPr>
          <w:lang w:val="en-GB"/>
        </w:rPr>
        <w:t xml:space="preserve"> </w:t>
      </w:r>
      <w:r w:rsidRPr="00173996">
        <w:rPr>
          <w:lang w:val="en-GB"/>
        </w:rPr>
        <w:t xml:space="preserve">power </w:t>
      </w:r>
      <w:r w:rsidR="00A2145A">
        <w:rPr>
          <w:lang w:val="en-GB"/>
        </w:rPr>
        <w:t xml:space="preserve">sales were </w:t>
      </w:r>
      <w:r w:rsidRPr="00173996">
        <w:rPr>
          <w:lang w:val="en-GB"/>
        </w:rPr>
        <w:t>constant.</w:t>
      </w:r>
      <w:r>
        <w:rPr>
          <w:lang w:val="en-GB"/>
        </w:rPr>
        <w:t xml:space="preserve"> </w:t>
      </w:r>
      <w:r w:rsidR="005368D2">
        <w:rPr>
          <w:lang w:val="en-GB"/>
        </w:rPr>
        <w:t xml:space="preserve">In addition, </w:t>
      </w:r>
      <w:r w:rsidR="00765F0A" w:rsidRPr="00765F0A">
        <w:rPr>
          <w:lang w:val="en-GB"/>
        </w:rPr>
        <w:t>all facilities were assumed to be disposed of without recycling.</w:t>
      </w:r>
      <w:r w:rsidR="00765F0A">
        <w:rPr>
          <w:lang w:val="en-GB"/>
        </w:rPr>
        <w:t xml:space="preserve"> </w:t>
      </w:r>
      <w:r w:rsidR="0098161A" w:rsidRPr="0098161A">
        <w:rPr>
          <w:lang w:val="en-GB" w:eastAsia="ja-JP"/>
        </w:rPr>
        <w:t xml:space="preserve">The energy storage system has </w:t>
      </w:r>
      <w:r w:rsidR="000F3192">
        <w:rPr>
          <w:lang w:val="en-GB" w:eastAsia="ja-JP"/>
        </w:rPr>
        <w:t xml:space="preserve">the </w:t>
      </w:r>
      <w:r w:rsidR="00807BDF" w:rsidRPr="0098161A">
        <w:rPr>
          <w:lang w:val="en-GB" w:eastAsia="ja-JP"/>
        </w:rPr>
        <w:t>possibility</w:t>
      </w:r>
      <w:r w:rsidR="0098161A" w:rsidRPr="0098161A">
        <w:rPr>
          <w:lang w:val="en-GB" w:eastAsia="ja-JP"/>
        </w:rPr>
        <w:t xml:space="preserve"> </w:t>
      </w:r>
      <w:r w:rsidR="00157CC6">
        <w:rPr>
          <w:lang w:val="en-GB" w:eastAsia="ja-JP"/>
        </w:rPr>
        <w:t>of improvement</w:t>
      </w:r>
      <w:r w:rsidR="0098161A" w:rsidRPr="0098161A">
        <w:rPr>
          <w:lang w:val="en-GB" w:eastAsia="ja-JP"/>
        </w:rPr>
        <w:t xml:space="preserve"> through recycl</w:t>
      </w:r>
      <w:r w:rsidR="000F3192">
        <w:rPr>
          <w:lang w:val="en-GB" w:eastAsia="ja-JP"/>
        </w:rPr>
        <w:t>ing</w:t>
      </w:r>
      <w:r w:rsidR="0098161A" w:rsidRPr="0098161A">
        <w:rPr>
          <w:lang w:val="en-GB" w:eastAsia="ja-JP"/>
        </w:rPr>
        <w:t xml:space="preserve"> of the energy stor</w:t>
      </w:r>
      <w:r w:rsidR="000F3192">
        <w:rPr>
          <w:lang w:val="en-GB" w:eastAsia="ja-JP"/>
        </w:rPr>
        <w:t>a</w:t>
      </w:r>
      <w:r w:rsidR="0098161A" w:rsidRPr="0098161A">
        <w:rPr>
          <w:lang w:val="en-GB" w:eastAsia="ja-JP"/>
        </w:rPr>
        <w:t xml:space="preserve">ge </w:t>
      </w:r>
      <w:r w:rsidR="00277434" w:rsidRPr="00277434">
        <w:rPr>
          <w:noProof/>
          <w:lang w:val="en-GB" w:eastAsia="ja-JP"/>
        </w:rPr>
        <w:t>(Kikuchi et al., 2021)</w:t>
      </w:r>
      <w:r w:rsidR="0098161A" w:rsidRPr="0098161A">
        <w:rPr>
          <w:lang w:val="en-GB" w:eastAsia="ja-JP"/>
        </w:rPr>
        <w:t xml:space="preserve"> and operation change.</w:t>
      </w:r>
      <w:r w:rsidR="000F55F3">
        <w:rPr>
          <w:lang w:val="en-GB"/>
        </w:rPr>
        <w:t xml:space="preserve"> </w:t>
      </w:r>
      <w:r w:rsidR="009B64C5" w:rsidRPr="009B64C5">
        <w:rPr>
          <w:lang w:val="en-GB"/>
        </w:rPr>
        <w:t xml:space="preserve">Although optimizations are not enough to operate </w:t>
      </w:r>
      <w:r w:rsidR="00063423">
        <w:rPr>
          <w:lang w:val="en-GB"/>
        </w:rPr>
        <w:t>an</w:t>
      </w:r>
      <w:r w:rsidR="009B64C5" w:rsidRPr="009B64C5">
        <w:rPr>
          <w:lang w:val="en-GB"/>
        </w:rPr>
        <w:t xml:space="preserve"> energy storage system</w:t>
      </w:r>
      <w:r w:rsidR="00063423">
        <w:rPr>
          <w:lang w:val="en-GB"/>
        </w:rPr>
        <w:t>,</w:t>
      </w:r>
      <w:r w:rsidR="009B64C5" w:rsidRPr="009B64C5">
        <w:rPr>
          <w:lang w:val="en-GB"/>
        </w:rPr>
        <w:t xml:space="preserve"> </w:t>
      </w:r>
      <w:r w:rsidR="00F0358A">
        <w:rPr>
          <w:lang w:val="en-GB"/>
        </w:rPr>
        <w:t>in this study</w:t>
      </w:r>
      <w:r w:rsidR="009B64C5" w:rsidRPr="009B64C5">
        <w:rPr>
          <w:lang w:val="en-GB"/>
        </w:rPr>
        <w:t xml:space="preserve">, low environmental impacts and efficient energy storage systems </w:t>
      </w:r>
      <w:r w:rsidR="00063423">
        <w:rPr>
          <w:lang w:val="en-GB"/>
        </w:rPr>
        <w:t>we</w:t>
      </w:r>
      <w:r w:rsidR="009B64C5" w:rsidRPr="009B64C5">
        <w:rPr>
          <w:lang w:val="en-GB"/>
        </w:rPr>
        <w:t xml:space="preserve">re expected to be designed by applying the simulation conducted </w:t>
      </w:r>
      <w:r w:rsidR="00063423">
        <w:rPr>
          <w:lang w:val="en-GB"/>
        </w:rPr>
        <w:t>here</w:t>
      </w:r>
      <w:r w:rsidR="009B64C5" w:rsidRPr="009B64C5">
        <w:rPr>
          <w:lang w:val="en-GB"/>
        </w:rPr>
        <w:t>.</w:t>
      </w:r>
    </w:p>
    <w:p w14:paraId="144DE6BA" w14:textId="77777777" w:rsidR="008D2649" w:rsidRPr="00A94774" w:rsidRDefault="008D2649" w:rsidP="008D2649">
      <w:pPr>
        <w:pStyle w:val="Els-1storder-head"/>
        <w:spacing w:after="120"/>
        <w:rPr>
          <w:lang w:val="en-GB"/>
        </w:rPr>
      </w:pPr>
      <w:r w:rsidRPr="00A94774">
        <w:rPr>
          <w:lang w:val="en-GB"/>
        </w:rPr>
        <w:t>Conclusions</w:t>
      </w:r>
    </w:p>
    <w:p w14:paraId="19CDFDC3" w14:textId="0AB15C8C" w:rsidR="00A63124" w:rsidRDefault="00A63124" w:rsidP="00A63124">
      <w:pPr>
        <w:pStyle w:val="Els-body-text"/>
        <w:rPr>
          <w:lang w:val="en-GB"/>
        </w:rPr>
      </w:pPr>
      <w:r w:rsidRPr="002057AA">
        <w:rPr>
          <w:lang w:val="en-GB"/>
        </w:rPr>
        <w:t xml:space="preserve">In this study, we developed </w:t>
      </w:r>
      <w:r w:rsidR="00063423">
        <w:rPr>
          <w:lang w:val="en-GB"/>
        </w:rPr>
        <w:t>a</w:t>
      </w:r>
      <w:r w:rsidRPr="002057AA">
        <w:rPr>
          <w:lang w:val="en-GB"/>
        </w:rPr>
        <w:t xml:space="preserve"> model of energy storage system installing VRE and conducted annual energy flow simulations and LCA. The amount of power </w:t>
      </w:r>
      <w:proofErr w:type="gramStart"/>
      <w:r w:rsidRPr="002057AA">
        <w:rPr>
          <w:lang w:val="en-GB"/>
        </w:rPr>
        <w:t>s</w:t>
      </w:r>
      <w:r w:rsidR="00E017A3">
        <w:rPr>
          <w:lang w:val="en-GB"/>
        </w:rPr>
        <w:t>old</w:t>
      </w:r>
      <w:proofErr w:type="gramEnd"/>
      <w:r w:rsidR="00902E42">
        <w:rPr>
          <w:lang w:val="en-GB"/>
        </w:rPr>
        <w:t xml:space="preserve"> and</w:t>
      </w:r>
      <w:r w:rsidRPr="002057AA">
        <w:rPr>
          <w:lang w:val="en-GB"/>
        </w:rPr>
        <w:t xml:space="preserve"> </w:t>
      </w:r>
      <w:r w:rsidR="006A1D42">
        <w:t>life cycle</w:t>
      </w:r>
      <w:r>
        <w:t xml:space="preserve"> impacts</w:t>
      </w:r>
      <w:r w:rsidRPr="002057AA">
        <w:rPr>
          <w:lang w:val="en-GB"/>
        </w:rPr>
        <w:t xml:space="preserve"> of the energy storage systems were evaluated</w:t>
      </w:r>
      <w:r w:rsidR="00D6568A">
        <w:rPr>
          <w:lang w:val="en-GB"/>
        </w:rPr>
        <w:t>,</w:t>
      </w:r>
      <w:r>
        <w:rPr>
          <w:lang w:val="en-GB"/>
        </w:rPr>
        <w:t xml:space="preserve"> and t</w:t>
      </w:r>
      <w:r w:rsidRPr="002057AA">
        <w:rPr>
          <w:lang w:val="en-GB"/>
        </w:rPr>
        <w:t xml:space="preserve">he smallest </w:t>
      </w:r>
      <w:r>
        <w:t>ones</w:t>
      </w:r>
      <w:r w:rsidRPr="002057AA">
        <w:rPr>
          <w:lang w:val="en-GB"/>
        </w:rPr>
        <w:t xml:space="preserve"> varied with the type and amount of energy storage. When </w:t>
      </w:r>
      <w:r w:rsidR="00F2792C" w:rsidRPr="00B4210D">
        <w:rPr>
          <w:lang w:val="en-GB"/>
        </w:rPr>
        <w:t>WT/</w:t>
      </w:r>
      <w:proofErr w:type="spellStart"/>
      <w:r w:rsidR="00F2792C" w:rsidRPr="00B4210D">
        <w:rPr>
          <w:lang w:val="en-GB"/>
        </w:rPr>
        <w:t>WEC</w:t>
      </w:r>
      <w:r w:rsidR="00F2792C" w:rsidRPr="00B4210D">
        <w:rPr>
          <w:vertAlign w:val="subscript"/>
          <w:lang w:val="en-GB"/>
        </w:rPr>
        <w:t>th</w:t>
      </w:r>
      <w:proofErr w:type="spellEnd"/>
      <w:r w:rsidRPr="002057AA">
        <w:rPr>
          <w:lang w:val="en-GB"/>
        </w:rPr>
        <w:t xml:space="preserve"> was installed at 100.8 MW, </w:t>
      </w:r>
      <w:r w:rsidRPr="002057AA">
        <w:rPr>
          <w:lang w:val="en-GB"/>
        </w:rPr>
        <w:lastRenderedPageBreak/>
        <w:t>the minimum GHG intensity was 0.17 kg-CO</w:t>
      </w:r>
      <w:r w:rsidRPr="004B23FD">
        <w:rPr>
          <w:vertAlign w:val="subscript"/>
          <w:lang w:val="en-GB"/>
        </w:rPr>
        <w:t>2</w:t>
      </w:r>
      <w:r w:rsidRPr="002057AA">
        <w:rPr>
          <w:lang w:val="en-GB"/>
        </w:rPr>
        <w:t>eq/kWh for 2.9 GWh-TES</w:t>
      </w:r>
      <w:r w:rsidR="002C0F88">
        <w:rPr>
          <w:lang w:val="en-GB"/>
        </w:rPr>
        <w:t>,</w:t>
      </w:r>
      <w:r w:rsidRPr="002057AA">
        <w:rPr>
          <w:lang w:val="en-GB"/>
        </w:rPr>
        <w:t xml:space="preserve"> and the minimum ARD intensity was 0.0066 g-</w:t>
      </w:r>
      <w:proofErr w:type="spellStart"/>
      <w:r w:rsidRPr="002057AA">
        <w:rPr>
          <w:lang w:val="en-GB"/>
        </w:rPr>
        <w:t>Sbeq</w:t>
      </w:r>
      <w:proofErr w:type="spellEnd"/>
      <w:r w:rsidRPr="002057AA">
        <w:rPr>
          <w:lang w:val="en-GB"/>
        </w:rPr>
        <w:t xml:space="preserve">/kWh for 2.9 GWh-TES. The energy storage installed in a region should be selected based on the amount of power </w:t>
      </w:r>
      <w:r w:rsidR="00E017A3">
        <w:rPr>
          <w:lang w:val="en-GB"/>
        </w:rPr>
        <w:t>to be sold</w:t>
      </w:r>
      <w:r w:rsidRPr="002057AA">
        <w:rPr>
          <w:lang w:val="en-GB"/>
        </w:rPr>
        <w:t>, i.e., the energy demand in the region</w:t>
      </w:r>
      <w:r w:rsidR="002C0F88">
        <w:rPr>
          <w:lang w:val="en-GB"/>
        </w:rPr>
        <w:t>,</w:t>
      </w:r>
      <w:r w:rsidRPr="002057AA">
        <w:rPr>
          <w:lang w:val="en-GB"/>
        </w:rPr>
        <w:t xml:space="preserve"> because </w:t>
      </w:r>
      <w:r>
        <w:rPr>
          <w:lang w:val="en-GB"/>
        </w:rPr>
        <w:t>the amount of power s</w:t>
      </w:r>
      <w:r w:rsidR="00E017A3">
        <w:rPr>
          <w:lang w:val="en-GB"/>
        </w:rPr>
        <w:t>old</w:t>
      </w:r>
      <w:r>
        <w:rPr>
          <w:lang w:val="en-GB"/>
        </w:rPr>
        <w:t xml:space="preserve"> and </w:t>
      </w:r>
      <w:r w:rsidRPr="002057AA">
        <w:rPr>
          <w:lang w:val="en-GB"/>
        </w:rPr>
        <w:t xml:space="preserve">the minimum GHG and ARD </w:t>
      </w:r>
      <w:r>
        <w:rPr>
          <w:lang w:val="en-GB"/>
        </w:rPr>
        <w:t xml:space="preserve">intensities </w:t>
      </w:r>
      <w:r w:rsidRPr="002057AA">
        <w:rPr>
          <w:lang w:val="en-GB"/>
        </w:rPr>
        <w:t>differ depending on the type of energy storage.</w:t>
      </w:r>
    </w:p>
    <w:p w14:paraId="0310F724" w14:textId="2218F4EC" w:rsidR="00A63124" w:rsidRDefault="00A63124" w:rsidP="00A63124">
      <w:pPr>
        <w:pStyle w:val="Els-body-text"/>
        <w:rPr>
          <w:lang w:val="en-GB"/>
        </w:rPr>
      </w:pPr>
      <w:r w:rsidRPr="002057AA">
        <w:rPr>
          <w:lang w:val="en-GB"/>
        </w:rPr>
        <w:t xml:space="preserve">Improvements in energy storage technology and its operation to accommodate the </w:t>
      </w:r>
      <w:r w:rsidR="00E017A3">
        <w:rPr>
          <w:lang w:val="en-GB"/>
        </w:rPr>
        <w:t>unstable</w:t>
      </w:r>
      <w:r w:rsidRPr="002057AA">
        <w:rPr>
          <w:lang w:val="en-GB"/>
        </w:rPr>
        <w:t xml:space="preserve"> nature of VRE could lead to more effective use of energy storage systems. </w:t>
      </w:r>
      <w:r w:rsidRPr="000F25DB">
        <w:rPr>
          <w:lang w:val="en-GB"/>
        </w:rPr>
        <w:t xml:space="preserve">Energy storage systems are expected </w:t>
      </w:r>
      <w:r>
        <w:rPr>
          <w:lang w:val="en-GB"/>
        </w:rPr>
        <w:t xml:space="preserve">to have </w:t>
      </w:r>
      <w:r w:rsidRPr="000F25DB">
        <w:rPr>
          <w:lang w:val="en-GB"/>
        </w:rPr>
        <w:t>many types of applicability, such as contributing to carbon neutrality and revitalizing the region.</w:t>
      </w:r>
      <w:r>
        <w:rPr>
          <w:lang w:val="en-GB"/>
        </w:rPr>
        <w:t xml:space="preserve"> </w:t>
      </w:r>
      <w:r w:rsidRPr="002057AA">
        <w:rPr>
          <w:lang w:val="en-GB"/>
        </w:rPr>
        <w:t xml:space="preserve">This study was able to quantitatively evaluate the environmental performance of energy storage systems, including their operation. </w:t>
      </w:r>
      <w:r w:rsidRPr="0071467F">
        <w:rPr>
          <w:lang w:val="en-GB"/>
        </w:rPr>
        <w:t>Appropriate energy storage systems are expected to be designed by applying the simulation conducted in this study.</w:t>
      </w:r>
    </w:p>
    <w:p w14:paraId="3C57B7C0" w14:textId="40711AA2" w:rsidR="00822B98" w:rsidRDefault="00822B98" w:rsidP="008D2649">
      <w:pPr>
        <w:pStyle w:val="Els-reference-head"/>
      </w:pPr>
      <w:r w:rsidRPr="00822B98">
        <w:t>Acknowledg</w:t>
      </w:r>
      <w:r w:rsidR="00D87AA7">
        <w:t>e</w:t>
      </w:r>
      <w:r w:rsidRPr="00822B98">
        <w:t>ment</w:t>
      </w:r>
    </w:p>
    <w:p w14:paraId="783CA813" w14:textId="646684D0" w:rsidR="00822B98" w:rsidRPr="00AC3B0E" w:rsidRDefault="005A1E39" w:rsidP="00AA2A49">
      <w:pPr>
        <w:pStyle w:val="Els-body-text"/>
      </w:pPr>
      <w:r w:rsidRPr="005A1E39">
        <w:t xml:space="preserve">This study </w:t>
      </w:r>
      <w:r w:rsidR="000527B2">
        <w:t>wa</w:t>
      </w:r>
      <w:r w:rsidRPr="005A1E39">
        <w:t>s financially supported by the New Energy and Industrial Technology Development Organization (NEDO) (Grant number, JPNP21026)</w:t>
      </w:r>
      <w:r w:rsidR="00AA2A49">
        <w:t>.</w:t>
      </w:r>
      <w:r w:rsidRPr="005A1E39">
        <w:t xml:space="preserve"> This research contained the achievements of the JST-MIRAI Program Grant Number JPMJMI19C7, JST COI-NEXT (JPMJPF2003), </w:t>
      </w:r>
      <w:r w:rsidR="00B83D11">
        <w:t xml:space="preserve">JST PRESTO (Grant Number JPMJPR2278), </w:t>
      </w:r>
      <w:r w:rsidRPr="005A1E39">
        <w:t xml:space="preserve">JSPS KAKENHI </w:t>
      </w:r>
      <w:r w:rsidR="00D34E16">
        <w:t>(</w:t>
      </w:r>
      <w:r w:rsidRPr="005A1E39">
        <w:t>Grant Number JP21H03660</w:t>
      </w:r>
      <w:r w:rsidR="00D34E16">
        <w:t>)</w:t>
      </w:r>
      <w:r w:rsidR="00AA2A49">
        <w:t>, JSPS KAKENHI Grant-in-Aid for Early-Career Scientists (Grant Number JP22K18061)</w:t>
      </w:r>
      <w:r w:rsidR="00C65EA7">
        <w:t>, and</w:t>
      </w:r>
      <w:r w:rsidR="00AA2A49">
        <w:t xml:space="preserve"> the Environment Research and Technology Development Fund (Grant Number</w:t>
      </w:r>
      <w:r w:rsidR="00472F44">
        <w:t xml:space="preserve"> </w:t>
      </w:r>
      <w:r w:rsidR="00AA2A49">
        <w:t>JPMEERF20213R01) of the Environmental Restoration and Conservation Agency of Japan</w:t>
      </w:r>
      <w:r w:rsidRPr="005A1E39">
        <w:t xml:space="preserve">. </w:t>
      </w:r>
      <w:r w:rsidR="00A05E56" w:rsidRPr="00AC3B0E">
        <w:t>Activities of the Presidential Endowed Chair for “Platinum Society” at the University of Tokyo are supported by Mitsui Fudosan Corporation, Sekisui House, Ltd., the East Japan Railway Company, and Toyota Tsusho Corporation.</w:t>
      </w:r>
    </w:p>
    <w:p w14:paraId="144DE6BF" w14:textId="34B91B43" w:rsidR="008D2649" w:rsidRDefault="008D2649" w:rsidP="008D2649">
      <w:pPr>
        <w:pStyle w:val="Els-reference-head"/>
      </w:pPr>
      <w:r>
        <w:t>References</w:t>
      </w:r>
    </w:p>
    <w:p w14:paraId="400F0D82" w14:textId="77777777" w:rsidR="00A71B9B" w:rsidRDefault="00A71B9B" w:rsidP="00A71B9B">
      <w:pPr>
        <w:pStyle w:val="Els-referenceno-number"/>
      </w:pPr>
      <w:r w:rsidRPr="00E808EA">
        <w:t>AIST (National Institute of Advanced Industrial Science and Technology), 2019, Inventory Database for environmental analysis version 2.3</w:t>
      </w:r>
    </w:p>
    <w:p w14:paraId="1C8601C8" w14:textId="0B594DFC" w:rsidR="00A71B9B" w:rsidRDefault="00A71B9B" w:rsidP="00A71B9B">
      <w:pPr>
        <w:pStyle w:val="Els-referenceno-number"/>
      </w:pPr>
      <w:r w:rsidRPr="00E808EA">
        <w:t>B. Battke, T. S. Schmidt, D. Grosspietsch,V. H. Hoffmann, 2013, A review and probabilistic model of lifecycle costs of stationary batteries in multiple applications, Renew Sustain Energy Rev, 25, 240</w:t>
      </w:r>
      <w:r w:rsidR="0068200C">
        <w:t>–</w:t>
      </w:r>
      <w:r w:rsidRPr="00E808EA">
        <w:t>250</w:t>
      </w:r>
    </w:p>
    <w:p w14:paraId="5BFF090E" w14:textId="46C0C84C" w:rsidR="00A71B9B" w:rsidRDefault="00A71B9B" w:rsidP="00A71B9B">
      <w:pPr>
        <w:pStyle w:val="Els-referenceno-number"/>
      </w:pPr>
      <w:r w:rsidRPr="00E808EA">
        <w:t>Y. Kikuchi, I. Suwa, A. Heiho, Y. Dou, S. Lim, T. Namihira, K. Mochidzuki, T. Koita,</w:t>
      </w:r>
      <w:r>
        <w:t xml:space="preserve"> </w:t>
      </w:r>
      <w:r w:rsidRPr="00E808EA">
        <w:t>C. Tokoro, 2021, Separation of cathode particles and aluminum current foil in lithium-ion battery by high-voltage pulsed discharge Part II: Prospective life cycle assessment based on experimental data, Waste Manag, 132, 86</w:t>
      </w:r>
      <w:r w:rsidR="0068200C">
        <w:t>–</w:t>
      </w:r>
      <w:r w:rsidRPr="00E808EA">
        <w:t>95</w:t>
      </w:r>
    </w:p>
    <w:p w14:paraId="620B4F27" w14:textId="23BD4CF0" w:rsidR="00A71B9B" w:rsidRDefault="00A71B9B" w:rsidP="00A71B9B">
      <w:pPr>
        <w:pStyle w:val="Els-referenceno-number"/>
      </w:pPr>
      <w:r w:rsidRPr="00E808EA">
        <w:t>T. Okazaki, Y. Shirai,</w:t>
      </w:r>
      <w:r>
        <w:t xml:space="preserve"> </w:t>
      </w:r>
      <w:r w:rsidRPr="00E808EA">
        <w:t>T. Nakamura, 2015, Concept study of wind power utilizing direct thermal energy conversion and thermal energy storage, Renew Energy, 83, 332</w:t>
      </w:r>
      <w:r w:rsidR="0068200C">
        <w:t>–</w:t>
      </w:r>
      <w:r w:rsidRPr="00E808EA">
        <w:t>338</w:t>
      </w:r>
    </w:p>
    <w:p w14:paraId="66E868AD" w14:textId="1E8410B4" w:rsidR="00A71B9B" w:rsidRDefault="00A71B9B" w:rsidP="00A71B9B">
      <w:pPr>
        <w:pStyle w:val="Els-referenceno-number"/>
      </w:pPr>
      <w:r w:rsidRPr="00E808EA">
        <w:t>E. Oró, A. Gil, A. de Gracia, D. Boer,</w:t>
      </w:r>
      <w:r w:rsidR="0068200C">
        <w:t xml:space="preserve"> </w:t>
      </w:r>
      <w:r w:rsidRPr="00E808EA">
        <w:t>L. F. Cabeza, 2012, Comparative life cycle assessment of thermal energy storage systems for solar power plants, Renew Energy, 44, 166</w:t>
      </w:r>
      <w:r w:rsidR="0068200C">
        <w:t>–</w:t>
      </w:r>
      <w:r w:rsidRPr="00E808EA">
        <w:t>173</w:t>
      </w:r>
    </w:p>
    <w:p w14:paraId="7D04A90F" w14:textId="04462F5C" w:rsidR="00A71B9B" w:rsidRDefault="00A71B9B" w:rsidP="00A71B9B">
      <w:pPr>
        <w:pStyle w:val="Els-referenceno-number"/>
      </w:pPr>
      <w:r w:rsidRPr="00E808EA">
        <w:t>J. F. Peters, M. Baumann, B. Zimmermann, J. Braun,</w:t>
      </w:r>
      <w:r>
        <w:t xml:space="preserve"> </w:t>
      </w:r>
      <w:r w:rsidRPr="00E808EA">
        <w:t>M. Weil, 2017, The environmental impact of Li-Ion batteries and the role of key parameters – A review, Renew Sustain Energy Rev, 67, 491</w:t>
      </w:r>
      <w:r w:rsidR="0068200C">
        <w:t>–</w:t>
      </w:r>
      <w:r w:rsidRPr="00E808EA">
        <w:t>506</w:t>
      </w:r>
    </w:p>
    <w:p w14:paraId="36D69A16" w14:textId="1C525B44" w:rsidR="00A71B9B" w:rsidRDefault="00A71B9B" w:rsidP="00A71B9B">
      <w:pPr>
        <w:pStyle w:val="Els-referenceno-number"/>
      </w:pPr>
      <w:r w:rsidRPr="00E808EA">
        <w:t>C. Strazza, A. Del Borghi, P. Costamagna, M. Gallo, E. Brignole,</w:t>
      </w:r>
      <w:r>
        <w:t xml:space="preserve"> </w:t>
      </w:r>
      <w:r w:rsidRPr="00E808EA">
        <w:t>P. Girdinio, 2015, Life Cycle Assessment and Life Cycle Costing of a SOFC system for distributed power generation, Energy Convers Manag, 100, 64</w:t>
      </w:r>
      <w:r w:rsidR="0068200C">
        <w:t>–</w:t>
      </w:r>
      <w:r w:rsidRPr="00E808EA">
        <w:t>77</w:t>
      </w:r>
    </w:p>
    <w:p w14:paraId="61E21EB9" w14:textId="77777777" w:rsidR="00A71B9B" w:rsidRDefault="00A71B9B" w:rsidP="00A71B9B">
      <w:pPr>
        <w:pStyle w:val="Els-referenceno-number"/>
      </w:pPr>
      <w:r w:rsidRPr="00E808EA">
        <w:t>A. Yamaki, S. Fujii, Y. Kanematsu,Y. Kikuchi, 2023, Life cycle greenhouse gas emissions of cogeneration energy hubs at Japanese paper mills with thermal energy storage, Energy, 270, 126886</w:t>
      </w:r>
    </w:p>
    <w:p w14:paraId="1DFE4E50" w14:textId="218828B5" w:rsidR="00A71B9B" w:rsidRPr="00AE761A" w:rsidRDefault="00A71B9B" w:rsidP="00772B86">
      <w:pPr>
        <w:pStyle w:val="Els-referenceno-number"/>
        <w:rPr>
          <w:szCs w:val="18"/>
        </w:rPr>
      </w:pPr>
      <w:r w:rsidRPr="00E808EA">
        <w:t>A. Yamaki, Y. Kanematsu,Y. Kikuchi, 2020, Lifecycle greenhouse gas emissions of thermal energy storage implemented in a paper mill for wind energy utilization, Energy, 205, 118056</w:t>
      </w:r>
    </w:p>
    <w:sectPr w:rsidR="00A71B9B" w:rsidRPr="00AE761A" w:rsidSect="0030034C">
      <w:headerReference w:type="even" r:id="rId11"/>
      <w:headerReference w:type="default" r:id="rId12"/>
      <w:headerReference w:type="first" r:id="rId13"/>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0E951" w14:textId="77777777" w:rsidR="0030034C" w:rsidRDefault="0030034C">
      <w:r>
        <w:separator/>
      </w:r>
    </w:p>
  </w:endnote>
  <w:endnote w:type="continuationSeparator" w:id="0">
    <w:p w14:paraId="36083F00" w14:textId="77777777" w:rsidR="0030034C" w:rsidRDefault="00300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0DEE4" w14:textId="77777777" w:rsidR="0030034C" w:rsidRDefault="0030034C">
      <w:r>
        <w:separator/>
      </w:r>
    </w:p>
  </w:footnote>
  <w:footnote w:type="continuationSeparator" w:id="0">
    <w:p w14:paraId="16CE4583" w14:textId="77777777" w:rsidR="0030034C" w:rsidRDefault="00300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423F32C2" w:rsidR="00DD3D9E" w:rsidRPr="00D50264" w:rsidRDefault="00DD3D9E">
    <w:pPr>
      <w:pStyle w:val="Header"/>
      <w:tabs>
        <w:tab w:val="clear" w:pos="7200"/>
        <w:tab w:val="right" w:pos="7088"/>
      </w:tabs>
      <w:rPr>
        <w:i/>
      </w:rPr>
    </w:pPr>
    <w:r>
      <w:rPr>
        <w:rStyle w:val="PageNumber"/>
      </w:rPr>
      <w:tab/>
    </w:r>
    <w:r>
      <w:rPr>
        <w:rStyle w:val="PageNumber"/>
        <w:i/>
      </w:rPr>
      <w:tab/>
    </w:r>
    <w:r w:rsidR="00C50160">
      <w:rPr>
        <w:rStyle w:val="PageNumber"/>
        <w:rFonts w:hint="eastAsia"/>
        <w:i/>
        <w:lang w:eastAsia="ja-JP"/>
      </w:rPr>
      <w:t>A</w:t>
    </w:r>
    <w:r w:rsidR="00FF04A5">
      <w:rPr>
        <w:rStyle w:val="PageNumber"/>
        <w:i/>
      </w:rPr>
      <w:t>. Y</w:t>
    </w:r>
    <w:r w:rsidR="00A2145A">
      <w:rPr>
        <w:rStyle w:val="PageNumber"/>
        <w:i/>
      </w:rPr>
      <w:t>amaki</w:t>
    </w:r>
    <w:r w:rsidR="00C50160">
      <w:rPr>
        <w:rStyle w:val="PageNumber"/>
        <w:i/>
      </w:rPr>
      <w:t xml:space="preserve">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3C64E322" w:rsidR="00DD3D9E" w:rsidRDefault="00D50264" w:rsidP="00D50264">
    <w:pPr>
      <w:pStyle w:val="Header"/>
      <w:tabs>
        <w:tab w:val="clear" w:pos="7200"/>
        <w:tab w:val="right" w:pos="7088"/>
      </w:tabs>
      <w:ind w:right="400"/>
      <w:rPr>
        <w:sz w:val="24"/>
      </w:rPr>
    </w:pPr>
    <w:r w:rsidRPr="00D50264">
      <w:rPr>
        <w:i/>
      </w:rPr>
      <w:t xml:space="preserve">Applicability of </w:t>
    </w:r>
    <w:r w:rsidR="002F1293">
      <w:rPr>
        <w:i/>
      </w:rPr>
      <w:t>E</w:t>
    </w:r>
    <w:r w:rsidRPr="00D50264">
      <w:rPr>
        <w:i/>
      </w:rPr>
      <w:t xml:space="preserve">nergy </w:t>
    </w:r>
    <w:r w:rsidR="002F1293">
      <w:rPr>
        <w:i/>
      </w:rPr>
      <w:t>S</w:t>
    </w:r>
    <w:r w:rsidRPr="00D50264">
      <w:rPr>
        <w:i/>
      </w:rPr>
      <w:t xml:space="preserve">torage for </w:t>
    </w:r>
    <w:r w:rsidR="002F1293">
      <w:rPr>
        <w:i/>
      </w:rPr>
      <w:t>M</w:t>
    </w:r>
    <w:r w:rsidRPr="00D50264">
      <w:rPr>
        <w:i/>
      </w:rPr>
      <w:t xml:space="preserve">itigating </w:t>
    </w:r>
    <w:r w:rsidR="002F1293">
      <w:rPr>
        <w:i/>
      </w:rPr>
      <w:t>V</w:t>
    </w:r>
    <w:r w:rsidRPr="00D50264">
      <w:rPr>
        <w:i/>
      </w:rPr>
      <w:t xml:space="preserve">ariability of </w:t>
    </w:r>
    <w:r w:rsidR="002F1293">
      <w:rPr>
        <w:i/>
      </w:rPr>
      <w:t>R</w:t>
    </w:r>
    <w:r w:rsidRPr="00D50264">
      <w:rPr>
        <w:i/>
      </w:rPr>
      <w:t xml:space="preserve">enewable </w:t>
    </w:r>
    <w:r w:rsidR="002F1293">
      <w:rPr>
        <w:i/>
      </w:rPr>
      <w:t>E</w:t>
    </w:r>
    <w:r w:rsidRPr="00D50264">
      <w:rPr>
        <w:i/>
      </w:rPr>
      <w:t xml:space="preserve">lectricity </w:t>
    </w:r>
    <w:r w:rsidR="002F1293">
      <w:rPr>
        <w:i/>
      </w:rPr>
      <w:t>C</w:t>
    </w:r>
    <w:r w:rsidRPr="00D50264">
      <w:rPr>
        <w:i/>
      </w:rPr>
      <w:t xml:space="preserve">onsidering </w:t>
    </w:r>
    <w:r w:rsidR="006A1D42">
      <w:rPr>
        <w:i/>
      </w:rPr>
      <w:t>Life cycle</w:t>
    </w:r>
    <w:r w:rsidRPr="00D50264">
      <w:rPr>
        <w:i/>
      </w:rPr>
      <w:t xml:space="preserve"> </w:t>
    </w:r>
    <w:r w:rsidR="002F1293">
      <w:rPr>
        <w:i/>
      </w:rPr>
      <w:t>I</w:t>
    </w:r>
    <w:r w:rsidRPr="00D50264">
      <w:rPr>
        <w:i/>
      </w:rPr>
      <w:t>mpacts</w:t>
    </w:r>
    <w:r w:rsidR="00DD3D9E">
      <w:rPr>
        <w:rStyle w:val="PageNumber"/>
        <w:i/>
        <w:sz w:val="24"/>
      </w:rPr>
      <w:tab/>
    </w:r>
    <w:r w:rsidR="00DD3D9E">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943924137">
    <w:abstractNumId w:val="11"/>
  </w:num>
  <w:num w:numId="2" w16cid:durableId="557012936">
    <w:abstractNumId w:val="11"/>
  </w:num>
  <w:num w:numId="3" w16cid:durableId="1719084049">
    <w:abstractNumId w:val="11"/>
  </w:num>
  <w:num w:numId="4" w16cid:durableId="1069110052">
    <w:abstractNumId w:val="11"/>
  </w:num>
  <w:num w:numId="5" w16cid:durableId="1258174484">
    <w:abstractNumId w:val="0"/>
  </w:num>
  <w:num w:numId="6" w16cid:durableId="873620039">
    <w:abstractNumId w:val="6"/>
  </w:num>
  <w:num w:numId="7" w16cid:durableId="1435321678">
    <w:abstractNumId w:val="12"/>
  </w:num>
  <w:num w:numId="8" w16cid:durableId="309678444">
    <w:abstractNumId w:val="1"/>
  </w:num>
  <w:num w:numId="9" w16cid:durableId="1809934583">
    <w:abstractNumId w:val="10"/>
  </w:num>
  <w:num w:numId="10" w16cid:durableId="112287007">
    <w:abstractNumId w:val="14"/>
  </w:num>
  <w:num w:numId="11" w16cid:durableId="360085357">
    <w:abstractNumId w:val="13"/>
  </w:num>
  <w:num w:numId="12" w16cid:durableId="627321284">
    <w:abstractNumId w:val="5"/>
  </w:num>
  <w:num w:numId="13" w16cid:durableId="574703809">
    <w:abstractNumId w:val="8"/>
  </w:num>
  <w:num w:numId="14" w16cid:durableId="2105414345">
    <w:abstractNumId w:val="2"/>
  </w:num>
  <w:num w:numId="15" w16cid:durableId="1866213453">
    <w:abstractNumId w:val="7"/>
  </w:num>
  <w:num w:numId="16" w16cid:durableId="251159983">
    <w:abstractNumId w:val="3"/>
  </w:num>
  <w:num w:numId="17" w16cid:durableId="1684017771">
    <w:abstractNumId w:val="4"/>
  </w:num>
  <w:num w:numId="18" w16cid:durableId="14907052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Escape_CACE&lt;/Style&gt;&lt;LeftDelim&gt;{&lt;/LeftDelim&gt;&lt;RightDelim&gt;}&lt;/RightDelim&gt;&lt;FontName&gt;Times New Roman&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w50922vjtpwv7ezss9xtrfxp2drpr0s9prx&quot;&gt;My EndNote Library&lt;record-ids&gt;&lt;item&gt;7&lt;/item&gt;&lt;item&gt;23&lt;/item&gt;&lt;item&gt;86&lt;/item&gt;&lt;item&gt;492&lt;/item&gt;&lt;item&gt;624&lt;/item&gt;&lt;item&gt;734&lt;/item&gt;&lt;item&gt;744&lt;/item&gt;&lt;item&gt;749&lt;/item&gt;&lt;item&gt;1004&lt;/item&gt;&lt;/record-ids&gt;&lt;/item&gt;&lt;/Libraries&gt;"/>
  </w:docVars>
  <w:rsids>
    <w:rsidRoot w:val="00B63237"/>
    <w:rsid w:val="00002AC9"/>
    <w:rsid w:val="00007105"/>
    <w:rsid w:val="00007349"/>
    <w:rsid w:val="000202B8"/>
    <w:rsid w:val="00030781"/>
    <w:rsid w:val="0003382B"/>
    <w:rsid w:val="00036464"/>
    <w:rsid w:val="00041F29"/>
    <w:rsid w:val="000472A8"/>
    <w:rsid w:val="0004757F"/>
    <w:rsid w:val="0005112A"/>
    <w:rsid w:val="000527B2"/>
    <w:rsid w:val="00052B4D"/>
    <w:rsid w:val="000570DC"/>
    <w:rsid w:val="00057B32"/>
    <w:rsid w:val="00061DB7"/>
    <w:rsid w:val="00063423"/>
    <w:rsid w:val="00065BA7"/>
    <w:rsid w:val="00066C46"/>
    <w:rsid w:val="0006788F"/>
    <w:rsid w:val="000720ED"/>
    <w:rsid w:val="000822FA"/>
    <w:rsid w:val="00091BF2"/>
    <w:rsid w:val="000A0D03"/>
    <w:rsid w:val="000A2A67"/>
    <w:rsid w:val="000A2D21"/>
    <w:rsid w:val="000A490F"/>
    <w:rsid w:val="000B400D"/>
    <w:rsid w:val="000B6694"/>
    <w:rsid w:val="000B6E5D"/>
    <w:rsid w:val="000C5346"/>
    <w:rsid w:val="000D22B9"/>
    <w:rsid w:val="000D2F95"/>
    <w:rsid w:val="000D3D9B"/>
    <w:rsid w:val="000E0313"/>
    <w:rsid w:val="000E2AF5"/>
    <w:rsid w:val="000F25DB"/>
    <w:rsid w:val="000F3192"/>
    <w:rsid w:val="000F3EE9"/>
    <w:rsid w:val="000F55F3"/>
    <w:rsid w:val="00110CF4"/>
    <w:rsid w:val="0011393A"/>
    <w:rsid w:val="00114B95"/>
    <w:rsid w:val="00115527"/>
    <w:rsid w:val="0012419F"/>
    <w:rsid w:val="00126DA3"/>
    <w:rsid w:val="001311CE"/>
    <w:rsid w:val="00131343"/>
    <w:rsid w:val="001320BE"/>
    <w:rsid w:val="00133CC9"/>
    <w:rsid w:val="0013616E"/>
    <w:rsid w:val="00157CC6"/>
    <w:rsid w:val="0016032F"/>
    <w:rsid w:val="0016385C"/>
    <w:rsid w:val="00166474"/>
    <w:rsid w:val="00173996"/>
    <w:rsid w:val="0018147A"/>
    <w:rsid w:val="0018238F"/>
    <w:rsid w:val="0018689C"/>
    <w:rsid w:val="001879F6"/>
    <w:rsid w:val="00193B31"/>
    <w:rsid w:val="00197176"/>
    <w:rsid w:val="001A2CB0"/>
    <w:rsid w:val="001A5FB4"/>
    <w:rsid w:val="001B0C6B"/>
    <w:rsid w:val="001B4E46"/>
    <w:rsid w:val="001B6BE4"/>
    <w:rsid w:val="001C0148"/>
    <w:rsid w:val="001C0872"/>
    <w:rsid w:val="001C2AEF"/>
    <w:rsid w:val="001C5277"/>
    <w:rsid w:val="001C6756"/>
    <w:rsid w:val="001C757E"/>
    <w:rsid w:val="001D5521"/>
    <w:rsid w:val="001D7D61"/>
    <w:rsid w:val="001E67B3"/>
    <w:rsid w:val="001E6E00"/>
    <w:rsid w:val="001E7CE9"/>
    <w:rsid w:val="00203404"/>
    <w:rsid w:val="0020390F"/>
    <w:rsid w:val="00204EDA"/>
    <w:rsid w:val="002057AA"/>
    <w:rsid w:val="00207D35"/>
    <w:rsid w:val="00231D6D"/>
    <w:rsid w:val="00232AEC"/>
    <w:rsid w:val="00234545"/>
    <w:rsid w:val="00242A36"/>
    <w:rsid w:val="0024378D"/>
    <w:rsid w:val="00246D66"/>
    <w:rsid w:val="002510D7"/>
    <w:rsid w:val="00251867"/>
    <w:rsid w:val="00252700"/>
    <w:rsid w:val="0025328E"/>
    <w:rsid w:val="002536FC"/>
    <w:rsid w:val="0025477C"/>
    <w:rsid w:val="00256B19"/>
    <w:rsid w:val="00264926"/>
    <w:rsid w:val="00271314"/>
    <w:rsid w:val="00271B63"/>
    <w:rsid w:val="002766FB"/>
    <w:rsid w:val="00277434"/>
    <w:rsid w:val="00283238"/>
    <w:rsid w:val="00286D83"/>
    <w:rsid w:val="00291E10"/>
    <w:rsid w:val="002A2835"/>
    <w:rsid w:val="002A574A"/>
    <w:rsid w:val="002B029C"/>
    <w:rsid w:val="002B215C"/>
    <w:rsid w:val="002B6A73"/>
    <w:rsid w:val="002C0F88"/>
    <w:rsid w:val="002C1D09"/>
    <w:rsid w:val="002C428E"/>
    <w:rsid w:val="002D05B7"/>
    <w:rsid w:val="002D120A"/>
    <w:rsid w:val="002E50A3"/>
    <w:rsid w:val="002E64D8"/>
    <w:rsid w:val="002F069C"/>
    <w:rsid w:val="002F1293"/>
    <w:rsid w:val="002F2AB6"/>
    <w:rsid w:val="002F4533"/>
    <w:rsid w:val="002F52F2"/>
    <w:rsid w:val="002F7ECD"/>
    <w:rsid w:val="003000F1"/>
    <w:rsid w:val="0030034C"/>
    <w:rsid w:val="00313FD1"/>
    <w:rsid w:val="0031544F"/>
    <w:rsid w:val="003158BF"/>
    <w:rsid w:val="003178F0"/>
    <w:rsid w:val="003352EB"/>
    <w:rsid w:val="00341C4A"/>
    <w:rsid w:val="00345981"/>
    <w:rsid w:val="00353EFD"/>
    <w:rsid w:val="0035570A"/>
    <w:rsid w:val="003559D1"/>
    <w:rsid w:val="003565AC"/>
    <w:rsid w:val="00361022"/>
    <w:rsid w:val="00361261"/>
    <w:rsid w:val="003647BD"/>
    <w:rsid w:val="00364CA8"/>
    <w:rsid w:val="0036594A"/>
    <w:rsid w:val="00367430"/>
    <w:rsid w:val="00370CC6"/>
    <w:rsid w:val="00371237"/>
    <w:rsid w:val="003763DF"/>
    <w:rsid w:val="00376983"/>
    <w:rsid w:val="00377166"/>
    <w:rsid w:val="00383D68"/>
    <w:rsid w:val="00387DE0"/>
    <w:rsid w:val="00390325"/>
    <w:rsid w:val="00392FBA"/>
    <w:rsid w:val="003A07CE"/>
    <w:rsid w:val="003B5434"/>
    <w:rsid w:val="003B754E"/>
    <w:rsid w:val="003D1582"/>
    <w:rsid w:val="003D4A6D"/>
    <w:rsid w:val="003D7E4C"/>
    <w:rsid w:val="003E131B"/>
    <w:rsid w:val="003E41C2"/>
    <w:rsid w:val="003E73EE"/>
    <w:rsid w:val="0040656D"/>
    <w:rsid w:val="004074B3"/>
    <w:rsid w:val="00411BE9"/>
    <w:rsid w:val="00416750"/>
    <w:rsid w:val="00416816"/>
    <w:rsid w:val="00416F48"/>
    <w:rsid w:val="00427FE2"/>
    <w:rsid w:val="004358CF"/>
    <w:rsid w:val="00445B28"/>
    <w:rsid w:val="00453DD5"/>
    <w:rsid w:val="00455DE3"/>
    <w:rsid w:val="00464A89"/>
    <w:rsid w:val="00465BD3"/>
    <w:rsid w:val="00470428"/>
    <w:rsid w:val="00470E74"/>
    <w:rsid w:val="00471FC0"/>
    <w:rsid w:val="00472F44"/>
    <w:rsid w:val="00481D27"/>
    <w:rsid w:val="00484779"/>
    <w:rsid w:val="0048662C"/>
    <w:rsid w:val="00487DAA"/>
    <w:rsid w:val="0049772C"/>
    <w:rsid w:val="00497D77"/>
    <w:rsid w:val="004A54A5"/>
    <w:rsid w:val="004A7B5F"/>
    <w:rsid w:val="004B23FD"/>
    <w:rsid w:val="004C12C5"/>
    <w:rsid w:val="004C7881"/>
    <w:rsid w:val="004D0C70"/>
    <w:rsid w:val="004D2B9E"/>
    <w:rsid w:val="004D41F2"/>
    <w:rsid w:val="004D44ED"/>
    <w:rsid w:val="004D60D3"/>
    <w:rsid w:val="004D68C2"/>
    <w:rsid w:val="004E67C3"/>
    <w:rsid w:val="004F27D3"/>
    <w:rsid w:val="004F3813"/>
    <w:rsid w:val="004F4804"/>
    <w:rsid w:val="004F4EE1"/>
    <w:rsid w:val="004F560F"/>
    <w:rsid w:val="004F79E5"/>
    <w:rsid w:val="00502D1C"/>
    <w:rsid w:val="00503B13"/>
    <w:rsid w:val="005061E7"/>
    <w:rsid w:val="00506A77"/>
    <w:rsid w:val="005125E8"/>
    <w:rsid w:val="00512ED1"/>
    <w:rsid w:val="00514709"/>
    <w:rsid w:val="005156DD"/>
    <w:rsid w:val="0052453F"/>
    <w:rsid w:val="005368D2"/>
    <w:rsid w:val="00540EB8"/>
    <w:rsid w:val="005415DA"/>
    <w:rsid w:val="00542F94"/>
    <w:rsid w:val="00543242"/>
    <w:rsid w:val="0054368A"/>
    <w:rsid w:val="005525AE"/>
    <w:rsid w:val="00552EEB"/>
    <w:rsid w:val="00553BC3"/>
    <w:rsid w:val="00566CD9"/>
    <w:rsid w:val="00570379"/>
    <w:rsid w:val="00581F21"/>
    <w:rsid w:val="0058473A"/>
    <w:rsid w:val="0058644C"/>
    <w:rsid w:val="00587AB4"/>
    <w:rsid w:val="00595123"/>
    <w:rsid w:val="005979E5"/>
    <w:rsid w:val="00597CE4"/>
    <w:rsid w:val="005A1E39"/>
    <w:rsid w:val="005A28C5"/>
    <w:rsid w:val="005A6A96"/>
    <w:rsid w:val="005B3618"/>
    <w:rsid w:val="005B561F"/>
    <w:rsid w:val="005C40E8"/>
    <w:rsid w:val="005C4767"/>
    <w:rsid w:val="005E2EA1"/>
    <w:rsid w:val="005F007E"/>
    <w:rsid w:val="005F4377"/>
    <w:rsid w:val="005F5A91"/>
    <w:rsid w:val="005F5B11"/>
    <w:rsid w:val="00606E03"/>
    <w:rsid w:val="0061072C"/>
    <w:rsid w:val="006109CB"/>
    <w:rsid w:val="00617ED8"/>
    <w:rsid w:val="00623938"/>
    <w:rsid w:val="00627D74"/>
    <w:rsid w:val="00634A0F"/>
    <w:rsid w:val="00647123"/>
    <w:rsid w:val="00650B3F"/>
    <w:rsid w:val="006612C2"/>
    <w:rsid w:val="006744DD"/>
    <w:rsid w:val="0068200C"/>
    <w:rsid w:val="006840C9"/>
    <w:rsid w:val="00684C03"/>
    <w:rsid w:val="00685521"/>
    <w:rsid w:val="00687882"/>
    <w:rsid w:val="00687A6F"/>
    <w:rsid w:val="00691D6A"/>
    <w:rsid w:val="006923B6"/>
    <w:rsid w:val="00694A44"/>
    <w:rsid w:val="0069541B"/>
    <w:rsid w:val="00697CEA"/>
    <w:rsid w:val="00697ED2"/>
    <w:rsid w:val="006A1D08"/>
    <w:rsid w:val="006A1D42"/>
    <w:rsid w:val="006A3247"/>
    <w:rsid w:val="006A4E62"/>
    <w:rsid w:val="006A69BF"/>
    <w:rsid w:val="006B0263"/>
    <w:rsid w:val="006B4B90"/>
    <w:rsid w:val="006C0CE1"/>
    <w:rsid w:val="006D0ADD"/>
    <w:rsid w:val="006D312E"/>
    <w:rsid w:val="006D408C"/>
    <w:rsid w:val="006E2E99"/>
    <w:rsid w:val="006E33C9"/>
    <w:rsid w:val="006E4E6D"/>
    <w:rsid w:val="006E5C6E"/>
    <w:rsid w:val="006F3A51"/>
    <w:rsid w:val="00700846"/>
    <w:rsid w:val="007044C7"/>
    <w:rsid w:val="007062C0"/>
    <w:rsid w:val="00707970"/>
    <w:rsid w:val="00711DF4"/>
    <w:rsid w:val="0071467F"/>
    <w:rsid w:val="00717803"/>
    <w:rsid w:val="007337B2"/>
    <w:rsid w:val="00735F90"/>
    <w:rsid w:val="00750969"/>
    <w:rsid w:val="00760F6F"/>
    <w:rsid w:val="00765F0A"/>
    <w:rsid w:val="00772B86"/>
    <w:rsid w:val="00774904"/>
    <w:rsid w:val="007776EF"/>
    <w:rsid w:val="00781A43"/>
    <w:rsid w:val="00787CA9"/>
    <w:rsid w:val="00790C59"/>
    <w:rsid w:val="007924D4"/>
    <w:rsid w:val="00792A59"/>
    <w:rsid w:val="007A2ABE"/>
    <w:rsid w:val="007B4331"/>
    <w:rsid w:val="007B485C"/>
    <w:rsid w:val="007C2C8B"/>
    <w:rsid w:val="007C4268"/>
    <w:rsid w:val="007C6219"/>
    <w:rsid w:val="007C622E"/>
    <w:rsid w:val="007C6BF4"/>
    <w:rsid w:val="007D3B34"/>
    <w:rsid w:val="007D49A6"/>
    <w:rsid w:val="007D6681"/>
    <w:rsid w:val="007D70A1"/>
    <w:rsid w:val="007E0EF0"/>
    <w:rsid w:val="007E678E"/>
    <w:rsid w:val="007F5446"/>
    <w:rsid w:val="00804C62"/>
    <w:rsid w:val="0080798A"/>
    <w:rsid w:val="00807BDF"/>
    <w:rsid w:val="008132E8"/>
    <w:rsid w:val="00815C86"/>
    <w:rsid w:val="00816309"/>
    <w:rsid w:val="00822B98"/>
    <w:rsid w:val="00823407"/>
    <w:rsid w:val="00823E64"/>
    <w:rsid w:val="00825755"/>
    <w:rsid w:val="00827EBC"/>
    <w:rsid w:val="008328CB"/>
    <w:rsid w:val="00832E92"/>
    <w:rsid w:val="00835C6F"/>
    <w:rsid w:val="0083726C"/>
    <w:rsid w:val="00840A6E"/>
    <w:rsid w:val="00842B38"/>
    <w:rsid w:val="008503AB"/>
    <w:rsid w:val="00853B5A"/>
    <w:rsid w:val="00860A3D"/>
    <w:rsid w:val="00860D16"/>
    <w:rsid w:val="00873302"/>
    <w:rsid w:val="00876E35"/>
    <w:rsid w:val="00884BEA"/>
    <w:rsid w:val="008926C0"/>
    <w:rsid w:val="008948A7"/>
    <w:rsid w:val="00896281"/>
    <w:rsid w:val="008A3C2E"/>
    <w:rsid w:val="008B0184"/>
    <w:rsid w:val="008B2CB2"/>
    <w:rsid w:val="008B53FD"/>
    <w:rsid w:val="008B7323"/>
    <w:rsid w:val="008B7447"/>
    <w:rsid w:val="008C5D02"/>
    <w:rsid w:val="008D1771"/>
    <w:rsid w:val="008D2649"/>
    <w:rsid w:val="008F0D7B"/>
    <w:rsid w:val="008F2EAB"/>
    <w:rsid w:val="008F5148"/>
    <w:rsid w:val="00901190"/>
    <w:rsid w:val="00902E42"/>
    <w:rsid w:val="0090373F"/>
    <w:rsid w:val="00903D97"/>
    <w:rsid w:val="00903F30"/>
    <w:rsid w:val="00904A85"/>
    <w:rsid w:val="0090568D"/>
    <w:rsid w:val="00907A0A"/>
    <w:rsid w:val="0091132B"/>
    <w:rsid w:val="009125C9"/>
    <w:rsid w:val="00913879"/>
    <w:rsid w:val="00917661"/>
    <w:rsid w:val="00920092"/>
    <w:rsid w:val="00924A83"/>
    <w:rsid w:val="009251CC"/>
    <w:rsid w:val="00933762"/>
    <w:rsid w:val="009457D4"/>
    <w:rsid w:val="00947611"/>
    <w:rsid w:val="009512EA"/>
    <w:rsid w:val="009517AB"/>
    <w:rsid w:val="00962070"/>
    <w:rsid w:val="00966360"/>
    <w:rsid w:val="00970E5D"/>
    <w:rsid w:val="00970F0E"/>
    <w:rsid w:val="009757DE"/>
    <w:rsid w:val="0097701C"/>
    <w:rsid w:val="00977D1B"/>
    <w:rsid w:val="00980A65"/>
    <w:rsid w:val="0098161A"/>
    <w:rsid w:val="0099065D"/>
    <w:rsid w:val="009B64C5"/>
    <w:rsid w:val="009B7149"/>
    <w:rsid w:val="009C0CAE"/>
    <w:rsid w:val="009C0D36"/>
    <w:rsid w:val="009C261A"/>
    <w:rsid w:val="009D11FD"/>
    <w:rsid w:val="009E2516"/>
    <w:rsid w:val="009F140C"/>
    <w:rsid w:val="009F5427"/>
    <w:rsid w:val="00A05B3A"/>
    <w:rsid w:val="00A05E56"/>
    <w:rsid w:val="00A065C6"/>
    <w:rsid w:val="00A10FCB"/>
    <w:rsid w:val="00A1273E"/>
    <w:rsid w:val="00A202D3"/>
    <w:rsid w:val="00A20F0A"/>
    <w:rsid w:val="00A2145A"/>
    <w:rsid w:val="00A25E70"/>
    <w:rsid w:val="00A319B4"/>
    <w:rsid w:val="00A33765"/>
    <w:rsid w:val="00A371C6"/>
    <w:rsid w:val="00A37A20"/>
    <w:rsid w:val="00A37B3D"/>
    <w:rsid w:val="00A4107D"/>
    <w:rsid w:val="00A41AE5"/>
    <w:rsid w:val="00A44BBB"/>
    <w:rsid w:val="00A4665A"/>
    <w:rsid w:val="00A516EF"/>
    <w:rsid w:val="00A52B2B"/>
    <w:rsid w:val="00A63124"/>
    <w:rsid w:val="00A63269"/>
    <w:rsid w:val="00A66F1D"/>
    <w:rsid w:val="00A71B9B"/>
    <w:rsid w:val="00A728D1"/>
    <w:rsid w:val="00A836A7"/>
    <w:rsid w:val="00A92377"/>
    <w:rsid w:val="00A964A3"/>
    <w:rsid w:val="00A97695"/>
    <w:rsid w:val="00AA2A49"/>
    <w:rsid w:val="00AA5BEB"/>
    <w:rsid w:val="00AA5EDC"/>
    <w:rsid w:val="00AB29ED"/>
    <w:rsid w:val="00AC3424"/>
    <w:rsid w:val="00AC3B0E"/>
    <w:rsid w:val="00AD784B"/>
    <w:rsid w:val="00AE1194"/>
    <w:rsid w:val="00AE4BD8"/>
    <w:rsid w:val="00AE761A"/>
    <w:rsid w:val="00AF343B"/>
    <w:rsid w:val="00AF6D21"/>
    <w:rsid w:val="00AF7B49"/>
    <w:rsid w:val="00B000D9"/>
    <w:rsid w:val="00B01449"/>
    <w:rsid w:val="00B01A58"/>
    <w:rsid w:val="00B056D9"/>
    <w:rsid w:val="00B1031E"/>
    <w:rsid w:val="00B1658D"/>
    <w:rsid w:val="00B27FC8"/>
    <w:rsid w:val="00B3087E"/>
    <w:rsid w:val="00B30C4E"/>
    <w:rsid w:val="00B36BAA"/>
    <w:rsid w:val="00B40958"/>
    <w:rsid w:val="00B4210D"/>
    <w:rsid w:val="00B42E6A"/>
    <w:rsid w:val="00B4388F"/>
    <w:rsid w:val="00B438FC"/>
    <w:rsid w:val="00B62AD6"/>
    <w:rsid w:val="00B63237"/>
    <w:rsid w:val="00B67716"/>
    <w:rsid w:val="00B71675"/>
    <w:rsid w:val="00B73C01"/>
    <w:rsid w:val="00B83D11"/>
    <w:rsid w:val="00B865D0"/>
    <w:rsid w:val="00B8699B"/>
    <w:rsid w:val="00B91F61"/>
    <w:rsid w:val="00B94F19"/>
    <w:rsid w:val="00BA24B6"/>
    <w:rsid w:val="00BB2A3F"/>
    <w:rsid w:val="00BB6D96"/>
    <w:rsid w:val="00BD1FE5"/>
    <w:rsid w:val="00BD2EA0"/>
    <w:rsid w:val="00BD54F2"/>
    <w:rsid w:val="00BD70C6"/>
    <w:rsid w:val="00BE6559"/>
    <w:rsid w:val="00BF47CB"/>
    <w:rsid w:val="00C02870"/>
    <w:rsid w:val="00C029D6"/>
    <w:rsid w:val="00C11432"/>
    <w:rsid w:val="00C12FA9"/>
    <w:rsid w:val="00C174AD"/>
    <w:rsid w:val="00C2297C"/>
    <w:rsid w:val="00C24008"/>
    <w:rsid w:val="00C25937"/>
    <w:rsid w:val="00C348BD"/>
    <w:rsid w:val="00C34E4E"/>
    <w:rsid w:val="00C36193"/>
    <w:rsid w:val="00C4510C"/>
    <w:rsid w:val="00C47B60"/>
    <w:rsid w:val="00C50160"/>
    <w:rsid w:val="00C509D1"/>
    <w:rsid w:val="00C51AE7"/>
    <w:rsid w:val="00C52BA8"/>
    <w:rsid w:val="00C53BA0"/>
    <w:rsid w:val="00C54DDF"/>
    <w:rsid w:val="00C55D50"/>
    <w:rsid w:val="00C62F68"/>
    <w:rsid w:val="00C65EA7"/>
    <w:rsid w:val="00C7329C"/>
    <w:rsid w:val="00C75DF9"/>
    <w:rsid w:val="00C821E4"/>
    <w:rsid w:val="00C846E6"/>
    <w:rsid w:val="00C8648F"/>
    <w:rsid w:val="00C91271"/>
    <w:rsid w:val="00C960DC"/>
    <w:rsid w:val="00CA0CA8"/>
    <w:rsid w:val="00CA18C9"/>
    <w:rsid w:val="00CA585E"/>
    <w:rsid w:val="00CB0529"/>
    <w:rsid w:val="00CB3607"/>
    <w:rsid w:val="00CB539B"/>
    <w:rsid w:val="00CC08F1"/>
    <w:rsid w:val="00CC15F8"/>
    <w:rsid w:val="00CC3D54"/>
    <w:rsid w:val="00CD2FF9"/>
    <w:rsid w:val="00CD374D"/>
    <w:rsid w:val="00CD53FB"/>
    <w:rsid w:val="00CE1CD1"/>
    <w:rsid w:val="00CE21AD"/>
    <w:rsid w:val="00CE3503"/>
    <w:rsid w:val="00CF5BFA"/>
    <w:rsid w:val="00CF5E4C"/>
    <w:rsid w:val="00CF6E3A"/>
    <w:rsid w:val="00CF78C2"/>
    <w:rsid w:val="00D02C75"/>
    <w:rsid w:val="00D02C93"/>
    <w:rsid w:val="00D06950"/>
    <w:rsid w:val="00D06A4A"/>
    <w:rsid w:val="00D06D48"/>
    <w:rsid w:val="00D10E22"/>
    <w:rsid w:val="00D11FEA"/>
    <w:rsid w:val="00D13D2C"/>
    <w:rsid w:val="00D13E28"/>
    <w:rsid w:val="00D14DF3"/>
    <w:rsid w:val="00D22B03"/>
    <w:rsid w:val="00D26628"/>
    <w:rsid w:val="00D3206D"/>
    <w:rsid w:val="00D34E16"/>
    <w:rsid w:val="00D43956"/>
    <w:rsid w:val="00D50264"/>
    <w:rsid w:val="00D6568A"/>
    <w:rsid w:val="00D6716C"/>
    <w:rsid w:val="00D711E3"/>
    <w:rsid w:val="00D7460E"/>
    <w:rsid w:val="00D75E00"/>
    <w:rsid w:val="00D75FF3"/>
    <w:rsid w:val="00D80FA1"/>
    <w:rsid w:val="00D85483"/>
    <w:rsid w:val="00D85EC7"/>
    <w:rsid w:val="00D87400"/>
    <w:rsid w:val="00D87AA7"/>
    <w:rsid w:val="00D974A8"/>
    <w:rsid w:val="00DA1606"/>
    <w:rsid w:val="00DA182B"/>
    <w:rsid w:val="00DA4E37"/>
    <w:rsid w:val="00DA702A"/>
    <w:rsid w:val="00DB1E2E"/>
    <w:rsid w:val="00DB61F7"/>
    <w:rsid w:val="00DB6BF4"/>
    <w:rsid w:val="00DB7C43"/>
    <w:rsid w:val="00DC2F94"/>
    <w:rsid w:val="00DC4000"/>
    <w:rsid w:val="00DC49D2"/>
    <w:rsid w:val="00DC5A35"/>
    <w:rsid w:val="00DC769C"/>
    <w:rsid w:val="00DC7F58"/>
    <w:rsid w:val="00DD3D9E"/>
    <w:rsid w:val="00DD7908"/>
    <w:rsid w:val="00DE0184"/>
    <w:rsid w:val="00DE2B54"/>
    <w:rsid w:val="00DE3F6A"/>
    <w:rsid w:val="00DE63D8"/>
    <w:rsid w:val="00DF4136"/>
    <w:rsid w:val="00E01671"/>
    <w:rsid w:val="00E017A3"/>
    <w:rsid w:val="00E0430E"/>
    <w:rsid w:val="00E130B1"/>
    <w:rsid w:val="00E1334B"/>
    <w:rsid w:val="00E14E37"/>
    <w:rsid w:val="00E318C8"/>
    <w:rsid w:val="00E37A47"/>
    <w:rsid w:val="00E4018D"/>
    <w:rsid w:val="00E43C32"/>
    <w:rsid w:val="00E450C9"/>
    <w:rsid w:val="00E5535B"/>
    <w:rsid w:val="00E65C34"/>
    <w:rsid w:val="00E7282E"/>
    <w:rsid w:val="00E749E9"/>
    <w:rsid w:val="00E808EA"/>
    <w:rsid w:val="00E82297"/>
    <w:rsid w:val="00E855A7"/>
    <w:rsid w:val="00E863EE"/>
    <w:rsid w:val="00E906EC"/>
    <w:rsid w:val="00E921BD"/>
    <w:rsid w:val="00E94984"/>
    <w:rsid w:val="00E965A0"/>
    <w:rsid w:val="00E97CC5"/>
    <w:rsid w:val="00EA04A0"/>
    <w:rsid w:val="00EA0B12"/>
    <w:rsid w:val="00EB2124"/>
    <w:rsid w:val="00EB391C"/>
    <w:rsid w:val="00EB4069"/>
    <w:rsid w:val="00EC37B3"/>
    <w:rsid w:val="00EC5B96"/>
    <w:rsid w:val="00ED164F"/>
    <w:rsid w:val="00ED511B"/>
    <w:rsid w:val="00EE1557"/>
    <w:rsid w:val="00EE1BDD"/>
    <w:rsid w:val="00EE288D"/>
    <w:rsid w:val="00EE414B"/>
    <w:rsid w:val="00EE78B7"/>
    <w:rsid w:val="00EF2315"/>
    <w:rsid w:val="00EF39FD"/>
    <w:rsid w:val="00EF4B0A"/>
    <w:rsid w:val="00EF7186"/>
    <w:rsid w:val="00F025B0"/>
    <w:rsid w:val="00F0358A"/>
    <w:rsid w:val="00F06842"/>
    <w:rsid w:val="00F07B2F"/>
    <w:rsid w:val="00F107FD"/>
    <w:rsid w:val="00F1168F"/>
    <w:rsid w:val="00F12CEA"/>
    <w:rsid w:val="00F234A9"/>
    <w:rsid w:val="00F2792C"/>
    <w:rsid w:val="00F316EF"/>
    <w:rsid w:val="00F31B30"/>
    <w:rsid w:val="00F33687"/>
    <w:rsid w:val="00F36461"/>
    <w:rsid w:val="00F443B0"/>
    <w:rsid w:val="00F53480"/>
    <w:rsid w:val="00F67118"/>
    <w:rsid w:val="00F7658B"/>
    <w:rsid w:val="00F77343"/>
    <w:rsid w:val="00F84081"/>
    <w:rsid w:val="00F870EB"/>
    <w:rsid w:val="00F87296"/>
    <w:rsid w:val="00F872E2"/>
    <w:rsid w:val="00F9065B"/>
    <w:rsid w:val="00F94E10"/>
    <w:rsid w:val="00F961CC"/>
    <w:rsid w:val="00FA0125"/>
    <w:rsid w:val="00FA0A90"/>
    <w:rsid w:val="00FA1737"/>
    <w:rsid w:val="00FA593C"/>
    <w:rsid w:val="00FA6C23"/>
    <w:rsid w:val="00FB0354"/>
    <w:rsid w:val="00FB3393"/>
    <w:rsid w:val="00FB490B"/>
    <w:rsid w:val="00FB64A8"/>
    <w:rsid w:val="00FB7DC2"/>
    <w:rsid w:val="00FC1B61"/>
    <w:rsid w:val="00FE32B7"/>
    <w:rsid w:val="00FE5430"/>
    <w:rsid w:val="00FF04A5"/>
    <w:rsid w:val="00FF703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7CC6"/>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link w:val="Els-body-textChar"/>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157CC6"/>
    <w:pPr>
      <w:snapToGrid w:val="0"/>
    </w:pPr>
    <w:rPr>
      <w:rFonts w:eastAsia="Times New Roman" w:hAnsi="Tahoma" w:cs="Tahoma"/>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paragraph" w:customStyle="1" w:styleId="EndNoteBibliographyTitle">
    <w:name w:val="EndNote Bibliography Title"/>
    <w:basedOn w:val="Normal"/>
    <w:link w:val="EndNoteBibliographyTitleChar"/>
    <w:rsid w:val="002C428E"/>
    <w:pPr>
      <w:jc w:val="center"/>
    </w:pPr>
    <w:rPr>
      <w:noProof/>
      <w:sz w:val="18"/>
      <w:lang w:val="en-US"/>
    </w:rPr>
  </w:style>
  <w:style w:type="character" w:customStyle="1" w:styleId="Els-body-textChar">
    <w:name w:val="Els-body-text Char"/>
    <w:basedOn w:val="DefaultParagraphFont"/>
    <w:link w:val="Els-body-text"/>
    <w:rsid w:val="002C428E"/>
    <w:rPr>
      <w:lang w:val="en-US" w:eastAsia="en-US"/>
    </w:rPr>
  </w:style>
  <w:style w:type="character" w:customStyle="1" w:styleId="EndNoteBibliographyTitleChar">
    <w:name w:val="EndNote Bibliography Title Char"/>
    <w:basedOn w:val="Els-body-textChar"/>
    <w:link w:val="EndNoteBibliographyTitle"/>
    <w:rsid w:val="002C428E"/>
    <w:rPr>
      <w:noProof/>
      <w:sz w:val="18"/>
      <w:lang w:val="en-US" w:eastAsia="en-US"/>
    </w:rPr>
  </w:style>
  <w:style w:type="paragraph" w:customStyle="1" w:styleId="EndNoteBibliography">
    <w:name w:val="EndNote Bibliography"/>
    <w:basedOn w:val="Normal"/>
    <w:link w:val="EndNoteBibliographyChar"/>
    <w:rsid w:val="002C428E"/>
    <w:rPr>
      <w:noProof/>
      <w:sz w:val="18"/>
      <w:lang w:val="en-US"/>
    </w:rPr>
  </w:style>
  <w:style w:type="character" w:customStyle="1" w:styleId="EndNoteBibliographyChar">
    <w:name w:val="EndNote Bibliography Char"/>
    <w:basedOn w:val="Els-body-textChar"/>
    <w:link w:val="EndNoteBibliography"/>
    <w:rsid w:val="002C428E"/>
    <w:rPr>
      <w:noProof/>
      <w:sz w:val="18"/>
      <w:lang w:val="en-US" w:eastAsia="en-US"/>
    </w:rPr>
  </w:style>
  <w:style w:type="character" w:customStyle="1" w:styleId="UnresolvedMention1">
    <w:name w:val="Unresolved Mention1"/>
    <w:basedOn w:val="DefaultParagraphFont"/>
    <w:uiPriority w:val="99"/>
    <w:semiHidden/>
    <w:unhideWhenUsed/>
    <w:rsid w:val="000E2AF5"/>
    <w:rPr>
      <w:color w:val="605E5C"/>
      <w:shd w:val="clear" w:color="auto" w:fill="E1DFDD"/>
    </w:rPr>
  </w:style>
  <w:style w:type="character" w:styleId="LineNumber">
    <w:name w:val="line number"/>
    <w:basedOn w:val="DefaultParagraphFont"/>
    <w:semiHidden/>
    <w:unhideWhenUsed/>
    <w:rsid w:val="00F443B0"/>
  </w:style>
  <w:style w:type="paragraph" w:styleId="Revision">
    <w:name w:val="Revision"/>
    <w:hidden/>
    <w:uiPriority w:val="99"/>
    <w:semiHidden/>
    <w:rsid w:val="005A1E3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spPr>
      <a:bodyPr rot="0" spcFirstLastPara="0" vertOverflow="overflow" horzOverflow="overflow" vert="horz" wrap="none" lIns="0" tIns="0" rIns="0" bIns="0" numCol="1" spcCol="0" rtlCol="0" fromWordArt="0" anchor="t" anchorCtr="0" forceAA="0" compatLnSpc="1">
        <a:prstTxWarp prst="textNoShape">
          <a:avLst/>
        </a:prstTxWarp>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994A2-53A2-47C4-85FA-64E2FB0C063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Chapter.dotx</Template>
  <TotalTime>1</TotalTime>
  <Pages>6</Pages>
  <Words>2864</Words>
  <Characters>16328</Characters>
  <Application>Microsoft Office Word</Application>
  <DocSecurity>0</DocSecurity>
  <Lines>136</Lines>
  <Paragraphs>38</Paragraphs>
  <ScaleCrop>false</ScaleCrop>
  <HeadingPairs>
    <vt:vector size="6" baseType="variant">
      <vt:variant>
        <vt:lpstr>Title</vt:lpstr>
      </vt:variant>
      <vt:variant>
        <vt:i4>1</vt:i4>
      </vt:variant>
      <vt:variant>
        <vt:lpstr>タイトル</vt:lpstr>
      </vt:variant>
      <vt:variant>
        <vt:i4>1</vt:i4>
      </vt:variant>
      <vt:variant>
        <vt:lpstr>Titolo</vt:lpstr>
      </vt:variant>
      <vt:variant>
        <vt:i4>1</vt:i4>
      </vt:variant>
    </vt:vector>
  </HeadingPairs>
  <TitlesOfParts>
    <vt:vector size="3" baseType="lpstr">
      <vt:lpstr>Applicability of energy storage for mitigating variability of renewable electricity considering life cycle impacts</vt:lpstr>
      <vt:lpstr>Chapter</vt:lpstr>
      <vt:lpstr>Chapter</vt:lpstr>
    </vt:vector>
  </TitlesOfParts>
  <Company>OLE</Company>
  <LinksUpToDate>false</LinksUpToDate>
  <CharactersWithSpaces>19154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Applicability of energy storage for mitigating variability of renewable electricity considering life cycle impacts</dc:title>
  <dc:creator>OLE</dc:creator>
  <cp:lastModifiedBy>山木　亜由美</cp:lastModifiedBy>
  <cp:revision>2</cp:revision>
  <cp:lastPrinted>2004-12-17T09:20:00Z</cp:lastPrinted>
  <dcterms:created xsi:type="dcterms:W3CDTF">2024-01-08T03:25:00Z</dcterms:created>
  <dcterms:modified xsi:type="dcterms:W3CDTF">2024-01-08T03:25:00Z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