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08E8168A" w:rsidR="00DD3D9E" w:rsidRPr="00B4388F" w:rsidRDefault="00DC3109">
      <w:pPr>
        <w:pStyle w:val="Els-Title"/>
        <w:rPr>
          <w:color w:val="000000" w:themeColor="text1"/>
        </w:rPr>
      </w:pPr>
      <w:r w:rsidRPr="00DC3109">
        <w:rPr>
          <w:color w:val="000000" w:themeColor="text1"/>
        </w:rPr>
        <w:t>Flexible operation assessment of adsorption-based carbon capture systems via design space identification</w:t>
      </w:r>
    </w:p>
    <w:p w14:paraId="4C2B83B3" w14:textId="7F6A60B7" w:rsidR="00F84B73" w:rsidRPr="00F84B73" w:rsidRDefault="00F84B73" w:rsidP="00F84B73">
      <w:pPr>
        <w:pStyle w:val="Els-Author"/>
      </w:pPr>
      <w:r w:rsidRPr="00F84B73">
        <w:t>Haditya K</w:t>
      </w:r>
      <w:r w:rsidR="00620952">
        <w:t>.</w:t>
      </w:r>
      <w:r w:rsidRPr="00F84B73">
        <w:t xml:space="preserve"> Purwanto</w:t>
      </w:r>
      <w:r w:rsidRPr="00F84B73">
        <w:rPr>
          <w:vertAlign w:val="superscript"/>
        </w:rPr>
        <w:t>a</w:t>
      </w:r>
      <w:r w:rsidRPr="00F84B73">
        <w:t>, Steven Sachio</w:t>
      </w:r>
      <w:r w:rsidRPr="00F84B73">
        <w:rPr>
          <w:vertAlign w:val="superscript"/>
        </w:rPr>
        <w:t>a,</w:t>
      </w:r>
      <w:r>
        <w:rPr>
          <w:vertAlign w:val="superscript"/>
        </w:rPr>
        <w:t>b</w:t>
      </w:r>
      <w:r w:rsidRPr="00F84B73">
        <w:t>, Adam Ward</w:t>
      </w:r>
      <w:r>
        <w:rPr>
          <w:vertAlign w:val="superscript"/>
        </w:rPr>
        <w:t>a</w:t>
      </w:r>
      <w:r w:rsidRPr="00F84B73">
        <w:rPr>
          <w:vertAlign w:val="superscript"/>
        </w:rPr>
        <w:t>,</w:t>
      </w:r>
      <w:r>
        <w:rPr>
          <w:vertAlign w:val="superscript"/>
        </w:rPr>
        <w:t>b</w:t>
      </w:r>
      <w:r w:rsidRPr="00F84B73">
        <w:t>, Ronny Pini</w:t>
      </w:r>
      <w:r>
        <w:rPr>
          <w:vertAlign w:val="superscript"/>
        </w:rPr>
        <w:t>a</w:t>
      </w:r>
      <w:r w:rsidRPr="00F84B73">
        <w:t>, Maria M. Papathanasiou</w:t>
      </w:r>
      <w:r>
        <w:rPr>
          <w:vertAlign w:val="superscript"/>
        </w:rPr>
        <w:t>a</w:t>
      </w:r>
      <w:r w:rsidRPr="00F84B73">
        <w:rPr>
          <w:vertAlign w:val="superscript"/>
        </w:rPr>
        <w:t>,</w:t>
      </w:r>
      <w:r w:rsidR="001204B2">
        <w:rPr>
          <w:vertAlign w:val="superscript"/>
        </w:rPr>
        <w:t>b</w:t>
      </w:r>
    </w:p>
    <w:p w14:paraId="3C6844EA" w14:textId="17B33460" w:rsidR="00F84B73" w:rsidRPr="00F84B73" w:rsidRDefault="001204B2" w:rsidP="000B47D0">
      <w:pPr>
        <w:pStyle w:val="Els-Affiliation"/>
        <w:jc w:val="both"/>
        <w:rPr>
          <w:iCs/>
        </w:rPr>
      </w:pPr>
      <w:r>
        <w:rPr>
          <w:iCs/>
          <w:vertAlign w:val="superscript"/>
        </w:rPr>
        <w:t>a</w:t>
      </w:r>
      <w:r w:rsidR="00F84B73" w:rsidRPr="00F84B73">
        <w:rPr>
          <w:iCs/>
        </w:rPr>
        <w:t xml:space="preserve">Department of Chemical Engineering, Imperial College London, </w:t>
      </w:r>
      <w:r w:rsidR="00A632D5" w:rsidRPr="00A632D5">
        <w:rPr>
          <w:iCs/>
        </w:rPr>
        <w:t>Exhibition Rd</w:t>
      </w:r>
      <w:r w:rsidR="00A632D5">
        <w:rPr>
          <w:iCs/>
        </w:rPr>
        <w:t xml:space="preserve">, </w:t>
      </w:r>
      <w:r w:rsidR="00B40214">
        <w:rPr>
          <w:iCs/>
        </w:rPr>
        <w:t xml:space="preserve">London </w:t>
      </w:r>
      <w:r w:rsidR="00B40214" w:rsidRPr="00B40214">
        <w:rPr>
          <w:iCs/>
        </w:rPr>
        <w:t>SW7 2BX</w:t>
      </w:r>
      <w:r w:rsidR="00B40214">
        <w:rPr>
          <w:iCs/>
        </w:rPr>
        <w:t xml:space="preserve">, </w:t>
      </w:r>
      <w:r w:rsidR="00F84B73" w:rsidRPr="00F84B73">
        <w:rPr>
          <w:iCs/>
        </w:rPr>
        <w:t>U</w:t>
      </w:r>
      <w:r w:rsidR="000B47D0">
        <w:rPr>
          <w:iCs/>
        </w:rPr>
        <w:t xml:space="preserve">nited </w:t>
      </w:r>
      <w:r w:rsidR="00F84B73" w:rsidRPr="00F84B73">
        <w:rPr>
          <w:iCs/>
        </w:rPr>
        <w:t>K</w:t>
      </w:r>
      <w:r w:rsidR="000B47D0">
        <w:rPr>
          <w:iCs/>
        </w:rPr>
        <w:t>ingdom</w:t>
      </w:r>
    </w:p>
    <w:p w14:paraId="0728AB83" w14:textId="19B8CDD9" w:rsidR="00F84B73" w:rsidRPr="00F84B73" w:rsidRDefault="001204B2" w:rsidP="000B47D0">
      <w:pPr>
        <w:pStyle w:val="Els-Affiliation"/>
        <w:jc w:val="both"/>
        <w:rPr>
          <w:iCs/>
        </w:rPr>
      </w:pPr>
      <w:r>
        <w:rPr>
          <w:iCs/>
          <w:vertAlign w:val="superscript"/>
        </w:rPr>
        <w:t>b</w:t>
      </w:r>
      <w:r w:rsidR="00F84B73" w:rsidRPr="00F84B73">
        <w:rPr>
          <w:iCs/>
        </w:rPr>
        <w:t xml:space="preserve">Sargent Centre for Process Systems Engineering, Imperial College London, </w:t>
      </w:r>
      <w:r w:rsidR="000B47D0" w:rsidRPr="00A632D5">
        <w:rPr>
          <w:iCs/>
        </w:rPr>
        <w:t>Exhibition Rd</w:t>
      </w:r>
      <w:r w:rsidR="000B47D0">
        <w:rPr>
          <w:iCs/>
        </w:rPr>
        <w:t xml:space="preserve">, London </w:t>
      </w:r>
      <w:r w:rsidR="000B47D0" w:rsidRPr="00B40214">
        <w:rPr>
          <w:iCs/>
        </w:rPr>
        <w:t>SW7 2BX</w:t>
      </w:r>
      <w:r w:rsidR="000B47D0">
        <w:rPr>
          <w:iCs/>
        </w:rPr>
        <w:t xml:space="preserve">, </w:t>
      </w:r>
      <w:r w:rsidR="000B47D0" w:rsidRPr="00F84B73">
        <w:rPr>
          <w:iCs/>
        </w:rPr>
        <w:t>U</w:t>
      </w:r>
      <w:r w:rsidR="000B47D0">
        <w:rPr>
          <w:iCs/>
        </w:rPr>
        <w:t xml:space="preserve">nited </w:t>
      </w:r>
      <w:r w:rsidR="000B47D0" w:rsidRPr="00F84B73">
        <w:rPr>
          <w:iCs/>
        </w:rPr>
        <w:t>K</w:t>
      </w:r>
      <w:r w:rsidR="000B47D0">
        <w:rPr>
          <w:iCs/>
        </w:rPr>
        <w:t>ingdom</w:t>
      </w:r>
    </w:p>
    <w:p w14:paraId="436EBAAA" w14:textId="4EB44ACF" w:rsidR="00131166" w:rsidRPr="00C26E06" w:rsidRDefault="00F84B73" w:rsidP="008D2649">
      <w:pPr>
        <w:pStyle w:val="Els-Affiliation"/>
        <w:spacing w:after="120"/>
        <w:rPr>
          <w:iCs/>
        </w:rPr>
      </w:pPr>
      <w:r w:rsidRPr="00F84B73">
        <w:rPr>
          <w:iCs/>
        </w:rPr>
        <w:t>maria.papathanasiou11@imperial.ac.uk</w:t>
      </w:r>
    </w:p>
    <w:p w14:paraId="144DE684" w14:textId="77777777" w:rsidR="008D2649" w:rsidRDefault="008D2649" w:rsidP="00CD01FB">
      <w:pPr>
        <w:pStyle w:val="Els-Abstract"/>
      </w:pPr>
      <w:r>
        <w:t>Abstract</w:t>
      </w:r>
    </w:p>
    <w:p w14:paraId="144DE686" w14:textId="5CB5C406" w:rsidR="008D2649" w:rsidRDefault="00E7611F" w:rsidP="000C23EB">
      <w:pPr>
        <w:pStyle w:val="Els-body-text"/>
        <w:spacing w:after="120"/>
        <w:rPr>
          <w:lang w:val="en-GB"/>
        </w:rPr>
      </w:pPr>
      <w:r w:rsidRPr="00E7611F">
        <w:rPr>
          <w:lang w:val="en-GB"/>
        </w:rPr>
        <w:t>Post-combustion CO</w:t>
      </w:r>
      <w:r w:rsidRPr="000C7E83">
        <w:rPr>
          <w:vertAlign w:val="subscript"/>
          <w:lang w:val="en-GB"/>
        </w:rPr>
        <w:t>2</w:t>
      </w:r>
      <w:r w:rsidRPr="00E7611F">
        <w:rPr>
          <w:lang w:val="en-GB"/>
        </w:rPr>
        <w:t xml:space="preserve"> capture </w:t>
      </w:r>
      <w:r w:rsidR="001F47FC">
        <w:rPr>
          <w:lang w:val="en-GB"/>
        </w:rPr>
        <w:t>by</w:t>
      </w:r>
      <w:r w:rsidR="001F47FC" w:rsidRPr="00E7611F">
        <w:rPr>
          <w:lang w:val="en-GB"/>
        </w:rPr>
        <w:t xml:space="preserve"> </w:t>
      </w:r>
      <w:r w:rsidRPr="00E7611F">
        <w:rPr>
          <w:lang w:val="en-GB"/>
        </w:rPr>
        <w:t xml:space="preserve">pressure-vacuum swing adsorption (PVSA) is gaining </w:t>
      </w:r>
      <w:r w:rsidR="00D765ED">
        <w:rPr>
          <w:lang w:val="en-GB"/>
        </w:rPr>
        <w:t>increasing</w:t>
      </w:r>
      <w:r w:rsidR="00D765ED" w:rsidRPr="00E7611F">
        <w:rPr>
          <w:lang w:val="en-GB"/>
        </w:rPr>
        <w:t xml:space="preserve"> </w:t>
      </w:r>
      <w:r w:rsidRPr="00E7611F">
        <w:rPr>
          <w:lang w:val="en-GB"/>
        </w:rPr>
        <w:t xml:space="preserve">interest due to the evolving energy landscape and the industry's decarbonization efforts. </w:t>
      </w:r>
      <w:r w:rsidR="004B5219">
        <w:rPr>
          <w:lang w:val="en-GB"/>
        </w:rPr>
        <w:t>Within a</w:t>
      </w:r>
      <w:r w:rsidRPr="00E7611F">
        <w:rPr>
          <w:lang w:val="en-GB"/>
        </w:rPr>
        <w:t xml:space="preserve"> hybrid </w:t>
      </w:r>
      <w:r w:rsidR="004B5219">
        <w:rPr>
          <w:lang w:val="en-GB"/>
        </w:rPr>
        <w:t>energy system</w:t>
      </w:r>
      <w:r w:rsidR="00273518">
        <w:rPr>
          <w:lang w:val="en-GB"/>
        </w:rPr>
        <w:t xml:space="preserve"> composed of </w:t>
      </w:r>
      <w:r w:rsidRPr="00E7611F">
        <w:rPr>
          <w:lang w:val="en-GB"/>
        </w:rPr>
        <w:t xml:space="preserve">conventional fossil-fuel-based power generation balancing renewable electricity sources, PVSA systems </w:t>
      </w:r>
      <w:r w:rsidR="00866071">
        <w:rPr>
          <w:lang w:val="en-GB"/>
        </w:rPr>
        <w:t xml:space="preserve">must be able </w:t>
      </w:r>
      <w:r w:rsidR="00ED2EB4">
        <w:rPr>
          <w:lang w:val="en-GB"/>
        </w:rPr>
        <w:t xml:space="preserve">to </w:t>
      </w:r>
      <w:r w:rsidR="00CC69EB">
        <w:rPr>
          <w:lang w:val="en-GB"/>
        </w:rPr>
        <w:t xml:space="preserve">accommodate for transient conditions arising from </w:t>
      </w:r>
      <w:r w:rsidRPr="00E7611F">
        <w:rPr>
          <w:lang w:val="en-GB"/>
        </w:rPr>
        <w:t xml:space="preserve">intermittent </w:t>
      </w:r>
      <w:r w:rsidR="00ED2EB4">
        <w:rPr>
          <w:lang w:val="en-GB"/>
        </w:rPr>
        <w:t>operation</w:t>
      </w:r>
      <w:r w:rsidR="000C7E83">
        <w:rPr>
          <w:lang w:val="en-GB"/>
        </w:rPr>
        <w:t xml:space="preserve">. </w:t>
      </w:r>
      <w:r w:rsidR="00476DDD">
        <w:rPr>
          <w:lang w:val="en-GB"/>
        </w:rPr>
        <w:t>In this work</w:t>
      </w:r>
      <w:r w:rsidR="00D43391">
        <w:rPr>
          <w:lang w:val="en-GB"/>
        </w:rPr>
        <w:t>,</w:t>
      </w:r>
      <w:r w:rsidR="00476DDD">
        <w:rPr>
          <w:lang w:val="en-GB"/>
        </w:rPr>
        <w:t xml:space="preserve"> </w:t>
      </w:r>
      <w:r w:rsidR="00625DFD">
        <w:rPr>
          <w:lang w:val="en-GB"/>
        </w:rPr>
        <w:t>a model-based approach to</w:t>
      </w:r>
      <w:r w:rsidRPr="00E7611F">
        <w:rPr>
          <w:lang w:val="en-GB"/>
        </w:rPr>
        <w:t xml:space="preserve"> investigate the operational flexibility of </w:t>
      </w:r>
      <w:r w:rsidR="0067134E">
        <w:rPr>
          <w:lang w:val="en-GB"/>
        </w:rPr>
        <w:t xml:space="preserve">a </w:t>
      </w:r>
      <w:r w:rsidRPr="00E7611F">
        <w:rPr>
          <w:lang w:val="en-GB"/>
        </w:rPr>
        <w:t>PVSA unit applied to</w:t>
      </w:r>
      <w:r w:rsidR="00CC39FD">
        <w:rPr>
          <w:lang w:val="en-GB"/>
        </w:rPr>
        <w:t xml:space="preserve"> a</w:t>
      </w:r>
      <w:r w:rsidRPr="00E7611F">
        <w:rPr>
          <w:lang w:val="en-GB"/>
        </w:rPr>
        <w:t xml:space="preserve"> 1,000 MW coal power plant</w:t>
      </w:r>
      <w:r w:rsidR="00625DFD">
        <w:rPr>
          <w:lang w:val="en-GB"/>
        </w:rPr>
        <w:t xml:space="preserve"> is presented</w:t>
      </w:r>
      <w:r w:rsidRPr="00E7611F">
        <w:rPr>
          <w:lang w:val="en-GB"/>
        </w:rPr>
        <w:t xml:space="preserve">. </w:t>
      </w:r>
      <w:r w:rsidR="00625DFD">
        <w:rPr>
          <w:lang w:val="en-GB"/>
        </w:rPr>
        <w:t>The</w:t>
      </w:r>
      <w:r w:rsidR="00BD4246">
        <w:rPr>
          <w:lang w:val="en-GB"/>
        </w:rPr>
        <w:t xml:space="preserve"> </w:t>
      </w:r>
      <w:r w:rsidRPr="00E7611F">
        <w:rPr>
          <w:lang w:val="en-GB"/>
        </w:rPr>
        <w:t xml:space="preserve">comparative </w:t>
      </w:r>
      <w:r w:rsidR="00BD4246">
        <w:rPr>
          <w:lang w:val="en-GB"/>
        </w:rPr>
        <w:t>analysis</w:t>
      </w:r>
      <w:r w:rsidR="00BD4246" w:rsidRPr="00E7611F">
        <w:rPr>
          <w:lang w:val="en-GB"/>
        </w:rPr>
        <w:t xml:space="preserve"> </w:t>
      </w:r>
      <w:r w:rsidRPr="00E7611F">
        <w:rPr>
          <w:lang w:val="en-GB"/>
        </w:rPr>
        <w:t xml:space="preserve">of </w:t>
      </w:r>
      <w:r w:rsidR="0067134E">
        <w:rPr>
          <w:lang w:val="en-GB"/>
        </w:rPr>
        <w:t>two distinct</w:t>
      </w:r>
      <w:r w:rsidRPr="00E7611F">
        <w:rPr>
          <w:lang w:val="en-GB"/>
        </w:rPr>
        <w:t xml:space="preserve"> adsorbents </w:t>
      </w:r>
      <w:r w:rsidR="000A4634" w:rsidRPr="00E7611F">
        <w:rPr>
          <w:lang w:val="en-GB"/>
        </w:rPr>
        <w:t>reveal</w:t>
      </w:r>
      <w:r w:rsidR="008D712A">
        <w:rPr>
          <w:lang w:val="en-GB"/>
        </w:rPr>
        <w:t>s</w:t>
      </w:r>
      <w:r w:rsidRPr="00E7611F">
        <w:rPr>
          <w:lang w:val="en-GB"/>
        </w:rPr>
        <w:t xml:space="preserve"> </w:t>
      </w:r>
      <w:r w:rsidR="004C3DC1">
        <w:rPr>
          <w:lang w:val="en-GB"/>
        </w:rPr>
        <w:t xml:space="preserve">a clear trade-off between </w:t>
      </w:r>
      <w:r w:rsidR="00FF145D">
        <w:rPr>
          <w:lang w:val="en-GB"/>
        </w:rPr>
        <w:t>operability and economics. Specifically,</w:t>
      </w:r>
      <w:r w:rsidRPr="00E7611F">
        <w:rPr>
          <w:lang w:val="en-GB"/>
        </w:rPr>
        <w:t xml:space="preserve"> Zeolite-13X exhibits a lower capture cost</w:t>
      </w:r>
      <w:r w:rsidR="00FF145D">
        <w:rPr>
          <w:lang w:val="en-GB"/>
        </w:rPr>
        <w:t>, while</w:t>
      </w:r>
      <w:r w:rsidRPr="00E7611F">
        <w:rPr>
          <w:lang w:val="en-GB"/>
        </w:rPr>
        <w:t xml:space="preserve"> ZIF-36-FRL demonstrates more flexibility</w:t>
      </w:r>
      <w:r w:rsidR="004E6AB7">
        <w:rPr>
          <w:lang w:val="en-GB"/>
        </w:rPr>
        <w:t xml:space="preserve"> in the </w:t>
      </w:r>
      <w:r w:rsidR="00E35AAA">
        <w:rPr>
          <w:lang w:val="en-GB"/>
        </w:rPr>
        <w:t>ranges of high- and low-</w:t>
      </w:r>
      <w:r w:rsidR="004E6AB7">
        <w:rPr>
          <w:lang w:val="en-GB"/>
        </w:rPr>
        <w:t>pressure</w:t>
      </w:r>
      <w:r w:rsidR="00E35AAA">
        <w:rPr>
          <w:lang w:val="en-GB"/>
        </w:rPr>
        <w:t xml:space="preserve">s </w:t>
      </w:r>
      <w:r w:rsidR="005E3513">
        <w:rPr>
          <w:lang w:val="en-GB"/>
        </w:rPr>
        <w:t xml:space="preserve">at which </w:t>
      </w:r>
      <w:r w:rsidR="00E35AAA">
        <w:rPr>
          <w:lang w:val="en-GB"/>
        </w:rPr>
        <w:t>the unit can be operated</w:t>
      </w:r>
      <w:r w:rsidRPr="00E7611F">
        <w:rPr>
          <w:lang w:val="en-GB"/>
        </w:rPr>
        <w:t>.</w:t>
      </w:r>
      <w:r w:rsidR="00C554A2">
        <w:rPr>
          <w:lang w:val="en-GB"/>
        </w:rPr>
        <w:t xml:space="preserve"> </w:t>
      </w:r>
      <w:r w:rsidR="008D23E2" w:rsidRPr="008D23E2">
        <w:t xml:space="preserve"> </w:t>
      </w:r>
      <w:r w:rsidR="008D23E2" w:rsidRPr="008D23E2">
        <w:rPr>
          <w:lang w:val="en-GB"/>
        </w:rPr>
        <w:t>The most flexible nominal operating point was successfully identified for each adsorbent using the developed framework</w:t>
      </w:r>
      <w:r w:rsidRPr="00E7611F">
        <w:rPr>
          <w:lang w:val="en-GB"/>
        </w:rPr>
        <w:t xml:space="preserve">, highlighting the importance of incorporating </w:t>
      </w:r>
      <w:r w:rsidR="00456143" w:rsidRPr="00E7611F">
        <w:rPr>
          <w:lang w:val="en-GB"/>
        </w:rPr>
        <w:t xml:space="preserve">into the design process </w:t>
      </w:r>
      <w:r w:rsidRPr="00E7611F">
        <w:rPr>
          <w:lang w:val="en-GB"/>
        </w:rPr>
        <w:t>operational robustness</w:t>
      </w:r>
      <w:r w:rsidR="00456143">
        <w:rPr>
          <w:lang w:val="en-GB"/>
        </w:rPr>
        <w:t>. The latter</w:t>
      </w:r>
      <w:r w:rsidRPr="00E7611F">
        <w:rPr>
          <w:lang w:val="en-GB"/>
        </w:rPr>
        <w:t xml:space="preserve"> is represented by a novel metric of normalised space size (NSS). </w:t>
      </w:r>
      <w:r w:rsidR="004819F1">
        <w:rPr>
          <w:lang w:val="en-GB"/>
        </w:rPr>
        <w:t>This work</w:t>
      </w:r>
      <w:r w:rsidR="00D70390">
        <w:rPr>
          <w:lang w:val="en-GB"/>
        </w:rPr>
        <w:t xml:space="preserve"> demonstrate</w:t>
      </w:r>
      <w:r w:rsidR="004819F1">
        <w:rPr>
          <w:lang w:val="en-GB"/>
        </w:rPr>
        <w:t>s</w:t>
      </w:r>
      <w:r w:rsidR="00D70390">
        <w:rPr>
          <w:lang w:val="en-GB"/>
        </w:rPr>
        <w:t xml:space="preserve"> </w:t>
      </w:r>
      <w:r w:rsidR="00811A37">
        <w:rPr>
          <w:lang w:val="en-GB"/>
        </w:rPr>
        <w:t>that significant</w:t>
      </w:r>
      <w:r w:rsidRPr="00E7611F">
        <w:rPr>
          <w:lang w:val="en-GB"/>
        </w:rPr>
        <w:t xml:space="preserve"> improvement in NSS </w:t>
      </w:r>
      <w:r w:rsidR="00D70390">
        <w:rPr>
          <w:lang w:val="en-GB"/>
        </w:rPr>
        <w:t>can be</w:t>
      </w:r>
      <w:r w:rsidR="00D70390" w:rsidRPr="00E7611F">
        <w:rPr>
          <w:lang w:val="en-GB"/>
        </w:rPr>
        <w:t xml:space="preserve"> </w:t>
      </w:r>
      <w:r w:rsidRPr="00E7611F">
        <w:rPr>
          <w:lang w:val="en-GB"/>
        </w:rPr>
        <w:t>achieved,</w:t>
      </w:r>
      <w:r w:rsidR="0040208D">
        <w:rPr>
          <w:lang w:val="en-GB"/>
        </w:rPr>
        <w:t xml:space="preserve"> while increasing </w:t>
      </w:r>
      <w:r w:rsidRPr="00E7611F">
        <w:rPr>
          <w:lang w:val="en-GB"/>
        </w:rPr>
        <w:t xml:space="preserve">capture cost </w:t>
      </w:r>
      <w:r w:rsidR="0040208D">
        <w:rPr>
          <w:lang w:val="en-GB"/>
        </w:rPr>
        <w:t>only marginally</w:t>
      </w:r>
      <w:r w:rsidR="0035365E">
        <w:rPr>
          <w:lang w:val="en-GB"/>
        </w:rPr>
        <w:t xml:space="preserve">. </w:t>
      </w:r>
      <w:r w:rsidRPr="00E7611F">
        <w:rPr>
          <w:lang w:val="en-GB"/>
        </w:rPr>
        <w:t xml:space="preserve">This result highlights </w:t>
      </w:r>
      <w:r w:rsidR="00192C4E">
        <w:rPr>
          <w:lang w:val="en-GB"/>
        </w:rPr>
        <w:t xml:space="preserve">that </w:t>
      </w:r>
      <w:r w:rsidR="00192C4E" w:rsidRPr="00E7611F">
        <w:rPr>
          <w:lang w:val="en-GB"/>
        </w:rPr>
        <w:t>optimal adsorbent selection for CO</w:t>
      </w:r>
      <w:r w:rsidR="00192C4E" w:rsidRPr="005B36A6">
        <w:rPr>
          <w:vertAlign w:val="subscript"/>
          <w:lang w:val="en-GB"/>
        </w:rPr>
        <w:t>2</w:t>
      </w:r>
      <w:r w:rsidR="00192C4E" w:rsidRPr="00E7611F">
        <w:rPr>
          <w:lang w:val="en-GB"/>
        </w:rPr>
        <w:t xml:space="preserve"> capture</w:t>
      </w:r>
      <w:r w:rsidR="00192C4E">
        <w:rPr>
          <w:lang w:val="en-GB"/>
        </w:rPr>
        <w:t xml:space="preserve"> should account for </w:t>
      </w:r>
      <w:r w:rsidRPr="00E7611F">
        <w:rPr>
          <w:lang w:val="en-GB"/>
        </w:rPr>
        <w:t>operational flexibility.</w:t>
      </w:r>
    </w:p>
    <w:p w14:paraId="144DE687" w14:textId="722212E7" w:rsidR="008D2649" w:rsidRDefault="008D2649" w:rsidP="000C23EB">
      <w:pPr>
        <w:pStyle w:val="Els-body-text"/>
        <w:spacing w:after="120"/>
        <w:rPr>
          <w:lang w:val="en-GB"/>
        </w:rPr>
      </w:pPr>
      <w:r>
        <w:rPr>
          <w:b/>
          <w:bCs/>
          <w:lang w:val="en-GB"/>
        </w:rPr>
        <w:t>Keywords</w:t>
      </w:r>
      <w:r>
        <w:rPr>
          <w:lang w:val="en-GB"/>
        </w:rPr>
        <w:t xml:space="preserve">: </w:t>
      </w:r>
      <w:r w:rsidR="000C7E83">
        <w:rPr>
          <w:rStyle w:val="fontstyle01"/>
        </w:rPr>
        <w:t>g</w:t>
      </w:r>
      <w:r w:rsidR="000C7E83" w:rsidRPr="004A7B14">
        <w:rPr>
          <w:rStyle w:val="fontstyle01"/>
        </w:rPr>
        <w:t>lobal sensitivity analysis, design space, pressure-vacuum swing adsorptio</w:t>
      </w:r>
      <w:r w:rsidR="000C7E83">
        <w:rPr>
          <w:rStyle w:val="fontstyle01"/>
        </w:rPr>
        <w:t>n</w:t>
      </w:r>
    </w:p>
    <w:p w14:paraId="144DE689" w14:textId="7F616847" w:rsidR="008D2649" w:rsidRDefault="00AF215D" w:rsidP="00A93EBD">
      <w:pPr>
        <w:pStyle w:val="Els-1storder-head"/>
        <w:spacing w:before="0" w:after="120"/>
      </w:pPr>
      <w:r>
        <w:t>Introduction</w:t>
      </w:r>
      <w:r>
        <w:tab/>
      </w:r>
    </w:p>
    <w:p w14:paraId="3EBC0A62" w14:textId="1DFC5A41" w:rsidR="006B5798" w:rsidRDefault="003A52C1" w:rsidP="000C23EB">
      <w:pPr>
        <w:pStyle w:val="Els-body-text"/>
        <w:spacing w:after="120"/>
      </w:pPr>
      <w:r>
        <w:t>The</w:t>
      </w:r>
      <w:r w:rsidR="00DA4FB4">
        <w:t xml:space="preserve"> energy landscape </w:t>
      </w:r>
      <w:r>
        <w:t xml:space="preserve">is </w:t>
      </w:r>
      <w:r w:rsidR="00DA4FB4">
        <w:t>gradually shift</w:t>
      </w:r>
      <w:r>
        <w:t>ing</w:t>
      </w:r>
      <w:r w:rsidR="00DA4FB4">
        <w:t xml:space="preserve"> towards more environmentally friendly and renewable energy source</w:t>
      </w:r>
      <w:r w:rsidR="003F168B">
        <w:t>s</w:t>
      </w:r>
      <w:r w:rsidR="00DA4FB4">
        <w:t xml:space="preserve"> to </w:t>
      </w:r>
      <w:r w:rsidR="00083BBF">
        <w:t>substitute</w:t>
      </w:r>
      <w:r w:rsidR="00DA4FB4">
        <w:t xml:space="preserve"> conventional fossil-</w:t>
      </w:r>
      <w:r w:rsidR="00623C7A">
        <w:t>fueled</w:t>
      </w:r>
      <w:r w:rsidR="00DA4FB4">
        <w:t xml:space="preserve"> power generation. </w:t>
      </w:r>
      <w:r w:rsidR="003F168B">
        <w:t>As a result, a</w:t>
      </w:r>
      <w:r w:rsidR="00DA4FB4">
        <w:t xml:space="preserve"> </w:t>
      </w:r>
      <w:r w:rsidR="003F168B">
        <w:t>hybrid energy system is emerging that</w:t>
      </w:r>
      <w:r w:rsidR="00DA4FB4">
        <w:t xml:space="preserve"> combine</w:t>
      </w:r>
      <w:r w:rsidR="003F168B">
        <w:t>s</w:t>
      </w:r>
      <w:r w:rsidR="00DA4FB4">
        <w:t xml:space="preserve"> both technologies in a load-balancing </w:t>
      </w:r>
      <w:r w:rsidR="003F46E3">
        <w:t>modality</w:t>
      </w:r>
      <w:r w:rsidR="00DA4FB4">
        <w:t xml:space="preserve">, </w:t>
      </w:r>
      <w:r w:rsidR="00DF31CB">
        <w:t>which</w:t>
      </w:r>
      <w:r w:rsidR="00DA4FB4">
        <w:t xml:space="preserve"> ensures a steady supply of power </w:t>
      </w:r>
      <w:r w:rsidR="00DF31CB">
        <w:t xml:space="preserve">irrespective of </w:t>
      </w:r>
      <w:r w:rsidR="00DA4FB4">
        <w:t xml:space="preserve">the </w:t>
      </w:r>
      <w:proofErr w:type="gramStart"/>
      <w:r w:rsidR="00DA4FB4">
        <w:t>intermittency</w:t>
      </w:r>
      <w:proofErr w:type="gramEnd"/>
      <w:r w:rsidR="00DA4FB4">
        <w:t xml:space="preserve"> of renewable resources</w:t>
      </w:r>
      <w:r w:rsidR="003066DE" w:rsidRPr="002F4FE9">
        <w:t xml:space="preserve"> </w:t>
      </w:r>
      <w:r w:rsidR="003066DE" w:rsidRPr="002F4FE9">
        <w:rPr>
          <w:lang w:val="en-GB"/>
        </w:rPr>
        <w:t>(</w:t>
      </w:r>
      <w:proofErr w:type="spellStart"/>
      <w:r w:rsidR="003066DE" w:rsidRPr="002F4FE9">
        <w:rPr>
          <w:lang w:val="en-GB"/>
        </w:rPr>
        <w:t>Wilkew</w:t>
      </w:r>
      <w:proofErr w:type="spellEnd"/>
      <w:r w:rsidR="003066DE" w:rsidRPr="002F4FE9">
        <w:rPr>
          <w:lang w:val="en-GB"/>
        </w:rPr>
        <w:t xml:space="preserve"> and Brown, 2022)</w:t>
      </w:r>
      <w:r w:rsidR="00DA4FB4" w:rsidRPr="002F4FE9">
        <w:t xml:space="preserve">. </w:t>
      </w:r>
      <w:r w:rsidR="00AA711D">
        <w:t>In this context, f</w:t>
      </w:r>
      <w:r w:rsidR="000A5DD2" w:rsidRPr="002F4FE9">
        <w:t>ossil</w:t>
      </w:r>
      <w:r w:rsidR="000A5DD2" w:rsidRPr="000A5DD2">
        <w:t xml:space="preserve"> fuel combustion methods, extensively used for energy generation,</w:t>
      </w:r>
      <w:r w:rsidR="00DA4FB4">
        <w:t xml:space="preserve"> </w:t>
      </w:r>
      <w:r w:rsidR="00823812">
        <w:t xml:space="preserve">must </w:t>
      </w:r>
      <w:r w:rsidR="00DA4FB4">
        <w:t xml:space="preserve">be </w:t>
      </w:r>
      <w:proofErr w:type="gramStart"/>
      <w:r w:rsidR="00DA4FB4">
        <w:t>redesigned</w:t>
      </w:r>
      <w:proofErr w:type="gramEnd"/>
      <w:r w:rsidR="00DA4FB4">
        <w:t xml:space="preserve"> and retrofitted to reduce their carbon emissions.</w:t>
      </w:r>
      <w:r w:rsidR="00312F4F">
        <w:t xml:space="preserve"> </w:t>
      </w:r>
      <w:r w:rsidR="00823812">
        <w:t xml:space="preserve">To this end, </w:t>
      </w:r>
      <w:r w:rsidR="006B5798" w:rsidRPr="006B5798">
        <w:t>these technologies</w:t>
      </w:r>
      <w:r w:rsidR="00823812">
        <w:t xml:space="preserve"> can be integrated</w:t>
      </w:r>
      <w:r w:rsidR="006B5798" w:rsidRPr="006B5798">
        <w:t xml:space="preserve"> with post-combustion carbon capture, with amine-based absorption being widely employed on an industrial scale. However, this leading technology faces challenges, including thermal and chemical instability </w:t>
      </w:r>
      <w:r w:rsidR="009440DA">
        <w:t>of the solvent</w:t>
      </w:r>
      <w:r w:rsidR="006B5798" w:rsidRPr="006B5798">
        <w:t>.</w:t>
      </w:r>
    </w:p>
    <w:p w14:paraId="7A49AC36" w14:textId="293F91DE" w:rsidR="003760D3" w:rsidRDefault="00073743" w:rsidP="000C23EB">
      <w:pPr>
        <w:pStyle w:val="Els-body-text"/>
        <w:spacing w:after="120"/>
      </w:pPr>
      <w:r w:rsidRPr="00073743">
        <w:lastRenderedPageBreak/>
        <w:t>An alternative approach for post-combustion carbon capture is adsorption, particularly pressure-vacuum swing adsorption (PVSA).</w:t>
      </w:r>
      <w:r>
        <w:t xml:space="preserve"> </w:t>
      </w:r>
      <w:r w:rsidR="003760D3" w:rsidRPr="003760D3">
        <w:t xml:space="preserve">While prior research has predominantly focused on developing </w:t>
      </w:r>
      <w:r w:rsidR="00346396">
        <w:t xml:space="preserve">novel </w:t>
      </w:r>
      <w:r w:rsidR="003760D3" w:rsidRPr="003760D3">
        <w:t xml:space="preserve">adsorbent materials, the </w:t>
      </w:r>
      <w:r w:rsidR="005A2C51">
        <w:t xml:space="preserve">process-level </w:t>
      </w:r>
      <w:r w:rsidR="003760D3" w:rsidRPr="003760D3">
        <w:t xml:space="preserve">assessment of </w:t>
      </w:r>
      <w:r w:rsidR="005A2C51">
        <w:t>the same</w:t>
      </w:r>
      <w:r w:rsidR="005A2C51" w:rsidRPr="003760D3">
        <w:t xml:space="preserve"> </w:t>
      </w:r>
      <w:r w:rsidR="003760D3" w:rsidRPr="003760D3">
        <w:t xml:space="preserve">materials presents significant challenges due to </w:t>
      </w:r>
      <w:proofErr w:type="gramStart"/>
      <w:r w:rsidR="00533AE6">
        <w:t>high</w:t>
      </w:r>
      <w:proofErr w:type="gramEnd"/>
      <w:r w:rsidR="00533AE6">
        <w:t xml:space="preserve"> number of</w:t>
      </w:r>
      <w:r w:rsidR="003760D3" w:rsidRPr="003760D3">
        <w:t xml:space="preserve"> design parameters</w:t>
      </w:r>
      <w:r w:rsidR="00533AE6">
        <w:t xml:space="preserve"> involved</w:t>
      </w:r>
      <w:r w:rsidR="00350E02">
        <w:t xml:space="preserve"> </w:t>
      </w:r>
      <w:r w:rsidR="00350E02" w:rsidRPr="00E56168">
        <w:t>(Ward and Pini, 2022)</w:t>
      </w:r>
      <w:r w:rsidR="003760D3" w:rsidRPr="003760D3">
        <w:t xml:space="preserve">. The </w:t>
      </w:r>
      <w:r w:rsidR="003966FD">
        <w:t>arising</w:t>
      </w:r>
      <w:r w:rsidR="003966FD" w:rsidRPr="003760D3">
        <w:t xml:space="preserve"> </w:t>
      </w:r>
      <w:r w:rsidR="003760D3" w:rsidRPr="003760D3">
        <w:t>hybrid fossil-and-renewable operation scheme</w:t>
      </w:r>
      <w:r w:rsidR="00E7643A">
        <w:t xml:space="preserve"> of the energy system</w:t>
      </w:r>
      <w:r w:rsidR="003760D3" w:rsidRPr="003760D3">
        <w:t xml:space="preserve"> </w:t>
      </w:r>
      <w:r w:rsidR="00533AE6">
        <w:t xml:space="preserve">also </w:t>
      </w:r>
      <w:r w:rsidR="003760D3" w:rsidRPr="003760D3">
        <w:t>adds complexity, demanding a highly flexible adsorption process design that remains viable under strict output constraints</w:t>
      </w:r>
      <w:r w:rsidR="00C86CB3">
        <w:t xml:space="preserve">, such as the </w:t>
      </w:r>
      <w:r w:rsidR="00591A33">
        <w:t>purity and recovery of CO</w:t>
      </w:r>
      <w:r w:rsidR="00591A33" w:rsidRPr="00964873">
        <w:rPr>
          <w:vertAlign w:val="subscript"/>
        </w:rPr>
        <w:t>2</w:t>
      </w:r>
      <w:r w:rsidR="003760D3" w:rsidRPr="003760D3">
        <w:t xml:space="preserve">. </w:t>
      </w:r>
      <w:r w:rsidR="00122880">
        <w:t>This scenario calls for</w:t>
      </w:r>
      <w:r w:rsidR="003760D3" w:rsidRPr="003760D3">
        <w:t xml:space="preserve"> an integrated framework to screen adsorbents, encompassing both design performance and operational flexibility considerations</w:t>
      </w:r>
      <w:r w:rsidR="00046567">
        <w:t xml:space="preserve"> </w:t>
      </w:r>
      <w:r w:rsidR="006B13D0">
        <w:t xml:space="preserve">(Grossmann </w:t>
      </w:r>
      <w:r w:rsidR="006B13D0" w:rsidRPr="00811A37">
        <w:t>et al., 20</w:t>
      </w:r>
      <w:r w:rsidR="006B13D0">
        <w:t>14</w:t>
      </w:r>
      <w:r w:rsidR="006B13D0" w:rsidRPr="00811A37">
        <w:t>)</w:t>
      </w:r>
      <w:r w:rsidR="003760D3" w:rsidRPr="003760D3">
        <w:t>.</w:t>
      </w:r>
    </w:p>
    <w:p w14:paraId="702FB44B" w14:textId="4F59597A" w:rsidR="00DA4FB4" w:rsidRDefault="00DA4FB4" w:rsidP="000C23EB">
      <w:pPr>
        <w:pStyle w:val="Els-body-text"/>
        <w:spacing w:after="120"/>
      </w:pPr>
      <w:r>
        <w:t xml:space="preserve">In this study, </w:t>
      </w:r>
      <w:r w:rsidR="00B44ED2">
        <w:t>an</w:t>
      </w:r>
      <w:r>
        <w:t xml:space="preserve"> approach that combines global sensitivity analysis</w:t>
      </w:r>
      <w:r w:rsidR="005A2542">
        <w:t xml:space="preserve"> </w:t>
      </w:r>
      <w:r w:rsidR="00314D6D">
        <w:t>with</w:t>
      </w:r>
      <w:r w:rsidR="00B44ED2">
        <w:t xml:space="preserve"> </w:t>
      </w:r>
      <w:r>
        <w:t xml:space="preserve">design space analysis </w:t>
      </w:r>
      <w:r w:rsidR="00BD524B">
        <w:t>(</w:t>
      </w:r>
      <w:r w:rsidR="00BD524B" w:rsidRPr="00AB6DB3">
        <w:t>Sachio et al., 2023</w:t>
      </w:r>
      <w:r w:rsidR="00BD524B">
        <w:t xml:space="preserve">) </w:t>
      </w:r>
      <w:r w:rsidR="00695D0C">
        <w:t xml:space="preserve">for </w:t>
      </w:r>
      <w:r>
        <w:t>assess</w:t>
      </w:r>
      <w:r w:rsidR="00695D0C">
        <w:t>ing</w:t>
      </w:r>
      <w:r>
        <w:t xml:space="preserve"> the flexibility and feasibility of </w:t>
      </w:r>
      <w:r w:rsidR="003107F2">
        <w:t xml:space="preserve">the </w:t>
      </w:r>
      <w:r>
        <w:t>design</w:t>
      </w:r>
      <w:r w:rsidR="003107F2">
        <w:t xml:space="preserve"> of a PVSA process for CO</w:t>
      </w:r>
      <w:r w:rsidR="003107F2" w:rsidRPr="00964873">
        <w:rPr>
          <w:vertAlign w:val="subscript"/>
        </w:rPr>
        <w:t>2</w:t>
      </w:r>
      <w:r w:rsidR="003107F2">
        <w:t xml:space="preserve"> capture</w:t>
      </w:r>
      <w:r w:rsidR="00663B46">
        <w:t xml:space="preserve"> is presented</w:t>
      </w:r>
      <w:r>
        <w:t xml:space="preserve">. This </w:t>
      </w:r>
      <w:r w:rsidR="005A2542">
        <w:t>work</w:t>
      </w:r>
      <w:r>
        <w:t xml:space="preserve"> </w:t>
      </w:r>
      <w:r w:rsidR="00046567">
        <w:t xml:space="preserve">also </w:t>
      </w:r>
      <w:r>
        <w:t xml:space="preserve">contributes to the formulation of a comprehensive adsorbent screening framework that </w:t>
      </w:r>
      <w:proofErr w:type="gramStart"/>
      <w:r>
        <w:t>takes into account</w:t>
      </w:r>
      <w:proofErr w:type="gramEnd"/>
      <w:r>
        <w:t xml:space="preserve"> both performance considerations and the critical aspects of process flexibility and robustness</w:t>
      </w:r>
      <w:r w:rsidR="006B13D0">
        <w:t xml:space="preserve"> </w:t>
      </w:r>
      <w:r w:rsidR="006B13D0" w:rsidRPr="003B7FE4">
        <w:rPr>
          <w:lang w:val="en-GB"/>
        </w:rPr>
        <w:t>(</w:t>
      </w:r>
      <w:proofErr w:type="spellStart"/>
      <w:r w:rsidR="006B13D0" w:rsidRPr="003B7FE4">
        <w:rPr>
          <w:lang w:val="en-GB"/>
        </w:rPr>
        <w:t>Pistikopoulos</w:t>
      </w:r>
      <w:proofErr w:type="spellEnd"/>
      <w:r w:rsidR="006B13D0" w:rsidRPr="003B7FE4">
        <w:rPr>
          <w:lang w:val="en-GB"/>
        </w:rPr>
        <w:t xml:space="preserve"> et al., 2021)</w:t>
      </w:r>
      <w:r w:rsidRPr="003B7FE4">
        <w:t>.</w:t>
      </w:r>
    </w:p>
    <w:p w14:paraId="78C2C4C0" w14:textId="4A6B979E" w:rsidR="006A58C7" w:rsidRDefault="00E85621" w:rsidP="00A93EBD">
      <w:pPr>
        <w:pStyle w:val="Els-1storder-head"/>
        <w:spacing w:before="0" w:after="120"/>
      </w:pPr>
      <w:r w:rsidRPr="00E85621">
        <w:t xml:space="preserve">Computational </w:t>
      </w:r>
      <w:r w:rsidR="005751D6">
        <w:t>f</w:t>
      </w:r>
      <w:r w:rsidRPr="00E85621">
        <w:t>ramework</w:t>
      </w:r>
    </w:p>
    <w:p w14:paraId="5AF4426A" w14:textId="004BCF7B" w:rsidR="00C858EF" w:rsidRDefault="00A97402" w:rsidP="00A93EBD">
      <w:pPr>
        <w:pStyle w:val="Els-body-text"/>
        <w:spacing w:after="120"/>
      </w:pPr>
      <w:r w:rsidRPr="00A97402">
        <w:t xml:space="preserve">This study implements a computational framework utilizing the direct sampling method to </w:t>
      </w:r>
      <w:r>
        <w:t>describe</w:t>
      </w:r>
      <w:r w:rsidRPr="00A97402">
        <w:t xml:space="preserve"> the design space</w:t>
      </w:r>
      <w:r w:rsidR="00AB6DB3">
        <w:t xml:space="preserve"> (</w:t>
      </w:r>
      <w:r w:rsidR="00AB6DB3" w:rsidRPr="00AB6DB3">
        <w:t>Sachio et al., 2023</w:t>
      </w:r>
      <w:r w:rsidR="00AB6DB3">
        <w:t>)</w:t>
      </w:r>
      <w:r w:rsidRPr="00A97402">
        <w:t xml:space="preserve">. </w:t>
      </w:r>
      <w:r w:rsidR="00867D69">
        <w:t>T</w:t>
      </w:r>
      <w:r w:rsidRPr="00A97402">
        <w:t xml:space="preserve">he </w:t>
      </w:r>
      <w:r w:rsidR="003872D4" w:rsidRPr="00A97402">
        <w:t>design</w:t>
      </w:r>
      <w:r w:rsidRPr="00A97402">
        <w:t xml:space="preserve"> space problem</w:t>
      </w:r>
      <w:r w:rsidR="00867D69">
        <w:t xml:space="preserve"> is formulated by </w:t>
      </w:r>
      <w:r w:rsidR="00EE04C1">
        <w:t>defining</w:t>
      </w:r>
      <w:r w:rsidRPr="00A97402">
        <w:t xml:space="preserve"> the process model, </w:t>
      </w:r>
      <w:r w:rsidR="00867D69">
        <w:t xml:space="preserve">the </w:t>
      </w:r>
      <w:r w:rsidRPr="00A97402">
        <w:t>relevant input variables (</w:t>
      </w:r>
      <w:r w:rsidR="00EE04C1">
        <w:t xml:space="preserve">i.e., the </w:t>
      </w:r>
      <w:r w:rsidRPr="00A97402">
        <w:t xml:space="preserve">process parameters), </w:t>
      </w:r>
      <w:r w:rsidR="00867D69">
        <w:t>the key</w:t>
      </w:r>
      <w:r w:rsidRPr="00A97402">
        <w:t xml:space="preserve"> performance indicators</w:t>
      </w:r>
      <w:r w:rsidR="00867D69">
        <w:t xml:space="preserve"> (KPIs)</w:t>
      </w:r>
      <w:r w:rsidRPr="00A97402">
        <w:t>, and associated constraints.</w:t>
      </w:r>
      <w:r w:rsidR="00F1340B">
        <w:t xml:space="preserve"> A general flowchart of the methodology applied herein is depicted in Figure 1.</w:t>
      </w:r>
    </w:p>
    <w:p w14:paraId="083664EF" w14:textId="51A7B8FD" w:rsidR="003F4F20" w:rsidRDefault="00A97402" w:rsidP="000C23EB">
      <w:pPr>
        <w:pStyle w:val="Els-body-text"/>
        <w:spacing w:after="120"/>
      </w:pPr>
      <w:r w:rsidRPr="00A97402">
        <w:t xml:space="preserve">Global sensitivity analysis (GSA) was </w:t>
      </w:r>
      <w:r w:rsidR="00B34A9F">
        <w:t>utilized</w:t>
      </w:r>
      <w:r w:rsidR="00F16DD8" w:rsidRPr="00A97402">
        <w:t xml:space="preserve"> </w:t>
      </w:r>
      <w:r w:rsidRPr="00A97402">
        <w:t xml:space="preserve">to </w:t>
      </w:r>
      <w:r w:rsidR="008B62FF">
        <w:t xml:space="preserve">determine </w:t>
      </w:r>
      <w:r w:rsidR="00F16DD8">
        <w:t xml:space="preserve">the most relevant </w:t>
      </w:r>
      <w:r w:rsidR="00C858EF">
        <w:t>process parameters</w:t>
      </w:r>
      <w:r w:rsidR="00B323B9">
        <w:t xml:space="preserve"> in design space analysis </w:t>
      </w:r>
      <w:r w:rsidR="00B323B9" w:rsidRPr="00B323B9">
        <w:t>(</w:t>
      </w:r>
      <w:proofErr w:type="spellStart"/>
      <w:r w:rsidR="00B323B9" w:rsidRPr="00B323B9">
        <w:t>Kotidis</w:t>
      </w:r>
      <w:proofErr w:type="spellEnd"/>
      <w:r w:rsidR="00B323B9" w:rsidRPr="00B323B9">
        <w:t xml:space="preserve"> et al., 2019)</w:t>
      </w:r>
      <w:r w:rsidRPr="00A97402">
        <w:t>.</w:t>
      </w:r>
      <w:r w:rsidR="00C858EF">
        <w:t xml:space="preserve"> </w:t>
      </w:r>
      <w:r w:rsidR="00C858EF" w:rsidRPr="00C858EF">
        <w:t>In the context of a PVSA process, the KPIs are influenced by various process parameters, broadly categorized into three main groups. First, “design parameters” are decided during the initial design phase and remain fixed throughout its operation. Second, “operational parameters” are expected</w:t>
      </w:r>
      <w:r w:rsidR="00F76298" w:rsidRPr="00F76298">
        <w:t xml:space="preserve"> </w:t>
      </w:r>
      <w:r w:rsidR="00F76298" w:rsidRPr="00C858EF">
        <w:t>to remain constant over time but can be adjusted based on the evolving conditions of the</w:t>
      </w:r>
      <w:r w:rsidR="003A0354">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6"/>
      </w:tblGrid>
      <w:tr w:rsidR="003F4F20" w14:paraId="6676EC88" w14:textId="77777777" w:rsidTr="00796744">
        <w:tc>
          <w:tcPr>
            <w:tcW w:w="7076" w:type="dxa"/>
          </w:tcPr>
          <w:p w14:paraId="29CADC6C" w14:textId="56138D6F" w:rsidR="003F4F20" w:rsidRDefault="0029234F" w:rsidP="00A12F47">
            <w:pPr>
              <w:pStyle w:val="Els-body-text"/>
              <w:spacing w:after="120"/>
              <w:jc w:val="center"/>
            </w:pPr>
            <w:r w:rsidRPr="0029234F">
              <w:rPr>
                <w:noProof/>
              </w:rPr>
              <w:drawing>
                <wp:inline distT="0" distB="0" distL="0" distR="0" wp14:anchorId="2DDBE545" wp14:editId="1BE70896">
                  <wp:extent cx="4320000" cy="2319017"/>
                  <wp:effectExtent l="0" t="0" r="4445" b="5715"/>
                  <wp:docPr id="1051783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0" cy="2319017"/>
                          </a:xfrm>
                          <a:prstGeom prst="rect">
                            <a:avLst/>
                          </a:prstGeom>
                          <a:noFill/>
                          <a:ln>
                            <a:noFill/>
                          </a:ln>
                        </pic:spPr>
                      </pic:pic>
                    </a:graphicData>
                  </a:graphic>
                </wp:inline>
              </w:drawing>
            </w:r>
          </w:p>
        </w:tc>
      </w:tr>
      <w:tr w:rsidR="003F4F20" w14:paraId="38FBD842" w14:textId="77777777" w:rsidTr="00796744">
        <w:tc>
          <w:tcPr>
            <w:tcW w:w="7076" w:type="dxa"/>
            <w:vAlign w:val="center"/>
          </w:tcPr>
          <w:p w14:paraId="7B5CFA50" w14:textId="51CC59ED" w:rsidR="003F4F20" w:rsidRDefault="003F4F20" w:rsidP="00796744">
            <w:pPr>
              <w:pStyle w:val="Els-body-text"/>
              <w:jc w:val="center"/>
            </w:pPr>
            <w:r>
              <w:rPr>
                <w:b/>
                <w:bCs/>
                <w:lang w:val="en-GB"/>
              </w:rPr>
              <w:t>Figure</w:t>
            </w:r>
            <w:r w:rsidRPr="00F7732D">
              <w:rPr>
                <w:b/>
                <w:bCs/>
                <w:lang w:val="en-GB"/>
              </w:rPr>
              <w:t xml:space="preserve"> 1. </w:t>
            </w:r>
            <w:r w:rsidR="008B4876">
              <w:rPr>
                <w:lang w:val="en-GB"/>
              </w:rPr>
              <w:t xml:space="preserve">General flowchart of the </w:t>
            </w:r>
            <w:r w:rsidR="006437A5">
              <w:rPr>
                <w:lang w:val="en-GB"/>
              </w:rPr>
              <w:t>framework</w:t>
            </w:r>
            <w:r>
              <w:rPr>
                <w:lang w:val="en-GB"/>
              </w:rPr>
              <w:t>.</w:t>
            </w:r>
          </w:p>
        </w:tc>
      </w:tr>
    </w:tbl>
    <w:p w14:paraId="47F7C541" w14:textId="59E7E226" w:rsidR="003A0354" w:rsidRDefault="003A0354" w:rsidP="00A93EBD">
      <w:pPr>
        <w:pStyle w:val="Els-body-text"/>
        <w:spacing w:after="120"/>
      </w:pPr>
      <w:r w:rsidRPr="00C858EF">
        <w:lastRenderedPageBreak/>
        <w:t>PVSA process. Lastly, “material properties parameters” are associated with the physical properties of the adsorbent material employed</w:t>
      </w:r>
      <w:r w:rsidR="00A77716">
        <w:t xml:space="preserve"> </w:t>
      </w:r>
      <w:r w:rsidRPr="00C858EF">
        <w:t>and remain constant post-design.</w:t>
      </w:r>
    </w:p>
    <w:p w14:paraId="67923BAC" w14:textId="7525B05E" w:rsidR="000D0307" w:rsidRPr="00A94774" w:rsidRDefault="00126FAC" w:rsidP="00A93EBD">
      <w:pPr>
        <w:pStyle w:val="Els-body-text"/>
        <w:spacing w:after="120"/>
        <w:rPr>
          <w:lang w:val="en-GB"/>
        </w:rPr>
      </w:pPr>
      <w:r>
        <w:t xml:space="preserve">Quasi-random </w:t>
      </w:r>
      <w:r w:rsidRPr="00A97402">
        <w:t xml:space="preserve">Sobol sequence </w:t>
      </w:r>
      <w:r>
        <w:t xml:space="preserve">was employed to sample the </w:t>
      </w:r>
      <w:r w:rsidRPr="00A97402">
        <w:t>process model</w:t>
      </w:r>
      <w:r>
        <w:t xml:space="preserve">, thereby </w:t>
      </w:r>
      <w:r w:rsidRPr="00A97402">
        <w:t>establish</w:t>
      </w:r>
      <w:r>
        <w:t>ing</w:t>
      </w:r>
      <w:r w:rsidRPr="00A97402">
        <w:t xml:space="preserve"> the knowledge space. Within this space, </w:t>
      </w:r>
      <w:r>
        <w:t>the design space containing all sample points with feasible output was defined.</w:t>
      </w:r>
      <w:r w:rsidRPr="00A97402">
        <w:t xml:space="preserve"> </w:t>
      </w:r>
      <w:r>
        <w:t xml:space="preserve">Subsequently, </w:t>
      </w:r>
      <w:r w:rsidRPr="00A97402">
        <w:t>flexibility regarding</w:t>
      </w:r>
      <w:r>
        <w:t xml:space="preserve"> </w:t>
      </w:r>
      <w:r w:rsidR="00AB1E74" w:rsidRPr="00A97402">
        <w:t>prospective optimal operating points within this design space</w:t>
      </w:r>
      <w:r w:rsidR="00AB1E74">
        <w:t xml:space="preserve"> was assessed using a so-called acceptable operating region (AOR). In the context of a three-dimensional scenario, the AOR is visualized as a cuboid. The lengths of the cuboid's edges along each axis </w:t>
      </w:r>
      <w:r w:rsidR="00872CDB">
        <w:t xml:space="preserve">reflect the allowable operational range within the model parameter represented by the corresponding axis that guarantee process feasibility. </w:t>
      </w:r>
      <w:r w:rsidR="00663B46">
        <w:t>Based on this information, a</w:t>
      </w:r>
      <w:r w:rsidR="00872CDB">
        <w:t xml:space="preserve"> novel performance index called the </w:t>
      </w:r>
      <w:r w:rsidR="00700DBF">
        <w:t>normalized</w:t>
      </w:r>
      <w:r w:rsidR="00872CDB">
        <w:t xml:space="preserve"> space size (NSS) </w:t>
      </w:r>
      <w:r w:rsidR="00663B46">
        <w:t>has been applied</w:t>
      </w:r>
      <w:r w:rsidR="00700DBF">
        <w:t xml:space="preserve"> </w:t>
      </w:r>
      <w:r w:rsidR="00700DBF" w:rsidRPr="00A97402">
        <w:t>to quantify and compare process flexibility across various adsorbents at different candidate optimal operating points</w:t>
      </w:r>
      <w:r w:rsidR="00872CDB">
        <w:t xml:space="preserve">. </w:t>
      </w:r>
      <w:r w:rsidR="000D0307">
        <w:t>The formulation for the NSS is presented in Eq. (1).</w:t>
      </w:r>
    </w:p>
    <w:tbl>
      <w:tblPr>
        <w:tblW w:w="0" w:type="auto"/>
        <w:tblLook w:val="04A0" w:firstRow="1" w:lastRow="0" w:firstColumn="1" w:lastColumn="0" w:noHBand="0" w:noVBand="1"/>
      </w:tblPr>
      <w:tblGrid>
        <w:gridCol w:w="6125"/>
        <w:gridCol w:w="961"/>
      </w:tblGrid>
      <w:tr w:rsidR="000D0307" w:rsidRPr="00A94774" w14:paraId="07CAD636" w14:textId="77777777" w:rsidTr="0013500D">
        <w:tc>
          <w:tcPr>
            <w:tcW w:w="6317" w:type="dxa"/>
            <w:shd w:val="clear" w:color="auto" w:fill="auto"/>
            <w:vAlign w:val="center"/>
          </w:tcPr>
          <w:p w14:paraId="70082AAB" w14:textId="5C694E3B" w:rsidR="000D0307" w:rsidRPr="00A94774" w:rsidRDefault="00A93EBD" w:rsidP="00A93EBD">
            <w:pPr>
              <w:pStyle w:val="Els-body-text"/>
              <w:spacing w:after="120" w:line="264" w:lineRule="auto"/>
              <w:rPr>
                <w:lang w:val="en-GB"/>
              </w:rPr>
            </w:pPr>
            <m:oMath>
              <m:m>
                <m:mPr>
                  <m:mcs>
                    <m:mc>
                      <m:mcPr>
                        <m:count m:val="1"/>
                        <m:mcJc m:val="center"/>
                      </m:mcPr>
                    </m:mc>
                  </m:mcs>
                  <m:ctrlPr>
                    <w:rPr>
                      <w:rFonts w:ascii="Cambria Math" w:hAnsi="Cambria Math"/>
                      <w:iCs/>
                    </w:rPr>
                  </m:ctrlPr>
                </m:mPr>
                <m:mr>
                  <m:e>
                    <m:r>
                      <m:rPr>
                        <m:sty m:val="p"/>
                      </m:rPr>
                      <w:rPr>
                        <w:rFonts w:ascii="Cambria Math" w:hAnsi="Cambria Math"/>
                      </w:rPr>
                      <m:t>normalized space</m:t>
                    </m:r>
                  </m:e>
                </m:mr>
                <m:mr>
                  <m:e>
                    <m:r>
                      <m:rPr>
                        <m:sty m:val="p"/>
                      </m:rPr>
                      <w:rPr>
                        <w:rFonts w:ascii="Cambria Math" w:hAnsi="Cambria Math"/>
                      </w:rPr>
                      <m:t>size (NSS)</m:t>
                    </m:r>
                  </m:e>
                </m:mr>
              </m:m>
              <m:r>
                <m:rPr>
                  <m:sty m:val="p"/>
                </m:rPr>
                <w:rPr>
                  <w:rFonts w:ascii="Cambria Math" w:hAnsi="Cambria Math"/>
                </w:rPr>
                <m:t>=</m:t>
              </m:r>
              <m:nary>
                <m:naryPr>
                  <m:chr m:val="∏"/>
                  <m:limLoc m:val="undOvr"/>
                  <m:supHide m:val="1"/>
                  <m:ctrlPr>
                    <w:rPr>
                      <w:rFonts w:ascii="Cambria Math" w:hAnsi="Cambria Math"/>
                      <w:iCs/>
                    </w:rPr>
                  </m:ctrlPr>
                </m:naryPr>
                <m:sub>
                  <m:r>
                    <w:rPr>
                      <w:rFonts w:ascii="Cambria Math" w:hAnsi="Cambria Math"/>
                    </w:rPr>
                    <m:t>i</m:t>
                  </m:r>
                  <m:r>
                    <m:rPr>
                      <m:sty m:val="p"/>
                    </m:rPr>
                    <w:rPr>
                      <w:rFonts w:ascii="Cambria Math" w:hAnsi="Cambria Math"/>
                    </w:rPr>
                    <m:t>∈J</m:t>
                  </m:r>
                </m:sub>
                <m:sup/>
                <m:e>
                  <m:d>
                    <m:dPr>
                      <m:ctrlPr>
                        <w:rPr>
                          <w:rFonts w:ascii="Cambria Math" w:hAnsi="Cambria Math"/>
                          <w:i/>
                          <w:iCs/>
                        </w:rPr>
                      </m:ctrlPr>
                    </m:dPr>
                    <m:e>
                      <m:f>
                        <m:fPr>
                          <m:ctrlPr>
                            <w:rPr>
                              <w:rFonts w:ascii="Cambria Math" w:hAnsi="Cambria Math"/>
                              <w:iCs/>
                            </w:rPr>
                          </m:ctrlPr>
                        </m:fPr>
                        <m:num>
                          <m:sSubSup>
                            <m:sSubSupPr>
                              <m:ctrlPr>
                                <w:rPr>
                                  <w:rFonts w:ascii="Cambria Math" w:hAnsi="Cambria Math"/>
                                  <w:iCs/>
                                </w:rPr>
                              </m:ctrlPr>
                            </m:sSubSupPr>
                            <m:e>
                              <m:r>
                                <m:rPr>
                                  <m:sty m:val="p"/>
                                </m:rPr>
                                <w:rPr>
                                  <w:rFonts w:ascii="Cambria Math" w:hAnsi="Cambria Math"/>
                                </w:rPr>
                                <m:t>AOR</m:t>
                              </m:r>
                            </m:e>
                            <m:sub>
                              <m:r>
                                <w:rPr>
                                  <w:rFonts w:ascii="Cambria Math" w:hAnsi="Cambria Math"/>
                                </w:rPr>
                                <m:t>i</m:t>
                              </m:r>
                            </m:sub>
                            <m:sup>
                              <m:r>
                                <m:rPr>
                                  <m:sty m:val="p"/>
                                </m:rPr>
                                <w:rPr>
                                  <w:rFonts w:ascii="Cambria Math" w:hAnsi="Cambria Math"/>
                                </w:rPr>
                                <m:t>max</m:t>
                              </m:r>
                            </m:sup>
                          </m:sSubSup>
                          <m:r>
                            <m:rPr>
                              <m:sty m:val="p"/>
                            </m:rPr>
                            <w:rPr>
                              <w:rFonts w:ascii="Cambria Math" w:hAnsi="Cambria Math"/>
                            </w:rPr>
                            <m:t>-</m:t>
                          </m:r>
                          <m:sSubSup>
                            <m:sSubSupPr>
                              <m:ctrlPr>
                                <w:rPr>
                                  <w:rFonts w:ascii="Cambria Math" w:hAnsi="Cambria Math"/>
                                  <w:iCs/>
                                </w:rPr>
                              </m:ctrlPr>
                            </m:sSubSupPr>
                            <m:e>
                              <m:r>
                                <m:rPr>
                                  <m:sty m:val="p"/>
                                </m:rPr>
                                <w:rPr>
                                  <w:rFonts w:ascii="Cambria Math" w:hAnsi="Cambria Math"/>
                                </w:rPr>
                                <m:t>AOR</m:t>
                              </m:r>
                            </m:e>
                            <m:sub>
                              <m:r>
                                <w:rPr>
                                  <w:rFonts w:ascii="Cambria Math" w:hAnsi="Cambria Math"/>
                                </w:rPr>
                                <m:t>i</m:t>
                              </m:r>
                            </m:sub>
                            <m:sup>
                              <m:r>
                                <m:rPr>
                                  <m:sty m:val="p"/>
                                </m:rPr>
                                <w:rPr>
                                  <w:rFonts w:ascii="Cambria Math" w:hAnsi="Cambria Math"/>
                                </w:rPr>
                                <m:t>min</m:t>
                              </m:r>
                            </m:sup>
                          </m:sSubSup>
                        </m:num>
                        <m:den>
                          <m:sSub>
                            <m:sSubPr>
                              <m:ctrlPr>
                                <w:rPr>
                                  <w:rFonts w:ascii="Cambria Math" w:hAnsi="Cambria Math"/>
                                  <w:iCs/>
                                </w:rPr>
                              </m:ctrlPr>
                            </m:sSubPr>
                            <m:e>
                              <m:r>
                                <m:rPr>
                                  <m:sty m:val="p"/>
                                </m:rPr>
                                <w:rPr>
                                  <w:rFonts w:ascii="Cambria Math" w:hAnsi="Cambria Math"/>
                                </w:rPr>
                                <m:t>UB</m:t>
                              </m:r>
                            </m:e>
                            <m:sub>
                              <m:r>
                                <w:rPr>
                                  <w:rFonts w:ascii="Cambria Math" w:hAnsi="Cambria Math"/>
                                </w:rPr>
                                <m:t>i</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LB</m:t>
                              </m:r>
                            </m:e>
                            <m:sub>
                              <m:r>
                                <w:rPr>
                                  <w:rFonts w:ascii="Cambria Math" w:hAnsi="Cambria Math"/>
                                </w:rPr>
                                <m:t>i</m:t>
                              </m:r>
                            </m:sub>
                          </m:sSub>
                        </m:den>
                      </m:f>
                    </m:e>
                  </m:d>
                </m:e>
              </m:nary>
            </m:oMath>
            <w:r w:rsidR="000D0307">
              <w:rPr>
                <w:iCs/>
              </w:rPr>
              <w:t xml:space="preserve"> </w:t>
            </w:r>
          </w:p>
        </w:tc>
        <w:tc>
          <w:tcPr>
            <w:tcW w:w="985" w:type="dxa"/>
            <w:shd w:val="clear" w:color="auto" w:fill="auto"/>
            <w:vAlign w:val="center"/>
          </w:tcPr>
          <w:p w14:paraId="0459E5A0" w14:textId="77777777" w:rsidR="000D0307" w:rsidRPr="00A94774" w:rsidRDefault="000D0307" w:rsidP="00A93EBD">
            <w:pPr>
              <w:pStyle w:val="Els-body-text"/>
              <w:spacing w:after="120" w:line="264" w:lineRule="auto"/>
              <w:jc w:val="right"/>
              <w:rPr>
                <w:lang w:val="en-GB"/>
              </w:rPr>
            </w:pPr>
            <w:r w:rsidRPr="00A94774">
              <w:rPr>
                <w:lang w:val="en-GB"/>
              </w:rPr>
              <w:t>(1)</w:t>
            </w:r>
          </w:p>
        </w:tc>
      </w:tr>
    </w:tbl>
    <w:p w14:paraId="612F4552" w14:textId="50A305B5" w:rsidR="00A97402" w:rsidRPr="000C23EB" w:rsidRDefault="005C7701" w:rsidP="000C23EB">
      <w:pPr>
        <w:pStyle w:val="Els-body-text"/>
        <w:spacing w:after="120"/>
      </w:pPr>
      <w:r w:rsidRPr="000C23EB">
        <w:t>Here,</w:t>
      </w:r>
      <w:r w:rsidR="000D0307" w:rsidRPr="000C23EB">
        <w:t xml:space="preserve"> </w:t>
      </w:r>
      <m:oMath>
        <m:r>
          <w:rPr>
            <w:rFonts w:ascii="Cambria Math" w:hAnsi="Cambria Math"/>
          </w:rPr>
          <m:t>J</m:t>
        </m:r>
      </m:oMath>
      <w:r w:rsidR="000D0307" w:rsidRPr="000C23EB">
        <w:t xml:space="preserve"> includes </w:t>
      </w:r>
      <w:r w:rsidR="00C36BA1" w:rsidRPr="000C23EB">
        <w:t>all</w:t>
      </w:r>
      <w:r w:rsidR="000D0307" w:rsidRPr="000C23EB">
        <w:t xml:space="preserve"> manipulated </w:t>
      </w:r>
      <w:r w:rsidRPr="000C23EB">
        <w:t>parameters</w:t>
      </w:r>
      <w:r w:rsidR="00C36BA1" w:rsidRPr="000C23EB">
        <w:t xml:space="preserve"> (</w:t>
      </w:r>
      <m:oMath>
        <m:r>
          <w:rPr>
            <w:rFonts w:ascii="Cambria Math" w:hAnsi="Cambria Math"/>
          </w:rPr>
          <m:t>i</m:t>
        </m:r>
      </m:oMath>
      <w:r w:rsidR="000C23EB" w:rsidRPr="000C23EB">
        <w:t>)</w:t>
      </w:r>
      <w:r w:rsidR="000D0307" w:rsidRPr="000C23EB">
        <w:t xml:space="preserve">, </w:t>
      </w:r>
      <m:oMath>
        <m:r>
          <m:rPr>
            <m:sty m:val="p"/>
          </m:rPr>
          <w:rPr>
            <w:rFonts w:ascii="Cambria Math" w:hAnsi="Cambria Math"/>
          </w:rPr>
          <m:t>AO</m:t>
        </m:r>
        <m:sSubSup>
          <m:sSubSupPr>
            <m:ctrlPr>
              <w:rPr>
                <w:rFonts w:ascii="Cambria Math" w:hAnsi="Cambria Math"/>
                <w:iCs/>
              </w:rPr>
            </m:ctrlPr>
          </m:sSubSupPr>
          <m:e>
            <m:r>
              <m:rPr>
                <m:sty m:val="p"/>
              </m:rPr>
              <w:rPr>
                <w:rFonts w:ascii="Cambria Math" w:hAnsi="Cambria Math"/>
              </w:rPr>
              <m:t>R</m:t>
            </m:r>
          </m:e>
          <m:sub>
            <m:r>
              <w:rPr>
                <w:rFonts w:ascii="Cambria Math" w:hAnsi="Cambria Math"/>
              </w:rPr>
              <m:t>i</m:t>
            </m:r>
          </m:sub>
          <m:sup>
            <m:r>
              <m:rPr>
                <m:sty m:val="p"/>
              </m:rPr>
              <w:rPr>
                <w:rFonts w:ascii="Cambria Math" w:hAnsi="Cambria Math"/>
              </w:rPr>
              <m:t>max</m:t>
            </m:r>
          </m:sup>
        </m:sSubSup>
        <m:r>
          <m:rPr>
            <m:sty m:val="p"/>
          </m:rPr>
          <w:rPr>
            <w:rFonts w:ascii="Cambria Math" w:hAnsi="Cambria Math"/>
          </w:rPr>
          <m:t>-AO</m:t>
        </m:r>
        <m:sSubSup>
          <m:sSubSupPr>
            <m:ctrlPr>
              <w:rPr>
                <w:rFonts w:ascii="Cambria Math" w:hAnsi="Cambria Math"/>
                <w:iCs/>
              </w:rPr>
            </m:ctrlPr>
          </m:sSubSupPr>
          <m:e>
            <m:r>
              <m:rPr>
                <m:sty m:val="p"/>
              </m:rPr>
              <w:rPr>
                <w:rFonts w:ascii="Cambria Math" w:hAnsi="Cambria Math"/>
              </w:rPr>
              <m:t>R</m:t>
            </m:r>
          </m:e>
          <m:sub>
            <m:r>
              <w:rPr>
                <w:rFonts w:ascii="Cambria Math" w:hAnsi="Cambria Math"/>
              </w:rPr>
              <m:t>i</m:t>
            </m:r>
          </m:sub>
          <m:sup>
            <m:r>
              <m:rPr>
                <m:sty m:val="p"/>
              </m:rPr>
              <w:rPr>
                <w:rFonts w:ascii="Cambria Math" w:hAnsi="Cambria Math"/>
              </w:rPr>
              <m:t>min</m:t>
            </m:r>
          </m:sup>
        </m:sSubSup>
      </m:oMath>
      <w:r w:rsidR="000D0307" w:rsidRPr="000C23EB">
        <w:t xml:space="preserve"> represents the length of the AOR edge along axis </w:t>
      </w:r>
      <m:oMath>
        <m:r>
          <w:rPr>
            <w:rFonts w:ascii="Cambria Math" w:hAnsi="Cambria Math"/>
          </w:rPr>
          <m:t>i</m:t>
        </m:r>
      </m:oMath>
      <w:r w:rsidR="000D0307" w:rsidRPr="000C23EB">
        <w:t xml:space="preserve">, while </w:t>
      </w:r>
      <m:oMath>
        <m:r>
          <m:rPr>
            <m:sty m:val="p"/>
          </m:rPr>
          <w:rPr>
            <w:rFonts w:ascii="Cambria Math" w:hAnsi="Cambria Math"/>
          </w:rPr>
          <m:t>U</m:t>
        </m:r>
        <m:sSub>
          <m:sSubPr>
            <m:ctrlPr>
              <w:rPr>
                <w:rFonts w:ascii="Cambria Math" w:hAnsi="Cambria Math"/>
              </w:rPr>
            </m:ctrlPr>
          </m:sSubPr>
          <m:e>
            <m:r>
              <m:rPr>
                <m:sty m:val="p"/>
              </m:rPr>
              <w:rPr>
                <w:rFonts w:ascii="Cambria Math" w:hAnsi="Cambria Math"/>
              </w:rPr>
              <m:t>B</m:t>
            </m:r>
          </m:e>
          <m:sub>
            <m:r>
              <w:rPr>
                <w:rFonts w:ascii="Cambria Math" w:hAnsi="Cambria Math"/>
              </w:rPr>
              <m:t>i</m:t>
            </m:r>
          </m:sub>
        </m:sSub>
      </m:oMath>
      <w:r w:rsidR="000D0307" w:rsidRPr="000C23EB">
        <w:t xml:space="preserve"> and </w:t>
      </w:r>
      <m:oMath>
        <m:r>
          <m:rPr>
            <m:sty m:val="p"/>
          </m:rPr>
          <w:rPr>
            <w:rFonts w:ascii="Cambria Math" w:hAnsi="Cambria Math"/>
          </w:rPr>
          <m:t>L</m:t>
        </m:r>
        <m:sSub>
          <m:sSubPr>
            <m:ctrlPr>
              <w:rPr>
                <w:rFonts w:ascii="Cambria Math" w:hAnsi="Cambria Math"/>
              </w:rPr>
            </m:ctrlPr>
          </m:sSubPr>
          <m:e>
            <m:r>
              <m:rPr>
                <m:sty m:val="p"/>
              </m:rPr>
              <w:rPr>
                <w:rFonts w:ascii="Cambria Math" w:hAnsi="Cambria Math"/>
              </w:rPr>
              <m:t>B</m:t>
            </m:r>
          </m:e>
          <m:sub>
            <m:r>
              <w:rPr>
                <w:rFonts w:ascii="Cambria Math" w:hAnsi="Cambria Math"/>
              </w:rPr>
              <m:t>i</m:t>
            </m:r>
          </m:sub>
        </m:sSub>
      </m:oMath>
      <w:r w:rsidR="000D0307" w:rsidRPr="000C23EB">
        <w:t xml:space="preserve"> </w:t>
      </w:r>
      <w:r w:rsidR="00C36BA1" w:rsidRPr="000C23EB">
        <w:t>are</w:t>
      </w:r>
      <w:r w:rsidR="000D0307" w:rsidRPr="000C23EB">
        <w:t xml:space="preserve"> the upper and lower bounds of </w:t>
      </w:r>
      <m:oMath>
        <m:r>
          <w:rPr>
            <w:rFonts w:ascii="Cambria Math" w:hAnsi="Cambria Math"/>
          </w:rPr>
          <m:t>i</m:t>
        </m:r>
      </m:oMath>
      <w:r w:rsidR="000D0307" w:rsidRPr="000C23EB">
        <w:t>.</w:t>
      </w:r>
    </w:p>
    <w:p w14:paraId="4A913238" w14:textId="6670603C" w:rsidR="007745B7" w:rsidRDefault="005751D6" w:rsidP="00A93EBD">
      <w:pPr>
        <w:pStyle w:val="Els-1storder-head"/>
        <w:spacing w:before="0" w:after="120"/>
      </w:pPr>
      <w:r>
        <w:t>Process model</w:t>
      </w:r>
    </w:p>
    <w:p w14:paraId="20DAA77B" w14:textId="1B6D53BB" w:rsidR="00753AB5" w:rsidRDefault="00A57B9F" w:rsidP="000C23EB">
      <w:pPr>
        <w:pStyle w:val="Els-body-text"/>
        <w:spacing w:after="120"/>
      </w:pPr>
      <w:r w:rsidRPr="00753AB5">
        <w:t xml:space="preserve">In this study, </w:t>
      </w:r>
      <w:r>
        <w:t xml:space="preserve">a </w:t>
      </w:r>
      <w:r w:rsidRPr="00753AB5">
        <w:t>cyclic PVSA operation designed for post-combustion CO</w:t>
      </w:r>
      <w:r w:rsidRPr="00371141">
        <w:rPr>
          <w:vertAlign w:val="subscript"/>
        </w:rPr>
        <w:t>2</w:t>
      </w:r>
      <w:r w:rsidRPr="00753AB5">
        <w:t xml:space="preserve"> </w:t>
      </w:r>
      <w:r w:rsidR="004879BA">
        <w:t>capture from</w:t>
      </w:r>
      <w:r w:rsidRPr="00753AB5">
        <w:t xml:space="preserve"> a 1,000 MW coal power plant</w:t>
      </w:r>
      <w:r w:rsidR="002E466C">
        <w:t xml:space="preserve"> </w:t>
      </w:r>
      <w:r w:rsidR="00E56168" w:rsidRPr="00E56168">
        <w:t>(Ward and Pini, 2022)</w:t>
      </w:r>
      <w:r w:rsidR="00112ADE">
        <w:t xml:space="preserve"> has been examined</w:t>
      </w:r>
      <w:r w:rsidRPr="00753AB5">
        <w:t xml:space="preserve">. </w:t>
      </w:r>
      <w:r w:rsidR="00112ADE">
        <w:t>A</w:t>
      </w:r>
      <w:r w:rsidR="00DC369C" w:rsidRPr="00DC369C">
        <w:t xml:space="preserve"> feed gas mixture composed of 15% </w:t>
      </w:r>
      <w:r w:rsidR="001A44D1">
        <w:t>CO</w:t>
      </w:r>
      <w:r w:rsidR="001A44D1">
        <w:rPr>
          <w:vertAlign w:val="subscript"/>
        </w:rPr>
        <w:t>2</w:t>
      </w:r>
      <w:r w:rsidR="001A44D1">
        <w:t xml:space="preserve"> </w:t>
      </w:r>
      <w:r w:rsidR="00DC369C" w:rsidRPr="00DC369C">
        <w:t xml:space="preserve">and 85% </w:t>
      </w:r>
      <w:r w:rsidR="001A44D1">
        <w:t>N</w:t>
      </w:r>
      <w:r w:rsidR="001A44D1">
        <w:rPr>
          <w:vertAlign w:val="subscript"/>
        </w:rPr>
        <w:t>2</w:t>
      </w:r>
      <w:r w:rsidR="001A44D1">
        <w:t xml:space="preserve"> </w:t>
      </w:r>
      <w:r w:rsidR="00DC369C" w:rsidRPr="00DC369C">
        <w:t>(on a molar basis) available at 298.15 K and</w:t>
      </w:r>
      <w:r>
        <w:t xml:space="preserve"> </w:t>
      </w:r>
      <w:r w:rsidR="00DC369C" w:rsidRPr="00DC369C">
        <w:t>1 bar</w:t>
      </w:r>
      <w:r w:rsidR="00112ADE">
        <w:t xml:space="preserve"> was assumed</w:t>
      </w:r>
      <w:r w:rsidR="00DC369C" w:rsidRPr="00DC369C">
        <w:t xml:space="preserve">. Two distinct adsorbent materials </w:t>
      </w:r>
      <w:r w:rsidR="00CE0D1F">
        <w:t>were assessed</w:t>
      </w:r>
      <w:r w:rsidR="00DC369C" w:rsidRPr="00DC369C">
        <w:t xml:space="preserve">: </w:t>
      </w:r>
      <w:r w:rsidR="00D23618" w:rsidRPr="00753AB5">
        <w:t>Zeolite-13X, a benchmark material for post-combustion carbon capture, and ZIF-36-FRL, known for its high CO</w:t>
      </w:r>
      <w:r w:rsidR="00D23618" w:rsidRPr="00964873">
        <w:rPr>
          <w:vertAlign w:val="subscript"/>
        </w:rPr>
        <w:t>2</w:t>
      </w:r>
      <w:r w:rsidR="00D23618" w:rsidRPr="00753AB5">
        <w:t xml:space="preserve"> adsorption productivity and superior energy efficiency</w:t>
      </w:r>
      <w:r w:rsidR="00540653">
        <w:t xml:space="preserve"> (Khurana and Farooq</w:t>
      </w:r>
      <w:r w:rsidR="009D016A">
        <w:t>, 2016)</w:t>
      </w:r>
      <w:r w:rsidR="00D23618" w:rsidRPr="00753AB5">
        <w:t>.</w:t>
      </w:r>
      <w:r w:rsidR="001A44D1">
        <w:t xml:space="preserve"> </w:t>
      </w:r>
      <w:r w:rsidR="00753AB5" w:rsidRPr="00753AB5">
        <w:t>This selection aligns with a previous study comparing their capture costs for industrial-scale application, facilitating a comprehensive</w:t>
      </w:r>
      <w:r w:rsidR="008F59AE">
        <w:t xml:space="preserve"> extended</w:t>
      </w:r>
      <w:r w:rsidR="00753AB5" w:rsidRPr="00753AB5">
        <w:t xml:space="preserve"> comparison considering capture costs and operational </w:t>
      </w:r>
      <w:r w:rsidR="00C61FAE">
        <w:t>flexibility</w:t>
      </w:r>
      <w:r w:rsidR="00C61FAE" w:rsidRPr="00753AB5">
        <w:t xml:space="preserve"> </w:t>
      </w:r>
      <w:r w:rsidR="00753AB5" w:rsidRPr="00753AB5">
        <w:t>of the PVSA unit.</w:t>
      </w:r>
    </w:p>
    <w:p w14:paraId="56E220E1" w14:textId="24DF4E75" w:rsidR="006233EA" w:rsidRDefault="00BC6AB5" w:rsidP="000C23EB">
      <w:pPr>
        <w:pStyle w:val="Els-body-text"/>
        <w:spacing w:after="120"/>
      </w:pPr>
      <w:r>
        <w:t>A</w:t>
      </w:r>
      <w:r w:rsidR="00A01A7D">
        <w:t xml:space="preserve"> process model based on a rigorous dynamic simulation of an adsorption column</w:t>
      </w:r>
      <w:r>
        <w:t xml:space="preserve"> has been employed</w:t>
      </w:r>
      <w:r w:rsidR="00F5120C" w:rsidRPr="007567A1">
        <w:t>, capturing non-isothermal and non-isobaric conditions</w:t>
      </w:r>
      <w:r w:rsidR="00A01A7D">
        <w:t xml:space="preserve">. The process model is constructed through a set of PDEs describing </w:t>
      </w:r>
      <w:r w:rsidR="00F06996">
        <w:t xml:space="preserve">mass, </w:t>
      </w:r>
      <w:r w:rsidR="00F34665">
        <w:t>momentum,</w:t>
      </w:r>
      <w:r w:rsidR="00F06996">
        <w:t xml:space="preserve"> and energy balance </w:t>
      </w:r>
      <w:r w:rsidR="00965804" w:rsidRPr="007567A1">
        <w:t>within the column, discretized into 10 volume elements using the finite volume approach.</w:t>
      </w:r>
      <w:r w:rsidR="00965804">
        <w:t xml:space="preserve"> </w:t>
      </w:r>
      <w:r w:rsidR="006233EA">
        <w:t xml:space="preserve">In general, a cyclic </w:t>
      </w:r>
      <w:r w:rsidR="00A936C9">
        <w:t xml:space="preserve">PVSA </w:t>
      </w:r>
      <w:r w:rsidR="006233EA">
        <w:t>operation is comprised of four stages</w:t>
      </w:r>
      <w:r w:rsidR="0080516C">
        <w:t>, repeated cyclically</w:t>
      </w:r>
      <w:r w:rsidR="006233EA">
        <w:t xml:space="preserve">: feed </w:t>
      </w:r>
      <w:r w:rsidR="00330E67">
        <w:t>pressurization</w:t>
      </w:r>
      <w:r w:rsidR="006233EA">
        <w:t xml:space="preserve">, adsorption, forward blowdown, and reverse </w:t>
      </w:r>
      <w:r w:rsidR="00B637F1">
        <w:t>evacuation</w:t>
      </w:r>
      <w:r w:rsidR="0066576F">
        <w:t xml:space="preserve">. </w:t>
      </w:r>
      <w:r w:rsidR="006233EA">
        <w:t xml:space="preserve">During feed </w:t>
      </w:r>
      <w:r w:rsidR="00330E67">
        <w:t>pressurization</w:t>
      </w:r>
      <w:r w:rsidR="006233EA">
        <w:t xml:space="preserve">, the column is charged with feed gas, elevating the system's pressure to the desired </w:t>
      </w:r>
      <w:r w:rsidR="00AE2FFF">
        <w:t xml:space="preserve">pressure </w:t>
      </w:r>
      <w:r w:rsidR="006233EA">
        <w:t>level</w:t>
      </w:r>
      <m:oMath>
        <m:r>
          <w:rPr>
            <w:rFonts w:ascii="Cambria Math" w:hAnsi="Cambria Math"/>
          </w:rPr>
          <m:t xml:space="preserve">, </m:t>
        </m:r>
        <m:sSub>
          <m:sSubPr>
            <m:ctrlPr>
              <w:rPr>
                <w:rFonts w:ascii="Cambria Math" w:hAnsi="Cambria Math"/>
                <w:i/>
              </w:rPr>
            </m:ctrlPr>
          </m:sSubPr>
          <m:e>
            <m:r>
              <w:rPr>
                <w:rFonts w:ascii="Cambria Math" w:hAnsi="Cambria Math"/>
              </w:rPr>
              <m:t>P</m:t>
            </m:r>
          </m:e>
          <m:sub>
            <m:r>
              <m:rPr>
                <m:nor/>
              </m:rPr>
              <w:rPr>
                <w:rFonts w:ascii="Cambria Math" w:hAnsi="Cambria Math"/>
              </w:rPr>
              <m:t>H</m:t>
            </m:r>
          </m:sub>
        </m:sSub>
      </m:oMath>
      <w:r w:rsidR="006233EA">
        <w:t>.</w:t>
      </w:r>
      <w:r w:rsidR="00B62052">
        <w:t xml:space="preserve"> </w:t>
      </w:r>
      <w:r w:rsidR="00A67F03">
        <w:t>In</w:t>
      </w:r>
      <w:r w:rsidR="006233EA">
        <w:t xml:space="preserve"> the adsorption stage, </w:t>
      </w:r>
      <w:r w:rsidR="00B62052">
        <w:t>the CO</w:t>
      </w:r>
      <w:r w:rsidR="00B62052">
        <w:rPr>
          <w:vertAlign w:val="subscript"/>
        </w:rPr>
        <w:t>2</w:t>
      </w:r>
      <w:r w:rsidR="00B62052">
        <w:t xml:space="preserve"> content </w:t>
      </w:r>
      <w:r w:rsidR="00A67F03">
        <w:t xml:space="preserve">of </w:t>
      </w:r>
      <w:r w:rsidR="00B62052">
        <w:t>the feed gas is adsorbed into the stationary phase (the adsorbent surface)</w:t>
      </w:r>
      <w:r w:rsidR="00CE17B9">
        <w:t>, producing a N</w:t>
      </w:r>
      <w:r w:rsidR="00CE17B9">
        <w:rPr>
          <w:vertAlign w:val="subscript"/>
        </w:rPr>
        <w:t>2</w:t>
      </w:r>
      <w:r w:rsidR="00CE17B9">
        <w:t xml:space="preserve">-rich </w:t>
      </w:r>
      <w:r w:rsidR="00A67F03">
        <w:t xml:space="preserve">effluent </w:t>
      </w:r>
      <w:r w:rsidR="006233EA">
        <w:t>stream</w:t>
      </w:r>
      <w:r w:rsidR="00794CFA">
        <w:t xml:space="preserve"> and a CO</w:t>
      </w:r>
      <w:r w:rsidR="00794CFA" w:rsidRPr="00964873">
        <w:rPr>
          <w:vertAlign w:val="subscript"/>
        </w:rPr>
        <w:t>2</w:t>
      </w:r>
      <w:r w:rsidR="00794CFA">
        <w:t>-rich adsorbed phase</w:t>
      </w:r>
      <w:r w:rsidR="00CE17B9">
        <w:t xml:space="preserve">. </w:t>
      </w:r>
      <w:r w:rsidR="00A67F03">
        <w:t>In the</w:t>
      </w:r>
      <w:r w:rsidR="006233EA">
        <w:t xml:space="preserve"> blowdown stage, the pressure </w:t>
      </w:r>
      <w:r w:rsidR="002C16A6">
        <w:t xml:space="preserve">is reduced </w:t>
      </w:r>
      <w:r w:rsidR="006233EA">
        <w:t>to the pre-determined</w:t>
      </w:r>
      <w:r w:rsidR="00A67F03">
        <w:t xml:space="preserve"> level</w:t>
      </w:r>
      <w:r w:rsidR="006233EA">
        <w:t xml:space="preserve"> </w:t>
      </w:r>
      <m:oMath>
        <m:sSub>
          <m:sSubPr>
            <m:ctrlPr>
              <w:rPr>
                <w:rFonts w:ascii="Cambria Math" w:hAnsi="Cambria Math"/>
                <w:i/>
              </w:rPr>
            </m:ctrlPr>
          </m:sSubPr>
          <m:e>
            <m:r>
              <w:rPr>
                <w:rFonts w:ascii="Cambria Math" w:hAnsi="Cambria Math"/>
              </w:rPr>
              <m:t>P</m:t>
            </m:r>
          </m:e>
          <m:sub>
            <m:r>
              <m:rPr>
                <m:nor/>
              </m:rPr>
              <w:rPr>
                <w:rFonts w:ascii="Cambria Math" w:hAnsi="Cambria Math"/>
              </w:rPr>
              <m:t>I</m:t>
            </m:r>
          </m:sub>
        </m:sSub>
      </m:oMath>
      <w:r w:rsidR="00C95D2E">
        <w:t xml:space="preserve">, allowing </w:t>
      </w:r>
      <w:r w:rsidR="00794CFA">
        <w:t xml:space="preserve">the bulk gas </w:t>
      </w:r>
      <w:r w:rsidR="00C95D2E">
        <w:t>to be released from the column</w:t>
      </w:r>
      <w:r w:rsidR="006233EA">
        <w:t>.</w:t>
      </w:r>
      <w:r w:rsidR="00B31DC6">
        <w:t xml:space="preserve"> </w:t>
      </w:r>
      <w:r w:rsidR="00794CFA">
        <w:t>In the</w:t>
      </w:r>
      <w:r w:rsidR="006233EA">
        <w:t xml:space="preserve"> </w:t>
      </w:r>
      <w:r w:rsidR="00794CFA">
        <w:t xml:space="preserve">evacuation </w:t>
      </w:r>
      <w:r w:rsidR="006233EA">
        <w:t>stage, the column pressure is further reduced</w:t>
      </w:r>
      <w:r w:rsidR="00C95D2E">
        <w:t xml:space="preserve"> to </w:t>
      </w:r>
      <m:oMath>
        <m:sSub>
          <m:sSubPr>
            <m:ctrlPr>
              <w:rPr>
                <w:rFonts w:ascii="Cambria Math" w:hAnsi="Cambria Math"/>
                <w:i/>
              </w:rPr>
            </m:ctrlPr>
          </m:sSubPr>
          <m:e>
            <m:r>
              <w:rPr>
                <w:rFonts w:ascii="Cambria Math" w:hAnsi="Cambria Math"/>
              </w:rPr>
              <m:t>P</m:t>
            </m:r>
          </m:e>
          <m:sub>
            <m:r>
              <m:rPr>
                <m:nor/>
              </m:rPr>
              <w:rPr>
                <w:rFonts w:ascii="Cambria Math" w:hAnsi="Cambria Math"/>
              </w:rPr>
              <m:t>L</m:t>
            </m:r>
          </m:sub>
        </m:sSub>
      </m:oMath>
      <w:r w:rsidR="00BA4965">
        <w:t xml:space="preserve"> to produce a</w:t>
      </w:r>
      <w:r w:rsidR="006233EA">
        <w:t xml:space="preserve"> high purity </w:t>
      </w:r>
      <w:r w:rsidR="00B31DC6">
        <w:t>CO</w:t>
      </w:r>
      <w:r w:rsidR="00B31DC6">
        <w:rPr>
          <w:vertAlign w:val="subscript"/>
        </w:rPr>
        <w:t>2</w:t>
      </w:r>
      <w:r w:rsidR="00B31DC6">
        <w:t xml:space="preserve"> stream</w:t>
      </w:r>
      <w:r w:rsidR="00BD5132">
        <w:t xml:space="preserve"> upon desorption of the adsorbed phase</w:t>
      </w:r>
      <w:r w:rsidR="006233EA">
        <w:t>.</w:t>
      </w:r>
    </w:p>
    <w:p w14:paraId="39D1DA71" w14:textId="7C74DAC9" w:rsidR="00410B7A" w:rsidRDefault="003A0354" w:rsidP="000C23EB">
      <w:pPr>
        <w:pStyle w:val="Els-body-text"/>
        <w:spacing w:after="120"/>
      </w:pPr>
      <w:r>
        <w:t>The performance indicators considered in this study are the CO</w:t>
      </w:r>
      <w:r>
        <w:rPr>
          <w:vertAlign w:val="subscript"/>
        </w:rPr>
        <w:t>2</w:t>
      </w:r>
      <w:r>
        <w:t xml:space="preserve"> productivity, CO</w:t>
      </w:r>
      <w:r>
        <w:rPr>
          <w:vertAlign w:val="subscript"/>
        </w:rPr>
        <w:t>2</w:t>
      </w:r>
      <w:r>
        <w:t xml:space="preserve"> purity, CO</w:t>
      </w:r>
      <w:r>
        <w:rPr>
          <w:vertAlign w:val="subscript"/>
        </w:rPr>
        <w:t>2</w:t>
      </w:r>
      <w:r>
        <w:t xml:space="preserve"> recovery, and CO</w:t>
      </w:r>
      <w:r>
        <w:rPr>
          <w:vertAlign w:val="subscript"/>
        </w:rPr>
        <w:t>2</w:t>
      </w:r>
      <w:r>
        <w:t xml:space="preserve"> capture cost. For the latter, a techno-economic analysis by scaling up a single adsorption column to handle industrial-scale flue gas flow rate has been</w:t>
      </w:r>
      <w:r w:rsidR="00FD3291">
        <w:t xml:space="preserve"> </w:t>
      </w:r>
      <w:r w:rsidR="00BC6AB5">
        <w:t>considered</w:t>
      </w:r>
      <w:r w:rsidR="00410B7A">
        <w:t xml:space="preserve">. </w:t>
      </w:r>
      <w:r w:rsidR="0038597E">
        <w:t xml:space="preserve">The </w:t>
      </w:r>
      <w:r w:rsidR="00A7563C">
        <w:t>adsorption column model and</w:t>
      </w:r>
      <w:r w:rsidR="00C90BAF">
        <w:t xml:space="preserve"> the formulation of the</w:t>
      </w:r>
      <w:r w:rsidR="00A7563C">
        <w:t xml:space="preserve"> </w:t>
      </w:r>
      <w:r w:rsidR="00575F34">
        <w:t>KPIs</w:t>
      </w:r>
      <w:r w:rsidR="00410B7A">
        <w:t xml:space="preserve"> </w:t>
      </w:r>
      <w:r w:rsidR="0038597E" w:rsidRPr="00B220C9">
        <w:t xml:space="preserve">are based on prior research within our group </w:t>
      </w:r>
      <w:r w:rsidR="00E56168" w:rsidRPr="00E56168">
        <w:t>(Ward and Pini, 2022)</w:t>
      </w:r>
      <w:r w:rsidR="0038597E" w:rsidRPr="00B220C9">
        <w:t>.</w:t>
      </w:r>
    </w:p>
    <w:p w14:paraId="700FD15E" w14:textId="57B9DEF5" w:rsidR="007C147B" w:rsidRDefault="007C147B" w:rsidP="00A93EBD">
      <w:pPr>
        <w:pStyle w:val="Els-1storder-head"/>
        <w:spacing w:after="80"/>
      </w:pPr>
      <w:r>
        <w:lastRenderedPageBreak/>
        <w:t>Results and Discussion</w:t>
      </w:r>
    </w:p>
    <w:p w14:paraId="29E00108" w14:textId="230A556F" w:rsidR="007C147B" w:rsidRDefault="007C147B" w:rsidP="00A93EBD">
      <w:pPr>
        <w:pStyle w:val="Els-2ndorder-head"/>
        <w:spacing w:after="80"/>
      </w:pPr>
      <w:r>
        <w:t xml:space="preserve">Global </w:t>
      </w:r>
      <w:r w:rsidR="0049378C">
        <w:t>s</w:t>
      </w:r>
      <w:r>
        <w:t xml:space="preserve">ensitivity </w:t>
      </w:r>
      <w:r w:rsidR="0049378C">
        <w:t>a</w:t>
      </w:r>
      <w:r>
        <w:t>nalysis</w:t>
      </w:r>
      <w:r w:rsidR="00570FA5">
        <w:t xml:space="preserve"> (GSA)</w:t>
      </w:r>
      <w:r>
        <w:t xml:space="preserve"> on PVSA </w:t>
      </w:r>
      <w:r w:rsidR="0007486A">
        <w:t>m</w:t>
      </w:r>
      <w:r>
        <w:t>ode</w:t>
      </w:r>
      <w:r w:rsidR="0007486A">
        <w:t>l</w:t>
      </w:r>
      <w:r>
        <w:t xml:space="preserve"> </w:t>
      </w:r>
    </w:p>
    <w:p w14:paraId="00AC939E" w14:textId="7C19DE25" w:rsidR="007C147B" w:rsidRDefault="007C147B" w:rsidP="00A93EBD">
      <w:pPr>
        <w:pStyle w:val="Els-body-text"/>
        <w:spacing w:after="80"/>
      </w:pPr>
      <w:r>
        <w:t xml:space="preserve">For this </w:t>
      </w:r>
      <w:r w:rsidR="002F3628">
        <w:t>task</w:t>
      </w:r>
      <w:r>
        <w:t xml:space="preserve">, Zeolite-13X, which is widely acknowledged as the benchmark adsorbent </w:t>
      </w:r>
      <w:r w:rsidR="00527380">
        <w:t>for this application</w:t>
      </w:r>
      <w:r w:rsidR="00BC6AB5">
        <w:t>, was used as the adsorbent material</w:t>
      </w:r>
      <w:r>
        <w:t>.</w:t>
      </w:r>
      <w:r w:rsidR="0007486A">
        <w:t xml:space="preserve"> </w:t>
      </w:r>
      <w:r w:rsidR="0018619F">
        <w:t>To reduce</w:t>
      </w:r>
      <w:r w:rsidR="00435053">
        <w:t xml:space="preserve"> the </w:t>
      </w:r>
      <w:r w:rsidR="00F112A4">
        <w:t>dimensionality</w:t>
      </w:r>
      <w:r w:rsidR="00435053">
        <w:t xml:space="preserve"> of the problem prior, </w:t>
      </w:r>
      <w:r w:rsidR="00DB1F95">
        <w:t>t</w:t>
      </w:r>
      <w:r w:rsidR="00435053">
        <w:t xml:space="preserve">he single-site Langmuir </w:t>
      </w:r>
      <w:r w:rsidR="00246BEE">
        <w:t xml:space="preserve">adsorption model </w:t>
      </w:r>
      <w:r w:rsidR="00DB1F95">
        <w:t xml:space="preserve">has been chosen </w:t>
      </w:r>
      <w:r w:rsidR="00246BEE">
        <w:t>to describe the isotherms.</w:t>
      </w:r>
      <w:r>
        <w:t xml:space="preserve"> For all parameters, the range of uncertainty incorporated for </w:t>
      </w:r>
      <w:r w:rsidR="00246BEE">
        <w:t xml:space="preserve">GSA </w:t>
      </w:r>
      <w:r>
        <w:t xml:space="preserve">was set at </w:t>
      </w:r>
      <w:r w:rsidR="00B04932" w:rsidRPr="00B04932">
        <w:t>±</w:t>
      </w:r>
      <w:r>
        <w:t>40</w:t>
      </w:r>
      <w:r w:rsidR="00B04932">
        <w:t>%</w:t>
      </w:r>
      <w:r>
        <w:t xml:space="preserve"> of the previously reported </w:t>
      </w:r>
      <w:r w:rsidR="0023361F">
        <w:t>optimal operating point</w:t>
      </w:r>
      <w:r w:rsidR="00A37729">
        <w:t xml:space="preserve"> </w:t>
      </w:r>
      <w:r w:rsidR="00A37729" w:rsidRPr="00A37729">
        <w:t>(Ward and Pini, 2022)</w:t>
      </w:r>
      <w:r>
        <w:t>.</w:t>
      </w:r>
    </w:p>
    <w:p w14:paraId="320FB312" w14:textId="13007983" w:rsidR="007C147B" w:rsidRDefault="00A4509F" w:rsidP="00A93EBD">
      <w:pPr>
        <w:pStyle w:val="Els-body-text"/>
        <w:spacing w:after="80"/>
      </w:pPr>
      <w:r>
        <w:t>The analysis indicates</w:t>
      </w:r>
      <w:r w:rsidR="007C147B">
        <w:t xml:space="preserve"> that </w:t>
      </w:r>
      <w:r w:rsidR="00982374">
        <w:t>“</w:t>
      </w:r>
      <w:r w:rsidR="007C147B">
        <w:t>material properties parameters</w:t>
      </w:r>
      <w:r w:rsidR="00982374">
        <w:t>”</w:t>
      </w:r>
      <w:r w:rsidR="00F50D0A">
        <w:t xml:space="preserve"> – more specifically the temperature-dependent adsorption isotherm parameters –</w:t>
      </w:r>
      <w:r w:rsidR="007C147B">
        <w:t xml:space="preserve"> play a substantial role in driving the variation of all </w:t>
      </w:r>
      <w:r>
        <w:t>KPIs</w:t>
      </w:r>
      <w:r w:rsidR="007C147B">
        <w:t xml:space="preserve">. </w:t>
      </w:r>
      <w:r w:rsidR="00DB1F95">
        <w:t xml:space="preserve">It is </w:t>
      </w:r>
      <w:r w:rsidR="00A77A08">
        <w:t>note</w:t>
      </w:r>
      <w:r w:rsidR="00DB1F95">
        <w:t>d</w:t>
      </w:r>
      <w:r w:rsidR="00A77A08">
        <w:t xml:space="preserve"> here that </w:t>
      </w:r>
      <w:r w:rsidR="00D32E52">
        <w:t xml:space="preserve">parameters describing the saturation limit of the adsorption </w:t>
      </w:r>
      <w:r w:rsidR="00A77A08">
        <w:t xml:space="preserve">isotherm </w:t>
      </w:r>
      <w:r w:rsidR="009337FC">
        <w:t>exert</w:t>
      </w:r>
      <w:r w:rsidR="00A77A08">
        <w:t xml:space="preserve"> </w:t>
      </w:r>
      <w:r w:rsidR="009337FC">
        <w:t xml:space="preserve">the weakest </w:t>
      </w:r>
      <w:r w:rsidR="007C147B">
        <w:t>degree of influence</w:t>
      </w:r>
      <w:r w:rsidR="00EB559D">
        <w:t xml:space="preserve">, further indicating that the </w:t>
      </w:r>
      <w:r w:rsidR="007C147B">
        <w:t xml:space="preserve">adsorbent bed might not achieve complete saturation during the adsorption </w:t>
      </w:r>
      <w:r w:rsidR="00EB559D">
        <w:t>step</w:t>
      </w:r>
      <w:r w:rsidR="007C147B">
        <w:t xml:space="preserve">, nor full desorption during the evacuation </w:t>
      </w:r>
      <w:r w:rsidR="00EB559D">
        <w:t xml:space="preserve">step </w:t>
      </w:r>
      <w:r w:rsidR="007C147B">
        <w:t>—</w:t>
      </w:r>
      <w:r w:rsidR="00EB559D">
        <w:t xml:space="preserve"> </w:t>
      </w:r>
      <w:r w:rsidR="007C147B">
        <w:t>a subject meriting further investigation in subsequent studies.</w:t>
      </w:r>
      <w:r w:rsidR="00F6289B">
        <w:t xml:space="preserve"> </w:t>
      </w:r>
      <w:r w:rsidR="00EB559D">
        <w:t xml:space="preserve">GSA </w:t>
      </w:r>
      <w:r w:rsidR="007C147B">
        <w:t xml:space="preserve">also </w:t>
      </w:r>
      <w:r w:rsidR="00191599">
        <w:t xml:space="preserve">indicates </w:t>
      </w:r>
      <w:r w:rsidR="007C147B">
        <w:t xml:space="preserve">that </w:t>
      </w:r>
      <w:r w:rsidR="00A27DA7">
        <w:t>“design parameters” primarily affect the capture cost and</w:t>
      </w:r>
      <w:r w:rsidR="00191599">
        <w:t xml:space="preserve"> that</w:t>
      </w:r>
      <w:r w:rsidR="00A27DA7">
        <w:t xml:space="preserve"> </w:t>
      </w:r>
      <w:r w:rsidR="006C5494">
        <w:t>“</w:t>
      </w:r>
      <w:r w:rsidR="007C147B">
        <w:t>operational parameters</w:t>
      </w:r>
      <w:r w:rsidR="006C5494">
        <w:t>”</w:t>
      </w:r>
      <w:r w:rsidR="007C147B">
        <w:t xml:space="preserve"> exhibit lower </w:t>
      </w:r>
      <w:r w:rsidR="003300A1">
        <w:t xml:space="preserve">sensitivity </w:t>
      </w:r>
      <w:r w:rsidR="007C147B">
        <w:t xml:space="preserve">relative to the </w:t>
      </w:r>
      <w:r w:rsidR="003300A1">
        <w:t>“</w:t>
      </w:r>
      <w:r w:rsidR="007C147B">
        <w:t>material properties parameters</w:t>
      </w:r>
      <w:r w:rsidR="003300A1">
        <w:t>”</w:t>
      </w:r>
      <w:r w:rsidR="007C147B">
        <w:t xml:space="preserve">. </w:t>
      </w:r>
      <w:r w:rsidR="002F0CF6">
        <w:t>Nevertheless</w:t>
      </w:r>
      <w:r w:rsidR="00D553B5" w:rsidRPr="00D553B5">
        <w:t>, these operational parameters still contribute to process feasibility</w:t>
      </w:r>
      <w:r w:rsidR="00D553B5">
        <w:t xml:space="preserve"> </w:t>
      </w:r>
      <w:r w:rsidR="00FB5040">
        <w:t>(CO</w:t>
      </w:r>
      <w:r w:rsidR="00FB5040">
        <w:rPr>
          <w:vertAlign w:val="subscript"/>
        </w:rPr>
        <w:t>2</w:t>
      </w:r>
      <w:r w:rsidR="00FB5040">
        <w:t xml:space="preserve"> purity and CO</w:t>
      </w:r>
      <w:r w:rsidR="00FB5040">
        <w:rPr>
          <w:vertAlign w:val="subscript"/>
        </w:rPr>
        <w:t>2</w:t>
      </w:r>
      <w:r w:rsidR="00FB5040">
        <w:t xml:space="preserve"> recovery)</w:t>
      </w:r>
      <w:r w:rsidR="00D21620">
        <w:t xml:space="preserve"> </w:t>
      </w:r>
      <w:r w:rsidR="00D21620" w:rsidRPr="00D21620">
        <w:t>and affect capture cost</w:t>
      </w:r>
      <w:r w:rsidR="007C147B">
        <w:t xml:space="preserve">. </w:t>
      </w:r>
      <w:r w:rsidR="00D21620" w:rsidRPr="00D21620">
        <w:t>Considering their significance in the</w:t>
      </w:r>
      <w:r w:rsidR="00D21620">
        <w:t xml:space="preserve"> PVSA</w:t>
      </w:r>
      <w:r w:rsidR="00D21620" w:rsidRPr="00D21620">
        <w:t xml:space="preserve"> design phase and their impact on these critical factors, </w:t>
      </w:r>
      <w:r w:rsidR="00F34665">
        <w:t>they have been</w:t>
      </w:r>
      <w:r w:rsidR="00E258EA">
        <w:t xml:space="preserve"> included</w:t>
      </w:r>
      <w:r w:rsidR="00D21620" w:rsidRPr="00D21620">
        <w:t xml:space="preserve"> in the design space analysis.</w:t>
      </w:r>
      <w:r w:rsidR="00D21620">
        <w:t xml:space="preserve"> </w:t>
      </w:r>
      <w:r w:rsidR="007C147B">
        <w:t xml:space="preserve">The relatively low total sensitivity index values of these parameters underline the relative nature of </w:t>
      </w:r>
      <w:r w:rsidR="0026372C">
        <w:t>GSA</w:t>
      </w:r>
      <w:r w:rsidR="007C147B">
        <w:t xml:space="preserve"> results</w:t>
      </w:r>
      <w:r w:rsidR="007D181E">
        <w:t xml:space="preserve">: </w:t>
      </w:r>
      <w:r w:rsidR="007C147B">
        <w:t>highly influential</w:t>
      </w:r>
      <w:r w:rsidR="008B21BA">
        <w:t xml:space="preserve"> parameters </w:t>
      </w:r>
      <w:r w:rsidR="007C147B">
        <w:t>tend to reduce the sensitivity indices of other parameters</w:t>
      </w:r>
      <w:r w:rsidR="0026372C">
        <w:t>.</w:t>
      </w:r>
    </w:p>
    <w:p w14:paraId="57A7DD2D" w14:textId="50452FD6" w:rsidR="007C147B" w:rsidRDefault="007C147B" w:rsidP="00A93EBD">
      <w:pPr>
        <w:pStyle w:val="Els-body-text"/>
        <w:spacing w:after="80"/>
      </w:pPr>
      <w:r>
        <w:t xml:space="preserve">The </w:t>
      </w:r>
      <w:r w:rsidR="00A723F3">
        <w:t>result</w:t>
      </w:r>
      <w:r>
        <w:t xml:space="preserve"> of </w:t>
      </w:r>
      <w:r w:rsidR="00A723F3">
        <w:t>GSA therefore</w:t>
      </w:r>
      <w:r>
        <w:t xml:space="preserve"> </w:t>
      </w:r>
      <w:r w:rsidR="008A6D09">
        <w:t xml:space="preserve">highlights </w:t>
      </w:r>
      <w:r>
        <w:t xml:space="preserve">the importance of </w:t>
      </w:r>
      <w:r w:rsidR="002F1B6F">
        <w:t>prioritizing</w:t>
      </w:r>
      <w:r>
        <w:t xml:space="preserve"> comparisons between systems that employ different adsorbent materials. </w:t>
      </w:r>
      <w:r w:rsidR="00DD72A6">
        <w:t>However, s</w:t>
      </w:r>
      <w:r>
        <w:t xml:space="preserve">ince the </w:t>
      </w:r>
      <w:r w:rsidR="00DD72A6">
        <w:t xml:space="preserve">GSA </w:t>
      </w:r>
      <w:r>
        <w:t xml:space="preserve">results are not conclusive enough to pinpoint the most influential operational parameters, </w:t>
      </w:r>
      <w:r w:rsidR="00874C05">
        <w:t xml:space="preserve">the three pressure </w:t>
      </w:r>
      <w:r w:rsidR="00EF53FE">
        <w:t xml:space="preserve">set point </w:t>
      </w:r>
      <w:r w:rsidR="00874C05">
        <w:t>parameters (</w:t>
      </w:r>
      <m:oMath>
        <m:sSub>
          <m:sSubPr>
            <m:ctrlPr>
              <w:rPr>
                <w:rFonts w:ascii="Cambria Math" w:hAnsi="Cambria Math"/>
                <w:i/>
              </w:rPr>
            </m:ctrlPr>
          </m:sSubPr>
          <m:e>
            <m:r>
              <w:rPr>
                <w:rFonts w:ascii="Cambria Math" w:hAnsi="Cambria Math"/>
              </w:rPr>
              <m:t>P</m:t>
            </m:r>
          </m:e>
          <m:sub>
            <m:r>
              <w:rPr>
                <w:rFonts w:ascii="Cambria Math" w:hAnsi="Cambria Math"/>
              </w:rPr>
              <m:t>H</m:t>
            </m:r>
          </m:sub>
        </m:sSub>
      </m:oMath>
      <w:r w:rsidR="00EF53FE">
        <w:t xml:space="preserve">,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EF53FE">
        <w:t xml:space="preserve">, and </w:t>
      </w:r>
      <m:oMath>
        <m:sSub>
          <m:sSubPr>
            <m:ctrlPr>
              <w:rPr>
                <w:rFonts w:ascii="Cambria Math" w:hAnsi="Cambria Math"/>
                <w:i/>
              </w:rPr>
            </m:ctrlPr>
          </m:sSubPr>
          <m:e>
            <m:r>
              <w:rPr>
                <w:rFonts w:ascii="Cambria Math" w:hAnsi="Cambria Math"/>
              </w:rPr>
              <m:t>P</m:t>
            </m:r>
          </m:e>
          <m:sub>
            <m:r>
              <w:rPr>
                <w:rFonts w:ascii="Cambria Math" w:hAnsi="Cambria Math"/>
              </w:rPr>
              <m:t>L</m:t>
            </m:r>
          </m:sub>
        </m:sSub>
      </m:oMath>
      <w:r w:rsidR="00874C05">
        <w:t xml:space="preserve">) </w:t>
      </w:r>
      <w:r w:rsidR="006F4FD2">
        <w:t>have been chosen as the manipulated variable</w:t>
      </w:r>
      <w:r w:rsidR="00E87253">
        <w:t>s</w:t>
      </w:r>
      <w:r w:rsidR="006F4FD2">
        <w:t xml:space="preserve"> </w:t>
      </w:r>
      <w:r>
        <w:t>in the design space</w:t>
      </w:r>
      <w:r w:rsidR="00EF53FE">
        <w:t xml:space="preserve">, considering </w:t>
      </w:r>
      <w:r>
        <w:t xml:space="preserve">the possible operational disturbances that may occur during </w:t>
      </w:r>
      <w:r w:rsidR="00EF53FE">
        <w:t xml:space="preserve">PVSA </w:t>
      </w:r>
      <w:r>
        <w:t xml:space="preserve">operation. This </w:t>
      </w:r>
      <w:r w:rsidR="00EF53FE">
        <w:t xml:space="preserve">selection </w:t>
      </w:r>
      <w:r>
        <w:t xml:space="preserve">is </w:t>
      </w:r>
      <w:r w:rsidR="00EF53FE">
        <w:t xml:space="preserve">also </w:t>
      </w:r>
      <w:r>
        <w:t xml:space="preserve">motivated by the fact that previous studies in this area have not explored the interaction between these three parameters and their simultaneous effects on the design space of a </w:t>
      </w:r>
      <w:r w:rsidR="00EF53FE">
        <w:t>PVSA</w:t>
      </w:r>
      <w:r>
        <w:t>.</w:t>
      </w:r>
    </w:p>
    <w:p w14:paraId="5DDCE887" w14:textId="3D6F5ED6" w:rsidR="007C147B" w:rsidRDefault="007C147B" w:rsidP="008A6D09">
      <w:pPr>
        <w:pStyle w:val="Els-2ndorder-head"/>
      </w:pPr>
      <w:r>
        <w:t xml:space="preserve">Design </w:t>
      </w:r>
      <w:r w:rsidR="008A6D09">
        <w:t>s</w:t>
      </w:r>
      <w:r>
        <w:t xml:space="preserve">pace </w:t>
      </w:r>
      <w:r w:rsidR="008A6D09">
        <w:t xml:space="preserve">analysis </w:t>
      </w:r>
      <w:r>
        <w:t xml:space="preserve">on PVSA </w:t>
      </w:r>
      <w:r w:rsidR="008A6D09">
        <w:t>m</w:t>
      </w:r>
      <w:r>
        <w:t xml:space="preserve">odel </w:t>
      </w:r>
    </w:p>
    <w:p w14:paraId="1F40C982" w14:textId="1442572E" w:rsidR="00AB29BA" w:rsidRDefault="00131F5C" w:rsidP="00AE7B1D">
      <w:pPr>
        <w:pStyle w:val="Els-body-text"/>
        <w:spacing w:after="120"/>
      </w:pPr>
      <w:r w:rsidRPr="00131F5C">
        <w:t xml:space="preserve">In this analysis, </w:t>
      </w:r>
      <m:oMath>
        <m:sSub>
          <m:sSubPr>
            <m:ctrlPr>
              <w:rPr>
                <w:rFonts w:ascii="Cambria Math" w:hAnsi="Cambria Math"/>
                <w:i/>
              </w:rPr>
            </m:ctrlPr>
          </m:sSubPr>
          <m:e>
            <m:r>
              <w:rPr>
                <w:rFonts w:ascii="Cambria Math" w:hAnsi="Cambria Math"/>
              </w:rPr>
              <m:t>P</m:t>
            </m:r>
          </m:e>
          <m:sub>
            <m:r>
              <m:rPr>
                <m:nor/>
              </m:rPr>
              <w:rPr>
                <w:rFonts w:ascii="Cambria Math" w:hAnsi="Cambria Math"/>
              </w:rPr>
              <m:t>H</m:t>
            </m:r>
          </m:sub>
        </m:sSub>
      </m:oMath>
      <w:r w:rsidRPr="00131F5C">
        <w:t xml:space="preserve">, </w:t>
      </w:r>
      <m:oMath>
        <m:sSub>
          <m:sSubPr>
            <m:ctrlPr>
              <w:rPr>
                <w:rFonts w:ascii="Cambria Math" w:hAnsi="Cambria Math"/>
                <w:i/>
              </w:rPr>
            </m:ctrlPr>
          </m:sSubPr>
          <m:e>
            <m:r>
              <w:rPr>
                <w:rFonts w:ascii="Cambria Math" w:hAnsi="Cambria Math"/>
              </w:rPr>
              <m:t>P</m:t>
            </m:r>
          </m:e>
          <m:sub>
            <m:r>
              <m:rPr>
                <m:nor/>
              </m:rPr>
              <w:rPr>
                <w:rFonts w:ascii="Cambria Math" w:hAnsi="Cambria Math"/>
              </w:rPr>
              <m:t>I</m:t>
            </m:r>
          </m:sub>
        </m:sSub>
      </m:oMath>
      <w:r w:rsidRPr="00131F5C">
        <w:t xml:space="preserve">, and </w:t>
      </w:r>
      <m:oMath>
        <m:sSub>
          <m:sSubPr>
            <m:ctrlPr>
              <w:rPr>
                <w:rFonts w:ascii="Cambria Math" w:hAnsi="Cambria Math"/>
                <w:i/>
              </w:rPr>
            </m:ctrlPr>
          </m:sSubPr>
          <m:e>
            <m:r>
              <w:rPr>
                <w:rFonts w:ascii="Cambria Math" w:hAnsi="Cambria Math"/>
              </w:rPr>
              <m:t>P</m:t>
            </m:r>
          </m:e>
          <m:sub>
            <m:r>
              <m:rPr>
                <m:nor/>
              </m:rPr>
              <w:rPr>
                <w:rFonts w:ascii="Cambria Math" w:hAnsi="Cambria Math"/>
              </w:rPr>
              <m:t>L</m:t>
            </m:r>
          </m:sub>
        </m:sSub>
      </m:oMath>
      <w:r w:rsidRPr="00131F5C">
        <w:t xml:space="preserve"> were considered as the manipulated variables, while the other process parameters remained at their nominal operating point </w:t>
      </w:r>
      <w:r>
        <w:t xml:space="preserve">as </w:t>
      </w:r>
      <w:r w:rsidRPr="00131F5C">
        <w:t xml:space="preserve">reported by Ward and Pini (2022) using a black-box cost </w:t>
      </w:r>
      <w:r w:rsidR="0048000E">
        <w:t>optimization method</w:t>
      </w:r>
      <w:r w:rsidR="007C147B">
        <w:t xml:space="preserve">. For each </w:t>
      </w:r>
      <w:r w:rsidR="005543E6">
        <w:t xml:space="preserve">investigated </w:t>
      </w:r>
      <w:r w:rsidR="007C147B">
        <w:t xml:space="preserve">adsorbent material, a total of 4,096 Sobol sampling points </w:t>
      </w:r>
      <w:r w:rsidR="00DB2B76">
        <w:t>is</w:t>
      </w:r>
      <w:r w:rsidR="007C147B">
        <w:t xml:space="preserve"> simulated </w:t>
      </w:r>
      <w:r w:rsidR="00E77C44">
        <w:t>that yield</w:t>
      </w:r>
      <w:r w:rsidR="00860329">
        <w:t xml:space="preserve"> a minimum CO</w:t>
      </w:r>
      <w:r w:rsidR="00860329">
        <w:rPr>
          <w:vertAlign w:val="subscript"/>
        </w:rPr>
        <w:t>2</w:t>
      </w:r>
      <w:r w:rsidR="00860329">
        <w:t xml:space="preserve"> purity of 95% and CO</w:t>
      </w:r>
      <w:r w:rsidR="00860329">
        <w:rPr>
          <w:vertAlign w:val="subscript"/>
        </w:rPr>
        <w:t>2</w:t>
      </w:r>
      <w:r w:rsidR="00860329">
        <w:t xml:space="preserve"> recovery of 89% </w:t>
      </w:r>
      <w:r w:rsidR="00E77C44">
        <w:t>(</w:t>
      </w:r>
      <w:r w:rsidR="00860329">
        <w:t>feasibility constraints</w:t>
      </w:r>
      <w:r w:rsidR="00E77C44">
        <w:t>)</w:t>
      </w:r>
      <w:r w:rsidR="00860329">
        <w:t>.</w:t>
      </w:r>
      <w:r w:rsidR="00AE7B1D">
        <w:t xml:space="preserve"> The result</w:t>
      </w:r>
      <w:r w:rsidR="00683F55">
        <w:t>ant</w:t>
      </w:r>
      <w:r w:rsidR="00AE7B1D">
        <w:t xml:space="preserve"> of design space</w:t>
      </w:r>
      <w:r w:rsidR="00683F55">
        <w:t>s</w:t>
      </w:r>
      <w:r w:rsidR="00AE7B1D">
        <w:t xml:space="preserve"> </w:t>
      </w:r>
      <w:r w:rsidR="00683F55">
        <w:t>of</w:t>
      </w:r>
      <w:r w:rsidR="00AE7B1D">
        <w:t xml:space="preserve"> both adsorbents </w:t>
      </w:r>
      <w:proofErr w:type="gramStart"/>
      <w:r w:rsidR="00AE7B1D">
        <w:t>are</w:t>
      </w:r>
      <w:proofErr w:type="gramEnd"/>
      <w:r w:rsidR="00AE7B1D">
        <w:t xml:space="preserve"> depicted in Figure 1.</w:t>
      </w:r>
    </w:p>
    <w:p w14:paraId="211AB360" w14:textId="50174937" w:rsidR="000C23EB" w:rsidRDefault="006B787C" w:rsidP="000C23EB">
      <w:pPr>
        <w:pStyle w:val="Els-body-text"/>
        <w:spacing w:after="120"/>
      </w:pPr>
      <w:r>
        <w:t xml:space="preserve">Upon examining the design space visually, it becomes clear that Zeolite-13X exhibits a more constrained design space compared to ZIF-36-FRL, especially for the </w:t>
      </w:r>
      <m:oMath>
        <m:sSub>
          <m:sSubPr>
            <m:ctrlPr>
              <w:rPr>
                <w:rFonts w:ascii="Cambria Math" w:hAnsi="Cambria Math"/>
                <w:i/>
              </w:rPr>
            </m:ctrlPr>
          </m:sSubPr>
          <m:e>
            <m:r>
              <w:rPr>
                <w:rFonts w:ascii="Cambria Math" w:hAnsi="Cambria Math"/>
              </w:rPr>
              <m:t>P</m:t>
            </m:r>
          </m:e>
          <m:sub>
            <m:r>
              <w:rPr>
                <w:rFonts w:ascii="Cambria Math" w:hAnsi="Cambria Math"/>
              </w:rPr>
              <m:t>L</m:t>
            </m:r>
          </m:sub>
        </m:sSub>
      </m:oMath>
      <w:r>
        <w:t xml:space="preserve"> parameter. This outcome provides a novel perspective on comparing different adsorbents, such as the examined Zeolite-13X and ZIF-36-FRL herein. While Zeolite-13X does indeed offer a lower capture cost compared to ZIF-36-FRL (Table 1), the broader design space of ZIF</w:t>
      </w:r>
      <w:r w:rsidR="00DA65C5">
        <w:t>-36-FRL highlights its enhanced process flexibility. In other words, ZIF-36-FRL's larger</w:t>
      </w:r>
      <w:r w:rsidR="00126FAC" w:rsidRPr="00126FAC">
        <w:t xml:space="preserve"> </w:t>
      </w:r>
      <w:r w:rsidR="00126FAC">
        <w:t>design space indicates increased adaptability and robustness in accepting process</w:t>
      </w:r>
      <w:r w:rsidR="004C1BD0">
        <w:t xml:space="preserve"> disturbances and uncertainties in PVSA operation, i.e., the flue gas (feed stream) </w:t>
      </w:r>
      <w:r w:rsidR="000C23EB">
        <w:t>condition, composition, and flowrate.</w:t>
      </w:r>
    </w:p>
    <w:p w14:paraId="712EA7D7" w14:textId="3A9A8395" w:rsidR="00B100D9" w:rsidRDefault="00B100D9" w:rsidP="00126FAC">
      <w:pPr>
        <w:pStyle w:val="Els-body-text"/>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8"/>
        <w:gridCol w:w="3538"/>
      </w:tblGrid>
      <w:tr w:rsidR="00B100D9" w14:paraId="17F6088E" w14:textId="77777777" w:rsidTr="003B70BD">
        <w:tc>
          <w:tcPr>
            <w:tcW w:w="7076" w:type="dxa"/>
            <w:gridSpan w:val="2"/>
            <w:tcMar>
              <w:left w:w="0" w:type="dxa"/>
              <w:right w:w="0" w:type="dxa"/>
            </w:tcMar>
          </w:tcPr>
          <w:p w14:paraId="25E9DDFD" w14:textId="4AA8DB9A" w:rsidR="00B100D9" w:rsidRDefault="00B100D9" w:rsidP="00FC45D5">
            <w:pPr>
              <w:pStyle w:val="Els-body-text"/>
              <w:spacing w:after="100" w:afterAutospacing="1"/>
              <w:jc w:val="center"/>
            </w:pPr>
            <w:r>
              <w:rPr>
                <w:noProof/>
              </w:rPr>
              <w:lastRenderedPageBreak/>
              <w:drawing>
                <wp:inline distT="0" distB="0" distL="0" distR="0" wp14:anchorId="3426DAC9" wp14:editId="12E665BA">
                  <wp:extent cx="4320000" cy="340213"/>
                  <wp:effectExtent l="0" t="0" r="0" b="0"/>
                  <wp:docPr id="1892846212" name="Picture 189284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46212" name="Picture 1892846212"/>
                          <pic:cNvPicPr/>
                        </pic:nvPicPr>
                        <pic:blipFill>
                          <a:blip r:embed="rId9"/>
                          <a:stretch>
                            <a:fillRect/>
                          </a:stretch>
                        </pic:blipFill>
                        <pic:spPr>
                          <a:xfrm>
                            <a:off x="0" y="0"/>
                            <a:ext cx="4320000" cy="340213"/>
                          </a:xfrm>
                          <a:prstGeom prst="rect">
                            <a:avLst/>
                          </a:prstGeom>
                        </pic:spPr>
                      </pic:pic>
                    </a:graphicData>
                  </a:graphic>
                </wp:inline>
              </w:drawing>
            </w:r>
          </w:p>
        </w:tc>
      </w:tr>
      <w:tr w:rsidR="001A4862" w14:paraId="717F0C33" w14:textId="77777777" w:rsidTr="003B70BD">
        <w:tc>
          <w:tcPr>
            <w:tcW w:w="3538" w:type="dxa"/>
            <w:tcMar>
              <w:left w:w="0" w:type="dxa"/>
              <w:right w:w="0" w:type="dxa"/>
            </w:tcMar>
          </w:tcPr>
          <w:p w14:paraId="73557041" w14:textId="77777777" w:rsidR="001A4862" w:rsidRDefault="001A4862" w:rsidP="003B70BD">
            <w:pPr>
              <w:pStyle w:val="Els-body-text"/>
              <w:jc w:val="center"/>
              <w:rPr>
                <w:noProof/>
              </w:rPr>
            </w:pPr>
            <w:r>
              <w:rPr>
                <w:noProof/>
              </w:rPr>
              <w:drawing>
                <wp:inline distT="0" distB="0" distL="0" distR="0" wp14:anchorId="32A820FA" wp14:editId="309E3B07">
                  <wp:extent cx="2124000" cy="1942091"/>
                  <wp:effectExtent l="0" t="0" r="0" b="1270"/>
                  <wp:docPr id="594342012" name="Picture 5943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42012" name="Picture 594342012"/>
                          <pic:cNvPicPr/>
                        </pic:nvPicPr>
                        <pic:blipFill>
                          <a:blip r:embed="rId10"/>
                          <a:stretch>
                            <a:fillRect/>
                          </a:stretch>
                        </pic:blipFill>
                        <pic:spPr>
                          <a:xfrm>
                            <a:off x="0" y="0"/>
                            <a:ext cx="2124000" cy="1942091"/>
                          </a:xfrm>
                          <a:prstGeom prst="rect">
                            <a:avLst/>
                          </a:prstGeom>
                        </pic:spPr>
                      </pic:pic>
                    </a:graphicData>
                  </a:graphic>
                </wp:inline>
              </w:drawing>
            </w:r>
          </w:p>
          <w:p w14:paraId="7ABF913F" w14:textId="1E19D54D" w:rsidR="001A4862" w:rsidRDefault="001A4862" w:rsidP="00A64010">
            <w:pPr>
              <w:pStyle w:val="Els-body-text"/>
              <w:spacing w:after="120"/>
              <w:jc w:val="center"/>
              <w:rPr>
                <w:noProof/>
              </w:rPr>
            </w:pPr>
            <w:r>
              <w:rPr>
                <w:noProof/>
              </w:rPr>
              <w:t>(a)</w:t>
            </w:r>
          </w:p>
        </w:tc>
        <w:tc>
          <w:tcPr>
            <w:tcW w:w="3538" w:type="dxa"/>
            <w:tcMar>
              <w:left w:w="0" w:type="dxa"/>
              <w:right w:w="0" w:type="dxa"/>
            </w:tcMar>
          </w:tcPr>
          <w:p w14:paraId="2F5A8739" w14:textId="77777777" w:rsidR="001A4862" w:rsidRDefault="001A4862" w:rsidP="003B70BD">
            <w:pPr>
              <w:pStyle w:val="Els-body-text"/>
              <w:jc w:val="center"/>
              <w:rPr>
                <w:noProof/>
              </w:rPr>
            </w:pPr>
            <w:r>
              <w:rPr>
                <w:noProof/>
              </w:rPr>
              <w:drawing>
                <wp:inline distT="0" distB="0" distL="0" distR="0" wp14:anchorId="7B6F2841" wp14:editId="01EF2417">
                  <wp:extent cx="2124000" cy="1911084"/>
                  <wp:effectExtent l="0" t="0" r="0" b="0"/>
                  <wp:docPr id="1915512121" name="Picture 191551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12121" name="Picture 1915512121"/>
                          <pic:cNvPicPr/>
                        </pic:nvPicPr>
                        <pic:blipFill>
                          <a:blip r:embed="rId11"/>
                          <a:stretch>
                            <a:fillRect/>
                          </a:stretch>
                        </pic:blipFill>
                        <pic:spPr>
                          <a:xfrm>
                            <a:off x="0" y="0"/>
                            <a:ext cx="2124000" cy="1911084"/>
                          </a:xfrm>
                          <a:prstGeom prst="rect">
                            <a:avLst/>
                          </a:prstGeom>
                        </pic:spPr>
                      </pic:pic>
                    </a:graphicData>
                  </a:graphic>
                </wp:inline>
              </w:drawing>
            </w:r>
          </w:p>
          <w:p w14:paraId="227805B1" w14:textId="26EDA7C8" w:rsidR="001A4862" w:rsidRDefault="001A4862" w:rsidP="00A64010">
            <w:pPr>
              <w:pStyle w:val="Els-body-text"/>
              <w:spacing w:after="120"/>
              <w:jc w:val="center"/>
              <w:rPr>
                <w:noProof/>
              </w:rPr>
            </w:pPr>
            <w:r>
              <w:rPr>
                <w:noProof/>
              </w:rPr>
              <w:t>(b)</w:t>
            </w:r>
          </w:p>
        </w:tc>
      </w:tr>
      <w:tr w:rsidR="00B100D9" w14:paraId="714725BE" w14:textId="77777777" w:rsidTr="003B70BD">
        <w:tc>
          <w:tcPr>
            <w:tcW w:w="7076" w:type="dxa"/>
            <w:gridSpan w:val="2"/>
            <w:tcMar>
              <w:left w:w="0" w:type="dxa"/>
              <w:right w:w="0" w:type="dxa"/>
            </w:tcMar>
            <w:vAlign w:val="center"/>
          </w:tcPr>
          <w:p w14:paraId="54B2FAAA" w14:textId="1B44C857" w:rsidR="00B100D9" w:rsidRDefault="00B100D9" w:rsidP="00FC45D5">
            <w:pPr>
              <w:pStyle w:val="Els-body-text"/>
              <w:jc w:val="center"/>
            </w:pPr>
            <w:r>
              <w:rPr>
                <w:b/>
                <w:bCs/>
                <w:lang w:val="en-GB"/>
              </w:rPr>
              <w:t>Figure</w:t>
            </w:r>
            <w:r w:rsidRPr="00F7732D">
              <w:rPr>
                <w:b/>
                <w:bCs/>
                <w:lang w:val="en-GB"/>
              </w:rPr>
              <w:t xml:space="preserve"> 1. </w:t>
            </w:r>
            <w:r>
              <w:rPr>
                <w:lang w:val="en-GB"/>
              </w:rPr>
              <w:t>Feasible points (</w:t>
            </w:r>
            <w:r w:rsidR="003B70BD">
              <w:rPr>
                <w:lang w:val="en-GB"/>
              </w:rPr>
              <w:t>a</w:t>
            </w:r>
            <w:r>
              <w:rPr>
                <w:lang w:val="en-GB"/>
              </w:rPr>
              <w:t>) and design space analysis (</w:t>
            </w:r>
            <w:r w:rsidR="003B70BD">
              <w:rPr>
                <w:lang w:val="en-GB"/>
              </w:rPr>
              <w:t>b</w:t>
            </w:r>
            <w:r>
              <w:rPr>
                <w:lang w:val="en-GB"/>
              </w:rPr>
              <w:t>) of the PVSA process utilising two distinct adsorbents (Zeolite-13X and ZIF-36-FRL).</w:t>
            </w:r>
          </w:p>
        </w:tc>
      </w:tr>
    </w:tbl>
    <w:p w14:paraId="46E61E8E" w14:textId="77777777" w:rsidR="00B100D9" w:rsidRDefault="00B100D9" w:rsidP="004941A1">
      <w:pPr>
        <w:jc w:val="both"/>
      </w:pPr>
    </w:p>
    <w:p w14:paraId="53C152A5" w14:textId="0553A6E3" w:rsidR="004941A1" w:rsidRDefault="00126FAC" w:rsidP="00A37C01">
      <w:pPr>
        <w:jc w:val="both"/>
      </w:pPr>
      <w:r w:rsidRPr="000A1E5C">
        <w:t xml:space="preserve">In line with the NSS definition, an exhaustive search-based optimization algorithm </w:t>
      </w:r>
      <w:r>
        <w:t>was used to identify</w:t>
      </w:r>
      <w:r w:rsidRPr="000A1E5C">
        <w:t xml:space="preserve"> the most flexible operating point, representing a</w:t>
      </w:r>
      <w:r>
        <w:t xml:space="preserve">n </w:t>
      </w:r>
      <w:r w:rsidRPr="000A1E5C">
        <w:t>operating point with the largest NSS</w:t>
      </w:r>
      <w:r>
        <w:t xml:space="preserve">. </w:t>
      </w:r>
      <w:r w:rsidRPr="00BC0B34">
        <w:t xml:space="preserve">Surrogate modelling </w:t>
      </w:r>
      <w:r w:rsidR="006F29CE">
        <w:t xml:space="preserve">using Gaussian process </w:t>
      </w:r>
      <w:r w:rsidR="00D40F32">
        <w:t xml:space="preserve">(GP) </w:t>
      </w:r>
      <w:r w:rsidRPr="00BC0B34">
        <w:t>was employed to predict the performance index of</w:t>
      </w:r>
      <w:r>
        <w:t xml:space="preserve"> u</w:t>
      </w:r>
      <w:r w:rsidRPr="00BC0B34">
        <w:t>nexplored points within the design space</w:t>
      </w:r>
      <w:r w:rsidR="00D40F32">
        <w:t xml:space="preserve">. </w:t>
      </w:r>
      <w:r w:rsidR="00C21675" w:rsidRPr="00C21675">
        <w:t xml:space="preserve">The Sobol sampling points were used as the training and test data set to mitigate overfitting of the surrogate model. </w:t>
      </w:r>
      <w:r w:rsidR="0059539A">
        <w:t>Compared to artificial neural network (ANN)</w:t>
      </w:r>
      <w:r w:rsidR="00D840D8">
        <w:t xml:space="preserve"> used in</w:t>
      </w:r>
      <w:r w:rsidR="00A12F47">
        <w:t xml:space="preserve"> previous study (</w:t>
      </w:r>
      <w:r w:rsidR="00A12F47" w:rsidRPr="00AB6DB3">
        <w:t>Sachio et al., 2023</w:t>
      </w:r>
      <w:r w:rsidR="00A12F47">
        <w:t>)</w:t>
      </w:r>
      <w:r w:rsidR="0059539A">
        <w:t>, t</w:t>
      </w:r>
      <w:r w:rsidR="00D40F32">
        <w:t>he use of GP</w:t>
      </w:r>
      <w:r>
        <w:t xml:space="preserve"> </w:t>
      </w:r>
      <w:r w:rsidR="00473323">
        <w:t>opens</w:t>
      </w:r>
      <w:r w:rsidR="00D40F32">
        <w:t xml:space="preserve"> the possibility of </w:t>
      </w:r>
      <w:r w:rsidR="001D6BBB">
        <w:t>considering the prediction’s uncertainty in future studies</w:t>
      </w:r>
      <w:r w:rsidRPr="00BC0B34">
        <w:t>.</w:t>
      </w:r>
      <w:r>
        <w:t xml:space="preserve"> Upon assessing the NSS </w:t>
      </w:r>
      <w:r w:rsidR="004941A1">
        <w:t xml:space="preserve">of several operating points within the design space, </w:t>
      </w:r>
      <w:r w:rsidR="002C4EE1">
        <w:t>it is</w:t>
      </w:r>
      <w:r w:rsidR="004941A1">
        <w:t xml:space="preserve"> observe</w:t>
      </w:r>
      <w:r w:rsidR="002C4EE1">
        <w:t>d</w:t>
      </w:r>
      <w:r w:rsidR="004941A1">
        <w:t xml:space="preserve"> that points with a minimal capture cost do not necessarily exhibit optimal flexibility. It should be highlighted that this observation does not imply that an operating point with a higher capture cost will automatically exhibit superior flexibility. The results, in fact, demonstrate that the candidate most-flexible optimal operating point lays within the design space somewhere between the minimum and maximum capture cost. Details of the largest NSS for each adsorbent </w:t>
      </w:r>
      <w:r w:rsidR="005A2E09">
        <w:t xml:space="preserve">and their feasible parameters ranges </w:t>
      </w:r>
      <w:r w:rsidR="00BB4EB3">
        <w:t xml:space="preserve">(calculated as relative </w:t>
      </w:r>
      <w:r w:rsidR="00C53568">
        <w:t xml:space="preserve">deviation </w:t>
      </w:r>
      <w:r w:rsidR="00BB4EB3">
        <w:t xml:space="preserve">percentage </w:t>
      </w:r>
      <w:r w:rsidR="00C53568">
        <w:t>from the optimal operating point) are</w:t>
      </w:r>
      <w:r w:rsidR="004941A1">
        <w:t xml:space="preserve"> available in Table 1. </w:t>
      </w:r>
      <w:r w:rsidR="00F42453">
        <w:t xml:space="preserve">The feasible range of </w:t>
      </w:r>
      <m:oMath>
        <m:sSub>
          <m:sSubPr>
            <m:ctrlPr>
              <w:rPr>
                <w:rFonts w:ascii="Cambria Math" w:hAnsi="Cambria Math"/>
                <w:i/>
              </w:rPr>
            </m:ctrlPr>
          </m:sSubPr>
          <m:e>
            <m:r>
              <w:rPr>
                <w:rFonts w:ascii="Cambria Math" w:hAnsi="Cambria Math"/>
              </w:rPr>
              <m:t>P</m:t>
            </m:r>
          </m:e>
          <m:sub>
            <m:r>
              <m:rPr>
                <m:nor/>
              </m:rPr>
              <w:rPr>
                <w:rFonts w:ascii="Cambria Math" w:hAnsi="Cambria Math"/>
              </w:rPr>
              <m:t>H</m:t>
            </m:r>
          </m:sub>
        </m:sSub>
      </m:oMath>
      <w:r w:rsidR="00F42453">
        <w:t xml:space="preserve">, </w:t>
      </w:r>
      <m:oMath>
        <m:sSub>
          <m:sSubPr>
            <m:ctrlPr>
              <w:rPr>
                <w:rFonts w:ascii="Cambria Math" w:hAnsi="Cambria Math"/>
                <w:i/>
              </w:rPr>
            </m:ctrlPr>
          </m:sSubPr>
          <m:e>
            <m:r>
              <w:rPr>
                <w:rFonts w:ascii="Cambria Math" w:hAnsi="Cambria Math"/>
              </w:rPr>
              <m:t>P</m:t>
            </m:r>
          </m:e>
          <m:sub>
            <m:r>
              <m:rPr>
                <m:nor/>
              </m:rPr>
              <w:rPr>
                <w:rFonts w:ascii="Cambria Math" w:hAnsi="Cambria Math"/>
              </w:rPr>
              <m:t>I</m:t>
            </m:r>
          </m:sub>
        </m:sSub>
      </m:oMath>
      <w:r w:rsidR="00F42453">
        <w:t xml:space="preserve">, and </w:t>
      </w:r>
      <m:oMath>
        <m:sSub>
          <m:sSubPr>
            <m:ctrlPr>
              <w:rPr>
                <w:rFonts w:ascii="Cambria Math" w:hAnsi="Cambria Math"/>
                <w:i/>
              </w:rPr>
            </m:ctrlPr>
          </m:sSubPr>
          <m:e>
            <m:r>
              <w:rPr>
                <w:rFonts w:ascii="Cambria Math" w:hAnsi="Cambria Math"/>
              </w:rPr>
              <m:t>P</m:t>
            </m:r>
          </m:e>
          <m:sub>
            <m:r>
              <m:rPr>
                <m:nor/>
              </m:rPr>
              <w:rPr>
                <w:rFonts w:ascii="Cambria Math" w:hAnsi="Cambria Math"/>
              </w:rPr>
              <m:t>L</m:t>
            </m:r>
          </m:sub>
        </m:sSub>
      </m:oMath>
      <w:r w:rsidR="00F42453">
        <w:t xml:space="preserve"> are also illustrated in </w:t>
      </w:r>
      <w:r w:rsidR="00A37C01">
        <w:br/>
      </w:r>
    </w:p>
    <w:p w14:paraId="21B33FBC" w14:textId="55135972" w:rsidR="00E52C00" w:rsidRDefault="00E52C00" w:rsidP="00E52C00">
      <w:pPr>
        <w:pStyle w:val="Els-body-text"/>
        <w:spacing w:before="120" w:after="120"/>
      </w:pPr>
      <w:r w:rsidRPr="00F7732D">
        <w:rPr>
          <w:b/>
          <w:bCs/>
          <w:lang w:val="en-GB"/>
        </w:rPr>
        <w:t xml:space="preserve">Table 1. </w:t>
      </w:r>
      <w:r w:rsidR="00E74D49" w:rsidRPr="00964873">
        <w:rPr>
          <w:lang w:val="en-GB"/>
        </w:rPr>
        <w:t>Feasible range</w:t>
      </w:r>
      <w:r w:rsidR="005419C8" w:rsidRPr="00964873">
        <w:rPr>
          <w:lang w:val="en-GB"/>
        </w:rPr>
        <w:t>s</w:t>
      </w:r>
      <w:r w:rsidR="00E74D49" w:rsidRPr="00964873">
        <w:rPr>
          <w:lang w:val="en-GB"/>
        </w:rPr>
        <w:t xml:space="preserve"> of the</w:t>
      </w:r>
      <w:r w:rsidR="00E74D49">
        <w:rPr>
          <w:b/>
          <w:bCs/>
          <w:lang w:val="en-GB"/>
        </w:rPr>
        <w:t xml:space="preserve"> </w:t>
      </w:r>
      <w:r w:rsidR="005419C8">
        <w:rPr>
          <w:lang w:val="en-GB"/>
        </w:rPr>
        <w:t>nominal</w:t>
      </w:r>
      <w:r w:rsidRPr="00F7732D">
        <w:rPr>
          <w:lang w:val="en-GB"/>
        </w:rPr>
        <w:t xml:space="preserve"> operating</w:t>
      </w:r>
      <w:r w:rsidR="00D76B6E">
        <w:rPr>
          <w:lang w:val="en-GB"/>
        </w:rPr>
        <w:t xml:space="preserve"> pressure</w:t>
      </w:r>
      <w:r w:rsidRPr="00F7732D">
        <w:rPr>
          <w:lang w:val="en-GB"/>
        </w:rPr>
        <w:t xml:space="preserve"> point</w:t>
      </w:r>
      <w:r>
        <w:rPr>
          <w:lang w:val="en-GB"/>
        </w:rPr>
        <w:t xml:space="preserve">s and </w:t>
      </w:r>
      <w:r w:rsidR="005419C8">
        <w:rPr>
          <w:lang w:val="en-GB"/>
        </w:rPr>
        <w:t xml:space="preserve">the </w:t>
      </w:r>
      <w:r>
        <w:rPr>
          <w:lang w:val="en-GB"/>
        </w:rPr>
        <w:t>associated KPIs of the PVSA process accounting for operational flexibility (this work) and their comparison against cost-optimal operating points (Literature, Ward and Pini, 2022).</w:t>
      </w:r>
    </w:p>
    <w:tbl>
      <w:tblPr>
        <w:tblStyle w:val="TableGrid"/>
        <w:tblW w:w="69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204"/>
        <w:gridCol w:w="1205"/>
        <w:gridCol w:w="1205"/>
        <w:gridCol w:w="1205"/>
      </w:tblGrid>
      <w:tr w:rsidR="00B31506" w:rsidRPr="00510C0D" w14:paraId="32031EBA" w14:textId="77777777" w:rsidTr="00F11CAC">
        <w:trPr>
          <w:trHeight w:val="113"/>
          <w:jc w:val="center"/>
        </w:trPr>
        <w:tc>
          <w:tcPr>
            <w:tcW w:w="2127" w:type="dxa"/>
            <w:vMerge w:val="restart"/>
            <w:tcBorders>
              <w:top w:val="single" w:sz="4" w:space="0" w:color="auto"/>
              <w:bottom w:val="single" w:sz="4" w:space="0" w:color="auto"/>
            </w:tcBorders>
            <w:noWrap/>
            <w:tcMar>
              <w:left w:w="0" w:type="dxa"/>
              <w:right w:w="0" w:type="dxa"/>
            </w:tcMar>
            <w:vAlign w:val="center"/>
            <w:hideMark/>
          </w:tcPr>
          <w:p w14:paraId="74A0E696" w14:textId="77777777" w:rsidR="00B31506" w:rsidRPr="00510C0D" w:rsidRDefault="00B31506" w:rsidP="0082230D">
            <w:pPr>
              <w:pStyle w:val="Els-body-text"/>
              <w:jc w:val="left"/>
              <w:rPr>
                <w:b/>
                <w:bCs/>
                <w:sz w:val="16"/>
                <w:szCs w:val="16"/>
                <w:lang w:val="en-GB"/>
              </w:rPr>
            </w:pPr>
            <w:r w:rsidRPr="00510C0D">
              <w:rPr>
                <w:b/>
                <w:bCs/>
                <w:sz w:val="16"/>
                <w:szCs w:val="16"/>
                <w:lang w:val="en-GB"/>
              </w:rPr>
              <w:t>Performance Indicator</w:t>
            </w:r>
          </w:p>
        </w:tc>
        <w:tc>
          <w:tcPr>
            <w:tcW w:w="2409" w:type="dxa"/>
            <w:gridSpan w:val="2"/>
            <w:tcBorders>
              <w:top w:val="single" w:sz="4" w:space="0" w:color="auto"/>
              <w:bottom w:val="single" w:sz="4" w:space="0" w:color="auto"/>
            </w:tcBorders>
            <w:noWrap/>
            <w:tcMar>
              <w:left w:w="0" w:type="dxa"/>
              <w:right w:w="0" w:type="dxa"/>
            </w:tcMar>
            <w:vAlign w:val="center"/>
            <w:hideMark/>
          </w:tcPr>
          <w:p w14:paraId="5BBAF9C8" w14:textId="6F033D48" w:rsidR="00B31506" w:rsidRPr="00510C0D" w:rsidRDefault="00B31506" w:rsidP="0082230D">
            <w:pPr>
              <w:pStyle w:val="Els-body-text"/>
              <w:jc w:val="center"/>
              <w:rPr>
                <w:b/>
                <w:bCs/>
                <w:sz w:val="16"/>
                <w:szCs w:val="16"/>
                <w:lang w:val="en-GB"/>
              </w:rPr>
            </w:pPr>
            <w:r w:rsidRPr="00510C0D">
              <w:rPr>
                <w:b/>
                <w:bCs/>
                <w:sz w:val="16"/>
                <w:szCs w:val="16"/>
                <w:lang w:val="en-GB"/>
              </w:rPr>
              <w:t>Zeolite-13X</w:t>
            </w:r>
          </w:p>
        </w:tc>
        <w:tc>
          <w:tcPr>
            <w:tcW w:w="2410" w:type="dxa"/>
            <w:gridSpan w:val="2"/>
            <w:tcBorders>
              <w:top w:val="single" w:sz="4" w:space="0" w:color="auto"/>
              <w:bottom w:val="single" w:sz="4" w:space="0" w:color="auto"/>
            </w:tcBorders>
          </w:tcPr>
          <w:p w14:paraId="2F2B7A64" w14:textId="77421A6E" w:rsidR="00B31506" w:rsidRPr="00510C0D" w:rsidRDefault="00B31506" w:rsidP="0082230D">
            <w:pPr>
              <w:pStyle w:val="Els-body-text"/>
              <w:jc w:val="center"/>
              <w:rPr>
                <w:b/>
                <w:bCs/>
                <w:sz w:val="16"/>
                <w:szCs w:val="16"/>
                <w:lang w:val="en-GB"/>
              </w:rPr>
            </w:pPr>
            <w:r w:rsidRPr="00510C0D">
              <w:rPr>
                <w:b/>
                <w:bCs/>
                <w:sz w:val="16"/>
                <w:szCs w:val="16"/>
                <w:lang w:val="en-GB"/>
              </w:rPr>
              <w:t>ZIF</w:t>
            </w:r>
            <w:r>
              <w:rPr>
                <w:b/>
                <w:bCs/>
                <w:sz w:val="16"/>
                <w:szCs w:val="16"/>
                <w:lang w:val="en-GB"/>
              </w:rPr>
              <w:t>-36-FRL</w:t>
            </w:r>
          </w:p>
        </w:tc>
      </w:tr>
      <w:tr w:rsidR="004C332C" w:rsidRPr="00510C0D" w14:paraId="7AF94206" w14:textId="77777777" w:rsidTr="00964873">
        <w:trPr>
          <w:trHeight w:val="113"/>
          <w:jc w:val="center"/>
        </w:trPr>
        <w:tc>
          <w:tcPr>
            <w:tcW w:w="2127" w:type="dxa"/>
            <w:vMerge/>
            <w:tcBorders>
              <w:top w:val="single" w:sz="4" w:space="0" w:color="auto"/>
              <w:bottom w:val="single" w:sz="4" w:space="0" w:color="auto"/>
            </w:tcBorders>
            <w:noWrap/>
            <w:tcMar>
              <w:left w:w="0" w:type="dxa"/>
              <w:right w:w="0" w:type="dxa"/>
            </w:tcMar>
            <w:vAlign w:val="center"/>
            <w:hideMark/>
          </w:tcPr>
          <w:p w14:paraId="3CBE9B97" w14:textId="77777777" w:rsidR="004C332C" w:rsidRPr="00510C0D" w:rsidRDefault="004C332C" w:rsidP="0082230D">
            <w:pPr>
              <w:pStyle w:val="Els-body-text"/>
              <w:jc w:val="left"/>
              <w:rPr>
                <w:b/>
                <w:bCs/>
                <w:sz w:val="16"/>
                <w:szCs w:val="16"/>
                <w:lang w:val="en-GB"/>
              </w:rPr>
            </w:pPr>
          </w:p>
        </w:tc>
        <w:tc>
          <w:tcPr>
            <w:tcW w:w="1204" w:type="dxa"/>
            <w:tcBorders>
              <w:top w:val="single" w:sz="4" w:space="0" w:color="auto"/>
              <w:bottom w:val="single" w:sz="4" w:space="0" w:color="auto"/>
            </w:tcBorders>
            <w:noWrap/>
            <w:tcMar>
              <w:left w:w="0" w:type="dxa"/>
              <w:right w:w="0" w:type="dxa"/>
            </w:tcMar>
            <w:vAlign w:val="center"/>
            <w:hideMark/>
          </w:tcPr>
          <w:p w14:paraId="7763B769" w14:textId="77777777" w:rsidR="004C332C" w:rsidRPr="00510C0D" w:rsidRDefault="004C332C" w:rsidP="0082230D">
            <w:pPr>
              <w:pStyle w:val="Els-body-text"/>
              <w:jc w:val="center"/>
              <w:rPr>
                <w:b/>
                <w:bCs/>
                <w:sz w:val="16"/>
                <w:szCs w:val="16"/>
                <w:lang w:val="en-GB"/>
              </w:rPr>
            </w:pPr>
            <w:r w:rsidRPr="00510C0D">
              <w:rPr>
                <w:b/>
                <w:bCs/>
                <w:sz w:val="16"/>
                <w:szCs w:val="16"/>
                <w:lang w:val="en-GB"/>
              </w:rPr>
              <w:t>Literature</w:t>
            </w:r>
          </w:p>
        </w:tc>
        <w:tc>
          <w:tcPr>
            <w:tcW w:w="1205" w:type="dxa"/>
            <w:tcBorders>
              <w:top w:val="single" w:sz="4" w:space="0" w:color="auto"/>
              <w:bottom w:val="single" w:sz="4" w:space="0" w:color="auto"/>
            </w:tcBorders>
            <w:noWrap/>
            <w:tcMar>
              <w:left w:w="0" w:type="dxa"/>
              <w:right w:w="0" w:type="dxa"/>
            </w:tcMar>
            <w:vAlign w:val="center"/>
            <w:hideMark/>
          </w:tcPr>
          <w:p w14:paraId="478022E4" w14:textId="77777777" w:rsidR="004C332C" w:rsidRPr="00510C0D" w:rsidRDefault="004C332C" w:rsidP="0082230D">
            <w:pPr>
              <w:pStyle w:val="Els-body-text"/>
              <w:jc w:val="center"/>
              <w:rPr>
                <w:b/>
                <w:bCs/>
                <w:sz w:val="16"/>
                <w:szCs w:val="16"/>
                <w:lang w:val="en-GB"/>
              </w:rPr>
            </w:pPr>
            <w:r w:rsidRPr="00510C0D">
              <w:rPr>
                <w:b/>
                <w:bCs/>
                <w:sz w:val="16"/>
                <w:szCs w:val="16"/>
                <w:lang w:val="en-GB"/>
              </w:rPr>
              <w:t>This Work</w:t>
            </w:r>
          </w:p>
        </w:tc>
        <w:tc>
          <w:tcPr>
            <w:tcW w:w="1205" w:type="dxa"/>
            <w:tcBorders>
              <w:top w:val="single" w:sz="4" w:space="0" w:color="auto"/>
              <w:bottom w:val="single" w:sz="4" w:space="0" w:color="auto"/>
            </w:tcBorders>
            <w:noWrap/>
            <w:tcMar>
              <w:left w:w="0" w:type="dxa"/>
              <w:right w:w="0" w:type="dxa"/>
            </w:tcMar>
            <w:vAlign w:val="center"/>
            <w:hideMark/>
          </w:tcPr>
          <w:p w14:paraId="11B28A59" w14:textId="77777777" w:rsidR="004C332C" w:rsidRPr="00510C0D" w:rsidRDefault="004C332C" w:rsidP="0082230D">
            <w:pPr>
              <w:pStyle w:val="Els-body-text"/>
              <w:jc w:val="center"/>
              <w:rPr>
                <w:b/>
                <w:bCs/>
                <w:sz w:val="16"/>
                <w:szCs w:val="16"/>
                <w:lang w:val="en-GB"/>
              </w:rPr>
            </w:pPr>
            <w:r w:rsidRPr="00510C0D">
              <w:rPr>
                <w:b/>
                <w:bCs/>
                <w:sz w:val="16"/>
                <w:szCs w:val="16"/>
                <w:lang w:val="en-GB"/>
              </w:rPr>
              <w:t>Literature</w:t>
            </w:r>
          </w:p>
        </w:tc>
        <w:tc>
          <w:tcPr>
            <w:tcW w:w="1205" w:type="dxa"/>
            <w:tcBorders>
              <w:top w:val="single" w:sz="4" w:space="0" w:color="auto"/>
              <w:bottom w:val="single" w:sz="4" w:space="0" w:color="auto"/>
            </w:tcBorders>
            <w:noWrap/>
            <w:tcMar>
              <w:left w:w="0" w:type="dxa"/>
              <w:right w:w="0" w:type="dxa"/>
            </w:tcMar>
            <w:vAlign w:val="center"/>
            <w:hideMark/>
          </w:tcPr>
          <w:p w14:paraId="097224C5" w14:textId="77777777" w:rsidR="004C332C" w:rsidRPr="00510C0D" w:rsidRDefault="004C332C" w:rsidP="0082230D">
            <w:pPr>
              <w:pStyle w:val="Els-body-text"/>
              <w:jc w:val="center"/>
              <w:rPr>
                <w:b/>
                <w:bCs/>
                <w:sz w:val="16"/>
                <w:szCs w:val="16"/>
                <w:lang w:val="en-GB"/>
              </w:rPr>
            </w:pPr>
            <w:r w:rsidRPr="00510C0D">
              <w:rPr>
                <w:b/>
                <w:bCs/>
                <w:sz w:val="16"/>
                <w:szCs w:val="16"/>
                <w:lang w:val="en-GB"/>
              </w:rPr>
              <w:t>This Work</w:t>
            </w:r>
          </w:p>
        </w:tc>
      </w:tr>
      <w:tr w:rsidR="000F2065" w:rsidRPr="00510C0D" w14:paraId="560FDB84" w14:textId="77777777" w:rsidTr="00964873">
        <w:trPr>
          <w:trHeight w:val="113"/>
          <w:jc w:val="center"/>
        </w:trPr>
        <w:tc>
          <w:tcPr>
            <w:tcW w:w="2127" w:type="dxa"/>
            <w:tcBorders>
              <w:top w:val="single" w:sz="4" w:space="0" w:color="auto"/>
            </w:tcBorders>
            <w:noWrap/>
            <w:tcMar>
              <w:left w:w="0" w:type="dxa"/>
              <w:right w:w="0" w:type="dxa"/>
            </w:tcMar>
            <w:vAlign w:val="center"/>
            <w:hideMark/>
          </w:tcPr>
          <w:p w14:paraId="4766E3AE" w14:textId="1A67F07F" w:rsidR="000F2065" w:rsidRPr="00510C0D" w:rsidRDefault="000F2065" w:rsidP="000F2065">
            <w:pPr>
              <w:pStyle w:val="Els-body-text"/>
              <w:jc w:val="left"/>
              <w:rPr>
                <w:sz w:val="16"/>
                <w:szCs w:val="16"/>
                <w:lang w:val="en-GB"/>
              </w:rPr>
            </w:pPr>
            <w:r w:rsidRPr="00510C0D">
              <w:rPr>
                <w:sz w:val="16"/>
                <w:szCs w:val="16"/>
                <w:lang w:val="en-GB"/>
              </w:rPr>
              <w:t xml:space="preserve">Feasible range of </w:t>
            </w:r>
            <m:oMath>
              <m:sSub>
                <m:sSubPr>
                  <m:ctrlPr>
                    <w:rPr>
                      <w:rFonts w:ascii="Cambria Math" w:hAnsi="Cambria Math"/>
                      <w:i/>
                      <w:sz w:val="16"/>
                      <w:szCs w:val="16"/>
                      <w:lang w:val="en-GB"/>
                    </w:rPr>
                  </m:ctrlPr>
                </m:sSubPr>
                <m:e>
                  <m:r>
                    <w:rPr>
                      <w:rFonts w:ascii="Cambria Math" w:hAnsi="Cambria Math"/>
                      <w:sz w:val="16"/>
                      <w:szCs w:val="16"/>
                      <w:lang w:val="en-GB"/>
                    </w:rPr>
                    <m:t>P</m:t>
                  </m:r>
                </m:e>
                <m:sub>
                  <m:r>
                    <m:rPr>
                      <m:nor/>
                    </m:rPr>
                    <w:rPr>
                      <w:rFonts w:ascii="Cambria Math" w:hAnsi="Cambria Math"/>
                      <w:sz w:val="16"/>
                      <w:szCs w:val="16"/>
                      <w:lang w:val="en-GB"/>
                    </w:rPr>
                    <m:t>H</m:t>
                  </m:r>
                </m:sub>
              </m:sSub>
            </m:oMath>
            <w:r>
              <w:rPr>
                <w:sz w:val="16"/>
                <w:szCs w:val="16"/>
                <w:lang w:val="en-GB"/>
              </w:rPr>
              <w:t xml:space="preserve"> (bar)</w:t>
            </w:r>
          </w:p>
        </w:tc>
        <w:tc>
          <w:tcPr>
            <w:tcW w:w="1204" w:type="dxa"/>
            <w:tcBorders>
              <w:top w:val="single" w:sz="4" w:space="0" w:color="auto"/>
            </w:tcBorders>
            <w:noWrap/>
            <w:tcMar>
              <w:left w:w="0" w:type="dxa"/>
              <w:right w:w="0" w:type="dxa"/>
            </w:tcMar>
            <w:hideMark/>
          </w:tcPr>
          <w:p w14:paraId="51395BA8" w14:textId="636756FF" w:rsidR="000F2065" w:rsidRPr="00B56967" w:rsidRDefault="007E6E39" w:rsidP="00964873">
            <w:pPr>
              <w:pStyle w:val="Els-body-text"/>
              <w:tabs>
                <w:tab w:val="right" w:pos="510"/>
                <w:tab w:val="left" w:pos="539"/>
              </w:tabs>
              <w:jc w:val="left"/>
              <w:rPr>
                <w:sz w:val="16"/>
                <w:szCs w:val="16"/>
                <w:lang w:val="en-GB"/>
              </w:rPr>
            </w:pPr>
            <w:r>
              <w:rPr>
                <w:sz w:val="16"/>
                <w:szCs w:val="16"/>
                <w:lang w:val="en-GB"/>
              </w:rPr>
              <w:tab/>
            </w:r>
            <w:r w:rsidR="000F2065" w:rsidRPr="00964873">
              <w:rPr>
                <w:sz w:val="16"/>
                <w:szCs w:val="16"/>
                <w:lang w:val="en-GB"/>
              </w:rPr>
              <w:t>4.72</w:t>
            </w:r>
            <w:r>
              <w:rPr>
                <w:sz w:val="16"/>
                <w:szCs w:val="16"/>
                <w:lang w:val="en-GB"/>
              </w:rPr>
              <w:tab/>
            </w:r>
            <w:r w:rsidR="000F2065" w:rsidRPr="00964873">
              <w:rPr>
                <w:sz w:val="16"/>
                <w:szCs w:val="16"/>
                <w:lang w:val="en-GB"/>
              </w:rPr>
              <w:t>± 3.0%</w:t>
            </w:r>
          </w:p>
        </w:tc>
        <w:tc>
          <w:tcPr>
            <w:tcW w:w="1205" w:type="dxa"/>
            <w:tcBorders>
              <w:top w:val="single" w:sz="4" w:space="0" w:color="auto"/>
            </w:tcBorders>
            <w:noWrap/>
            <w:tcMar>
              <w:left w:w="0" w:type="dxa"/>
              <w:right w:w="0" w:type="dxa"/>
            </w:tcMar>
            <w:vAlign w:val="bottom"/>
            <w:hideMark/>
          </w:tcPr>
          <w:p w14:paraId="207E26E2" w14:textId="162D1C23" w:rsidR="000F2065" w:rsidRPr="007E6E39" w:rsidRDefault="007E6E39" w:rsidP="00964873">
            <w:pPr>
              <w:pStyle w:val="Els-body-text"/>
              <w:tabs>
                <w:tab w:val="right" w:pos="510"/>
                <w:tab w:val="left" w:pos="539"/>
              </w:tabs>
              <w:jc w:val="left"/>
              <w:rPr>
                <w:sz w:val="16"/>
                <w:szCs w:val="16"/>
                <w:lang w:val="en-GB"/>
              </w:rPr>
            </w:pPr>
            <w:r>
              <w:rPr>
                <w:sz w:val="16"/>
                <w:szCs w:val="16"/>
                <w:lang w:val="en-GB"/>
              </w:rPr>
              <w:tab/>
            </w:r>
            <w:r w:rsidR="000F2065" w:rsidRPr="00964873">
              <w:rPr>
                <w:sz w:val="16"/>
                <w:szCs w:val="16"/>
                <w:lang w:val="en-GB"/>
              </w:rPr>
              <w:t>5.28</w:t>
            </w:r>
            <w:r>
              <w:rPr>
                <w:sz w:val="16"/>
                <w:szCs w:val="16"/>
                <w:lang w:val="en-GB"/>
              </w:rPr>
              <w:tab/>
            </w:r>
            <w:r w:rsidR="000F2065" w:rsidRPr="00964873">
              <w:rPr>
                <w:sz w:val="16"/>
                <w:szCs w:val="16"/>
                <w:lang w:val="en-GB"/>
              </w:rPr>
              <w:t>± 4.9%</w:t>
            </w:r>
          </w:p>
        </w:tc>
        <w:tc>
          <w:tcPr>
            <w:tcW w:w="1205" w:type="dxa"/>
            <w:tcBorders>
              <w:top w:val="single" w:sz="4" w:space="0" w:color="auto"/>
            </w:tcBorders>
            <w:noWrap/>
            <w:tcMar>
              <w:left w:w="0" w:type="dxa"/>
              <w:right w:w="0" w:type="dxa"/>
            </w:tcMar>
            <w:vAlign w:val="bottom"/>
            <w:hideMark/>
          </w:tcPr>
          <w:p w14:paraId="63CA4124" w14:textId="65A09667" w:rsidR="000F2065" w:rsidRPr="007E6E39" w:rsidRDefault="007E6E39" w:rsidP="00964873">
            <w:pPr>
              <w:pStyle w:val="Els-body-text"/>
              <w:tabs>
                <w:tab w:val="right" w:pos="510"/>
                <w:tab w:val="left" w:pos="539"/>
              </w:tabs>
              <w:jc w:val="left"/>
              <w:rPr>
                <w:sz w:val="16"/>
                <w:szCs w:val="16"/>
                <w:lang w:val="en-GB"/>
              </w:rPr>
            </w:pPr>
            <w:r>
              <w:rPr>
                <w:sz w:val="16"/>
                <w:szCs w:val="16"/>
                <w:lang w:val="en-GB"/>
              </w:rPr>
              <w:tab/>
            </w:r>
            <w:r w:rsidR="000F2065" w:rsidRPr="00964873">
              <w:rPr>
                <w:sz w:val="16"/>
                <w:szCs w:val="16"/>
                <w:lang w:val="en-GB"/>
              </w:rPr>
              <w:t>5.52</w:t>
            </w:r>
            <w:r>
              <w:rPr>
                <w:sz w:val="16"/>
                <w:szCs w:val="16"/>
                <w:lang w:val="en-GB"/>
              </w:rPr>
              <w:tab/>
            </w:r>
            <w:r w:rsidR="000F2065" w:rsidRPr="00964873">
              <w:rPr>
                <w:sz w:val="16"/>
                <w:szCs w:val="16"/>
                <w:lang w:val="en-GB"/>
              </w:rPr>
              <w:t>± 0</w:t>
            </w:r>
            <w:r w:rsidR="008A47C9">
              <w:rPr>
                <w:sz w:val="16"/>
                <w:szCs w:val="16"/>
                <w:lang w:val="en-GB"/>
              </w:rPr>
              <w:t>.0</w:t>
            </w:r>
            <w:r w:rsidR="000F2065" w:rsidRPr="00964873">
              <w:rPr>
                <w:sz w:val="16"/>
                <w:szCs w:val="16"/>
                <w:lang w:val="en-GB"/>
              </w:rPr>
              <w:t>%</w:t>
            </w:r>
            <w:r w:rsidR="006F2D23">
              <w:rPr>
                <w:sz w:val="16"/>
                <w:szCs w:val="16"/>
                <w:lang w:val="en-GB"/>
              </w:rPr>
              <w:t xml:space="preserve"> </w:t>
            </w:r>
            <w:r w:rsidR="000F2065" w:rsidRPr="00964873">
              <w:rPr>
                <w:i/>
                <w:iCs/>
                <w:sz w:val="16"/>
                <w:szCs w:val="16"/>
                <w:vertAlign w:val="superscript"/>
                <w:lang w:val="en-GB"/>
              </w:rPr>
              <w:t>(a)</w:t>
            </w:r>
          </w:p>
        </w:tc>
        <w:tc>
          <w:tcPr>
            <w:tcW w:w="1205" w:type="dxa"/>
            <w:tcBorders>
              <w:top w:val="single" w:sz="4" w:space="0" w:color="auto"/>
            </w:tcBorders>
            <w:noWrap/>
            <w:tcMar>
              <w:left w:w="0" w:type="dxa"/>
              <w:right w:w="0" w:type="dxa"/>
            </w:tcMar>
            <w:vAlign w:val="bottom"/>
            <w:hideMark/>
          </w:tcPr>
          <w:p w14:paraId="6131FEFB" w14:textId="6F19D018" w:rsidR="000F2065" w:rsidRPr="007E6E39" w:rsidRDefault="007E6E39" w:rsidP="00964873">
            <w:pPr>
              <w:pStyle w:val="Els-body-text"/>
              <w:tabs>
                <w:tab w:val="right" w:pos="510"/>
                <w:tab w:val="left" w:pos="539"/>
              </w:tabs>
              <w:jc w:val="left"/>
              <w:rPr>
                <w:sz w:val="16"/>
                <w:szCs w:val="16"/>
                <w:lang w:val="en-GB"/>
              </w:rPr>
            </w:pPr>
            <w:r>
              <w:rPr>
                <w:sz w:val="16"/>
                <w:szCs w:val="16"/>
                <w:lang w:val="en-GB"/>
              </w:rPr>
              <w:tab/>
            </w:r>
            <w:r w:rsidR="000F2065" w:rsidRPr="00964873">
              <w:rPr>
                <w:sz w:val="16"/>
                <w:szCs w:val="16"/>
                <w:lang w:val="en-GB"/>
              </w:rPr>
              <w:t>6.76</w:t>
            </w:r>
            <w:r>
              <w:rPr>
                <w:sz w:val="16"/>
                <w:szCs w:val="16"/>
                <w:lang w:val="en-GB"/>
              </w:rPr>
              <w:tab/>
            </w:r>
            <w:r w:rsidR="000F2065" w:rsidRPr="00964873">
              <w:rPr>
                <w:sz w:val="16"/>
                <w:szCs w:val="16"/>
                <w:lang w:val="en-GB"/>
              </w:rPr>
              <w:t>± 12.5%</w:t>
            </w:r>
          </w:p>
        </w:tc>
      </w:tr>
      <w:tr w:rsidR="000F2065" w:rsidRPr="00510C0D" w14:paraId="16CD848C" w14:textId="77777777" w:rsidTr="00964873">
        <w:trPr>
          <w:trHeight w:val="113"/>
          <w:jc w:val="center"/>
        </w:trPr>
        <w:tc>
          <w:tcPr>
            <w:tcW w:w="2127" w:type="dxa"/>
            <w:noWrap/>
            <w:tcMar>
              <w:left w:w="0" w:type="dxa"/>
              <w:right w:w="0" w:type="dxa"/>
            </w:tcMar>
            <w:vAlign w:val="center"/>
            <w:hideMark/>
          </w:tcPr>
          <w:p w14:paraId="39654C37" w14:textId="22C20B37" w:rsidR="000F2065" w:rsidRPr="00510C0D" w:rsidRDefault="000F2065" w:rsidP="000F2065">
            <w:pPr>
              <w:pStyle w:val="Els-body-text"/>
              <w:jc w:val="left"/>
              <w:rPr>
                <w:sz w:val="16"/>
                <w:szCs w:val="16"/>
                <w:lang w:val="en-GB"/>
              </w:rPr>
            </w:pPr>
            <w:r w:rsidRPr="00510C0D">
              <w:rPr>
                <w:sz w:val="16"/>
                <w:szCs w:val="16"/>
                <w:lang w:val="en-GB"/>
              </w:rPr>
              <w:t xml:space="preserve">Feasible range of </w:t>
            </w:r>
            <m:oMath>
              <m:sSub>
                <m:sSubPr>
                  <m:ctrlPr>
                    <w:rPr>
                      <w:rFonts w:ascii="Cambria Math" w:hAnsi="Cambria Math"/>
                      <w:i/>
                      <w:sz w:val="16"/>
                      <w:szCs w:val="16"/>
                      <w:lang w:val="en-GB"/>
                    </w:rPr>
                  </m:ctrlPr>
                </m:sSubPr>
                <m:e>
                  <m:r>
                    <w:rPr>
                      <w:rFonts w:ascii="Cambria Math" w:hAnsi="Cambria Math"/>
                      <w:sz w:val="16"/>
                      <w:szCs w:val="16"/>
                      <w:lang w:val="en-GB"/>
                    </w:rPr>
                    <m:t>P</m:t>
                  </m:r>
                </m:e>
                <m:sub>
                  <m:r>
                    <m:rPr>
                      <m:nor/>
                    </m:rPr>
                    <w:rPr>
                      <w:rFonts w:ascii="Cambria Math" w:hAnsi="Cambria Math"/>
                      <w:sz w:val="16"/>
                      <w:szCs w:val="16"/>
                      <w:lang w:val="en-GB"/>
                    </w:rPr>
                    <m:t>I</m:t>
                  </m:r>
                </m:sub>
              </m:sSub>
            </m:oMath>
            <w:r>
              <w:rPr>
                <w:sz w:val="16"/>
                <w:szCs w:val="16"/>
                <w:lang w:val="en-GB"/>
              </w:rPr>
              <w:t xml:space="preserve"> (bar)</w:t>
            </w:r>
          </w:p>
        </w:tc>
        <w:tc>
          <w:tcPr>
            <w:tcW w:w="1204" w:type="dxa"/>
            <w:noWrap/>
            <w:tcMar>
              <w:left w:w="0" w:type="dxa"/>
              <w:right w:w="0" w:type="dxa"/>
            </w:tcMar>
            <w:hideMark/>
          </w:tcPr>
          <w:p w14:paraId="7E29BE15" w14:textId="5F87C3E5" w:rsidR="000F2065" w:rsidRPr="00B56967" w:rsidRDefault="007E6E39" w:rsidP="00964873">
            <w:pPr>
              <w:pStyle w:val="Els-body-text"/>
              <w:tabs>
                <w:tab w:val="right" w:pos="510"/>
                <w:tab w:val="left" w:pos="539"/>
              </w:tabs>
              <w:jc w:val="left"/>
              <w:rPr>
                <w:sz w:val="16"/>
                <w:szCs w:val="16"/>
                <w:lang w:val="en-GB"/>
              </w:rPr>
            </w:pPr>
            <w:r>
              <w:rPr>
                <w:sz w:val="16"/>
                <w:szCs w:val="16"/>
                <w:lang w:val="en-GB"/>
              </w:rPr>
              <w:tab/>
            </w:r>
            <w:r w:rsidR="000F2065" w:rsidRPr="00964873">
              <w:rPr>
                <w:sz w:val="16"/>
                <w:szCs w:val="16"/>
                <w:lang w:val="en-GB"/>
              </w:rPr>
              <w:t>0.78</w:t>
            </w:r>
            <w:r>
              <w:rPr>
                <w:sz w:val="16"/>
                <w:szCs w:val="16"/>
                <w:lang w:val="en-GB"/>
              </w:rPr>
              <w:tab/>
            </w:r>
            <w:r w:rsidR="000F2065" w:rsidRPr="00964873">
              <w:rPr>
                <w:sz w:val="16"/>
                <w:szCs w:val="16"/>
                <w:lang w:val="en-GB"/>
              </w:rPr>
              <w:t>± 2.9%</w:t>
            </w:r>
          </w:p>
        </w:tc>
        <w:tc>
          <w:tcPr>
            <w:tcW w:w="1205" w:type="dxa"/>
            <w:noWrap/>
            <w:tcMar>
              <w:left w:w="0" w:type="dxa"/>
              <w:right w:w="0" w:type="dxa"/>
            </w:tcMar>
            <w:vAlign w:val="bottom"/>
            <w:hideMark/>
          </w:tcPr>
          <w:p w14:paraId="226E1F3F" w14:textId="37E7BEA3" w:rsidR="000F2065" w:rsidRPr="007E6E39" w:rsidRDefault="007E6E39" w:rsidP="00964873">
            <w:pPr>
              <w:pStyle w:val="Els-body-text"/>
              <w:tabs>
                <w:tab w:val="right" w:pos="510"/>
                <w:tab w:val="left" w:pos="539"/>
              </w:tabs>
              <w:jc w:val="left"/>
              <w:rPr>
                <w:sz w:val="16"/>
                <w:szCs w:val="16"/>
                <w:lang w:val="en-GB"/>
              </w:rPr>
            </w:pPr>
            <w:r>
              <w:rPr>
                <w:sz w:val="16"/>
                <w:szCs w:val="16"/>
                <w:lang w:val="en-GB"/>
              </w:rPr>
              <w:tab/>
            </w:r>
            <w:r w:rsidR="000F2065" w:rsidRPr="00964873">
              <w:rPr>
                <w:sz w:val="16"/>
                <w:szCs w:val="16"/>
                <w:lang w:val="en-GB"/>
              </w:rPr>
              <w:t>0.92</w:t>
            </w:r>
            <w:r>
              <w:rPr>
                <w:sz w:val="16"/>
                <w:szCs w:val="16"/>
                <w:lang w:val="en-GB"/>
              </w:rPr>
              <w:tab/>
            </w:r>
            <w:r w:rsidR="000F2065" w:rsidRPr="00964873">
              <w:rPr>
                <w:sz w:val="16"/>
                <w:szCs w:val="16"/>
                <w:lang w:val="en-GB"/>
              </w:rPr>
              <w:t>± 4.7%</w:t>
            </w:r>
          </w:p>
        </w:tc>
        <w:tc>
          <w:tcPr>
            <w:tcW w:w="1205" w:type="dxa"/>
            <w:noWrap/>
            <w:tcMar>
              <w:left w:w="0" w:type="dxa"/>
              <w:right w:w="0" w:type="dxa"/>
            </w:tcMar>
            <w:vAlign w:val="bottom"/>
            <w:hideMark/>
          </w:tcPr>
          <w:p w14:paraId="33699A5A" w14:textId="5CB6D6FE" w:rsidR="000F2065" w:rsidRPr="007E6E39" w:rsidRDefault="007E6E39" w:rsidP="00964873">
            <w:pPr>
              <w:pStyle w:val="Els-body-text"/>
              <w:tabs>
                <w:tab w:val="right" w:pos="510"/>
                <w:tab w:val="left" w:pos="539"/>
              </w:tabs>
              <w:jc w:val="left"/>
              <w:rPr>
                <w:sz w:val="16"/>
                <w:szCs w:val="16"/>
                <w:lang w:val="en-GB"/>
              </w:rPr>
            </w:pPr>
            <w:r>
              <w:rPr>
                <w:sz w:val="16"/>
                <w:szCs w:val="16"/>
                <w:lang w:val="en-GB"/>
              </w:rPr>
              <w:tab/>
            </w:r>
            <w:r w:rsidR="000F2065" w:rsidRPr="00964873">
              <w:rPr>
                <w:sz w:val="16"/>
                <w:szCs w:val="16"/>
                <w:lang w:val="en-GB"/>
              </w:rPr>
              <w:t>1.00</w:t>
            </w:r>
            <w:r>
              <w:rPr>
                <w:sz w:val="16"/>
                <w:szCs w:val="16"/>
                <w:lang w:val="en-GB"/>
              </w:rPr>
              <w:tab/>
            </w:r>
            <w:r w:rsidR="000F2065" w:rsidRPr="00964873">
              <w:rPr>
                <w:sz w:val="16"/>
                <w:szCs w:val="16"/>
                <w:lang w:val="en-GB"/>
              </w:rPr>
              <w:t>± 0</w:t>
            </w:r>
            <w:r w:rsidR="008A47C9">
              <w:rPr>
                <w:sz w:val="16"/>
                <w:szCs w:val="16"/>
                <w:lang w:val="en-GB"/>
              </w:rPr>
              <w:t>.0</w:t>
            </w:r>
            <w:r w:rsidR="000F2065" w:rsidRPr="00964873">
              <w:rPr>
                <w:sz w:val="16"/>
                <w:szCs w:val="16"/>
                <w:lang w:val="en-GB"/>
              </w:rPr>
              <w:t>%</w:t>
            </w:r>
            <w:r w:rsidR="006F2D23">
              <w:rPr>
                <w:sz w:val="16"/>
                <w:szCs w:val="16"/>
                <w:lang w:val="en-GB"/>
              </w:rPr>
              <w:t xml:space="preserve"> </w:t>
            </w:r>
            <w:r w:rsidR="000F2065" w:rsidRPr="00964873">
              <w:rPr>
                <w:i/>
                <w:iCs/>
                <w:sz w:val="16"/>
                <w:szCs w:val="16"/>
                <w:vertAlign w:val="superscript"/>
                <w:lang w:val="en-GB"/>
              </w:rPr>
              <w:t>(a)</w:t>
            </w:r>
          </w:p>
        </w:tc>
        <w:tc>
          <w:tcPr>
            <w:tcW w:w="1205" w:type="dxa"/>
            <w:noWrap/>
            <w:tcMar>
              <w:left w:w="0" w:type="dxa"/>
              <w:right w:w="0" w:type="dxa"/>
            </w:tcMar>
            <w:vAlign w:val="bottom"/>
            <w:hideMark/>
          </w:tcPr>
          <w:p w14:paraId="755346BC" w14:textId="0F8BAAB8" w:rsidR="000F2065" w:rsidRPr="007E6E39" w:rsidRDefault="007E6E39" w:rsidP="00964873">
            <w:pPr>
              <w:pStyle w:val="Els-body-text"/>
              <w:tabs>
                <w:tab w:val="right" w:pos="510"/>
                <w:tab w:val="left" w:pos="539"/>
              </w:tabs>
              <w:jc w:val="left"/>
              <w:rPr>
                <w:sz w:val="16"/>
                <w:szCs w:val="16"/>
                <w:lang w:val="en-GB"/>
              </w:rPr>
            </w:pPr>
            <w:r>
              <w:rPr>
                <w:sz w:val="16"/>
                <w:szCs w:val="16"/>
                <w:lang w:val="en-GB"/>
              </w:rPr>
              <w:tab/>
            </w:r>
            <w:r w:rsidR="000F2065" w:rsidRPr="00964873">
              <w:rPr>
                <w:sz w:val="16"/>
                <w:szCs w:val="16"/>
                <w:lang w:val="en-GB"/>
              </w:rPr>
              <w:t>0.78</w:t>
            </w:r>
            <w:r>
              <w:rPr>
                <w:sz w:val="16"/>
                <w:szCs w:val="16"/>
                <w:lang w:val="en-GB"/>
              </w:rPr>
              <w:tab/>
            </w:r>
            <w:r w:rsidR="000F2065" w:rsidRPr="00964873">
              <w:rPr>
                <w:sz w:val="16"/>
                <w:szCs w:val="16"/>
                <w:lang w:val="en-GB"/>
              </w:rPr>
              <w:t>± 19.6%</w:t>
            </w:r>
          </w:p>
        </w:tc>
      </w:tr>
      <w:tr w:rsidR="000F2065" w:rsidRPr="00510C0D" w14:paraId="78B6CF9D" w14:textId="77777777" w:rsidTr="00964873">
        <w:trPr>
          <w:trHeight w:val="113"/>
          <w:jc w:val="center"/>
        </w:trPr>
        <w:tc>
          <w:tcPr>
            <w:tcW w:w="2127" w:type="dxa"/>
            <w:noWrap/>
            <w:tcMar>
              <w:left w:w="0" w:type="dxa"/>
              <w:right w:w="0" w:type="dxa"/>
            </w:tcMar>
            <w:vAlign w:val="center"/>
            <w:hideMark/>
          </w:tcPr>
          <w:p w14:paraId="6562B836" w14:textId="7C211774" w:rsidR="000F2065" w:rsidRPr="00510C0D" w:rsidRDefault="000F2065" w:rsidP="000F2065">
            <w:pPr>
              <w:pStyle w:val="Els-body-text"/>
              <w:jc w:val="left"/>
              <w:rPr>
                <w:sz w:val="16"/>
                <w:szCs w:val="16"/>
                <w:lang w:val="en-GB"/>
              </w:rPr>
            </w:pPr>
            <w:r w:rsidRPr="00510C0D">
              <w:rPr>
                <w:sz w:val="16"/>
                <w:szCs w:val="16"/>
                <w:lang w:val="en-GB"/>
              </w:rPr>
              <w:t xml:space="preserve">Feasible range of </w:t>
            </w:r>
            <m:oMath>
              <m:sSub>
                <m:sSubPr>
                  <m:ctrlPr>
                    <w:rPr>
                      <w:rFonts w:ascii="Cambria Math" w:hAnsi="Cambria Math"/>
                      <w:i/>
                      <w:sz w:val="16"/>
                      <w:szCs w:val="16"/>
                      <w:lang w:val="en-GB"/>
                    </w:rPr>
                  </m:ctrlPr>
                </m:sSubPr>
                <m:e>
                  <m:r>
                    <w:rPr>
                      <w:rFonts w:ascii="Cambria Math" w:hAnsi="Cambria Math"/>
                      <w:sz w:val="16"/>
                      <w:szCs w:val="16"/>
                      <w:lang w:val="en-GB"/>
                    </w:rPr>
                    <m:t>P</m:t>
                  </m:r>
                </m:e>
                <m:sub>
                  <m:r>
                    <m:rPr>
                      <m:nor/>
                    </m:rPr>
                    <w:rPr>
                      <w:rFonts w:ascii="Cambria Math" w:hAnsi="Cambria Math"/>
                      <w:sz w:val="16"/>
                      <w:szCs w:val="16"/>
                      <w:lang w:val="en-GB"/>
                    </w:rPr>
                    <m:t>L</m:t>
                  </m:r>
                </m:sub>
              </m:sSub>
            </m:oMath>
            <w:r>
              <w:rPr>
                <w:sz w:val="16"/>
                <w:szCs w:val="16"/>
                <w:lang w:val="en-GB"/>
              </w:rPr>
              <w:t xml:space="preserve"> (bar)</w:t>
            </w:r>
          </w:p>
        </w:tc>
        <w:tc>
          <w:tcPr>
            <w:tcW w:w="1204" w:type="dxa"/>
            <w:noWrap/>
            <w:tcMar>
              <w:left w:w="0" w:type="dxa"/>
              <w:right w:w="0" w:type="dxa"/>
            </w:tcMar>
            <w:hideMark/>
          </w:tcPr>
          <w:p w14:paraId="1741E927" w14:textId="01A62D2D" w:rsidR="000F2065" w:rsidRPr="00B56967" w:rsidRDefault="007E6E39" w:rsidP="00964873">
            <w:pPr>
              <w:pStyle w:val="Els-body-text"/>
              <w:tabs>
                <w:tab w:val="right" w:pos="510"/>
                <w:tab w:val="left" w:pos="539"/>
              </w:tabs>
              <w:jc w:val="left"/>
              <w:rPr>
                <w:sz w:val="16"/>
                <w:szCs w:val="16"/>
                <w:lang w:val="en-GB"/>
              </w:rPr>
            </w:pPr>
            <w:r>
              <w:rPr>
                <w:sz w:val="16"/>
                <w:szCs w:val="16"/>
                <w:lang w:val="en-GB"/>
              </w:rPr>
              <w:tab/>
            </w:r>
            <w:r w:rsidR="000F2065" w:rsidRPr="00964873">
              <w:rPr>
                <w:sz w:val="16"/>
                <w:szCs w:val="16"/>
                <w:lang w:val="en-GB"/>
              </w:rPr>
              <w:t>0.03</w:t>
            </w:r>
            <w:r>
              <w:rPr>
                <w:sz w:val="16"/>
                <w:szCs w:val="16"/>
                <w:lang w:val="en-GB"/>
              </w:rPr>
              <w:tab/>
            </w:r>
            <w:r w:rsidR="000F2065" w:rsidRPr="00964873">
              <w:rPr>
                <w:sz w:val="16"/>
                <w:szCs w:val="16"/>
                <w:lang w:val="en-GB"/>
              </w:rPr>
              <w:t>± 3.0%</w:t>
            </w:r>
          </w:p>
        </w:tc>
        <w:tc>
          <w:tcPr>
            <w:tcW w:w="1205" w:type="dxa"/>
            <w:noWrap/>
            <w:tcMar>
              <w:left w:w="0" w:type="dxa"/>
              <w:right w:w="0" w:type="dxa"/>
            </w:tcMar>
            <w:vAlign w:val="bottom"/>
            <w:hideMark/>
          </w:tcPr>
          <w:p w14:paraId="569A4878" w14:textId="5FCF082E" w:rsidR="000F2065" w:rsidRPr="007E6E39" w:rsidRDefault="007E6E39" w:rsidP="00964873">
            <w:pPr>
              <w:pStyle w:val="Els-body-text"/>
              <w:tabs>
                <w:tab w:val="right" w:pos="510"/>
                <w:tab w:val="left" w:pos="539"/>
              </w:tabs>
              <w:jc w:val="left"/>
              <w:rPr>
                <w:sz w:val="16"/>
                <w:szCs w:val="16"/>
                <w:lang w:val="en-GB"/>
              </w:rPr>
            </w:pPr>
            <w:r>
              <w:rPr>
                <w:sz w:val="16"/>
                <w:szCs w:val="16"/>
                <w:lang w:val="en-GB"/>
              </w:rPr>
              <w:tab/>
            </w:r>
            <w:r w:rsidR="000F2065" w:rsidRPr="00964873">
              <w:rPr>
                <w:sz w:val="16"/>
                <w:szCs w:val="16"/>
                <w:lang w:val="en-GB"/>
              </w:rPr>
              <w:t>0.03</w:t>
            </w:r>
            <w:r>
              <w:rPr>
                <w:sz w:val="16"/>
                <w:szCs w:val="16"/>
                <w:lang w:val="en-GB"/>
              </w:rPr>
              <w:tab/>
            </w:r>
            <w:r w:rsidR="000F2065" w:rsidRPr="00964873">
              <w:rPr>
                <w:sz w:val="16"/>
                <w:szCs w:val="16"/>
                <w:lang w:val="en-GB"/>
              </w:rPr>
              <w:t>± 6.0%</w:t>
            </w:r>
          </w:p>
        </w:tc>
        <w:tc>
          <w:tcPr>
            <w:tcW w:w="1205" w:type="dxa"/>
            <w:noWrap/>
            <w:tcMar>
              <w:left w:w="0" w:type="dxa"/>
              <w:right w:w="0" w:type="dxa"/>
            </w:tcMar>
            <w:vAlign w:val="bottom"/>
            <w:hideMark/>
          </w:tcPr>
          <w:p w14:paraId="2A6118A8" w14:textId="6D62A57D" w:rsidR="000F2065" w:rsidRPr="007E6E39" w:rsidRDefault="007E6E39" w:rsidP="00964873">
            <w:pPr>
              <w:pStyle w:val="Els-body-text"/>
              <w:tabs>
                <w:tab w:val="right" w:pos="510"/>
                <w:tab w:val="left" w:pos="539"/>
              </w:tabs>
              <w:jc w:val="left"/>
              <w:rPr>
                <w:sz w:val="16"/>
                <w:szCs w:val="16"/>
                <w:lang w:val="en-GB"/>
              </w:rPr>
            </w:pPr>
            <w:r>
              <w:rPr>
                <w:sz w:val="16"/>
                <w:szCs w:val="16"/>
                <w:lang w:val="en-GB"/>
              </w:rPr>
              <w:tab/>
            </w:r>
            <w:r w:rsidR="000F2065" w:rsidRPr="00964873">
              <w:rPr>
                <w:sz w:val="16"/>
                <w:szCs w:val="16"/>
                <w:lang w:val="en-GB"/>
              </w:rPr>
              <w:t>0.07</w:t>
            </w:r>
            <w:r>
              <w:rPr>
                <w:sz w:val="16"/>
                <w:szCs w:val="16"/>
                <w:lang w:val="en-GB"/>
              </w:rPr>
              <w:tab/>
            </w:r>
            <w:r w:rsidR="000F2065" w:rsidRPr="00964873">
              <w:rPr>
                <w:sz w:val="16"/>
                <w:szCs w:val="16"/>
                <w:lang w:val="en-GB"/>
              </w:rPr>
              <w:t>± 0</w:t>
            </w:r>
            <w:r w:rsidR="008A47C9">
              <w:rPr>
                <w:sz w:val="16"/>
                <w:szCs w:val="16"/>
                <w:lang w:val="en-GB"/>
              </w:rPr>
              <w:t>.0</w:t>
            </w:r>
            <w:r w:rsidR="000F2065" w:rsidRPr="00964873">
              <w:rPr>
                <w:sz w:val="16"/>
                <w:szCs w:val="16"/>
                <w:lang w:val="en-GB"/>
              </w:rPr>
              <w:t>%</w:t>
            </w:r>
            <w:r w:rsidR="006F2D23">
              <w:rPr>
                <w:sz w:val="16"/>
                <w:szCs w:val="16"/>
                <w:lang w:val="en-GB"/>
              </w:rPr>
              <w:t xml:space="preserve"> </w:t>
            </w:r>
            <w:r w:rsidR="000F2065" w:rsidRPr="00964873">
              <w:rPr>
                <w:i/>
                <w:iCs/>
                <w:sz w:val="16"/>
                <w:szCs w:val="16"/>
                <w:vertAlign w:val="superscript"/>
                <w:lang w:val="en-GB"/>
              </w:rPr>
              <w:t>(a)</w:t>
            </w:r>
          </w:p>
        </w:tc>
        <w:tc>
          <w:tcPr>
            <w:tcW w:w="1205" w:type="dxa"/>
            <w:noWrap/>
            <w:tcMar>
              <w:left w:w="0" w:type="dxa"/>
              <w:right w:w="0" w:type="dxa"/>
            </w:tcMar>
            <w:vAlign w:val="bottom"/>
            <w:hideMark/>
          </w:tcPr>
          <w:p w14:paraId="69FBB760" w14:textId="51AE2C49" w:rsidR="000F2065" w:rsidRPr="007E6E39" w:rsidRDefault="007E6E39" w:rsidP="00964873">
            <w:pPr>
              <w:pStyle w:val="Els-body-text"/>
              <w:tabs>
                <w:tab w:val="right" w:pos="510"/>
                <w:tab w:val="left" w:pos="539"/>
              </w:tabs>
              <w:jc w:val="left"/>
              <w:rPr>
                <w:sz w:val="16"/>
                <w:szCs w:val="16"/>
                <w:lang w:val="en-GB"/>
              </w:rPr>
            </w:pPr>
            <w:r>
              <w:rPr>
                <w:sz w:val="16"/>
                <w:szCs w:val="16"/>
                <w:lang w:val="en-GB"/>
              </w:rPr>
              <w:tab/>
            </w:r>
            <w:r w:rsidR="000F2065" w:rsidRPr="00964873">
              <w:rPr>
                <w:sz w:val="16"/>
                <w:szCs w:val="16"/>
                <w:lang w:val="en-GB"/>
              </w:rPr>
              <w:t>0.06</w:t>
            </w:r>
            <w:r>
              <w:rPr>
                <w:sz w:val="16"/>
                <w:szCs w:val="16"/>
                <w:lang w:val="en-GB"/>
              </w:rPr>
              <w:tab/>
            </w:r>
            <w:r w:rsidR="000F2065" w:rsidRPr="00964873">
              <w:rPr>
                <w:sz w:val="16"/>
                <w:szCs w:val="16"/>
                <w:lang w:val="en-GB"/>
              </w:rPr>
              <w:t>± 18.2%</w:t>
            </w:r>
          </w:p>
        </w:tc>
      </w:tr>
      <w:tr w:rsidR="004C332C" w:rsidRPr="00510C0D" w14:paraId="1F0D75CC" w14:textId="77777777" w:rsidTr="00964873">
        <w:trPr>
          <w:trHeight w:val="113"/>
          <w:jc w:val="center"/>
        </w:trPr>
        <w:tc>
          <w:tcPr>
            <w:tcW w:w="2127" w:type="dxa"/>
            <w:noWrap/>
            <w:tcMar>
              <w:left w:w="0" w:type="dxa"/>
              <w:right w:w="0" w:type="dxa"/>
            </w:tcMar>
            <w:vAlign w:val="center"/>
            <w:hideMark/>
          </w:tcPr>
          <w:p w14:paraId="1847AFE6" w14:textId="422CC557" w:rsidR="004C332C" w:rsidRPr="00510C0D" w:rsidRDefault="004C332C" w:rsidP="00311C5D">
            <w:pPr>
              <w:pStyle w:val="Els-body-text"/>
              <w:jc w:val="left"/>
              <w:rPr>
                <w:sz w:val="16"/>
                <w:szCs w:val="16"/>
                <w:lang w:val="en-GB"/>
              </w:rPr>
            </w:pPr>
            <w:r w:rsidRPr="00510C0D">
              <w:rPr>
                <w:sz w:val="16"/>
                <w:szCs w:val="16"/>
                <w:lang w:val="en-GB"/>
              </w:rPr>
              <w:t>Normalised space size (NSS</w:t>
            </w:r>
            <w:r>
              <w:rPr>
                <w:sz w:val="16"/>
                <w:szCs w:val="16"/>
                <w:lang w:val="en-GB"/>
              </w:rPr>
              <w:t>)</w:t>
            </w:r>
          </w:p>
        </w:tc>
        <w:tc>
          <w:tcPr>
            <w:tcW w:w="1204" w:type="dxa"/>
            <w:noWrap/>
            <w:tcMar>
              <w:left w:w="0" w:type="dxa"/>
              <w:right w:w="0" w:type="dxa"/>
            </w:tcMar>
            <w:vAlign w:val="center"/>
            <w:hideMark/>
          </w:tcPr>
          <w:p w14:paraId="1133D9C2" w14:textId="359AF02D" w:rsidR="004C332C" w:rsidRPr="00510C0D" w:rsidRDefault="00384F35" w:rsidP="00964873">
            <w:pPr>
              <w:pStyle w:val="Els-body-text"/>
              <w:tabs>
                <w:tab w:val="right" w:pos="510"/>
                <w:tab w:val="left" w:pos="539"/>
              </w:tabs>
              <w:jc w:val="left"/>
              <w:rPr>
                <w:sz w:val="16"/>
                <w:szCs w:val="16"/>
                <w:lang w:val="en-GB"/>
              </w:rPr>
            </w:pPr>
            <w:r>
              <w:rPr>
                <w:sz w:val="16"/>
                <w:szCs w:val="16"/>
                <w:lang w:val="en-GB"/>
              </w:rPr>
              <w:tab/>
            </w:r>
            <w:r w:rsidR="004C332C" w:rsidRPr="00510C0D">
              <w:rPr>
                <w:sz w:val="16"/>
                <w:szCs w:val="16"/>
                <w:lang w:val="en-GB"/>
              </w:rPr>
              <w:t>0.04</w:t>
            </w:r>
            <w:r>
              <w:rPr>
                <w:sz w:val="16"/>
                <w:szCs w:val="16"/>
                <w:lang w:val="en-GB"/>
              </w:rPr>
              <w:tab/>
            </w:r>
            <w:r w:rsidR="00A808CF" w:rsidRPr="00A808CF">
              <w:rPr>
                <w:sz w:val="16"/>
                <w:szCs w:val="16"/>
                <w:lang w:val="en-GB"/>
              </w:rPr>
              <w:t>×</w:t>
            </w:r>
            <w:r w:rsidR="00A808CF">
              <w:rPr>
                <w:sz w:val="16"/>
                <w:szCs w:val="16"/>
                <w:lang w:val="en-GB"/>
              </w:rPr>
              <w:t xml:space="preserve"> 10</w:t>
            </w:r>
            <w:r w:rsidR="00A808CF" w:rsidRPr="00964873">
              <w:rPr>
                <w:sz w:val="16"/>
                <w:szCs w:val="16"/>
                <w:vertAlign w:val="superscript"/>
                <w:lang w:val="en-GB"/>
              </w:rPr>
              <w:t>2</w:t>
            </w:r>
          </w:p>
        </w:tc>
        <w:tc>
          <w:tcPr>
            <w:tcW w:w="1205" w:type="dxa"/>
            <w:noWrap/>
            <w:tcMar>
              <w:left w:w="0" w:type="dxa"/>
              <w:right w:w="0" w:type="dxa"/>
            </w:tcMar>
            <w:vAlign w:val="center"/>
            <w:hideMark/>
          </w:tcPr>
          <w:p w14:paraId="0D359ABB" w14:textId="1A41A583" w:rsidR="004C332C" w:rsidRPr="00510C0D" w:rsidRDefault="00384F35" w:rsidP="00964873">
            <w:pPr>
              <w:pStyle w:val="Els-body-text"/>
              <w:tabs>
                <w:tab w:val="right" w:pos="510"/>
                <w:tab w:val="left" w:pos="539"/>
              </w:tabs>
              <w:jc w:val="left"/>
              <w:rPr>
                <w:sz w:val="16"/>
                <w:szCs w:val="16"/>
                <w:lang w:val="en-GB"/>
              </w:rPr>
            </w:pPr>
            <w:r>
              <w:rPr>
                <w:sz w:val="16"/>
                <w:szCs w:val="16"/>
                <w:lang w:val="en-GB"/>
              </w:rPr>
              <w:tab/>
            </w:r>
            <w:r w:rsidR="004C332C" w:rsidRPr="00510C0D">
              <w:rPr>
                <w:sz w:val="16"/>
                <w:szCs w:val="16"/>
                <w:lang w:val="en-GB"/>
              </w:rPr>
              <w:t>0.26</w:t>
            </w:r>
            <w:r>
              <w:rPr>
                <w:sz w:val="16"/>
                <w:szCs w:val="16"/>
                <w:lang w:val="en-GB"/>
              </w:rPr>
              <w:tab/>
            </w:r>
            <w:r w:rsidR="00C1047F" w:rsidRPr="00A808CF">
              <w:rPr>
                <w:sz w:val="16"/>
                <w:szCs w:val="16"/>
                <w:lang w:val="en-GB"/>
              </w:rPr>
              <w:t>×</w:t>
            </w:r>
            <w:r w:rsidR="00C1047F">
              <w:rPr>
                <w:sz w:val="16"/>
                <w:szCs w:val="16"/>
                <w:lang w:val="en-GB"/>
              </w:rPr>
              <w:t xml:space="preserve"> 10</w:t>
            </w:r>
            <w:r w:rsidR="00C1047F" w:rsidRPr="003B073F">
              <w:rPr>
                <w:sz w:val="16"/>
                <w:szCs w:val="16"/>
                <w:vertAlign w:val="superscript"/>
                <w:lang w:val="en-GB"/>
              </w:rPr>
              <w:t>2</w:t>
            </w:r>
          </w:p>
        </w:tc>
        <w:tc>
          <w:tcPr>
            <w:tcW w:w="1205" w:type="dxa"/>
            <w:noWrap/>
            <w:tcMar>
              <w:left w:w="0" w:type="dxa"/>
              <w:right w:w="0" w:type="dxa"/>
            </w:tcMar>
            <w:hideMark/>
          </w:tcPr>
          <w:p w14:paraId="5D8A1CC7" w14:textId="0847D9F7" w:rsidR="004C332C" w:rsidRPr="00510C0D" w:rsidRDefault="00384F35" w:rsidP="00964873">
            <w:pPr>
              <w:pStyle w:val="Els-body-text"/>
              <w:tabs>
                <w:tab w:val="right" w:pos="510"/>
                <w:tab w:val="left" w:pos="539"/>
              </w:tabs>
              <w:jc w:val="left"/>
              <w:rPr>
                <w:sz w:val="16"/>
                <w:szCs w:val="16"/>
                <w:lang w:val="en-GB"/>
              </w:rPr>
            </w:pPr>
            <w:r>
              <w:rPr>
                <w:sz w:val="16"/>
                <w:szCs w:val="16"/>
                <w:lang w:val="en-GB"/>
              </w:rPr>
              <w:tab/>
            </w:r>
            <w:r w:rsidR="004C332C">
              <w:rPr>
                <w:sz w:val="16"/>
                <w:szCs w:val="16"/>
                <w:lang w:val="en-GB"/>
              </w:rPr>
              <w:t>0.00</w:t>
            </w:r>
          </w:p>
        </w:tc>
        <w:tc>
          <w:tcPr>
            <w:tcW w:w="1205" w:type="dxa"/>
            <w:noWrap/>
            <w:tcMar>
              <w:left w:w="0" w:type="dxa"/>
              <w:right w:w="0" w:type="dxa"/>
            </w:tcMar>
            <w:vAlign w:val="center"/>
            <w:hideMark/>
          </w:tcPr>
          <w:p w14:paraId="167EF1C3" w14:textId="309907CD" w:rsidR="004C332C" w:rsidRPr="00510C0D" w:rsidRDefault="00384F35" w:rsidP="00964873">
            <w:pPr>
              <w:pStyle w:val="Els-body-text"/>
              <w:tabs>
                <w:tab w:val="right" w:pos="510"/>
                <w:tab w:val="left" w:pos="539"/>
              </w:tabs>
              <w:jc w:val="left"/>
              <w:rPr>
                <w:sz w:val="16"/>
                <w:szCs w:val="16"/>
                <w:lang w:val="en-GB"/>
              </w:rPr>
            </w:pPr>
            <w:r>
              <w:rPr>
                <w:sz w:val="16"/>
                <w:szCs w:val="16"/>
                <w:lang w:val="en-GB"/>
              </w:rPr>
              <w:tab/>
            </w:r>
            <w:r w:rsidR="004C332C" w:rsidRPr="00510C0D">
              <w:rPr>
                <w:sz w:val="16"/>
                <w:szCs w:val="16"/>
                <w:lang w:val="en-GB"/>
              </w:rPr>
              <w:t>5.61</w:t>
            </w:r>
            <w:r>
              <w:rPr>
                <w:sz w:val="16"/>
                <w:szCs w:val="16"/>
                <w:lang w:val="en-GB"/>
              </w:rPr>
              <w:tab/>
            </w:r>
            <w:r w:rsidR="00C1047F" w:rsidRPr="00A808CF">
              <w:rPr>
                <w:sz w:val="16"/>
                <w:szCs w:val="16"/>
                <w:lang w:val="en-GB"/>
              </w:rPr>
              <w:t>×</w:t>
            </w:r>
            <w:r w:rsidR="00C1047F">
              <w:rPr>
                <w:sz w:val="16"/>
                <w:szCs w:val="16"/>
                <w:lang w:val="en-GB"/>
              </w:rPr>
              <w:t xml:space="preserve"> 10</w:t>
            </w:r>
            <w:r w:rsidR="00C1047F" w:rsidRPr="003B073F">
              <w:rPr>
                <w:sz w:val="16"/>
                <w:szCs w:val="16"/>
                <w:vertAlign w:val="superscript"/>
                <w:lang w:val="en-GB"/>
              </w:rPr>
              <w:t>2</w:t>
            </w:r>
          </w:p>
        </w:tc>
      </w:tr>
      <w:tr w:rsidR="004C332C" w:rsidRPr="00510C0D" w14:paraId="681A60AA" w14:textId="77777777" w:rsidTr="00964873">
        <w:trPr>
          <w:trHeight w:val="113"/>
          <w:jc w:val="center"/>
        </w:trPr>
        <w:tc>
          <w:tcPr>
            <w:tcW w:w="2127" w:type="dxa"/>
            <w:noWrap/>
            <w:tcMar>
              <w:left w:w="0" w:type="dxa"/>
              <w:right w:w="0" w:type="dxa"/>
            </w:tcMar>
            <w:vAlign w:val="center"/>
            <w:hideMark/>
          </w:tcPr>
          <w:p w14:paraId="626CD02D" w14:textId="77777777" w:rsidR="004C332C" w:rsidRPr="00510C0D" w:rsidRDefault="004C332C" w:rsidP="0082230D">
            <w:pPr>
              <w:pStyle w:val="Els-body-text"/>
              <w:jc w:val="left"/>
              <w:rPr>
                <w:sz w:val="16"/>
                <w:szCs w:val="16"/>
                <w:lang w:val="en-GB"/>
              </w:rPr>
            </w:pPr>
            <w:r w:rsidRPr="00510C0D">
              <w:rPr>
                <w:sz w:val="16"/>
                <w:szCs w:val="16"/>
                <w:lang w:val="en-GB"/>
              </w:rPr>
              <w:t>CO</w:t>
            </w:r>
            <w:r w:rsidRPr="00510C0D">
              <w:rPr>
                <w:sz w:val="16"/>
                <w:szCs w:val="16"/>
                <w:vertAlign w:val="subscript"/>
                <w:lang w:val="en-GB"/>
              </w:rPr>
              <w:t>2</w:t>
            </w:r>
            <w:r w:rsidRPr="00510C0D">
              <w:rPr>
                <w:sz w:val="16"/>
                <w:szCs w:val="16"/>
                <w:lang w:val="en-GB"/>
              </w:rPr>
              <w:t xml:space="preserve"> productivity (mol/m</w:t>
            </w:r>
            <w:r w:rsidRPr="00510C0D">
              <w:rPr>
                <w:sz w:val="16"/>
                <w:szCs w:val="16"/>
                <w:vertAlign w:val="superscript"/>
                <w:lang w:val="en-GB"/>
              </w:rPr>
              <w:t>3</w:t>
            </w:r>
            <w:r w:rsidRPr="00510C0D">
              <w:rPr>
                <w:sz w:val="16"/>
                <w:szCs w:val="16"/>
                <w:lang w:val="en-GB"/>
              </w:rPr>
              <w:t>s)</w:t>
            </w:r>
          </w:p>
        </w:tc>
        <w:tc>
          <w:tcPr>
            <w:tcW w:w="1204" w:type="dxa"/>
            <w:noWrap/>
            <w:tcMar>
              <w:left w:w="0" w:type="dxa"/>
              <w:right w:w="0" w:type="dxa"/>
            </w:tcMar>
            <w:vAlign w:val="center"/>
            <w:hideMark/>
          </w:tcPr>
          <w:p w14:paraId="037B299D" w14:textId="306EA3FF" w:rsidR="004C332C" w:rsidRPr="00510C0D" w:rsidRDefault="00384F35" w:rsidP="00964873">
            <w:pPr>
              <w:pStyle w:val="Els-body-text"/>
              <w:tabs>
                <w:tab w:val="right" w:pos="510"/>
                <w:tab w:val="left" w:pos="539"/>
              </w:tabs>
              <w:jc w:val="left"/>
              <w:rPr>
                <w:sz w:val="16"/>
                <w:szCs w:val="16"/>
                <w:lang w:val="en-GB"/>
              </w:rPr>
            </w:pPr>
            <w:r>
              <w:rPr>
                <w:sz w:val="16"/>
                <w:szCs w:val="16"/>
                <w:lang w:val="en-GB"/>
              </w:rPr>
              <w:tab/>
            </w:r>
            <w:r w:rsidR="004C332C" w:rsidRPr="00510C0D">
              <w:rPr>
                <w:sz w:val="16"/>
                <w:szCs w:val="16"/>
                <w:lang w:val="en-GB"/>
              </w:rPr>
              <w:t>1.13</w:t>
            </w:r>
          </w:p>
        </w:tc>
        <w:tc>
          <w:tcPr>
            <w:tcW w:w="1205" w:type="dxa"/>
            <w:noWrap/>
            <w:tcMar>
              <w:left w:w="0" w:type="dxa"/>
              <w:right w:w="0" w:type="dxa"/>
            </w:tcMar>
            <w:vAlign w:val="center"/>
            <w:hideMark/>
          </w:tcPr>
          <w:p w14:paraId="26F828A7" w14:textId="0FAF1FC0" w:rsidR="004C332C" w:rsidRPr="00510C0D" w:rsidRDefault="00384F35" w:rsidP="00964873">
            <w:pPr>
              <w:pStyle w:val="Els-body-text"/>
              <w:tabs>
                <w:tab w:val="right" w:pos="510"/>
                <w:tab w:val="left" w:pos="539"/>
              </w:tabs>
              <w:jc w:val="left"/>
              <w:rPr>
                <w:sz w:val="16"/>
                <w:szCs w:val="16"/>
                <w:lang w:val="en-GB"/>
              </w:rPr>
            </w:pPr>
            <w:r>
              <w:rPr>
                <w:sz w:val="16"/>
                <w:szCs w:val="16"/>
                <w:lang w:val="en-GB"/>
              </w:rPr>
              <w:tab/>
            </w:r>
            <w:r w:rsidR="004C332C" w:rsidRPr="00510C0D">
              <w:rPr>
                <w:sz w:val="16"/>
                <w:szCs w:val="16"/>
                <w:lang w:val="en-GB"/>
              </w:rPr>
              <w:t>1.23</w:t>
            </w:r>
          </w:p>
        </w:tc>
        <w:tc>
          <w:tcPr>
            <w:tcW w:w="1205" w:type="dxa"/>
            <w:noWrap/>
            <w:tcMar>
              <w:left w:w="0" w:type="dxa"/>
              <w:right w:w="0" w:type="dxa"/>
            </w:tcMar>
            <w:vAlign w:val="center"/>
            <w:hideMark/>
          </w:tcPr>
          <w:p w14:paraId="3D347864" w14:textId="5F833D34" w:rsidR="004C332C" w:rsidRPr="00510C0D" w:rsidRDefault="002E62F9" w:rsidP="00964873">
            <w:pPr>
              <w:pStyle w:val="Els-body-text"/>
              <w:tabs>
                <w:tab w:val="right" w:pos="510"/>
                <w:tab w:val="left" w:pos="539"/>
              </w:tabs>
              <w:jc w:val="left"/>
              <w:rPr>
                <w:sz w:val="16"/>
                <w:szCs w:val="16"/>
                <w:lang w:val="en-GB"/>
              </w:rPr>
            </w:pPr>
            <w:r>
              <w:rPr>
                <w:sz w:val="16"/>
                <w:szCs w:val="16"/>
                <w:lang w:val="en-GB"/>
              </w:rPr>
              <w:tab/>
            </w:r>
            <w:r w:rsidR="004C332C" w:rsidRPr="00510C0D">
              <w:rPr>
                <w:sz w:val="16"/>
                <w:szCs w:val="16"/>
                <w:lang w:val="en-GB"/>
              </w:rPr>
              <w:t>0.92</w:t>
            </w:r>
          </w:p>
        </w:tc>
        <w:tc>
          <w:tcPr>
            <w:tcW w:w="1205" w:type="dxa"/>
            <w:noWrap/>
            <w:tcMar>
              <w:left w:w="0" w:type="dxa"/>
              <w:right w:w="0" w:type="dxa"/>
            </w:tcMar>
            <w:vAlign w:val="center"/>
            <w:hideMark/>
          </w:tcPr>
          <w:p w14:paraId="20FB69E6" w14:textId="0545D2EC" w:rsidR="004C332C" w:rsidRPr="00510C0D" w:rsidRDefault="002E62F9" w:rsidP="00964873">
            <w:pPr>
              <w:pStyle w:val="Els-body-text"/>
              <w:tabs>
                <w:tab w:val="right" w:pos="510"/>
                <w:tab w:val="left" w:pos="539"/>
              </w:tabs>
              <w:jc w:val="left"/>
              <w:rPr>
                <w:sz w:val="16"/>
                <w:szCs w:val="16"/>
                <w:lang w:val="en-GB"/>
              </w:rPr>
            </w:pPr>
            <w:r>
              <w:rPr>
                <w:sz w:val="16"/>
                <w:szCs w:val="16"/>
                <w:lang w:val="en-GB"/>
              </w:rPr>
              <w:tab/>
            </w:r>
            <w:r w:rsidR="004C332C" w:rsidRPr="00510C0D">
              <w:rPr>
                <w:sz w:val="16"/>
                <w:szCs w:val="16"/>
                <w:lang w:val="en-GB"/>
              </w:rPr>
              <w:t>0.95</w:t>
            </w:r>
          </w:p>
        </w:tc>
      </w:tr>
      <w:tr w:rsidR="004C332C" w:rsidRPr="00510C0D" w14:paraId="6CFBCB65" w14:textId="77777777" w:rsidTr="00964873">
        <w:trPr>
          <w:trHeight w:val="113"/>
          <w:jc w:val="center"/>
        </w:trPr>
        <w:tc>
          <w:tcPr>
            <w:tcW w:w="2127" w:type="dxa"/>
            <w:tcBorders>
              <w:bottom w:val="single" w:sz="4" w:space="0" w:color="auto"/>
            </w:tcBorders>
            <w:noWrap/>
            <w:tcMar>
              <w:left w:w="0" w:type="dxa"/>
              <w:right w:w="0" w:type="dxa"/>
            </w:tcMar>
            <w:vAlign w:val="center"/>
            <w:hideMark/>
          </w:tcPr>
          <w:p w14:paraId="56FB37DE" w14:textId="77777777" w:rsidR="004C332C" w:rsidRPr="00510C0D" w:rsidRDefault="004C332C" w:rsidP="0082230D">
            <w:pPr>
              <w:pStyle w:val="Els-body-text"/>
              <w:jc w:val="left"/>
              <w:rPr>
                <w:sz w:val="16"/>
                <w:szCs w:val="16"/>
                <w:lang w:val="en-GB"/>
              </w:rPr>
            </w:pPr>
            <w:r w:rsidRPr="00510C0D">
              <w:rPr>
                <w:sz w:val="16"/>
                <w:szCs w:val="16"/>
                <w:lang w:val="en-GB"/>
              </w:rPr>
              <w:t>Capture cost (USD/tonne)</w:t>
            </w:r>
          </w:p>
        </w:tc>
        <w:tc>
          <w:tcPr>
            <w:tcW w:w="1204" w:type="dxa"/>
            <w:tcBorders>
              <w:bottom w:val="single" w:sz="4" w:space="0" w:color="auto"/>
            </w:tcBorders>
            <w:noWrap/>
            <w:tcMar>
              <w:left w:w="0" w:type="dxa"/>
              <w:right w:w="0" w:type="dxa"/>
            </w:tcMar>
            <w:vAlign w:val="center"/>
            <w:hideMark/>
          </w:tcPr>
          <w:p w14:paraId="7E9B1EE1" w14:textId="33FEBE29" w:rsidR="004C332C" w:rsidRPr="00510C0D" w:rsidRDefault="00384F35" w:rsidP="00964873">
            <w:pPr>
              <w:pStyle w:val="Els-body-text"/>
              <w:tabs>
                <w:tab w:val="right" w:pos="510"/>
                <w:tab w:val="left" w:pos="539"/>
              </w:tabs>
              <w:jc w:val="left"/>
              <w:rPr>
                <w:sz w:val="16"/>
                <w:szCs w:val="16"/>
                <w:lang w:val="en-GB"/>
              </w:rPr>
            </w:pPr>
            <w:r>
              <w:rPr>
                <w:sz w:val="16"/>
                <w:szCs w:val="16"/>
                <w:lang w:val="en-GB"/>
              </w:rPr>
              <w:tab/>
            </w:r>
            <w:r w:rsidR="004C332C" w:rsidRPr="00510C0D">
              <w:rPr>
                <w:sz w:val="16"/>
                <w:szCs w:val="16"/>
                <w:lang w:val="en-GB"/>
              </w:rPr>
              <w:t>41.55</w:t>
            </w:r>
          </w:p>
        </w:tc>
        <w:tc>
          <w:tcPr>
            <w:tcW w:w="1205" w:type="dxa"/>
            <w:tcBorders>
              <w:bottom w:val="single" w:sz="4" w:space="0" w:color="auto"/>
            </w:tcBorders>
            <w:noWrap/>
            <w:tcMar>
              <w:left w:w="0" w:type="dxa"/>
              <w:right w:w="0" w:type="dxa"/>
            </w:tcMar>
            <w:vAlign w:val="center"/>
            <w:hideMark/>
          </w:tcPr>
          <w:p w14:paraId="1FFC98C6" w14:textId="494706D7" w:rsidR="004C332C" w:rsidRPr="00510C0D" w:rsidRDefault="002E62F9" w:rsidP="00964873">
            <w:pPr>
              <w:pStyle w:val="Els-body-text"/>
              <w:tabs>
                <w:tab w:val="right" w:pos="510"/>
                <w:tab w:val="left" w:pos="539"/>
              </w:tabs>
              <w:jc w:val="left"/>
              <w:rPr>
                <w:sz w:val="16"/>
                <w:szCs w:val="16"/>
                <w:lang w:val="en-GB"/>
              </w:rPr>
            </w:pPr>
            <w:r>
              <w:rPr>
                <w:sz w:val="16"/>
                <w:szCs w:val="16"/>
                <w:lang w:val="en-GB"/>
              </w:rPr>
              <w:tab/>
            </w:r>
            <w:r w:rsidR="004C332C" w:rsidRPr="00510C0D">
              <w:rPr>
                <w:sz w:val="16"/>
                <w:szCs w:val="16"/>
                <w:lang w:val="en-GB"/>
              </w:rPr>
              <w:t>44.07</w:t>
            </w:r>
          </w:p>
        </w:tc>
        <w:tc>
          <w:tcPr>
            <w:tcW w:w="1205" w:type="dxa"/>
            <w:tcBorders>
              <w:bottom w:val="single" w:sz="4" w:space="0" w:color="auto"/>
            </w:tcBorders>
            <w:noWrap/>
            <w:tcMar>
              <w:left w:w="0" w:type="dxa"/>
              <w:right w:w="0" w:type="dxa"/>
            </w:tcMar>
            <w:vAlign w:val="center"/>
            <w:hideMark/>
          </w:tcPr>
          <w:p w14:paraId="46A1B162" w14:textId="52FE6C4F" w:rsidR="004C332C" w:rsidRPr="00510C0D" w:rsidRDefault="002E62F9" w:rsidP="00964873">
            <w:pPr>
              <w:pStyle w:val="Els-body-text"/>
              <w:tabs>
                <w:tab w:val="right" w:pos="510"/>
                <w:tab w:val="left" w:pos="539"/>
              </w:tabs>
              <w:jc w:val="left"/>
              <w:rPr>
                <w:sz w:val="16"/>
                <w:szCs w:val="16"/>
                <w:lang w:val="en-GB"/>
              </w:rPr>
            </w:pPr>
            <w:r>
              <w:rPr>
                <w:sz w:val="16"/>
                <w:szCs w:val="16"/>
                <w:lang w:val="en-GB"/>
              </w:rPr>
              <w:tab/>
            </w:r>
            <w:r w:rsidR="004C332C" w:rsidRPr="00510C0D">
              <w:rPr>
                <w:sz w:val="16"/>
                <w:szCs w:val="16"/>
                <w:lang w:val="en-GB"/>
              </w:rPr>
              <w:t>54.46</w:t>
            </w:r>
          </w:p>
        </w:tc>
        <w:tc>
          <w:tcPr>
            <w:tcW w:w="1205" w:type="dxa"/>
            <w:tcBorders>
              <w:bottom w:val="single" w:sz="4" w:space="0" w:color="auto"/>
            </w:tcBorders>
            <w:noWrap/>
            <w:tcMar>
              <w:left w:w="0" w:type="dxa"/>
              <w:right w:w="0" w:type="dxa"/>
            </w:tcMar>
            <w:vAlign w:val="center"/>
            <w:hideMark/>
          </w:tcPr>
          <w:p w14:paraId="441ECF19" w14:textId="730CA066" w:rsidR="004C332C" w:rsidRPr="00510C0D" w:rsidRDefault="002E62F9" w:rsidP="00964873">
            <w:pPr>
              <w:pStyle w:val="Els-body-text"/>
              <w:tabs>
                <w:tab w:val="right" w:pos="510"/>
                <w:tab w:val="left" w:pos="539"/>
              </w:tabs>
              <w:jc w:val="left"/>
              <w:rPr>
                <w:sz w:val="16"/>
                <w:szCs w:val="16"/>
                <w:lang w:val="en-GB"/>
              </w:rPr>
            </w:pPr>
            <w:r>
              <w:rPr>
                <w:sz w:val="16"/>
                <w:szCs w:val="16"/>
                <w:lang w:val="en-GB"/>
              </w:rPr>
              <w:tab/>
            </w:r>
            <w:r w:rsidR="004C332C" w:rsidRPr="00510C0D">
              <w:rPr>
                <w:sz w:val="16"/>
                <w:szCs w:val="16"/>
                <w:lang w:val="en-GB"/>
              </w:rPr>
              <w:t>54.65</w:t>
            </w:r>
          </w:p>
        </w:tc>
      </w:tr>
      <w:tr w:rsidR="00B00E75" w:rsidRPr="00510C0D" w14:paraId="5AEF1CFA" w14:textId="77777777" w:rsidTr="00964873">
        <w:trPr>
          <w:trHeight w:val="113"/>
          <w:jc w:val="center"/>
        </w:trPr>
        <w:tc>
          <w:tcPr>
            <w:tcW w:w="6946" w:type="dxa"/>
            <w:gridSpan w:val="5"/>
            <w:tcBorders>
              <w:top w:val="single" w:sz="4" w:space="0" w:color="auto"/>
            </w:tcBorders>
            <w:noWrap/>
            <w:tcMar>
              <w:left w:w="0" w:type="dxa"/>
              <w:right w:w="0" w:type="dxa"/>
            </w:tcMar>
            <w:vAlign w:val="center"/>
          </w:tcPr>
          <w:p w14:paraId="20CFB212" w14:textId="3A404F15" w:rsidR="00B00E75" w:rsidRPr="00B00E75" w:rsidRDefault="00B00E75" w:rsidP="00B00E75">
            <w:pPr>
              <w:pStyle w:val="Els-body-text"/>
              <w:tabs>
                <w:tab w:val="right" w:pos="510"/>
                <w:tab w:val="left" w:pos="539"/>
              </w:tabs>
              <w:jc w:val="left"/>
              <w:rPr>
                <w:sz w:val="16"/>
                <w:szCs w:val="16"/>
                <w:lang w:val="en-GB"/>
              </w:rPr>
            </w:pPr>
            <w:r w:rsidRPr="00964873">
              <w:rPr>
                <w:i/>
                <w:iCs/>
                <w:sz w:val="16"/>
                <w:szCs w:val="16"/>
                <w:vertAlign w:val="superscript"/>
                <w:lang w:val="en-GB"/>
              </w:rPr>
              <w:t>(a)</w:t>
            </w:r>
            <w:r>
              <w:rPr>
                <w:sz w:val="16"/>
                <w:szCs w:val="16"/>
                <w:lang w:val="en-GB"/>
              </w:rPr>
              <w:t>The reported nominal operating point (Ward and Pini, 2022) is outside the design space</w:t>
            </w:r>
          </w:p>
        </w:tc>
      </w:tr>
    </w:tbl>
    <w:p w14:paraId="3332CC86" w14:textId="3643AC91" w:rsidR="00E52C00" w:rsidRDefault="0076684F" w:rsidP="00964873">
      <w:pPr>
        <w:jc w:val="both"/>
      </w:pPr>
      <w:r>
        <w:lastRenderedPageBreak/>
        <w:t xml:space="preserve">Figure 1(b). These new optimal operating points exhibit a marginal increase in capture cost when compared to the </w:t>
      </w:r>
      <w:r w:rsidR="0059539A">
        <w:t xml:space="preserve">reported operating point in a previous study </w:t>
      </w:r>
      <w:r w:rsidR="0059539A" w:rsidRPr="00E56168">
        <w:t xml:space="preserve">(Ward and Pini, </w:t>
      </w:r>
      <w:r w:rsidR="006F2D23" w:rsidRPr="00E56168">
        <w:t>2022)</w:t>
      </w:r>
      <w:r w:rsidR="006F2D23">
        <w:t xml:space="preserve">. </w:t>
      </w:r>
      <w:r w:rsidR="00B839A1">
        <w:t xml:space="preserve">It is noted here that the marginal increase in capture cost is compensated by a significant enhancement in process flexibility, as indicated by their corresponding value of NSS. </w:t>
      </w:r>
      <w:r w:rsidR="00E52C00" w:rsidRPr="006A771A">
        <w:rPr>
          <w:lang w:val="en-US"/>
        </w:rPr>
        <w:t>Moreover, it's worth noting that under the</w:t>
      </w:r>
      <w:r w:rsidR="00E52C00" w:rsidRPr="00640435">
        <w:rPr>
          <w:lang w:val="en-US"/>
        </w:rPr>
        <w:t xml:space="preserve"> </w:t>
      </w:r>
      <w:r w:rsidR="00E52C00" w:rsidRPr="006A771A">
        <w:rPr>
          <w:lang w:val="en-US"/>
        </w:rPr>
        <w:t>proposed</w:t>
      </w:r>
      <w:r w:rsidR="00E52C00">
        <w:rPr>
          <w:lang w:val="en-US"/>
        </w:rPr>
        <w:t xml:space="preserve"> operating point</w:t>
      </w:r>
      <w:r w:rsidR="00E52C00" w:rsidRPr="006A771A">
        <w:rPr>
          <w:lang w:val="en-US"/>
        </w:rPr>
        <w:t>, another crucial process performance metric</w:t>
      </w:r>
      <w:r w:rsidR="00E52C00">
        <w:rPr>
          <w:lang w:val="en-US"/>
        </w:rPr>
        <w:t xml:space="preserve">, </w:t>
      </w:r>
      <w:r w:rsidR="00E52C00" w:rsidRPr="006A771A">
        <w:rPr>
          <w:lang w:val="en-US"/>
        </w:rPr>
        <w:t>CO</w:t>
      </w:r>
      <w:r w:rsidR="00E52C00" w:rsidRPr="00524CB5">
        <w:rPr>
          <w:vertAlign w:val="subscript"/>
          <w:lang w:val="en-US"/>
        </w:rPr>
        <w:t>2</w:t>
      </w:r>
      <w:r w:rsidR="00E52C00">
        <w:rPr>
          <w:lang w:val="en-US"/>
        </w:rPr>
        <w:t xml:space="preserve"> </w:t>
      </w:r>
      <w:r w:rsidR="00E52C00" w:rsidRPr="006A771A">
        <w:rPr>
          <w:lang w:val="en-US"/>
        </w:rPr>
        <w:t>productivity</w:t>
      </w:r>
      <w:r w:rsidR="00E52C00">
        <w:rPr>
          <w:lang w:val="en-US"/>
        </w:rPr>
        <w:t xml:space="preserve">, </w:t>
      </w:r>
      <w:r w:rsidR="00E52C00" w:rsidRPr="006A771A">
        <w:rPr>
          <w:lang w:val="en-US"/>
        </w:rPr>
        <w:t>exhibits a subtle improvement. Consequently, for the studied PVSA system and adsorbent materials, the trade-off between an increase in capture cost and the process performance appears to be almost fully advantageous in favor of process flexibility rather than the CO</w:t>
      </w:r>
      <w:r w:rsidR="00E52C00" w:rsidRPr="00524CB5">
        <w:rPr>
          <w:vertAlign w:val="subscript"/>
          <w:lang w:val="en-US"/>
        </w:rPr>
        <w:t>2</w:t>
      </w:r>
      <w:r w:rsidR="00E52C00" w:rsidRPr="006A771A">
        <w:rPr>
          <w:lang w:val="en-US"/>
        </w:rPr>
        <w:t xml:space="preserve"> productivity.</w:t>
      </w:r>
    </w:p>
    <w:p w14:paraId="7F53335A" w14:textId="40760A6B" w:rsidR="007C147B" w:rsidRDefault="007C147B" w:rsidP="00D67EE2">
      <w:pPr>
        <w:pStyle w:val="Els-1storder-head"/>
      </w:pPr>
      <w:r>
        <w:t>Conclusions</w:t>
      </w:r>
    </w:p>
    <w:p w14:paraId="11D1C72A" w14:textId="013605A9" w:rsidR="007C147B" w:rsidRDefault="007C147B" w:rsidP="007C147B">
      <w:pPr>
        <w:pStyle w:val="Els-body-text"/>
        <w:spacing w:after="120"/>
      </w:pPr>
      <w:r>
        <w:t xml:space="preserve">In this study, a comprehensive exploration of the design space and operational flexibility of </w:t>
      </w:r>
      <w:r w:rsidR="001D6813">
        <w:t>CO</w:t>
      </w:r>
      <w:r w:rsidR="001D6813">
        <w:rPr>
          <w:vertAlign w:val="subscript"/>
        </w:rPr>
        <w:t>2</w:t>
      </w:r>
      <w:r>
        <w:t xml:space="preserve"> capture via post-combustion </w:t>
      </w:r>
      <w:r w:rsidR="001D6813">
        <w:t>PVSA</w:t>
      </w:r>
      <w:r w:rsidR="00E04974">
        <w:t xml:space="preserve"> has been performed</w:t>
      </w:r>
      <w:r>
        <w:t xml:space="preserve">. Through a combination of </w:t>
      </w:r>
      <w:r w:rsidR="001D6813">
        <w:t xml:space="preserve">global sensitivity analysis </w:t>
      </w:r>
      <w:r>
        <w:t>and design space analysis</w:t>
      </w:r>
      <w:r w:rsidR="00E04974">
        <w:t>,</w:t>
      </w:r>
      <w:r>
        <w:t xml:space="preserve"> valuable insights into the complex interaction between process parameters, performance indicators, and the operational landscape of the system</w:t>
      </w:r>
      <w:r w:rsidR="00DC65F4">
        <w:t xml:space="preserve"> have been gathered</w:t>
      </w:r>
      <w:r>
        <w:t>.</w:t>
      </w:r>
      <w:r w:rsidR="00D67EE2">
        <w:t xml:space="preserve"> </w:t>
      </w:r>
      <w:r w:rsidR="00BA7B08">
        <w:t>The framework</w:t>
      </w:r>
      <w:r>
        <w:t xml:space="preserve"> began by </w:t>
      </w:r>
      <w:r w:rsidR="00EE7759">
        <w:t>utilizing</w:t>
      </w:r>
      <w:r>
        <w:t xml:space="preserve"> </w:t>
      </w:r>
      <w:r w:rsidR="002918CA">
        <w:t>GSA</w:t>
      </w:r>
      <w:r>
        <w:t xml:space="preserve"> to </w:t>
      </w:r>
      <w:r w:rsidR="001E0A67">
        <w:t xml:space="preserve">help </w:t>
      </w:r>
      <w:r w:rsidR="00EE7759">
        <w:t>justify</w:t>
      </w:r>
      <w:r>
        <w:t xml:space="preserve"> the choice of process parameters for consideration, thereby reducing the dimensionality of </w:t>
      </w:r>
      <w:r w:rsidR="00A83F33">
        <w:t>the design</w:t>
      </w:r>
      <w:r>
        <w:t xml:space="preserve"> </w:t>
      </w:r>
      <w:r w:rsidR="00F34AEF">
        <w:t>exercise</w:t>
      </w:r>
      <w:r>
        <w:t>. Using this choice of parameters, design space analysis</w:t>
      </w:r>
      <w:r w:rsidR="00BA7B08">
        <w:t xml:space="preserve"> was then conducted</w:t>
      </w:r>
      <w:r w:rsidR="00F94D66">
        <w:t>. This</w:t>
      </w:r>
      <w:r>
        <w:t xml:space="preserve"> method </w:t>
      </w:r>
      <w:r w:rsidR="00AA3BD8">
        <w:t xml:space="preserve">successfully </w:t>
      </w:r>
      <w:r>
        <w:t>map</w:t>
      </w:r>
      <w:r w:rsidR="00AA3BD8">
        <w:t>ped</w:t>
      </w:r>
      <w:r>
        <w:t xml:space="preserve"> out the operating parameter combinations yielding feasible results, given the </w:t>
      </w:r>
      <w:r w:rsidR="001E0A67">
        <w:t>CO</w:t>
      </w:r>
      <w:r w:rsidR="001E0A67">
        <w:rPr>
          <w:vertAlign w:val="subscript"/>
        </w:rPr>
        <w:t>2</w:t>
      </w:r>
      <w:r w:rsidR="001E0A67">
        <w:t xml:space="preserve"> </w:t>
      </w:r>
      <w:r>
        <w:t xml:space="preserve">purity and </w:t>
      </w:r>
      <w:r w:rsidR="001E0A67">
        <w:t>CO</w:t>
      </w:r>
      <w:r w:rsidR="001E0A67">
        <w:rPr>
          <w:vertAlign w:val="subscript"/>
        </w:rPr>
        <w:t>2</w:t>
      </w:r>
      <w:r w:rsidR="001E0A67">
        <w:t xml:space="preserve"> </w:t>
      </w:r>
      <w:r>
        <w:t xml:space="preserve">recovery constraints. This analysis </w:t>
      </w:r>
      <w:r w:rsidR="00EE7759">
        <w:t>emphasized</w:t>
      </w:r>
      <w:r>
        <w:t xml:space="preserve"> the importance of considering not only performance metrics like </w:t>
      </w:r>
      <w:r w:rsidR="001E0A67">
        <w:t>CO</w:t>
      </w:r>
      <w:r w:rsidR="001E0A67">
        <w:rPr>
          <w:vertAlign w:val="subscript"/>
        </w:rPr>
        <w:t>2</w:t>
      </w:r>
      <w:r w:rsidR="001E0A67">
        <w:t xml:space="preserve"> </w:t>
      </w:r>
      <w:r>
        <w:t xml:space="preserve">productivity, </w:t>
      </w:r>
      <w:r w:rsidR="001E0A67">
        <w:t>CO</w:t>
      </w:r>
      <w:r w:rsidR="001E0A67">
        <w:rPr>
          <w:vertAlign w:val="subscript"/>
        </w:rPr>
        <w:t>2</w:t>
      </w:r>
      <w:r w:rsidR="001E0A67">
        <w:t xml:space="preserve"> </w:t>
      </w:r>
      <w:r>
        <w:t xml:space="preserve">purity, </w:t>
      </w:r>
      <w:r w:rsidR="001E0A67">
        <w:t>CO</w:t>
      </w:r>
      <w:r w:rsidR="001E0A67">
        <w:rPr>
          <w:vertAlign w:val="subscript"/>
        </w:rPr>
        <w:t>2</w:t>
      </w:r>
      <w:r w:rsidR="001E0A67">
        <w:t xml:space="preserve"> </w:t>
      </w:r>
      <w:r>
        <w:t>recovery, and the capture cost, but also the concept of</w:t>
      </w:r>
      <w:r w:rsidR="001E0A67">
        <w:t xml:space="preserve"> </w:t>
      </w:r>
      <w:r w:rsidR="00F34AEF">
        <w:t>normalized</w:t>
      </w:r>
      <w:r w:rsidR="001E0A67">
        <w:t xml:space="preserve"> space size (NSS)</w:t>
      </w:r>
      <w:r>
        <w:t xml:space="preserve">, which </w:t>
      </w:r>
      <w:r w:rsidR="00EE7759">
        <w:t>characterizes</w:t>
      </w:r>
      <w:r>
        <w:t xml:space="preserve"> the flexibility of the operational space around </w:t>
      </w:r>
      <w:r w:rsidR="001E0A67">
        <w:t xml:space="preserve">an </w:t>
      </w:r>
      <w:r w:rsidR="00EE7759">
        <w:t>operating</w:t>
      </w:r>
      <w:r w:rsidR="001E0A67">
        <w:t xml:space="preserve"> point</w:t>
      </w:r>
      <w:r>
        <w:t>.</w:t>
      </w:r>
      <w:r w:rsidR="00D67EE2">
        <w:t xml:space="preserve"> </w:t>
      </w:r>
      <w:r>
        <w:t xml:space="preserve">Using this technique, the operational robustness of two prominent carbon capture </w:t>
      </w:r>
      <w:r w:rsidR="00EE7759">
        <w:t>adsorbents</w:t>
      </w:r>
      <w:r>
        <w:t>, Zeolite-13X and ZIF-36-FRL</w:t>
      </w:r>
      <w:r w:rsidR="003872D4">
        <w:t>, has been compared</w:t>
      </w:r>
      <w:r>
        <w:t>. Despite Zeolite-13X exhibiting a lower capture cost, it was found to possess a more constrained operational flexibility</w:t>
      </w:r>
      <w:r w:rsidR="00363544">
        <w:t xml:space="preserve"> compared to ZIF-36-FRL</w:t>
      </w:r>
      <w:r>
        <w:t xml:space="preserve">. </w:t>
      </w:r>
      <w:r w:rsidR="00A93EBD">
        <w:t xml:space="preserve">This dynamic </w:t>
      </w:r>
      <w:proofErr w:type="gramStart"/>
      <w:r w:rsidR="00A93EBD">
        <w:t>highlight</w:t>
      </w:r>
      <w:proofErr w:type="gramEnd"/>
      <w:r>
        <w:t xml:space="preserve"> the complex balance between cost-effectiveness and operational </w:t>
      </w:r>
      <w:r w:rsidR="00363544">
        <w:t xml:space="preserve">flexibility </w:t>
      </w:r>
      <w:r>
        <w:t xml:space="preserve">when selecting optimal adsorbents for </w:t>
      </w:r>
      <w:r w:rsidR="00363544">
        <w:t>CO</w:t>
      </w:r>
      <w:r w:rsidR="00363544">
        <w:rPr>
          <w:vertAlign w:val="subscript"/>
        </w:rPr>
        <w:t>2</w:t>
      </w:r>
      <w:r w:rsidR="00363544">
        <w:t xml:space="preserve"> </w:t>
      </w:r>
      <w:r>
        <w:t>capture applications.</w:t>
      </w:r>
    </w:p>
    <w:p w14:paraId="327279D9" w14:textId="77777777" w:rsidR="00AF5985" w:rsidRDefault="00AF5985" w:rsidP="00AF5985">
      <w:pPr>
        <w:pStyle w:val="Els-reference-head"/>
      </w:pPr>
      <w:r>
        <w:t>References</w:t>
      </w:r>
    </w:p>
    <w:p w14:paraId="32A67858" w14:textId="77777777" w:rsidR="00A8326A" w:rsidRDefault="00A8326A" w:rsidP="00A8326A">
      <w:pPr>
        <w:pStyle w:val="Els-body-text"/>
        <w:ind w:left="238" w:hanging="238"/>
        <w:rPr>
          <w:sz w:val="18"/>
          <w:szCs w:val="18"/>
        </w:rPr>
      </w:pPr>
      <w:r>
        <w:rPr>
          <w:sz w:val="18"/>
          <w:szCs w:val="18"/>
        </w:rPr>
        <w:t xml:space="preserve">A. </w:t>
      </w:r>
      <w:r w:rsidRPr="00AF5985">
        <w:rPr>
          <w:sz w:val="18"/>
          <w:szCs w:val="18"/>
        </w:rPr>
        <w:t>Ward</w:t>
      </w:r>
      <w:r>
        <w:rPr>
          <w:sz w:val="18"/>
          <w:szCs w:val="18"/>
        </w:rPr>
        <w:t xml:space="preserve"> </w:t>
      </w:r>
      <w:r w:rsidRPr="00AF5985">
        <w:rPr>
          <w:sz w:val="18"/>
          <w:szCs w:val="18"/>
        </w:rPr>
        <w:t xml:space="preserve">and </w:t>
      </w:r>
      <w:r>
        <w:rPr>
          <w:sz w:val="18"/>
          <w:szCs w:val="18"/>
        </w:rPr>
        <w:t xml:space="preserve">R. </w:t>
      </w:r>
      <w:r w:rsidRPr="00AF5985">
        <w:rPr>
          <w:sz w:val="18"/>
          <w:szCs w:val="18"/>
        </w:rPr>
        <w:t>Pini</w:t>
      </w:r>
      <w:r>
        <w:rPr>
          <w:sz w:val="18"/>
          <w:szCs w:val="18"/>
        </w:rPr>
        <w:t>,</w:t>
      </w:r>
      <w:r w:rsidRPr="00AF5985">
        <w:rPr>
          <w:sz w:val="18"/>
          <w:szCs w:val="18"/>
        </w:rPr>
        <w:t xml:space="preserve"> 2022</w:t>
      </w:r>
      <w:r>
        <w:rPr>
          <w:sz w:val="18"/>
          <w:szCs w:val="18"/>
        </w:rPr>
        <w:t>,</w:t>
      </w:r>
      <w:r w:rsidRPr="00AF5985">
        <w:rPr>
          <w:sz w:val="18"/>
          <w:szCs w:val="18"/>
        </w:rPr>
        <w:t xml:space="preserve"> Efficient </w:t>
      </w:r>
      <w:proofErr w:type="spellStart"/>
      <w:r w:rsidRPr="00AF5985">
        <w:rPr>
          <w:sz w:val="18"/>
          <w:szCs w:val="18"/>
        </w:rPr>
        <w:t>bayesian</w:t>
      </w:r>
      <w:proofErr w:type="spellEnd"/>
      <w:r w:rsidRPr="00AF5985">
        <w:rPr>
          <w:sz w:val="18"/>
          <w:szCs w:val="18"/>
        </w:rPr>
        <w:t xml:space="preserve"> optimization of industrial-scale pressure-vacuum swing adsorption processes for CO</w:t>
      </w:r>
      <w:r w:rsidRPr="00AF5985">
        <w:rPr>
          <w:sz w:val="18"/>
          <w:szCs w:val="18"/>
          <w:vertAlign w:val="subscript"/>
        </w:rPr>
        <w:t>2</w:t>
      </w:r>
      <w:r w:rsidRPr="00AF5985">
        <w:rPr>
          <w:sz w:val="18"/>
          <w:szCs w:val="18"/>
        </w:rPr>
        <w:t xml:space="preserve"> capture</w:t>
      </w:r>
      <w:r>
        <w:rPr>
          <w:sz w:val="18"/>
          <w:szCs w:val="18"/>
        </w:rPr>
        <w:t>,</w:t>
      </w:r>
      <w:r w:rsidRPr="00AF5985">
        <w:rPr>
          <w:sz w:val="18"/>
          <w:szCs w:val="18"/>
        </w:rPr>
        <w:t xml:space="preserve"> </w:t>
      </w:r>
      <w:r w:rsidRPr="00AF5985">
        <w:rPr>
          <w:i/>
          <w:iCs/>
          <w:sz w:val="18"/>
          <w:szCs w:val="18"/>
        </w:rPr>
        <w:t>Industrial &amp; Engineering Chemistry Research</w:t>
      </w:r>
      <w:r w:rsidRPr="00AF5985">
        <w:rPr>
          <w:sz w:val="18"/>
          <w:szCs w:val="18"/>
        </w:rPr>
        <w:t>,</w:t>
      </w:r>
      <w:r w:rsidRPr="00AF5985">
        <w:rPr>
          <w:i/>
          <w:iCs/>
          <w:sz w:val="18"/>
          <w:szCs w:val="18"/>
        </w:rPr>
        <w:t xml:space="preserve"> </w:t>
      </w:r>
      <w:r w:rsidRPr="00AF5985">
        <w:rPr>
          <w:b/>
          <w:bCs/>
          <w:sz w:val="18"/>
          <w:szCs w:val="18"/>
        </w:rPr>
        <w:t>61</w:t>
      </w:r>
      <w:r w:rsidRPr="00AF5985">
        <w:rPr>
          <w:sz w:val="18"/>
          <w:szCs w:val="18"/>
        </w:rPr>
        <w:t>(36), pp.13650-13668.</w:t>
      </w:r>
    </w:p>
    <w:p w14:paraId="78E71C1D" w14:textId="77777777" w:rsidR="00A8326A" w:rsidRDefault="00A8326A" w:rsidP="00A8326A">
      <w:pPr>
        <w:pStyle w:val="Els-body-text"/>
        <w:ind w:left="238" w:hanging="238"/>
        <w:rPr>
          <w:sz w:val="18"/>
          <w:szCs w:val="18"/>
          <w:lang w:val="en-GB"/>
        </w:rPr>
      </w:pPr>
      <w:r w:rsidRPr="00AF5985">
        <w:rPr>
          <w:sz w:val="18"/>
          <w:szCs w:val="18"/>
          <w:lang w:val="en-GB"/>
        </w:rPr>
        <w:t>E.N.</w:t>
      </w:r>
      <w:r>
        <w:rPr>
          <w:sz w:val="18"/>
          <w:szCs w:val="18"/>
          <w:lang w:val="en-GB"/>
        </w:rPr>
        <w:t xml:space="preserve"> </w:t>
      </w:r>
      <w:proofErr w:type="spellStart"/>
      <w:r w:rsidRPr="00AF5985">
        <w:rPr>
          <w:sz w:val="18"/>
          <w:szCs w:val="18"/>
          <w:lang w:val="en-GB"/>
        </w:rPr>
        <w:t>Pistikopoulos</w:t>
      </w:r>
      <w:proofErr w:type="spellEnd"/>
      <w:r w:rsidRPr="00AF5985">
        <w:rPr>
          <w:sz w:val="18"/>
          <w:szCs w:val="18"/>
          <w:lang w:val="en-GB"/>
        </w:rPr>
        <w:t xml:space="preserve">, </w:t>
      </w:r>
      <w:r>
        <w:rPr>
          <w:sz w:val="18"/>
          <w:szCs w:val="18"/>
          <w:lang w:val="en-GB"/>
        </w:rPr>
        <w:t xml:space="preserve">Y. </w:t>
      </w:r>
      <w:r w:rsidRPr="00AF5985">
        <w:rPr>
          <w:sz w:val="18"/>
          <w:szCs w:val="18"/>
          <w:lang w:val="en-GB"/>
        </w:rPr>
        <w:t>Tian,</w:t>
      </w:r>
      <w:r>
        <w:rPr>
          <w:sz w:val="18"/>
          <w:szCs w:val="18"/>
          <w:lang w:val="en-GB"/>
        </w:rPr>
        <w:t xml:space="preserve"> and</w:t>
      </w:r>
      <w:r w:rsidRPr="00AF5985">
        <w:rPr>
          <w:sz w:val="18"/>
          <w:szCs w:val="18"/>
          <w:lang w:val="en-GB"/>
        </w:rPr>
        <w:t xml:space="preserve"> </w:t>
      </w:r>
      <w:r>
        <w:rPr>
          <w:sz w:val="18"/>
          <w:szCs w:val="18"/>
          <w:lang w:val="en-GB"/>
        </w:rPr>
        <w:t xml:space="preserve">R. </w:t>
      </w:r>
      <w:proofErr w:type="spellStart"/>
      <w:r w:rsidRPr="00AF5985">
        <w:rPr>
          <w:sz w:val="18"/>
          <w:szCs w:val="18"/>
          <w:lang w:val="en-GB"/>
        </w:rPr>
        <w:t>Bindlish</w:t>
      </w:r>
      <w:proofErr w:type="spellEnd"/>
      <w:r>
        <w:rPr>
          <w:sz w:val="18"/>
          <w:szCs w:val="18"/>
          <w:lang w:val="en-GB"/>
        </w:rPr>
        <w:t>,</w:t>
      </w:r>
      <w:r w:rsidRPr="00AF5985">
        <w:rPr>
          <w:sz w:val="18"/>
          <w:szCs w:val="18"/>
          <w:lang w:val="en-GB"/>
        </w:rPr>
        <w:t xml:space="preserve"> 2021</w:t>
      </w:r>
      <w:r>
        <w:rPr>
          <w:sz w:val="18"/>
          <w:szCs w:val="18"/>
          <w:lang w:val="en-GB"/>
        </w:rPr>
        <w:t>,</w:t>
      </w:r>
      <w:r w:rsidRPr="00AF5985">
        <w:rPr>
          <w:sz w:val="18"/>
          <w:szCs w:val="18"/>
          <w:lang w:val="en-GB"/>
        </w:rPr>
        <w:t xml:space="preserve"> Operability and control in process intensification and modular design: Challenges and opportunities</w:t>
      </w:r>
      <w:r>
        <w:rPr>
          <w:sz w:val="18"/>
          <w:szCs w:val="18"/>
          <w:lang w:val="en-GB"/>
        </w:rPr>
        <w:t>,</w:t>
      </w:r>
      <w:r w:rsidRPr="00AF5985">
        <w:rPr>
          <w:sz w:val="18"/>
          <w:szCs w:val="18"/>
          <w:lang w:val="en-GB"/>
        </w:rPr>
        <w:t xml:space="preserve"> </w:t>
      </w:r>
      <w:r w:rsidRPr="00AF5985">
        <w:rPr>
          <w:i/>
          <w:iCs/>
          <w:sz w:val="18"/>
          <w:szCs w:val="18"/>
          <w:lang w:val="en-GB"/>
        </w:rPr>
        <w:t>AIChE Journal</w:t>
      </w:r>
      <w:r w:rsidRPr="00AF5985">
        <w:rPr>
          <w:sz w:val="18"/>
          <w:szCs w:val="18"/>
          <w:lang w:val="en-GB"/>
        </w:rPr>
        <w:t xml:space="preserve"> </w:t>
      </w:r>
      <w:r w:rsidRPr="00AF5985">
        <w:rPr>
          <w:b/>
          <w:bCs/>
          <w:sz w:val="18"/>
          <w:szCs w:val="18"/>
          <w:lang w:val="en-GB"/>
        </w:rPr>
        <w:t>67</w:t>
      </w:r>
      <w:r w:rsidRPr="00AF5985">
        <w:rPr>
          <w:sz w:val="18"/>
          <w:szCs w:val="18"/>
          <w:lang w:val="en-GB"/>
        </w:rPr>
        <w:t>, pp. 1-20.</w:t>
      </w:r>
    </w:p>
    <w:p w14:paraId="48DDBED3" w14:textId="320CD11D" w:rsidR="00B94399" w:rsidRDefault="00B94399" w:rsidP="00A8326A">
      <w:pPr>
        <w:pStyle w:val="Els-body-text"/>
        <w:ind w:left="238" w:hanging="238"/>
        <w:rPr>
          <w:sz w:val="18"/>
          <w:szCs w:val="18"/>
          <w:lang w:val="en-GB"/>
        </w:rPr>
      </w:pPr>
      <w:r w:rsidRPr="00B94399">
        <w:rPr>
          <w:sz w:val="18"/>
          <w:szCs w:val="18"/>
          <w:lang w:val="en-GB"/>
        </w:rPr>
        <w:t>I.E. Grossmann, B.A. Calfa</w:t>
      </w:r>
      <w:r w:rsidR="00811A37">
        <w:rPr>
          <w:sz w:val="18"/>
          <w:szCs w:val="18"/>
          <w:lang w:val="en-GB"/>
        </w:rPr>
        <w:t xml:space="preserve">, </w:t>
      </w:r>
      <w:r w:rsidRPr="00B94399">
        <w:rPr>
          <w:sz w:val="18"/>
          <w:szCs w:val="18"/>
          <w:lang w:val="en-GB"/>
        </w:rPr>
        <w:t xml:space="preserve">and P. Garcia-Herreros, 2014, Evolution of concepts and models for quantifying resiliency and flexibility of chemical processes, </w:t>
      </w:r>
      <w:r w:rsidR="00406288" w:rsidRPr="00406288">
        <w:rPr>
          <w:i/>
          <w:iCs/>
          <w:sz w:val="18"/>
          <w:szCs w:val="18"/>
          <w:lang w:val="en-GB"/>
        </w:rPr>
        <w:t>Computers &amp; Chemical Engineering</w:t>
      </w:r>
      <w:r w:rsidRPr="00B94399">
        <w:rPr>
          <w:sz w:val="18"/>
          <w:szCs w:val="18"/>
          <w:lang w:val="en-GB"/>
        </w:rPr>
        <w:t xml:space="preserve">, </w:t>
      </w:r>
      <w:r w:rsidRPr="00406288">
        <w:rPr>
          <w:b/>
          <w:bCs/>
          <w:sz w:val="18"/>
          <w:szCs w:val="18"/>
          <w:lang w:val="en-GB"/>
        </w:rPr>
        <w:t>70</w:t>
      </w:r>
      <w:r w:rsidRPr="00B94399">
        <w:rPr>
          <w:sz w:val="18"/>
          <w:szCs w:val="18"/>
          <w:lang w:val="en-GB"/>
        </w:rPr>
        <w:t>, 22-34</w:t>
      </w:r>
      <w:r w:rsidR="00E022DC">
        <w:rPr>
          <w:sz w:val="18"/>
          <w:szCs w:val="18"/>
          <w:lang w:val="en-GB"/>
        </w:rPr>
        <w:t>.</w:t>
      </w:r>
    </w:p>
    <w:p w14:paraId="1930EB78" w14:textId="113DD450" w:rsidR="00AF5985" w:rsidRDefault="00EF3DD8" w:rsidP="00AF5985">
      <w:pPr>
        <w:pStyle w:val="Els-body-text"/>
        <w:ind w:left="238" w:hanging="238"/>
        <w:rPr>
          <w:sz w:val="18"/>
          <w:szCs w:val="18"/>
          <w:lang w:val="en-GB"/>
        </w:rPr>
      </w:pPr>
      <w:r w:rsidRPr="00AF5985">
        <w:rPr>
          <w:sz w:val="18"/>
          <w:szCs w:val="18"/>
          <w:lang w:val="en-GB"/>
        </w:rPr>
        <w:t>M.D.</w:t>
      </w:r>
      <w:r>
        <w:rPr>
          <w:sz w:val="18"/>
          <w:szCs w:val="18"/>
          <w:lang w:val="en-GB"/>
        </w:rPr>
        <w:t xml:space="preserve"> </w:t>
      </w:r>
      <w:proofErr w:type="spellStart"/>
      <w:r w:rsidR="00AF5985" w:rsidRPr="00AF5985">
        <w:rPr>
          <w:sz w:val="18"/>
          <w:szCs w:val="18"/>
          <w:lang w:val="en-GB"/>
        </w:rPr>
        <w:t>Wilkew</w:t>
      </w:r>
      <w:proofErr w:type="spellEnd"/>
      <w:r w:rsidR="00E60EE5">
        <w:rPr>
          <w:sz w:val="18"/>
          <w:szCs w:val="18"/>
          <w:lang w:val="en-GB"/>
        </w:rPr>
        <w:t xml:space="preserve"> and</w:t>
      </w:r>
      <w:r w:rsidR="00AF5985" w:rsidRPr="00AF5985">
        <w:rPr>
          <w:sz w:val="18"/>
          <w:szCs w:val="18"/>
          <w:lang w:val="en-GB"/>
        </w:rPr>
        <w:t xml:space="preserve"> </w:t>
      </w:r>
      <w:r>
        <w:rPr>
          <w:sz w:val="18"/>
          <w:szCs w:val="18"/>
          <w:lang w:val="en-GB"/>
        </w:rPr>
        <w:t xml:space="preserve">S. </w:t>
      </w:r>
      <w:r w:rsidR="00AF5985" w:rsidRPr="00AF5985">
        <w:rPr>
          <w:sz w:val="18"/>
          <w:szCs w:val="18"/>
          <w:lang w:val="en-GB"/>
        </w:rPr>
        <w:t>Brown</w:t>
      </w:r>
      <w:r w:rsidR="006D30B2">
        <w:rPr>
          <w:sz w:val="18"/>
          <w:szCs w:val="18"/>
          <w:lang w:val="en-GB"/>
        </w:rPr>
        <w:t>,</w:t>
      </w:r>
      <w:r w:rsidR="00AF5985" w:rsidRPr="00AF5985">
        <w:rPr>
          <w:sz w:val="18"/>
          <w:szCs w:val="18"/>
          <w:lang w:val="en-GB"/>
        </w:rPr>
        <w:t xml:space="preserve"> 2022</w:t>
      </w:r>
      <w:r w:rsidR="006D30B2">
        <w:rPr>
          <w:sz w:val="18"/>
          <w:szCs w:val="18"/>
          <w:lang w:val="en-GB"/>
        </w:rPr>
        <w:t>,</w:t>
      </w:r>
      <w:r w:rsidR="00AF5985" w:rsidRPr="00AF5985">
        <w:rPr>
          <w:sz w:val="18"/>
          <w:szCs w:val="18"/>
          <w:lang w:val="en-GB"/>
        </w:rPr>
        <w:t xml:space="preserve"> Flexible CO</w:t>
      </w:r>
      <w:r w:rsidR="00AF5985" w:rsidRPr="00EF3DD8">
        <w:rPr>
          <w:sz w:val="18"/>
          <w:szCs w:val="18"/>
          <w:vertAlign w:val="subscript"/>
          <w:lang w:val="en-GB"/>
        </w:rPr>
        <w:t>2</w:t>
      </w:r>
      <w:r w:rsidR="00AF5985" w:rsidRPr="00AF5985">
        <w:rPr>
          <w:sz w:val="18"/>
          <w:szCs w:val="18"/>
          <w:lang w:val="en-GB"/>
        </w:rPr>
        <w:t xml:space="preserve"> capture for open-cycle gas turbines via vacuum-pressure swing adsorption: A model-based assessment</w:t>
      </w:r>
      <w:r w:rsidR="00A8326A">
        <w:rPr>
          <w:sz w:val="18"/>
          <w:szCs w:val="18"/>
          <w:lang w:val="en-GB"/>
        </w:rPr>
        <w:t>,</w:t>
      </w:r>
      <w:r w:rsidR="00AF5985" w:rsidRPr="00AF5985">
        <w:rPr>
          <w:sz w:val="18"/>
          <w:szCs w:val="18"/>
          <w:lang w:val="en-GB"/>
        </w:rPr>
        <w:t xml:space="preserve"> </w:t>
      </w:r>
      <w:r w:rsidR="00AF5985" w:rsidRPr="00AF5985">
        <w:rPr>
          <w:i/>
          <w:iCs/>
          <w:sz w:val="18"/>
          <w:szCs w:val="18"/>
          <w:lang w:val="en-GB"/>
        </w:rPr>
        <w:t>Energy</w:t>
      </w:r>
      <w:r w:rsidR="00AF5985" w:rsidRPr="00AF5985">
        <w:rPr>
          <w:sz w:val="18"/>
          <w:szCs w:val="18"/>
          <w:lang w:val="en-GB"/>
        </w:rPr>
        <w:t xml:space="preserve">, </w:t>
      </w:r>
      <w:r w:rsidR="00AF5985" w:rsidRPr="00AF5985">
        <w:rPr>
          <w:b/>
          <w:bCs/>
          <w:sz w:val="18"/>
          <w:szCs w:val="18"/>
          <w:lang w:val="en-GB"/>
        </w:rPr>
        <w:t>250</w:t>
      </w:r>
      <w:r w:rsidR="00AF5985" w:rsidRPr="00AF5985">
        <w:rPr>
          <w:sz w:val="18"/>
          <w:szCs w:val="18"/>
          <w:lang w:val="en-GB"/>
        </w:rPr>
        <w:t>, pp.123805.</w:t>
      </w:r>
    </w:p>
    <w:p w14:paraId="4F940784" w14:textId="1997307C" w:rsidR="009D016A" w:rsidRDefault="009D016A" w:rsidP="009D016A">
      <w:pPr>
        <w:pStyle w:val="Els-body-text"/>
        <w:ind w:left="238" w:hanging="238"/>
        <w:rPr>
          <w:sz w:val="18"/>
          <w:szCs w:val="18"/>
          <w:lang w:val="en-GB"/>
        </w:rPr>
      </w:pPr>
      <w:r>
        <w:rPr>
          <w:sz w:val="18"/>
          <w:szCs w:val="18"/>
          <w:lang w:val="en-GB"/>
        </w:rPr>
        <w:t xml:space="preserve">M. </w:t>
      </w:r>
      <w:r w:rsidRPr="009D016A">
        <w:rPr>
          <w:sz w:val="18"/>
          <w:szCs w:val="18"/>
          <w:lang w:val="en-GB"/>
        </w:rPr>
        <w:t>Khurana</w:t>
      </w:r>
      <w:r>
        <w:rPr>
          <w:sz w:val="18"/>
          <w:szCs w:val="18"/>
          <w:lang w:val="en-GB"/>
        </w:rPr>
        <w:t xml:space="preserve"> and S</w:t>
      </w:r>
      <w:r w:rsidR="00E076EA">
        <w:rPr>
          <w:sz w:val="18"/>
          <w:szCs w:val="18"/>
          <w:lang w:val="en-GB"/>
        </w:rPr>
        <w:t>.</w:t>
      </w:r>
      <w:r w:rsidRPr="009D016A">
        <w:rPr>
          <w:sz w:val="18"/>
          <w:szCs w:val="18"/>
          <w:lang w:val="en-GB"/>
        </w:rPr>
        <w:t xml:space="preserve"> Farooq, </w:t>
      </w:r>
      <w:r w:rsidR="00E076EA">
        <w:rPr>
          <w:sz w:val="18"/>
          <w:szCs w:val="18"/>
          <w:lang w:val="en-GB"/>
        </w:rPr>
        <w:t>2016,</w:t>
      </w:r>
      <w:r w:rsidRPr="009D016A">
        <w:rPr>
          <w:sz w:val="18"/>
          <w:szCs w:val="18"/>
          <w:lang w:val="en-GB"/>
        </w:rPr>
        <w:t xml:space="preserve"> Adsorbent </w:t>
      </w:r>
      <w:r w:rsidR="00E076EA">
        <w:rPr>
          <w:sz w:val="18"/>
          <w:szCs w:val="18"/>
          <w:lang w:val="en-GB"/>
        </w:rPr>
        <w:t>s</w:t>
      </w:r>
      <w:r w:rsidRPr="009D016A">
        <w:rPr>
          <w:sz w:val="18"/>
          <w:szCs w:val="18"/>
          <w:lang w:val="en-GB"/>
        </w:rPr>
        <w:t xml:space="preserve">creening for </w:t>
      </w:r>
      <w:proofErr w:type="spellStart"/>
      <w:r w:rsidR="00E076EA">
        <w:rPr>
          <w:sz w:val="18"/>
          <w:szCs w:val="18"/>
          <w:lang w:val="en-GB"/>
        </w:rPr>
        <w:t>p</w:t>
      </w:r>
      <w:r w:rsidRPr="009D016A">
        <w:rPr>
          <w:sz w:val="18"/>
          <w:szCs w:val="18"/>
          <w:lang w:val="en-GB"/>
        </w:rPr>
        <w:t>ostcombustion</w:t>
      </w:r>
      <w:proofErr w:type="spellEnd"/>
      <w:r w:rsidRPr="009D016A">
        <w:rPr>
          <w:sz w:val="18"/>
          <w:szCs w:val="18"/>
          <w:lang w:val="en-GB"/>
        </w:rPr>
        <w:t xml:space="preserve"> </w:t>
      </w:r>
      <w:r w:rsidRPr="00E076EA">
        <w:rPr>
          <w:sz w:val="18"/>
          <w:szCs w:val="18"/>
          <w:lang w:val="en-GB"/>
        </w:rPr>
        <w:t>CO</w:t>
      </w:r>
      <w:r w:rsidR="00E076EA" w:rsidRPr="00E076EA">
        <w:rPr>
          <w:sz w:val="18"/>
          <w:szCs w:val="18"/>
          <w:vertAlign w:val="subscript"/>
          <w:lang w:val="en-GB"/>
        </w:rPr>
        <w:t>2</w:t>
      </w:r>
      <w:r w:rsidR="00E076EA">
        <w:rPr>
          <w:sz w:val="18"/>
          <w:szCs w:val="18"/>
          <w:lang w:val="en-GB"/>
        </w:rPr>
        <w:t xml:space="preserve"> c</w:t>
      </w:r>
      <w:r w:rsidRPr="00E076EA">
        <w:rPr>
          <w:sz w:val="18"/>
          <w:szCs w:val="18"/>
          <w:lang w:val="en-GB"/>
        </w:rPr>
        <w:t>ap</w:t>
      </w:r>
      <w:r w:rsidRPr="009D016A">
        <w:rPr>
          <w:sz w:val="18"/>
          <w:szCs w:val="18"/>
          <w:lang w:val="en-GB"/>
        </w:rPr>
        <w:t xml:space="preserve">ture: A </w:t>
      </w:r>
      <w:r w:rsidR="00E076EA">
        <w:rPr>
          <w:sz w:val="18"/>
          <w:szCs w:val="18"/>
          <w:lang w:val="en-GB"/>
        </w:rPr>
        <w:t>m</w:t>
      </w:r>
      <w:r w:rsidRPr="009D016A">
        <w:rPr>
          <w:sz w:val="18"/>
          <w:szCs w:val="18"/>
          <w:lang w:val="en-GB"/>
        </w:rPr>
        <w:t>ethod</w:t>
      </w:r>
      <w:r w:rsidR="00325F65">
        <w:rPr>
          <w:sz w:val="18"/>
          <w:szCs w:val="18"/>
          <w:lang w:val="en-GB"/>
        </w:rPr>
        <w:t xml:space="preserve"> r</w:t>
      </w:r>
      <w:r w:rsidRPr="009D016A">
        <w:rPr>
          <w:sz w:val="18"/>
          <w:szCs w:val="18"/>
          <w:lang w:val="en-GB"/>
        </w:rPr>
        <w:t xml:space="preserve">elating </w:t>
      </w:r>
      <w:r w:rsidR="00325F65">
        <w:rPr>
          <w:sz w:val="18"/>
          <w:szCs w:val="18"/>
          <w:lang w:val="en-GB"/>
        </w:rPr>
        <w:t>e</w:t>
      </w:r>
      <w:r w:rsidRPr="009D016A">
        <w:rPr>
          <w:sz w:val="18"/>
          <w:szCs w:val="18"/>
          <w:lang w:val="en-GB"/>
        </w:rPr>
        <w:t xml:space="preserve">quilibrium </w:t>
      </w:r>
      <w:r w:rsidR="00325F65">
        <w:rPr>
          <w:sz w:val="18"/>
          <w:szCs w:val="18"/>
          <w:lang w:val="en-GB"/>
        </w:rPr>
        <w:t>i</w:t>
      </w:r>
      <w:r w:rsidRPr="009D016A">
        <w:rPr>
          <w:sz w:val="18"/>
          <w:szCs w:val="18"/>
          <w:lang w:val="en-GB"/>
        </w:rPr>
        <w:t>sotherm</w:t>
      </w:r>
      <w:r w:rsidR="00325F65">
        <w:rPr>
          <w:sz w:val="18"/>
          <w:szCs w:val="18"/>
          <w:lang w:val="en-GB"/>
        </w:rPr>
        <w:t xml:space="preserve"> c</w:t>
      </w:r>
      <w:r w:rsidRPr="009D016A">
        <w:rPr>
          <w:sz w:val="18"/>
          <w:szCs w:val="18"/>
          <w:lang w:val="en-GB"/>
        </w:rPr>
        <w:t xml:space="preserve">haracteristics to an </w:t>
      </w:r>
      <w:r w:rsidR="00325F65">
        <w:rPr>
          <w:sz w:val="18"/>
          <w:szCs w:val="18"/>
          <w:lang w:val="en-GB"/>
        </w:rPr>
        <w:t>o</w:t>
      </w:r>
      <w:r w:rsidRPr="009D016A">
        <w:rPr>
          <w:sz w:val="18"/>
          <w:szCs w:val="18"/>
          <w:lang w:val="en-GB"/>
        </w:rPr>
        <w:t xml:space="preserve">ptimum </w:t>
      </w:r>
      <w:r w:rsidR="00325F65">
        <w:rPr>
          <w:sz w:val="18"/>
          <w:szCs w:val="18"/>
          <w:lang w:val="en-GB"/>
        </w:rPr>
        <w:t>v</w:t>
      </w:r>
      <w:r w:rsidRPr="009D016A">
        <w:rPr>
          <w:sz w:val="18"/>
          <w:szCs w:val="18"/>
          <w:lang w:val="en-GB"/>
        </w:rPr>
        <w:t xml:space="preserve">acuum </w:t>
      </w:r>
      <w:r w:rsidR="00325F65">
        <w:rPr>
          <w:sz w:val="18"/>
          <w:szCs w:val="18"/>
          <w:lang w:val="en-GB"/>
        </w:rPr>
        <w:t>s</w:t>
      </w:r>
      <w:r w:rsidRPr="009D016A">
        <w:rPr>
          <w:sz w:val="18"/>
          <w:szCs w:val="18"/>
          <w:lang w:val="en-GB"/>
        </w:rPr>
        <w:t>wing</w:t>
      </w:r>
      <w:r w:rsidR="00325F65">
        <w:rPr>
          <w:sz w:val="18"/>
          <w:szCs w:val="18"/>
          <w:lang w:val="en-GB"/>
        </w:rPr>
        <w:t xml:space="preserve"> a</w:t>
      </w:r>
      <w:r w:rsidRPr="009D016A">
        <w:rPr>
          <w:sz w:val="18"/>
          <w:szCs w:val="18"/>
          <w:lang w:val="en-GB"/>
        </w:rPr>
        <w:t xml:space="preserve">dsorption </w:t>
      </w:r>
      <w:r w:rsidR="00325F65">
        <w:rPr>
          <w:sz w:val="18"/>
          <w:szCs w:val="18"/>
          <w:lang w:val="en-GB"/>
        </w:rPr>
        <w:t>p</w:t>
      </w:r>
      <w:r w:rsidRPr="009D016A">
        <w:rPr>
          <w:sz w:val="18"/>
          <w:szCs w:val="18"/>
          <w:lang w:val="en-GB"/>
        </w:rPr>
        <w:t>rocess</w:t>
      </w:r>
      <w:r w:rsidR="00325F65">
        <w:rPr>
          <w:sz w:val="18"/>
          <w:szCs w:val="18"/>
          <w:lang w:val="en-GB"/>
        </w:rPr>
        <w:t xml:space="preserve"> p</w:t>
      </w:r>
      <w:r w:rsidRPr="009D016A">
        <w:rPr>
          <w:sz w:val="18"/>
          <w:szCs w:val="18"/>
          <w:lang w:val="en-GB"/>
        </w:rPr>
        <w:t xml:space="preserve">erformance. </w:t>
      </w:r>
      <w:r w:rsidRPr="00964873">
        <w:rPr>
          <w:i/>
          <w:iCs/>
          <w:sz w:val="18"/>
          <w:szCs w:val="18"/>
          <w:lang w:val="en-GB"/>
        </w:rPr>
        <w:t>Industrial &amp;</w:t>
      </w:r>
      <w:r w:rsidR="00325F65">
        <w:rPr>
          <w:i/>
          <w:iCs/>
          <w:sz w:val="18"/>
          <w:szCs w:val="18"/>
          <w:lang w:val="en-GB"/>
        </w:rPr>
        <w:t xml:space="preserve"> </w:t>
      </w:r>
      <w:r w:rsidRPr="00964873">
        <w:rPr>
          <w:i/>
          <w:iCs/>
          <w:sz w:val="18"/>
          <w:szCs w:val="18"/>
          <w:lang w:val="en-GB"/>
        </w:rPr>
        <w:t>Engineering Chemistry Research</w:t>
      </w:r>
      <w:r w:rsidR="00325F65">
        <w:rPr>
          <w:sz w:val="18"/>
          <w:szCs w:val="18"/>
          <w:lang w:val="en-GB"/>
        </w:rPr>
        <w:t>,</w:t>
      </w:r>
      <w:r w:rsidRPr="009D016A">
        <w:rPr>
          <w:sz w:val="18"/>
          <w:szCs w:val="18"/>
          <w:lang w:val="en-GB"/>
        </w:rPr>
        <w:t xml:space="preserve"> </w:t>
      </w:r>
      <w:r w:rsidRPr="00964873">
        <w:rPr>
          <w:b/>
          <w:bCs/>
          <w:sz w:val="18"/>
          <w:szCs w:val="18"/>
          <w:lang w:val="en-GB"/>
        </w:rPr>
        <w:t>55</w:t>
      </w:r>
      <w:r w:rsidRPr="009D016A">
        <w:rPr>
          <w:sz w:val="18"/>
          <w:szCs w:val="18"/>
          <w:lang w:val="en-GB"/>
        </w:rPr>
        <w:t xml:space="preserve">, </w:t>
      </w:r>
      <w:r w:rsidR="00325F65">
        <w:rPr>
          <w:sz w:val="18"/>
          <w:szCs w:val="18"/>
          <w:lang w:val="en-GB"/>
        </w:rPr>
        <w:t>pp</w:t>
      </w:r>
      <w:r w:rsidR="0015642A">
        <w:rPr>
          <w:sz w:val="18"/>
          <w:szCs w:val="18"/>
          <w:lang w:val="en-GB"/>
        </w:rPr>
        <w:t xml:space="preserve">. </w:t>
      </w:r>
      <w:r w:rsidRPr="009D016A">
        <w:rPr>
          <w:sz w:val="18"/>
          <w:szCs w:val="18"/>
          <w:lang w:val="en-GB"/>
        </w:rPr>
        <w:t>2447</w:t>
      </w:r>
      <w:r w:rsidR="0015642A">
        <w:rPr>
          <w:sz w:val="18"/>
          <w:szCs w:val="18"/>
          <w:lang w:val="en-GB"/>
        </w:rPr>
        <w:t>-</w:t>
      </w:r>
      <w:r w:rsidRPr="009D016A">
        <w:rPr>
          <w:sz w:val="18"/>
          <w:szCs w:val="18"/>
          <w:lang w:val="en-GB"/>
        </w:rPr>
        <w:t>2460.</w:t>
      </w:r>
    </w:p>
    <w:p w14:paraId="3229271C" w14:textId="77777777" w:rsidR="005F3CA8" w:rsidRDefault="005F3CA8" w:rsidP="005F3CA8">
      <w:pPr>
        <w:pStyle w:val="Els-body-text"/>
        <w:ind w:left="238" w:hanging="238"/>
        <w:rPr>
          <w:sz w:val="18"/>
          <w:szCs w:val="18"/>
          <w:lang w:val="en-GB"/>
        </w:rPr>
      </w:pPr>
      <w:r>
        <w:rPr>
          <w:sz w:val="18"/>
          <w:szCs w:val="18"/>
          <w:lang w:val="en-GB"/>
        </w:rPr>
        <w:t xml:space="preserve">P. </w:t>
      </w:r>
      <w:proofErr w:type="spellStart"/>
      <w:r w:rsidRPr="00E022DC">
        <w:rPr>
          <w:sz w:val="18"/>
          <w:szCs w:val="18"/>
          <w:lang w:val="en-GB"/>
        </w:rPr>
        <w:t>Kotidis</w:t>
      </w:r>
      <w:proofErr w:type="spellEnd"/>
      <w:r w:rsidRPr="00E022DC">
        <w:rPr>
          <w:sz w:val="18"/>
          <w:szCs w:val="18"/>
          <w:lang w:val="en-GB"/>
        </w:rPr>
        <w:t xml:space="preserve">, </w:t>
      </w:r>
      <w:r>
        <w:rPr>
          <w:sz w:val="18"/>
          <w:szCs w:val="18"/>
          <w:lang w:val="en-GB"/>
        </w:rPr>
        <w:t xml:space="preserve">P. </w:t>
      </w:r>
      <w:r w:rsidRPr="00E022DC">
        <w:rPr>
          <w:sz w:val="18"/>
          <w:szCs w:val="18"/>
          <w:lang w:val="en-GB"/>
        </w:rPr>
        <w:t xml:space="preserve">Demis, </w:t>
      </w:r>
      <w:r>
        <w:rPr>
          <w:sz w:val="18"/>
          <w:szCs w:val="18"/>
          <w:lang w:val="en-GB"/>
        </w:rPr>
        <w:t xml:space="preserve">C.H. </w:t>
      </w:r>
      <w:r w:rsidRPr="00E022DC">
        <w:rPr>
          <w:sz w:val="18"/>
          <w:szCs w:val="18"/>
          <w:lang w:val="en-GB"/>
        </w:rPr>
        <w:t xml:space="preserve">Goey, </w:t>
      </w:r>
      <w:r>
        <w:rPr>
          <w:sz w:val="18"/>
          <w:szCs w:val="18"/>
          <w:lang w:val="en-GB"/>
        </w:rPr>
        <w:t xml:space="preserve">E. </w:t>
      </w:r>
      <w:r w:rsidRPr="00E022DC">
        <w:rPr>
          <w:sz w:val="18"/>
          <w:szCs w:val="18"/>
          <w:lang w:val="en-GB"/>
        </w:rPr>
        <w:t xml:space="preserve">Correa, </w:t>
      </w:r>
      <w:r>
        <w:rPr>
          <w:sz w:val="18"/>
          <w:szCs w:val="18"/>
          <w:lang w:val="en-GB"/>
        </w:rPr>
        <w:t xml:space="preserve">C. </w:t>
      </w:r>
      <w:r w:rsidRPr="00E022DC">
        <w:rPr>
          <w:sz w:val="18"/>
          <w:szCs w:val="18"/>
          <w:lang w:val="en-GB"/>
        </w:rPr>
        <w:t xml:space="preserve">McIntosh, </w:t>
      </w:r>
      <w:r>
        <w:rPr>
          <w:sz w:val="18"/>
          <w:szCs w:val="18"/>
          <w:lang w:val="en-GB"/>
        </w:rPr>
        <w:t xml:space="preserve">S. </w:t>
      </w:r>
      <w:proofErr w:type="spellStart"/>
      <w:r w:rsidRPr="00E022DC">
        <w:rPr>
          <w:sz w:val="18"/>
          <w:szCs w:val="18"/>
          <w:lang w:val="en-GB"/>
        </w:rPr>
        <w:t>Trepekli</w:t>
      </w:r>
      <w:proofErr w:type="spellEnd"/>
      <w:r w:rsidRPr="00E022DC">
        <w:rPr>
          <w:sz w:val="18"/>
          <w:szCs w:val="18"/>
          <w:lang w:val="en-GB"/>
        </w:rPr>
        <w:t xml:space="preserve">, </w:t>
      </w:r>
      <w:r>
        <w:rPr>
          <w:sz w:val="18"/>
          <w:szCs w:val="18"/>
          <w:lang w:val="en-GB"/>
        </w:rPr>
        <w:t xml:space="preserve">N. </w:t>
      </w:r>
      <w:r w:rsidRPr="00E022DC">
        <w:rPr>
          <w:sz w:val="18"/>
          <w:szCs w:val="18"/>
          <w:lang w:val="en-GB"/>
        </w:rPr>
        <w:t xml:space="preserve">Shah, </w:t>
      </w:r>
      <w:r>
        <w:rPr>
          <w:sz w:val="18"/>
          <w:szCs w:val="18"/>
          <w:lang w:val="en-GB"/>
        </w:rPr>
        <w:t xml:space="preserve">O.V. </w:t>
      </w:r>
      <w:r w:rsidRPr="00E022DC">
        <w:rPr>
          <w:sz w:val="18"/>
          <w:szCs w:val="18"/>
          <w:lang w:val="en-GB"/>
        </w:rPr>
        <w:t>Klymenko</w:t>
      </w:r>
      <w:r>
        <w:rPr>
          <w:sz w:val="18"/>
          <w:szCs w:val="18"/>
          <w:lang w:val="en-GB"/>
        </w:rPr>
        <w:t>,</w:t>
      </w:r>
      <w:r w:rsidRPr="00E022DC">
        <w:rPr>
          <w:sz w:val="18"/>
          <w:szCs w:val="18"/>
          <w:lang w:val="en-GB"/>
        </w:rPr>
        <w:t xml:space="preserve"> and </w:t>
      </w:r>
      <w:r>
        <w:rPr>
          <w:sz w:val="18"/>
          <w:szCs w:val="18"/>
          <w:lang w:val="en-GB"/>
        </w:rPr>
        <w:t xml:space="preserve">C. </w:t>
      </w:r>
      <w:proofErr w:type="spellStart"/>
      <w:r w:rsidRPr="00E022DC">
        <w:rPr>
          <w:sz w:val="18"/>
          <w:szCs w:val="18"/>
          <w:lang w:val="en-GB"/>
        </w:rPr>
        <w:t>Kontoravdi</w:t>
      </w:r>
      <w:proofErr w:type="spellEnd"/>
      <w:r w:rsidRPr="00E022DC">
        <w:rPr>
          <w:sz w:val="18"/>
          <w:szCs w:val="18"/>
          <w:lang w:val="en-GB"/>
        </w:rPr>
        <w:t>, 2019</w:t>
      </w:r>
      <w:r>
        <w:rPr>
          <w:sz w:val="18"/>
          <w:szCs w:val="18"/>
          <w:lang w:val="en-GB"/>
        </w:rPr>
        <w:t>,</w:t>
      </w:r>
      <w:r w:rsidRPr="00E022DC">
        <w:rPr>
          <w:sz w:val="18"/>
          <w:szCs w:val="18"/>
          <w:lang w:val="en-GB"/>
        </w:rPr>
        <w:t xml:space="preserve"> Constrained global sensitivity analysis for bioprocess design space identification. </w:t>
      </w:r>
      <w:r w:rsidRPr="00E022DC">
        <w:rPr>
          <w:i/>
          <w:iCs/>
          <w:sz w:val="18"/>
          <w:szCs w:val="18"/>
          <w:lang w:val="en-GB"/>
        </w:rPr>
        <w:t>Computers &amp; Chemical Engineering</w:t>
      </w:r>
      <w:r w:rsidRPr="00E022DC">
        <w:rPr>
          <w:sz w:val="18"/>
          <w:szCs w:val="18"/>
          <w:lang w:val="en-GB"/>
        </w:rPr>
        <w:t xml:space="preserve">, </w:t>
      </w:r>
      <w:r w:rsidRPr="00E022DC">
        <w:rPr>
          <w:b/>
          <w:bCs/>
          <w:sz w:val="18"/>
          <w:szCs w:val="18"/>
          <w:lang w:val="en-GB"/>
        </w:rPr>
        <w:t>125</w:t>
      </w:r>
      <w:r w:rsidRPr="00E022DC">
        <w:rPr>
          <w:sz w:val="18"/>
          <w:szCs w:val="18"/>
          <w:lang w:val="en-GB"/>
        </w:rPr>
        <w:t>,</w:t>
      </w:r>
      <w:r>
        <w:rPr>
          <w:sz w:val="18"/>
          <w:szCs w:val="18"/>
          <w:lang w:val="en-GB"/>
        </w:rPr>
        <w:t xml:space="preserve"> </w:t>
      </w:r>
      <w:r w:rsidRPr="00E022DC">
        <w:rPr>
          <w:sz w:val="18"/>
          <w:szCs w:val="18"/>
          <w:lang w:val="en-GB"/>
        </w:rPr>
        <w:t>558-568.</w:t>
      </w:r>
    </w:p>
    <w:p w14:paraId="144DE6C3" w14:textId="5F53380D" w:rsidR="008D2649" w:rsidRPr="00A8326A" w:rsidRDefault="006D30B2" w:rsidP="00A8326A">
      <w:pPr>
        <w:pStyle w:val="Els-body-text"/>
        <w:ind w:left="238" w:hanging="238"/>
        <w:rPr>
          <w:sz w:val="18"/>
          <w:szCs w:val="18"/>
        </w:rPr>
      </w:pPr>
      <w:r>
        <w:rPr>
          <w:sz w:val="18"/>
          <w:szCs w:val="18"/>
        </w:rPr>
        <w:t xml:space="preserve">S. </w:t>
      </w:r>
      <w:r w:rsidR="00AF5985" w:rsidRPr="00AF5985">
        <w:rPr>
          <w:sz w:val="18"/>
          <w:szCs w:val="18"/>
        </w:rPr>
        <w:t xml:space="preserve">Sachio, </w:t>
      </w:r>
      <w:r>
        <w:rPr>
          <w:sz w:val="18"/>
          <w:szCs w:val="18"/>
        </w:rPr>
        <w:t xml:space="preserve">C. </w:t>
      </w:r>
      <w:proofErr w:type="spellStart"/>
      <w:r w:rsidR="00AF5985" w:rsidRPr="00AF5985">
        <w:rPr>
          <w:sz w:val="18"/>
          <w:szCs w:val="18"/>
        </w:rPr>
        <w:t>Kontoravdi</w:t>
      </w:r>
      <w:proofErr w:type="spellEnd"/>
      <w:r w:rsidR="00AF5985" w:rsidRPr="00AF5985">
        <w:rPr>
          <w:sz w:val="18"/>
          <w:szCs w:val="18"/>
        </w:rPr>
        <w:t xml:space="preserve">, and </w:t>
      </w:r>
      <w:r>
        <w:rPr>
          <w:sz w:val="18"/>
          <w:szCs w:val="18"/>
        </w:rPr>
        <w:t xml:space="preserve">M.M. </w:t>
      </w:r>
      <w:r w:rsidR="00AF5985" w:rsidRPr="00AF5985">
        <w:rPr>
          <w:sz w:val="18"/>
          <w:szCs w:val="18"/>
        </w:rPr>
        <w:t>Papathanasiou, 2023</w:t>
      </w:r>
      <w:r>
        <w:rPr>
          <w:sz w:val="18"/>
          <w:szCs w:val="18"/>
        </w:rPr>
        <w:t>,</w:t>
      </w:r>
      <w:r w:rsidR="00AF5985" w:rsidRPr="00AF5985">
        <w:rPr>
          <w:sz w:val="18"/>
          <w:szCs w:val="18"/>
        </w:rPr>
        <w:t xml:space="preserve"> A model-based approach towards accelerated process development: A case study on chromatography</w:t>
      </w:r>
      <w:r w:rsidR="00A8326A">
        <w:rPr>
          <w:sz w:val="18"/>
          <w:szCs w:val="18"/>
        </w:rPr>
        <w:t>,</w:t>
      </w:r>
      <w:r w:rsidR="00AF5985" w:rsidRPr="00AF5985">
        <w:rPr>
          <w:sz w:val="18"/>
          <w:szCs w:val="18"/>
        </w:rPr>
        <w:t xml:space="preserve"> </w:t>
      </w:r>
      <w:r w:rsidR="00AF5985" w:rsidRPr="00AF5985">
        <w:rPr>
          <w:i/>
          <w:iCs/>
          <w:sz w:val="18"/>
          <w:szCs w:val="18"/>
        </w:rPr>
        <w:t>Chemical Engineering Research and Design</w:t>
      </w:r>
      <w:r w:rsidR="00AF5985" w:rsidRPr="00AF5985">
        <w:rPr>
          <w:sz w:val="18"/>
          <w:szCs w:val="18"/>
        </w:rPr>
        <w:t xml:space="preserve">, </w:t>
      </w:r>
      <w:r w:rsidR="00AF5985" w:rsidRPr="00AF5985">
        <w:rPr>
          <w:b/>
          <w:bCs/>
          <w:sz w:val="18"/>
          <w:szCs w:val="18"/>
        </w:rPr>
        <w:t>197</w:t>
      </w:r>
      <w:r w:rsidR="00AF5985" w:rsidRPr="00AF5985">
        <w:rPr>
          <w:sz w:val="18"/>
          <w:szCs w:val="18"/>
        </w:rPr>
        <w:t>, pp. 800-820.</w:t>
      </w:r>
    </w:p>
    <w:sectPr w:rsidR="008D2649" w:rsidRPr="00A8326A" w:rsidSect="008B0184">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2926F" w14:textId="77777777" w:rsidR="00292ED9" w:rsidRDefault="00292ED9">
      <w:r>
        <w:separator/>
      </w:r>
    </w:p>
  </w:endnote>
  <w:endnote w:type="continuationSeparator" w:id="0">
    <w:p w14:paraId="6FBAA6EC" w14:textId="77777777" w:rsidR="00292ED9" w:rsidRDefault="00292ED9">
      <w:r>
        <w:continuationSeparator/>
      </w:r>
    </w:p>
  </w:endnote>
  <w:endnote w:type="continuationNotice" w:id="1">
    <w:p w14:paraId="082C9937" w14:textId="77777777" w:rsidR="00292ED9" w:rsidRDefault="00292E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6459F" w14:textId="77777777" w:rsidR="00182169" w:rsidRPr="00EE7759" w:rsidRDefault="00182169" w:rsidP="00EE77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1E577" w14:textId="77777777" w:rsidR="00182169" w:rsidRDefault="001821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7904C" w14:textId="77777777" w:rsidR="00182169" w:rsidRDefault="001821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BB081" w14:textId="77777777" w:rsidR="00292ED9" w:rsidRDefault="00292ED9">
      <w:r>
        <w:separator/>
      </w:r>
    </w:p>
  </w:footnote>
  <w:footnote w:type="continuationSeparator" w:id="0">
    <w:p w14:paraId="6C8C1EF4" w14:textId="77777777" w:rsidR="00292ED9" w:rsidRDefault="00292ED9">
      <w:r>
        <w:continuationSeparator/>
      </w:r>
    </w:p>
  </w:footnote>
  <w:footnote w:type="continuationNotice" w:id="1">
    <w:p w14:paraId="656D5193" w14:textId="77777777" w:rsidR="00292ED9" w:rsidRDefault="00292E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630EA295" w:rsidR="00DD3D9E" w:rsidRDefault="00DD3D9E">
    <w:pPr>
      <w:pStyle w:val="Header"/>
      <w:tabs>
        <w:tab w:val="clear" w:pos="7200"/>
        <w:tab w:val="right" w:pos="7088"/>
      </w:tabs>
    </w:pPr>
    <w:r>
      <w:rPr>
        <w:rStyle w:val="PageNumber"/>
      </w:rPr>
      <w:tab/>
    </w:r>
    <w:r>
      <w:rPr>
        <w:rStyle w:val="PageNumber"/>
        <w:i/>
      </w:rPr>
      <w:tab/>
    </w:r>
    <w:r w:rsidR="0097246F">
      <w:rPr>
        <w:i/>
      </w:rPr>
      <w:t>H. Purwanto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0F1872FA" w:rsidR="00DD3D9E" w:rsidRDefault="0097246F" w:rsidP="0097246F">
    <w:pPr>
      <w:pStyle w:val="Header"/>
      <w:tabs>
        <w:tab w:val="clear" w:pos="7200"/>
        <w:tab w:val="right" w:pos="7088"/>
      </w:tabs>
      <w:rPr>
        <w:sz w:val="24"/>
      </w:rPr>
    </w:pPr>
    <w:r w:rsidRPr="0097246F">
      <w:rPr>
        <w:i/>
      </w:rPr>
      <w:t>Flexible operation assessment of adsorption-based carbon capture systems via design space identification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Manenti, Gintaras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E44D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10800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9900A5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D182EC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7FEE9E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98446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7249E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5AFF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7035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9A6868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1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1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2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3" w15:restartNumberingAfterBreak="0">
    <w:nsid w:val="5EBC2FC0"/>
    <w:multiLevelType w:val="hybridMultilevel"/>
    <w:tmpl w:val="4AF4E6C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881207608">
    <w:abstractNumId w:val="21"/>
  </w:num>
  <w:num w:numId="2" w16cid:durableId="1725253299">
    <w:abstractNumId w:val="21"/>
  </w:num>
  <w:num w:numId="3" w16cid:durableId="697513665">
    <w:abstractNumId w:val="21"/>
  </w:num>
  <w:num w:numId="4" w16cid:durableId="2061903175">
    <w:abstractNumId w:val="21"/>
  </w:num>
  <w:num w:numId="5" w16cid:durableId="307638633">
    <w:abstractNumId w:val="10"/>
  </w:num>
  <w:num w:numId="6" w16cid:durableId="629559143">
    <w:abstractNumId w:val="16"/>
  </w:num>
  <w:num w:numId="7" w16cid:durableId="1310674121">
    <w:abstractNumId w:val="22"/>
  </w:num>
  <w:num w:numId="8" w16cid:durableId="1853445438">
    <w:abstractNumId w:val="11"/>
  </w:num>
  <w:num w:numId="9" w16cid:durableId="1698895040">
    <w:abstractNumId w:val="20"/>
  </w:num>
  <w:num w:numId="10" w16cid:durableId="416443540">
    <w:abstractNumId w:val="25"/>
  </w:num>
  <w:num w:numId="11" w16cid:durableId="896165831">
    <w:abstractNumId w:val="24"/>
  </w:num>
  <w:num w:numId="12" w16cid:durableId="1196963958">
    <w:abstractNumId w:val="15"/>
  </w:num>
  <w:num w:numId="13" w16cid:durableId="1068042304">
    <w:abstractNumId w:val="18"/>
  </w:num>
  <w:num w:numId="14" w16cid:durableId="946620703">
    <w:abstractNumId w:val="12"/>
  </w:num>
  <w:num w:numId="15" w16cid:durableId="842554385">
    <w:abstractNumId w:val="17"/>
  </w:num>
  <w:num w:numId="16" w16cid:durableId="872502867">
    <w:abstractNumId w:val="13"/>
  </w:num>
  <w:num w:numId="17" w16cid:durableId="1584101674">
    <w:abstractNumId w:val="14"/>
  </w:num>
  <w:num w:numId="18" w16cid:durableId="971521499">
    <w:abstractNumId w:val="19"/>
  </w:num>
  <w:num w:numId="19" w16cid:durableId="1805006379">
    <w:abstractNumId w:val="9"/>
  </w:num>
  <w:num w:numId="20" w16cid:durableId="237178963">
    <w:abstractNumId w:val="7"/>
  </w:num>
  <w:num w:numId="21" w16cid:durableId="216740860">
    <w:abstractNumId w:val="6"/>
  </w:num>
  <w:num w:numId="22" w16cid:durableId="465051035">
    <w:abstractNumId w:val="5"/>
  </w:num>
  <w:num w:numId="23" w16cid:durableId="643042991">
    <w:abstractNumId w:val="4"/>
  </w:num>
  <w:num w:numId="24" w16cid:durableId="576860610">
    <w:abstractNumId w:val="8"/>
  </w:num>
  <w:num w:numId="25" w16cid:durableId="1608736626">
    <w:abstractNumId w:val="3"/>
  </w:num>
  <w:num w:numId="26" w16cid:durableId="419256892">
    <w:abstractNumId w:val="2"/>
  </w:num>
  <w:num w:numId="27" w16cid:durableId="942416181">
    <w:abstractNumId w:val="1"/>
  </w:num>
  <w:num w:numId="28" w16cid:durableId="1605260040">
    <w:abstractNumId w:val="0"/>
  </w:num>
  <w:num w:numId="29" w16cid:durableId="1520511921">
    <w:abstractNumId w:val="14"/>
  </w:num>
  <w:num w:numId="30" w16cid:durableId="1050958833">
    <w:abstractNumId w:val="14"/>
  </w:num>
  <w:num w:numId="31" w16cid:durableId="1823155293">
    <w:abstractNumId w:val="14"/>
  </w:num>
  <w:num w:numId="32" w16cid:durableId="1690376460">
    <w:abstractNumId w:val="14"/>
  </w:num>
  <w:num w:numId="33" w16cid:durableId="901331745">
    <w:abstractNumId w:val="14"/>
  </w:num>
  <w:num w:numId="34" w16cid:durableId="56460519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26043"/>
    <w:rsid w:val="000267CA"/>
    <w:rsid w:val="00032745"/>
    <w:rsid w:val="000426F5"/>
    <w:rsid w:val="000426FC"/>
    <w:rsid w:val="00046567"/>
    <w:rsid w:val="00054317"/>
    <w:rsid w:val="00066EFC"/>
    <w:rsid w:val="0007321C"/>
    <w:rsid w:val="00073743"/>
    <w:rsid w:val="000742F0"/>
    <w:rsid w:val="0007486A"/>
    <w:rsid w:val="00074C20"/>
    <w:rsid w:val="00083BBF"/>
    <w:rsid w:val="000900CF"/>
    <w:rsid w:val="00090F86"/>
    <w:rsid w:val="000950D2"/>
    <w:rsid w:val="00096971"/>
    <w:rsid w:val="000A1E5C"/>
    <w:rsid w:val="000A4634"/>
    <w:rsid w:val="000A5373"/>
    <w:rsid w:val="000A5DD2"/>
    <w:rsid w:val="000A6F6A"/>
    <w:rsid w:val="000A7169"/>
    <w:rsid w:val="000B47D0"/>
    <w:rsid w:val="000C23EB"/>
    <w:rsid w:val="000C7E83"/>
    <w:rsid w:val="000D0307"/>
    <w:rsid w:val="000D3619"/>
    <w:rsid w:val="000D3D9B"/>
    <w:rsid w:val="000D610C"/>
    <w:rsid w:val="000F2065"/>
    <w:rsid w:val="00105B62"/>
    <w:rsid w:val="0010619E"/>
    <w:rsid w:val="001107AC"/>
    <w:rsid w:val="00112ADE"/>
    <w:rsid w:val="0011680C"/>
    <w:rsid w:val="00116E0C"/>
    <w:rsid w:val="001204B2"/>
    <w:rsid w:val="00121EB0"/>
    <w:rsid w:val="00122880"/>
    <w:rsid w:val="00126FAC"/>
    <w:rsid w:val="00131166"/>
    <w:rsid w:val="00131F5C"/>
    <w:rsid w:val="00145C7C"/>
    <w:rsid w:val="001533D8"/>
    <w:rsid w:val="0015642A"/>
    <w:rsid w:val="00157289"/>
    <w:rsid w:val="0016032F"/>
    <w:rsid w:val="0016049C"/>
    <w:rsid w:val="0016477A"/>
    <w:rsid w:val="00164CEC"/>
    <w:rsid w:val="001709D4"/>
    <w:rsid w:val="00173D80"/>
    <w:rsid w:val="00175448"/>
    <w:rsid w:val="00181979"/>
    <w:rsid w:val="00182169"/>
    <w:rsid w:val="0018561A"/>
    <w:rsid w:val="0018619F"/>
    <w:rsid w:val="001879F6"/>
    <w:rsid w:val="00191599"/>
    <w:rsid w:val="0019198E"/>
    <w:rsid w:val="00192C4E"/>
    <w:rsid w:val="00194844"/>
    <w:rsid w:val="00197927"/>
    <w:rsid w:val="00197B35"/>
    <w:rsid w:val="001A21F0"/>
    <w:rsid w:val="001A3D7F"/>
    <w:rsid w:val="001A44D1"/>
    <w:rsid w:val="001A4862"/>
    <w:rsid w:val="001B3663"/>
    <w:rsid w:val="001B68D8"/>
    <w:rsid w:val="001B7CE1"/>
    <w:rsid w:val="001C0148"/>
    <w:rsid w:val="001C2364"/>
    <w:rsid w:val="001C757E"/>
    <w:rsid w:val="001D1646"/>
    <w:rsid w:val="001D2B59"/>
    <w:rsid w:val="001D6813"/>
    <w:rsid w:val="001D6BBB"/>
    <w:rsid w:val="001E0A67"/>
    <w:rsid w:val="001E5A33"/>
    <w:rsid w:val="001F41A1"/>
    <w:rsid w:val="001F43E8"/>
    <w:rsid w:val="001F47FC"/>
    <w:rsid w:val="0020390F"/>
    <w:rsid w:val="00206424"/>
    <w:rsid w:val="00207C1B"/>
    <w:rsid w:val="0022222E"/>
    <w:rsid w:val="0023361F"/>
    <w:rsid w:val="00246BEE"/>
    <w:rsid w:val="002507E4"/>
    <w:rsid w:val="00257A18"/>
    <w:rsid w:val="002618CE"/>
    <w:rsid w:val="002622D7"/>
    <w:rsid w:val="0026372C"/>
    <w:rsid w:val="00264926"/>
    <w:rsid w:val="00273518"/>
    <w:rsid w:val="00275C01"/>
    <w:rsid w:val="0028086B"/>
    <w:rsid w:val="0028671D"/>
    <w:rsid w:val="002918CA"/>
    <w:rsid w:val="0029234F"/>
    <w:rsid w:val="00292ED9"/>
    <w:rsid w:val="00294B25"/>
    <w:rsid w:val="002B2B06"/>
    <w:rsid w:val="002C16A6"/>
    <w:rsid w:val="002C4EE1"/>
    <w:rsid w:val="002D447B"/>
    <w:rsid w:val="002E22D1"/>
    <w:rsid w:val="002E466C"/>
    <w:rsid w:val="002E62F9"/>
    <w:rsid w:val="002F00B6"/>
    <w:rsid w:val="002F0CF6"/>
    <w:rsid w:val="002F0E68"/>
    <w:rsid w:val="002F1B6F"/>
    <w:rsid w:val="002F2EDD"/>
    <w:rsid w:val="002F3628"/>
    <w:rsid w:val="002F4FE9"/>
    <w:rsid w:val="002F7DB4"/>
    <w:rsid w:val="003066DE"/>
    <w:rsid w:val="003107F2"/>
    <w:rsid w:val="00311C5D"/>
    <w:rsid w:val="00312F4F"/>
    <w:rsid w:val="00314342"/>
    <w:rsid w:val="00314D6D"/>
    <w:rsid w:val="003150E9"/>
    <w:rsid w:val="003215B4"/>
    <w:rsid w:val="00325E14"/>
    <w:rsid w:val="00325F65"/>
    <w:rsid w:val="003300A1"/>
    <w:rsid w:val="00330E67"/>
    <w:rsid w:val="00332095"/>
    <w:rsid w:val="00341C4E"/>
    <w:rsid w:val="00344279"/>
    <w:rsid w:val="00346049"/>
    <w:rsid w:val="00346396"/>
    <w:rsid w:val="003509E2"/>
    <w:rsid w:val="00350E02"/>
    <w:rsid w:val="00353439"/>
    <w:rsid w:val="0035365E"/>
    <w:rsid w:val="00362174"/>
    <w:rsid w:val="003627C1"/>
    <w:rsid w:val="003634BD"/>
    <w:rsid w:val="00363544"/>
    <w:rsid w:val="00371141"/>
    <w:rsid w:val="003760D3"/>
    <w:rsid w:val="00380863"/>
    <w:rsid w:val="00381B11"/>
    <w:rsid w:val="003844EE"/>
    <w:rsid w:val="00384F35"/>
    <w:rsid w:val="0038597E"/>
    <w:rsid w:val="003872D4"/>
    <w:rsid w:val="003966FD"/>
    <w:rsid w:val="003A0354"/>
    <w:rsid w:val="003A52C1"/>
    <w:rsid w:val="003A5746"/>
    <w:rsid w:val="003B70BD"/>
    <w:rsid w:val="003B7FE4"/>
    <w:rsid w:val="003C2D99"/>
    <w:rsid w:val="003D1582"/>
    <w:rsid w:val="003D63B9"/>
    <w:rsid w:val="003D7E4C"/>
    <w:rsid w:val="003E369F"/>
    <w:rsid w:val="003E41C2"/>
    <w:rsid w:val="003F168B"/>
    <w:rsid w:val="003F46E3"/>
    <w:rsid w:val="003F4F20"/>
    <w:rsid w:val="0040208D"/>
    <w:rsid w:val="00406288"/>
    <w:rsid w:val="004100BD"/>
    <w:rsid w:val="00410738"/>
    <w:rsid w:val="00410B7A"/>
    <w:rsid w:val="004349A3"/>
    <w:rsid w:val="00435053"/>
    <w:rsid w:val="00445E9F"/>
    <w:rsid w:val="004521C6"/>
    <w:rsid w:val="00452339"/>
    <w:rsid w:val="00456143"/>
    <w:rsid w:val="00473323"/>
    <w:rsid w:val="00476DDD"/>
    <w:rsid w:val="0048000E"/>
    <w:rsid w:val="004819F1"/>
    <w:rsid w:val="0048743B"/>
    <w:rsid w:val="004879BA"/>
    <w:rsid w:val="00487F70"/>
    <w:rsid w:val="0049378C"/>
    <w:rsid w:val="004941A1"/>
    <w:rsid w:val="0049772C"/>
    <w:rsid w:val="004B1D4D"/>
    <w:rsid w:val="004B458E"/>
    <w:rsid w:val="004B5219"/>
    <w:rsid w:val="004B66D0"/>
    <w:rsid w:val="004C1BD0"/>
    <w:rsid w:val="004C332C"/>
    <w:rsid w:val="004C3DC1"/>
    <w:rsid w:val="004D06A3"/>
    <w:rsid w:val="004E6AB7"/>
    <w:rsid w:val="004F5D94"/>
    <w:rsid w:val="00503B73"/>
    <w:rsid w:val="00506A87"/>
    <w:rsid w:val="005103A5"/>
    <w:rsid w:val="00510C0D"/>
    <w:rsid w:val="0051436C"/>
    <w:rsid w:val="00514C5C"/>
    <w:rsid w:val="00515F18"/>
    <w:rsid w:val="00521DA7"/>
    <w:rsid w:val="00523701"/>
    <w:rsid w:val="00524CB5"/>
    <w:rsid w:val="00527380"/>
    <w:rsid w:val="0053062F"/>
    <w:rsid w:val="00533312"/>
    <w:rsid w:val="00533AE6"/>
    <w:rsid w:val="00540653"/>
    <w:rsid w:val="005419C8"/>
    <w:rsid w:val="00546C6E"/>
    <w:rsid w:val="00547B84"/>
    <w:rsid w:val="0055053C"/>
    <w:rsid w:val="00552EEB"/>
    <w:rsid w:val="005543E6"/>
    <w:rsid w:val="005656D9"/>
    <w:rsid w:val="00570FA5"/>
    <w:rsid w:val="00571193"/>
    <w:rsid w:val="0057223A"/>
    <w:rsid w:val="005751D6"/>
    <w:rsid w:val="00575F34"/>
    <w:rsid w:val="005843BB"/>
    <w:rsid w:val="00591A33"/>
    <w:rsid w:val="0059221F"/>
    <w:rsid w:val="0059539A"/>
    <w:rsid w:val="005A2542"/>
    <w:rsid w:val="005A2C51"/>
    <w:rsid w:val="005A2E09"/>
    <w:rsid w:val="005A4E83"/>
    <w:rsid w:val="005B2168"/>
    <w:rsid w:val="005B36A6"/>
    <w:rsid w:val="005B6117"/>
    <w:rsid w:val="005C7701"/>
    <w:rsid w:val="005E23DD"/>
    <w:rsid w:val="005E3513"/>
    <w:rsid w:val="005F3A1F"/>
    <w:rsid w:val="005F3CA8"/>
    <w:rsid w:val="0060491C"/>
    <w:rsid w:val="0060609B"/>
    <w:rsid w:val="00606951"/>
    <w:rsid w:val="00615EB2"/>
    <w:rsid w:val="006208FF"/>
    <w:rsid w:val="00620952"/>
    <w:rsid w:val="006233EA"/>
    <w:rsid w:val="00623C7A"/>
    <w:rsid w:val="00624DE7"/>
    <w:rsid w:val="00625DFD"/>
    <w:rsid w:val="00636750"/>
    <w:rsid w:val="00640435"/>
    <w:rsid w:val="006437A5"/>
    <w:rsid w:val="00647BD1"/>
    <w:rsid w:val="00655C4F"/>
    <w:rsid w:val="00661BBA"/>
    <w:rsid w:val="00663B46"/>
    <w:rsid w:val="0066576F"/>
    <w:rsid w:val="0066657B"/>
    <w:rsid w:val="0067134E"/>
    <w:rsid w:val="00674490"/>
    <w:rsid w:val="00683F55"/>
    <w:rsid w:val="00686313"/>
    <w:rsid w:val="006934F9"/>
    <w:rsid w:val="00695D0C"/>
    <w:rsid w:val="006A33FD"/>
    <w:rsid w:val="006A58C7"/>
    <w:rsid w:val="006A69BF"/>
    <w:rsid w:val="006A771A"/>
    <w:rsid w:val="006B13D0"/>
    <w:rsid w:val="006B4353"/>
    <w:rsid w:val="006B5798"/>
    <w:rsid w:val="006B7786"/>
    <w:rsid w:val="006B787C"/>
    <w:rsid w:val="006B7E9E"/>
    <w:rsid w:val="006C5494"/>
    <w:rsid w:val="006C60B3"/>
    <w:rsid w:val="006D0F62"/>
    <w:rsid w:val="006D30B2"/>
    <w:rsid w:val="006E3FB8"/>
    <w:rsid w:val="006F29CE"/>
    <w:rsid w:val="006F2D23"/>
    <w:rsid w:val="006F4FD2"/>
    <w:rsid w:val="006F5223"/>
    <w:rsid w:val="00700DBF"/>
    <w:rsid w:val="007013FE"/>
    <w:rsid w:val="00703495"/>
    <w:rsid w:val="00711DF4"/>
    <w:rsid w:val="007147C9"/>
    <w:rsid w:val="00724C12"/>
    <w:rsid w:val="007317CA"/>
    <w:rsid w:val="0073220B"/>
    <w:rsid w:val="0073583D"/>
    <w:rsid w:val="00741882"/>
    <w:rsid w:val="007435D9"/>
    <w:rsid w:val="00747EB6"/>
    <w:rsid w:val="00753AB5"/>
    <w:rsid w:val="007567A1"/>
    <w:rsid w:val="007569A9"/>
    <w:rsid w:val="0076684F"/>
    <w:rsid w:val="007745B7"/>
    <w:rsid w:val="00776B18"/>
    <w:rsid w:val="0078007D"/>
    <w:rsid w:val="00780B05"/>
    <w:rsid w:val="00781A35"/>
    <w:rsid w:val="00782BF5"/>
    <w:rsid w:val="00792BEE"/>
    <w:rsid w:val="00794CFA"/>
    <w:rsid w:val="007B26D4"/>
    <w:rsid w:val="007C06FF"/>
    <w:rsid w:val="007C147B"/>
    <w:rsid w:val="007C36FF"/>
    <w:rsid w:val="007C51CE"/>
    <w:rsid w:val="007C709D"/>
    <w:rsid w:val="007D181E"/>
    <w:rsid w:val="007D70A1"/>
    <w:rsid w:val="007D7151"/>
    <w:rsid w:val="007E629C"/>
    <w:rsid w:val="007E6E39"/>
    <w:rsid w:val="007F6931"/>
    <w:rsid w:val="0080516C"/>
    <w:rsid w:val="00811A37"/>
    <w:rsid w:val="008132E8"/>
    <w:rsid w:val="00813A62"/>
    <w:rsid w:val="00823407"/>
    <w:rsid w:val="00823812"/>
    <w:rsid w:val="008244F2"/>
    <w:rsid w:val="0082568E"/>
    <w:rsid w:val="008300DA"/>
    <w:rsid w:val="00830827"/>
    <w:rsid w:val="008431BF"/>
    <w:rsid w:val="00860329"/>
    <w:rsid w:val="00866071"/>
    <w:rsid w:val="00867D69"/>
    <w:rsid w:val="008712A4"/>
    <w:rsid w:val="00872983"/>
    <w:rsid w:val="00872CDB"/>
    <w:rsid w:val="00874ADF"/>
    <w:rsid w:val="00874C05"/>
    <w:rsid w:val="008754A8"/>
    <w:rsid w:val="00875F75"/>
    <w:rsid w:val="008802AA"/>
    <w:rsid w:val="008A47C9"/>
    <w:rsid w:val="008A6D09"/>
    <w:rsid w:val="008B0184"/>
    <w:rsid w:val="008B01E4"/>
    <w:rsid w:val="008B21BA"/>
    <w:rsid w:val="008B41F0"/>
    <w:rsid w:val="008B4577"/>
    <w:rsid w:val="008B4876"/>
    <w:rsid w:val="008B5506"/>
    <w:rsid w:val="008B62FF"/>
    <w:rsid w:val="008C5D02"/>
    <w:rsid w:val="008D0746"/>
    <w:rsid w:val="008D0A65"/>
    <w:rsid w:val="008D23E2"/>
    <w:rsid w:val="008D2649"/>
    <w:rsid w:val="008D47D0"/>
    <w:rsid w:val="008D6D07"/>
    <w:rsid w:val="008D712A"/>
    <w:rsid w:val="008E0A46"/>
    <w:rsid w:val="008E2D21"/>
    <w:rsid w:val="008E51AB"/>
    <w:rsid w:val="008E7276"/>
    <w:rsid w:val="008F13C6"/>
    <w:rsid w:val="008F59AE"/>
    <w:rsid w:val="00901FFA"/>
    <w:rsid w:val="00902412"/>
    <w:rsid w:val="0090568D"/>
    <w:rsid w:val="009061FA"/>
    <w:rsid w:val="009125C9"/>
    <w:rsid w:val="00913879"/>
    <w:rsid w:val="00916DC3"/>
    <w:rsid w:val="00917661"/>
    <w:rsid w:val="009200E1"/>
    <w:rsid w:val="009337FC"/>
    <w:rsid w:val="009426A6"/>
    <w:rsid w:val="0094401C"/>
    <w:rsid w:val="009440DA"/>
    <w:rsid w:val="00964873"/>
    <w:rsid w:val="00965804"/>
    <w:rsid w:val="00966759"/>
    <w:rsid w:val="00970E5D"/>
    <w:rsid w:val="00971B4D"/>
    <w:rsid w:val="0097246F"/>
    <w:rsid w:val="00976F34"/>
    <w:rsid w:val="0097701C"/>
    <w:rsid w:val="00980A65"/>
    <w:rsid w:val="00982374"/>
    <w:rsid w:val="009B5790"/>
    <w:rsid w:val="009C2D24"/>
    <w:rsid w:val="009C6CEA"/>
    <w:rsid w:val="009C7250"/>
    <w:rsid w:val="009D016A"/>
    <w:rsid w:val="009D2B8B"/>
    <w:rsid w:val="009D2D3A"/>
    <w:rsid w:val="009D2D6B"/>
    <w:rsid w:val="009D7ECF"/>
    <w:rsid w:val="009E4E43"/>
    <w:rsid w:val="009E6BC3"/>
    <w:rsid w:val="009F00C1"/>
    <w:rsid w:val="009F1AE4"/>
    <w:rsid w:val="009F6CF0"/>
    <w:rsid w:val="00A01A7D"/>
    <w:rsid w:val="00A03407"/>
    <w:rsid w:val="00A035D7"/>
    <w:rsid w:val="00A12F47"/>
    <w:rsid w:val="00A25E70"/>
    <w:rsid w:val="00A27DA7"/>
    <w:rsid w:val="00A33765"/>
    <w:rsid w:val="00A36620"/>
    <w:rsid w:val="00A37729"/>
    <w:rsid w:val="00A37C01"/>
    <w:rsid w:val="00A4509F"/>
    <w:rsid w:val="00A57B9F"/>
    <w:rsid w:val="00A63269"/>
    <w:rsid w:val="00A632D5"/>
    <w:rsid w:val="00A64010"/>
    <w:rsid w:val="00A66186"/>
    <w:rsid w:val="00A67871"/>
    <w:rsid w:val="00A67F03"/>
    <w:rsid w:val="00A723F3"/>
    <w:rsid w:val="00A7563C"/>
    <w:rsid w:val="00A769B6"/>
    <w:rsid w:val="00A77716"/>
    <w:rsid w:val="00A77A08"/>
    <w:rsid w:val="00A77C7A"/>
    <w:rsid w:val="00A808CF"/>
    <w:rsid w:val="00A8326A"/>
    <w:rsid w:val="00A83AFB"/>
    <w:rsid w:val="00A83F33"/>
    <w:rsid w:val="00A92377"/>
    <w:rsid w:val="00A936C9"/>
    <w:rsid w:val="00A93EBD"/>
    <w:rsid w:val="00A94C1E"/>
    <w:rsid w:val="00A97402"/>
    <w:rsid w:val="00AA3BD8"/>
    <w:rsid w:val="00AA4606"/>
    <w:rsid w:val="00AA56A3"/>
    <w:rsid w:val="00AA711D"/>
    <w:rsid w:val="00AB1E74"/>
    <w:rsid w:val="00AB29BA"/>
    <w:rsid w:val="00AB29ED"/>
    <w:rsid w:val="00AB2B72"/>
    <w:rsid w:val="00AB6B65"/>
    <w:rsid w:val="00AB6C19"/>
    <w:rsid w:val="00AB6DB3"/>
    <w:rsid w:val="00AC031A"/>
    <w:rsid w:val="00AE2FFF"/>
    <w:rsid w:val="00AE31C8"/>
    <w:rsid w:val="00AE4BD8"/>
    <w:rsid w:val="00AE74CE"/>
    <w:rsid w:val="00AE7B1D"/>
    <w:rsid w:val="00AF215D"/>
    <w:rsid w:val="00AF3545"/>
    <w:rsid w:val="00AF3699"/>
    <w:rsid w:val="00AF3A8E"/>
    <w:rsid w:val="00AF5985"/>
    <w:rsid w:val="00B00E75"/>
    <w:rsid w:val="00B04932"/>
    <w:rsid w:val="00B072A2"/>
    <w:rsid w:val="00B100D9"/>
    <w:rsid w:val="00B1125C"/>
    <w:rsid w:val="00B16D5B"/>
    <w:rsid w:val="00B16F11"/>
    <w:rsid w:val="00B220C9"/>
    <w:rsid w:val="00B31506"/>
    <w:rsid w:val="00B31DC6"/>
    <w:rsid w:val="00B323B9"/>
    <w:rsid w:val="00B34A9F"/>
    <w:rsid w:val="00B35E42"/>
    <w:rsid w:val="00B40214"/>
    <w:rsid w:val="00B41D63"/>
    <w:rsid w:val="00B4388F"/>
    <w:rsid w:val="00B43E8E"/>
    <w:rsid w:val="00B44ED2"/>
    <w:rsid w:val="00B56967"/>
    <w:rsid w:val="00B62052"/>
    <w:rsid w:val="00B63237"/>
    <w:rsid w:val="00B637F1"/>
    <w:rsid w:val="00B66A94"/>
    <w:rsid w:val="00B839A1"/>
    <w:rsid w:val="00B85925"/>
    <w:rsid w:val="00B86334"/>
    <w:rsid w:val="00B94399"/>
    <w:rsid w:val="00B94C53"/>
    <w:rsid w:val="00BA4965"/>
    <w:rsid w:val="00BA6D4C"/>
    <w:rsid w:val="00BA7B08"/>
    <w:rsid w:val="00BB0223"/>
    <w:rsid w:val="00BB4EB3"/>
    <w:rsid w:val="00BC0B34"/>
    <w:rsid w:val="00BC3573"/>
    <w:rsid w:val="00BC6AB5"/>
    <w:rsid w:val="00BD4246"/>
    <w:rsid w:val="00BD4A2D"/>
    <w:rsid w:val="00BD5132"/>
    <w:rsid w:val="00BD524B"/>
    <w:rsid w:val="00BD5E14"/>
    <w:rsid w:val="00BE2C58"/>
    <w:rsid w:val="00C00FB1"/>
    <w:rsid w:val="00C03974"/>
    <w:rsid w:val="00C1047F"/>
    <w:rsid w:val="00C11C11"/>
    <w:rsid w:val="00C11F12"/>
    <w:rsid w:val="00C14252"/>
    <w:rsid w:val="00C21675"/>
    <w:rsid w:val="00C2240A"/>
    <w:rsid w:val="00C24F57"/>
    <w:rsid w:val="00C2639C"/>
    <w:rsid w:val="00C26E06"/>
    <w:rsid w:val="00C30B67"/>
    <w:rsid w:val="00C36BA1"/>
    <w:rsid w:val="00C404FB"/>
    <w:rsid w:val="00C45165"/>
    <w:rsid w:val="00C53568"/>
    <w:rsid w:val="00C547DC"/>
    <w:rsid w:val="00C554A2"/>
    <w:rsid w:val="00C61FAE"/>
    <w:rsid w:val="00C73C71"/>
    <w:rsid w:val="00C744E9"/>
    <w:rsid w:val="00C75519"/>
    <w:rsid w:val="00C80F40"/>
    <w:rsid w:val="00C858EF"/>
    <w:rsid w:val="00C86CB3"/>
    <w:rsid w:val="00C90060"/>
    <w:rsid w:val="00C90BAF"/>
    <w:rsid w:val="00C95D2E"/>
    <w:rsid w:val="00C960DC"/>
    <w:rsid w:val="00CB652F"/>
    <w:rsid w:val="00CB6753"/>
    <w:rsid w:val="00CC29B5"/>
    <w:rsid w:val="00CC39FD"/>
    <w:rsid w:val="00CC3D54"/>
    <w:rsid w:val="00CC5FC1"/>
    <w:rsid w:val="00CC69EB"/>
    <w:rsid w:val="00CD01FB"/>
    <w:rsid w:val="00CE0D1F"/>
    <w:rsid w:val="00CE17B9"/>
    <w:rsid w:val="00CE3B0C"/>
    <w:rsid w:val="00CF42A8"/>
    <w:rsid w:val="00D006C7"/>
    <w:rsid w:val="00D02BC7"/>
    <w:rsid w:val="00D02C75"/>
    <w:rsid w:val="00D10E22"/>
    <w:rsid w:val="00D139EB"/>
    <w:rsid w:val="00D13D2C"/>
    <w:rsid w:val="00D17FED"/>
    <w:rsid w:val="00D21620"/>
    <w:rsid w:val="00D23618"/>
    <w:rsid w:val="00D23742"/>
    <w:rsid w:val="00D26C7D"/>
    <w:rsid w:val="00D32E52"/>
    <w:rsid w:val="00D40F32"/>
    <w:rsid w:val="00D43391"/>
    <w:rsid w:val="00D474A5"/>
    <w:rsid w:val="00D553B5"/>
    <w:rsid w:val="00D57997"/>
    <w:rsid w:val="00D60536"/>
    <w:rsid w:val="00D63A36"/>
    <w:rsid w:val="00D67EE2"/>
    <w:rsid w:val="00D70390"/>
    <w:rsid w:val="00D70D0A"/>
    <w:rsid w:val="00D73061"/>
    <w:rsid w:val="00D757AD"/>
    <w:rsid w:val="00D765ED"/>
    <w:rsid w:val="00D76B6E"/>
    <w:rsid w:val="00D76DC2"/>
    <w:rsid w:val="00D840D8"/>
    <w:rsid w:val="00D85978"/>
    <w:rsid w:val="00D90508"/>
    <w:rsid w:val="00D939D1"/>
    <w:rsid w:val="00D956D0"/>
    <w:rsid w:val="00DA4FB4"/>
    <w:rsid w:val="00DA65C5"/>
    <w:rsid w:val="00DB0113"/>
    <w:rsid w:val="00DB035F"/>
    <w:rsid w:val="00DB1F95"/>
    <w:rsid w:val="00DB2B76"/>
    <w:rsid w:val="00DB41E1"/>
    <w:rsid w:val="00DC0CF9"/>
    <w:rsid w:val="00DC2F94"/>
    <w:rsid w:val="00DC3109"/>
    <w:rsid w:val="00DC369C"/>
    <w:rsid w:val="00DC65F4"/>
    <w:rsid w:val="00DD378E"/>
    <w:rsid w:val="00DD3D9E"/>
    <w:rsid w:val="00DD5BCD"/>
    <w:rsid w:val="00DD72A6"/>
    <w:rsid w:val="00DD7908"/>
    <w:rsid w:val="00DE354D"/>
    <w:rsid w:val="00DF31CB"/>
    <w:rsid w:val="00E011CD"/>
    <w:rsid w:val="00E022DC"/>
    <w:rsid w:val="00E036CE"/>
    <w:rsid w:val="00E04974"/>
    <w:rsid w:val="00E06C36"/>
    <w:rsid w:val="00E076EA"/>
    <w:rsid w:val="00E16B2B"/>
    <w:rsid w:val="00E258EA"/>
    <w:rsid w:val="00E27BB0"/>
    <w:rsid w:val="00E35AAA"/>
    <w:rsid w:val="00E458CB"/>
    <w:rsid w:val="00E52C00"/>
    <w:rsid w:val="00E55E15"/>
    <w:rsid w:val="00E56168"/>
    <w:rsid w:val="00E572D6"/>
    <w:rsid w:val="00E60EE5"/>
    <w:rsid w:val="00E61043"/>
    <w:rsid w:val="00E63B3A"/>
    <w:rsid w:val="00E73E82"/>
    <w:rsid w:val="00E74D49"/>
    <w:rsid w:val="00E7611F"/>
    <w:rsid w:val="00E7643A"/>
    <w:rsid w:val="00E77C44"/>
    <w:rsid w:val="00E82297"/>
    <w:rsid w:val="00E85621"/>
    <w:rsid w:val="00E87253"/>
    <w:rsid w:val="00E90AB1"/>
    <w:rsid w:val="00E90F85"/>
    <w:rsid w:val="00E92BF5"/>
    <w:rsid w:val="00E93AA9"/>
    <w:rsid w:val="00E95F84"/>
    <w:rsid w:val="00E96E05"/>
    <w:rsid w:val="00EB10F4"/>
    <w:rsid w:val="00EB559D"/>
    <w:rsid w:val="00EC2CCE"/>
    <w:rsid w:val="00ED00C8"/>
    <w:rsid w:val="00ED2EB4"/>
    <w:rsid w:val="00ED5C71"/>
    <w:rsid w:val="00EE04C1"/>
    <w:rsid w:val="00EE74EA"/>
    <w:rsid w:val="00EE7759"/>
    <w:rsid w:val="00EF39FD"/>
    <w:rsid w:val="00EF3DD8"/>
    <w:rsid w:val="00EF41BD"/>
    <w:rsid w:val="00EF53FE"/>
    <w:rsid w:val="00F03A3B"/>
    <w:rsid w:val="00F058FD"/>
    <w:rsid w:val="00F06842"/>
    <w:rsid w:val="00F06996"/>
    <w:rsid w:val="00F06C11"/>
    <w:rsid w:val="00F0715A"/>
    <w:rsid w:val="00F078E0"/>
    <w:rsid w:val="00F1049D"/>
    <w:rsid w:val="00F107FD"/>
    <w:rsid w:val="00F112A4"/>
    <w:rsid w:val="00F1171A"/>
    <w:rsid w:val="00F1340B"/>
    <w:rsid w:val="00F16DD8"/>
    <w:rsid w:val="00F277E2"/>
    <w:rsid w:val="00F323FA"/>
    <w:rsid w:val="00F32BFC"/>
    <w:rsid w:val="00F33007"/>
    <w:rsid w:val="00F34665"/>
    <w:rsid w:val="00F34AEF"/>
    <w:rsid w:val="00F42453"/>
    <w:rsid w:val="00F42CD7"/>
    <w:rsid w:val="00F50D0A"/>
    <w:rsid w:val="00F5120C"/>
    <w:rsid w:val="00F54474"/>
    <w:rsid w:val="00F6238D"/>
    <w:rsid w:val="00F6289B"/>
    <w:rsid w:val="00F63AE2"/>
    <w:rsid w:val="00F66321"/>
    <w:rsid w:val="00F717EA"/>
    <w:rsid w:val="00F76298"/>
    <w:rsid w:val="00F7732D"/>
    <w:rsid w:val="00F81695"/>
    <w:rsid w:val="00F81BF4"/>
    <w:rsid w:val="00F83E8F"/>
    <w:rsid w:val="00F84B73"/>
    <w:rsid w:val="00F850E5"/>
    <w:rsid w:val="00F925DB"/>
    <w:rsid w:val="00F94D66"/>
    <w:rsid w:val="00FA0AD8"/>
    <w:rsid w:val="00FA19BE"/>
    <w:rsid w:val="00FB5040"/>
    <w:rsid w:val="00FB5C2A"/>
    <w:rsid w:val="00FB64A8"/>
    <w:rsid w:val="00FB73D7"/>
    <w:rsid w:val="00FB7AD3"/>
    <w:rsid w:val="00FB7E17"/>
    <w:rsid w:val="00FC2096"/>
    <w:rsid w:val="00FC427B"/>
    <w:rsid w:val="00FD3291"/>
    <w:rsid w:val="00FE0219"/>
    <w:rsid w:val="00FE0F6C"/>
    <w:rsid w:val="00FE2D43"/>
    <w:rsid w:val="00FE799E"/>
    <w:rsid w:val="00FF1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Heading1">
    <w:name w:val="heading 1"/>
    <w:basedOn w:val="Normal"/>
    <w:next w:val="Normal"/>
    <w:link w:val="Heading1Char"/>
    <w:qFormat/>
    <w:rsid w:val="006A58C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6A58C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6A58C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6A58C7"/>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6A58C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6A58C7"/>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6A58C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6A58C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CD01FB"/>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paragraph" w:styleId="Bibliography">
    <w:name w:val="Bibliography"/>
    <w:basedOn w:val="Normal"/>
    <w:next w:val="Normal"/>
    <w:uiPriority w:val="37"/>
    <w:semiHidden/>
    <w:unhideWhenUsed/>
    <w:rsid w:val="006A58C7"/>
  </w:style>
  <w:style w:type="paragraph" w:styleId="BlockText">
    <w:name w:val="Block Text"/>
    <w:basedOn w:val="Normal"/>
    <w:semiHidden/>
    <w:unhideWhenUsed/>
    <w:rsid w:val="006A58C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unhideWhenUsed/>
    <w:rsid w:val="006A58C7"/>
    <w:pPr>
      <w:spacing w:after="120"/>
    </w:pPr>
  </w:style>
  <w:style w:type="character" w:customStyle="1" w:styleId="BodyTextChar">
    <w:name w:val="Body Text Char"/>
    <w:basedOn w:val="DefaultParagraphFont"/>
    <w:link w:val="BodyText"/>
    <w:semiHidden/>
    <w:rsid w:val="006A58C7"/>
    <w:rPr>
      <w:lang w:eastAsia="en-US"/>
    </w:rPr>
  </w:style>
  <w:style w:type="paragraph" w:styleId="BodyText2">
    <w:name w:val="Body Text 2"/>
    <w:basedOn w:val="Normal"/>
    <w:link w:val="BodyText2Char"/>
    <w:semiHidden/>
    <w:unhideWhenUsed/>
    <w:rsid w:val="006A58C7"/>
    <w:pPr>
      <w:spacing w:after="120" w:line="480" w:lineRule="auto"/>
    </w:pPr>
  </w:style>
  <w:style w:type="character" w:customStyle="1" w:styleId="BodyText2Char">
    <w:name w:val="Body Text 2 Char"/>
    <w:basedOn w:val="DefaultParagraphFont"/>
    <w:link w:val="BodyText2"/>
    <w:semiHidden/>
    <w:rsid w:val="006A58C7"/>
    <w:rPr>
      <w:lang w:eastAsia="en-US"/>
    </w:rPr>
  </w:style>
  <w:style w:type="paragraph" w:styleId="BodyText3">
    <w:name w:val="Body Text 3"/>
    <w:basedOn w:val="Normal"/>
    <w:link w:val="BodyText3Char"/>
    <w:semiHidden/>
    <w:unhideWhenUsed/>
    <w:rsid w:val="006A58C7"/>
    <w:pPr>
      <w:spacing w:after="120"/>
    </w:pPr>
    <w:rPr>
      <w:sz w:val="16"/>
      <w:szCs w:val="16"/>
    </w:rPr>
  </w:style>
  <w:style w:type="character" w:customStyle="1" w:styleId="BodyText3Char">
    <w:name w:val="Body Text 3 Char"/>
    <w:basedOn w:val="DefaultParagraphFont"/>
    <w:link w:val="BodyText3"/>
    <w:semiHidden/>
    <w:rsid w:val="006A58C7"/>
    <w:rPr>
      <w:sz w:val="16"/>
      <w:szCs w:val="16"/>
      <w:lang w:eastAsia="en-US"/>
    </w:rPr>
  </w:style>
  <w:style w:type="paragraph" w:styleId="BodyTextFirstIndent">
    <w:name w:val="Body Text First Indent"/>
    <w:basedOn w:val="BodyText"/>
    <w:link w:val="BodyTextFirstIndentChar"/>
    <w:semiHidden/>
    <w:unhideWhenUsed/>
    <w:rsid w:val="006A58C7"/>
    <w:pPr>
      <w:spacing w:after="0"/>
      <w:ind w:firstLine="360"/>
    </w:pPr>
  </w:style>
  <w:style w:type="character" w:customStyle="1" w:styleId="BodyTextFirstIndentChar">
    <w:name w:val="Body Text First Indent Char"/>
    <w:basedOn w:val="BodyTextChar"/>
    <w:link w:val="BodyTextFirstIndent"/>
    <w:semiHidden/>
    <w:rsid w:val="006A58C7"/>
    <w:rPr>
      <w:lang w:eastAsia="en-US"/>
    </w:rPr>
  </w:style>
  <w:style w:type="paragraph" w:styleId="BodyTextIndent">
    <w:name w:val="Body Text Indent"/>
    <w:basedOn w:val="Normal"/>
    <w:link w:val="BodyTextIndentChar"/>
    <w:semiHidden/>
    <w:unhideWhenUsed/>
    <w:rsid w:val="006A58C7"/>
    <w:pPr>
      <w:spacing w:after="120"/>
      <w:ind w:left="283"/>
    </w:pPr>
  </w:style>
  <w:style w:type="character" w:customStyle="1" w:styleId="BodyTextIndentChar">
    <w:name w:val="Body Text Indent Char"/>
    <w:basedOn w:val="DefaultParagraphFont"/>
    <w:link w:val="BodyTextIndent"/>
    <w:semiHidden/>
    <w:rsid w:val="006A58C7"/>
    <w:rPr>
      <w:lang w:eastAsia="en-US"/>
    </w:rPr>
  </w:style>
  <w:style w:type="paragraph" w:styleId="BodyTextFirstIndent2">
    <w:name w:val="Body Text First Indent 2"/>
    <w:basedOn w:val="BodyTextIndent"/>
    <w:link w:val="BodyTextFirstIndent2Char"/>
    <w:semiHidden/>
    <w:unhideWhenUsed/>
    <w:rsid w:val="006A58C7"/>
    <w:pPr>
      <w:spacing w:after="0"/>
      <w:ind w:left="360" w:firstLine="360"/>
    </w:pPr>
  </w:style>
  <w:style w:type="character" w:customStyle="1" w:styleId="BodyTextFirstIndent2Char">
    <w:name w:val="Body Text First Indent 2 Char"/>
    <w:basedOn w:val="BodyTextIndentChar"/>
    <w:link w:val="BodyTextFirstIndent2"/>
    <w:semiHidden/>
    <w:rsid w:val="006A58C7"/>
    <w:rPr>
      <w:lang w:eastAsia="en-US"/>
    </w:rPr>
  </w:style>
  <w:style w:type="paragraph" w:styleId="BodyTextIndent2">
    <w:name w:val="Body Text Indent 2"/>
    <w:basedOn w:val="Normal"/>
    <w:link w:val="BodyTextIndent2Char"/>
    <w:semiHidden/>
    <w:unhideWhenUsed/>
    <w:rsid w:val="006A58C7"/>
    <w:pPr>
      <w:spacing w:after="120" w:line="480" w:lineRule="auto"/>
      <w:ind w:left="283"/>
    </w:pPr>
  </w:style>
  <w:style w:type="character" w:customStyle="1" w:styleId="BodyTextIndent2Char">
    <w:name w:val="Body Text Indent 2 Char"/>
    <w:basedOn w:val="DefaultParagraphFont"/>
    <w:link w:val="BodyTextIndent2"/>
    <w:semiHidden/>
    <w:rsid w:val="006A58C7"/>
    <w:rPr>
      <w:lang w:eastAsia="en-US"/>
    </w:rPr>
  </w:style>
  <w:style w:type="paragraph" w:styleId="BodyTextIndent3">
    <w:name w:val="Body Text Indent 3"/>
    <w:basedOn w:val="Normal"/>
    <w:link w:val="BodyTextIndent3Char"/>
    <w:semiHidden/>
    <w:unhideWhenUsed/>
    <w:rsid w:val="006A58C7"/>
    <w:pPr>
      <w:spacing w:after="120"/>
      <w:ind w:left="283"/>
    </w:pPr>
    <w:rPr>
      <w:sz w:val="16"/>
      <w:szCs w:val="16"/>
    </w:rPr>
  </w:style>
  <w:style w:type="character" w:customStyle="1" w:styleId="BodyTextIndent3Char">
    <w:name w:val="Body Text Indent 3 Char"/>
    <w:basedOn w:val="DefaultParagraphFont"/>
    <w:link w:val="BodyTextIndent3"/>
    <w:semiHidden/>
    <w:rsid w:val="006A58C7"/>
    <w:rPr>
      <w:sz w:val="16"/>
      <w:szCs w:val="16"/>
      <w:lang w:eastAsia="en-US"/>
    </w:rPr>
  </w:style>
  <w:style w:type="paragraph" w:styleId="Closing">
    <w:name w:val="Closing"/>
    <w:basedOn w:val="Normal"/>
    <w:link w:val="ClosingChar"/>
    <w:semiHidden/>
    <w:unhideWhenUsed/>
    <w:rsid w:val="006A58C7"/>
    <w:pPr>
      <w:ind w:left="4252"/>
    </w:pPr>
  </w:style>
  <w:style w:type="character" w:customStyle="1" w:styleId="ClosingChar">
    <w:name w:val="Closing Char"/>
    <w:basedOn w:val="DefaultParagraphFont"/>
    <w:link w:val="Closing"/>
    <w:semiHidden/>
    <w:rsid w:val="006A58C7"/>
    <w:rPr>
      <w:lang w:eastAsia="en-US"/>
    </w:rPr>
  </w:style>
  <w:style w:type="paragraph" w:styleId="Date">
    <w:name w:val="Date"/>
    <w:basedOn w:val="Normal"/>
    <w:next w:val="Normal"/>
    <w:link w:val="DateChar"/>
    <w:semiHidden/>
    <w:unhideWhenUsed/>
    <w:rsid w:val="006A58C7"/>
  </w:style>
  <w:style w:type="character" w:customStyle="1" w:styleId="DateChar">
    <w:name w:val="Date Char"/>
    <w:basedOn w:val="DefaultParagraphFont"/>
    <w:link w:val="Date"/>
    <w:semiHidden/>
    <w:rsid w:val="006A58C7"/>
    <w:rPr>
      <w:lang w:eastAsia="en-US"/>
    </w:rPr>
  </w:style>
  <w:style w:type="paragraph" w:styleId="DocumentMap">
    <w:name w:val="Document Map"/>
    <w:basedOn w:val="Normal"/>
    <w:link w:val="DocumentMapChar"/>
    <w:semiHidden/>
    <w:unhideWhenUsed/>
    <w:rsid w:val="006A58C7"/>
    <w:rPr>
      <w:rFonts w:ascii="Segoe UI" w:hAnsi="Segoe UI" w:cs="Segoe UI"/>
      <w:sz w:val="16"/>
      <w:szCs w:val="16"/>
    </w:rPr>
  </w:style>
  <w:style w:type="character" w:customStyle="1" w:styleId="DocumentMapChar">
    <w:name w:val="Document Map Char"/>
    <w:basedOn w:val="DefaultParagraphFont"/>
    <w:link w:val="DocumentMap"/>
    <w:semiHidden/>
    <w:rsid w:val="006A58C7"/>
    <w:rPr>
      <w:rFonts w:ascii="Segoe UI" w:hAnsi="Segoe UI" w:cs="Segoe UI"/>
      <w:sz w:val="16"/>
      <w:szCs w:val="16"/>
      <w:lang w:eastAsia="en-US"/>
    </w:rPr>
  </w:style>
  <w:style w:type="paragraph" w:styleId="E-mailSignature">
    <w:name w:val="E-mail Signature"/>
    <w:basedOn w:val="Normal"/>
    <w:link w:val="E-mailSignatureChar"/>
    <w:semiHidden/>
    <w:unhideWhenUsed/>
    <w:rsid w:val="006A58C7"/>
  </w:style>
  <w:style w:type="character" w:customStyle="1" w:styleId="E-mailSignatureChar">
    <w:name w:val="E-mail Signature Char"/>
    <w:basedOn w:val="DefaultParagraphFont"/>
    <w:link w:val="E-mailSignature"/>
    <w:semiHidden/>
    <w:rsid w:val="006A58C7"/>
    <w:rPr>
      <w:lang w:eastAsia="en-US"/>
    </w:rPr>
  </w:style>
  <w:style w:type="paragraph" w:styleId="EndnoteText">
    <w:name w:val="endnote text"/>
    <w:basedOn w:val="Normal"/>
    <w:link w:val="EndnoteTextChar"/>
    <w:semiHidden/>
    <w:unhideWhenUsed/>
    <w:rsid w:val="006A58C7"/>
  </w:style>
  <w:style w:type="character" w:customStyle="1" w:styleId="EndnoteTextChar">
    <w:name w:val="Endnote Text Char"/>
    <w:basedOn w:val="DefaultParagraphFont"/>
    <w:link w:val="EndnoteText"/>
    <w:semiHidden/>
    <w:rsid w:val="006A58C7"/>
    <w:rPr>
      <w:lang w:eastAsia="en-US"/>
    </w:rPr>
  </w:style>
  <w:style w:type="paragraph" w:styleId="EnvelopeAddress">
    <w:name w:val="envelope address"/>
    <w:basedOn w:val="Normal"/>
    <w:semiHidden/>
    <w:unhideWhenUsed/>
    <w:rsid w:val="006A58C7"/>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6A58C7"/>
    <w:rPr>
      <w:rFonts w:asciiTheme="majorHAnsi" w:eastAsiaTheme="majorEastAsia" w:hAnsiTheme="majorHAnsi" w:cstheme="majorBidi"/>
    </w:rPr>
  </w:style>
  <w:style w:type="character" w:customStyle="1" w:styleId="Heading1Char">
    <w:name w:val="Heading 1 Char"/>
    <w:basedOn w:val="DefaultParagraphFont"/>
    <w:link w:val="Heading1"/>
    <w:rsid w:val="006A58C7"/>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semiHidden/>
    <w:rsid w:val="006A58C7"/>
    <w:rPr>
      <w:rFonts w:asciiTheme="majorHAnsi" w:eastAsiaTheme="majorEastAsia" w:hAnsiTheme="majorHAnsi" w:cstheme="majorBidi"/>
      <w:color w:val="365F91" w:themeColor="accent1" w:themeShade="BF"/>
      <w:sz w:val="26"/>
      <w:szCs w:val="26"/>
      <w:lang w:eastAsia="en-US"/>
    </w:rPr>
  </w:style>
  <w:style w:type="character" w:customStyle="1" w:styleId="Heading4Char">
    <w:name w:val="Heading 4 Char"/>
    <w:basedOn w:val="DefaultParagraphFont"/>
    <w:link w:val="Heading4"/>
    <w:semiHidden/>
    <w:rsid w:val="006A58C7"/>
    <w:rPr>
      <w:rFonts w:asciiTheme="majorHAnsi" w:eastAsiaTheme="majorEastAsia" w:hAnsiTheme="majorHAnsi" w:cstheme="majorBidi"/>
      <w:i/>
      <w:iCs/>
      <w:color w:val="365F91" w:themeColor="accent1" w:themeShade="BF"/>
      <w:lang w:eastAsia="en-US"/>
    </w:rPr>
  </w:style>
  <w:style w:type="character" w:customStyle="1" w:styleId="Heading5Char">
    <w:name w:val="Heading 5 Char"/>
    <w:basedOn w:val="DefaultParagraphFont"/>
    <w:link w:val="Heading5"/>
    <w:semiHidden/>
    <w:rsid w:val="006A58C7"/>
    <w:rPr>
      <w:rFonts w:asciiTheme="majorHAnsi" w:eastAsiaTheme="majorEastAsia" w:hAnsiTheme="majorHAnsi" w:cstheme="majorBidi"/>
      <w:color w:val="365F91" w:themeColor="accent1" w:themeShade="BF"/>
      <w:lang w:eastAsia="en-US"/>
    </w:rPr>
  </w:style>
  <w:style w:type="character" w:customStyle="1" w:styleId="Heading6Char">
    <w:name w:val="Heading 6 Char"/>
    <w:basedOn w:val="DefaultParagraphFont"/>
    <w:link w:val="Heading6"/>
    <w:semiHidden/>
    <w:rsid w:val="006A58C7"/>
    <w:rPr>
      <w:rFonts w:asciiTheme="majorHAnsi" w:eastAsiaTheme="majorEastAsia" w:hAnsiTheme="majorHAnsi" w:cstheme="majorBidi"/>
      <w:color w:val="243F60" w:themeColor="accent1" w:themeShade="7F"/>
      <w:lang w:eastAsia="en-US"/>
    </w:rPr>
  </w:style>
  <w:style w:type="character" w:customStyle="1" w:styleId="Heading7Char">
    <w:name w:val="Heading 7 Char"/>
    <w:basedOn w:val="DefaultParagraphFont"/>
    <w:link w:val="Heading7"/>
    <w:semiHidden/>
    <w:rsid w:val="006A58C7"/>
    <w:rPr>
      <w:rFonts w:asciiTheme="majorHAnsi" w:eastAsiaTheme="majorEastAsia" w:hAnsiTheme="majorHAnsi" w:cstheme="majorBidi"/>
      <w:i/>
      <w:iCs/>
      <w:color w:val="243F60" w:themeColor="accent1" w:themeShade="7F"/>
      <w:lang w:eastAsia="en-US"/>
    </w:rPr>
  </w:style>
  <w:style w:type="character" w:customStyle="1" w:styleId="Heading8Char">
    <w:name w:val="Heading 8 Char"/>
    <w:basedOn w:val="DefaultParagraphFont"/>
    <w:link w:val="Heading8"/>
    <w:semiHidden/>
    <w:rsid w:val="006A58C7"/>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6A58C7"/>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6A58C7"/>
    <w:rPr>
      <w:i/>
      <w:iCs/>
    </w:rPr>
  </w:style>
  <w:style w:type="character" w:customStyle="1" w:styleId="HTMLAddressChar">
    <w:name w:val="HTML Address Char"/>
    <w:basedOn w:val="DefaultParagraphFont"/>
    <w:link w:val="HTMLAddress"/>
    <w:semiHidden/>
    <w:rsid w:val="006A58C7"/>
    <w:rPr>
      <w:i/>
      <w:iCs/>
      <w:lang w:eastAsia="en-US"/>
    </w:rPr>
  </w:style>
  <w:style w:type="paragraph" w:styleId="HTMLPreformatted">
    <w:name w:val="HTML Preformatted"/>
    <w:basedOn w:val="Normal"/>
    <w:link w:val="HTMLPreformattedChar"/>
    <w:semiHidden/>
    <w:unhideWhenUsed/>
    <w:rsid w:val="006A58C7"/>
    <w:rPr>
      <w:rFonts w:ascii="Consolas" w:hAnsi="Consolas"/>
    </w:rPr>
  </w:style>
  <w:style w:type="character" w:customStyle="1" w:styleId="HTMLPreformattedChar">
    <w:name w:val="HTML Preformatted Char"/>
    <w:basedOn w:val="DefaultParagraphFont"/>
    <w:link w:val="HTMLPreformatted"/>
    <w:semiHidden/>
    <w:rsid w:val="006A58C7"/>
    <w:rPr>
      <w:rFonts w:ascii="Consolas" w:hAnsi="Consolas"/>
      <w:lang w:eastAsia="en-US"/>
    </w:rPr>
  </w:style>
  <w:style w:type="paragraph" w:styleId="Index1">
    <w:name w:val="index 1"/>
    <w:basedOn w:val="Normal"/>
    <w:next w:val="Normal"/>
    <w:autoRedefine/>
    <w:semiHidden/>
    <w:unhideWhenUsed/>
    <w:rsid w:val="006A58C7"/>
    <w:pPr>
      <w:ind w:left="200" w:hanging="200"/>
    </w:pPr>
  </w:style>
  <w:style w:type="paragraph" w:styleId="Index2">
    <w:name w:val="index 2"/>
    <w:basedOn w:val="Normal"/>
    <w:next w:val="Normal"/>
    <w:autoRedefine/>
    <w:semiHidden/>
    <w:unhideWhenUsed/>
    <w:rsid w:val="006A58C7"/>
    <w:pPr>
      <w:ind w:left="400" w:hanging="200"/>
    </w:pPr>
  </w:style>
  <w:style w:type="paragraph" w:styleId="Index3">
    <w:name w:val="index 3"/>
    <w:basedOn w:val="Normal"/>
    <w:next w:val="Normal"/>
    <w:autoRedefine/>
    <w:semiHidden/>
    <w:unhideWhenUsed/>
    <w:rsid w:val="006A58C7"/>
    <w:pPr>
      <w:ind w:left="600" w:hanging="200"/>
    </w:pPr>
  </w:style>
  <w:style w:type="paragraph" w:styleId="Index4">
    <w:name w:val="index 4"/>
    <w:basedOn w:val="Normal"/>
    <w:next w:val="Normal"/>
    <w:autoRedefine/>
    <w:semiHidden/>
    <w:unhideWhenUsed/>
    <w:rsid w:val="006A58C7"/>
    <w:pPr>
      <w:ind w:left="800" w:hanging="200"/>
    </w:pPr>
  </w:style>
  <w:style w:type="paragraph" w:styleId="Index5">
    <w:name w:val="index 5"/>
    <w:basedOn w:val="Normal"/>
    <w:next w:val="Normal"/>
    <w:autoRedefine/>
    <w:semiHidden/>
    <w:unhideWhenUsed/>
    <w:rsid w:val="006A58C7"/>
    <w:pPr>
      <w:ind w:left="1000" w:hanging="200"/>
    </w:pPr>
  </w:style>
  <w:style w:type="paragraph" w:styleId="Index6">
    <w:name w:val="index 6"/>
    <w:basedOn w:val="Normal"/>
    <w:next w:val="Normal"/>
    <w:autoRedefine/>
    <w:semiHidden/>
    <w:unhideWhenUsed/>
    <w:rsid w:val="006A58C7"/>
    <w:pPr>
      <w:ind w:left="1200" w:hanging="200"/>
    </w:pPr>
  </w:style>
  <w:style w:type="paragraph" w:styleId="Index7">
    <w:name w:val="index 7"/>
    <w:basedOn w:val="Normal"/>
    <w:next w:val="Normal"/>
    <w:autoRedefine/>
    <w:semiHidden/>
    <w:unhideWhenUsed/>
    <w:rsid w:val="006A58C7"/>
    <w:pPr>
      <w:ind w:left="1400" w:hanging="200"/>
    </w:pPr>
  </w:style>
  <w:style w:type="paragraph" w:styleId="Index8">
    <w:name w:val="index 8"/>
    <w:basedOn w:val="Normal"/>
    <w:next w:val="Normal"/>
    <w:autoRedefine/>
    <w:semiHidden/>
    <w:unhideWhenUsed/>
    <w:rsid w:val="006A58C7"/>
    <w:pPr>
      <w:ind w:left="1600" w:hanging="200"/>
    </w:pPr>
  </w:style>
  <w:style w:type="paragraph" w:styleId="Index9">
    <w:name w:val="index 9"/>
    <w:basedOn w:val="Normal"/>
    <w:next w:val="Normal"/>
    <w:autoRedefine/>
    <w:semiHidden/>
    <w:unhideWhenUsed/>
    <w:rsid w:val="006A58C7"/>
    <w:pPr>
      <w:ind w:left="1800" w:hanging="200"/>
    </w:pPr>
  </w:style>
  <w:style w:type="paragraph" w:styleId="IndexHeading">
    <w:name w:val="index heading"/>
    <w:basedOn w:val="Normal"/>
    <w:next w:val="Index1"/>
    <w:semiHidden/>
    <w:unhideWhenUsed/>
    <w:rsid w:val="006A58C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A58C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A58C7"/>
    <w:rPr>
      <w:i/>
      <w:iCs/>
      <w:color w:val="4F81BD" w:themeColor="accent1"/>
      <w:lang w:eastAsia="en-US"/>
    </w:rPr>
  </w:style>
  <w:style w:type="paragraph" w:styleId="List">
    <w:name w:val="List"/>
    <w:basedOn w:val="Normal"/>
    <w:semiHidden/>
    <w:unhideWhenUsed/>
    <w:rsid w:val="006A58C7"/>
    <w:pPr>
      <w:ind w:left="283" w:hanging="283"/>
      <w:contextualSpacing/>
    </w:pPr>
  </w:style>
  <w:style w:type="paragraph" w:styleId="List2">
    <w:name w:val="List 2"/>
    <w:basedOn w:val="Normal"/>
    <w:semiHidden/>
    <w:unhideWhenUsed/>
    <w:rsid w:val="006A58C7"/>
    <w:pPr>
      <w:ind w:left="566" w:hanging="283"/>
      <w:contextualSpacing/>
    </w:pPr>
  </w:style>
  <w:style w:type="paragraph" w:styleId="List3">
    <w:name w:val="List 3"/>
    <w:basedOn w:val="Normal"/>
    <w:semiHidden/>
    <w:unhideWhenUsed/>
    <w:rsid w:val="006A58C7"/>
    <w:pPr>
      <w:ind w:left="849" w:hanging="283"/>
      <w:contextualSpacing/>
    </w:pPr>
  </w:style>
  <w:style w:type="paragraph" w:styleId="List4">
    <w:name w:val="List 4"/>
    <w:basedOn w:val="Normal"/>
    <w:semiHidden/>
    <w:unhideWhenUsed/>
    <w:rsid w:val="006A58C7"/>
    <w:pPr>
      <w:ind w:left="1132" w:hanging="283"/>
      <w:contextualSpacing/>
    </w:pPr>
  </w:style>
  <w:style w:type="paragraph" w:styleId="List5">
    <w:name w:val="List 5"/>
    <w:basedOn w:val="Normal"/>
    <w:semiHidden/>
    <w:unhideWhenUsed/>
    <w:rsid w:val="006A58C7"/>
    <w:pPr>
      <w:ind w:left="1415" w:hanging="283"/>
      <w:contextualSpacing/>
    </w:pPr>
  </w:style>
  <w:style w:type="paragraph" w:styleId="ListBullet">
    <w:name w:val="List Bullet"/>
    <w:basedOn w:val="Normal"/>
    <w:rsid w:val="006A58C7"/>
    <w:pPr>
      <w:numPr>
        <w:numId w:val="19"/>
      </w:numPr>
      <w:contextualSpacing/>
    </w:pPr>
  </w:style>
  <w:style w:type="paragraph" w:styleId="ListBullet2">
    <w:name w:val="List Bullet 2"/>
    <w:basedOn w:val="Normal"/>
    <w:semiHidden/>
    <w:unhideWhenUsed/>
    <w:rsid w:val="006A58C7"/>
    <w:pPr>
      <w:numPr>
        <w:numId w:val="20"/>
      </w:numPr>
      <w:contextualSpacing/>
    </w:pPr>
  </w:style>
  <w:style w:type="paragraph" w:styleId="ListBullet3">
    <w:name w:val="List Bullet 3"/>
    <w:basedOn w:val="Normal"/>
    <w:semiHidden/>
    <w:unhideWhenUsed/>
    <w:rsid w:val="006A58C7"/>
    <w:pPr>
      <w:numPr>
        <w:numId w:val="21"/>
      </w:numPr>
      <w:contextualSpacing/>
    </w:pPr>
  </w:style>
  <w:style w:type="paragraph" w:styleId="ListBullet4">
    <w:name w:val="List Bullet 4"/>
    <w:basedOn w:val="Normal"/>
    <w:semiHidden/>
    <w:unhideWhenUsed/>
    <w:rsid w:val="006A58C7"/>
    <w:pPr>
      <w:numPr>
        <w:numId w:val="22"/>
      </w:numPr>
      <w:contextualSpacing/>
    </w:pPr>
  </w:style>
  <w:style w:type="paragraph" w:styleId="ListBullet5">
    <w:name w:val="List Bullet 5"/>
    <w:basedOn w:val="Normal"/>
    <w:semiHidden/>
    <w:unhideWhenUsed/>
    <w:rsid w:val="006A58C7"/>
    <w:pPr>
      <w:numPr>
        <w:numId w:val="23"/>
      </w:numPr>
      <w:contextualSpacing/>
    </w:pPr>
  </w:style>
  <w:style w:type="paragraph" w:styleId="ListContinue">
    <w:name w:val="List Continue"/>
    <w:basedOn w:val="Normal"/>
    <w:semiHidden/>
    <w:unhideWhenUsed/>
    <w:rsid w:val="006A58C7"/>
    <w:pPr>
      <w:spacing w:after="120"/>
      <w:ind w:left="283"/>
      <w:contextualSpacing/>
    </w:pPr>
  </w:style>
  <w:style w:type="paragraph" w:styleId="ListContinue2">
    <w:name w:val="List Continue 2"/>
    <w:basedOn w:val="Normal"/>
    <w:semiHidden/>
    <w:unhideWhenUsed/>
    <w:rsid w:val="006A58C7"/>
    <w:pPr>
      <w:spacing w:after="120"/>
      <w:ind w:left="566"/>
      <w:contextualSpacing/>
    </w:pPr>
  </w:style>
  <w:style w:type="paragraph" w:styleId="ListContinue3">
    <w:name w:val="List Continue 3"/>
    <w:basedOn w:val="Normal"/>
    <w:rsid w:val="006A58C7"/>
    <w:pPr>
      <w:spacing w:after="120"/>
      <w:ind w:left="849"/>
      <w:contextualSpacing/>
    </w:pPr>
  </w:style>
  <w:style w:type="paragraph" w:styleId="ListContinue4">
    <w:name w:val="List Continue 4"/>
    <w:basedOn w:val="Normal"/>
    <w:rsid w:val="006A58C7"/>
    <w:pPr>
      <w:spacing w:after="120"/>
      <w:ind w:left="1132"/>
      <w:contextualSpacing/>
    </w:pPr>
  </w:style>
  <w:style w:type="paragraph" w:styleId="ListContinue5">
    <w:name w:val="List Continue 5"/>
    <w:basedOn w:val="Normal"/>
    <w:rsid w:val="006A58C7"/>
    <w:pPr>
      <w:spacing w:after="120"/>
      <w:ind w:left="1415"/>
      <w:contextualSpacing/>
    </w:pPr>
  </w:style>
  <w:style w:type="paragraph" w:styleId="ListNumber">
    <w:name w:val="List Number"/>
    <w:basedOn w:val="Normal"/>
    <w:rsid w:val="006A58C7"/>
    <w:pPr>
      <w:numPr>
        <w:numId w:val="24"/>
      </w:numPr>
      <w:contextualSpacing/>
    </w:pPr>
  </w:style>
  <w:style w:type="paragraph" w:styleId="ListNumber2">
    <w:name w:val="List Number 2"/>
    <w:basedOn w:val="Normal"/>
    <w:semiHidden/>
    <w:unhideWhenUsed/>
    <w:rsid w:val="006A58C7"/>
    <w:pPr>
      <w:numPr>
        <w:numId w:val="25"/>
      </w:numPr>
      <w:contextualSpacing/>
    </w:pPr>
  </w:style>
  <w:style w:type="paragraph" w:styleId="ListNumber3">
    <w:name w:val="List Number 3"/>
    <w:basedOn w:val="Normal"/>
    <w:semiHidden/>
    <w:unhideWhenUsed/>
    <w:rsid w:val="006A58C7"/>
    <w:pPr>
      <w:numPr>
        <w:numId w:val="26"/>
      </w:numPr>
      <w:contextualSpacing/>
    </w:pPr>
  </w:style>
  <w:style w:type="paragraph" w:styleId="ListNumber4">
    <w:name w:val="List Number 4"/>
    <w:basedOn w:val="Normal"/>
    <w:semiHidden/>
    <w:unhideWhenUsed/>
    <w:rsid w:val="006A58C7"/>
    <w:pPr>
      <w:numPr>
        <w:numId w:val="27"/>
      </w:numPr>
      <w:contextualSpacing/>
    </w:pPr>
  </w:style>
  <w:style w:type="paragraph" w:styleId="ListNumber5">
    <w:name w:val="List Number 5"/>
    <w:basedOn w:val="Normal"/>
    <w:semiHidden/>
    <w:unhideWhenUsed/>
    <w:rsid w:val="006A58C7"/>
    <w:pPr>
      <w:numPr>
        <w:numId w:val="28"/>
      </w:numPr>
      <w:contextualSpacing/>
    </w:pPr>
  </w:style>
  <w:style w:type="paragraph" w:styleId="ListParagraph">
    <w:name w:val="List Paragraph"/>
    <w:basedOn w:val="Normal"/>
    <w:uiPriority w:val="34"/>
    <w:qFormat/>
    <w:rsid w:val="006A58C7"/>
    <w:pPr>
      <w:ind w:left="720"/>
      <w:contextualSpacing/>
    </w:pPr>
  </w:style>
  <w:style w:type="paragraph" w:styleId="MacroText">
    <w:name w:val="macro"/>
    <w:link w:val="MacroTextChar"/>
    <w:rsid w:val="006A58C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6A58C7"/>
    <w:rPr>
      <w:rFonts w:ascii="Consolas" w:hAnsi="Consolas"/>
      <w:lang w:eastAsia="en-US"/>
    </w:rPr>
  </w:style>
  <w:style w:type="paragraph" w:styleId="MessageHeader">
    <w:name w:val="Message Header"/>
    <w:basedOn w:val="Normal"/>
    <w:link w:val="MessageHeaderChar"/>
    <w:rsid w:val="006A58C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A58C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6A58C7"/>
    <w:rPr>
      <w:lang w:eastAsia="en-US"/>
    </w:rPr>
  </w:style>
  <w:style w:type="paragraph" w:styleId="NormalWeb">
    <w:name w:val="Normal (Web)"/>
    <w:basedOn w:val="Normal"/>
    <w:semiHidden/>
    <w:unhideWhenUsed/>
    <w:rsid w:val="006A58C7"/>
    <w:rPr>
      <w:sz w:val="24"/>
      <w:szCs w:val="24"/>
    </w:rPr>
  </w:style>
  <w:style w:type="paragraph" w:styleId="NormalIndent">
    <w:name w:val="Normal Indent"/>
    <w:basedOn w:val="Normal"/>
    <w:semiHidden/>
    <w:unhideWhenUsed/>
    <w:rsid w:val="006A58C7"/>
    <w:pPr>
      <w:ind w:left="720"/>
    </w:pPr>
  </w:style>
  <w:style w:type="paragraph" w:styleId="NoteHeading">
    <w:name w:val="Note Heading"/>
    <w:basedOn w:val="Normal"/>
    <w:next w:val="Normal"/>
    <w:link w:val="NoteHeadingChar"/>
    <w:semiHidden/>
    <w:unhideWhenUsed/>
    <w:rsid w:val="006A58C7"/>
  </w:style>
  <w:style w:type="character" w:customStyle="1" w:styleId="NoteHeadingChar">
    <w:name w:val="Note Heading Char"/>
    <w:basedOn w:val="DefaultParagraphFont"/>
    <w:link w:val="NoteHeading"/>
    <w:semiHidden/>
    <w:rsid w:val="006A58C7"/>
    <w:rPr>
      <w:lang w:eastAsia="en-US"/>
    </w:rPr>
  </w:style>
  <w:style w:type="paragraph" w:styleId="PlainText">
    <w:name w:val="Plain Text"/>
    <w:basedOn w:val="Normal"/>
    <w:link w:val="PlainTextChar"/>
    <w:semiHidden/>
    <w:unhideWhenUsed/>
    <w:rsid w:val="006A58C7"/>
    <w:rPr>
      <w:rFonts w:ascii="Consolas" w:hAnsi="Consolas"/>
      <w:sz w:val="21"/>
      <w:szCs w:val="21"/>
    </w:rPr>
  </w:style>
  <w:style w:type="character" w:customStyle="1" w:styleId="PlainTextChar">
    <w:name w:val="Plain Text Char"/>
    <w:basedOn w:val="DefaultParagraphFont"/>
    <w:link w:val="PlainText"/>
    <w:semiHidden/>
    <w:rsid w:val="006A58C7"/>
    <w:rPr>
      <w:rFonts w:ascii="Consolas" w:hAnsi="Consolas"/>
      <w:sz w:val="21"/>
      <w:szCs w:val="21"/>
      <w:lang w:eastAsia="en-US"/>
    </w:rPr>
  </w:style>
  <w:style w:type="paragraph" w:styleId="Quote">
    <w:name w:val="Quote"/>
    <w:basedOn w:val="Normal"/>
    <w:next w:val="Normal"/>
    <w:link w:val="QuoteChar"/>
    <w:uiPriority w:val="29"/>
    <w:qFormat/>
    <w:rsid w:val="006A58C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A58C7"/>
    <w:rPr>
      <w:i/>
      <w:iCs/>
      <w:color w:val="404040" w:themeColor="text1" w:themeTint="BF"/>
      <w:lang w:eastAsia="en-US"/>
    </w:rPr>
  </w:style>
  <w:style w:type="paragraph" w:styleId="Salutation">
    <w:name w:val="Salutation"/>
    <w:basedOn w:val="Normal"/>
    <w:next w:val="Normal"/>
    <w:link w:val="SalutationChar"/>
    <w:semiHidden/>
    <w:unhideWhenUsed/>
    <w:rsid w:val="006A58C7"/>
  </w:style>
  <w:style w:type="character" w:customStyle="1" w:styleId="SalutationChar">
    <w:name w:val="Salutation Char"/>
    <w:basedOn w:val="DefaultParagraphFont"/>
    <w:link w:val="Salutation"/>
    <w:semiHidden/>
    <w:rsid w:val="006A58C7"/>
    <w:rPr>
      <w:lang w:eastAsia="en-US"/>
    </w:rPr>
  </w:style>
  <w:style w:type="paragraph" w:styleId="Signature">
    <w:name w:val="Signature"/>
    <w:basedOn w:val="Normal"/>
    <w:link w:val="SignatureChar"/>
    <w:semiHidden/>
    <w:unhideWhenUsed/>
    <w:rsid w:val="006A58C7"/>
    <w:pPr>
      <w:ind w:left="4252"/>
    </w:pPr>
  </w:style>
  <w:style w:type="character" w:customStyle="1" w:styleId="SignatureChar">
    <w:name w:val="Signature Char"/>
    <w:basedOn w:val="DefaultParagraphFont"/>
    <w:link w:val="Signature"/>
    <w:semiHidden/>
    <w:rsid w:val="006A58C7"/>
    <w:rPr>
      <w:lang w:eastAsia="en-US"/>
    </w:rPr>
  </w:style>
  <w:style w:type="paragraph" w:styleId="Subtitle">
    <w:name w:val="Subtitle"/>
    <w:basedOn w:val="Normal"/>
    <w:next w:val="Normal"/>
    <w:link w:val="SubtitleChar"/>
    <w:qFormat/>
    <w:rsid w:val="006A58C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A58C7"/>
    <w:rPr>
      <w:rFonts w:asciiTheme="minorHAnsi" w:eastAsiaTheme="minorEastAsia" w:hAnsiTheme="minorHAnsi" w:cstheme="minorBidi"/>
      <w:color w:val="5A5A5A" w:themeColor="text1" w:themeTint="A5"/>
      <w:spacing w:val="15"/>
      <w:sz w:val="22"/>
      <w:szCs w:val="22"/>
      <w:lang w:eastAsia="en-US"/>
    </w:rPr>
  </w:style>
  <w:style w:type="paragraph" w:styleId="Title">
    <w:name w:val="Title"/>
    <w:basedOn w:val="Normal"/>
    <w:next w:val="Normal"/>
    <w:link w:val="TitleChar"/>
    <w:qFormat/>
    <w:rsid w:val="006A58C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A58C7"/>
    <w:rPr>
      <w:rFonts w:asciiTheme="majorHAnsi" w:eastAsiaTheme="majorEastAsia" w:hAnsiTheme="majorHAnsi" w:cstheme="majorBidi"/>
      <w:spacing w:val="-10"/>
      <w:kern w:val="28"/>
      <w:sz w:val="56"/>
      <w:szCs w:val="56"/>
      <w:lang w:eastAsia="en-US"/>
    </w:rPr>
  </w:style>
  <w:style w:type="paragraph" w:styleId="TOCHeading">
    <w:name w:val="TOC Heading"/>
    <w:basedOn w:val="Heading1"/>
    <w:next w:val="Normal"/>
    <w:uiPriority w:val="39"/>
    <w:semiHidden/>
    <w:unhideWhenUsed/>
    <w:qFormat/>
    <w:rsid w:val="006A58C7"/>
    <w:pPr>
      <w:outlineLvl w:val="9"/>
    </w:pPr>
  </w:style>
  <w:style w:type="character" w:styleId="PlaceholderText">
    <w:name w:val="Placeholder Text"/>
    <w:basedOn w:val="DefaultParagraphFont"/>
    <w:uiPriority w:val="99"/>
    <w:semiHidden/>
    <w:rsid w:val="0066576F"/>
    <w:rPr>
      <w:color w:val="666666"/>
    </w:rPr>
  </w:style>
  <w:style w:type="table" w:styleId="TableGrid">
    <w:name w:val="Table Grid"/>
    <w:basedOn w:val="TableNormal"/>
    <w:rsid w:val="00D70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C7E83"/>
    <w:rPr>
      <w:rFonts w:ascii="TimesNewRomanPSMT" w:hAnsi="TimesNewRomanPSMT" w:hint="default"/>
      <w:b w:val="0"/>
      <w:bCs w:val="0"/>
      <w:i w:val="0"/>
      <w:iCs w:val="0"/>
      <w:color w:val="000000"/>
      <w:sz w:val="20"/>
      <w:szCs w:val="20"/>
    </w:rPr>
  </w:style>
  <w:style w:type="character" w:styleId="UnresolvedMention">
    <w:name w:val="Unresolved Mention"/>
    <w:basedOn w:val="DefaultParagraphFont"/>
    <w:uiPriority w:val="99"/>
    <w:semiHidden/>
    <w:unhideWhenUsed/>
    <w:rsid w:val="00131166"/>
    <w:rPr>
      <w:color w:val="605E5C"/>
      <w:shd w:val="clear" w:color="auto" w:fill="E1DFDD"/>
    </w:rPr>
  </w:style>
  <w:style w:type="paragraph" w:styleId="Revision">
    <w:name w:val="Revision"/>
    <w:hidden/>
    <w:uiPriority w:val="99"/>
    <w:semiHidden/>
    <w:rsid w:val="001F47F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283581">
      <w:bodyDiv w:val="1"/>
      <w:marLeft w:val="0"/>
      <w:marRight w:val="0"/>
      <w:marTop w:val="0"/>
      <w:marBottom w:val="0"/>
      <w:divBdr>
        <w:top w:val="none" w:sz="0" w:space="0" w:color="auto"/>
        <w:left w:val="none" w:sz="0" w:space="0" w:color="auto"/>
        <w:bottom w:val="none" w:sz="0" w:space="0" w:color="auto"/>
        <w:right w:val="none" w:sz="0" w:space="0" w:color="auto"/>
      </w:divBdr>
    </w:div>
    <w:div w:id="192001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806</TotalTime>
  <Pages>6</Pages>
  <Words>2661</Words>
  <Characters>16034</Characters>
  <Application>Microsoft Office Word</Application>
  <DocSecurity>0</DocSecurity>
  <Lines>133</Lines>
  <Paragraphs>37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18658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Purwanto, Haditya Kukuh</cp:lastModifiedBy>
  <cp:revision>302</cp:revision>
  <cp:lastPrinted>2023-11-16T15:56:00Z</cp:lastPrinted>
  <dcterms:created xsi:type="dcterms:W3CDTF">2023-11-20T12:24:00Z</dcterms:created>
  <dcterms:modified xsi:type="dcterms:W3CDTF">2024-01-11T13:13:00Z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