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DE67F" w14:textId="20A974AF" w:rsidR="00DD3D9E" w:rsidRPr="00B4388F" w:rsidRDefault="00343A78">
      <w:pPr>
        <w:pStyle w:val="Els-Title"/>
        <w:rPr>
          <w:color w:val="000000" w:themeColor="text1"/>
        </w:rPr>
      </w:pPr>
      <w:r>
        <w:rPr>
          <w:color w:val="000000" w:themeColor="text1"/>
        </w:rPr>
        <w:t xml:space="preserve">Surrogate </w:t>
      </w:r>
      <w:r w:rsidRPr="00343A78">
        <w:rPr>
          <w:color w:val="000000" w:themeColor="text1"/>
        </w:rPr>
        <w:t xml:space="preserve">modeling application for process system emissions assessment: improving computational performances for </w:t>
      </w:r>
      <w:proofErr w:type="spellStart"/>
      <w:r w:rsidRPr="00343A78">
        <w:rPr>
          <w:color w:val="000000" w:themeColor="text1"/>
        </w:rPr>
        <w:t>plantwide</w:t>
      </w:r>
      <w:proofErr w:type="spellEnd"/>
      <w:r w:rsidRPr="00343A78">
        <w:rPr>
          <w:color w:val="000000" w:themeColor="text1"/>
        </w:rPr>
        <w:t xml:space="preserve"> estimations</w:t>
      </w:r>
    </w:p>
    <w:p w14:paraId="144DE680" w14:textId="49C486F0" w:rsidR="00DD3D9E" w:rsidRPr="00343A78" w:rsidRDefault="00343A78">
      <w:pPr>
        <w:pStyle w:val="Els-Author"/>
        <w:rPr>
          <w:lang w:val="it-IT"/>
        </w:rPr>
      </w:pPr>
      <w:r>
        <w:rPr>
          <w:lang w:val="it-IT"/>
        </w:rPr>
        <w:t>Giulio Carnio</w:t>
      </w:r>
      <w:r>
        <w:rPr>
          <w:vertAlign w:val="superscript"/>
          <w:lang w:val="it-IT"/>
        </w:rPr>
        <w:t>b</w:t>
      </w:r>
      <w:r>
        <w:rPr>
          <w:lang w:val="it-IT"/>
        </w:rPr>
        <w:t xml:space="preserve">, </w:t>
      </w:r>
      <w:r w:rsidRPr="00DA4BA0">
        <w:rPr>
          <w:lang w:val="it-IT"/>
        </w:rPr>
        <w:t>Alessandro Di Pretoro</w:t>
      </w:r>
      <w:r w:rsidRPr="00DA4BA0">
        <w:rPr>
          <w:vertAlign w:val="superscript"/>
          <w:lang w:val="it-IT"/>
        </w:rPr>
        <w:t>a*</w:t>
      </w:r>
      <w:r>
        <w:rPr>
          <w:lang w:val="it-IT"/>
        </w:rPr>
        <w:t>, Fabrizio Bezzo</w:t>
      </w:r>
      <w:r>
        <w:rPr>
          <w:vertAlign w:val="superscript"/>
          <w:lang w:val="it-IT"/>
        </w:rPr>
        <w:t>b</w:t>
      </w:r>
      <w:r>
        <w:rPr>
          <w:lang w:val="it-IT"/>
        </w:rPr>
        <w:t xml:space="preserve">, </w:t>
      </w:r>
      <w:r w:rsidRPr="00DA4BA0">
        <w:rPr>
          <w:lang w:val="it-IT"/>
        </w:rPr>
        <w:t>Ludovic Montastruc</w:t>
      </w:r>
      <w:r w:rsidRPr="00DA4BA0">
        <w:rPr>
          <w:vertAlign w:val="superscript"/>
          <w:lang w:val="it-IT"/>
        </w:rPr>
        <w:t>a</w:t>
      </w:r>
    </w:p>
    <w:p w14:paraId="3DCEBA95" w14:textId="77777777" w:rsidR="00343A78" w:rsidRDefault="00343A78" w:rsidP="00343A78">
      <w:pPr>
        <w:pStyle w:val="Els-Affiliation"/>
        <w:rPr>
          <w:lang w:val="fr-FR"/>
        </w:rPr>
      </w:pPr>
      <w:r w:rsidRPr="00DA4BA0">
        <w:rPr>
          <w:vertAlign w:val="superscript"/>
          <w:lang w:val="fr-FR"/>
        </w:rPr>
        <w:t>a</w:t>
      </w:r>
      <w:r w:rsidRPr="00DA4BA0">
        <w:rPr>
          <w:lang w:val="fr-FR"/>
        </w:rPr>
        <w:t xml:space="preserve">Laboratoire de Génie Chimique, Université de Toulouse, CNRS/INP, Toulouse, </w:t>
      </w:r>
      <w:r>
        <w:rPr>
          <w:lang w:val="fr-FR"/>
        </w:rPr>
        <w:t>France</w:t>
      </w:r>
    </w:p>
    <w:p w14:paraId="3ED8C73D" w14:textId="77777777" w:rsidR="00343A78" w:rsidRPr="002577A6" w:rsidRDefault="00343A78" w:rsidP="00343A78">
      <w:pPr>
        <w:pStyle w:val="Els-Affiliation"/>
        <w:spacing w:after="60"/>
        <w:rPr>
          <w:lang w:val="it-IT"/>
        </w:rPr>
      </w:pPr>
      <w:r>
        <w:rPr>
          <w:vertAlign w:val="superscript"/>
          <w:lang w:val="it-IT"/>
        </w:rPr>
        <w:t>b</w:t>
      </w:r>
      <w:r w:rsidRPr="002577A6">
        <w:rPr>
          <w:lang w:val="it-IT"/>
        </w:rPr>
        <w:t>CAPE-Lab</w:t>
      </w:r>
      <w:r>
        <w:rPr>
          <w:lang w:val="it-IT"/>
        </w:rPr>
        <w:t>,</w:t>
      </w:r>
      <w:r w:rsidRPr="002577A6">
        <w:rPr>
          <w:lang w:val="it-IT"/>
        </w:rPr>
        <w:t xml:space="preserve"> Dipartimento di Principi e Impianti di Ingegneria Chimica, Università di Padova, via Marzolo 9, I-35131 Padova, Italy</w:t>
      </w:r>
    </w:p>
    <w:p w14:paraId="144DE683" w14:textId="28E1C7D7" w:rsidR="008D2649" w:rsidRPr="00136B59" w:rsidRDefault="00DE6DEA" w:rsidP="008D2649">
      <w:pPr>
        <w:pStyle w:val="Els-Affiliation"/>
        <w:spacing w:after="120"/>
        <w:rPr>
          <w:lang w:val="fr-FR"/>
        </w:rPr>
      </w:pPr>
      <w:hyperlink r:id="rId8" w:history="1">
        <w:r w:rsidR="00343A78" w:rsidRPr="00136B59">
          <w:rPr>
            <w:rStyle w:val="Lienhypertexte"/>
            <w:lang w:val="fr-FR"/>
          </w:rPr>
          <w:t>alessandro.dipretoro@ensiacet.fr</w:t>
        </w:r>
      </w:hyperlink>
      <w:r w:rsidR="00343A78" w:rsidRPr="00136B59">
        <w:rPr>
          <w:lang w:val="fr-FR"/>
        </w:rPr>
        <w:t xml:space="preserve"> </w:t>
      </w:r>
    </w:p>
    <w:p w14:paraId="144DE684" w14:textId="77777777" w:rsidR="008D2649" w:rsidRPr="00343A78" w:rsidRDefault="008D2649" w:rsidP="008D2649">
      <w:pPr>
        <w:pStyle w:val="Els-Abstract"/>
      </w:pPr>
      <w:r w:rsidRPr="00343A78">
        <w:t>Abstract</w:t>
      </w:r>
    </w:p>
    <w:p w14:paraId="144DE686" w14:textId="674D1D7A" w:rsidR="008D2649" w:rsidRDefault="00343A78" w:rsidP="008D2649">
      <w:pPr>
        <w:pStyle w:val="Els-body-text"/>
        <w:spacing w:after="120"/>
        <w:rPr>
          <w:lang w:val="en-GB"/>
        </w:rPr>
      </w:pPr>
      <w:r w:rsidRPr="00343A78">
        <w:rPr>
          <w:lang w:val="en-GB"/>
        </w:rPr>
        <w:t xml:space="preserve">During the last decade, data driven </w:t>
      </w:r>
      <w:proofErr w:type="spellStart"/>
      <w:r w:rsidRPr="00343A78">
        <w:rPr>
          <w:lang w:val="en-GB"/>
        </w:rPr>
        <w:t>modeling</w:t>
      </w:r>
      <w:proofErr w:type="spellEnd"/>
      <w:r w:rsidRPr="00343A78">
        <w:rPr>
          <w:lang w:val="en-GB"/>
        </w:rPr>
        <w:t xml:space="preserve"> has gained a role of major interest all over the engineering fields</w:t>
      </w:r>
      <w:r w:rsidR="00803F38">
        <w:rPr>
          <w:lang w:val="en-GB"/>
        </w:rPr>
        <w:t xml:space="preserve"> </w:t>
      </w:r>
      <w:r w:rsidRPr="00343A78">
        <w:rPr>
          <w:lang w:val="en-GB"/>
        </w:rPr>
        <w:t xml:space="preserve">mainly </w:t>
      </w:r>
      <w:r w:rsidR="00803F38">
        <w:rPr>
          <w:lang w:val="en-GB"/>
        </w:rPr>
        <w:t>due to</w:t>
      </w:r>
      <w:r w:rsidRPr="00343A78">
        <w:rPr>
          <w:lang w:val="en-GB"/>
        </w:rPr>
        <w:t xml:space="preserve"> the need of higher computational power or, inversely, less computational demanding models</w:t>
      </w:r>
      <w:r w:rsidR="00803F38">
        <w:rPr>
          <w:lang w:val="en-GB"/>
        </w:rPr>
        <w:t xml:space="preserve"> for applications</w:t>
      </w:r>
      <w:r w:rsidRPr="00343A78">
        <w:rPr>
          <w:lang w:val="en-GB"/>
        </w:rPr>
        <w:t xml:space="preserve"> such as optimization, simulation, scheduling and control. Relevant contribution</w:t>
      </w:r>
      <w:r w:rsidR="00803F38">
        <w:rPr>
          <w:lang w:val="en-GB"/>
        </w:rPr>
        <w:t>s</w:t>
      </w:r>
      <w:r w:rsidRPr="00343A78">
        <w:rPr>
          <w:lang w:val="en-GB"/>
        </w:rPr>
        <w:t xml:space="preserve"> of process systems surrogate </w:t>
      </w:r>
      <w:proofErr w:type="spellStart"/>
      <w:r w:rsidRPr="00343A78">
        <w:rPr>
          <w:lang w:val="en-GB"/>
        </w:rPr>
        <w:t>modeling</w:t>
      </w:r>
      <w:proofErr w:type="spellEnd"/>
      <w:r w:rsidRPr="00343A78">
        <w:rPr>
          <w:lang w:val="en-GB"/>
        </w:rPr>
        <w:t xml:space="preserve"> as a support for operation optimization </w:t>
      </w:r>
      <w:proofErr w:type="gramStart"/>
      <w:r w:rsidRPr="00343A78">
        <w:rPr>
          <w:lang w:val="en-GB"/>
        </w:rPr>
        <w:t>w</w:t>
      </w:r>
      <w:r w:rsidR="00803F38">
        <w:rPr>
          <w:lang w:val="en-GB"/>
        </w:rPr>
        <w:t xml:space="preserve">ere </w:t>
      </w:r>
      <w:r w:rsidRPr="00343A78">
        <w:rPr>
          <w:lang w:val="en-GB"/>
        </w:rPr>
        <w:t>already proved</w:t>
      </w:r>
      <w:proofErr w:type="gramEnd"/>
      <w:r w:rsidRPr="00343A78">
        <w:rPr>
          <w:lang w:val="en-GB"/>
        </w:rPr>
        <w:t xml:space="preserve"> in </w:t>
      </w:r>
      <w:r w:rsidR="00803F38">
        <w:rPr>
          <w:lang w:val="en-GB"/>
        </w:rPr>
        <w:t>literature with a</w:t>
      </w:r>
      <w:r w:rsidRPr="00343A78">
        <w:rPr>
          <w:lang w:val="en-GB"/>
        </w:rPr>
        <w:t xml:space="preserve"> reduc</w:t>
      </w:r>
      <w:r w:rsidR="00803F38">
        <w:rPr>
          <w:lang w:val="en-GB"/>
        </w:rPr>
        <w:t xml:space="preserve">tion of </w:t>
      </w:r>
      <w:r w:rsidRPr="00343A78">
        <w:rPr>
          <w:lang w:val="en-GB"/>
        </w:rPr>
        <w:t>the overall computational time by two orders of magnitude</w:t>
      </w:r>
      <w:r w:rsidR="00803F38">
        <w:rPr>
          <w:lang w:val="en-GB"/>
        </w:rPr>
        <w:t xml:space="preserve"> with respect to conventional simulations</w:t>
      </w:r>
      <w:r w:rsidRPr="00343A78">
        <w:rPr>
          <w:lang w:val="en-GB"/>
        </w:rPr>
        <w:t xml:space="preserve">. In this research </w:t>
      </w:r>
      <w:proofErr w:type="gramStart"/>
      <w:r w:rsidRPr="00343A78">
        <w:rPr>
          <w:lang w:val="en-GB"/>
        </w:rPr>
        <w:t>work</w:t>
      </w:r>
      <w:proofErr w:type="gramEnd"/>
      <w:r w:rsidRPr="00343A78">
        <w:rPr>
          <w:lang w:val="en-GB"/>
        </w:rPr>
        <w:t xml:space="preserve"> a biogas-to-methanol </w:t>
      </w:r>
      <w:r w:rsidR="00803F38">
        <w:rPr>
          <w:lang w:val="en-GB"/>
        </w:rPr>
        <w:t>plant case study i</w:t>
      </w:r>
      <w:r w:rsidRPr="00343A78">
        <w:rPr>
          <w:lang w:val="en-GB"/>
        </w:rPr>
        <w:t xml:space="preserve">s </w:t>
      </w:r>
      <w:r w:rsidR="00803F38">
        <w:rPr>
          <w:lang w:val="en-GB"/>
        </w:rPr>
        <w:t>used</w:t>
      </w:r>
      <w:r w:rsidRPr="00343A78">
        <w:rPr>
          <w:lang w:val="en-GB"/>
        </w:rPr>
        <w:t xml:space="preserve"> to assess the total energy consumption and estimate the related emissions. Therefore, a </w:t>
      </w:r>
      <w:proofErr w:type="spellStart"/>
      <w:r w:rsidRPr="00343A78">
        <w:rPr>
          <w:lang w:val="en-GB"/>
        </w:rPr>
        <w:t>modeling</w:t>
      </w:r>
      <w:proofErr w:type="spellEnd"/>
      <w:r w:rsidRPr="00343A78">
        <w:rPr>
          <w:lang w:val="en-GB"/>
        </w:rPr>
        <w:t xml:space="preserve"> phase carried out via Response Surface Methodology is set up in order to obtain the analytical function that allows to estimate the equivalent CO</w:t>
      </w:r>
      <w:r w:rsidRPr="008E46B5">
        <w:rPr>
          <w:vertAlign w:val="subscript"/>
          <w:lang w:val="en-GB"/>
        </w:rPr>
        <w:t>2</w:t>
      </w:r>
      <w:r w:rsidRPr="00343A78">
        <w:rPr>
          <w:lang w:val="en-GB"/>
        </w:rPr>
        <w:t xml:space="preserve"> emissions over an extended range of operating conditions representing a wide interval of biomass feed composition. The study </w:t>
      </w:r>
      <w:proofErr w:type="gramStart"/>
      <w:r w:rsidRPr="00343A78">
        <w:rPr>
          <w:lang w:val="en-GB"/>
        </w:rPr>
        <w:t>has been performed</w:t>
      </w:r>
      <w:proofErr w:type="gramEnd"/>
      <w:r w:rsidRPr="00343A78">
        <w:rPr>
          <w:lang w:val="en-GB"/>
        </w:rPr>
        <w:t xml:space="preserve"> </w:t>
      </w:r>
      <w:r w:rsidR="001640F5">
        <w:rPr>
          <w:lang w:val="en-GB"/>
        </w:rPr>
        <w:t xml:space="preserve">over a wide independent variables domain as well as for </w:t>
      </w:r>
      <w:r w:rsidRPr="00343A78">
        <w:rPr>
          <w:lang w:val="en-GB"/>
        </w:rPr>
        <w:t xml:space="preserve">different sample sizes in order to compare the computational performances and the accuracy of the </w:t>
      </w:r>
      <w:r w:rsidR="001640F5">
        <w:rPr>
          <w:lang w:val="en-GB"/>
        </w:rPr>
        <w:t xml:space="preserve">obtained </w:t>
      </w:r>
      <w:r w:rsidRPr="00343A78">
        <w:rPr>
          <w:lang w:val="en-GB"/>
        </w:rPr>
        <w:t>models accordingly.</w:t>
      </w:r>
      <w:r w:rsidR="00B45E72">
        <w:rPr>
          <w:lang w:val="en-GB"/>
        </w:rPr>
        <w:t xml:space="preserve"> </w:t>
      </w:r>
      <w:r w:rsidRPr="00343A78">
        <w:rPr>
          <w:lang w:val="en-GB"/>
        </w:rPr>
        <w:t xml:space="preserve">The computational time </w:t>
      </w:r>
      <w:proofErr w:type="gramStart"/>
      <w:r w:rsidRPr="00343A78">
        <w:rPr>
          <w:lang w:val="en-GB"/>
        </w:rPr>
        <w:t>was reduced</w:t>
      </w:r>
      <w:proofErr w:type="gramEnd"/>
      <w:r w:rsidRPr="00343A78">
        <w:rPr>
          <w:lang w:val="en-GB"/>
        </w:rPr>
        <w:t xml:space="preserve"> by two orders of magnitude with a mean relative error </w:t>
      </w:r>
      <w:r w:rsidR="001640F5">
        <w:rPr>
          <w:lang w:val="en-GB"/>
        </w:rPr>
        <w:t xml:space="preserve">lower than </w:t>
      </w:r>
      <w:r w:rsidRPr="00343A78">
        <w:rPr>
          <w:lang w:val="en-GB"/>
        </w:rPr>
        <w:t xml:space="preserve">1%. Given the quality of the results, this approach could be further exploited for other system variables and processes including </w:t>
      </w:r>
      <w:proofErr w:type="gramStart"/>
      <w:r w:rsidRPr="00343A78">
        <w:rPr>
          <w:lang w:val="en-GB"/>
        </w:rPr>
        <w:t>highly non</w:t>
      </w:r>
      <w:proofErr w:type="gramEnd"/>
      <w:r w:rsidRPr="00343A78">
        <w:rPr>
          <w:lang w:val="en-GB"/>
        </w:rPr>
        <w:t xml:space="preserve">-ideal behaviour of mixtures to be treated. Furthermore, more complex sampling and different surrogate </w:t>
      </w:r>
      <w:proofErr w:type="spellStart"/>
      <w:r w:rsidRPr="00343A78">
        <w:rPr>
          <w:lang w:val="en-GB"/>
        </w:rPr>
        <w:t>modeling</w:t>
      </w:r>
      <w:proofErr w:type="spellEnd"/>
      <w:r w:rsidRPr="00343A78">
        <w:rPr>
          <w:lang w:val="en-GB"/>
        </w:rPr>
        <w:t xml:space="preserve"> strategies </w:t>
      </w:r>
      <w:proofErr w:type="gramStart"/>
      <w:r w:rsidRPr="00343A78">
        <w:rPr>
          <w:lang w:val="en-GB"/>
        </w:rPr>
        <w:t>could be tested</w:t>
      </w:r>
      <w:proofErr w:type="gramEnd"/>
      <w:r w:rsidRPr="00343A78">
        <w:rPr>
          <w:lang w:val="en-GB"/>
        </w:rPr>
        <w:t xml:space="preserve"> in order to check if even higher computational effectiveness and model accuracy could be obtained in the process systems domain</w:t>
      </w:r>
      <w:r w:rsidR="008D2649">
        <w:rPr>
          <w:lang w:val="en-GB"/>
        </w:rPr>
        <w:t>.</w:t>
      </w:r>
    </w:p>
    <w:p w14:paraId="452B060C" w14:textId="78AD27D4" w:rsidR="00AB29ED" w:rsidRPr="00343A78" w:rsidRDefault="008D2649" w:rsidP="008D2649">
      <w:pPr>
        <w:pStyle w:val="Els-body-text"/>
        <w:spacing w:after="120"/>
        <w:rPr>
          <w:lang w:val="en-GB"/>
        </w:rPr>
      </w:pPr>
      <w:r>
        <w:rPr>
          <w:b/>
          <w:bCs/>
          <w:lang w:val="en-GB"/>
        </w:rPr>
        <w:t>Keywords</w:t>
      </w:r>
      <w:r>
        <w:rPr>
          <w:lang w:val="en-GB"/>
        </w:rPr>
        <w:t xml:space="preserve">: </w:t>
      </w:r>
      <w:r w:rsidR="00343A78" w:rsidRPr="00343A78">
        <w:rPr>
          <w:lang w:val="en-GB"/>
        </w:rPr>
        <w:t>Response Surface Methodology, sampling, uncertainty, computational efficiency, biogas to methanol</w:t>
      </w:r>
      <w:r>
        <w:rPr>
          <w:lang w:val="en-GB"/>
        </w:rPr>
        <w:t>.</w:t>
      </w:r>
    </w:p>
    <w:p w14:paraId="144DE689" w14:textId="2D350C36" w:rsidR="008D2649" w:rsidRDefault="00803F38" w:rsidP="008D2649">
      <w:pPr>
        <w:pStyle w:val="Els-1storder-head"/>
      </w:pPr>
      <w:r>
        <w:t>Introduction</w:t>
      </w:r>
    </w:p>
    <w:p w14:paraId="6C4197BE" w14:textId="3C049A0F" w:rsidR="00CA0CF7" w:rsidRDefault="00803F38" w:rsidP="008D2649">
      <w:pPr>
        <w:pStyle w:val="Els-body-text"/>
      </w:pPr>
      <w:r>
        <w:t>In recent years, the digitalization of the chemical industry on a massive scale has oriented the research efforts in process systems engineering domain toward</w:t>
      </w:r>
      <w:r w:rsidR="00CA0CF7">
        <w:t>s</w:t>
      </w:r>
      <w:r>
        <w:t xml:space="preserve"> more computational effective solutions.</w:t>
      </w:r>
      <w:r w:rsidR="00CF1D37">
        <w:t xml:space="preserve"> </w:t>
      </w:r>
      <w:r w:rsidR="00566339">
        <w:t xml:space="preserve">In this perspective, several modeling alternatives, applicable to other engineering fields as well, that </w:t>
      </w:r>
      <w:proofErr w:type="gramStart"/>
      <w:r w:rsidR="00566339">
        <w:t>were proposed</w:t>
      </w:r>
      <w:proofErr w:type="gramEnd"/>
      <w:r w:rsidR="00566339">
        <w:t xml:space="preserve"> during the last decades in order to ease the computational criticalities have seen a renewed interest as discussed in</w:t>
      </w:r>
      <w:r w:rsidR="00566339" w:rsidRPr="00566339">
        <w:t xml:space="preserve"> </w:t>
      </w:r>
      <w:proofErr w:type="spellStart"/>
      <w:r w:rsidR="00566339" w:rsidRPr="00566339">
        <w:t>Alizadeh</w:t>
      </w:r>
      <w:proofErr w:type="spellEnd"/>
      <w:r w:rsidR="00566339">
        <w:t xml:space="preserve"> et al. (2020). </w:t>
      </w:r>
      <w:r w:rsidR="00CF1D37">
        <w:t xml:space="preserve">In particular, when dealing with complex process systems, the conventional simulations </w:t>
      </w:r>
      <w:r w:rsidR="00CA0CF7">
        <w:t>based on</w:t>
      </w:r>
      <w:r w:rsidR="00CF1D37">
        <w:t xml:space="preserve"> phenomenological models result to be </w:t>
      </w:r>
      <w:r w:rsidR="00291B4C">
        <w:t xml:space="preserve">the most </w:t>
      </w:r>
      <w:r w:rsidR="00CF1D37">
        <w:t>high</w:t>
      </w:r>
      <w:r w:rsidR="00291B4C">
        <w:t xml:space="preserve">ly time demanding step within the optimization loops. </w:t>
      </w:r>
      <w:r w:rsidR="00CA0CF7">
        <w:t>A significant e</w:t>
      </w:r>
      <w:r w:rsidR="00CA0CF7" w:rsidRPr="00CA0CF7">
        <w:t>xample</w:t>
      </w:r>
      <w:r w:rsidR="00CA0CF7">
        <w:t xml:space="preserve"> regarding the gain in terms of effectiveness obtained when replacing simulations by data-driven models </w:t>
      </w:r>
      <w:proofErr w:type="gramStart"/>
      <w:r w:rsidR="00CA0CF7">
        <w:t>can be found</w:t>
      </w:r>
      <w:proofErr w:type="gramEnd"/>
      <w:r w:rsidR="00CA0CF7">
        <w:t xml:space="preserve"> in</w:t>
      </w:r>
      <w:r w:rsidR="00CA0CF7" w:rsidRPr="00CA0CF7">
        <w:t xml:space="preserve"> Di </w:t>
      </w:r>
      <w:proofErr w:type="spellStart"/>
      <w:r w:rsidR="00CA0CF7" w:rsidRPr="00CA0CF7">
        <w:t>Pretoro</w:t>
      </w:r>
      <w:proofErr w:type="spellEnd"/>
      <w:r w:rsidR="00CA0CF7" w:rsidRPr="00CA0CF7">
        <w:t xml:space="preserve"> et al.</w:t>
      </w:r>
      <w:r w:rsidR="00CA0CF7">
        <w:t xml:space="preserve"> (2022). Their research proved indeed the capability of </w:t>
      </w:r>
      <w:r w:rsidR="00CA0CF7">
        <w:lastRenderedPageBreak/>
        <w:t>derivative-based surrogate models to reduce the required computational time for scheduling optimization by a 2</w:t>
      </w:r>
      <w:r w:rsidR="004C3DA6">
        <w:t>,</w:t>
      </w:r>
      <w:r w:rsidR="00CA0CF7">
        <w:t>400 factor with 99.66% solution accuracy.</w:t>
      </w:r>
    </w:p>
    <w:p w14:paraId="15238825" w14:textId="276FEACE" w:rsidR="00C23FE8" w:rsidRDefault="00681F9A" w:rsidP="008D2649">
      <w:pPr>
        <w:pStyle w:val="Els-body-text"/>
      </w:pPr>
      <w:r>
        <w:t xml:space="preserve">Along with the digital transition, sustainability </w:t>
      </w:r>
      <w:proofErr w:type="gramStart"/>
      <w:r>
        <w:t xml:space="preserve">can be </w:t>
      </w:r>
      <w:r w:rsidR="00C23FE8">
        <w:t>defined</w:t>
      </w:r>
      <w:proofErr w:type="gramEnd"/>
      <w:r>
        <w:t xml:space="preserve"> as the second current target of major concern in the industrial domain. The most established indicator to assess the environmental impact of a chemical process is the Global Warming Potential</w:t>
      </w:r>
      <w:r w:rsidR="009811BA">
        <w:t xml:space="preserve"> whose unit of measure is the amount (kg) of equivalent CO</w:t>
      </w:r>
      <w:r w:rsidR="009811BA" w:rsidRPr="009811BA">
        <w:rPr>
          <w:vertAlign w:val="subscript"/>
        </w:rPr>
        <w:t>2</w:t>
      </w:r>
      <w:r w:rsidR="009811BA">
        <w:t xml:space="preserve"> emissions.</w:t>
      </w:r>
      <w:r w:rsidR="00B4150F">
        <w:t xml:space="preserve"> Due to the uncertain nature of sustainable raw materials, a quick estimation of the expected emissions of the process under </w:t>
      </w:r>
      <w:r w:rsidR="00C23FE8">
        <w:t>variable</w:t>
      </w:r>
      <w:r w:rsidR="00B4150F">
        <w:t xml:space="preserve"> operating conditions could be a valuable decisional tool during the design and the scheduling phase of a process system. </w:t>
      </w:r>
      <w:r w:rsidR="00C23FE8">
        <w:t>In particular, in a chemical process, the total energy consumption in terms of electricity and heat duties can be the identified as main emission item</w:t>
      </w:r>
      <w:r w:rsidR="000B16AD">
        <w:t xml:space="preserve"> (</w:t>
      </w:r>
      <w:proofErr w:type="spellStart"/>
      <w:r w:rsidR="000B16AD">
        <w:t>Gadalla</w:t>
      </w:r>
      <w:proofErr w:type="spellEnd"/>
      <w:r w:rsidR="000B16AD">
        <w:t xml:space="preserve"> et al., 2006)</w:t>
      </w:r>
      <w:r w:rsidR="00C23FE8">
        <w:t>.</w:t>
      </w:r>
    </w:p>
    <w:p w14:paraId="62AA97D5" w14:textId="5B28CA78" w:rsidR="00B4150F" w:rsidRPr="00CA0CF7" w:rsidRDefault="00B4150F" w:rsidP="008D2649">
      <w:pPr>
        <w:pStyle w:val="Els-body-text"/>
      </w:pPr>
      <w:r>
        <w:t>For this reason,</w:t>
      </w:r>
      <w:r w:rsidR="00CE4966">
        <w:t xml:space="preserve"> a Response Surface Methodology</w:t>
      </w:r>
      <w:r w:rsidR="00BB41EB">
        <w:t xml:space="preserve"> approach, whose details </w:t>
      </w:r>
      <w:proofErr w:type="gramStart"/>
      <w:r w:rsidR="00BB41EB">
        <w:t>are provided</w:t>
      </w:r>
      <w:proofErr w:type="gramEnd"/>
      <w:r w:rsidR="00BB41EB">
        <w:t xml:space="preserve"> in the dedicated section,</w:t>
      </w:r>
      <w:r w:rsidR="00CE4966">
        <w:t xml:space="preserve"> is exploited </w:t>
      </w:r>
      <w:r w:rsidR="00C23FE8">
        <w:t xml:space="preserve">in this study </w:t>
      </w:r>
      <w:r w:rsidR="00CE4966">
        <w:t xml:space="preserve">to correlate the emissions of a biogas-to-methanol plant with the </w:t>
      </w:r>
      <w:r>
        <w:t xml:space="preserve">feed stream </w:t>
      </w:r>
      <w:r w:rsidR="00CE4966">
        <w:t xml:space="preserve">properties </w:t>
      </w:r>
      <w:r>
        <w:t>over a wide composition range</w:t>
      </w:r>
      <w:r w:rsidR="00CE4966">
        <w:t>.</w:t>
      </w:r>
      <w:r>
        <w:t xml:space="preserve"> The obtained model </w:t>
      </w:r>
      <w:proofErr w:type="gramStart"/>
      <w:r>
        <w:t>was then tested</w:t>
      </w:r>
      <w:proofErr w:type="gramEnd"/>
      <w:r>
        <w:t xml:space="preserve"> to assess computational performance indicators </w:t>
      </w:r>
      <w:r w:rsidR="00530B63">
        <w:t>such as computational time and model</w:t>
      </w:r>
      <w:r>
        <w:t xml:space="preserve"> accuracy.</w:t>
      </w:r>
      <w:r w:rsidR="00C23FE8">
        <w:t xml:space="preserve"> </w:t>
      </w:r>
      <w:r>
        <w:t xml:space="preserve">The </w:t>
      </w:r>
      <w:r w:rsidR="00C23FE8">
        <w:t xml:space="preserve">presentation </w:t>
      </w:r>
      <w:r>
        <w:t xml:space="preserve">of the case study, </w:t>
      </w:r>
      <w:r w:rsidR="00C23FE8">
        <w:t>its</w:t>
      </w:r>
      <w:r>
        <w:t xml:space="preserve"> process diagram a</w:t>
      </w:r>
      <w:r w:rsidR="00C23FE8">
        <w:t xml:space="preserve">s well as </w:t>
      </w:r>
      <w:r>
        <w:t xml:space="preserve">the operating parameters are provided in detail the </w:t>
      </w:r>
      <w:r w:rsidR="00C23FE8">
        <w:t>next</w:t>
      </w:r>
      <w:r>
        <w:t xml:space="preserve"> section</w:t>
      </w:r>
      <w:r w:rsidR="00C23FE8">
        <w:t xml:space="preserve"> followed by a thorough description of the modeling methodology.</w:t>
      </w:r>
    </w:p>
    <w:p w14:paraId="144DE699" w14:textId="5C4D6A52" w:rsidR="008D2649" w:rsidRDefault="00EA0537" w:rsidP="008D2649">
      <w:pPr>
        <w:pStyle w:val="Els-1storder-head"/>
      </w:pPr>
      <w:r>
        <w:t>Case study</w:t>
      </w:r>
    </w:p>
    <w:p w14:paraId="2E2F5106" w14:textId="03D6EB61" w:rsidR="000137F3" w:rsidRDefault="000137F3" w:rsidP="000137F3">
      <w:pPr>
        <w:pStyle w:val="Els-body-text"/>
      </w:pPr>
      <w:r w:rsidRPr="000137F3">
        <w:t xml:space="preserve">The modeling strategy presented in this work </w:t>
      </w:r>
      <w:proofErr w:type="gramStart"/>
      <w:r w:rsidRPr="000137F3">
        <w:t>was applied</w:t>
      </w:r>
      <w:proofErr w:type="gramEnd"/>
      <w:r w:rsidRPr="000137F3">
        <w:t xml:space="preserve"> to a </w:t>
      </w:r>
      <w:r w:rsidR="00BB4C67">
        <w:t>b</w:t>
      </w:r>
      <w:r w:rsidRPr="000137F3">
        <w:t>iogas-to-</w:t>
      </w:r>
      <w:r w:rsidR="00BB4C67">
        <w:t>m</w:t>
      </w:r>
      <w:r w:rsidRPr="000137F3">
        <w:t xml:space="preserve">ethanol case study. </w:t>
      </w:r>
      <w:proofErr w:type="gramStart"/>
      <w:r w:rsidRPr="000137F3">
        <w:t xml:space="preserve">The choice of this system had two main purposes that are namely testing the performances of a modeling procedure on a </w:t>
      </w:r>
      <w:proofErr w:type="spellStart"/>
      <w:r w:rsidRPr="000137F3">
        <w:t>plantwide</w:t>
      </w:r>
      <w:proofErr w:type="spellEnd"/>
      <w:r w:rsidRPr="000137F3">
        <w:t xml:space="preserve"> scale, i.e. correlating the inlet and the outlet of a process involving several units in between, and assessing the accuracy of a model whose inlet parameters could vary over a wide range, since biogas properties depend on the biomass nature and the fermentation conditions.</w:t>
      </w:r>
      <w:proofErr w:type="gramEnd"/>
      <w:r w:rsidRPr="000137F3">
        <w:t xml:space="preserve"> The process under analysis </w:t>
      </w:r>
      <w:proofErr w:type="gramStart"/>
      <w:r w:rsidR="00BB4C67">
        <w:t xml:space="preserve">was </w:t>
      </w:r>
      <w:r w:rsidRPr="000137F3">
        <w:t xml:space="preserve">modeled </w:t>
      </w:r>
      <w:r w:rsidR="00BB4C67">
        <w:t xml:space="preserve">and simulated by means of </w:t>
      </w:r>
      <w:r w:rsidRPr="000137F3">
        <w:t xml:space="preserve">Aspen HYSYS v12 </w:t>
      </w:r>
      <w:r w:rsidR="00BB4C67">
        <w:t>process simulator</w:t>
      </w:r>
      <w:proofErr w:type="gramEnd"/>
      <w:r w:rsidR="00BB4C67">
        <w:t xml:space="preserve"> </w:t>
      </w:r>
      <w:r w:rsidRPr="000137F3">
        <w:t>and it</w:t>
      </w:r>
      <w:r w:rsidR="00BB4C67">
        <w:t xml:space="preserve">s simplified flow diagram is reported </w:t>
      </w:r>
      <w:r w:rsidRPr="000137F3">
        <w:t xml:space="preserve">in Figure </w:t>
      </w:r>
      <w:r w:rsidR="00851FF5">
        <w:t>1</w:t>
      </w:r>
      <w:r w:rsidRPr="000137F3">
        <w:t xml:space="preserve">. </w:t>
      </w:r>
      <w:r w:rsidR="00BB4C67">
        <w:t>T</w:t>
      </w:r>
      <w:r w:rsidRPr="000137F3">
        <w:t xml:space="preserve">hree main </w:t>
      </w:r>
      <w:r w:rsidR="00BB4C67">
        <w:t xml:space="preserve">process </w:t>
      </w:r>
      <w:r w:rsidRPr="000137F3">
        <w:t>sections</w:t>
      </w:r>
      <w:r w:rsidR="00BB4C67">
        <w:t xml:space="preserve"> </w:t>
      </w:r>
      <w:proofErr w:type="gramStart"/>
      <w:r w:rsidR="00BB4C67">
        <w:t>can be identified</w:t>
      </w:r>
      <w:proofErr w:type="gramEnd"/>
      <w:r w:rsidRPr="000137F3">
        <w:t>:</w:t>
      </w:r>
      <w:r w:rsidR="00BB4C67">
        <w:t xml:space="preserve"> </w:t>
      </w:r>
      <w:r w:rsidRPr="000137F3">
        <w:t>(</w:t>
      </w:r>
      <w:proofErr w:type="spellStart"/>
      <w:r w:rsidRPr="000137F3">
        <w:rPr>
          <w:i/>
          <w:iCs/>
        </w:rPr>
        <w:t>i</w:t>
      </w:r>
      <w:proofErr w:type="spellEnd"/>
      <w:r w:rsidRPr="000137F3">
        <w:t>) steam reforming, (</w:t>
      </w:r>
      <w:r w:rsidRPr="000137F3">
        <w:rPr>
          <w:i/>
          <w:iCs/>
        </w:rPr>
        <w:t>ii</w:t>
      </w:r>
      <w:r w:rsidRPr="000137F3">
        <w:t>) methanol synthesis and (</w:t>
      </w:r>
      <w:r w:rsidRPr="000137F3">
        <w:rPr>
          <w:i/>
          <w:iCs/>
        </w:rPr>
        <w:t>iii</w:t>
      </w:r>
      <w:r w:rsidRPr="000137F3">
        <w:t>) product purification.</w:t>
      </w:r>
    </w:p>
    <w:p w14:paraId="73F7C330" w14:textId="77777777" w:rsidR="00851FF5" w:rsidRDefault="00851FF5" w:rsidP="00851FF5">
      <w:pPr>
        <w:pStyle w:val="Els-body-text"/>
        <w:keepNext/>
      </w:pPr>
      <w:r>
        <w:rPr>
          <w:noProof/>
          <w:color w:val="000000"/>
          <w:bdr w:val="none" w:sz="0" w:space="0" w:color="auto" w:frame="1"/>
        </w:rPr>
        <w:drawing>
          <wp:inline distT="0" distB="0" distL="0" distR="0" wp14:anchorId="77696EBC" wp14:editId="06131D9C">
            <wp:extent cx="4499610" cy="2771775"/>
            <wp:effectExtent l="0" t="0" r="0" b="0"/>
            <wp:docPr id="797105791" name="Immagine 2" descr="Immagine che contiene schermata,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105791" name="Immagine 2" descr="Immagine che contiene schermata, testo&#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9610" cy="2771775"/>
                    </a:xfrm>
                    <a:prstGeom prst="rect">
                      <a:avLst/>
                    </a:prstGeom>
                    <a:noFill/>
                    <a:ln>
                      <a:noFill/>
                    </a:ln>
                  </pic:spPr>
                </pic:pic>
              </a:graphicData>
            </a:graphic>
          </wp:inline>
        </w:drawing>
      </w:r>
    </w:p>
    <w:p w14:paraId="29108D4F" w14:textId="2E07085C" w:rsidR="00851FF5" w:rsidRPr="000137F3" w:rsidRDefault="00851FF5" w:rsidP="00136B59">
      <w:pPr>
        <w:pStyle w:val="Lgende"/>
        <w:jc w:val="both"/>
        <w:rPr>
          <w:sz w:val="20"/>
        </w:rPr>
      </w:pPr>
      <w:r>
        <w:t xml:space="preserve">Figure </w:t>
      </w:r>
      <w:r>
        <w:fldChar w:fldCharType="begin"/>
      </w:r>
      <w:r>
        <w:instrText xml:space="preserve"> SEQ Figure \* ARABIC </w:instrText>
      </w:r>
      <w:r>
        <w:fldChar w:fldCharType="separate"/>
      </w:r>
      <w:r>
        <w:rPr>
          <w:noProof/>
        </w:rPr>
        <w:t>1</w:t>
      </w:r>
      <w:r>
        <w:fldChar w:fldCharType="end"/>
      </w:r>
      <w:r>
        <w:t xml:space="preserve"> – Simplified Process Flow Diagram of the biogas-to-methanol plant</w:t>
      </w:r>
    </w:p>
    <w:p w14:paraId="46D4B45F" w14:textId="2E315F58" w:rsidR="00CD4626" w:rsidRDefault="000137F3" w:rsidP="005140B1">
      <w:pPr>
        <w:pStyle w:val="Els-body-text"/>
      </w:pPr>
      <w:r w:rsidRPr="000137F3">
        <w:lastRenderedPageBreak/>
        <w:t xml:space="preserve">In the first section, the biogas </w:t>
      </w:r>
      <w:r w:rsidR="004C4352">
        <w:t>fed to</w:t>
      </w:r>
      <w:r w:rsidRPr="000137F3">
        <w:t xml:space="preserve"> the process </w:t>
      </w:r>
      <w:proofErr w:type="gramStart"/>
      <w:r w:rsidRPr="000137F3">
        <w:t xml:space="preserve">is preliminarily purified from </w:t>
      </w:r>
      <w:r w:rsidR="004C4352">
        <w:t xml:space="preserve">the </w:t>
      </w:r>
      <w:r w:rsidRPr="000137F3">
        <w:t>H</w:t>
      </w:r>
      <w:r w:rsidRPr="004C4352">
        <w:rPr>
          <w:vertAlign w:val="subscript"/>
        </w:rPr>
        <w:t>2</w:t>
      </w:r>
      <w:r w:rsidRPr="000137F3">
        <w:t>S, compressed and mixed with water</w:t>
      </w:r>
      <w:proofErr w:type="gramEnd"/>
      <w:r w:rsidRPr="000137F3">
        <w:t xml:space="preserve">. Then, the mixture </w:t>
      </w:r>
      <w:proofErr w:type="gramStart"/>
      <w:r w:rsidRPr="000137F3">
        <w:t>is preheated</w:t>
      </w:r>
      <w:proofErr w:type="gramEnd"/>
      <w:r w:rsidRPr="000137F3">
        <w:t xml:space="preserve"> </w:t>
      </w:r>
      <w:r w:rsidR="004C4352">
        <w:t>thanks to the heat recovered from</w:t>
      </w:r>
      <w:r w:rsidRPr="000137F3">
        <w:t xml:space="preserve"> the reformer product</w:t>
      </w:r>
      <w:r w:rsidR="004C4352">
        <w:t xml:space="preserve"> stream</w:t>
      </w:r>
      <w:r w:rsidRPr="000137F3">
        <w:t xml:space="preserve">. In the reforming </w:t>
      </w:r>
      <w:proofErr w:type="gramStart"/>
      <w:r w:rsidRPr="000137F3">
        <w:t>furnace</w:t>
      </w:r>
      <w:proofErr w:type="gramEnd"/>
      <w:r w:rsidRPr="000137F3">
        <w:t xml:space="preserve"> the biogas is </w:t>
      </w:r>
      <w:r w:rsidR="004C4352">
        <w:t xml:space="preserve">then </w:t>
      </w:r>
      <w:r w:rsidRPr="000137F3">
        <w:t xml:space="preserve">converted into bio-syngas by supplying heat to the system. The reactor </w:t>
      </w:r>
      <w:proofErr w:type="gramStart"/>
      <w:r w:rsidRPr="000137F3">
        <w:t>is modeled</w:t>
      </w:r>
      <w:proofErr w:type="gramEnd"/>
      <w:r w:rsidRPr="000137F3">
        <w:t xml:space="preserve"> as a fixed bed plug flow reactor</w:t>
      </w:r>
      <w:r w:rsidR="004C4352">
        <w:t xml:space="preserve"> </w:t>
      </w:r>
      <w:r w:rsidR="00D50040">
        <w:t xml:space="preserve">with a given size </w:t>
      </w:r>
      <w:r w:rsidR="004C4352">
        <w:t>and</w:t>
      </w:r>
      <w:r w:rsidRPr="000137F3">
        <w:t xml:space="preserve"> </w:t>
      </w:r>
      <w:r w:rsidR="004C4352">
        <w:t xml:space="preserve">its </w:t>
      </w:r>
      <w:r w:rsidRPr="000137F3">
        <w:t xml:space="preserve">products are cooled down </w:t>
      </w:r>
      <w:r w:rsidR="004C4352">
        <w:t xml:space="preserve">by means of </w:t>
      </w:r>
      <w:r w:rsidRPr="000137F3">
        <w:t xml:space="preserve">an air cooler and a series of heat exchangers in order to condense and </w:t>
      </w:r>
      <w:r w:rsidR="004C4352">
        <w:t xml:space="preserve">separate </w:t>
      </w:r>
      <w:r w:rsidRPr="000137F3">
        <w:t xml:space="preserve">the syngas from </w:t>
      </w:r>
      <w:r w:rsidR="004C4352" w:rsidRPr="005140B1">
        <w:t>water.</w:t>
      </w:r>
      <w:r w:rsidRPr="005140B1">
        <w:t xml:space="preserve"> </w:t>
      </w:r>
      <w:r w:rsidR="004C4352" w:rsidRPr="005140B1">
        <w:t xml:space="preserve">The latter </w:t>
      </w:r>
      <w:r w:rsidRPr="005140B1">
        <w:t>is</w:t>
      </w:r>
      <w:r w:rsidR="004C4352" w:rsidRPr="005140B1">
        <w:t xml:space="preserve"> then</w:t>
      </w:r>
      <w:r w:rsidRPr="005140B1">
        <w:t xml:space="preserve"> recycled back </w:t>
      </w:r>
      <w:r w:rsidR="004C4352" w:rsidRPr="005140B1">
        <w:t xml:space="preserve">mixed with a </w:t>
      </w:r>
      <w:proofErr w:type="spellStart"/>
      <w:r w:rsidR="004C4352" w:rsidRPr="005140B1">
        <w:t>make up</w:t>
      </w:r>
      <w:proofErr w:type="spellEnd"/>
      <w:r w:rsidR="004C4352" w:rsidRPr="005140B1">
        <w:t xml:space="preserve"> stream</w:t>
      </w:r>
      <w:r w:rsidRPr="005140B1">
        <w:t>.</w:t>
      </w:r>
      <w:r w:rsidR="004C4352" w:rsidRPr="005140B1">
        <w:t xml:space="preserve"> </w:t>
      </w:r>
      <w:r w:rsidRPr="005140B1">
        <w:t xml:space="preserve">In the second section, the syngas </w:t>
      </w:r>
      <w:proofErr w:type="gramStart"/>
      <w:r w:rsidRPr="005140B1">
        <w:t xml:space="preserve">is recompressed to the reactor operating pressure and preheated </w:t>
      </w:r>
      <w:r w:rsidR="005140B1" w:rsidRPr="005140B1">
        <w:t>as in the first one</w:t>
      </w:r>
      <w:proofErr w:type="gramEnd"/>
      <w:r w:rsidRPr="005140B1">
        <w:t xml:space="preserve">. In the </w:t>
      </w:r>
      <w:proofErr w:type="gramStart"/>
      <w:r w:rsidRPr="005140B1">
        <w:t>reactor</w:t>
      </w:r>
      <w:proofErr w:type="gramEnd"/>
      <w:r w:rsidRPr="005140B1">
        <w:t xml:space="preserve"> syngas is converted into methanol </w:t>
      </w:r>
      <w:r w:rsidR="005140B1" w:rsidRPr="005140B1">
        <w:t xml:space="preserve">with </w:t>
      </w:r>
      <w:r w:rsidRPr="005140B1">
        <w:t>a globally exothermic</w:t>
      </w:r>
      <w:r w:rsidR="005140B1" w:rsidRPr="005140B1">
        <w:t xml:space="preserve"> reaction scheme</w:t>
      </w:r>
      <w:r w:rsidRPr="005140B1">
        <w:t>. Th</w:t>
      </w:r>
      <w:r w:rsidR="005140B1" w:rsidRPr="005140B1">
        <w:t>is second</w:t>
      </w:r>
      <w:r w:rsidRPr="005140B1">
        <w:t xml:space="preserve"> reactor </w:t>
      </w:r>
      <w:r w:rsidR="005140B1" w:rsidRPr="005140B1">
        <w:t xml:space="preserve">as well </w:t>
      </w:r>
      <w:proofErr w:type="gramStart"/>
      <w:r w:rsidR="005140B1" w:rsidRPr="005140B1">
        <w:t>wa</w:t>
      </w:r>
      <w:r w:rsidRPr="005140B1">
        <w:t>s modeled</w:t>
      </w:r>
      <w:proofErr w:type="gramEnd"/>
      <w:r w:rsidRPr="005140B1">
        <w:t xml:space="preserve"> as a fixed bed plug flow reactor</w:t>
      </w:r>
      <w:r w:rsidR="005140B1" w:rsidRPr="005140B1">
        <w:t xml:space="preserve">. </w:t>
      </w:r>
      <w:r w:rsidRPr="0050791E">
        <w:t xml:space="preserve">After </w:t>
      </w:r>
      <w:proofErr w:type="gramStart"/>
      <w:r w:rsidRPr="0050791E">
        <w:t>being purified</w:t>
      </w:r>
      <w:proofErr w:type="gramEnd"/>
      <w:r w:rsidRPr="0050791E">
        <w:t xml:space="preserve"> from unconverted syngas, which is recycled back to the reactor, the </w:t>
      </w:r>
      <w:r w:rsidRPr="008241B5">
        <w:t>methanol is laminated and sent to the third section</w:t>
      </w:r>
      <w:r w:rsidR="0050791E" w:rsidRPr="008241B5">
        <w:t xml:space="preserve"> consisting</w:t>
      </w:r>
      <w:r w:rsidRPr="008241B5">
        <w:t xml:space="preserve"> of a series of distillation steps. In the first column,</w:t>
      </w:r>
      <w:r w:rsidR="008241B5" w:rsidRPr="008241B5">
        <w:t xml:space="preserve"> light ends </w:t>
      </w:r>
      <w:proofErr w:type="gramStart"/>
      <w:r w:rsidR="008241B5" w:rsidRPr="008241B5">
        <w:t>are removed</w:t>
      </w:r>
      <w:proofErr w:type="gramEnd"/>
      <w:r w:rsidR="008241B5" w:rsidRPr="008241B5">
        <w:t xml:space="preserve"> from the methanol stream and the entrained part </w:t>
      </w:r>
      <w:r w:rsidRPr="008241B5">
        <w:t xml:space="preserve">is washed with water </w:t>
      </w:r>
      <w:r w:rsidR="008241B5" w:rsidRPr="008241B5">
        <w:t xml:space="preserve">in a second column </w:t>
      </w:r>
      <w:r w:rsidRPr="008241B5">
        <w:t xml:space="preserve">in order to </w:t>
      </w:r>
      <w:r w:rsidR="008241B5" w:rsidRPr="008241B5">
        <w:t xml:space="preserve">further enhance its </w:t>
      </w:r>
      <w:r w:rsidRPr="008241B5">
        <w:t>recover</w:t>
      </w:r>
      <w:r w:rsidR="008241B5" w:rsidRPr="008241B5">
        <w:t>y. Finally, t</w:t>
      </w:r>
      <w:r w:rsidR="00851FF5" w:rsidRPr="008241B5">
        <w:t xml:space="preserve">he last column </w:t>
      </w:r>
      <w:r w:rsidR="008241B5" w:rsidRPr="008241B5">
        <w:t xml:space="preserve">distills methanol from water to grade AA </w:t>
      </w:r>
      <w:r w:rsidR="00851FF5" w:rsidRPr="008241B5">
        <w:t>purity.</w:t>
      </w:r>
    </w:p>
    <w:p w14:paraId="7AF0DA7A" w14:textId="290AED62" w:rsidR="00850907" w:rsidRPr="004C4352" w:rsidRDefault="00CD4626" w:rsidP="005140B1">
      <w:pPr>
        <w:pStyle w:val="Els-body-text"/>
        <w:rPr>
          <w:highlight w:val="yellow"/>
        </w:rPr>
      </w:pPr>
      <w:r>
        <w:t xml:space="preserve">As previously introduced, the purpose of this study is to model the </w:t>
      </w:r>
      <w:proofErr w:type="spellStart"/>
      <w:r>
        <w:t>plantwide</w:t>
      </w:r>
      <w:proofErr w:type="spellEnd"/>
      <w:r>
        <w:t xml:space="preserve"> emissions for variable inlet feed composition. Therefore, Table 1 reports, along with the operating parameters and the process specifications</w:t>
      </w:r>
      <w:r w:rsidR="00BB41EB">
        <w:t xml:space="preserve"> required to fulfill the final product quality</w:t>
      </w:r>
      <w:r>
        <w:t>, the selected domain in terms of methane and carbon dioxide pa</w:t>
      </w:r>
      <w:r w:rsidRPr="00CD4626">
        <w:t>rtial flowrates over which the Design of Experiment will be performed</w:t>
      </w:r>
      <w:r w:rsidR="000137F3" w:rsidRPr="00CD4626">
        <w:t>.</w:t>
      </w:r>
    </w:p>
    <w:p w14:paraId="759F3742" w14:textId="4C8C7B5C" w:rsidR="00850907" w:rsidRPr="00CD4EF4" w:rsidRDefault="00850907" w:rsidP="00850907">
      <w:pPr>
        <w:pStyle w:val="Lgende"/>
        <w:keepNext/>
      </w:pPr>
      <w:r w:rsidRPr="00CD4EF4">
        <w:t xml:space="preserve">Table </w:t>
      </w:r>
      <w:r w:rsidRPr="00CD4EF4">
        <w:fldChar w:fldCharType="begin"/>
      </w:r>
      <w:r w:rsidRPr="00CD4EF4">
        <w:instrText xml:space="preserve"> SEQ Table \* ARABIC </w:instrText>
      </w:r>
      <w:r w:rsidRPr="00CD4EF4">
        <w:fldChar w:fldCharType="separate"/>
      </w:r>
      <w:r w:rsidRPr="00CD4EF4">
        <w:rPr>
          <w:noProof/>
        </w:rPr>
        <w:t>1</w:t>
      </w:r>
      <w:r w:rsidRPr="00CD4EF4">
        <w:fldChar w:fldCharType="end"/>
      </w:r>
      <w:r w:rsidRPr="00CD4EF4">
        <w:t xml:space="preserve"> - Operating parameters</w:t>
      </w:r>
      <w:r w:rsidR="00CD4626" w:rsidRPr="00CD4EF4">
        <w:t>, specifications and modeling domain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1326"/>
        <w:gridCol w:w="1134"/>
      </w:tblGrid>
      <w:tr w:rsidR="00850907" w:rsidRPr="00CD4EF4" w14:paraId="12B46260" w14:textId="77777777" w:rsidTr="00CD4EF4">
        <w:trPr>
          <w:jc w:val="center"/>
        </w:trPr>
        <w:tc>
          <w:tcPr>
            <w:tcW w:w="3038" w:type="dxa"/>
          </w:tcPr>
          <w:p w14:paraId="04FA7774" w14:textId="77777777" w:rsidR="00850907" w:rsidRPr="00CD4EF4" w:rsidRDefault="00850907" w:rsidP="00CD3F5F">
            <w:pPr>
              <w:pStyle w:val="Els-body-text"/>
              <w:spacing w:after="120"/>
              <w:jc w:val="center"/>
              <w:rPr>
                <w:b/>
                <w:bCs/>
                <w:lang w:val="en-GB"/>
              </w:rPr>
            </w:pPr>
            <w:r w:rsidRPr="00CD4EF4">
              <w:rPr>
                <w:b/>
                <w:bCs/>
                <w:lang w:val="en-GB"/>
              </w:rPr>
              <w:t>System parameters</w:t>
            </w:r>
          </w:p>
        </w:tc>
        <w:tc>
          <w:tcPr>
            <w:tcW w:w="1326" w:type="dxa"/>
            <w:shd w:val="clear" w:color="auto" w:fill="auto"/>
          </w:tcPr>
          <w:p w14:paraId="17C55DCE" w14:textId="77777777" w:rsidR="00850907" w:rsidRPr="00CD4EF4" w:rsidRDefault="00850907" w:rsidP="00CD3F5F">
            <w:pPr>
              <w:pStyle w:val="Els-body-text"/>
              <w:spacing w:after="120"/>
              <w:jc w:val="center"/>
              <w:rPr>
                <w:b/>
                <w:bCs/>
                <w:lang w:val="en-GB"/>
              </w:rPr>
            </w:pPr>
            <w:r w:rsidRPr="00CD4EF4">
              <w:rPr>
                <w:b/>
                <w:bCs/>
                <w:lang w:val="en-GB"/>
              </w:rPr>
              <w:t>Value</w:t>
            </w:r>
          </w:p>
        </w:tc>
        <w:tc>
          <w:tcPr>
            <w:tcW w:w="1134" w:type="dxa"/>
            <w:shd w:val="clear" w:color="auto" w:fill="auto"/>
          </w:tcPr>
          <w:p w14:paraId="09AC7850" w14:textId="77777777" w:rsidR="00850907" w:rsidRPr="00CD4EF4" w:rsidRDefault="00850907" w:rsidP="00CD3F5F">
            <w:pPr>
              <w:pStyle w:val="Els-body-text"/>
              <w:spacing w:after="120"/>
              <w:jc w:val="center"/>
              <w:rPr>
                <w:b/>
                <w:bCs/>
                <w:lang w:val="en-GB"/>
              </w:rPr>
            </w:pPr>
            <w:r w:rsidRPr="00CD4EF4">
              <w:rPr>
                <w:b/>
                <w:bCs/>
                <w:lang w:val="en-GB"/>
              </w:rPr>
              <w:t>Unit</w:t>
            </w:r>
          </w:p>
        </w:tc>
      </w:tr>
      <w:tr w:rsidR="00850907" w:rsidRPr="00CD4EF4" w14:paraId="45F6A414" w14:textId="77777777" w:rsidTr="00CD4EF4">
        <w:trPr>
          <w:jc w:val="center"/>
        </w:trPr>
        <w:tc>
          <w:tcPr>
            <w:tcW w:w="3038" w:type="dxa"/>
          </w:tcPr>
          <w:p w14:paraId="2D2EC2A2" w14:textId="5DCED4B8" w:rsidR="00850907" w:rsidRPr="00CD4EF4" w:rsidRDefault="00850907" w:rsidP="00850907">
            <w:pPr>
              <w:pStyle w:val="Els-body-text"/>
              <w:spacing w:after="120"/>
              <w:jc w:val="center"/>
              <w:rPr>
                <w:lang w:val="en-GB"/>
              </w:rPr>
            </w:pPr>
            <w:r w:rsidRPr="00CD4EF4">
              <w:rPr>
                <w:color w:val="000000"/>
              </w:rPr>
              <w:t>Inlet methane flowrate</w:t>
            </w:r>
          </w:p>
        </w:tc>
        <w:tc>
          <w:tcPr>
            <w:tcW w:w="1326" w:type="dxa"/>
            <w:shd w:val="clear" w:color="auto" w:fill="auto"/>
          </w:tcPr>
          <w:p w14:paraId="75ED9ECF" w14:textId="1561011A" w:rsidR="00850907" w:rsidRPr="00CD4EF4" w:rsidRDefault="00850907" w:rsidP="00850907">
            <w:pPr>
              <w:pStyle w:val="Els-body-text"/>
              <w:spacing w:after="120"/>
              <w:jc w:val="center"/>
              <w:rPr>
                <w:lang w:val="en-GB"/>
              </w:rPr>
            </w:pPr>
            <w:r w:rsidRPr="00CD4EF4">
              <w:rPr>
                <w:color w:val="000000"/>
              </w:rPr>
              <w:t>10.95</w:t>
            </w:r>
            <w:r w:rsidR="00CD4EF4">
              <w:rPr>
                <w:color w:val="000000"/>
              </w:rPr>
              <w:t xml:space="preserve"> ± 4.38</w:t>
            </w:r>
          </w:p>
        </w:tc>
        <w:tc>
          <w:tcPr>
            <w:tcW w:w="1134" w:type="dxa"/>
            <w:shd w:val="clear" w:color="auto" w:fill="auto"/>
          </w:tcPr>
          <w:p w14:paraId="37F262DC" w14:textId="38F1697E" w:rsidR="00850907" w:rsidRPr="00CD4EF4" w:rsidRDefault="00850907" w:rsidP="00850907">
            <w:pPr>
              <w:pStyle w:val="Els-body-text"/>
              <w:spacing w:after="120"/>
              <w:jc w:val="center"/>
              <w:rPr>
                <w:lang w:val="en-GB"/>
              </w:rPr>
            </w:pPr>
            <w:proofErr w:type="spellStart"/>
            <w:r w:rsidRPr="00CD4EF4">
              <w:rPr>
                <w:color w:val="000000"/>
              </w:rPr>
              <w:t>kmol</w:t>
            </w:r>
            <w:proofErr w:type="spellEnd"/>
            <w:r w:rsidRPr="00CD4EF4">
              <w:rPr>
                <w:color w:val="000000"/>
              </w:rPr>
              <w:t>/h</w:t>
            </w:r>
          </w:p>
        </w:tc>
      </w:tr>
      <w:tr w:rsidR="00850907" w:rsidRPr="00CD4EF4" w14:paraId="009184C8" w14:textId="77777777" w:rsidTr="00CD4EF4">
        <w:trPr>
          <w:jc w:val="center"/>
        </w:trPr>
        <w:tc>
          <w:tcPr>
            <w:tcW w:w="3038" w:type="dxa"/>
          </w:tcPr>
          <w:p w14:paraId="22017F64" w14:textId="6E9E0552" w:rsidR="00850907" w:rsidRPr="00CD4EF4" w:rsidRDefault="00850907" w:rsidP="00850907">
            <w:pPr>
              <w:pStyle w:val="Els-body-text"/>
              <w:spacing w:after="120"/>
              <w:jc w:val="center"/>
              <w:rPr>
                <w:lang w:val="en-GB"/>
              </w:rPr>
            </w:pPr>
            <w:r w:rsidRPr="00CD4EF4">
              <w:rPr>
                <w:color w:val="000000"/>
              </w:rPr>
              <w:t>Inlet carbon dioxide flowrate</w:t>
            </w:r>
          </w:p>
        </w:tc>
        <w:tc>
          <w:tcPr>
            <w:tcW w:w="1326" w:type="dxa"/>
            <w:shd w:val="clear" w:color="auto" w:fill="auto"/>
          </w:tcPr>
          <w:p w14:paraId="2E80D6ED" w14:textId="0EA1100E" w:rsidR="00850907" w:rsidRPr="00CD4EF4" w:rsidRDefault="00850907" w:rsidP="00850907">
            <w:pPr>
              <w:pStyle w:val="Els-body-text"/>
              <w:spacing w:after="120"/>
              <w:jc w:val="center"/>
              <w:rPr>
                <w:lang w:val="en-GB"/>
              </w:rPr>
            </w:pPr>
            <w:r w:rsidRPr="00CD4EF4">
              <w:rPr>
                <w:color w:val="000000"/>
              </w:rPr>
              <w:t>6.71</w:t>
            </w:r>
            <w:r w:rsidR="00CD4EF4">
              <w:rPr>
                <w:color w:val="000000"/>
              </w:rPr>
              <w:t xml:space="preserve"> ± 2.68</w:t>
            </w:r>
          </w:p>
        </w:tc>
        <w:tc>
          <w:tcPr>
            <w:tcW w:w="1134" w:type="dxa"/>
            <w:shd w:val="clear" w:color="auto" w:fill="auto"/>
          </w:tcPr>
          <w:p w14:paraId="1FC21366" w14:textId="594D07C7" w:rsidR="00850907" w:rsidRPr="00CD4EF4" w:rsidRDefault="00850907" w:rsidP="00850907">
            <w:pPr>
              <w:pStyle w:val="Els-body-text"/>
              <w:spacing w:after="120"/>
              <w:jc w:val="center"/>
              <w:rPr>
                <w:lang w:val="en-GB"/>
              </w:rPr>
            </w:pPr>
            <w:proofErr w:type="spellStart"/>
            <w:r w:rsidRPr="00CD4EF4">
              <w:rPr>
                <w:color w:val="000000"/>
              </w:rPr>
              <w:t>kmol</w:t>
            </w:r>
            <w:proofErr w:type="spellEnd"/>
            <w:r w:rsidRPr="00CD4EF4">
              <w:rPr>
                <w:color w:val="000000"/>
              </w:rPr>
              <w:t>/h</w:t>
            </w:r>
          </w:p>
        </w:tc>
      </w:tr>
      <w:tr w:rsidR="00850907" w:rsidRPr="00CD4EF4" w14:paraId="1FC673CB" w14:textId="77777777" w:rsidTr="00CD4EF4">
        <w:trPr>
          <w:jc w:val="center"/>
        </w:trPr>
        <w:tc>
          <w:tcPr>
            <w:tcW w:w="3038" w:type="dxa"/>
          </w:tcPr>
          <w:p w14:paraId="610D4D7F" w14:textId="1780C856" w:rsidR="00850907" w:rsidRPr="00CD4EF4" w:rsidRDefault="00850907" w:rsidP="00850907">
            <w:pPr>
              <w:pStyle w:val="Els-body-text"/>
              <w:spacing w:after="120"/>
              <w:jc w:val="center"/>
              <w:rPr>
                <w:lang w:val="en-GB"/>
              </w:rPr>
            </w:pPr>
            <w:r w:rsidRPr="00CD4EF4">
              <w:rPr>
                <w:b/>
                <w:bCs/>
                <w:color w:val="000000"/>
              </w:rPr>
              <w:t>Process specifications</w:t>
            </w:r>
          </w:p>
        </w:tc>
        <w:tc>
          <w:tcPr>
            <w:tcW w:w="1326" w:type="dxa"/>
            <w:shd w:val="clear" w:color="auto" w:fill="auto"/>
          </w:tcPr>
          <w:p w14:paraId="5662F905" w14:textId="42925559" w:rsidR="00850907" w:rsidRPr="00CD4EF4" w:rsidRDefault="00850907" w:rsidP="00850907">
            <w:pPr>
              <w:pStyle w:val="Els-body-text"/>
              <w:spacing w:after="120"/>
              <w:jc w:val="center"/>
              <w:rPr>
                <w:lang w:val="en-GB"/>
              </w:rPr>
            </w:pPr>
          </w:p>
        </w:tc>
        <w:tc>
          <w:tcPr>
            <w:tcW w:w="1134" w:type="dxa"/>
            <w:shd w:val="clear" w:color="auto" w:fill="auto"/>
          </w:tcPr>
          <w:p w14:paraId="2DF826A2" w14:textId="02E10377" w:rsidR="00850907" w:rsidRPr="00CD4EF4" w:rsidRDefault="00850907" w:rsidP="00850907">
            <w:pPr>
              <w:pStyle w:val="Els-body-text"/>
              <w:spacing w:after="120"/>
              <w:jc w:val="center"/>
              <w:rPr>
                <w:lang w:val="en-GB"/>
              </w:rPr>
            </w:pPr>
          </w:p>
        </w:tc>
      </w:tr>
      <w:tr w:rsidR="00850907" w:rsidRPr="00CD4EF4" w14:paraId="3B676095" w14:textId="77777777" w:rsidTr="00CD4EF4">
        <w:trPr>
          <w:jc w:val="center"/>
        </w:trPr>
        <w:tc>
          <w:tcPr>
            <w:tcW w:w="3038" w:type="dxa"/>
          </w:tcPr>
          <w:p w14:paraId="1B5505C5" w14:textId="6DA09AB3" w:rsidR="00850907" w:rsidRPr="00CD4EF4" w:rsidRDefault="00850907" w:rsidP="00850907">
            <w:pPr>
              <w:pStyle w:val="Els-body-text"/>
              <w:spacing w:after="120"/>
              <w:jc w:val="center"/>
              <w:rPr>
                <w:lang w:val="en-GB"/>
              </w:rPr>
            </w:pPr>
            <w:r w:rsidRPr="00CD4EF4">
              <w:rPr>
                <w:color w:val="000000"/>
              </w:rPr>
              <w:t>Water/methane ratio @</w:t>
            </w:r>
            <w:r w:rsidR="00E11EB2">
              <w:rPr>
                <w:color w:val="000000"/>
              </w:rPr>
              <w:t xml:space="preserve"> </w:t>
            </w:r>
            <w:r w:rsidRPr="00CD4EF4">
              <w:rPr>
                <w:color w:val="000000"/>
              </w:rPr>
              <w:t>reformer  </w:t>
            </w:r>
          </w:p>
        </w:tc>
        <w:tc>
          <w:tcPr>
            <w:tcW w:w="1326" w:type="dxa"/>
            <w:shd w:val="clear" w:color="auto" w:fill="auto"/>
          </w:tcPr>
          <w:p w14:paraId="27CB13EF" w14:textId="29F42F6B" w:rsidR="00850907" w:rsidRPr="00CD4EF4" w:rsidRDefault="00850907" w:rsidP="00850907">
            <w:pPr>
              <w:pStyle w:val="Els-body-text"/>
              <w:spacing w:after="120"/>
              <w:jc w:val="center"/>
              <w:rPr>
                <w:lang w:val="en-GB"/>
              </w:rPr>
            </w:pPr>
            <w:r w:rsidRPr="00CD4EF4">
              <w:rPr>
                <w:color w:val="000000"/>
              </w:rPr>
              <w:t>3.075</w:t>
            </w:r>
          </w:p>
        </w:tc>
        <w:tc>
          <w:tcPr>
            <w:tcW w:w="1134" w:type="dxa"/>
            <w:shd w:val="clear" w:color="auto" w:fill="auto"/>
          </w:tcPr>
          <w:p w14:paraId="34C88899" w14:textId="03AB8ABE" w:rsidR="00850907" w:rsidRPr="00CD4EF4" w:rsidRDefault="00850907" w:rsidP="00850907">
            <w:pPr>
              <w:pStyle w:val="Els-body-text"/>
              <w:spacing w:after="120"/>
              <w:jc w:val="center"/>
              <w:rPr>
                <w:lang w:val="en-GB"/>
              </w:rPr>
            </w:pPr>
            <w:proofErr w:type="spellStart"/>
            <w:r w:rsidRPr="00CD4EF4">
              <w:rPr>
                <w:color w:val="000000"/>
              </w:rPr>
              <w:t>mol</w:t>
            </w:r>
            <w:proofErr w:type="spellEnd"/>
            <w:r w:rsidRPr="00CD4EF4">
              <w:rPr>
                <w:color w:val="000000"/>
              </w:rPr>
              <w:t>/</w:t>
            </w:r>
            <w:proofErr w:type="spellStart"/>
            <w:r w:rsidRPr="00CD4EF4">
              <w:rPr>
                <w:color w:val="000000"/>
              </w:rPr>
              <w:t>mol</w:t>
            </w:r>
            <w:proofErr w:type="spellEnd"/>
          </w:p>
        </w:tc>
      </w:tr>
      <w:tr w:rsidR="00850907" w:rsidRPr="00015EB9" w14:paraId="27EEDAA8" w14:textId="77777777" w:rsidTr="00CD4EF4">
        <w:trPr>
          <w:jc w:val="center"/>
        </w:trPr>
        <w:tc>
          <w:tcPr>
            <w:tcW w:w="3038" w:type="dxa"/>
          </w:tcPr>
          <w:p w14:paraId="07F0FB64" w14:textId="1060FAEF" w:rsidR="00850907" w:rsidRPr="00015EB9" w:rsidRDefault="00850907" w:rsidP="00850907">
            <w:pPr>
              <w:pStyle w:val="Els-body-text"/>
              <w:spacing w:after="120"/>
              <w:jc w:val="center"/>
              <w:rPr>
                <w:lang w:val="en-GB"/>
              </w:rPr>
            </w:pPr>
            <w:r w:rsidRPr="00015EB9">
              <w:rPr>
                <w:color w:val="000000"/>
              </w:rPr>
              <w:t>Outlet methanol purity</w:t>
            </w:r>
          </w:p>
        </w:tc>
        <w:tc>
          <w:tcPr>
            <w:tcW w:w="1326" w:type="dxa"/>
            <w:shd w:val="clear" w:color="auto" w:fill="auto"/>
          </w:tcPr>
          <w:p w14:paraId="42E8D4D7" w14:textId="28770B9F" w:rsidR="00850907" w:rsidRPr="00015EB9" w:rsidRDefault="00850907" w:rsidP="00850907">
            <w:pPr>
              <w:pStyle w:val="Els-body-text"/>
              <w:spacing w:after="120"/>
              <w:jc w:val="center"/>
              <w:rPr>
                <w:lang w:val="en-GB"/>
              </w:rPr>
            </w:pPr>
            <w:r w:rsidRPr="00015EB9">
              <w:rPr>
                <w:color w:val="000000"/>
              </w:rPr>
              <w:t>0.9985</w:t>
            </w:r>
          </w:p>
        </w:tc>
        <w:tc>
          <w:tcPr>
            <w:tcW w:w="1134" w:type="dxa"/>
            <w:shd w:val="clear" w:color="auto" w:fill="auto"/>
          </w:tcPr>
          <w:p w14:paraId="793A07B4" w14:textId="464866CA" w:rsidR="00850907" w:rsidRPr="00015EB9" w:rsidRDefault="00850907" w:rsidP="00850907">
            <w:pPr>
              <w:pStyle w:val="Els-body-text"/>
              <w:spacing w:after="120"/>
              <w:jc w:val="center"/>
              <w:rPr>
                <w:lang w:val="en-GB"/>
              </w:rPr>
            </w:pPr>
            <w:r w:rsidRPr="00015EB9">
              <w:rPr>
                <w:color w:val="000000"/>
              </w:rPr>
              <w:t>kg/kg</w:t>
            </w:r>
          </w:p>
        </w:tc>
      </w:tr>
    </w:tbl>
    <w:p w14:paraId="5474CCEC" w14:textId="29A79F9D" w:rsidR="00593217" w:rsidRDefault="00015EB9" w:rsidP="00015EB9">
      <w:pPr>
        <w:pStyle w:val="Els-body-text"/>
        <w:spacing w:before="120"/>
      </w:pPr>
      <w:r w:rsidRPr="00015EB9">
        <w:rPr>
          <w:lang w:val="en-GB"/>
        </w:rPr>
        <w:t>The assessment of the environmental impact requires a deep understanding of the process. The selected indicator is the Global Warming Potential expressed as</w:t>
      </w:r>
      <w:r w:rsidR="00851FF5" w:rsidRPr="00015EB9">
        <w:t xml:space="preserve"> CO</w:t>
      </w:r>
      <w:r w:rsidR="00851FF5" w:rsidRPr="00015EB9">
        <w:rPr>
          <w:vertAlign w:val="subscript"/>
        </w:rPr>
        <w:t>2</w:t>
      </w:r>
      <w:r w:rsidR="00851FF5" w:rsidRPr="00015EB9">
        <w:t xml:space="preserve"> equivalent emissions. These emissions are primarily </w:t>
      </w:r>
      <w:r w:rsidRPr="00015EB9">
        <w:t xml:space="preserve">related to </w:t>
      </w:r>
      <w:r w:rsidR="00851FF5" w:rsidRPr="00015EB9">
        <w:t>heating utilities and electricity usage</w:t>
      </w:r>
      <w:r>
        <w:t xml:space="preserve"> while the impact due to the equipment production and </w:t>
      </w:r>
      <w:proofErr w:type="spellStart"/>
      <w:r>
        <w:t>dismission</w:t>
      </w:r>
      <w:proofErr w:type="spellEnd"/>
      <w:r>
        <w:t xml:space="preserve"> can be neglected as already proved by the study of </w:t>
      </w:r>
      <w:proofErr w:type="spellStart"/>
      <w:r>
        <w:t>Gadalla</w:t>
      </w:r>
      <w:proofErr w:type="spellEnd"/>
      <w:r>
        <w:t xml:space="preserve"> et al. (2006)</w:t>
      </w:r>
      <w:r w:rsidRPr="00015EB9">
        <w:t xml:space="preserve">. </w:t>
      </w:r>
      <w:r>
        <w:t xml:space="preserve">To be more precise, </w:t>
      </w:r>
      <w:r w:rsidRPr="00015EB9">
        <w:t>the</w:t>
      </w:r>
      <w:r>
        <w:t xml:space="preserve"> emissions related to electricity</w:t>
      </w:r>
      <w:r w:rsidRPr="00015EB9">
        <w:t xml:space="preserve"> represents o</w:t>
      </w:r>
      <w:r w:rsidR="00851FF5" w:rsidRPr="00015EB9">
        <w:t>nly</w:t>
      </w:r>
      <w:r w:rsidRPr="00015EB9">
        <w:t xml:space="preserve"> the</w:t>
      </w:r>
      <w:r w:rsidR="00851FF5" w:rsidRPr="00015EB9">
        <w:t xml:space="preserve"> 7.9% </w:t>
      </w:r>
      <w:r w:rsidRPr="00015EB9">
        <w:t xml:space="preserve">of the entire </w:t>
      </w:r>
      <w:r w:rsidR="00851FF5" w:rsidRPr="00015EB9">
        <w:t>process energy demand</w:t>
      </w:r>
      <w:r w:rsidRPr="00015EB9">
        <w:t xml:space="preserve"> while the</w:t>
      </w:r>
      <w:r w:rsidR="00851FF5" w:rsidRPr="00015EB9">
        <w:t xml:space="preserve"> most energy-intensive units are the reforming furnace and the </w:t>
      </w:r>
      <w:proofErr w:type="spellStart"/>
      <w:r w:rsidR="00851FF5" w:rsidRPr="00015EB9">
        <w:t>reboilers</w:t>
      </w:r>
      <w:proofErr w:type="spellEnd"/>
      <w:r w:rsidR="00851FF5" w:rsidRPr="00015EB9">
        <w:t xml:space="preserve"> of the two </w:t>
      </w:r>
      <w:r w:rsidRPr="00015EB9">
        <w:t xml:space="preserve">distillation </w:t>
      </w:r>
      <w:r w:rsidR="00851FF5" w:rsidRPr="00015EB9">
        <w:t>columns.</w:t>
      </w:r>
      <w:r w:rsidR="002F3F75">
        <w:t xml:space="preserve"> </w:t>
      </w:r>
      <w:r w:rsidR="00593217">
        <w:t xml:space="preserve">As concerns the cooling duties, since they work at ambient temperature, cooling water </w:t>
      </w:r>
      <w:proofErr w:type="gramStart"/>
      <w:r w:rsidR="00593217">
        <w:t>can be selected</w:t>
      </w:r>
      <w:proofErr w:type="gramEnd"/>
      <w:r w:rsidR="00593217">
        <w:t xml:space="preserve"> as utility stream, and their contribution to the overall GWP can be thus considered negligible.</w:t>
      </w:r>
    </w:p>
    <w:p w14:paraId="2194F906" w14:textId="351BBABC" w:rsidR="00851FF5" w:rsidRPr="00593217" w:rsidRDefault="00593217" w:rsidP="00593217">
      <w:pPr>
        <w:pStyle w:val="Els-body-text"/>
      </w:pPr>
      <w:r>
        <w:t xml:space="preserve">So, finally, the </w:t>
      </w:r>
      <w:proofErr w:type="spellStart"/>
      <w:r>
        <w:t>plantwide</w:t>
      </w:r>
      <w:proofErr w:type="spellEnd"/>
      <w:r>
        <w:t xml:space="preserve"> CO</w:t>
      </w:r>
      <w:r w:rsidRPr="00593217">
        <w:rPr>
          <w:vertAlign w:val="subscript"/>
        </w:rPr>
        <w:t>2</w:t>
      </w:r>
      <w:r>
        <w:t xml:space="preserve"> equivalent emissions of the biogas to methanol process </w:t>
      </w:r>
      <w:proofErr w:type="gramStart"/>
      <w:r>
        <w:t>were calculated</w:t>
      </w:r>
      <w:proofErr w:type="gramEnd"/>
      <w:r>
        <w:t xml:space="preserve"> according to the correlations provided in the same research article in order to generate</w:t>
      </w:r>
      <w:r w:rsidR="00C56584">
        <w:t xml:space="preserve"> </w:t>
      </w:r>
      <w:r w:rsidR="00E11EB2">
        <w:t xml:space="preserve">a dataset of </w:t>
      </w:r>
      <w:r w:rsidR="00C56584">
        <w:t>simulat</w:t>
      </w:r>
      <w:r w:rsidR="00E11EB2">
        <w:t>ed</w:t>
      </w:r>
      <w:r w:rsidR="00C56584">
        <w:t xml:space="preserve"> points corresponding to different methane and carbon dioxide partial flowrate points</w:t>
      </w:r>
      <w:r w:rsidR="002F3F75">
        <w:t>. These values</w:t>
      </w:r>
      <w:r w:rsidR="00C56584">
        <w:t xml:space="preserve"> </w:t>
      </w:r>
      <w:proofErr w:type="gramStart"/>
      <w:r w:rsidR="00C56584">
        <w:t xml:space="preserve">could </w:t>
      </w:r>
      <w:r w:rsidR="002F3F75">
        <w:t xml:space="preserve">then </w:t>
      </w:r>
      <w:r w:rsidR="00C56584">
        <w:t>be employed</w:t>
      </w:r>
      <w:proofErr w:type="gramEnd"/>
      <w:r w:rsidR="00C56584">
        <w:t xml:space="preserve"> in the following modeling step to build a surrogate model of the plant emissions according to the methodology </w:t>
      </w:r>
      <w:r w:rsidR="002F3F75">
        <w:t>whose details are discussed</w:t>
      </w:r>
      <w:r w:rsidR="00C56584">
        <w:t xml:space="preserve"> in the next section. </w:t>
      </w:r>
    </w:p>
    <w:p w14:paraId="0323305B" w14:textId="65482F76" w:rsidR="004C3DA6" w:rsidRPr="004C3DA6" w:rsidRDefault="008D2649" w:rsidP="004C3DA6">
      <w:pPr>
        <w:pStyle w:val="Els-1storder-head"/>
        <w:spacing w:after="120"/>
        <w:rPr>
          <w:lang w:val="en-GB"/>
        </w:rPr>
      </w:pPr>
      <w:r w:rsidRPr="00A94774">
        <w:rPr>
          <w:lang w:val="en-GB"/>
        </w:rPr>
        <w:lastRenderedPageBreak/>
        <w:t>M</w:t>
      </w:r>
      <w:r w:rsidR="00EA0537">
        <w:rPr>
          <w:lang w:val="en-GB"/>
        </w:rPr>
        <w:t>ethodology</w:t>
      </w:r>
    </w:p>
    <w:p w14:paraId="7802D3A5" w14:textId="03C7C913" w:rsidR="004C3DA6" w:rsidRDefault="004C3DA6" w:rsidP="004C3DA6">
      <w:pPr>
        <w:pStyle w:val="Els-2ndorder-head"/>
      </w:pPr>
      <w:r>
        <w:t>Data generation and sampling</w:t>
      </w:r>
    </w:p>
    <w:p w14:paraId="75BD9242" w14:textId="4EFD9E89" w:rsidR="00C42195" w:rsidRDefault="00C00109" w:rsidP="004C3DA6">
      <w:pPr>
        <w:pStyle w:val="Els-body-text"/>
      </w:pPr>
      <w:r>
        <w:t xml:space="preserve">All literature studies dealing with </w:t>
      </w:r>
      <w:proofErr w:type="spellStart"/>
      <w:r w:rsidR="009762EE">
        <w:t>metamodels</w:t>
      </w:r>
      <w:proofErr w:type="spellEnd"/>
      <w:r>
        <w:t xml:space="preserve"> agree about the fact that data sampling is the most critical step of the entire </w:t>
      </w:r>
      <w:r w:rsidR="009762EE">
        <w:t xml:space="preserve">modeling </w:t>
      </w:r>
      <w:r>
        <w:t>procedure (</w:t>
      </w:r>
      <w:r w:rsidRPr="00343A78">
        <w:t>McBride</w:t>
      </w:r>
      <w:r>
        <w:t xml:space="preserve"> &amp;</w:t>
      </w:r>
      <w:r w:rsidRPr="00343A78">
        <w:t xml:space="preserve"> </w:t>
      </w:r>
      <w:proofErr w:type="spellStart"/>
      <w:r w:rsidRPr="00343A78">
        <w:t>Sundmacher</w:t>
      </w:r>
      <w:proofErr w:type="spellEnd"/>
      <w:r w:rsidRPr="00343A78">
        <w:t>, 2019</w:t>
      </w:r>
      <w:r>
        <w:t xml:space="preserve">). The quality, the nature and the distribution of the employed dataset </w:t>
      </w:r>
      <w:r w:rsidR="009762EE">
        <w:t xml:space="preserve">indeed </w:t>
      </w:r>
      <w:r>
        <w:t xml:space="preserve">strongly affects the accuracy of the obtained model. For this reason, the data generation should follow </w:t>
      </w:r>
      <w:r w:rsidR="00AE2B01">
        <w:t>dedicated</w:t>
      </w:r>
      <w:r w:rsidR="009762EE">
        <w:t xml:space="preserve"> Design of Experiment (</w:t>
      </w:r>
      <w:r w:rsidR="00CD4626">
        <w:t xml:space="preserve">hereafter </w:t>
      </w:r>
      <w:r w:rsidR="009762EE">
        <w:t xml:space="preserve">DoE) strategies. </w:t>
      </w:r>
      <w:proofErr w:type="gramStart"/>
      <w:r w:rsidR="009762EE">
        <w:t xml:space="preserve">A preliminary DoE distinction can be made between </w:t>
      </w:r>
      <w:r w:rsidR="009762EE" w:rsidRPr="00C00109">
        <w:t xml:space="preserve">stationary and sequential </w:t>
      </w:r>
      <w:r w:rsidR="00B2622F">
        <w:t>modes: in the former case the entire dataset is generated at once and used in a single modeling step while, in the latter, the DoE and the modeling steps are reiterate</w:t>
      </w:r>
      <w:r w:rsidR="00652E3E">
        <w:t>d</w:t>
      </w:r>
      <w:r w:rsidR="00B2622F">
        <w:t xml:space="preserve"> by updating the data sampling criteria according to the model results of the previous loop</w:t>
      </w:r>
      <w:r w:rsidR="00AE2B01">
        <w:t xml:space="preserve"> with a higher computational effort</w:t>
      </w:r>
      <w:r w:rsidR="00B2622F">
        <w:t>.</w:t>
      </w:r>
      <w:proofErr w:type="gramEnd"/>
      <w:r w:rsidR="00AE2B01" w:rsidRPr="00AE2B01">
        <w:t xml:space="preserve"> </w:t>
      </w:r>
      <w:r w:rsidR="00AE2B01">
        <w:t xml:space="preserve">In this research study, the </w:t>
      </w:r>
      <w:r w:rsidR="00AE2B01" w:rsidRPr="00C00109">
        <w:t xml:space="preserve">once-through approach </w:t>
      </w:r>
      <w:r w:rsidR="00AE2B01">
        <w:t xml:space="preserve">is used with the </w:t>
      </w:r>
      <w:r w:rsidR="00AE2B01" w:rsidRPr="00C00109">
        <w:t>goal of hav</w:t>
      </w:r>
      <w:r w:rsidR="00AE2B01">
        <w:t>ing</w:t>
      </w:r>
      <w:r w:rsidR="00AE2B01" w:rsidRPr="00C00109">
        <w:t xml:space="preserve"> an optimal </w:t>
      </w:r>
      <w:proofErr w:type="gramStart"/>
      <w:r w:rsidR="00AE2B01" w:rsidRPr="00C00109">
        <w:t>space-filling</w:t>
      </w:r>
      <w:proofErr w:type="gramEnd"/>
      <w:r w:rsidR="00AE2B01" w:rsidRPr="00C00109">
        <w:t xml:space="preserve"> </w:t>
      </w:r>
      <w:r w:rsidR="00AE2B01">
        <w:t>over the modeling</w:t>
      </w:r>
      <w:r w:rsidR="00AE2B01" w:rsidRPr="00C00109">
        <w:t xml:space="preserve"> domain</w:t>
      </w:r>
      <w:r w:rsidR="00AE2B01">
        <w:t xml:space="preserve">. Several methods for the sampling generation exist such as </w:t>
      </w:r>
      <w:r w:rsidR="00AE2B01" w:rsidRPr="00C00109">
        <w:t xml:space="preserve">Monte Carlo sampling, Quasi-Monte Carlo (QMC) </w:t>
      </w:r>
      <w:proofErr w:type="spellStart"/>
      <w:r w:rsidR="00AE2B01" w:rsidRPr="00C00109">
        <w:t>Sobol</w:t>
      </w:r>
      <w:proofErr w:type="spellEnd"/>
      <w:r w:rsidR="004B0B13">
        <w:t>’</w:t>
      </w:r>
      <w:r w:rsidR="00AE2B01" w:rsidRPr="00C00109">
        <w:t xml:space="preserve"> design </w:t>
      </w:r>
      <w:r w:rsidR="00AE2B01">
        <w:t>or</w:t>
      </w:r>
      <w:r w:rsidR="009D2FC1">
        <w:t xml:space="preserve"> again</w:t>
      </w:r>
      <w:r w:rsidR="00AE2B01" w:rsidRPr="00C00109">
        <w:t xml:space="preserve"> QMC </w:t>
      </w:r>
      <w:proofErr w:type="spellStart"/>
      <w:r w:rsidR="00AE2B01" w:rsidRPr="00C00109">
        <w:t>Halton</w:t>
      </w:r>
      <w:proofErr w:type="spellEnd"/>
      <w:r w:rsidR="00AE2B01">
        <w:t xml:space="preserve">. For the biogas-to-methanol emissions modeling, the </w:t>
      </w:r>
      <w:r w:rsidR="00AE2B01" w:rsidRPr="00C00109">
        <w:t>Latin Hypercube Sampling (LHS) (McKay et al.</w:t>
      </w:r>
      <w:r w:rsidR="00AE2B01">
        <w:t>,</w:t>
      </w:r>
      <w:r w:rsidR="00AE2B01" w:rsidRPr="00C00109">
        <w:t xml:space="preserve"> 1979)</w:t>
      </w:r>
      <w:r w:rsidR="00AE2B01">
        <w:t xml:space="preserve"> </w:t>
      </w:r>
      <w:proofErr w:type="gramStart"/>
      <w:r w:rsidR="00AE2B01">
        <w:t>will be used</w:t>
      </w:r>
      <w:proofErr w:type="gramEnd"/>
      <w:r w:rsidR="00AE2B01">
        <w:t xml:space="preserve"> since it provides good space filling and no particular criticalities in the resulting function are expected.</w:t>
      </w:r>
      <w:r w:rsidR="009D2FC1">
        <w:t xml:space="preserve"> An example of the space partition according to the LHS </w:t>
      </w:r>
      <w:proofErr w:type="gramStart"/>
      <w:r w:rsidR="009D2FC1">
        <w:t>is provided</w:t>
      </w:r>
      <w:proofErr w:type="gramEnd"/>
      <w:r w:rsidR="009D2FC1">
        <w:t xml:space="preserve"> in Figure 2 (left).</w:t>
      </w:r>
    </w:p>
    <w:p w14:paraId="6A97CBD6" w14:textId="6AF590F0" w:rsidR="00C42195" w:rsidRDefault="00C42195" w:rsidP="004C3DA6">
      <w:pPr>
        <w:pStyle w:val="Els-body-text"/>
      </w:pPr>
      <w:r>
        <w:t xml:space="preserve">Finally, as concerns data acquisition, two main types of data </w:t>
      </w:r>
      <w:proofErr w:type="gramStart"/>
      <w:r>
        <w:t>are mainly exploited</w:t>
      </w:r>
      <w:proofErr w:type="gramEnd"/>
      <w:r>
        <w:t xml:space="preserve"> for surrogate modeling, namely experimental and generated ones. In this study, as already mentioned in the previous section, data </w:t>
      </w:r>
      <w:proofErr w:type="gramStart"/>
      <w:r>
        <w:t>were generated</w:t>
      </w:r>
      <w:proofErr w:type="gramEnd"/>
      <w:r>
        <w:t xml:space="preserve"> over the selected domain by means of phenomenological models implemented in the process simulation modules.</w:t>
      </w:r>
    </w:p>
    <w:p w14:paraId="07AED7DB" w14:textId="4A426224" w:rsidR="00851FF5" w:rsidRDefault="00B75A1B" w:rsidP="00851FF5">
      <w:pPr>
        <w:pStyle w:val="Els-body-text"/>
        <w:keepNext/>
        <w:spacing w:before="120"/>
        <w:jc w:val="center"/>
      </w:pPr>
      <w:r>
        <w:rPr>
          <w:noProof/>
        </w:rPr>
        <w:drawing>
          <wp:inline distT="0" distB="0" distL="0" distR="0" wp14:anchorId="5EFB4D9D" wp14:editId="36964D7A">
            <wp:extent cx="1768750" cy="1800000"/>
            <wp:effectExtent l="0" t="0" r="0" b="0"/>
            <wp:docPr id="657257215" name="Immagine 1" descr="Immagine che contiene schermata, quadrato, Rettangol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257215" name="Immagine 1" descr="Immagine che contiene schermata, quadrato, Rettangolo, design&#10;&#10;Descrizione generat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8750" cy="1800000"/>
                    </a:xfrm>
                    <a:prstGeom prst="rect">
                      <a:avLst/>
                    </a:prstGeom>
                    <a:noFill/>
                    <a:ln>
                      <a:noFill/>
                    </a:ln>
                  </pic:spPr>
                </pic:pic>
              </a:graphicData>
            </a:graphic>
          </wp:inline>
        </w:drawing>
      </w:r>
      <w:r w:rsidR="00720E1B" w:rsidRPr="00720E1B">
        <w:rPr>
          <w:color w:val="000000"/>
          <w:bdr w:val="none" w:sz="0" w:space="0" w:color="auto" w:frame="1"/>
        </w:rPr>
        <w:t xml:space="preserve"> </w:t>
      </w:r>
      <w:r w:rsidR="00720E1B">
        <w:rPr>
          <w:noProof/>
          <w:color w:val="000000"/>
          <w:bdr w:val="none" w:sz="0" w:space="0" w:color="auto" w:frame="1"/>
        </w:rPr>
        <w:drawing>
          <wp:inline distT="0" distB="0" distL="0" distR="0" wp14:anchorId="358FEA53" wp14:editId="6FBBE607">
            <wp:extent cx="2345576" cy="1764000"/>
            <wp:effectExtent l="0" t="0" r="0" b="8255"/>
            <wp:docPr id="1205370973" name="Immagine 1" descr="Immagine che contiene diagramma, Policromia, creativi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370973" name="Immagine 1" descr="Immagine che contiene diagramma, Policromia, creatività&#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5576" cy="1764000"/>
                    </a:xfrm>
                    <a:prstGeom prst="rect">
                      <a:avLst/>
                    </a:prstGeom>
                    <a:noFill/>
                    <a:ln>
                      <a:noFill/>
                    </a:ln>
                  </pic:spPr>
                </pic:pic>
              </a:graphicData>
            </a:graphic>
          </wp:inline>
        </w:drawing>
      </w:r>
      <w:r w:rsidR="00720E1B">
        <w:rPr>
          <w:noProof/>
          <w:color w:val="000000"/>
          <w:bdr w:val="none" w:sz="0" w:space="0" w:color="auto" w:frame="1"/>
        </w:rPr>
        <w:t xml:space="preserve"> </w:t>
      </w:r>
    </w:p>
    <w:p w14:paraId="599BB0D1" w14:textId="07A24085" w:rsidR="00851FF5" w:rsidRDefault="00851FF5" w:rsidP="00136B59">
      <w:pPr>
        <w:pStyle w:val="Lgende"/>
        <w:jc w:val="both"/>
      </w:pPr>
      <w:r>
        <w:t xml:space="preserve">Figure </w:t>
      </w:r>
      <w:r>
        <w:fldChar w:fldCharType="begin"/>
      </w:r>
      <w:r>
        <w:instrText xml:space="preserve"> SEQ Figure \* ARABIC </w:instrText>
      </w:r>
      <w:r>
        <w:fldChar w:fldCharType="separate"/>
      </w:r>
      <w:r>
        <w:rPr>
          <w:noProof/>
        </w:rPr>
        <w:t>2</w:t>
      </w:r>
      <w:r>
        <w:fldChar w:fldCharType="end"/>
      </w:r>
      <w:r>
        <w:t xml:space="preserve"> </w:t>
      </w:r>
      <w:r>
        <w:rPr>
          <w:lang w:val="en-GB"/>
        </w:rPr>
        <w:t>–</w:t>
      </w:r>
      <w:r w:rsidRPr="009A7C68">
        <w:rPr>
          <w:lang w:val="en-GB"/>
        </w:rPr>
        <w:t xml:space="preserve"> </w:t>
      </w:r>
      <w:r>
        <w:rPr>
          <w:lang w:val="en-GB"/>
        </w:rPr>
        <w:t>left) Example of LHS sample distribution - right) Response Surface example</w:t>
      </w:r>
    </w:p>
    <w:p w14:paraId="18109639" w14:textId="1E3C4FD8" w:rsidR="004C3DA6" w:rsidRDefault="004C3DA6" w:rsidP="004C3DA6">
      <w:pPr>
        <w:pStyle w:val="Els-2ndorder-head"/>
      </w:pPr>
      <w:r>
        <w:t>Mode</w:t>
      </w:r>
      <w:r w:rsidR="001640F5">
        <w:t>l</w:t>
      </w:r>
      <w:r>
        <w:t>ing</w:t>
      </w:r>
    </w:p>
    <w:p w14:paraId="47EC1E34" w14:textId="1F5E7601" w:rsidR="002D45DB" w:rsidRDefault="004C3DA6" w:rsidP="004C3DA6">
      <w:pPr>
        <w:pStyle w:val="Els-body-text"/>
      </w:pPr>
      <w:r>
        <w:t>T</w:t>
      </w:r>
      <w:r w:rsidR="002D45DB">
        <w:t>he modeling strategy exploited in this research study is the Response Surface Methodology</w:t>
      </w:r>
      <w:r w:rsidR="00D455F2">
        <w:t xml:space="preserve"> introduced by Box and Wilson (1951). The principle behind this approach is the use of a Response Surface</w:t>
      </w:r>
      <w:r w:rsidR="00BC3F95">
        <w:t>, usually polynomial,</w:t>
      </w:r>
      <w:r w:rsidR="00BA4E92">
        <w:t xml:space="preserve"> in </w:t>
      </w:r>
      <w:proofErr w:type="gramStart"/>
      <w:r w:rsidR="00BA4E92">
        <w:t>a</w:t>
      </w:r>
      <w:proofErr w:type="gramEnd"/>
      <w:r w:rsidR="00D455F2">
        <w:t xml:space="preserve"> n-D </w:t>
      </w:r>
      <w:r w:rsidR="00BA4E92">
        <w:t xml:space="preserve">space </w:t>
      </w:r>
      <w:r w:rsidR="00D455F2">
        <w:t>to describe the relationship between n-1 explanatory variable</w:t>
      </w:r>
      <w:r w:rsidR="00DF3D62">
        <w:t>s</w:t>
      </w:r>
      <w:r w:rsidR="00D455F2">
        <w:t xml:space="preserve"> and </w:t>
      </w:r>
      <w:r w:rsidR="00BA4E92">
        <w:t xml:space="preserve">one or more response variables. </w:t>
      </w:r>
      <w:r w:rsidR="00895B7E">
        <w:t xml:space="preserve">From a mathematical point of view, the objective function to minimize is the mismatch between the </w:t>
      </w:r>
      <w:r w:rsidR="00895B7E" w:rsidRPr="00895B7E">
        <w:rPr>
          <w:i/>
          <w:iCs/>
        </w:rPr>
        <w:t>F</w:t>
      </w:r>
      <w:r w:rsidR="00895B7E">
        <w:t xml:space="preserve"> function values corresponding to the explanatory variables </w:t>
      </w:r>
      <m:oMath>
        <m:acc>
          <m:accPr>
            <m:chr m:val="̃"/>
            <m:ctrlPr>
              <w:rPr>
                <w:rFonts w:ascii="Cambria Math" w:hAnsi="Cambria Math"/>
                <w:i/>
              </w:rPr>
            </m:ctrlPr>
          </m:accPr>
          <m:e>
            <m:r>
              <w:rPr>
                <w:rFonts w:ascii="Cambria Math" w:hAnsi="Cambria Math"/>
              </w:rPr>
              <m:t>x</m:t>
            </m:r>
          </m:e>
        </m:acc>
      </m:oMath>
      <w:r w:rsidR="00895B7E">
        <w:t xml:space="preserve"> and the dataset provided by the DoE step</w:t>
      </w:r>
      <w:r w:rsidR="0001386C">
        <w:t>. On the other hand, t</w:t>
      </w:r>
      <w:r w:rsidR="00895B7E">
        <w:t xml:space="preserve">he output variables of the optimization algorithm are the coefficients </w:t>
      </w:r>
      <w:r w:rsidR="0030709E">
        <w:rPr>
          <w:i/>
          <w:iCs/>
        </w:rPr>
        <w:t>K</w:t>
      </w:r>
      <w:r w:rsidR="0030709E" w:rsidRPr="00895B7E">
        <w:rPr>
          <w:i/>
          <w:iCs/>
          <w:vertAlign w:val="subscript"/>
        </w:rPr>
        <w:t>i</w:t>
      </w:r>
      <w:r w:rsidR="0030709E" w:rsidRPr="0030709E">
        <w:t xml:space="preserve"> and </w:t>
      </w:r>
      <w:proofErr w:type="spellStart"/>
      <w:r w:rsidR="00895B7E" w:rsidRPr="00895B7E">
        <w:rPr>
          <w:i/>
          <w:iCs/>
        </w:rPr>
        <w:t>k</w:t>
      </w:r>
      <w:r w:rsidR="00895B7E" w:rsidRPr="00895B7E">
        <w:rPr>
          <w:i/>
          <w:iCs/>
          <w:vertAlign w:val="subscript"/>
        </w:rPr>
        <w:t>i</w:t>
      </w:r>
      <w:proofErr w:type="spellEnd"/>
      <w:r w:rsidR="00895B7E">
        <w:t xml:space="preserve"> that </w:t>
      </w:r>
      <w:r w:rsidR="0030709E">
        <w:t xml:space="preserve">respectively </w:t>
      </w:r>
      <w:r w:rsidR="00895B7E">
        <w:t xml:space="preserve">multiply each term </w:t>
      </w:r>
      <w:r w:rsidR="0030709E">
        <w:t xml:space="preserve">and argument </w:t>
      </w:r>
      <w:r w:rsidR="00895B7E">
        <w:t>of the Response Surface</w:t>
      </w:r>
      <w:r w:rsidR="0001386C">
        <w:t xml:space="preserve"> </w:t>
      </w:r>
      <w:r w:rsidR="00A8059D">
        <w:t xml:space="preserve">according to the expression </w:t>
      </w:r>
      <w:r w:rsidR="0001386C">
        <w:t>reported in Equation 1.</w:t>
      </w:r>
    </w:p>
    <w:tbl>
      <w:tblPr>
        <w:tblW w:w="0" w:type="auto"/>
        <w:tblLook w:val="04A0" w:firstRow="1" w:lastRow="0" w:firstColumn="1" w:lastColumn="0" w:noHBand="0" w:noVBand="1"/>
      </w:tblPr>
      <w:tblGrid>
        <w:gridCol w:w="6121"/>
        <w:gridCol w:w="966"/>
      </w:tblGrid>
      <w:tr w:rsidR="00895B7E" w:rsidRPr="00A94774" w14:paraId="4DF89ECD" w14:textId="77777777" w:rsidTr="00AD2704">
        <w:tc>
          <w:tcPr>
            <w:tcW w:w="6317" w:type="dxa"/>
            <w:shd w:val="clear" w:color="auto" w:fill="auto"/>
            <w:vAlign w:val="center"/>
          </w:tcPr>
          <w:p w14:paraId="38C00A8D" w14:textId="7DE832A5" w:rsidR="00895B7E" w:rsidRPr="00A94774" w:rsidRDefault="00895B7E" w:rsidP="00AD2704">
            <w:pPr>
              <w:pStyle w:val="Els-body-text"/>
              <w:spacing w:before="120" w:after="120" w:line="264" w:lineRule="auto"/>
              <w:rPr>
                <w:lang w:val="en-GB"/>
              </w:rPr>
            </w:pPr>
            <m:oMathPara>
              <m:oMath>
                <m:r>
                  <w:rPr>
                    <w:rFonts w:ascii="Cambria Math" w:eastAsia="Cambria Math" w:hAnsi="Cambria Math" w:cs="Cambria Math"/>
                    <w:lang w:val="en-GB"/>
                  </w:rPr>
                  <w:lastRenderedPageBreak/>
                  <m:t>F(</m:t>
                </m:r>
                <m:acc>
                  <m:accPr>
                    <m:chr m:val="̃"/>
                    <m:ctrlPr>
                      <w:rPr>
                        <w:rFonts w:ascii="Cambria Math" w:eastAsia="Cambria Math" w:hAnsi="Cambria Math" w:cs="Cambria Math"/>
                        <w:i/>
                        <w:lang w:val="en-GB"/>
                      </w:rPr>
                    </m:ctrlPr>
                  </m:accPr>
                  <m:e>
                    <m:r>
                      <w:rPr>
                        <w:rFonts w:ascii="Cambria Math" w:eastAsia="Cambria Math" w:hAnsi="Cambria Math" w:cs="Cambria Math"/>
                        <w:lang w:val="en-GB"/>
                      </w:rPr>
                      <m:t>x</m:t>
                    </m:r>
                  </m:e>
                </m:acc>
                <m:r>
                  <w:rPr>
                    <w:rFonts w:ascii="Cambria Math" w:eastAsia="Cambria Math" w:hAnsi="Cambria Math" w:cs="Cambria Math"/>
                    <w:lang w:val="en-GB"/>
                  </w:rPr>
                  <m:t>)=</m:t>
                </m:r>
                <m:nary>
                  <m:naryPr>
                    <m:chr m:val="∑"/>
                    <m:grow m:val="1"/>
                    <m:ctrlPr>
                      <w:rPr>
                        <w:rFonts w:ascii="Cambria Math" w:hAnsi="Cambria Math"/>
                        <w:lang w:val="en-GB"/>
                      </w:rPr>
                    </m:ctrlPr>
                  </m:naryPr>
                  <m:sub>
                    <m:r>
                      <w:rPr>
                        <w:rFonts w:ascii="Cambria Math" w:eastAsia="Cambria Math" w:hAnsi="Cambria Math" w:cs="Cambria Math"/>
                        <w:lang w:val="en-GB"/>
                      </w:rPr>
                      <m:t>i=1</m:t>
                    </m:r>
                  </m:sub>
                  <m:sup>
                    <m:r>
                      <w:rPr>
                        <w:rFonts w:ascii="Cambria Math" w:eastAsia="Cambria Math" w:hAnsi="Cambria Math" w:cs="Cambria Math"/>
                        <w:lang w:val="en-GB"/>
                      </w:rPr>
                      <m:t>n</m:t>
                    </m:r>
                  </m:sup>
                  <m:e>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i</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i</m:t>
                        </m:r>
                      </m:sub>
                    </m:sSub>
                    <m:r>
                      <w:rPr>
                        <w:rFonts w:ascii="Cambria Math" w:hAnsi="Cambria Math"/>
                        <w:lang w:val="en-GB"/>
                      </w:rPr>
                      <m:t>(</m:t>
                    </m:r>
                    <m:acc>
                      <m:accPr>
                        <m:chr m:val="̃"/>
                        <m:ctrlPr>
                          <w:rPr>
                            <w:rFonts w:ascii="Cambria Math" w:hAnsi="Cambria Math"/>
                            <w:i/>
                            <w:lang w:val="en-GB"/>
                          </w:rPr>
                        </m:ctrlPr>
                      </m:accPr>
                      <m:e>
                        <m:r>
                          <w:rPr>
                            <w:rFonts w:ascii="Cambria Math" w:hAnsi="Cambria Math"/>
                            <w:lang w:val="en-GB"/>
                          </w:rPr>
                          <m:t>x</m:t>
                        </m:r>
                      </m:e>
                    </m:acc>
                    <m:r>
                      <w:rPr>
                        <w:rFonts w:ascii="Cambria Math" w:hAnsi="Cambria Math"/>
                        <w:lang w:val="en-GB"/>
                      </w:rPr>
                      <m:t>,</m:t>
                    </m:r>
                    <m:acc>
                      <m:accPr>
                        <m:chr m:val="̃"/>
                        <m:ctrlPr>
                          <w:rPr>
                            <w:rFonts w:ascii="Cambria Math" w:hAnsi="Cambria Math"/>
                            <w:i/>
                            <w:lang w:val="en-GB"/>
                          </w:rPr>
                        </m:ctrlPr>
                      </m:accPr>
                      <m:e>
                        <m:r>
                          <w:rPr>
                            <w:rFonts w:ascii="Cambria Math" w:hAnsi="Cambria Math"/>
                            <w:lang w:val="en-GB"/>
                          </w:rPr>
                          <m:t>k</m:t>
                        </m:r>
                      </m:e>
                    </m:acc>
                    <m:r>
                      <w:rPr>
                        <w:rFonts w:ascii="Cambria Math" w:hAnsi="Cambria Math"/>
                        <w:lang w:val="en-GB"/>
                      </w:rPr>
                      <m:t>)</m:t>
                    </m:r>
                  </m:e>
                </m:nary>
              </m:oMath>
            </m:oMathPara>
          </w:p>
        </w:tc>
        <w:tc>
          <w:tcPr>
            <w:tcW w:w="985" w:type="dxa"/>
            <w:shd w:val="clear" w:color="auto" w:fill="auto"/>
            <w:vAlign w:val="center"/>
          </w:tcPr>
          <w:p w14:paraId="3A619E09" w14:textId="77777777" w:rsidR="00895B7E" w:rsidRPr="00A94774" w:rsidRDefault="00895B7E" w:rsidP="00AD2704">
            <w:pPr>
              <w:pStyle w:val="Els-body-text"/>
              <w:spacing w:before="120" w:after="120" w:line="264" w:lineRule="auto"/>
              <w:jc w:val="right"/>
              <w:rPr>
                <w:lang w:val="en-GB"/>
              </w:rPr>
            </w:pPr>
            <w:r w:rsidRPr="00A94774">
              <w:rPr>
                <w:lang w:val="en-GB"/>
              </w:rPr>
              <w:t>(1)</w:t>
            </w:r>
          </w:p>
        </w:tc>
      </w:tr>
    </w:tbl>
    <w:p w14:paraId="21355B5D" w14:textId="5C45E73B" w:rsidR="00D455F2" w:rsidRDefault="00895B7E" w:rsidP="004C3DA6">
      <w:pPr>
        <w:pStyle w:val="Els-body-text"/>
      </w:pPr>
      <w:r>
        <w:t>F</w:t>
      </w:r>
      <w:r w:rsidR="00D455F2">
        <w:t>or a better understanding</w:t>
      </w:r>
      <w:r>
        <w:t>, a graphical example</w:t>
      </w:r>
      <w:r w:rsidR="00D455F2">
        <w:t xml:space="preserve"> </w:t>
      </w:r>
      <w:proofErr w:type="gramStart"/>
      <w:r w:rsidR="00D455F2">
        <w:t>is provided</w:t>
      </w:r>
      <w:proofErr w:type="gramEnd"/>
      <w:r w:rsidR="00D455F2">
        <w:t xml:space="preserve"> in Figure 2 (right).</w:t>
      </w:r>
    </w:p>
    <w:p w14:paraId="112D80CC" w14:textId="38C71207" w:rsidR="00895B7E" w:rsidRDefault="00895B7E" w:rsidP="004C3DA6">
      <w:pPr>
        <w:pStyle w:val="Els-body-text"/>
      </w:pPr>
      <w:r>
        <w:t>In this study, the optimization</w:t>
      </w:r>
      <w:r w:rsidR="0030709E">
        <w:t xml:space="preserve"> is performed </w:t>
      </w:r>
      <w:r w:rsidR="009B3B28">
        <w:t>on</w:t>
      </w:r>
      <w:r w:rsidR="0030709E">
        <w:t xml:space="preserve"> </w:t>
      </w:r>
      <w:proofErr w:type="spellStart"/>
      <w:r w:rsidR="0030709E">
        <w:t>Matlab</w:t>
      </w:r>
      <w:proofErr w:type="spellEnd"/>
      <w:r w:rsidR="00BC3F95" w:rsidRPr="00BC3F95">
        <w:rPr>
          <w:vertAlign w:val="superscript"/>
        </w:rPr>
        <w:t>®</w:t>
      </w:r>
      <w:r w:rsidR="00BC3F95">
        <w:t xml:space="preserve"> by means of the dedicated Curve Fitting Toolbox</w:t>
      </w:r>
      <w:r w:rsidR="00BC3F95" w:rsidRPr="00BC3F95">
        <w:rPr>
          <w:vertAlign w:val="superscript"/>
        </w:rPr>
        <w:t>®</w:t>
      </w:r>
      <w:r w:rsidR="00BC3F95">
        <w:t xml:space="preserve"> that allows </w:t>
      </w:r>
      <w:proofErr w:type="gramStart"/>
      <w:r w:rsidR="00BC3F95">
        <w:t>to select</w:t>
      </w:r>
      <w:proofErr w:type="gramEnd"/>
      <w:r w:rsidR="00BC3F95">
        <w:t xml:space="preserve"> among polynomial, logarithmic or statistical functions as </w:t>
      </w:r>
      <w:proofErr w:type="spellStart"/>
      <w:r w:rsidR="00BC3F95">
        <w:t>basis</w:t>
      </w:r>
      <w:proofErr w:type="spellEnd"/>
      <w:r w:rsidR="00BC3F95">
        <w:t xml:space="preserve"> functions</w:t>
      </w:r>
      <w:r w:rsidR="00045135">
        <w:t xml:space="preserve"> of the RSM</w:t>
      </w:r>
      <w:r w:rsidR="00BC3F95">
        <w:t>.</w:t>
      </w:r>
      <w:r w:rsidR="00C03DA8">
        <w:t xml:space="preserve"> </w:t>
      </w:r>
      <w:r w:rsidR="009B3B28">
        <w:t>As a result, the software provides the coefficients of each function term as well as their confidence interval</w:t>
      </w:r>
      <w:r w:rsidR="00C03DA8">
        <w:t xml:space="preserve">. </w:t>
      </w:r>
      <w:r w:rsidR="00045135">
        <w:t xml:space="preserve">Moreover, </w:t>
      </w:r>
      <w:r w:rsidR="00C03DA8">
        <w:t xml:space="preserve">the toolbox enables the comparison between the obtained surface and a validation dataset provided by the user in order to assess </w:t>
      </w:r>
      <w:r w:rsidR="009B3B28">
        <w:t>model quality</w:t>
      </w:r>
      <w:r w:rsidR="00C03DA8">
        <w:t xml:space="preserve"> </w:t>
      </w:r>
      <w:r w:rsidR="008C14F7">
        <w:t xml:space="preserve">parameters, </w:t>
      </w:r>
      <w:r w:rsidR="00D77B01">
        <w:t xml:space="preserve">e.g. </w:t>
      </w:r>
      <w:r w:rsidR="008C14F7">
        <w:t xml:space="preserve">the sum </w:t>
      </w:r>
      <w:r w:rsidR="00D77B01">
        <w:t xml:space="preserve">of </w:t>
      </w:r>
      <w:r w:rsidR="008C14F7">
        <w:t>square</w:t>
      </w:r>
      <w:r w:rsidR="00D77B01">
        <w:t>d</w:t>
      </w:r>
      <w:r w:rsidR="008C14F7">
        <w:t xml:space="preserve"> error</w:t>
      </w:r>
      <w:r w:rsidR="00D77B01">
        <w:t>s</w:t>
      </w:r>
      <w:r w:rsidR="008C14F7">
        <w:t xml:space="preserve">, while the mean relative error </w:t>
      </w:r>
      <w:proofErr w:type="gramStart"/>
      <w:r w:rsidR="008C14F7">
        <w:t>is calculated separately and used as reference indicator for this study</w:t>
      </w:r>
      <w:proofErr w:type="gramEnd"/>
      <w:r w:rsidR="008C14F7">
        <w:t>.</w:t>
      </w:r>
    </w:p>
    <w:p w14:paraId="7BFAF00A" w14:textId="2A9A8F01" w:rsidR="004C3DA6" w:rsidRDefault="009B3B28" w:rsidP="004C3DA6">
      <w:pPr>
        <w:pStyle w:val="Els-body-text"/>
      </w:pPr>
      <w:r>
        <w:t xml:space="preserve">The detailed results for the biogas-to-methanol plant emissions over the selected domain </w:t>
      </w:r>
      <w:proofErr w:type="gramStart"/>
      <w:r>
        <w:t>are presented</w:t>
      </w:r>
      <w:proofErr w:type="gramEnd"/>
      <w:r>
        <w:t xml:space="preserve"> in the next section for different sample size</w:t>
      </w:r>
      <w:r w:rsidR="006F3F2B">
        <w:t>s</w:t>
      </w:r>
      <w:r>
        <w:t>.</w:t>
      </w:r>
    </w:p>
    <w:p w14:paraId="144DE6A5" w14:textId="1B91F9AD" w:rsidR="008D2649" w:rsidRPr="00A94774" w:rsidRDefault="004A0B86" w:rsidP="008D2649">
      <w:pPr>
        <w:pStyle w:val="Els-1storder-head"/>
        <w:spacing w:after="120"/>
        <w:rPr>
          <w:lang w:val="en-GB"/>
        </w:rPr>
      </w:pPr>
      <w:r>
        <w:rPr>
          <w:lang w:val="en-GB"/>
        </w:rPr>
        <w:t>Results</w:t>
      </w:r>
    </w:p>
    <w:p w14:paraId="3D7D9AD6" w14:textId="37E217FF" w:rsidR="004A0B86" w:rsidRDefault="00742B12" w:rsidP="004A0B86">
      <w:pPr>
        <w:pStyle w:val="Els-body-text"/>
      </w:pPr>
      <w:r>
        <w:t xml:space="preserve">The procedure </w:t>
      </w:r>
      <w:proofErr w:type="gramStart"/>
      <w:r w:rsidR="00DE6DEA">
        <w:t>was</w:t>
      </w:r>
      <w:r>
        <w:t xml:space="preserve"> tested</w:t>
      </w:r>
      <w:proofErr w:type="gramEnd"/>
      <w:r>
        <w:t xml:space="preserve"> </w:t>
      </w:r>
      <w:r w:rsidR="00DE6DEA">
        <w:t>for a</w:t>
      </w:r>
      <w:r>
        <w:t xml:space="preserve"> variable sample size in order to assess the impact of the dataset dimension on the result</w:t>
      </w:r>
      <w:r w:rsidR="00DE6DEA">
        <w:t>s</w:t>
      </w:r>
      <w:r>
        <w:t xml:space="preserve"> quality. </w:t>
      </w:r>
      <w:r w:rsidR="00C52918">
        <w:t>Figure 3</w:t>
      </w:r>
      <w:r w:rsidR="00564885">
        <w:t xml:space="preserve"> (left) </w:t>
      </w:r>
      <w:r w:rsidR="00C52918">
        <w:t xml:space="preserve">shows the comparison between the obtained </w:t>
      </w:r>
      <w:r>
        <w:t xml:space="preserve">data-driven </w:t>
      </w:r>
      <w:r w:rsidR="00C52918">
        <w:t>model and the simulation points</w:t>
      </w:r>
      <w:r w:rsidR="00F65F0C">
        <w:t xml:space="preserve"> for CO</w:t>
      </w:r>
      <w:r w:rsidR="00F65F0C" w:rsidRPr="00F65F0C">
        <w:rPr>
          <w:vertAlign w:val="subscript"/>
        </w:rPr>
        <w:t>2</w:t>
      </w:r>
      <w:r w:rsidR="00F65F0C">
        <w:t xml:space="preserve"> and methane partial flowrate variations in the feed</w:t>
      </w:r>
      <w:r w:rsidR="00564885">
        <w:t xml:space="preserve">. In particular, in order to allow the distinction between the </w:t>
      </w:r>
      <w:r w:rsidR="002F3F75">
        <w:t xml:space="preserve">Response Surface </w:t>
      </w:r>
      <w:r w:rsidR="00564885">
        <w:t>and the validation data (green surface), the plot reports the outcome that does not correspond to the highest obtained accuracy (i.e. only 10 samples)</w:t>
      </w:r>
      <w:r w:rsidR="00F65F0C">
        <w:t>.</w:t>
      </w:r>
      <w:r w:rsidR="00C52918">
        <w:t xml:space="preserve"> </w:t>
      </w:r>
      <w:r>
        <w:t>In fact, a</w:t>
      </w:r>
      <w:r w:rsidR="00F65F0C">
        <w:t>ccording to the curve fitter optimizer, t</w:t>
      </w:r>
      <w:r w:rsidR="00C52918">
        <w:t xml:space="preserve">he best option for </w:t>
      </w:r>
      <w:r w:rsidR="002F3F75">
        <w:t xml:space="preserve">the </w:t>
      </w:r>
      <w:r w:rsidR="00C52918">
        <w:t>approximat</w:t>
      </w:r>
      <w:r w:rsidR="002F3F75">
        <w:t xml:space="preserve">ion of </w:t>
      </w:r>
      <w:r w:rsidR="00C52918">
        <w:t xml:space="preserve">the biogas-to-methanol plant emissions </w:t>
      </w:r>
      <w:r>
        <w:t xml:space="preserve">for any sample with 50 points or more </w:t>
      </w:r>
      <w:r w:rsidR="00C52918">
        <w:t xml:space="preserve">resulted to be </w:t>
      </w:r>
      <w:r w:rsidR="00C52918" w:rsidRPr="004714AD">
        <w:t>a 5th grad</w:t>
      </w:r>
      <w:bookmarkStart w:id="0" w:name="_GoBack"/>
      <w:bookmarkEnd w:id="0"/>
      <w:r w:rsidR="00C52918" w:rsidRPr="004714AD">
        <w:t>e polynomial</w:t>
      </w:r>
      <w:r w:rsidR="00C52918">
        <w:t xml:space="preserve"> function expressed as:</w:t>
      </w:r>
    </w:p>
    <w:tbl>
      <w:tblPr>
        <w:tblW w:w="0" w:type="auto"/>
        <w:tblLook w:val="04A0" w:firstRow="1" w:lastRow="0" w:firstColumn="1" w:lastColumn="0" w:noHBand="0" w:noVBand="1"/>
      </w:tblPr>
      <w:tblGrid>
        <w:gridCol w:w="6122"/>
        <w:gridCol w:w="965"/>
      </w:tblGrid>
      <w:tr w:rsidR="00F00276" w:rsidRPr="00A94774" w14:paraId="43F74B91" w14:textId="77777777" w:rsidTr="005D3FB7">
        <w:tc>
          <w:tcPr>
            <w:tcW w:w="6317" w:type="dxa"/>
            <w:shd w:val="clear" w:color="auto" w:fill="auto"/>
            <w:vAlign w:val="center"/>
          </w:tcPr>
          <w:p w14:paraId="61A2AA51" w14:textId="105BC52E" w:rsidR="00F00276" w:rsidRPr="00A94774" w:rsidRDefault="004714AD" w:rsidP="005D3FB7">
            <w:pPr>
              <w:pStyle w:val="Els-body-text"/>
              <w:spacing w:before="120" w:after="120" w:line="264" w:lineRule="auto"/>
              <w:rPr>
                <w:lang w:val="en-GB"/>
              </w:rPr>
            </w:pPr>
            <m:oMathPara>
              <m:oMath>
                <m:r>
                  <w:rPr>
                    <w:rFonts w:ascii="Cambria Math" w:eastAsia="Cambria Math" w:hAnsi="Cambria Math" w:cs="Cambria Math"/>
                    <w:lang w:val="en-GB"/>
                  </w:rPr>
                  <m:t>RS</m:t>
                </m:r>
                <m:d>
                  <m:dPr>
                    <m:ctrlPr>
                      <w:rPr>
                        <w:rFonts w:ascii="Cambria Math" w:eastAsia="Cambria Math" w:hAnsi="Cambria Math" w:cs="Cambria Math"/>
                        <w:i/>
                        <w:lang w:val="en-GB"/>
                      </w:rPr>
                    </m:ctrlPr>
                  </m:dPr>
                  <m:e>
                    <m:sSub>
                      <m:sSubPr>
                        <m:ctrlPr>
                          <w:rPr>
                            <w:rFonts w:ascii="Cambria Math" w:eastAsia="Cambria Math" w:hAnsi="Cambria Math" w:cs="Cambria Math"/>
                            <w:i/>
                            <w:lang w:val="en-GB"/>
                          </w:rPr>
                        </m:ctrlPr>
                      </m:sSubPr>
                      <m:e>
                        <m:r>
                          <w:rPr>
                            <w:rFonts w:ascii="Cambria Math" w:eastAsia="Cambria Math" w:hAnsi="Cambria Math" w:cs="Cambria Math"/>
                            <w:lang w:val="en-GB"/>
                          </w:rPr>
                          <m:t>X</m:t>
                        </m:r>
                      </m:e>
                      <m:sub>
                        <m:r>
                          <w:rPr>
                            <w:rFonts w:ascii="Cambria Math" w:eastAsia="Cambria Math" w:hAnsi="Cambria Math" w:cs="Cambria Math"/>
                            <w:lang w:val="en-GB"/>
                          </w:rPr>
                          <m:t>1</m:t>
                        </m:r>
                      </m:sub>
                    </m:sSub>
                    <m:r>
                      <w:rPr>
                        <w:rFonts w:ascii="Cambria Math" w:eastAsia="Cambria Math" w:hAnsi="Cambria Math" w:cs="Cambria Math"/>
                        <w:lang w:val="en-GB"/>
                      </w:rPr>
                      <m:t>,</m:t>
                    </m:r>
                    <m:sSub>
                      <m:sSubPr>
                        <m:ctrlPr>
                          <w:rPr>
                            <w:rFonts w:ascii="Cambria Math" w:eastAsia="Cambria Math" w:hAnsi="Cambria Math" w:cs="Cambria Math"/>
                            <w:i/>
                            <w:lang w:val="en-GB"/>
                          </w:rPr>
                        </m:ctrlPr>
                      </m:sSubPr>
                      <m:e>
                        <m:r>
                          <w:rPr>
                            <w:rFonts w:ascii="Cambria Math" w:eastAsia="Cambria Math" w:hAnsi="Cambria Math" w:cs="Cambria Math"/>
                            <w:lang w:val="en-GB"/>
                          </w:rPr>
                          <m:t>X</m:t>
                        </m:r>
                      </m:e>
                      <m:sub>
                        <m:r>
                          <w:rPr>
                            <w:rFonts w:ascii="Cambria Math" w:eastAsia="Cambria Math" w:hAnsi="Cambria Math" w:cs="Cambria Math"/>
                            <w:lang w:val="en-GB"/>
                          </w:rPr>
                          <m:t>2</m:t>
                        </m:r>
                      </m:sub>
                    </m:sSub>
                  </m:e>
                </m:d>
                <m:r>
                  <w:rPr>
                    <w:rFonts w:ascii="Cambria Math" w:eastAsia="Cambria Math" w:hAnsi="Cambria Math" w:cs="Cambria Math"/>
                    <w:lang w:val="en-GB"/>
                  </w:rPr>
                  <m:t>=</m:t>
                </m:r>
                <m:sSub>
                  <m:sSubPr>
                    <m:ctrlPr>
                      <w:rPr>
                        <w:rFonts w:ascii="Cambria Math" w:eastAsia="Cambria Math" w:hAnsi="Cambria Math" w:cs="Cambria Math"/>
                        <w:i/>
                        <w:lang w:val="en-GB"/>
                      </w:rPr>
                    </m:ctrlPr>
                  </m:sSubPr>
                  <m:e>
                    <m:r>
                      <w:rPr>
                        <w:rFonts w:ascii="Cambria Math" w:eastAsia="Cambria Math" w:hAnsi="Cambria Math" w:cs="Cambria Math"/>
                        <w:lang w:val="en-GB"/>
                      </w:rPr>
                      <m:t>k</m:t>
                    </m:r>
                  </m:e>
                  <m:sub>
                    <m:r>
                      <w:rPr>
                        <w:rFonts w:ascii="Cambria Math" w:eastAsia="Cambria Math" w:hAnsi="Cambria Math" w:cs="Cambria Math"/>
                        <w:lang w:val="en-GB"/>
                      </w:rPr>
                      <m:t>1</m:t>
                    </m:r>
                  </m:sub>
                </m:sSub>
                <m:r>
                  <w:rPr>
                    <w:rFonts w:ascii="Cambria Math" w:eastAsia="Cambria Math" w:hAnsi="Cambria Math" w:cs="Cambria Math"/>
                    <w:lang w:val="en-GB"/>
                  </w:rPr>
                  <m:t>+</m:t>
                </m:r>
                <m:sSub>
                  <m:sSubPr>
                    <m:ctrlPr>
                      <w:rPr>
                        <w:rFonts w:ascii="Cambria Math" w:eastAsia="Cambria Math" w:hAnsi="Cambria Math" w:cs="Cambria Math"/>
                        <w:i/>
                        <w:lang w:val="en-GB"/>
                      </w:rPr>
                    </m:ctrlPr>
                  </m:sSubPr>
                  <m:e>
                    <m:r>
                      <w:rPr>
                        <w:rFonts w:ascii="Cambria Math" w:eastAsia="Cambria Math" w:hAnsi="Cambria Math" w:cs="Cambria Math"/>
                        <w:lang w:val="en-GB"/>
                      </w:rPr>
                      <m:t>k</m:t>
                    </m:r>
                  </m:e>
                  <m:sub>
                    <m:r>
                      <w:rPr>
                        <w:rFonts w:ascii="Cambria Math" w:eastAsia="Cambria Math" w:hAnsi="Cambria Math" w:cs="Cambria Math"/>
                        <w:lang w:val="en-GB"/>
                      </w:rPr>
                      <m:t>2</m:t>
                    </m:r>
                  </m:sub>
                </m:sSub>
                <m:r>
                  <w:rPr>
                    <w:rFonts w:ascii="Cambria Math" w:eastAsia="Cambria Math" w:hAnsi="Cambria Math" w:cs="Cambria Math"/>
                    <w:lang w:val="en-GB"/>
                  </w:rPr>
                  <m:t>⋅</m:t>
                </m:r>
                <m:sSub>
                  <m:sSubPr>
                    <m:ctrlPr>
                      <w:rPr>
                        <w:rFonts w:ascii="Cambria Math" w:eastAsia="Cambria Math" w:hAnsi="Cambria Math" w:cs="Cambria Math"/>
                        <w:i/>
                        <w:lang w:val="en-GB"/>
                      </w:rPr>
                    </m:ctrlPr>
                  </m:sSubPr>
                  <m:e>
                    <m:r>
                      <w:rPr>
                        <w:rFonts w:ascii="Cambria Math" w:eastAsia="Cambria Math" w:hAnsi="Cambria Math" w:cs="Cambria Math"/>
                        <w:lang w:val="en-GB"/>
                      </w:rPr>
                      <m:t>X</m:t>
                    </m:r>
                  </m:e>
                  <m:sub>
                    <m:r>
                      <w:rPr>
                        <w:rFonts w:ascii="Cambria Math" w:eastAsia="Cambria Math" w:hAnsi="Cambria Math" w:cs="Cambria Math"/>
                        <w:lang w:val="en-GB"/>
                      </w:rPr>
                      <m:t>1</m:t>
                    </m:r>
                  </m:sub>
                </m:sSub>
                <m:r>
                  <w:rPr>
                    <w:rFonts w:ascii="Cambria Math" w:eastAsia="Cambria Math" w:hAnsi="Cambria Math" w:cs="Cambria Math"/>
                    <w:lang w:val="en-GB"/>
                  </w:rPr>
                  <m:t>+</m:t>
                </m:r>
                <m:sSub>
                  <m:sSubPr>
                    <m:ctrlPr>
                      <w:rPr>
                        <w:rFonts w:ascii="Cambria Math" w:eastAsia="Cambria Math" w:hAnsi="Cambria Math" w:cs="Cambria Math"/>
                        <w:i/>
                        <w:lang w:val="en-GB"/>
                      </w:rPr>
                    </m:ctrlPr>
                  </m:sSubPr>
                  <m:e>
                    <m:r>
                      <w:rPr>
                        <w:rFonts w:ascii="Cambria Math" w:eastAsia="Cambria Math" w:hAnsi="Cambria Math" w:cs="Cambria Math"/>
                        <w:lang w:val="en-GB"/>
                      </w:rPr>
                      <m:t>k</m:t>
                    </m:r>
                  </m:e>
                  <m:sub>
                    <m:r>
                      <w:rPr>
                        <w:rFonts w:ascii="Cambria Math" w:eastAsia="Cambria Math" w:hAnsi="Cambria Math" w:cs="Cambria Math"/>
                        <w:lang w:val="en-GB"/>
                      </w:rPr>
                      <m:t>3</m:t>
                    </m:r>
                  </m:sub>
                </m:sSub>
                <m:r>
                  <w:rPr>
                    <w:rFonts w:ascii="Cambria Math" w:eastAsia="Cambria Math" w:hAnsi="Cambria Math" w:cs="Cambria Math"/>
                    <w:lang w:val="en-GB"/>
                  </w:rPr>
                  <m:t>⋅</m:t>
                </m:r>
                <m:sSub>
                  <m:sSubPr>
                    <m:ctrlPr>
                      <w:rPr>
                        <w:rFonts w:ascii="Cambria Math" w:eastAsia="Cambria Math" w:hAnsi="Cambria Math" w:cs="Cambria Math"/>
                        <w:i/>
                        <w:lang w:val="en-GB"/>
                      </w:rPr>
                    </m:ctrlPr>
                  </m:sSubPr>
                  <m:e>
                    <m:r>
                      <w:rPr>
                        <w:rFonts w:ascii="Cambria Math" w:eastAsia="Cambria Math" w:hAnsi="Cambria Math" w:cs="Cambria Math"/>
                        <w:lang w:val="en-GB"/>
                      </w:rPr>
                      <m:t>X</m:t>
                    </m:r>
                  </m:e>
                  <m:sub>
                    <m:r>
                      <w:rPr>
                        <w:rFonts w:ascii="Cambria Math" w:eastAsia="Cambria Math" w:hAnsi="Cambria Math" w:cs="Cambria Math"/>
                        <w:lang w:val="en-GB"/>
                      </w:rPr>
                      <m:t>2</m:t>
                    </m:r>
                  </m:sub>
                </m:sSub>
                <m:r>
                  <w:rPr>
                    <w:rFonts w:ascii="Cambria Math" w:eastAsia="Cambria Math" w:hAnsi="Cambria Math" w:cs="Cambria Math"/>
                    <w:lang w:val="en-GB"/>
                  </w:rPr>
                  <m:t>+</m:t>
                </m:r>
                <m:sSub>
                  <m:sSubPr>
                    <m:ctrlPr>
                      <w:rPr>
                        <w:rFonts w:ascii="Cambria Math" w:eastAsia="Cambria Math" w:hAnsi="Cambria Math" w:cs="Cambria Math"/>
                        <w:i/>
                        <w:lang w:val="en-GB"/>
                      </w:rPr>
                    </m:ctrlPr>
                  </m:sSubPr>
                  <m:e>
                    <m:r>
                      <w:rPr>
                        <w:rFonts w:ascii="Cambria Math" w:eastAsia="Cambria Math" w:hAnsi="Cambria Math" w:cs="Cambria Math"/>
                        <w:lang w:val="en-GB"/>
                      </w:rPr>
                      <m:t>k</m:t>
                    </m:r>
                  </m:e>
                  <m:sub>
                    <m:r>
                      <w:rPr>
                        <w:rFonts w:ascii="Cambria Math" w:eastAsia="Cambria Math" w:hAnsi="Cambria Math" w:cs="Cambria Math"/>
                        <w:lang w:val="en-GB"/>
                      </w:rPr>
                      <m:t>4</m:t>
                    </m:r>
                  </m:sub>
                </m:sSub>
                <m:r>
                  <w:rPr>
                    <w:rFonts w:ascii="Cambria Math" w:eastAsia="Cambria Math" w:hAnsi="Cambria Math" w:cs="Cambria Math"/>
                    <w:lang w:val="en-GB"/>
                  </w:rPr>
                  <m:t>⋅</m:t>
                </m:r>
                <m:sSub>
                  <m:sSubPr>
                    <m:ctrlPr>
                      <w:rPr>
                        <w:rFonts w:ascii="Cambria Math" w:eastAsia="Cambria Math" w:hAnsi="Cambria Math" w:cs="Cambria Math"/>
                        <w:i/>
                        <w:lang w:val="en-GB"/>
                      </w:rPr>
                    </m:ctrlPr>
                  </m:sSubPr>
                  <m:e>
                    <m:r>
                      <w:rPr>
                        <w:rFonts w:ascii="Cambria Math" w:eastAsia="Cambria Math" w:hAnsi="Cambria Math" w:cs="Cambria Math"/>
                        <w:lang w:val="en-GB"/>
                      </w:rPr>
                      <m:t>X</m:t>
                    </m:r>
                  </m:e>
                  <m:sub>
                    <m:r>
                      <w:rPr>
                        <w:rFonts w:ascii="Cambria Math" w:eastAsia="Cambria Math" w:hAnsi="Cambria Math" w:cs="Cambria Math"/>
                        <w:lang w:val="en-GB"/>
                      </w:rPr>
                      <m:t>1</m:t>
                    </m:r>
                  </m:sub>
                </m:sSub>
                <m:r>
                  <w:rPr>
                    <w:rFonts w:ascii="Cambria Math" w:eastAsia="Cambria Math" w:hAnsi="Cambria Math" w:cs="Cambria Math"/>
                    <w:lang w:val="en-GB"/>
                  </w:rPr>
                  <m:t>⋅</m:t>
                </m:r>
                <m:sSub>
                  <m:sSubPr>
                    <m:ctrlPr>
                      <w:rPr>
                        <w:rFonts w:ascii="Cambria Math" w:eastAsia="Cambria Math" w:hAnsi="Cambria Math" w:cs="Cambria Math"/>
                        <w:i/>
                        <w:lang w:val="en-GB"/>
                      </w:rPr>
                    </m:ctrlPr>
                  </m:sSubPr>
                  <m:e>
                    <m:r>
                      <w:rPr>
                        <w:rFonts w:ascii="Cambria Math" w:eastAsia="Cambria Math" w:hAnsi="Cambria Math" w:cs="Cambria Math"/>
                        <w:lang w:val="en-GB"/>
                      </w:rPr>
                      <m:t>X</m:t>
                    </m:r>
                  </m:e>
                  <m:sub>
                    <m:r>
                      <w:rPr>
                        <w:rFonts w:ascii="Cambria Math" w:eastAsia="Cambria Math" w:hAnsi="Cambria Math" w:cs="Cambria Math"/>
                        <w:lang w:val="en-GB"/>
                      </w:rPr>
                      <m:t>2</m:t>
                    </m:r>
                  </m:sub>
                </m:sSub>
                <m:r>
                  <w:rPr>
                    <w:rFonts w:ascii="Cambria Math" w:eastAsia="Cambria Math" w:hAnsi="Cambria Math" w:cs="Cambria Math"/>
                    <w:lang w:val="en-GB"/>
                  </w:rPr>
                  <m:t>+</m:t>
                </m:r>
                <m:sSub>
                  <m:sSubPr>
                    <m:ctrlPr>
                      <w:rPr>
                        <w:rFonts w:ascii="Cambria Math" w:eastAsia="Cambria Math" w:hAnsi="Cambria Math" w:cs="Cambria Math"/>
                        <w:i/>
                        <w:lang w:val="en-GB"/>
                      </w:rPr>
                    </m:ctrlPr>
                  </m:sSubPr>
                  <m:e>
                    <m:r>
                      <w:rPr>
                        <w:rFonts w:ascii="Cambria Math" w:eastAsia="Cambria Math" w:hAnsi="Cambria Math" w:cs="Cambria Math"/>
                        <w:lang w:val="en-GB"/>
                      </w:rPr>
                      <m:t>k</m:t>
                    </m:r>
                  </m:e>
                  <m:sub>
                    <m:r>
                      <w:rPr>
                        <w:rFonts w:ascii="Cambria Math" w:eastAsia="Cambria Math" w:hAnsi="Cambria Math" w:cs="Cambria Math"/>
                        <w:lang w:val="en-GB"/>
                      </w:rPr>
                      <m:t>5</m:t>
                    </m:r>
                  </m:sub>
                </m:sSub>
                <m:r>
                  <w:rPr>
                    <w:rFonts w:ascii="Cambria Math" w:eastAsia="Cambria Math" w:hAnsi="Cambria Math" w:cs="Cambria Math"/>
                    <w:lang w:val="en-GB"/>
                  </w:rPr>
                  <m:t>⋅</m:t>
                </m:r>
                <m:sSubSup>
                  <m:sSubSupPr>
                    <m:ctrlPr>
                      <w:rPr>
                        <w:rFonts w:ascii="Cambria Math" w:eastAsia="Cambria Math" w:hAnsi="Cambria Math" w:cs="Cambria Math"/>
                        <w:i/>
                        <w:lang w:val="en-GB"/>
                      </w:rPr>
                    </m:ctrlPr>
                  </m:sSubSupPr>
                  <m:e>
                    <m:r>
                      <w:rPr>
                        <w:rFonts w:ascii="Cambria Math" w:eastAsia="Cambria Math" w:hAnsi="Cambria Math" w:cs="Cambria Math"/>
                        <w:lang w:val="en-GB"/>
                      </w:rPr>
                      <m:t>X</m:t>
                    </m:r>
                  </m:e>
                  <m:sub>
                    <m:r>
                      <w:rPr>
                        <w:rFonts w:ascii="Cambria Math" w:eastAsia="Cambria Math" w:hAnsi="Cambria Math" w:cs="Cambria Math"/>
                        <w:lang w:val="en-GB"/>
                      </w:rPr>
                      <m:t>1</m:t>
                    </m:r>
                  </m:sub>
                  <m:sup>
                    <m:r>
                      <w:rPr>
                        <w:rFonts w:ascii="Cambria Math" w:eastAsia="Cambria Math" w:hAnsi="Cambria Math" w:cs="Cambria Math"/>
                        <w:lang w:val="en-GB"/>
                      </w:rPr>
                      <m:t>2</m:t>
                    </m:r>
                  </m:sup>
                </m:sSubSup>
                <m:r>
                  <w:rPr>
                    <w:rFonts w:ascii="Cambria Math" w:eastAsia="Cambria Math" w:hAnsi="Cambria Math" w:cs="Cambria Math"/>
                    <w:lang w:val="en-GB"/>
                  </w:rPr>
                  <m:t xml:space="preserve"> + </m:t>
                </m:r>
                <m:sSub>
                  <m:sSubPr>
                    <m:ctrlPr>
                      <w:rPr>
                        <w:rFonts w:ascii="Cambria Math" w:eastAsia="Cambria Math" w:hAnsi="Cambria Math" w:cs="Cambria Math"/>
                        <w:i/>
                        <w:lang w:val="en-GB"/>
                      </w:rPr>
                    </m:ctrlPr>
                  </m:sSubPr>
                  <m:e>
                    <m:r>
                      <w:rPr>
                        <w:rFonts w:ascii="Cambria Math" w:eastAsia="Cambria Math" w:hAnsi="Cambria Math" w:cs="Cambria Math"/>
                        <w:lang w:val="en-GB"/>
                      </w:rPr>
                      <m:t>k</m:t>
                    </m:r>
                  </m:e>
                  <m:sub>
                    <m:r>
                      <w:rPr>
                        <w:rFonts w:ascii="Cambria Math" w:eastAsia="Cambria Math" w:hAnsi="Cambria Math" w:cs="Cambria Math"/>
                        <w:lang w:val="en-GB"/>
                      </w:rPr>
                      <m:t>6</m:t>
                    </m:r>
                  </m:sub>
                </m:sSub>
                <m:r>
                  <w:rPr>
                    <w:rFonts w:ascii="Cambria Math" w:eastAsia="Cambria Math" w:hAnsi="Cambria Math" w:cs="Cambria Math"/>
                    <w:lang w:val="en-GB"/>
                  </w:rPr>
                  <m:t>⋅</m:t>
                </m:r>
                <m:sSubSup>
                  <m:sSubSupPr>
                    <m:ctrlPr>
                      <w:rPr>
                        <w:rFonts w:ascii="Cambria Math" w:eastAsia="Cambria Math" w:hAnsi="Cambria Math" w:cs="Cambria Math"/>
                        <w:i/>
                        <w:lang w:val="en-GB"/>
                      </w:rPr>
                    </m:ctrlPr>
                  </m:sSubSupPr>
                  <m:e>
                    <m:r>
                      <w:rPr>
                        <w:rFonts w:ascii="Cambria Math" w:eastAsia="Cambria Math" w:hAnsi="Cambria Math" w:cs="Cambria Math"/>
                        <w:lang w:val="en-GB"/>
                      </w:rPr>
                      <m:t>X</m:t>
                    </m:r>
                  </m:e>
                  <m:sub>
                    <m:r>
                      <w:rPr>
                        <w:rFonts w:ascii="Cambria Math" w:eastAsia="Cambria Math" w:hAnsi="Cambria Math" w:cs="Cambria Math"/>
                        <w:lang w:val="en-GB"/>
                      </w:rPr>
                      <m:t>2</m:t>
                    </m:r>
                  </m:sub>
                  <m:sup>
                    <m:r>
                      <w:rPr>
                        <w:rFonts w:ascii="Cambria Math" w:eastAsia="Cambria Math" w:hAnsi="Cambria Math" w:cs="Cambria Math"/>
                        <w:lang w:val="en-GB"/>
                      </w:rPr>
                      <m:t>2</m:t>
                    </m:r>
                  </m:sup>
                </m:sSubSup>
                <m:r>
                  <w:rPr>
                    <w:rFonts w:ascii="Cambria Math" w:eastAsia="Cambria Math" w:hAnsi="Cambria Math" w:cs="Cambria Math"/>
                    <w:lang w:val="en-GB"/>
                  </w:rPr>
                  <m:t>+</m:t>
                </m:r>
                <m:sSub>
                  <m:sSubPr>
                    <m:ctrlPr>
                      <w:rPr>
                        <w:rFonts w:ascii="Cambria Math" w:eastAsia="Cambria Math" w:hAnsi="Cambria Math" w:cs="Cambria Math"/>
                        <w:i/>
                        <w:lang w:val="en-GB"/>
                      </w:rPr>
                    </m:ctrlPr>
                  </m:sSubPr>
                  <m:e>
                    <m:r>
                      <w:rPr>
                        <w:rFonts w:ascii="Cambria Math" w:eastAsia="Cambria Math" w:hAnsi="Cambria Math" w:cs="Cambria Math"/>
                        <w:lang w:val="en-GB"/>
                      </w:rPr>
                      <m:t>k</m:t>
                    </m:r>
                  </m:e>
                  <m:sub>
                    <m:r>
                      <w:rPr>
                        <w:rFonts w:ascii="Cambria Math" w:eastAsia="Cambria Math" w:hAnsi="Cambria Math" w:cs="Cambria Math"/>
                        <w:lang w:val="en-GB"/>
                      </w:rPr>
                      <m:t>7</m:t>
                    </m:r>
                  </m:sub>
                </m:sSub>
                <m:r>
                  <w:rPr>
                    <w:rFonts w:ascii="Cambria Math" w:eastAsia="Cambria Math" w:hAnsi="Cambria Math" w:cs="Cambria Math"/>
                    <w:lang w:val="en-GB"/>
                  </w:rPr>
                  <m:t>⋅</m:t>
                </m:r>
                <m:sSubSup>
                  <m:sSubSupPr>
                    <m:ctrlPr>
                      <w:rPr>
                        <w:rFonts w:ascii="Cambria Math" w:eastAsia="Cambria Math" w:hAnsi="Cambria Math" w:cs="Cambria Math"/>
                        <w:i/>
                        <w:lang w:val="en-GB"/>
                      </w:rPr>
                    </m:ctrlPr>
                  </m:sSubSupPr>
                  <m:e>
                    <m:r>
                      <w:rPr>
                        <w:rFonts w:ascii="Cambria Math" w:eastAsia="Cambria Math" w:hAnsi="Cambria Math" w:cs="Cambria Math"/>
                        <w:lang w:val="en-GB"/>
                      </w:rPr>
                      <m:t>X</m:t>
                    </m:r>
                  </m:e>
                  <m:sub>
                    <m:r>
                      <w:rPr>
                        <w:rFonts w:ascii="Cambria Math" w:eastAsia="Cambria Math" w:hAnsi="Cambria Math" w:cs="Cambria Math"/>
                        <w:lang w:val="en-GB"/>
                      </w:rPr>
                      <m:t>1</m:t>
                    </m:r>
                  </m:sub>
                  <m:sup>
                    <m:r>
                      <w:rPr>
                        <w:rFonts w:ascii="Cambria Math" w:eastAsia="Cambria Math" w:hAnsi="Cambria Math" w:cs="Cambria Math"/>
                        <w:lang w:val="en-GB"/>
                      </w:rPr>
                      <m:t>3</m:t>
                    </m:r>
                  </m:sup>
                </m:sSubSup>
                <m:r>
                  <w:rPr>
                    <w:rFonts w:ascii="Cambria Math" w:eastAsia="Cambria Math" w:hAnsi="Cambria Math" w:cs="Cambria Math"/>
                    <w:lang w:val="en-GB"/>
                  </w:rPr>
                  <m:t>+</m:t>
                </m:r>
                <m:sSub>
                  <m:sSubPr>
                    <m:ctrlPr>
                      <w:rPr>
                        <w:rFonts w:ascii="Cambria Math" w:eastAsia="Cambria Math" w:hAnsi="Cambria Math" w:cs="Cambria Math"/>
                        <w:i/>
                        <w:lang w:val="en-GB"/>
                      </w:rPr>
                    </m:ctrlPr>
                  </m:sSubPr>
                  <m:e>
                    <m:r>
                      <w:rPr>
                        <w:rFonts w:ascii="Cambria Math" w:eastAsia="Cambria Math" w:hAnsi="Cambria Math" w:cs="Cambria Math"/>
                        <w:lang w:val="en-GB"/>
                      </w:rPr>
                      <m:t>k</m:t>
                    </m:r>
                  </m:e>
                  <m:sub>
                    <m:r>
                      <w:rPr>
                        <w:rFonts w:ascii="Cambria Math" w:eastAsia="Cambria Math" w:hAnsi="Cambria Math" w:cs="Cambria Math"/>
                        <w:lang w:val="en-GB"/>
                      </w:rPr>
                      <m:t>8</m:t>
                    </m:r>
                  </m:sub>
                </m:sSub>
                <m:r>
                  <w:rPr>
                    <w:rFonts w:ascii="Cambria Math" w:eastAsia="Cambria Math" w:hAnsi="Cambria Math" w:cs="Cambria Math"/>
                    <w:lang w:val="en-GB"/>
                  </w:rPr>
                  <m:t>⋅</m:t>
                </m:r>
                <m:sSubSup>
                  <m:sSubSupPr>
                    <m:ctrlPr>
                      <w:rPr>
                        <w:rFonts w:ascii="Cambria Math" w:eastAsia="Cambria Math" w:hAnsi="Cambria Math" w:cs="Cambria Math"/>
                        <w:i/>
                        <w:lang w:val="en-GB"/>
                      </w:rPr>
                    </m:ctrlPr>
                  </m:sSubSupPr>
                  <m:e>
                    <m:r>
                      <w:rPr>
                        <w:rFonts w:ascii="Cambria Math" w:eastAsia="Cambria Math" w:hAnsi="Cambria Math" w:cs="Cambria Math"/>
                        <w:lang w:val="en-GB"/>
                      </w:rPr>
                      <m:t>X</m:t>
                    </m:r>
                  </m:e>
                  <m:sub>
                    <m:r>
                      <w:rPr>
                        <w:rFonts w:ascii="Cambria Math" w:eastAsia="Cambria Math" w:hAnsi="Cambria Math" w:cs="Cambria Math"/>
                        <w:lang w:val="en-GB"/>
                      </w:rPr>
                      <m:t>2</m:t>
                    </m:r>
                  </m:sub>
                  <m:sup>
                    <m:r>
                      <w:rPr>
                        <w:rFonts w:ascii="Cambria Math" w:eastAsia="Cambria Math" w:hAnsi="Cambria Math" w:cs="Cambria Math"/>
                        <w:lang w:val="en-GB"/>
                      </w:rPr>
                      <m:t>3</m:t>
                    </m:r>
                  </m:sup>
                </m:sSubSup>
                <m:r>
                  <w:rPr>
                    <w:rFonts w:ascii="Cambria Math" w:eastAsia="Cambria Math" w:hAnsi="Cambria Math" w:cs="Cambria Math"/>
                    <w:lang w:val="en-GB"/>
                  </w:rPr>
                  <m:t>+</m:t>
                </m:r>
                <m:sSub>
                  <m:sSubPr>
                    <m:ctrlPr>
                      <w:rPr>
                        <w:rFonts w:ascii="Cambria Math" w:eastAsia="Cambria Math" w:hAnsi="Cambria Math" w:cs="Cambria Math"/>
                        <w:i/>
                        <w:lang w:val="en-GB"/>
                      </w:rPr>
                    </m:ctrlPr>
                  </m:sSubPr>
                  <m:e>
                    <m:r>
                      <w:rPr>
                        <w:rFonts w:ascii="Cambria Math" w:eastAsia="Cambria Math" w:hAnsi="Cambria Math" w:cs="Cambria Math"/>
                        <w:lang w:val="en-GB"/>
                      </w:rPr>
                      <m:t>k</m:t>
                    </m:r>
                  </m:e>
                  <m:sub>
                    <m:r>
                      <w:rPr>
                        <w:rFonts w:ascii="Cambria Math" w:eastAsia="Cambria Math" w:hAnsi="Cambria Math" w:cs="Cambria Math"/>
                        <w:lang w:val="en-GB"/>
                      </w:rPr>
                      <m:t>9</m:t>
                    </m:r>
                  </m:sub>
                </m:sSub>
                <m:r>
                  <w:rPr>
                    <w:rFonts w:ascii="Cambria Math" w:eastAsia="Cambria Math" w:hAnsi="Cambria Math" w:cs="Cambria Math"/>
                    <w:lang w:val="en-GB"/>
                  </w:rPr>
                  <m:t>⋅</m:t>
                </m:r>
                <m:sSub>
                  <m:sSubPr>
                    <m:ctrlPr>
                      <w:rPr>
                        <w:rFonts w:ascii="Cambria Math" w:eastAsia="Cambria Math" w:hAnsi="Cambria Math" w:cs="Cambria Math"/>
                        <w:i/>
                        <w:lang w:val="en-GB"/>
                      </w:rPr>
                    </m:ctrlPr>
                  </m:sSubPr>
                  <m:e>
                    <m:r>
                      <w:rPr>
                        <w:rFonts w:ascii="Cambria Math" w:eastAsia="Cambria Math" w:hAnsi="Cambria Math" w:cs="Cambria Math"/>
                        <w:lang w:val="en-GB"/>
                      </w:rPr>
                      <m:t>X</m:t>
                    </m:r>
                  </m:e>
                  <m:sub>
                    <m:r>
                      <w:rPr>
                        <w:rFonts w:ascii="Cambria Math" w:eastAsia="Cambria Math" w:hAnsi="Cambria Math" w:cs="Cambria Math"/>
                        <w:lang w:val="en-GB"/>
                      </w:rPr>
                      <m:t>1</m:t>
                    </m:r>
                  </m:sub>
                </m:sSub>
                <m:r>
                  <w:rPr>
                    <w:rFonts w:ascii="Cambria Math" w:eastAsia="Cambria Math" w:hAnsi="Cambria Math" w:cs="Cambria Math"/>
                    <w:lang w:val="en-GB"/>
                  </w:rPr>
                  <m:t>⋅</m:t>
                </m:r>
                <m:sSubSup>
                  <m:sSubSupPr>
                    <m:ctrlPr>
                      <w:rPr>
                        <w:rFonts w:ascii="Cambria Math" w:eastAsia="Cambria Math" w:hAnsi="Cambria Math" w:cs="Cambria Math"/>
                        <w:i/>
                        <w:lang w:val="en-GB"/>
                      </w:rPr>
                    </m:ctrlPr>
                  </m:sSubSupPr>
                  <m:e>
                    <m:r>
                      <w:rPr>
                        <w:rFonts w:ascii="Cambria Math" w:eastAsia="Cambria Math" w:hAnsi="Cambria Math" w:cs="Cambria Math"/>
                        <w:lang w:val="en-GB"/>
                      </w:rPr>
                      <m:t>X</m:t>
                    </m:r>
                  </m:e>
                  <m:sub>
                    <m:r>
                      <w:rPr>
                        <w:rFonts w:ascii="Cambria Math" w:eastAsia="Cambria Math" w:hAnsi="Cambria Math" w:cs="Cambria Math"/>
                        <w:lang w:val="en-GB"/>
                      </w:rPr>
                      <m:t>2</m:t>
                    </m:r>
                  </m:sub>
                  <m:sup>
                    <m:r>
                      <w:rPr>
                        <w:rFonts w:ascii="Cambria Math" w:eastAsia="Cambria Math" w:hAnsi="Cambria Math" w:cs="Cambria Math"/>
                        <w:lang w:val="en-GB"/>
                      </w:rPr>
                      <m:t>2</m:t>
                    </m:r>
                  </m:sup>
                </m:sSubSup>
                <m:r>
                  <w:rPr>
                    <w:rFonts w:ascii="Cambria Math" w:eastAsia="Cambria Math" w:hAnsi="Cambria Math" w:cs="Cambria Math"/>
                    <w:lang w:val="en-GB"/>
                  </w:rPr>
                  <m:t>+</m:t>
                </m:r>
                <m:sSub>
                  <m:sSubPr>
                    <m:ctrlPr>
                      <w:rPr>
                        <w:rFonts w:ascii="Cambria Math" w:eastAsia="Cambria Math" w:hAnsi="Cambria Math" w:cs="Cambria Math"/>
                        <w:i/>
                        <w:lang w:val="en-GB"/>
                      </w:rPr>
                    </m:ctrlPr>
                  </m:sSubPr>
                  <m:e>
                    <m:r>
                      <w:rPr>
                        <w:rFonts w:ascii="Cambria Math" w:eastAsia="Cambria Math" w:hAnsi="Cambria Math" w:cs="Cambria Math"/>
                        <w:lang w:val="en-GB"/>
                      </w:rPr>
                      <m:t>k</m:t>
                    </m:r>
                  </m:e>
                  <m:sub>
                    <m:r>
                      <w:rPr>
                        <w:rFonts w:ascii="Cambria Math" w:eastAsia="Cambria Math" w:hAnsi="Cambria Math" w:cs="Cambria Math"/>
                        <w:lang w:val="en-GB"/>
                      </w:rPr>
                      <m:t>10</m:t>
                    </m:r>
                  </m:sub>
                </m:sSub>
                <m:r>
                  <w:rPr>
                    <w:rFonts w:ascii="Cambria Math" w:eastAsia="Cambria Math" w:hAnsi="Cambria Math" w:cs="Cambria Math"/>
                    <w:lang w:val="en-GB"/>
                  </w:rPr>
                  <m:t>⋅</m:t>
                </m:r>
                <m:sSub>
                  <m:sSubPr>
                    <m:ctrlPr>
                      <w:rPr>
                        <w:rFonts w:ascii="Cambria Math" w:eastAsia="Cambria Math" w:hAnsi="Cambria Math" w:cs="Cambria Math"/>
                        <w:i/>
                        <w:lang w:val="en-GB"/>
                      </w:rPr>
                    </m:ctrlPr>
                  </m:sSubPr>
                  <m:e>
                    <m:r>
                      <w:rPr>
                        <w:rFonts w:ascii="Cambria Math" w:eastAsia="Cambria Math" w:hAnsi="Cambria Math" w:cs="Cambria Math"/>
                        <w:lang w:val="en-GB"/>
                      </w:rPr>
                      <m:t>X</m:t>
                    </m:r>
                  </m:e>
                  <m:sub>
                    <m:r>
                      <w:rPr>
                        <w:rFonts w:ascii="Cambria Math" w:eastAsia="Cambria Math" w:hAnsi="Cambria Math" w:cs="Cambria Math"/>
                        <w:lang w:val="en-GB"/>
                      </w:rPr>
                      <m:t>2</m:t>
                    </m:r>
                  </m:sub>
                </m:sSub>
                <m:r>
                  <w:rPr>
                    <w:rFonts w:ascii="Cambria Math" w:eastAsia="Cambria Math" w:hAnsi="Cambria Math" w:cs="Cambria Math"/>
                    <w:lang w:val="en-GB"/>
                  </w:rPr>
                  <m:t>⋅</m:t>
                </m:r>
                <m:sSubSup>
                  <m:sSubSupPr>
                    <m:ctrlPr>
                      <w:rPr>
                        <w:rFonts w:ascii="Cambria Math" w:eastAsia="Cambria Math" w:hAnsi="Cambria Math" w:cs="Cambria Math"/>
                        <w:i/>
                        <w:lang w:val="en-GB"/>
                      </w:rPr>
                    </m:ctrlPr>
                  </m:sSubSupPr>
                  <m:e>
                    <m:r>
                      <w:rPr>
                        <w:rFonts w:ascii="Cambria Math" w:eastAsia="Cambria Math" w:hAnsi="Cambria Math" w:cs="Cambria Math"/>
                        <w:lang w:val="en-GB"/>
                      </w:rPr>
                      <m:t>X</m:t>
                    </m:r>
                  </m:e>
                  <m:sub>
                    <m:r>
                      <w:rPr>
                        <w:rFonts w:ascii="Cambria Math" w:eastAsia="Cambria Math" w:hAnsi="Cambria Math" w:cs="Cambria Math"/>
                        <w:lang w:val="en-GB"/>
                      </w:rPr>
                      <m:t>1</m:t>
                    </m:r>
                  </m:sub>
                  <m:sup>
                    <m:r>
                      <w:rPr>
                        <w:rFonts w:ascii="Cambria Math" w:eastAsia="Cambria Math" w:hAnsi="Cambria Math" w:cs="Cambria Math"/>
                        <w:lang w:val="en-GB"/>
                      </w:rPr>
                      <m:t>2</m:t>
                    </m:r>
                  </m:sup>
                </m:sSubSup>
                <m:r>
                  <w:rPr>
                    <w:rFonts w:ascii="Cambria Math" w:eastAsia="Cambria Math" w:hAnsi="Cambria Math" w:cs="Cambria Math"/>
                    <w:lang w:val="en-GB"/>
                  </w:rPr>
                  <m:t>+</m:t>
                </m:r>
                <m:sSub>
                  <m:sSubPr>
                    <m:ctrlPr>
                      <w:rPr>
                        <w:rFonts w:ascii="Cambria Math" w:eastAsia="Cambria Math" w:hAnsi="Cambria Math" w:cs="Cambria Math"/>
                        <w:i/>
                        <w:lang w:val="en-GB"/>
                      </w:rPr>
                    </m:ctrlPr>
                  </m:sSubPr>
                  <m:e>
                    <m:r>
                      <w:rPr>
                        <w:rFonts w:ascii="Cambria Math" w:eastAsia="Cambria Math" w:hAnsi="Cambria Math" w:cs="Cambria Math"/>
                        <w:lang w:val="en-GB"/>
                      </w:rPr>
                      <m:t>k</m:t>
                    </m:r>
                  </m:e>
                  <m:sub>
                    <m:r>
                      <w:rPr>
                        <w:rFonts w:ascii="Cambria Math" w:eastAsia="Cambria Math" w:hAnsi="Cambria Math" w:cs="Cambria Math"/>
                        <w:lang w:val="en-GB"/>
                      </w:rPr>
                      <m:t>11</m:t>
                    </m:r>
                  </m:sub>
                </m:sSub>
                <m:r>
                  <w:rPr>
                    <w:rFonts w:ascii="Cambria Math" w:eastAsia="Cambria Math" w:hAnsi="Cambria Math" w:cs="Cambria Math"/>
                    <w:lang w:val="en-GB"/>
                  </w:rPr>
                  <m:t>⋅</m:t>
                </m:r>
                <m:sSubSup>
                  <m:sSubSupPr>
                    <m:ctrlPr>
                      <w:rPr>
                        <w:rFonts w:ascii="Cambria Math" w:eastAsia="Cambria Math" w:hAnsi="Cambria Math" w:cs="Cambria Math"/>
                        <w:i/>
                        <w:lang w:val="en-GB"/>
                      </w:rPr>
                    </m:ctrlPr>
                  </m:sSubSupPr>
                  <m:e>
                    <m:r>
                      <w:rPr>
                        <w:rFonts w:ascii="Cambria Math" w:eastAsia="Cambria Math" w:hAnsi="Cambria Math" w:cs="Cambria Math"/>
                        <w:lang w:val="en-GB"/>
                      </w:rPr>
                      <m:t>X</m:t>
                    </m:r>
                  </m:e>
                  <m:sub>
                    <m:r>
                      <w:rPr>
                        <w:rFonts w:ascii="Cambria Math" w:eastAsia="Cambria Math" w:hAnsi="Cambria Math" w:cs="Cambria Math"/>
                        <w:lang w:val="en-GB"/>
                      </w:rPr>
                      <m:t>1</m:t>
                    </m:r>
                  </m:sub>
                  <m:sup>
                    <m:r>
                      <w:rPr>
                        <w:rFonts w:ascii="Cambria Math" w:eastAsia="Cambria Math" w:hAnsi="Cambria Math" w:cs="Cambria Math"/>
                        <w:lang w:val="en-GB"/>
                      </w:rPr>
                      <m:t>4</m:t>
                    </m:r>
                  </m:sup>
                </m:sSubSup>
                <m:r>
                  <w:rPr>
                    <w:rFonts w:ascii="Cambria Math" w:eastAsia="Cambria Math" w:hAnsi="Cambria Math" w:cs="Cambria Math"/>
                    <w:lang w:val="en-GB"/>
                  </w:rPr>
                  <m:t>+</m:t>
                </m:r>
                <m:sSub>
                  <m:sSubPr>
                    <m:ctrlPr>
                      <w:rPr>
                        <w:rFonts w:ascii="Cambria Math" w:eastAsia="Cambria Math" w:hAnsi="Cambria Math" w:cs="Cambria Math"/>
                        <w:i/>
                        <w:lang w:val="en-GB"/>
                      </w:rPr>
                    </m:ctrlPr>
                  </m:sSubPr>
                  <m:e>
                    <m:r>
                      <w:rPr>
                        <w:rFonts w:ascii="Cambria Math" w:eastAsia="Cambria Math" w:hAnsi="Cambria Math" w:cs="Cambria Math"/>
                        <w:lang w:val="en-GB"/>
                      </w:rPr>
                      <m:t>k</m:t>
                    </m:r>
                  </m:e>
                  <m:sub>
                    <m:r>
                      <w:rPr>
                        <w:rFonts w:ascii="Cambria Math" w:eastAsia="Cambria Math" w:hAnsi="Cambria Math" w:cs="Cambria Math"/>
                        <w:lang w:val="en-GB"/>
                      </w:rPr>
                      <m:t>12</m:t>
                    </m:r>
                  </m:sub>
                </m:sSub>
                <m:r>
                  <w:rPr>
                    <w:rFonts w:ascii="Cambria Math" w:eastAsia="Cambria Math" w:hAnsi="Cambria Math" w:cs="Cambria Math"/>
                    <w:lang w:val="en-GB"/>
                  </w:rPr>
                  <m:t>⋅</m:t>
                </m:r>
                <m:sSubSup>
                  <m:sSubSupPr>
                    <m:ctrlPr>
                      <w:rPr>
                        <w:rFonts w:ascii="Cambria Math" w:eastAsia="Cambria Math" w:hAnsi="Cambria Math" w:cs="Cambria Math"/>
                        <w:i/>
                        <w:lang w:val="en-GB"/>
                      </w:rPr>
                    </m:ctrlPr>
                  </m:sSubSupPr>
                  <m:e>
                    <m:r>
                      <w:rPr>
                        <w:rFonts w:ascii="Cambria Math" w:eastAsia="Cambria Math" w:hAnsi="Cambria Math" w:cs="Cambria Math"/>
                        <w:lang w:val="en-GB"/>
                      </w:rPr>
                      <m:t>X</m:t>
                    </m:r>
                  </m:e>
                  <m:sub>
                    <m:r>
                      <w:rPr>
                        <w:rFonts w:ascii="Cambria Math" w:eastAsia="Cambria Math" w:hAnsi="Cambria Math" w:cs="Cambria Math"/>
                        <w:lang w:val="en-GB"/>
                      </w:rPr>
                      <m:t>1</m:t>
                    </m:r>
                  </m:sub>
                  <m:sup>
                    <m:r>
                      <w:rPr>
                        <w:rFonts w:ascii="Cambria Math" w:eastAsia="Cambria Math" w:hAnsi="Cambria Math" w:cs="Cambria Math"/>
                        <w:lang w:val="en-GB"/>
                      </w:rPr>
                      <m:t>3</m:t>
                    </m:r>
                  </m:sup>
                </m:sSubSup>
                <m:r>
                  <w:rPr>
                    <w:rFonts w:ascii="Cambria Math" w:eastAsia="Cambria Math" w:hAnsi="Cambria Math" w:cs="Cambria Math"/>
                    <w:lang w:val="en-GB"/>
                  </w:rPr>
                  <m:t>⋅</m:t>
                </m:r>
                <m:sSub>
                  <m:sSubPr>
                    <m:ctrlPr>
                      <w:rPr>
                        <w:rFonts w:ascii="Cambria Math" w:eastAsia="Cambria Math" w:hAnsi="Cambria Math" w:cs="Cambria Math"/>
                        <w:i/>
                        <w:lang w:val="en-GB"/>
                      </w:rPr>
                    </m:ctrlPr>
                  </m:sSubPr>
                  <m:e>
                    <m:r>
                      <w:rPr>
                        <w:rFonts w:ascii="Cambria Math" w:eastAsia="Cambria Math" w:hAnsi="Cambria Math" w:cs="Cambria Math"/>
                        <w:lang w:val="en-GB"/>
                      </w:rPr>
                      <m:t>X</m:t>
                    </m:r>
                  </m:e>
                  <m:sub>
                    <m:r>
                      <w:rPr>
                        <w:rFonts w:ascii="Cambria Math" w:eastAsia="Cambria Math" w:hAnsi="Cambria Math" w:cs="Cambria Math"/>
                        <w:lang w:val="en-GB"/>
                      </w:rPr>
                      <m:t>2</m:t>
                    </m:r>
                  </m:sub>
                </m:sSub>
                <m:r>
                  <w:rPr>
                    <w:rFonts w:ascii="Cambria Math" w:eastAsia="Cambria Math" w:hAnsi="Cambria Math" w:cs="Cambria Math"/>
                    <w:lang w:val="en-GB"/>
                  </w:rPr>
                  <m:t>+</m:t>
                </m:r>
                <m:sSub>
                  <m:sSubPr>
                    <m:ctrlPr>
                      <w:rPr>
                        <w:rFonts w:ascii="Cambria Math" w:eastAsia="Cambria Math" w:hAnsi="Cambria Math" w:cs="Cambria Math"/>
                        <w:i/>
                        <w:lang w:val="en-GB"/>
                      </w:rPr>
                    </m:ctrlPr>
                  </m:sSubPr>
                  <m:e>
                    <m:r>
                      <w:rPr>
                        <w:rFonts w:ascii="Cambria Math" w:eastAsia="Cambria Math" w:hAnsi="Cambria Math" w:cs="Cambria Math"/>
                        <w:lang w:val="en-GB"/>
                      </w:rPr>
                      <m:t>k</m:t>
                    </m:r>
                  </m:e>
                  <m:sub>
                    <m:r>
                      <w:rPr>
                        <w:rFonts w:ascii="Cambria Math" w:eastAsia="Cambria Math" w:hAnsi="Cambria Math" w:cs="Cambria Math"/>
                        <w:lang w:val="en-GB"/>
                      </w:rPr>
                      <m:t>13</m:t>
                    </m:r>
                  </m:sub>
                </m:sSub>
                <m:r>
                  <w:rPr>
                    <w:rFonts w:ascii="Cambria Math" w:eastAsia="Cambria Math" w:hAnsi="Cambria Math" w:cs="Cambria Math"/>
                    <w:lang w:val="en-GB"/>
                  </w:rPr>
                  <m:t>⋅</m:t>
                </m:r>
                <m:sSubSup>
                  <m:sSubSupPr>
                    <m:ctrlPr>
                      <w:rPr>
                        <w:rFonts w:ascii="Cambria Math" w:eastAsia="Cambria Math" w:hAnsi="Cambria Math" w:cs="Cambria Math"/>
                        <w:i/>
                        <w:lang w:val="en-GB"/>
                      </w:rPr>
                    </m:ctrlPr>
                  </m:sSubSupPr>
                  <m:e>
                    <m:r>
                      <w:rPr>
                        <w:rFonts w:ascii="Cambria Math" w:eastAsia="Cambria Math" w:hAnsi="Cambria Math" w:cs="Cambria Math"/>
                        <w:lang w:val="en-GB"/>
                      </w:rPr>
                      <m:t>X</m:t>
                    </m:r>
                  </m:e>
                  <m:sub>
                    <m:r>
                      <w:rPr>
                        <w:rFonts w:ascii="Cambria Math" w:eastAsia="Cambria Math" w:hAnsi="Cambria Math" w:cs="Cambria Math"/>
                        <w:lang w:val="en-GB"/>
                      </w:rPr>
                      <m:t>1</m:t>
                    </m:r>
                  </m:sub>
                  <m:sup>
                    <m:r>
                      <w:rPr>
                        <w:rFonts w:ascii="Cambria Math" w:eastAsia="Cambria Math" w:hAnsi="Cambria Math" w:cs="Cambria Math"/>
                        <w:lang w:val="en-GB"/>
                      </w:rPr>
                      <m:t>2</m:t>
                    </m:r>
                  </m:sup>
                </m:sSubSup>
                <m:r>
                  <w:rPr>
                    <w:rFonts w:ascii="Cambria Math" w:eastAsia="Cambria Math" w:hAnsi="Cambria Math" w:cs="Cambria Math"/>
                    <w:lang w:val="en-GB"/>
                  </w:rPr>
                  <m:t>⋅</m:t>
                </m:r>
                <m:sSubSup>
                  <m:sSubSupPr>
                    <m:ctrlPr>
                      <w:rPr>
                        <w:rFonts w:ascii="Cambria Math" w:eastAsia="Cambria Math" w:hAnsi="Cambria Math" w:cs="Cambria Math"/>
                        <w:i/>
                        <w:lang w:val="en-GB"/>
                      </w:rPr>
                    </m:ctrlPr>
                  </m:sSubSupPr>
                  <m:e>
                    <m:r>
                      <w:rPr>
                        <w:rFonts w:ascii="Cambria Math" w:eastAsia="Cambria Math" w:hAnsi="Cambria Math" w:cs="Cambria Math"/>
                        <w:lang w:val="en-GB"/>
                      </w:rPr>
                      <m:t>X</m:t>
                    </m:r>
                  </m:e>
                  <m:sub>
                    <m:r>
                      <w:rPr>
                        <w:rFonts w:ascii="Cambria Math" w:eastAsia="Cambria Math" w:hAnsi="Cambria Math" w:cs="Cambria Math"/>
                        <w:lang w:val="en-GB"/>
                      </w:rPr>
                      <m:t>2</m:t>
                    </m:r>
                  </m:sub>
                  <m:sup>
                    <m:r>
                      <w:rPr>
                        <w:rFonts w:ascii="Cambria Math" w:eastAsia="Cambria Math" w:hAnsi="Cambria Math" w:cs="Cambria Math"/>
                        <w:lang w:val="en-GB"/>
                      </w:rPr>
                      <m:t>2</m:t>
                    </m:r>
                  </m:sup>
                </m:sSubSup>
                <m:r>
                  <w:rPr>
                    <w:rFonts w:ascii="Cambria Math" w:eastAsia="Cambria Math" w:hAnsi="Cambria Math" w:cs="Cambria Math"/>
                    <w:lang w:val="en-GB"/>
                  </w:rPr>
                  <m:t>+</m:t>
                </m:r>
                <m:sSub>
                  <m:sSubPr>
                    <m:ctrlPr>
                      <w:rPr>
                        <w:rFonts w:ascii="Cambria Math" w:eastAsia="Cambria Math" w:hAnsi="Cambria Math" w:cs="Cambria Math"/>
                        <w:i/>
                        <w:lang w:val="en-GB"/>
                      </w:rPr>
                    </m:ctrlPr>
                  </m:sSubPr>
                  <m:e>
                    <m:r>
                      <w:rPr>
                        <w:rFonts w:ascii="Cambria Math" w:eastAsia="Cambria Math" w:hAnsi="Cambria Math" w:cs="Cambria Math"/>
                        <w:lang w:val="en-GB"/>
                      </w:rPr>
                      <m:t>k</m:t>
                    </m:r>
                  </m:e>
                  <m:sub>
                    <m:r>
                      <w:rPr>
                        <w:rFonts w:ascii="Cambria Math" w:eastAsia="Cambria Math" w:hAnsi="Cambria Math" w:cs="Cambria Math"/>
                        <w:lang w:val="en-GB"/>
                      </w:rPr>
                      <m:t>14</m:t>
                    </m:r>
                  </m:sub>
                </m:sSub>
                <m:r>
                  <w:rPr>
                    <w:rFonts w:ascii="Cambria Math" w:eastAsia="Cambria Math" w:hAnsi="Cambria Math" w:cs="Cambria Math"/>
                    <w:lang w:val="en-GB"/>
                  </w:rPr>
                  <m:t>⋅</m:t>
                </m:r>
                <m:sSub>
                  <m:sSubPr>
                    <m:ctrlPr>
                      <w:rPr>
                        <w:rFonts w:ascii="Cambria Math" w:eastAsia="Cambria Math" w:hAnsi="Cambria Math" w:cs="Cambria Math"/>
                        <w:i/>
                        <w:lang w:val="en-GB"/>
                      </w:rPr>
                    </m:ctrlPr>
                  </m:sSubPr>
                  <m:e>
                    <m:r>
                      <w:rPr>
                        <w:rFonts w:ascii="Cambria Math" w:eastAsia="Cambria Math" w:hAnsi="Cambria Math" w:cs="Cambria Math"/>
                        <w:lang w:val="en-GB"/>
                      </w:rPr>
                      <m:t>X</m:t>
                    </m:r>
                  </m:e>
                  <m:sub>
                    <m:r>
                      <w:rPr>
                        <w:rFonts w:ascii="Cambria Math" w:eastAsia="Cambria Math" w:hAnsi="Cambria Math" w:cs="Cambria Math"/>
                        <w:lang w:val="en-GB"/>
                      </w:rPr>
                      <m:t>1</m:t>
                    </m:r>
                  </m:sub>
                </m:sSub>
                <m:r>
                  <w:rPr>
                    <w:rFonts w:ascii="Cambria Math" w:eastAsia="Cambria Math" w:hAnsi="Cambria Math" w:cs="Cambria Math"/>
                    <w:lang w:val="en-GB"/>
                  </w:rPr>
                  <m:t>⋅</m:t>
                </m:r>
                <m:sSubSup>
                  <m:sSubSupPr>
                    <m:ctrlPr>
                      <w:rPr>
                        <w:rFonts w:ascii="Cambria Math" w:eastAsia="Cambria Math" w:hAnsi="Cambria Math" w:cs="Cambria Math"/>
                        <w:i/>
                        <w:lang w:val="en-GB"/>
                      </w:rPr>
                    </m:ctrlPr>
                  </m:sSubSupPr>
                  <m:e>
                    <m:r>
                      <w:rPr>
                        <w:rFonts w:ascii="Cambria Math" w:eastAsia="Cambria Math" w:hAnsi="Cambria Math" w:cs="Cambria Math"/>
                        <w:lang w:val="en-GB"/>
                      </w:rPr>
                      <m:t>X</m:t>
                    </m:r>
                  </m:e>
                  <m:sub>
                    <m:r>
                      <w:rPr>
                        <w:rFonts w:ascii="Cambria Math" w:eastAsia="Cambria Math" w:hAnsi="Cambria Math" w:cs="Cambria Math"/>
                        <w:lang w:val="en-GB"/>
                      </w:rPr>
                      <m:t>2</m:t>
                    </m:r>
                  </m:sub>
                  <m:sup>
                    <m:r>
                      <w:rPr>
                        <w:rFonts w:ascii="Cambria Math" w:eastAsia="Cambria Math" w:hAnsi="Cambria Math" w:cs="Cambria Math"/>
                        <w:lang w:val="en-GB"/>
                      </w:rPr>
                      <m:t>3</m:t>
                    </m:r>
                  </m:sup>
                </m:sSubSup>
                <m:r>
                  <w:rPr>
                    <w:rFonts w:ascii="Cambria Math" w:eastAsia="Cambria Math" w:hAnsi="Cambria Math" w:cs="Cambria Math"/>
                    <w:lang w:val="en-GB"/>
                  </w:rPr>
                  <m:t>+</m:t>
                </m:r>
                <m:sSub>
                  <m:sSubPr>
                    <m:ctrlPr>
                      <w:rPr>
                        <w:rFonts w:ascii="Cambria Math" w:eastAsia="Cambria Math" w:hAnsi="Cambria Math" w:cs="Cambria Math"/>
                        <w:i/>
                        <w:lang w:val="en-GB"/>
                      </w:rPr>
                    </m:ctrlPr>
                  </m:sSubPr>
                  <m:e>
                    <m:r>
                      <w:rPr>
                        <w:rFonts w:ascii="Cambria Math" w:eastAsia="Cambria Math" w:hAnsi="Cambria Math" w:cs="Cambria Math"/>
                        <w:lang w:val="en-GB"/>
                      </w:rPr>
                      <m:t>k</m:t>
                    </m:r>
                  </m:e>
                  <m:sub>
                    <m:r>
                      <w:rPr>
                        <w:rFonts w:ascii="Cambria Math" w:eastAsia="Cambria Math" w:hAnsi="Cambria Math" w:cs="Cambria Math"/>
                        <w:lang w:val="en-GB"/>
                      </w:rPr>
                      <m:t>15</m:t>
                    </m:r>
                  </m:sub>
                </m:sSub>
                <m:r>
                  <w:rPr>
                    <w:rFonts w:ascii="Cambria Math" w:eastAsia="Cambria Math" w:hAnsi="Cambria Math" w:cs="Cambria Math"/>
                    <w:lang w:val="en-GB"/>
                  </w:rPr>
                  <m:t>⋅</m:t>
                </m:r>
                <m:sSubSup>
                  <m:sSubSupPr>
                    <m:ctrlPr>
                      <w:rPr>
                        <w:rFonts w:ascii="Cambria Math" w:eastAsia="Cambria Math" w:hAnsi="Cambria Math" w:cs="Cambria Math"/>
                        <w:i/>
                        <w:lang w:val="en-GB"/>
                      </w:rPr>
                    </m:ctrlPr>
                  </m:sSubSupPr>
                  <m:e>
                    <m:r>
                      <w:rPr>
                        <w:rFonts w:ascii="Cambria Math" w:eastAsia="Cambria Math" w:hAnsi="Cambria Math" w:cs="Cambria Math"/>
                        <w:lang w:val="en-GB"/>
                      </w:rPr>
                      <m:t>X</m:t>
                    </m:r>
                  </m:e>
                  <m:sub>
                    <m:r>
                      <w:rPr>
                        <w:rFonts w:ascii="Cambria Math" w:eastAsia="Cambria Math" w:hAnsi="Cambria Math" w:cs="Cambria Math"/>
                        <w:lang w:val="en-GB"/>
                      </w:rPr>
                      <m:t>2</m:t>
                    </m:r>
                  </m:sub>
                  <m:sup>
                    <m:r>
                      <w:rPr>
                        <w:rFonts w:ascii="Cambria Math" w:eastAsia="Cambria Math" w:hAnsi="Cambria Math" w:cs="Cambria Math"/>
                        <w:lang w:val="en-GB"/>
                      </w:rPr>
                      <m:t>4</m:t>
                    </m:r>
                  </m:sup>
                </m:sSubSup>
                <m:r>
                  <w:rPr>
                    <w:rFonts w:ascii="Cambria Math" w:eastAsia="Cambria Math" w:hAnsi="Cambria Math" w:cs="Cambria Math"/>
                    <w:lang w:val="en-GB"/>
                  </w:rPr>
                  <m:t>+</m:t>
                </m:r>
                <m:sSub>
                  <m:sSubPr>
                    <m:ctrlPr>
                      <w:rPr>
                        <w:rFonts w:ascii="Cambria Math" w:eastAsia="Cambria Math" w:hAnsi="Cambria Math" w:cs="Cambria Math"/>
                        <w:i/>
                        <w:lang w:val="en-GB"/>
                      </w:rPr>
                    </m:ctrlPr>
                  </m:sSubPr>
                  <m:e>
                    <m:r>
                      <w:rPr>
                        <w:rFonts w:ascii="Cambria Math" w:eastAsia="Cambria Math" w:hAnsi="Cambria Math" w:cs="Cambria Math"/>
                        <w:lang w:val="en-GB"/>
                      </w:rPr>
                      <m:t>k</m:t>
                    </m:r>
                  </m:e>
                  <m:sub>
                    <m:r>
                      <w:rPr>
                        <w:rFonts w:ascii="Cambria Math" w:eastAsia="Cambria Math" w:hAnsi="Cambria Math" w:cs="Cambria Math"/>
                        <w:lang w:val="en-GB"/>
                      </w:rPr>
                      <m:t>16</m:t>
                    </m:r>
                  </m:sub>
                </m:sSub>
                <m:r>
                  <w:rPr>
                    <w:rFonts w:ascii="Cambria Math" w:eastAsia="Cambria Math" w:hAnsi="Cambria Math" w:cs="Cambria Math"/>
                    <w:lang w:val="en-GB"/>
                  </w:rPr>
                  <m:t>⋅</m:t>
                </m:r>
                <m:sSubSup>
                  <m:sSubSupPr>
                    <m:ctrlPr>
                      <w:rPr>
                        <w:rFonts w:ascii="Cambria Math" w:eastAsia="Cambria Math" w:hAnsi="Cambria Math" w:cs="Cambria Math"/>
                        <w:i/>
                        <w:lang w:val="en-GB"/>
                      </w:rPr>
                    </m:ctrlPr>
                  </m:sSubSupPr>
                  <m:e>
                    <m:r>
                      <w:rPr>
                        <w:rFonts w:ascii="Cambria Math" w:eastAsia="Cambria Math" w:hAnsi="Cambria Math" w:cs="Cambria Math"/>
                        <w:lang w:val="en-GB"/>
                      </w:rPr>
                      <m:t>X</m:t>
                    </m:r>
                  </m:e>
                  <m:sub>
                    <m:r>
                      <w:rPr>
                        <w:rFonts w:ascii="Cambria Math" w:eastAsia="Cambria Math" w:hAnsi="Cambria Math" w:cs="Cambria Math"/>
                        <w:lang w:val="en-GB"/>
                      </w:rPr>
                      <m:t>1</m:t>
                    </m:r>
                  </m:sub>
                  <m:sup>
                    <m:r>
                      <w:rPr>
                        <w:rFonts w:ascii="Cambria Math" w:eastAsia="Cambria Math" w:hAnsi="Cambria Math" w:cs="Cambria Math"/>
                        <w:lang w:val="en-GB"/>
                      </w:rPr>
                      <m:t>5</m:t>
                    </m:r>
                  </m:sup>
                </m:sSubSup>
                <m:r>
                  <w:rPr>
                    <w:rFonts w:ascii="Cambria Math" w:eastAsia="Cambria Math" w:hAnsi="Cambria Math" w:cs="Cambria Math"/>
                    <w:lang w:val="en-GB"/>
                  </w:rPr>
                  <m:t>+</m:t>
                </m:r>
                <m:sSub>
                  <m:sSubPr>
                    <m:ctrlPr>
                      <w:rPr>
                        <w:rFonts w:ascii="Cambria Math" w:eastAsia="Cambria Math" w:hAnsi="Cambria Math" w:cs="Cambria Math"/>
                        <w:i/>
                        <w:lang w:val="en-GB"/>
                      </w:rPr>
                    </m:ctrlPr>
                  </m:sSubPr>
                  <m:e>
                    <m:r>
                      <w:rPr>
                        <w:rFonts w:ascii="Cambria Math" w:eastAsia="Cambria Math" w:hAnsi="Cambria Math" w:cs="Cambria Math"/>
                        <w:lang w:val="en-GB"/>
                      </w:rPr>
                      <m:t>k</m:t>
                    </m:r>
                  </m:e>
                  <m:sub>
                    <m:r>
                      <w:rPr>
                        <w:rFonts w:ascii="Cambria Math" w:eastAsia="Cambria Math" w:hAnsi="Cambria Math" w:cs="Cambria Math"/>
                        <w:lang w:val="en-GB"/>
                      </w:rPr>
                      <m:t>17</m:t>
                    </m:r>
                  </m:sub>
                </m:sSub>
                <m:r>
                  <w:rPr>
                    <w:rFonts w:ascii="Cambria Math" w:eastAsia="Cambria Math" w:hAnsi="Cambria Math" w:cs="Cambria Math"/>
                    <w:lang w:val="en-GB"/>
                  </w:rPr>
                  <m:t>⋅</m:t>
                </m:r>
                <m:sSubSup>
                  <m:sSubSupPr>
                    <m:ctrlPr>
                      <w:rPr>
                        <w:rFonts w:ascii="Cambria Math" w:eastAsia="Cambria Math" w:hAnsi="Cambria Math" w:cs="Cambria Math"/>
                        <w:i/>
                        <w:lang w:val="en-GB"/>
                      </w:rPr>
                    </m:ctrlPr>
                  </m:sSubSupPr>
                  <m:e>
                    <m:r>
                      <w:rPr>
                        <w:rFonts w:ascii="Cambria Math" w:eastAsia="Cambria Math" w:hAnsi="Cambria Math" w:cs="Cambria Math"/>
                        <w:lang w:val="en-GB"/>
                      </w:rPr>
                      <m:t>X</m:t>
                    </m:r>
                  </m:e>
                  <m:sub>
                    <m:r>
                      <w:rPr>
                        <w:rFonts w:ascii="Cambria Math" w:eastAsia="Cambria Math" w:hAnsi="Cambria Math" w:cs="Cambria Math"/>
                        <w:lang w:val="en-GB"/>
                      </w:rPr>
                      <m:t>1</m:t>
                    </m:r>
                  </m:sub>
                  <m:sup>
                    <m:r>
                      <w:rPr>
                        <w:rFonts w:ascii="Cambria Math" w:eastAsia="Cambria Math" w:hAnsi="Cambria Math" w:cs="Cambria Math"/>
                        <w:lang w:val="en-GB"/>
                      </w:rPr>
                      <m:t>4</m:t>
                    </m:r>
                  </m:sup>
                </m:sSubSup>
                <m:r>
                  <w:rPr>
                    <w:rFonts w:ascii="Cambria Math" w:eastAsia="Cambria Math" w:hAnsi="Cambria Math" w:cs="Cambria Math"/>
                    <w:lang w:val="en-GB"/>
                  </w:rPr>
                  <m:t>⋅</m:t>
                </m:r>
                <m:sSub>
                  <m:sSubPr>
                    <m:ctrlPr>
                      <w:rPr>
                        <w:rFonts w:ascii="Cambria Math" w:eastAsia="Cambria Math" w:hAnsi="Cambria Math" w:cs="Cambria Math"/>
                        <w:i/>
                        <w:lang w:val="en-GB"/>
                      </w:rPr>
                    </m:ctrlPr>
                  </m:sSubPr>
                  <m:e>
                    <m:r>
                      <w:rPr>
                        <w:rFonts w:ascii="Cambria Math" w:eastAsia="Cambria Math" w:hAnsi="Cambria Math" w:cs="Cambria Math"/>
                        <w:lang w:val="en-GB"/>
                      </w:rPr>
                      <m:t>X</m:t>
                    </m:r>
                  </m:e>
                  <m:sub>
                    <m:r>
                      <w:rPr>
                        <w:rFonts w:ascii="Cambria Math" w:eastAsia="Cambria Math" w:hAnsi="Cambria Math" w:cs="Cambria Math"/>
                        <w:lang w:val="en-GB"/>
                      </w:rPr>
                      <m:t>2</m:t>
                    </m:r>
                  </m:sub>
                </m:sSub>
                <m:r>
                  <w:rPr>
                    <w:rFonts w:ascii="Cambria Math" w:eastAsia="Cambria Math" w:hAnsi="Cambria Math" w:cs="Cambria Math"/>
                    <w:lang w:val="en-GB"/>
                  </w:rPr>
                  <m:t>+</m:t>
                </m:r>
                <m:sSub>
                  <m:sSubPr>
                    <m:ctrlPr>
                      <w:rPr>
                        <w:rFonts w:ascii="Cambria Math" w:eastAsia="Cambria Math" w:hAnsi="Cambria Math" w:cs="Cambria Math"/>
                        <w:i/>
                        <w:lang w:val="en-GB"/>
                      </w:rPr>
                    </m:ctrlPr>
                  </m:sSubPr>
                  <m:e>
                    <m:r>
                      <w:rPr>
                        <w:rFonts w:ascii="Cambria Math" w:eastAsia="Cambria Math" w:hAnsi="Cambria Math" w:cs="Cambria Math"/>
                        <w:lang w:val="en-GB"/>
                      </w:rPr>
                      <m:t>k</m:t>
                    </m:r>
                  </m:e>
                  <m:sub>
                    <m:r>
                      <w:rPr>
                        <w:rFonts w:ascii="Cambria Math" w:eastAsia="Cambria Math" w:hAnsi="Cambria Math" w:cs="Cambria Math"/>
                        <w:lang w:val="en-GB"/>
                      </w:rPr>
                      <m:t>18</m:t>
                    </m:r>
                  </m:sub>
                </m:sSub>
                <m:r>
                  <w:rPr>
                    <w:rFonts w:ascii="Cambria Math" w:eastAsia="Cambria Math" w:hAnsi="Cambria Math" w:cs="Cambria Math"/>
                    <w:lang w:val="en-GB"/>
                  </w:rPr>
                  <m:t>⋅</m:t>
                </m:r>
                <m:sSubSup>
                  <m:sSubSupPr>
                    <m:ctrlPr>
                      <w:rPr>
                        <w:rFonts w:ascii="Cambria Math" w:eastAsia="Cambria Math" w:hAnsi="Cambria Math" w:cs="Cambria Math"/>
                        <w:i/>
                        <w:lang w:val="en-GB"/>
                      </w:rPr>
                    </m:ctrlPr>
                  </m:sSubSupPr>
                  <m:e>
                    <m:r>
                      <w:rPr>
                        <w:rFonts w:ascii="Cambria Math" w:eastAsia="Cambria Math" w:hAnsi="Cambria Math" w:cs="Cambria Math"/>
                        <w:lang w:val="en-GB"/>
                      </w:rPr>
                      <m:t>X</m:t>
                    </m:r>
                  </m:e>
                  <m:sub>
                    <m:r>
                      <w:rPr>
                        <w:rFonts w:ascii="Cambria Math" w:eastAsia="Cambria Math" w:hAnsi="Cambria Math" w:cs="Cambria Math"/>
                        <w:lang w:val="en-GB"/>
                      </w:rPr>
                      <m:t>1</m:t>
                    </m:r>
                  </m:sub>
                  <m:sup>
                    <m:r>
                      <w:rPr>
                        <w:rFonts w:ascii="Cambria Math" w:eastAsia="Cambria Math" w:hAnsi="Cambria Math" w:cs="Cambria Math"/>
                        <w:lang w:val="en-GB"/>
                      </w:rPr>
                      <m:t>3</m:t>
                    </m:r>
                  </m:sup>
                </m:sSubSup>
                <m:r>
                  <w:rPr>
                    <w:rFonts w:ascii="Cambria Math" w:eastAsia="Cambria Math" w:hAnsi="Cambria Math" w:cs="Cambria Math"/>
                    <w:lang w:val="en-GB"/>
                  </w:rPr>
                  <m:t>⋅</m:t>
                </m:r>
                <m:sSubSup>
                  <m:sSubSupPr>
                    <m:ctrlPr>
                      <w:rPr>
                        <w:rFonts w:ascii="Cambria Math" w:eastAsia="Cambria Math" w:hAnsi="Cambria Math" w:cs="Cambria Math"/>
                        <w:i/>
                        <w:lang w:val="en-GB"/>
                      </w:rPr>
                    </m:ctrlPr>
                  </m:sSubSupPr>
                  <m:e>
                    <m:r>
                      <w:rPr>
                        <w:rFonts w:ascii="Cambria Math" w:eastAsia="Cambria Math" w:hAnsi="Cambria Math" w:cs="Cambria Math"/>
                        <w:lang w:val="en-GB"/>
                      </w:rPr>
                      <m:t>X</m:t>
                    </m:r>
                  </m:e>
                  <m:sub>
                    <m:r>
                      <w:rPr>
                        <w:rFonts w:ascii="Cambria Math" w:eastAsia="Cambria Math" w:hAnsi="Cambria Math" w:cs="Cambria Math"/>
                        <w:lang w:val="en-GB"/>
                      </w:rPr>
                      <m:t>2</m:t>
                    </m:r>
                  </m:sub>
                  <m:sup>
                    <m:r>
                      <w:rPr>
                        <w:rFonts w:ascii="Cambria Math" w:eastAsia="Cambria Math" w:hAnsi="Cambria Math" w:cs="Cambria Math"/>
                        <w:lang w:val="en-GB"/>
                      </w:rPr>
                      <m:t>2</m:t>
                    </m:r>
                  </m:sup>
                </m:sSubSup>
                <m:r>
                  <w:rPr>
                    <w:rFonts w:ascii="Cambria Math" w:eastAsia="Cambria Math" w:hAnsi="Cambria Math" w:cs="Cambria Math"/>
                    <w:lang w:val="en-GB"/>
                  </w:rPr>
                  <m:t>+</m:t>
                </m:r>
                <m:sSub>
                  <m:sSubPr>
                    <m:ctrlPr>
                      <w:rPr>
                        <w:rFonts w:ascii="Cambria Math" w:eastAsia="Cambria Math" w:hAnsi="Cambria Math" w:cs="Cambria Math"/>
                        <w:i/>
                        <w:lang w:val="en-GB"/>
                      </w:rPr>
                    </m:ctrlPr>
                  </m:sSubPr>
                  <m:e>
                    <m:r>
                      <w:rPr>
                        <w:rFonts w:ascii="Cambria Math" w:eastAsia="Cambria Math" w:hAnsi="Cambria Math" w:cs="Cambria Math"/>
                        <w:lang w:val="en-GB"/>
                      </w:rPr>
                      <m:t>k</m:t>
                    </m:r>
                  </m:e>
                  <m:sub>
                    <m:r>
                      <w:rPr>
                        <w:rFonts w:ascii="Cambria Math" w:eastAsia="Cambria Math" w:hAnsi="Cambria Math" w:cs="Cambria Math"/>
                        <w:lang w:val="en-GB"/>
                      </w:rPr>
                      <m:t>19</m:t>
                    </m:r>
                  </m:sub>
                </m:sSub>
                <m:r>
                  <w:rPr>
                    <w:rFonts w:ascii="Cambria Math" w:eastAsia="Cambria Math" w:hAnsi="Cambria Math" w:cs="Cambria Math"/>
                    <w:lang w:val="en-GB"/>
                  </w:rPr>
                  <m:t>⋅</m:t>
                </m:r>
                <m:sSubSup>
                  <m:sSubSupPr>
                    <m:ctrlPr>
                      <w:rPr>
                        <w:rFonts w:ascii="Cambria Math" w:eastAsia="Cambria Math" w:hAnsi="Cambria Math" w:cs="Cambria Math"/>
                        <w:i/>
                        <w:lang w:val="en-GB"/>
                      </w:rPr>
                    </m:ctrlPr>
                  </m:sSubSupPr>
                  <m:e>
                    <m:r>
                      <w:rPr>
                        <w:rFonts w:ascii="Cambria Math" w:eastAsia="Cambria Math" w:hAnsi="Cambria Math" w:cs="Cambria Math"/>
                        <w:lang w:val="en-GB"/>
                      </w:rPr>
                      <m:t>X</m:t>
                    </m:r>
                  </m:e>
                  <m:sub>
                    <m:r>
                      <w:rPr>
                        <w:rFonts w:ascii="Cambria Math" w:eastAsia="Cambria Math" w:hAnsi="Cambria Math" w:cs="Cambria Math"/>
                        <w:lang w:val="en-GB"/>
                      </w:rPr>
                      <m:t>1</m:t>
                    </m:r>
                  </m:sub>
                  <m:sup>
                    <m:r>
                      <w:rPr>
                        <w:rFonts w:ascii="Cambria Math" w:eastAsia="Cambria Math" w:hAnsi="Cambria Math" w:cs="Cambria Math"/>
                        <w:lang w:val="en-GB"/>
                      </w:rPr>
                      <m:t>2</m:t>
                    </m:r>
                  </m:sup>
                </m:sSubSup>
                <m:r>
                  <w:rPr>
                    <w:rFonts w:ascii="Cambria Math" w:eastAsia="Cambria Math" w:hAnsi="Cambria Math" w:cs="Cambria Math"/>
                    <w:lang w:val="en-GB"/>
                  </w:rPr>
                  <m:t>⋅</m:t>
                </m:r>
                <m:sSubSup>
                  <m:sSubSupPr>
                    <m:ctrlPr>
                      <w:rPr>
                        <w:rFonts w:ascii="Cambria Math" w:eastAsia="Cambria Math" w:hAnsi="Cambria Math" w:cs="Cambria Math"/>
                        <w:i/>
                        <w:lang w:val="en-GB"/>
                      </w:rPr>
                    </m:ctrlPr>
                  </m:sSubSupPr>
                  <m:e>
                    <m:r>
                      <w:rPr>
                        <w:rFonts w:ascii="Cambria Math" w:eastAsia="Cambria Math" w:hAnsi="Cambria Math" w:cs="Cambria Math"/>
                        <w:lang w:val="en-GB"/>
                      </w:rPr>
                      <m:t>X</m:t>
                    </m:r>
                  </m:e>
                  <m:sub>
                    <m:r>
                      <w:rPr>
                        <w:rFonts w:ascii="Cambria Math" w:eastAsia="Cambria Math" w:hAnsi="Cambria Math" w:cs="Cambria Math"/>
                        <w:lang w:val="en-GB"/>
                      </w:rPr>
                      <m:t>2</m:t>
                    </m:r>
                  </m:sub>
                  <m:sup>
                    <m:r>
                      <w:rPr>
                        <w:rFonts w:ascii="Cambria Math" w:eastAsia="Cambria Math" w:hAnsi="Cambria Math" w:cs="Cambria Math"/>
                        <w:lang w:val="en-GB"/>
                      </w:rPr>
                      <m:t>3</m:t>
                    </m:r>
                  </m:sup>
                </m:sSubSup>
                <m:r>
                  <w:rPr>
                    <w:rFonts w:ascii="Cambria Math" w:eastAsia="Cambria Math" w:hAnsi="Cambria Math" w:cs="Cambria Math"/>
                    <w:lang w:val="en-GB"/>
                  </w:rPr>
                  <m:t>+</m:t>
                </m:r>
                <m:sSub>
                  <m:sSubPr>
                    <m:ctrlPr>
                      <w:rPr>
                        <w:rFonts w:ascii="Cambria Math" w:eastAsia="Cambria Math" w:hAnsi="Cambria Math" w:cs="Cambria Math"/>
                        <w:i/>
                        <w:lang w:val="en-GB"/>
                      </w:rPr>
                    </m:ctrlPr>
                  </m:sSubPr>
                  <m:e>
                    <m:r>
                      <w:rPr>
                        <w:rFonts w:ascii="Cambria Math" w:eastAsia="Cambria Math" w:hAnsi="Cambria Math" w:cs="Cambria Math"/>
                        <w:lang w:val="en-GB"/>
                      </w:rPr>
                      <m:t>k</m:t>
                    </m:r>
                  </m:e>
                  <m:sub>
                    <m:r>
                      <w:rPr>
                        <w:rFonts w:ascii="Cambria Math" w:eastAsia="Cambria Math" w:hAnsi="Cambria Math" w:cs="Cambria Math"/>
                        <w:lang w:val="en-GB"/>
                      </w:rPr>
                      <m:t>20</m:t>
                    </m:r>
                  </m:sub>
                </m:sSub>
                <m:r>
                  <w:rPr>
                    <w:rFonts w:ascii="Cambria Math" w:eastAsia="Cambria Math" w:hAnsi="Cambria Math" w:cs="Cambria Math"/>
                    <w:lang w:val="en-GB"/>
                  </w:rPr>
                  <m:t>⋅</m:t>
                </m:r>
                <m:sSub>
                  <m:sSubPr>
                    <m:ctrlPr>
                      <w:rPr>
                        <w:rFonts w:ascii="Cambria Math" w:eastAsia="Cambria Math" w:hAnsi="Cambria Math" w:cs="Cambria Math"/>
                        <w:i/>
                        <w:lang w:val="en-GB"/>
                      </w:rPr>
                    </m:ctrlPr>
                  </m:sSubPr>
                  <m:e>
                    <m:r>
                      <w:rPr>
                        <w:rFonts w:ascii="Cambria Math" w:eastAsia="Cambria Math" w:hAnsi="Cambria Math" w:cs="Cambria Math"/>
                        <w:lang w:val="en-GB"/>
                      </w:rPr>
                      <m:t>X</m:t>
                    </m:r>
                  </m:e>
                  <m:sub>
                    <m:r>
                      <w:rPr>
                        <w:rFonts w:ascii="Cambria Math" w:eastAsia="Cambria Math" w:hAnsi="Cambria Math" w:cs="Cambria Math"/>
                        <w:lang w:val="en-GB"/>
                      </w:rPr>
                      <m:t>1</m:t>
                    </m:r>
                  </m:sub>
                </m:sSub>
                <m:r>
                  <w:rPr>
                    <w:rFonts w:ascii="Cambria Math" w:eastAsia="Cambria Math" w:hAnsi="Cambria Math" w:cs="Cambria Math"/>
                    <w:lang w:val="en-GB"/>
                  </w:rPr>
                  <m:t>⋅</m:t>
                </m:r>
                <m:sSubSup>
                  <m:sSubSupPr>
                    <m:ctrlPr>
                      <w:rPr>
                        <w:rFonts w:ascii="Cambria Math" w:eastAsia="Cambria Math" w:hAnsi="Cambria Math" w:cs="Cambria Math"/>
                        <w:i/>
                        <w:lang w:val="en-GB"/>
                      </w:rPr>
                    </m:ctrlPr>
                  </m:sSubSupPr>
                  <m:e>
                    <m:r>
                      <w:rPr>
                        <w:rFonts w:ascii="Cambria Math" w:eastAsia="Cambria Math" w:hAnsi="Cambria Math" w:cs="Cambria Math"/>
                        <w:lang w:val="en-GB"/>
                      </w:rPr>
                      <m:t>X</m:t>
                    </m:r>
                  </m:e>
                  <m:sub>
                    <m:r>
                      <w:rPr>
                        <w:rFonts w:ascii="Cambria Math" w:eastAsia="Cambria Math" w:hAnsi="Cambria Math" w:cs="Cambria Math"/>
                        <w:lang w:val="en-GB"/>
                      </w:rPr>
                      <m:t>2</m:t>
                    </m:r>
                  </m:sub>
                  <m:sup>
                    <m:r>
                      <w:rPr>
                        <w:rFonts w:ascii="Cambria Math" w:eastAsia="Cambria Math" w:hAnsi="Cambria Math" w:cs="Cambria Math"/>
                        <w:lang w:val="en-GB"/>
                      </w:rPr>
                      <m:t>4</m:t>
                    </m:r>
                  </m:sup>
                </m:sSubSup>
                <m:r>
                  <w:rPr>
                    <w:rFonts w:ascii="Cambria Math" w:eastAsia="Cambria Math" w:hAnsi="Cambria Math" w:cs="Cambria Math"/>
                    <w:lang w:val="en-GB"/>
                  </w:rPr>
                  <m:t>+</m:t>
                </m:r>
                <m:sSub>
                  <m:sSubPr>
                    <m:ctrlPr>
                      <w:rPr>
                        <w:rFonts w:ascii="Cambria Math" w:eastAsia="Cambria Math" w:hAnsi="Cambria Math" w:cs="Cambria Math"/>
                        <w:i/>
                        <w:lang w:val="en-GB"/>
                      </w:rPr>
                    </m:ctrlPr>
                  </m:sSubPr>
                  <m:e>
                    <m:r>
                      <w:rPr>
                        <w:rFonts w:ascii="Cambria Math" w:eastAsia="Cambria Math" w:hAnsi="Cambria Math" w:cs="Cambria Math"/>
                        <w:lang w:val="en-GB"/>
                      </w:rPr>
                      <m:t>k</m:t>
                    </m:r>
                  </m:e>
                  <m:sub>
                    <m:r>
                      <w:rPr>
                        <w:rFonts w:ascii="Cambria Math" w:eastAsia="Cambria Math" w:hAnsi="Cambria Math" w:cs="Cambria Math"/>
                        <w:lang w:val="en-GB"/>
                      </w:rPr>
                      <m:t>21</m:t>
                    </m:r>
                  </m:sub>
                </m:sSub>
                <m:r>
                  <w:rPr>
                    <w:rFonts w:ascii="Cambria Math" w:eastAsia="Cambria Math" w:hAnsi="Cambria Math" w:cs="Cambria Math"/>
                    <w:lang w:val="en-GB"/>
                  </w:rPr>
                  <m:t>⋅</m:t>
                </m:r>
                <m:sSubSup>
                  <m:sSubSupPr>
                    <m:ctrlPr>
                      <w:rPr>
                        <w:rFonts w:ascii="Cambria Math" w:eastAsia="Cambria Math" w:hAnsi="Cambria Math" w:cs="Cambria Math"/>
                        <w:i/>
                        <w:lang w:val="en-GB"/>
                      </w:rPr>
                    </m:ctrlPr>
                  </m:sSubSupPr>
                  <m:e>
                    <m:r>
                      <w:rPr>
                        <w:rFonts w:ascii="Cambria Math" w:eastAsia="Cambria Math" w:hAnsi="Cambria Math" w:cs="Cambria Math"/>
                        <w:lang w:val="en-GB"/>
                      </w:rPr>
                      <m:t>X</m:t>
                    </m:r>
                  </m:e>
                  <m:sub>
                    <m:r>
                      <w:rPr>
                        <w:rFonts w:ascii="Cambria Math" w:eastAsia="Cambria Math" w:hAnsi="Cambria Math" w:cs="Cambria Math"/>
                        <w:lang w:val="en-GB"/>
                      </w:rPr>
                      <m:t>2</m:t>
                    </m:r>
                  </m:sub>
                  <m:sup>
                    <m:r>
                      <w:rPr>
                        <w:rFonts w:ascii="Cambria Math" w:eastAsia="Cambria Math" w:hAnsi="Cambria Math" w:cs="Cambria Math"/>
                        <w:lang w:val="en-GB"/>
                      </w:rPr>
                      <m:t>5</m:t>
                    </m:r>
                  </m:sup>
                </m:sSubSup>
              </m:oMath>
            </m:oMathPara>
          </w:p>
        </w:tc>
        <w:tc>
          <w:tcPr>
            <w:tcW w:w="985" w:type="dxa"/>
            <w:shd w:val="clear" w:color="auto" w:fill="auto"/>
            <w:vAlign w:val="center"/>
          </w:tcPr>
          <w:p w14:paraId="386CE0C2" w14:textId="7D062290" w:rsidR="00F00276" w:rsidRPr="00A94774" w:rsidRDefault="00F00276" w:rsidP="005D3FB7">
            <w:pPr>
              <w:pStyle w:val="Els-body-text"/>
              <w:spacing w:before="120" w:after="120" w:line="264" w:lineRule="auto"/>
              <w:jc w:val="right"/>
              <w:rPr>
                <w:lang w:val="en-GB"/>
              </w:rPr>
            </w:pPr>
            <w:r w:rsidRPr="00A94774">
              <w:rPr>
                <w:lang w:val="en-GB"/>
              </w:rPr>
              <w:t>(</w:t>
            </w:r>
            <w:r>
              <w:rPr>
                <w:lang w:val="en-GB"/>
              </w:rPr>
              <w:t>2</w:t>
            </w:r>
            <w:r w:rsidRPr="00A94774">
              <w:rPr>
                <w:lang w:val="en-GB"/>
              </w:rPr>
              <w:t>)</w:t>
            </w:r>
          </w:p>
        </w:tc>
      </w:tr>
    </w:tbl>
    <w:p w14:paraId="2CFA4C7C" w14:textId="3CEC5036" w:rsidR="00F00276" w:rsidRDefault="00F00276" w:rsidP="00F00276">
      <w:pPr>
        <w:pStyle w:val="Els-body-text"/>
        <w:keepNext/>
        <w:spacing w:before="120"/>
        <w:jc w:val="left"/>
        <w:rPr>
          <w:color w:val="000000"/>
          <w:bdr w:val="none" w:sz="0" w:space="0" w:color="auto" w:frame="1"/>
        </w:rPr>
      </w:pPr>
      <w:proofErr w:type="gramStart"/>
      <w:r>
        <w:rPr>
          <w:color w:val="000000"/>
          <w:bdr w:val="none" w:sz="0" w:space="0" w:color="auto" w:frame="1"/>
        </w:rPr>
        <w:t>where</w:t>
      </w:r>
      <w:proofErr w:type="gramEnd"/>
      <w:r>
        <w:rPr>
          <w:color w:val="000000"/>
          <w:bdr w:val="none" w:sz="0" w:space="0" w:color="auto" w:frame="1"/>
        </w:rPr>
        <w:t xml:space="preserve"> </w:t>
      </w:r>
      <w:r w:rsidRPr="00F00276">
        <w:rPr>
          <w:i/>
          <w:iCs/>
          <w:color w:val="000000"/>
          <w:bdr w:val="none" w:sz="0" w:space="0" w:color="auto" w:frame="1"/>
        </w:rPr>
        <w:t>X</w:t>
      </w:r>
      <w:r w:rsidRPr="00F00276">
        <w:rPr>
          <w:i/>
          <w:iCs/>
          <w:color w:val="000000"/>
          <w:bdr w:val="none" w:sz="0" w:space="0" w:color="auto" w:frame="1"/>
          <w:vertAlign w:val="subscript"/>
        </w:rPr>
        <w:t>1</w:t>
      </w:r>
      <w:r>
        <w:rPr>
          <w:color w:val="000000"/>
          <w:bdr w:val="none" w:sz="0" w:space="0" w:color="auto" w:frame="1"/>
        </w:rPr>
        <w:t xml:space="preserve"> and </w:t>
      </w:r>
      <w:r w:rsidRPr="00F00276">
        <w:rPr>
          <w:i/>
          <w:iCs/>
          <w:color w:val="000000"/>
          <w:bdr w:val="none" w:sz="0" w:space="0" w:color="auto" w:frame="1"/>
        </w:rPr>
        <w:t>X</w:t>
      </w:r>
      <w:r w:rsidRPr="00F00276">
        <w:rPr>
          <w:i/>
          <w:iCs/>
          <w:color w:val="000000"/>
          <w:bdr w:val="none" w:sz="0" w:space="0" w:color="auto" w:frame="1"/>
          <w:vertAlign w:val="subscript"/>
        </w:rPr>
        <w:t>2</w:t>
      </w:r>
      <w:r>
        <w:rPr>
          <w:color w:val="000000"/>
          <w:bdr w:val="none" w:sz="0" w:space="0" w:color="auto" w:frame="1"/>
        </w:rPr>
        <w:t xml:space="preserve"> are respectively the methane and carbon dioxide flowrates and </w:t>
      </w:r>
      <w:proofErr w:type="spellStart"/>
      <w:r w:rsidR="004714AD">
        <w:rPr>
          <w:i/>
          <w:iCs/>
          <w:color w:val="000000"/>
          <w:bdr w:val="none" w:sz="0" w:space="0" w:color="auto" w:frame="1"/>
        </w:rPr>
        <w:t>k</w:t>
      </w:r>
      <w:r w:rsidRPr="00F00276">
        <w:rPr>
          <w:i/>
          <w:iCs/>
          <w:color w:val="000000"/>
          <w:bdr w:val="none" w:sz="0" w:space="0" w:color="auto" w:frame="1"/>
          <w:vertAlign w:val="subscript"/>
        </w:rPr>
        <w:t>i</w:t>
      </w:r>
      <w:proofErr w:type="spellEnd"/>
      <w:r>
        <w:rPr>
          <w:color w:val="000000"/>
          <w:bdr w:val="none" w:sz="0" w:space="0" w:color="auto" w:frame="1"/>
        </w:rPr>
        <w:t xml:space="preserve"> are the model parameters provided by the optimizer.</w:t>
      </w:r>
      <w:r w:rsidR="00160D03">
        <w:rPr>
          <w:color w:val="000000"/>
          <w:bdr w:val="none" w:sz="0" w:space="0" w:color="auto" w:frame="1"/>
        </w:rPr>
        <w:t xml:space="preserve"> It is worth remarking that</w:t>
      </w:r>
      <w:r>
        <w:rPr>
          <w:color w:val="000000"/>
          <w:bdr w:val="none" w:sz="0" w:space="0" w:color="auto" w:frame="1"/>
        </w:rPr>
        <w:t xml:space="preserve"> </w:t>
      </w:r>
      <w:r w:rsidR="00160D03">
        <w:rPr>
          <w:color w:val="000000"/>
          <w:bdr w:val="none" w:sz="0" w:space="0" w:color="auto" w:frame="1"/>
        </w:rPr>
        <w:t>this model is just the result of an optimal data correlation and the obtained parameters have no particular meaning from a physical point of view.</w:t>
      </w:r>
    </w:p>
    <w:p w14:paraId="39C07F25" w14:textId="06DF7199" w:rsidR="00851FF5" w:rsidRDefault="00851FF5" w:rsidP="00851FF5">
      <w:pPr>
        <w:pStyle w:val="Els-body-text"/>
        <w:keepNext/>
        <w:spacing w:before="120"/>
        <w:jc w:val="center"/>
      </w:pPr>
      <w:r w:rsidRPr="00851FF5">
        <w:rPr>
          <w:color w:val="000000"/>
          <w:bdr w:val="none" w:sz="0" w:space="0" w:color="auto" w:frame="1"/>
        </w:rPr>
        <w:t xml:space="preserve"> </w:t>
      </w:r>
      <w:r w:rsidR="00564885">
        <w:rPr>
          <w:noProof/>
          <w:color w:val="000000"/>
          <w:bdr w:val="none" w:sz="0" w:space="0" w:color="auto" w:frame="1"/>
        </w:rPr>
        <w:drawing>
          <wp:inline distT="0" distB="0" distL="0" distR="0" wp14:anchorId="52C90685" wp14:editId="46AD2552">
            <wp:extent cx="2204573" cy="1656000"/>
            <wp:effectExtent l="0" t="0" r="5715" b="1905"/>
            <wp:docPr id="364384603" name="Immagine 2" descr="Immagine che contiene diagramma, linea, origami,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384603" name="Immagine 2" descr="Immagine che contiene diagramma, linea, origami, design&#10;&#10;Descrizione generata automa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4573" cy="1656000"/>
                    </a:xfrm>
                    <a:prstGeom prst="rect">
                      <a:avLst/>
                    </a:prstGeom>
                    <a:noFill/>
                    <a:ln>
                      <a:noFill/>
                    </a:ln>
                  </pic:spPr>
                </pic:pic>
              </a:graphicData>
            </a:graphic>
          </wp:inline>
        </w:drawing>
      </w:r>
      <w:r w:rsidR="00564885">
        <w:rPr>
          <w:noProof/>
          <w:color w:val="000000"/>
          <w:bdr w:val="none" w:sz="0" w:space="0" w:color="auto" w:frame="1"/>
        </w:rPr>
        <w:t xml:space="preserve"> </w:t>
      </w:r>
      <w:r w:rsidR="00564885">
        <w:rPr>
          <w:noProof/>
          <w:color w:val="000000"/>
          <w:bdr w:val="none" w:sz="0" w:space="0" w:color="auto" w:frame="1"/>
        </w:rPr>
        <w:drawing>
          <wp:inline distT="0" distB="0" distL="0" distR="0" wp14:anchorId="0FCF28D8" wp14:editId="11B77917">
            <wp:extent cx="2204573" cy="1656000"/>
            <wp:effectExtent l="0" t="0" r="5715" b="1905"/>
            <wp:docPr id="789103346" name="Immagine 3" descr="Immagine che contiene testo, schermata, line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103346" name="Immagine 3" descr="Immagine che contiene testo, schermata, linea, Diagramma&#10;&#10;Descrizione generata automa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4573" cy="1656000"/>
                    </a:xfrm>
                    <a:prstGeom prst="rect">
                      <a:avLst/>
                    </a:prstGeom>
                    <a:noFill/>
                    <a:ln>
                      <a:noFill/>
                    </a:ln>
                  </pic:spPr>
                </pic:pic>
              </a:graphicData>
            </a:graphic>
          </wp:inline>
        </w:drawing>
      </w:r>
      <w:r w:rsidR="00564885">
        <w:rPr>
          <w:noProof/>
          <w:color w:val="000000"/>
          <w:bdr w:val="none" w:sz="0" w:space="0" w:color="auto" w:frame="1"/>
        </w:rPr>
        <w:t xml:space="preserve"> </w:t>
      </w:r>
    </w:p>
    <w:p w14:paraId="28DA7A32" w14:textId="5A64D749" w:rsidR="00851FF5" w:rsidRDefault="00851FF5" w:rsidP="00136B59">
      <w:pPr>
        <w:pStyle w:val="Lgende"/>
        <w:jc w:val="both"/>
      </w:pPr>
      <w:r>
        <w:t xml:space="preserve">Figure </w:t>
      </w:r>
      <w:r>
        <w:fldChar w:fldCharType="begin"/>
      </w:r>
      <w:r>
        <w:instrText xml:space="preserve"> SEQ Figure \* ARABIC </w:instrText>
      </w:r>
      <w:r>
        <w:fldChar w:fldCharType="separate"/>
      </w:r>
      <w:r>
        <w:rPr>
          <w:noProof/>
        </w:rPr>
        <w:t>3</w:t>
      </w:r>
      <w:r>
        <w:fldChar w:fldCharType="end"/>
      </w:r>
      <w:r>
        <w:t xml:space="preserve"> – </w:t>
      </w:r>
      <w:r w:rsidR="00BE3D73">
        <w:t>left) RS vs. validation dataset</w:t>
      </w:r>
      <w:r>
        <w:t xml:space="preserve"> </w:t>
      </w:r>
      <w:r w:rsidR="00BE3D73">
        <w:t>- right</w:t>
      </w:r>
      <w:r>
        <w:t xml:space="preserve">) </w:t>
      </w:r>
      <w:r w:rsidR="00BE3D73">
        <w:t>Computational time and mean relative error</w:t>
      </w:r>
    </w:p>
    <w:p w14:paraId="144DE6B9" w14:textId="73EE22BC" w:rsidR="008D2649" w:rsidRPr="00F65F0C" w:rsidRDefault="00C52918" w:rsidP="004A0B86">
      <w:pPr>
        <w:pStyle w:val="Els-body-text"/>
      </w:pPr>
      <w:r>
        <w:t xml:space="preserve">As concerns the </w:t>
      </w:r>
      <w:r w:rsidR="00564885">
        <w:t>dataset</w:t>
      </w:r>
      <w:r>
        <w:t xml:space="preserve"> size</w:t>
      </w:r>
      <w:r w:rsidR="00564885">
        <w:t xml:space="preserve"> related performances</w:t>
      </w:r>
      <w:r>
        <w:t xml:space="preserve">, results </w:t>
      </w:r>
      <w:proofErr w:type="gramStart"/>
      <w:r>
        <w:t>are provided</w:t>
      </w:r>
      <w:proofErr w:type="gramEnd"/>
      <w:r>
        <w:t xml:space="preserve"> in Figure 3</w:t>
      </w:r>
      <w:r w:rsidR="00564885">
        <w:t xml:space="preserve"> (right)</w:t>
      </w:r>
      <w:r>
        <w:t xml:space="preserve">. As expected, the overall computational time, given by the sum of the DoE and the function generation over the entire domain, increases with the sample size as well as the model accuracy. However, beyond 40 experimental values, the mean relative error decrease is almost negligible while the computational time keeps increasing with an almost linear trend. </w:t>
      </w:r>
      <w:r w:rsidR="00F65F0C">
        <w:t xml:space="preserve">Therefore, </w:t>
      </w:r>
      <w:proofErr w:type="spellStart"/>
      <w:r w:rsidR="00F65F0C">
        <w:t>beside</w:t>
      </w:r>
      <w:proofErr w:type="spellEnd"/>
      <w:r w:rsidR="00F65F0C">
        <w:t xml:space="preserve"> providing a polynomial function able to replace the </w:t>
      </w:r>
      <w:proofErr w:type="spellStart"/>
      <w:r w:rsidR="00F65F0C">
        <w:t>plantwide</w:t>
      </w:r>
      <w:proofErr w:type="spellEnd"/>
      <w:r w:rsidR="00F65F0C">
        <w:t xml:space="preserve"> simulation for process environmental impact prediction, this methodology allows also </w:t>
      </w:r>
      <w:proofErr w:type="gramStart"/>
      <w:r w:rsidR="00F65F0C">
        <w:t>to define</w:t>
      </w:r>
      <w:proofErr w:type="gramEnd"/>
      <w:r w:rsidR="00F65F0C">
        <w:t xml:space="preserve"> the order of magnitude of the sample size suitable for the model generation. In practice, in case one of the operating parameters should vary, e.g. feed inlet temperature or reactor conversion, without a considerable change of the process thermodynamics or components, a new model </w:t>
      </w:r>
      <w:proofErr w:type="gramStart"/>
      <w:r w:rsidR="00F65F0C">
        <w:t>could be easily obtained</w:t>
      </w:r>
      <w:proofErr w:type="gramEnd"/>
      <w:r w:rsidR="00F65F0C">
        <w:t xml:space="preserve"> by using a dataset of about 50 samples. </w:t>
      </w:r>
    </w:p>
    <w:p w14:paraId="144DE6BA" w14:textId="77777777" w:rsidR="008D2649" w:rsidRPr="00A94774" w:rsidRDefault="008D2649" w:rsidP="008D2649">
      <w:pPr>
        <w:pStyle w:val="Els-1storder-head"/>
        <w:spacing w:after="120"/>
        <w:rPr>
          <w:lang w:val="en-GB"/>
        </w:rPr>
      </w:pPr>
      <w:r w:rsidRPr="00A94774">
        <w:rPr>
          <w:lang w:val="en-GB"/>
        </w:rPr>
        <w:t>Conclusions</w:t>
      </w:r>
    </w:p>
    <w:p w14:paraId="692661ED" w14:textId="75BA51FE" w:rsidR="00486590" w:rsidRDefault="000A1A2E" w:rsidP="00486590">
      <w:pPr>
        <w:pStyle w:val="Els-body-text"/>
        <w:rPr>
          <w:lang w:val="en-GB"/>
        </w:rPr>
      </w:pPr>
      <w:r>
        <w:rPr>
          <w:lang w:val="en-GB"/>
        </w:rPr>
        <w:t xml:space="preserve">The proposed methodology, based on RSM for surrogate </w:t>
      </w:r>
      <w:proofErr w:type="spellStart"/>
      <w:r>
        <w:rPr>
          <w:lang w:val="en-GB"/>
        </w:rPr>
        <w:t>modeling</w:t>
      </w:r>
      <w:proofErr w:type="spellEnd"/>
      <w:r>
        <w:rPr>
          <w:lang w:val="en-GB"/>
        </w:rPr>
        <w:t xml:space="preserve"> generation, provided both positive and reliable outcome for the specific case study and promising results of general validity. In particular, the research showed that building a </w:t>
      </w:r>
      <w:proofErr w:type="spellStart"/>
      <w:r>
        <w:rPr>
          <w:lang w:val="en-GB"/>
        </w:rPr>
        <w:t>plantwide</w:t>
      </w:r>
      <w:proofErr w:type="spellEnd"/>
      <w:r>
        <w:rPr>
          <w:lang w:val="en-GB"/>
        </w:rPr>
        <w:t xml:space="preserve"> surrogate model that allows to correlate input variables with the overall process </w:t>
      </w:r>
      <w:r w:rsidR="00E11EB2">
        <w:rPr>
          <w:lang w:val="en-GB"/>
        </w:rPr>
        <w:t>energy</w:t>
      </w:r>
      <w:r>
        <w:rPr>
          <w:lang w:val="en-GB"/>
        </w:rPr>
        <w:t xml:space="preserve"> consumption by keeping good accuracy is a viable solution. In terms of computational effort, the obtained data-driven model allows to perform reliable process emissions estimations over a wide range of operating conditions with a computational time reduced by orders of magnitude with respect to the conventional process simulation approach.</w:t>
      </w:r>
      <w:r w:rsidR="00C52918">
        <w:rPr>
          <w:lang w:val="en-GB"/>
        </w:rPr>
        <w:t xml:space="preserve"> Moreover, an optimal sample size in terms of the best compromise between accuracy and computational effort </w:t>
      </w:r>
      <w:proofErr w:type="gramStart"/>
      <w:r w:rsidR="00C52918">
        <w:rPr>
          <w:lang w:val="en-GB"/>
        </w:rPr>
        <w:t>can be easily identified</w:t>
      </w:r>
      <w:proofErr w:type="gramEnd"/>
      <w:r w:rsidR="00C52918">
        <w:rPr>
          <w:lang w:val="en-GB"/>
        </w:rPr>
        <w:t>.</w:t>
      </w:r>
    </w:p>
    <w:p w14:paraId="144DE6BE" w14:textId="515850E3" w:rsidR="008D2649" w:rsidRPr="00A94774" w:rsidRDefault="00486590" w:rsidP="00486590">
      <w:pPr>
        <w:pStyle w:val="Els-body-text"/>
        <w:spacing w:after="120"/>
        <w:rPr>
          <w:lang w:val="en-GB"/>
        </w:rPr>
      </w:pPr>
      <w:r>
        <w:rPr>
          <w:lang w:val="en-GB"/>
        </w:rPr>
        <w:t xml:space="preserve">In terms of future perspectives, the obtained data-driven model </w:t>
      </w:r>
      <w:proofErr w:type="gramStart"/>
      <w:r>
        <w:rPr>
          <w:lang w:val="en-GB"/>
        </w:rPr>
        <w:t>could be used</w:t>
      </w:r>
      <w:proofErr w:type="gramEnd"/>
      <w:r>
        <w:rPr>
          <w:lang w:val="en-GB"/>
        </w:rPr>
        <w:t xml:space="preserve"> for optimal demand response scheduling in order to test the performances in terms of optimal solution accuracy as well as to reduce the computational time when optimal process operating conditions need to be identified during the design phase.</w:t>
      </w:r>
      <w:r w:rsidR="00C52918">
        <w:rPr>
          <w:lang w:val="en-GB"/>
        </w:rPr>
        <w:t xml:space="preserve"> Furthermore, different sampling strategies </w:t>
      </w:r>
      <w:proofErr w:type="gramStart"/>
      <w:r w:rsidR="00C52918">
        <w:rPr>
          <w:lang w:val="en-GB"/>
        </w:rPr>
        <w:t>could be compared</w:t>
      </w:r>
      <w:proofErr w:type="gramEnd"/>
      <w:r w:rsidR="00C52918">
        <w:rPr>
          <w:lang w:val="en-GB"/>
        </w:rPr>
        <w:t xml:space="preserve"> to detect the most suitable one for the specific system under analysis.</w:t>
      </w:r>
    </w:p>
    <w:p w14:paraId="144DE6BF" w14:textId="608D0AD6" w:rsidR="008D2649" w:rsidRPr="001640F5" w:rsidRDefault="008D2649" w:rsidP="008D2649">
      <w:pPr>
        <w:pStyle w:val="Els-reference-head"/>
        <w:rPr>
          <w:lang w:val="es-ES"/>
        </w:rPr>
      </w:pPr>
      <w:proofErr w:type="spellStart"/>
      <w:r w:rsidRPr="001640F5">
        <w:rPr>
          <w:lang w:val="es-ES"/>
        </w:rPr>
        <w:t>References</w:t>
      </w:r>
      <w:proofErr w:type="spellEnd"/>
    </w:p>
    <w:p w14:paraId="13FF8BB6" w14:textId="32E0A3D5" w:rsidR="00332AB2" w:rsidRDefault="00332AB2" w:rsidP="0041754E">
      <w:pPr>
        <w:pStyle w:val="Els-referenceno-number"/>
        <w:rPr>
          <w:lang w:val="en-US"/>
        </w:rPr>
      </w:pPr>
      <w:r w:rsidRPr="00C23FE8">
        <w:rPr>
          <w:lang w:val="es-ES"/>
        </w:rPr>
        <w:t xml:space="preserve">R. Alizadeh, J.K. Allen, F. Mistree, 2020. </w:t>
      </w:r>
      <w:r w:rsidRPr="00332AB2">
        <w:rPr>
          <w:lang w:val="en-US"/>
        </w:rPr>
        <w:t>Managing computational complexity using surrogate models: a critical review. Res</w:t>
      </w:r>
      <w:r>
        <w:rPr>
          <w:lang w:val="en-US"/>
        </w:rPr>
        <w:t xml:space="preserve">earch </w:t>
      </w:r>
      <w:r w:rsidR="00D72CA9">
        <w:rPr>
          <w:lang w:val="en-US"/>
        </w:rPr>
        <w:t xml:space="preserve">in </w:t>
      </w:r>
      <w:r w:rsidRPr="00332AB2">
        <w:rPr>
          <w:lang w:val="en-US"/>
        </w:rPr>
        <w:t>Eng</w:t>
      </w:r>
      <w:r>
        <w:rPr>
          <w:lang w:val="en-US"/>
        </w:rPr>
        <w:t>ineering</w:t>
      </w:r>
      <w:r w:rsidRPr="00332AB2">
        <w:rPr>
          <w:lang w:val="en-US"/>
        </w:rPr>
        <w:t xml:space="preserve"> Design 31, 275–298.</w:t>
      </w:r>
    </w:p>
    <w:p w14:paraId="7E24D97E" w14:textId="1F138294" w:rsidR="0041754E" w:rsidRDefault="0041754E" w:rsidP="0041754E">
      <w:pPr>
        <w:pStyle w:val="Els-referenceno-number"/>
        <w:rPr>
          <w:lang w:val="en-US"/>
        </w:rPr>
      </w:pPr>
      <w:r w:rsidRPr="00803F38">
        <w:rPr>
          <w:lang w:val="en-US"/>
        </w:rPr>
        <w:t>G.</w:t>
      </w:r>
      <w:r w:rsidR="00854BD2">
        <w:rPr>
          <w:lang w:val="en-US"/>
        </w:rPr>
        <w:t xml:space="preserve"> </w:t>
      </w:r>
      <w:r w:rsidRPr="00803F38">
        <w:rPr>
          <w:lang w:val="en-US"/>
        </w:rPr>
        <w:t>E.</w:t>
      </w:r>
      <w:r w:rsidR="00854BD2">
        <w:rPr>
          <w:lang w:val="en-US"/>
        </w:rPr>
        <w:t xml:space="preserve"> </w:t>
      </w:r>
      <w:r w:rsidRPr="00803F38">
        <w:rPr>
          <w:lang w:val="en-US"/>
        </w:rPr>
        <w:t xml:space="preserve">P. Box, K.B. Wilson, 1951. </w:t>
      </w:r>
      <w:r w:rsidRPr="0041754E">
        <w:rPr>
          <w:lang w:val="en-US"/>
        </w:rPr>
        <w:t>On the experimental attainment of optimum conditions.</w:t>
      </w:r>
      <w:r>
        <w:rPr>
          <w:lang w:val="en-US"/>
        </w:rPr>
        <w:t xml:space="preserve"> </w:t>
      </w:r>
      <w:r w:rsidRPr="0041754E">
        <w:rPr>
          <w:lang w:val="en-US"/>
        </w:rPr>
        <w:t>J</w:t>
      </w:r>
      <w:r>
        <w:rPr>
          <w:lang w:val="en-US"/>
        </w:rPr>
        <w:t>ournal of</w:t>
      </w:r>
      <w:r w:rsidRPr="0041754E">
        <w:rPr>
          <w:lang w:val="en-US"/>
        </w:rPr>
        <w:t xml:space="preserve"> R</w:t>
      </w:r>
      <w:r>
        <w:rPr>
          <w:lang w:val="en-US"/>
        </w:rPr>
        <w:t xml:space="preserve">oyal </w:t>
      </w:r>
      <w:r w:rsidRPr="0041754E">
        <w:rPr>
          <w:lang w:val="en-US"/>
        </w:rPr>
        <w:t>Stat</w:t>
      </w:r>
      <w:r>
        <w:rPr>
          <w:lang w:val="en-US"/>
        </w:rPr>
        <w:t>istical</w:t>
      </w:r>
      <w:r w:rsidRPr="0041754E">
        <w:rPr>
          <w:lang w:val="en-US"/>
        </w:rPr>
        <w:t xml:space="preserve"> Soc</w:t>
      </w:r>
      <w:r>
        <w:rPr>
          <w:lang w:val="en-US"/>
        </w:rPr>
        <w:t xml:space="preserve">iety - </w:t>
      </w:r>
      <w:r w:rsidRPr="0041754E">
        <w:rPr>
          <w:lang w:val="en-US"/>
        </w:rPr>
        <w:t>Ser</w:t>
      </w:r>
      <w:r>
        <w:rPr>
          <w:lang w:val="en-US"/>
        </w:rPr>
        <w:t>ies</w:t>
      </w:r>
      <w:r w:rsidRPr="0041754E">
        <w:rPr>
          <w:lang w:val="en-US"/>
        </w:rPr>
        <w:t xml:space="preserve"> B </w:t>
      </w:r>
      <w:r>
        <w:rPr>
          <w:lang w:val="en-US"/>
        </w:rPr>
        <w:t>(</w:t>
      </w:r>
      <w:r w:rsidRPr="0041754E">
        <w:rPr>
          <w:lang w:val="en-US"/>
        </w:rPr>
        <w:t>Methodol</w:t>
      </w:r>
      <w:r>
        <w:rPr>
          <w:lang w:val="en-US"/>
        </w:rPr>
        <w:t>ogical)</w:t>
      </w:r>
      <w:r w:rsidRPr="0041754E">
        <w:rPr>
          <w:lang w:val="en-US"/>
        </w:rPr>
        <w:t xml:space="preserve"> 13(1), 1–45.</w:t>
      </w:r>
    </w:p>
    <w:p w14:paraId="03478968" w14:textId="6D773201" w:rsidR="00343A78" w:rsidRPr="00343A78" w:rsidRDefault="00343A78" w:rsidP="0041754E">
      <w:pPr>
        <w:pStyle w:val="Els-referenceno-number"/>
        <w:rPr>
          <w:lang w:val="en-US"/>
        </w:rPr>
      </w:pPr>
      <w:r w:rsidRPr="00BC3F95">
        <w:rPr>
          <w:lang w:val="en-US"/>
        </w:rPr>
        <w:t xml:space="preserve">A. Di Pretoro, B. Bruns, S. Negny, M. Grünewald, J. Riese, 2022. </w:t>
      </w:r>
      <w:r w:rsidRPr="00343A78">
        <w:rPr>
          <w:lang w:val="en-US"/>
        </w:rPr>
        <w:t>Demand Response Scheduling Using Derivative-Based Dynamic Surrogate Models. Computers &amp; Chemical Engineering</w:t>
      </w:r>
      <w:r w:rsidR="0041754E">
        <w:rPr>
          <w:lang w:val="en-US"/>
        </w:rPr>
        <w:t xml:space="preserve"> 160</w:t>
      </w:r>
      <w:r w:rsidRPr="00343A78">
        <w:rPr>
          <w:lang w:val="en-US"/>
        </w:rPr>
        <w:t>, 107711</w:t>
      </w:r>
      <w:r w:rsidR="0041754E">
        <w:rPr>
          <w:lang w:val="en-US"/>
        </w:rPr>
        <w:t>.</w:t>
      </w:r>
    </w:p>
    <w:p w14:paraId="45E90BF4" w14:textId="318D2A43" w:rsidR="000B16AD" w:rsidRDefault="000B16AD" w:rsidP="000B16AD">
      <w:pPr>
        <w:pStyle w:val="Els-referenceno-number"/>
        <w:rPr>
          <w:lang w:val="en-US"/>
        </w:rPr>
      </w:pPr>
      <w:r w:rsidRPr="000B16AD">
        <w:rPr>
          <w:lang w:val="en-US"/>
        </w:rPr>
        <w:t>M. Gadalla, Ž. Olujić, M. Jobson, R. Smith,</w:t>
      </w:r>
      <w:r>
        <w:rPr>
          <w:lang w:val="en-US"/>
        </w:rPr>
        <w:t xml:space="preserve"> 2006. </w:t>
      </w:r>
      <w:r w:rsidRPr="000B16AD">
        <w:rPr>
          <w:lang w:val="en-US"/>
        </w:rPr>
        <w:t>Estimation and reduction of CO2 emissions from crude oil distillation units,</w:t>
      </w:r>
      <w:r>
        <w:rPr>
          <w:lang w:val="en-US"/>
        </w:rPr>
        <w:t xml:space="preserve"> </w:t>
      </w:r>
      <w:r w:rsidRPr="000B16AD">
        <w:rPr>
          <w:lang w:val="en-US"/>
        </w:rPr>
        <w:t>Energy</w:t>
      </w:r>
      <w:r>
        <w:rPr>
          <w:lang w:val="en-US"/>
        </w:rPr>
        <w:t xml:space="preserve"> </w:t>
      </w:r>
      <w:r w:rsidRPr="000B16AD">
        <w:rPr>
          <w:lang w:val="en-US"/>
        </w:rPr>
        <w:t>31</w:t>
      </w:r>
      <w:r>
        <w:rPr>
          <w:lang w:val="en-US"/>
        </w:rPr>
        <w:t xml:space="preserve">(13), </w:t>
      </w:r>
      <w:r w:rsidRPr="000B16AD">
        <w:rPr>
          <w:lang w:val="en-US"/>
        </w:rPr>
        <w:t>2398-2408</w:t>
      </w:r>
      <w:r>
        <w:rPr>
          <w:lang w:val="en-US"/>
        </w:rPr>
        <w:t>.</w:t>
      </w:r>
    </w:p>
    <w:p w14:paraId="6A6F1D17" w14:textId="790EC002" w:rsidR="00343A78" w:rsidRPr="00343A78" w:rsidRDefault="00343A78" w:rsidP="000B16AD">
      <w:pPr>
        <w:pStyle w:val="Els-referenceno-number"/>
        <w:rPr>
          <w:lang w:val="en-US"/>
        </w:rPr>
      </w:pPr>
      <w:r w:rsidRPr="00343A78">
        <w:rPr>
          <w:lang w:val="en-US"/>
        </w:rPr>
        <w:t>M. Fedeli, F., Manenti, 2022. Assessing process effectiveness with specific environmental and economic impact of heat, power &amp; chemicals (HPC) option as future perspective in biogas. Cleaner Chemical Engineering 2, 100016.</w:t>
      </w:r>
    </w:p>
    <w:p w14:paraId="144DE6C2" w14:textId="1C41760D" w:rsidR="008D2649" w:rsidRPr="00B75A1B" w:rsidRDefault="00343A78" w:rsidP="00343A78">
      <w:pPr>
        <w:pStyle w:val="Els-referenceno-number"/>
        <w:rPr>
          <w:lang w:val="nl-NL"/>
        </w:rPr>
      </w:pPr>
      <w:r w:rsidRPr="00343A78">
        <w:rPr>
          <w:lang w:val="en-US"/>
        </w:rPr>
        <w:t xml:space="preserve">K. McBride, K. Sundmacher, 2019. Overview of Surrogate Modeling in Chemical Process Engineering. </w:t>
      </w:r>
      <w:r w:rsidRPr="00B75A1B">
        <w:rPr>
          <w:lang w:val="nl-NL"/>
        </w:rPr>
        <w:t>Chemie Ingenieur Technik 91, 228–239</w:t>
      </w:r>
      <w:r w:rsidR="008D2649" w:rsidRPr="00B75A1B">
        <w:rPr>
          <w:lang w:val="nl-NL"/>
        </w:rPr>
        <w:t>.</w:t>
      </w:r>
    </w:p>
    <w:p w14:paraId="32E6D038" w14:textId="01B77E57" w:rsidR="003A4F5F" w:rsidRDefault="003A4F5F" w:rsidP="00343A78">
      <w:pPr>
        <w:pStyle w:val="Els-referenceno-number"/>
        <w:rPr>
          <w:lang w:val="en-US"/>
        </w:rPr>
      </w:pPr>
      <w:r w:rsidRPr="00B75A1B">
        <w:rPr>
          <w:lang w:val="nl-NL"/>
        </w:rPr>
        <w:t xml:space="preserve">McKay, M.D., Beckman, R.J., Conover, W.J., 1979. </w:t>
      </w:r>
      <w:r w:rsidRPr="003A4F5F">
        <w:rPr>
          <w:lang w:val="en-US"/>
        </w:rPr>
        <w:t>Comparison of three methods for selecting values of input variables in the analysis of output from a computer code. Technometrics 21(2), 239–245.</w:t>
      </w:r>
    </w:p>
    <w:p w14:paraId="144DE6C3" w14:textId="77777777" w:rsidR="008D2649" w:rsidRDefault="008D2649" w:rsidP="008D2649">
      <w:pPr>
        <w:pStyle w:val="Els-referenceno-number"/>
        <w:rPr>
          <w:lang w:val="en-US"/>
        </w:rPr>
      </w:pPr>
    </w:p>
    <w:sectPr w:rsidR="008D2649" w:rsidSect="008B0184">
      <w:headerReference w:type="even" r:id="rId14"/>
      <w:headerReference w:type="default" r:id="rId15"/>
      <w:head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64990" w14:textId="77777777" w:rsidR="001159CF" w:rsidRDefault="001159CF">
      <w:r>
        <w:separator/>
      </w:r>
    </w:p>
  </w:endnote>
  <w:endnote w:type="continuationSeparator" w:id="0">
    <w:p w14:paraId="5F7880E0" w14:textId="77777777" w:rsidR="001159CF" w:rsidRDefault="00115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6D67A" w14:textId="77777777" w:rsidR="001159CF" w:rsidRDefault="001159CF">
      <w:r>
        <w:separator/>
      </w:r>
    </w:p>
  </w:footnote>
  <w:footnote w:type="continuationSeparator" w:id="0">
    <w:p w14:paraId="2D829081" w14:textId="77777777" w:rsidR="001159CF" w:rsidRDefault="00115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9" w14:textId="0FDCE89D" w:rsidR="00DD3D9E" w:rsidRDefault="00DD3D9E">
    <w:pPr>
      <w:pStyle w:val="En-tte"/>
      <w:tabs>
        <w:tab w:val="clear" w:pos="7200"/>
        <w:tab w:val="right" w:pos="7088"/>
      </w:tabs>
    </w:pPr>
    <w:r>
      <w:rPr>
        <w:rStyle w:val="Numrodepage"/>
      </w:rPr>
      <w:tab/>
    </w:r>
    <w:r>
      <w:rPr>
        <w:rStyle w:val="Numrodepage"/>
        <w:i/>
      </w:rPr>
      <w:tab/>
    </w:r>
    <w:r w:rsidR="00F96C96">
      <w:rPr>
        <w:i/>
      </w:rPr>
      <w:t>G. Carnio et 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A" w14:textId="1136CC5A" w:rsidR="00DD3D9E" w:rsidRDefault="00F96C96" w:rsidP="00F96C96">
    <w:pPr>
      <w:pStyle w:val="En-tte"/>
      <w:tabs>
        <w:tab w:val="clear" w:pos="7200"/>
        <w:tab w:val="right" w:pos="7088"/>
      </w:tabs>
      <w:rPr>
        <w:sz w:val="24"/>
      </w:rPr>
    </w:pPr>
    <w:r w:rsidRPr="00F96C96">
      <w:rPr>
        <w:i/>
      </w:rPr>
      <w:t>Surrogate modeling application for process system emissions assessment: improving computational performances for plantwide estimations</w:t>
    </w:r>
    <w:r w:rsidR="00DD3D9E">
      <w:rPr>
        <w:rStyle w:val="Numrodepage"/>
        <w:sz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37"/>
    <w:rsid w:val="000137F3"/>
    <w:rsid w:val="0001386C"/>
    <w:rsid w:val="00015EB9"/>
    <w:rsid w:val="00045135"/>
    <w:rsid w:val="00071EE2"/>
    <w:rsid w:val="000A1A2E"/>
    <w:rsid w:val="000B16AD"/>
    <w:rsid w:val="000D3D9B"/>
    <w:rsid w:val="001159CF"/>
    <w:rsid w:val="00136B59"/>
    <w:rsid w:val="0016032F"/>
    <w:rsid w:val="00160D03"/>
    <w:rsid w:val="001640F5"/>
    <w:rsid w:val="001879F6"/>
    <w:rsid w:val="001A2BA7"/>
    <w:rsid w:val="001A311D"/>
    <w:rsid w:val="001C0148"/>
    <w:rsid w:val="001C757E"/>
    <w:rsid w:val="0020390F"/>
    <w:rsid w:val="00264926"/>
    <w:rsid w:val="002770E3"/>
    <w:rsid w:val="00291B4C"/>
    <w:rsid w:val="002D45DB"/>
    <w:rsid w:val="002E6FB9"/>
    <w:rsid w:val="002F3F75"/>
    <w:rsid w:val="0030709E"/>
    <w:rsid w:val="0031483F"/>
    <w:rsid w:val="00332AB2"/>
    <w:rsid w:val="00343A78"/>
    <w:rsid w:val="00392997"/>
    <w:rsid w:val="003A4F5F"/>
    <w:rsid w:val="003C09DF"/>
    <w:rsid w:val="003D1582"/>
    <w:rsid w:val="003D7E4C"/>
    <w:rsid w:val="003E41C2"/>
    <w:rsid w:val="0041754E"/>
    <w:rsid w:val="00423F13"/>
    <w:rsid w:val="00430EBE"/>
    <w:rsid w:val="004442D5"/>
    <w:rsid w:val="004714AD"/>
    <w:rsid w:val="00486590"/>
    <w:rsid w:val="0049772C"/>
    <w:rsid w:val="004A0B86"/>
    <w:rsid w:val="004B0B13"/>
    <w:rsid w:val="004C3DA6"/>
    <w:rsid w:val="004C41B3"/>
    <w:rsid w:val="004C4352"/>
    <w:rsid w:val="0050791E"/>
    <w:rsid w:val="005140B1"/>
    <w:rsid w:val="00514EC4"/>
    <w:rsid w:val="00530B63"/>
    <w:rsid w:val="005367DD"/>
    <w:rsid w:val="00552EEB"/>
    <w:rsid w:val="00564885"/>
    <w:rsid w:val="00566339"/>
    <w:rsid w:val="00593217"/>
    <w:rsid w:val="005A465C"/>
    <w:rsid w:val="005D0C93"/>
    <w:rsid w:val="00652E3E"/>
    <w:rsid w:val="00681F9A"/>
    <w:rsid w:val="006A69BF"/>
    <w:rsid w:val="006E1E4F"/>
    <w:rsid w:val="006E507D"/>
    <w:rsid w:val="006F3F2B"/>
    <w:rsid w:val="00711DF4"/>
    <w:rsid w:val="00720E1B"/>
    <w:rsid w:val="00725E4D"/>
    <w:rsid w:val="00742B12"/>
    <w:rsid w:val="00762D9C"/>
    <w:rsid w:val="007C7ADF"/>
    <w:rsid w:val="007D70A1"/>
    <w:rsid w:val="007F45BB"/>
    <w:rsid w:val="00803F38"/>
    <w:rsid w:val="008132E8"/>
    <w:rsid w:val="00823407"/>
    <w:rsid w:val="008241B5"/>
    <w:rsid w:val="00850907"/>
    <w:rsid w:val="00851FF5"/>
    <w:rsid w:val="00854BD2"/>
    <w:rsid w:val="008711AB"/>
    <w:rsid w:val="00895B7E"/>
    <w:rsid w:val="008B0184"/>
    <w:rsid w:val="008C14F7"/>
    <w:rsid w:val="008C5D02"/>
    <w:rsid w:val="008D2649"/>
    <w:rsid w:val="008E46B5"/>
    <w:rsid w:val="0090568D"/>
    <w:rsid w:val="009125C9"/>
    <w:rsid w:val="00913879"/>
    <w:rsid w:val="00917661"/>
    <w:rsid w:val="009415DD"/>
    <w:rsid w:val="00970E5D"/>
    <w:rsid w:val="00971355"/>
    <w:rsid w:val="009762EE"/>
    <w:rsid w:val="0097701C"/>
    <w:rsid w:val="00980A65"/>
    <w:rsid w:val="009811BA"/>
    <w:rsid w:val="009B3B28"/>
    <w:rsid w:val="009D2FC1"/>
    <w:rsid w:val="00A030E5"/>
    <w:rsid w:val="00A25E70"/>
    <w:rsid w:val="00A33765"/>
    <w:rsid w:val="00A63269"/>
    <w:rsid w:val="00A8059D"/>
    <w:rsid w:val="00A92377"/>
    <w:rsid w:val="00AB29ED"/>
    <w:rsid w:val="00AE2B01"/>
    <w:rsid w:val="00AE4BD8"/>
    <w:rsid w:val="00B0260B"/>
    <w:rsid w:val="00B2622F"/>
    <w:rsid w:val="00B4150F"/>
    <w:rsid w:val="00B4388F"/>
    <w:rsid w:val="00B45E72"/>
    <w:rsid w:val="00B63237"/>
    <w:rsid w:val="00B75A1B"/>
    <w:rsid w:val="00BA4E92"/>
    <w:rsid w:val="00BB41EB"/>
    <w:rsid w:val="00BB4C67"/>
    <w:rsid w:val="00BC3F95"/>
    <w:rsid w:val="00BE3D73"/>
    <w:rsid w:val="00C00109"/>
    <w:rsid w:val="00C03DA8"/>
    <w:rsid w:val="00C23FE8"/>
    <w:rsid w:val="00C31EB8"/>
    <w:rsid w:val="00C42195"/>
    <w:rsid w:val="00C47CBD"/>
    <w:rsid w:val="00C52918"/>
    <w:rsid w:val="00C56584"/>
    <w:rsid w:val="00C66722"/>
    <w:rsid w:val="00C960DC"/>
    <w:rsid w:val="00CA0CF7"/>
    <w:rsid w:val="00CB6F71"/>
    <w:rsid w:val="00CC44C7"/>
    <w:rsid w:val="00CD4626"/>
    <w:rsid w:val="00CD4EF4"/>
    <w:rsid w:val="00CE4966"/>
    <w:rsid w:val="00CF1D37"/>
    <w:rsid w:val="00D02C75"/>
    <w:rsid w:val="00D10E22"/>
    <w:rsid w:val="00D13D2C"/>
    <w:rsid w:val="00D2646B"/>
    <w:rsid w:val="00D455F2"/>
    <w:rsid w:val="00D50040"/>
    <w:rsid w:val="00D72CA9"/>
    <w:rsid w:val="00D77B01"/>
    <w:rsid w:val="00D933A8"/>
    <w:rsid w:val="00DC2F94"/>
    <w:rsid w:val="00DD3D9E"/>
    <w:rsid w:val="00DD7908"/>
    <w:rsid w:val="00DE6DEA"/>
    <w:rsid w:val="00DF3D62"/>
    <w:rsid w:val="00E11EB2"/>
    <w:rsid w:val="00E15A3F"/>
    <w:rsid w:val="00E43CEC"/>
    <w:rsid w:val="00E4474A"/>
    <w:rsid w:val="00E63210"/>
    <w:rsid w:val="00E67826"/>
    <w:rsid w:val="00E82297"/>
    <w:rsid w:val="00EA0537"/>
    <w:rsid w:val="00EC5CA5"/>
    <w:rsid w:val="00ED41F0"/>
    <w:rsid w:val="00EF39FD"/>
    <w:rsid w:val="00F00276"/>
    <w:rsid w:val="00F06842"/>
    <w:rsid w:val="00F107FD"/>
    <w:rsid w:val="00F65F0C"/>
    <w:rsid w:val="00F72387"/>
    <w:rsid w:val="00F779C6"/>
    <w:rsid w:val="00F96C96"/>
    <w:rsid w:val="00FB64A8"/>
    <w:rsid w:val="00FC3F02"/>
    <w:rsid w:val="00FD50D2"/>
    <w:rsid w:val="00FE4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184"/>
    <w:rPr>
      <w:lang w:eastAsia="en-US"/>
    </w:rPr>
  </w:style>
  <w:style w:type="paragraph" w:styleId="Titre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ppeldenotedefin">
    <w:name w:val="endnote reference"/>
    <w:basedOn w:val="Policepardfaut"/>
    <w:semiHidden/>
    <w:rsid w:val="008B0184"/>
    <w:rPr>
      <w:vertAlign w:val="superscript"/>
    </w:rPr>
  </w:style>
  <w:style w:type="paragraph" w:styleId="En-tte">
    <w:name w:val="header"/>
    <w:rsid w:val="008B0184"/>
    <w:pPr>
      <w:tabs>
        <w:tab w:val="center" w:pos="3600"/>
        <w:tab w:val="right" w:pos="7200"/>
      </w:tabs>
      <w:spacing w:line="200" w:lineRule="atLeast"/>
    </w:pPr>
    <w:rPr>
      <w:noProof/>
      <w:lang w:eastAsia="en-US"/>
    </w:rPr>
  </w:style>
  <w:style w:type="paragraph" w:styleId="Pieddepage">
    <w:name w:val="footer"/>
    <w:basedOn w:val="En-tte"/>
    <w:rsid w:val="008B0184"/>
  </w:style>
  <w:style w:type="character" w:styleId="Appelnotedebasdep">
    <w:name w:val="footnote reference"/>
    <w:semiHidden/>
    <w:rsid w:val="008B0184"/>
    <w:rPr>
      <w:vertAlign w:val="superscript"/>
    </w:rPr>
  </w:style>
  <w:style w:type="paragraph" w:styleId="Notedebasdepage">
    <w:name w:val="footnote text"/>
    <w:basedOn w:val="Normal"/>
    <w:semiHidden/>
    <w:rsid w:val="008B0184"/>
    <w:rPr>
      <w:rFonts w:ascii="Univers" w:hAnsi="Univers"/>
    </w:rPr>
  </w:style>
  <w:style w:type="character" w:styleId="Lienhypertexte">
    <w:name w:val="Hyperlink"/>
    <w:basedOn w:val="Policepardfaut"/>
    <w:rsid w:val="008B0184"/>
    <w:rPr>
      <w:color w:val="0000FF"/>
      <w:u w:val="single"/>
    </w:rPr>
  </w:style>
  <w:style w:type="character" w:customStyle="1" w:styleId="MTEquationSection">
    <w:name w:val="MTEquationSection"/>
    <w:basedOn w:val="Policepardfaut"/>
    <w:rsid w:val="008B0184"/>
    <w:rPr>
      <w:vanish/>
      <w:color w:val="FF0000"/>
    </w:rPr>
  </w:style>
  <w:style w:type="character" w:styleId="Numrodepage">
    <w:name w:val="page number"/>
    <w:basedOn w:val="Policepardfau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Policepardfaut"/>
    <w:rsid w:val="008B0184"/>
    <w:rPr>
      <w:sz w:val="18"/>
      <w:lang w:val="en-US" w:eastAsia="en-US" w:bidi="ar-SA"/>
    </w:rPr>
  </w:style>
  <w:style w:type="character" w:styleId="Marquedecommentaire">
    <w:name w:val="annotation reference"/>
    <w:basedOn w:val="Policepardfaut"/>
    <w:semiHidden/>
    <w:rsid w:val="008B0184"/>
    <w:rPr>
      <w:sz w:val="16"/>
      <w:szCs w:val="16"/>
    </w:rPr>
  </w:style>
  <w:style w:type="paragraph" w:styleId="Commentaire">
    <w:name w:val="annotation text"/>
    <w:basedOn w:val="Normal"/>
    <w:semiHidden/>
    <w:rsid w:val="008B0184"/>
  </w:style>
  <w:style w:type="paragraph" w:styleId="Objetducommentaire">
    <w:name w:val="annotation subject"/>
    <w:basedOn w:val="Commentaire"/>
    <w:next w:val="Commentaire"/>
    <w:semiHidden/>
    <w:rsid w:val="008B0184"/>
    <w:rPr>
      <w:b/>
      <w:bCs/>
    </w:rPr>
  </w:style>
  <w:style w:type="paragraph" w:styleId="Textedebulles">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Policepardfau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customStyle="1" w:styleId="UnresolvedMention">
    <w:name w:val="Unresolved Mention"/>
    <w:basedOn w:val="Policepardfaut"/>
    <w:uiPriority w:val="99"/>
    <w:semiHidden/>
    <w:unhideWhenUsed/>
    <w:rsid w:val="00343A78"/>
    <w:rPr>
      <w:color w:val="605E5C"/>
      <w:shd w:val="clear" w:color="auto" w:fill="E1DFDD"/>
    </w:rPr>
  </w:style>
  <w:style w:type="paragraph" w:styleId="NormalWeb">
    <w:name w:val="Normal (Web)"/>
    <w:basedOn w:val="Normal"/>
    <w:semiHidden/>
    <w:unhideWhenUsed/>
    <w:rsid w:val="000137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951922">
      <w:bodyDiv w:val="1"/>
      <w:marLeft w:val="0"/>
      <w:marRight w:val="0"/>
      <w:marTop w:val="0"/>
      <w:marBottom w:val="0"/>
      <w:divBdr>
        <w:top w:val="none" w:sz="0" w:space="0" w:color="auto"/>
        <w:left w:val="none" w:sz="0" w:space="0" w:color="auto"/>
        <w:bottom w:val="none" w:sz="0" w:space="0" w:color="auto"/>
        <w:right w:val="none" w:sz="0" w:space="0" w:color="auto"/>
      </w:divBdr>
    </w:div>
    <w:div w:id="204173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ssandro.dipretoro@ensiacet.fr"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94E30-7E79-4859-A496-415E636FF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94</TotalTime>
  <Pages>6</Pages>
  <Words>2598</Words>
  <Characters>15040</Characters>
  <Application>Microsoft Office Word</Application>
  <DocSecurity>0</DocSecurity>
  <Lines>125</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Alessandro DI PRETORO</cp:lastModifiedBy>
  <cp:revision>99</cp:revision>
  <cp:lastPrinted>2004-12-17T09:20:00Z</cp:lastPrinted>
  <dcterms:created xsi:type="dcterms:W3CDTF">2023-10-02T07:50:00Z</dcterms:created>
  <dcterms:modified xsi:type="dcterms:W3CDTF">2023-12-13T12:18:00Z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