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01576" w14:textId="0171C9EC" w:rsidR="00DD3D9E" w:rsidRPr="0034768A" w:rsidRDefault="00834456" w:rsidP="00D05FA1">
      <w:pPr>
        <w:pStyle w:val="Els-Title"/>
      </w:pPr>
      <w:r>
        <w:t xml:space="preserve">Switching </w:t>
      </w:r>
      <w:r w:rsidR="00A447A8" w:rsidRPr="0034768A">
        <w:t>from fossil fuel-b</w:t>
      </w:r>
      <w:bookmarkStart w:id="0" w:name="_GoBack"/>
      <w:bookmarkEnd w:id="0"/>
      <w:r w:rsidR="00A447A8" w:rsidRPr="0034768A">
        <w:t>ased to concentrated solar power driven tri-generation systems</w:t>
      </w:r>
      <w:r w:rsidR="004A013D">
        <w:t xml:space="preserve">: an optimization </w:t>
      </w:r>
      <w:r w:rsidR="00D05FA1">
        <w:t>model</w:t>
      </w:r>
    </w:p>
    <w:p w14:paraId="757432EB" w14:textId="3BEBD7ED" w:rsidR="00DD3D9E" w:rsidRPr="00A447A8" w:rsidRDefault="00A447A8">
      <w:pPr>
        <w:pStyle w:val="Els-Author"/>
      </w:pPr>
      <w:r>
        <w:t>Rachid Klaimi,</w:t>
      </w:r>
      <w:r>
        <w:rPr>
          <w:vertAlign w:val="superscript"/>
        </w:rPr>
        <w:t>a</w:t>
      </w:r>
      <w:r>
        <w:t xml:space="preserve"> Sabla Y. Alnouri,</w:t>
      </w:r>
      <w:r>
        <w:rPr>
          <w:vertAlign w:val="superscript"/>
        </w:rPr>
        <w:t>b</w:t>
      </w:r>
      <w:r>
        <w:t xml:space="preserve"> Mirko Stijepovic </w:t>
      </w:r>
      <w:r>
        <w:rPr>
          <w:vertAlign w:val="superscript"/>
        </w:rPr>
        <w:t>c</w:t>
      </w:r>
    </w:p>
    <w:p w14:paraId="05D26686" w14:textId="6276CE32" w:rsidR="00DD3D9E" w:rsidRDefault="00F933F8" w:rsidP="00834C4C">
      <w:pPr>
        <w:pStyle w:val="Els-Affiliation"/>
      </w:pPr>
      <w:r>
        <w:rPr>
          <w:vertAlign w:val="superscript"/>
        </w:rPr>
        <w:t>a</w:t>
      </w:r>
      <w:r w:rsidR="00834C4C">
        <w:t>Chemical Engineering Program, Notre Dame University-Louaize, Zouk Mosbeh, Lebanon</w:t>
      </w:r>
    </w:p>
    <w:p w14:paraId="35077D5B" w14:textId="77C28067" w:rsidR="00F933F8" w:rsidRDefault="00F933F8" w:rsidP="00F933F8">
      <w:pPr>
        <w:pStyle w:val="Els-Affiliation"/>
      </w:pPr>
      <w:r>
        <w:rPr>
          <w:vertAlign w:val="superscript"/>
        </w:rPr>
        <w:t>b</w:t>
      </w:r>
      <w:r>
        <w:t>Gas Processing Center, College of Engineering, Qatar University, Doha, Qatar</w:t>
      </w:r>
    </w:p>
    <w:p w14:paraId="7B60E0E0" w14:textId="4C210468" w:rsidR="00F933F8" w:rsidRDefault="00F933F8" w:rsidP="00F933F8">
      <w:pPr>
        <w:pStyle w:val="Els-Affiliation"/>
      </w:pPr>
      <w:r>
        <w:rPr>
          <w:vertAlign w:val="superscript"/>
        </w:rPr>
        <w:t>c</w:t>
      </w:r>
      <w:r>
        <w:t xml:space="preserve">Faculty of Technology and Metallurgy, University of Belgrade, Karnegijeva 4, 11000 Belgrade, Serbia </w:t>
      </w:r>
    </w:p>
    <w:p w14:paraId="4E9FE2E4" w14:textId="77777777" w:rsidR="00F933F8" w:rsidRDefault="00F933F8" w:rsidP="00F933F8">
      <w:pPr>
        <w:pStyle w:val="Els-Affiliation"/>
      </w:pPr>
      <w:r>
        <w:t>sabla@qu.edu.qa</w:t>
      </w:r>
    </w:p>
    <w:p w14:paraId="79C07D4C" w14:textId="3D78744E" w:rsidR="002C57D5" w:rsidRDefault="00DD3D9E" w:rsidP="00F4005A">
      <w:pPr>
        <w:pStyle w:val="Els-Abstract"/>
      </w:pPr>
      <w:r>
        <w:t>Abstract</w:t>
      </w:r>
    </w:p>
    <w:p w14:paraId="302A589D" w14:textId="0768930E" w:rsidR="00DD3D9E" w:rsidRDefault="00A447A8" w:rsidP="00223272">
      <w:pPr>
        <w:pStyle w:val="Els-body-text"/>
      </w:pPr>
      <w:r>
        <w:t>In light of the increase in the consumption of fossil fuels in tri-generation systems</w:t>
      </w:r>
      <w:r w:rsidR="00F271FD">
        <w:t xml:space="preserve"> integrated with desalination plants</w:t>
      </w:r>
      <w:r>
        <w:t xml:space="preserve"> and the associated environmental damage, switching into renewable energy sources became a necessity. Various </w:t>
      </w:r>
      <w:r w:rsidR="00F271FD">
        <w:t>technologies</w:t>
      </w:r>
      <w:r>
        <w:t xml:space="preserve"> have been identified as potential </w:t>
      </w:r>
      <w:r w:rsidR="00F271FD">
        <w:t xml:space="preserve">energy sources for tri-generation systems, among which concentrated solar power (CSP) was found an appealing and viable option for driving large-scale desalination plants. However, CSP is well known for its high investment cost, which makes the </w:t>
      </w:r>
      <w:r w:rsidR="00BF7A1F">
        <w:t xml:space="preserve">switching process very </w:t>
      </w:r>
      <w:r w:rsidR="00C220FF">
        <w:t>expansive</w:t>
      </w:r>
      <w:r w:rsidR="00BF7A1F">
        <w:t>. In order to address this challenge, different types of fuel with lower carbon emission than conventional energy sources could be utilized in a transient phase allow</w:t>
      </w:r>
      <w:r w:rsidR="00AA554B">
        <w:t>ing for</w:t>
      </w:r>
      <w:r w:rsidR="00BF7A1F">
        <w:t xml:space="preserve"> </w:t>
      </w:r>
      <w:r w:rsidR="00C220FF">
        <w:t>a gradual reduction in carbon emission</w:t>
      </w:r>
      <w:r w:rsidR="00F5439F">
        <w:t>s</w:t>
      </w:r>
      <w:r w:rsidR="00C220FF">
        <w:t xml:space="preserve">. This work </w:t>
      </w:r>
      <w:r w:rsidR="00223272">
        <w:t>presents</w:t>
      </w:r>
      <w:r w:rsidR="009B224E">
        <w:t xml:space="preserve"> </w:t>
      </w:r>
      <w:r w:rsidR="00C220FF">
        <w:t xml:space="preserve">a Mixed Integer Nonlinear mathematical model that </w:t>
      </w:r>
      <w:r w:rsidR="00223272">
        <w:t>can be used for planning</w:t>
      </w:r>
      <w:r w:rsidR="00C220FF">
        <w:t xml:space="preserve"> </w:t>
      </w:r>
      <w:r w:rsidR="00CF4FB0">
        <w:t>the shift from fossil fuels to CSP</w:t>
      </w:r>
      <w:r w:rsidR="00223272">
        <w:t xml:space="preserve">. The model is capable of </w:t>
      </w:r>
      <w:r w:rsidR="00CF4FB0">
        <w:t xml:space="preserve">identifying the optimal </w:t>
      </w:r>
      <w:r w:rsidR="00F5439F">
        <w:t xml:space="preserve">combination of </w:t>
      </w:r>
      <w:r w:rsidR="00CF4FB0">
        <w:t>fuel</w:t>
      </w:r>
      <w:r w:rsidR="00F5439F">
        <w:t>s</w:t>
      </w:r>
      <w:r w:rsidR="00CF4FB0">
        <w:t xml:space="preserve"> to be utilized</w:t>
      </w:r>
      <w:r w:rsidR="00AE259E">
        <w:t xml:space="preserve"> besides CSP</w:t>
      </w:r>
      <w:r w:rsidR="00CF4FB0">
        <w:t xml:space="preserve"> in the transient phase</w:t>
      </w:r>
      <w:r w:rsidR="00F5439F">
        <w:t xml:space="preserve"> for a tri-generation system integrated with a reverse osmosis (RO) unit.</w:t>
      </w:r>
      <w:r w:rsidR="00CF4FB0">
        <w:t xml:space="preserve"> </w:t>
      </w:r>
      <w:r w:rsidR="00AE259E">
        <w:t xml:space="preserve">Hence, the aim is to determine the best fuel options to be integrated with CSP, in addition to their corresponding energy contributions </w:t>
      </w:r>
      <w:r w:rsidR="009B224E">
        <w:t>using</w:t>
      </w:r>
      <w:r w:rsidR="00AE259E">
        <w:t xml:space="preserve"> a series of</w:t>
      </w:r>
      <w:r w:rsidR="00F5439F">
        <w:t xml:space="preserve"> </w:t>
      </w:r>
      <w:r w:rsidR="009B224E">
        <w:t xml:space="preserve">different </w:t>
      </w:r>
      <w:r w:rsidR="00F5439F">
        <w:t>net carbon reduction target</w:t>
      </w:r>
      <w:r w:rsidR="009B224E">
        <w:t>s</w:t>
      </w:r>
      <w:r w:rsidR="00AE259E">
        <w:t xml:space="preserve"> </w:t>
      </w:r>
      <w:r w:rsidR="00F5439F">
        <w:t>(</w:t>
      </w:r>
      <w:r w:rsidR="00AE259E">
        <w:t>NCRT</w:t>
      </w:r>
      <w:r w:rsidR="00F5439F">
        <w:t>)</w:t>
      </w:r>
      <w:r w:rsidR="00AE259E">
        <w:t xml:space="preserve"> ranging from 0 to 100%. The fuel options incorporated</w:t>
      </w:r>
      <w:r w:rsidR="00223272">
        <w:t xml:space="preserve"> into the model</w:t>
      </w:r>
      <w:r w:rsidR="00AE259E">
        <w:t xml:space="preserve"> </w:t>
      </w:r>
      <w:r w:rsidR="00223272">
        <w:t>include</w:t>
      </w:r>
      <w:r w:rsidR="00AE259E">
        <w:t xml:space="preserve"> natural gas, biomass and municipal solid waste</w:t>
      </w:r>
      <w:r w:rsidR="00F5439F">
        <w:t xml:space="preserve"> (MSW)</w:t>
      </w:r>
      <w:r w:rsidR="00AA554B">
        <w:t>.</w:t>
      </w:r>
      <w:r w:rsidR="00F5439F">
        <w:t xml:space="preserve"> Moreover, two different technologies for MSW incineration </w:t>
      </w:r>
      <w:r w:rsidR="009B224E">
        <w:t>are</w:t>
      </w:r>
      <w:r w:rsidR="00F5439F">
        <w:t xml:space="preserve"> involved: grate fired and fluidized bed boilers. </w:t>
      </w:r>
      <w:r w:rsidR="00AA554B">
        <w:t xml:space="preserve">The </w:t>
      </w:r>
      <w:r w:rsidR="009B224E">
        <w:t>model has been</w:t>
      </w:r>
      <w:r w:rsidR="00AA554B">
        <w:t xml:space="preserve"> implemented on a tri-generation system integrated with Carlsbad desalination plant in Califo</w:t>
      </w:r>
      <w:r w:rsidR="009B224E">
        <w:t>rnia for illustration purposes</w:t>
      </w:r>
      <w:r w:rsidR="00223272">
        <w:t xml:space="preserve">. The </w:t>
      </w:r>
      <w:r w:rsidR="009B224E" w:rsidRPr="009B224E">
        <w:t>optimal fuel source</w:t>
      </w:r>
      <w:r w:rsidR="00223272">
        <w:t>(s) and technologies</w:t>
      </w:r>
      <w:r w:rsidR="009B224E" w:rsidRPr="009B224E">
        <w:t xml:space="preserve"> during the transition from fossil fuels to a concentrated solar power-based desalination system</w:t>
      </w:r>
      <w:r w:rsidR="00223272">
        <w:t xml:space="preserve"> have then been identified</w:t>
      </w:r>
      <w:r w:rsidR="009B224E" w:rsidRPr="009B224E">
        <w:t xml:space="preserve">. </w:t>
      </w:r>
      <w:r w:rsidR="00223272">
        <w:t>It was found that w</w:t>
      </w:r>
      <w:r w:rsidR="009B224E">
        <w:t>hen</w:t>
      </w:r>
      <w:r w:rsidR="009B224E" w:rsidRPr="009B224E">
        <w:t xml:space="preserve"> the </w:t>
      </w:r>
      <w:r w:rsidR="00223272">
        <w:t>NCRT levels are</w:t>
      </w:r>
      <w:r w:rsidR="009B224E" w:rsidRPr="009B224E">
        <w:t xml:space="preserve"> below 40%, biomass emerges as the most suitable fuel option, whereas for higher NCRT values, solid waste incineration is the preferred choice.</w:t>
      </w:r>
    </w:p>
    <w:p w14:paraId="63964F5B" w14:textId="2F862402" w:rsidR="00DD3D9E" w:rsidRDefault="00DD3D9E">
      <w:pPr>
        <w:pStyle w:val="Els-referenceno-number"/>
        <w:rPr>
          <w:lang w:val="en-US"/>
        </w:rPr>
      </w:pPr>
    </w:p>
    <w:p w14:paraId="2B0976DA" w14:textId="37AC7EDB" w:rsidR="008F10CB" w:rsidRDefault="00F5439F" w:rsidP="00B00966">
      <w:pPr>
        <w:pStyle w:val="Els-referenceno-number"/>
        <w:ind w:left="0" w:firstLine="0"/>
        <w:rPr>
          <w:sz w:val="20"/>
          <w:szCs w:val="22"/>
          <w:lang w:val="en-US"/>
        </w:rPr>
      </w:pPr>
      <w:r w:rsidRPr="00ED512A">
        <w:rPr>
          <w:b/>
          <w:bCs/>
          <w:sz w:val="20"/>
          <w:szCs w:val="22"/>
          <w:lang w:val="en-US"/>
        </w:rPr>
        <w:t>Keywords:</w:t>
      </w:r>
      <w:r w:rsidRPr="004A2F9E">
        <w:rPr>
          <w:sz w:val="20"/>
          <w:szCs w:val="22"/>
          <w:lang w:val="en-US"/>
        </w:rPr>
        <w:t xml:space="preserve"> Tri-generation systems, desalination, concentrated solar power, biomass, municipal solid waste</w:t>
      </w:r>
    </w:p>
    <w:p w14:paraId="21BA9EBB" w14:textId="3BFF7D3E" w:rsidR="005A3C45" w:rsidRPr="009B224E" w:rsidRDefault="008F10CB" w:rsidP="009B224E">
      <w:pPr>
        <w:pStyle w:val="Els-1storder-head"/>
      </w:pPr>
      <w:r w:rsidRPr="008F10CB">
        <w:rPr>
          <w:bCs/>
          <w:szCs w:val="24"/>
        </w:rPr>
        <w:t>Introduction</w:t>
      </w:r>
      <w:r w:rsidR="009B224E" w:rsidRPr="009B224E">
        <w:t xml:space="preserve"> </w:t>
      </w:r>
    </w:p>
    <w:p w14:paraId="7C971757" w14:textId="67BCE536" w:rsidR="00F4005A" w:rsidRDefault="005A3C45" w:rsidP="00B00966">
      <w:pPr>
        <w:pStyle w:val="Els-referenceno-number"/>
        <w:ind w:left="0" w:firstLine="0"/>
        <w:jc w:val="both"/>
        <w:rPr>
          <w:sz w:val="20"/>
          <w:szCs w:val="22"/>
          <w:lang w:val="en-US"/>
        </w:rPr>
      </w:pPr>
      <w:r>
        <w:rPr>
          <w:sz w:val="20"/>
          <w:szCs w:val="22"/>
          <w:lang w:val="en-US"/>
        </w:rPr>
        <w:t xml:space="preserve">Thermal and electrical energy generation from conventional fossil fuels is becoming expansive, and it is associated with many detrimental effects on health and environment. In 2018, a significant rise in power consumption produced from fossil fuel sources of </w:t>
      </w:r>
      <w:r>
        <w:rPr>
          <w:sz w:val="20"/>
          <w:szCs w:val="22"/>
          <w:lang w:val="en-US"/>
        </w:rPr>
        <w:lastRenderedPageBreak/>
        <w:t xml:space="preserve">energy was </w:t>
      </w:r>
      <w:r w:rsidR="00FA58E7">
        <w:rPr>
          <w:sz w:val="20"/>
          <w:szCs w:val="22"/>
          <w:lang w:val="en-US"/>
        </w:rPr>
        <w:t>reported</w:t>
      </w:r>
      <w:r w:rsidR="00C852F0">
        <w:rPr>
          <w:sz w:val="20"/>
          <w:szCs w:val="22"/>
          <w:lang w:val="en-US"/>
        </w:rPr>
        <w:t>, while carbon dioxide</w:t>
      </w:r>
      <w:r w:rsidR="004C5BBA">
        <w:rPr>
          <w:sz w:val="20"/>
          <w:szCs w:val="22"/>
          <w:lang w:val="en-US"/>
        </w:rPr>
        <w:t xml:space="preserve"> </w:t>
      </w:r>
      <w:r w:rsidR="00C852F0">
        <w:rPr>
          <w:sz w:val="20"/>
          <w:szCs w:val="22"/>
          <w:lang w:val="en-US"/>
        </w:rPr>
        <w:t xml:space="preserve">emissions reached a critical level of 33.5 Gt. Although a decline </w:t>
      </w:r>
      <w:r w:rsidR="004C5BBA">
        <w:rPr>
          <w:sz w:val="20"/>
          <w:szCs w:val="22"/>
          <w:lang w:val="en-US"/>
        </w:rPr>
        <w:t xml:space="preserve">in power sector emissions in developing countries was </w:t>
      </w:r>
      <w:r w:rsidR="00FA58E7">
        <w:rPr>
          <w:sz w:val="20"/>
          <w:szCs w:val="22"/>
          <w:lang w:val="en-US"/>
        </w:rPr>
        <w:t>observed</w:t>
      </w:r>
      <w:r w:rsidR="004C5BBA">
        <w:rPr>
          <w:sz w:val="20"/>
          <w:szCs w:val="22"/>
          <w:lang w:val="en-US"/>
        </w:rPr>
        <w:t xml:space="preserve"> in the </w:t>
      </w:r>
      <w:r w:rsidR="0031496F">
        <w:rPr>
          <w:sz w:val="20"/>
          <w:szCs w:val="22"/>
          <w:lang w:val="en-US"/>
        </w:rPr>
        <w:t>following</w:t>
      </w:r>
      <w:r w:rsidR="004C5BBA">
        <w:rPr>
          <w:sz w:val="20"/>
          <w:szCs w:val="22"/>
          <w:lang w:val="en-US"/>
        </w:rPr>
        <w:t xml:space="preserve"> year, global CO</w:t>
      </w:r>
      <w:r w:rsidR="004C5BBA">
        <w:rPr>
          <w:sz w:val="20"/>
          <w:szCs w:val="22"/>
          <w:vertAlign w:val="subscript"/>
          <w:lang w:val="en-US"/>
        </w:rPr>
        <w:t>2</w:t>
      </w:r>
      <w:r w:rsidR="004C5BBA">
        <w:rPr>
          <w:sz w:val="20"/>
          <w:szCs w:val="22"/>
          <w:lang w:val="en-US"/>
        </w:rPr>
        <w:t xml:space="preserve"> emissions showed a very small reduction of less than 1% (</w:t>
      </w:r>
      <w:r w:rsidR="0062785B">
        <w:rPr>
          <w:sz w:val="20"/>
          <w:szCs w:val="22"/>
          <w:lang w:val="en-US"/>
        </w:rPr>
        <w:t>Ma’aji et al., 2022</w:t>
      </w:r>
      <w:r w:rsidR="004C5BBA">
        <w:rPr>
          <w:sz w:val="20"/>
          <w:szCs w:val="22"/>
          <w:lang w:val="en-US"/>
        </w:rPr>
        <w:t xml:space="preserve">). </w:t>
      </w:r>
      <w:r w:rsidR="00FA58E7">
        <w:rPr>
          <w:sz w:val="20"/>
          <w:szCs w:val="22"/>
          <w:lang w:val="en-US"/>
        </w:rPr>
        <w:t>On the other hand, d</w:t>
      </w:r>
      <w:r w:rsidR="0031496F">
        <w:rPr>
          <w:sz w:val="20"/>
          <w:szCs w:val="22"/>
          <w:lang w:val="en-US"/>
        </w:rPr>
        <w:t xml:space="preserve">esalination processes are well known for their high </w:t>
      </w:r>
      <w:r w:rsidR="00FA58E7">
        <w:rPr>
          <w:sz w:val="20"/>
          <w:szCs w:val="22"/>
          <w:lang w:val="en-US"/>
        </w:rPr>
        <w:t xml:space="preserve">thermal and electrical </w:t>
      </w:r>
      <w:r w:rsidR="0031496F">
        <w:rPr>
          <w:sz w:val="20"/>
          <w:szCs w:val="22"/>
          <w:lang w:val="en-US"/>
        </w:rPr>
        <w:t xml:space="preserve">energy demand and fossil fuels consumption. Therefore, </w:t>
      </w:r>
      <w:r w:rsidR="00FA58E7">
        <w:rPr>
          <w:sz w:val="20"/>
          <w:szCs w:val="22"/>
          <w:lang w:val="en-US"/>
        </w:rPr>
        <w:t xml:space="preserve">the past half-century witnessed the integration of various concentrated solar power (CSP) technologies with desalination units </w:t>
      </w:r>
      <w:r w:rsidR="00605DDC">
        <w:rPr>
          <w:sz w:val="20"/>
          <w:szCs w:val="22"/>
          <w:lang w:val="en-US"/>
        </w:rPr>
        <w:t xml:space="preserve">coupled with tri-generation systems. For instance, Klaimi et al. (2021) have </w:t>
      </w:r>
      <w:r w:rsidR="00131BFF">
        <w:rPr>
          <w:sz w:val="20"/>
          <w:szCs w:val="22"/>
          <w:lang w:val="en-US"/>
        </w:rPr>
        <w:t xml:space="preserve">presented a Mixed Integer Non-linear mathematical model for </w:t>
      </w:r>
      <w:r w:rsidR="00605DDC">
        <w:rPr>
          <w:sz w:val="20"/>
          <w:szCs w:val="22"/>
          <w:lang w:val="en-US"/>
        </w:rPr>
        <w:t>design</w:t>
      </w:r>
      <w:r w:rsidR="00131BFF">
        <w:rPr>
          <w:sz w:val="20"/>
          <w:szCs w:val="22"/>
          <w:lang w:val="en-US"/>
        </w:rPr>
        <w:t>ing</w:t>
      </w:r>
      <w:r w:rsidR="00605DDC">
        <w:rPr>
          <w:sz w:val="20"/>
          <w:szCs w:val="22"/>
          <w:lang w:val="en-US"/>
        </w:rPr>
        <w:t xml:space="preserve"> a standalone CSP-desalination tri-generation system producing three pressure levels of steam, power and freshwater simultaneously</w:t>
      </w:r>
      <w:r w:rsidR="00131BFF">
        <w:rPr>
          <w:sz w:val="20"/>
          <w:szCs w:val="22"/>
          <w:lang w:val="en-US"/>
        </w:rPr>
        <w:t>, while Ma’aji et al. (2022) have proposed a design of a tri-generation plant for electricity, freshwater production and district heating in Lagos, Nigeria. One of the main challenges associated with CSP is the high investment cost. There</w:t>
      </w:r>
      <w:r w:rsidR="00EF14C2">
        <w:rPr>
          <w:sz w:val="20"/>
          <w:szCs w:val="22"/>
          <w:lang w:val="en-US"/>
        </w:rPr>
        <w:t>fore</w:t>
      </w:r>
      <w:r w:rsidR="00961AD8">
        <w:rPr>
          <w:sz w:val="20"/>
          <w:szCs w:val="22"/>
          <w:lang w:val="en-US"/>
        </w:rPr>
        <w:t xml:space="preserve">, the integration of other energy sources with CSP was found a great strategy to overcome this challenge. For instance, </w:t>
      </w:r>
      <w:r w:rsidR="00B25B1F">
        <w:rPr>
          <w:sz w:val="20"/>
          <w:szCs w:val="22"/>
          <w:lang w:val="en-US"/>
        </w:rPr>
        <w:t xml:space="preserve">an energy and economic analysis of </w:t>
      </w:r>
      <w:r w:rsidR="00961AD8">
        <w:rPr>
          <w:sz w:val="20"/>
          <w:szCs w:val="22"/>
          <w:lang w:val="en-US"/>
        </w:rPr>
        <w:t xml:space="preserve">a novel biomass-solar hybrid system </w:t>
      </w:r>
      <w:r w:rsidR="00B25B1F">
        <w:rPr>
          <w:sz w:val="20"/>
          <w:szCs w:val="22"/>
          <w:lang w:val="en-US"/>
        </w:rPr>
        <w:t>presented by Khosravi et al. (2021)</w:t>
      </w:r>
      <w:r w:rsidR="00FA58E7">
        <w:rPr>
          <w:sz w:val="20"/>
          <w:szCs w:val="22"/>
          <w:lang w:val="en-US"/>
        </w:rPr>
        <w:t xml:space="preserve"> </w:t>
      </w:r>
      <w:r w:rsidR="00B25B1F">
        <w:rPr>
          <w:sz w:val="20"/>
          <w:szCs w:val="22"/>
          <w:lang w:val="en-US"/>
        </w:rPr>
        <w:t xml:space="preserve">showed a minimum attainable levelized cost of energy of 7.865 cents/kWh. Klaimi et al. (2022a) </w:t>
      </w:r>
      <w:r w:rsidR="009D7CD4">
        <w:rPr>
          <w:sz w:val="20"/>
          <w:szCs w:val="22"/>
          <w:lang w:val="en-US"/>
        </w:rPr>
        <w:t>have presented a multi-period model for designing a CSP-desalination tri-generation system integrated with a natural gas boiler, while Najjar et al. (2021) have studied the energy generation from the anaerobic digestion of municipal solid waste</w:t>
      </w:r>
      <w:r w:rsidR="000930A5">
        <w:rPr>
          <w:sz w:val="20"/>
          <w:szCs w:val="22"/>
          <w:lang w:val="en-US"/>
        </w:rPr>
        <w:t xml:space="preserve"> (MSW)</w:t>
      </w:r>
      <w:r w:rsidR="009D7CD4">
        <w:rPr>
          <w:sz w:val="20"/>
          <w:szCs w:val="22"/>
          <w:lang w:val="en-US"/>
        </w:rPr>
        <w:t xml:space="preserve"> to drive a reverse osmosis unit.</w:t>
      </w:r>
      <w:r w:rsidR="000930A5">
        <w:rPr>
          <w:sz w:val="20"/>
          <w:szCs w:val="22"/>
          <w:lang w:val="en-US"/>
        </w:rPr>
        <w:t xml:space="preserve"> Moreover, Klaimi et al. (2022b) have investigated seasonal variations and multiple fuel options (natural gas, biomass and MSW) in a novel tri-generation CSP integarted hybrid energy process. Although the backup energy sources of CSP could significantly reduce the cost of the system, their existence is associated with </w:t>
      </w:r>
      <w:r w:rsidR="00DC60C4">
        <w:rPr>
          <w:sz w:val="20"/>
          <w:szCs w:val="22"/>
          <w:lang w:val="en-US"/>
        </w:rPr>
        <w:t xml:space="preserve">carbon dioxide emissions. Therefore, these sources could not be utilized when the target is to design a carbon neutral system. However, </w:t>
      </w:r>
      <w:r w:rsidR="00F94847">
        <w:rPr>
          <w:sz w:val="20"/>
          <w:szCs w:val="22"/>
          <w:lang w:val="en-US"/>
        </w:rPr>
        <w:t>it is recommended to incorporate such sources in a transient phase while switching from fossil fuels to CSP allowing a gradual reduction in CO</w:t>
      </w:r>
      <w:r w:rsidR="00F94847">
        <w:rPr>
          <w:sz w:val="20"/>
          <w:szCs w:val="22"/>
          <w:vertAlign w:val="subscript"/>
          <w:lang w:val="en-US"/>
        </w:rPr>
        <w:t>2</w:t>
      </w:r>
      <w:r w:rsidR="00F94847">
        <w:rPr>
          <w:sz w:val="20"/>
          <w:szCs w:val="22"/>
          <w:lang w:val="en-US"/>
        </w:rPr>
        <w:t xml:space="preserve"> emissions. This paper assess different types of fuel and technologies to be utilized in a tri-generation system during the transient phase subject to a specific net carbon reduction target. The novelty of this work lies in the incorporation of a wide number of fuels and technologies which </w:t>
      </w:r>
      <w:r w:rsidR="00F06B56">
        <w:rPr>
          <w:sz w:val="20"/>
          <w:szCs w:val="22"/>
          <w:lang w:val="en-US"/>
        </w:rPr>
        <w:t xml:space="preserve">helps </w:t>
      </w:r>
      <w:r w:rsidR="00F94847">
        <w:rPr>
          <w:sz w:val="20"/>
          <w:szCs w:val="22"/>
          <w:lang w:val="en-US"/>
        </w:rPr>
        <w:t>policy makers in</w:t>
      </w:r>
      <w:r w:rsidR="00F06B56">
        <w:rPr>
          <w:sz w:val="20"/>
          <w:szCs w:val="22"/>
          <w:lang w:val="en-US"/>
        </w:rPr>
        <w:t xml:space="preserve"> selecting</w:t>
      </w:r>
      <w:r w:rsidR="00F94847">
        <w:rPr>
          <w:sz w:val="20"/>
          <w:szCs w:val="22"/>
          <w:lang w:val="en-US"/>
        </w:rPr>
        <w:t xml:space="preserve"> the appropriate</w:t>
      </w:r>
      <w:r w:rsidR="00F06B56">
        <w:rPr>
          <w:sz w:val="20"/>
          <w:szCs w:val="22"/>
          <w:lang w:val="en-US"/>
        </w:rPr>
        <w:t xml:space="preserve"> energy sources based on the specifications of the system.</w:t>
      </w:r>
    </w:p>
    <w:p w14:paraId="48B0D30A" w14:textId="1AA3D9C4" w:rsidR="009B224E" w:rsidRPr="009B224E" w:rsidRDefault="009B224E" w:rsidP="009B224E">
      <w:pPr>
        <w:pStyle w:val="Els-1storder-head"/>
      </w:pPr>
      <w:r>
        <w:rPr>
          <w:bCs/>
          <w:szCs w:val="24"/>
        </w:rPr>
        <w:t>Methodology</w:t>
      </w:r>
    </w:p>
    <w:p w14:paraId="1AFFE7CA" w14:textId="7171C594" w:rsidR="007552B5" w:rsidRPr="00340E40" w:rsidRDefault="007552B5" w:rsidP="00340E40">
      <w:pPr>
        <w:pStyle w:val="Els-referenceno-number"/>
        <w:ind w:left="0" w:firstLine="0"/>
        <w:jc w:val="both"/>
        <w:rPr>
          <w:sz w:val="20"/>
          <w:szCs w:val="22"/>
          <w:lang w:val="en-US"/>
        </w:rPr>
      </w:pPr>
      <w:r>
        <w:rPr>
          <w:sz w:val="20"/>
          <w:szCs w:val="22"/>
          <w:lang w:val="en-US"/>
        </w:rPr>
        <w:t xml:space="preserve">The proposed CSP-desalination hybrid tri-generation system is depicted in Figure 1. </w:t>
      </w:r>
      <w:r w:rsidR="002C15BA">
        <w:rPr>
          <w:sz w:val="20"/>
          <w:szCs w:val="22"/>
          <w:lang w:val="en-US"/>
        </w:rPr>
        <w:t>This system is divided into three stages: 1) Very high pressure (VHP) steam generation section</w:t>
      </w:r>
      <w:r w:rsidR="008C7907">
        <w:rPr>
          <w:sz w:val="20"/>
          <w:szCs w:val="22"/>
          <w:lang w:val="en-US"/>
        </w:rPr>
        <w:t xml:space="preserve">, 2) Low pressure (LP) steam, very low pressure (VLP) steam, shaft and electric power generation section, and 3) Freshwater generation section. The first section </w:t>
      </w:r>
      <w:r w:rsidR="002C15BA">
        <w:rPr>
          <w:sz w:val="20"/>
          <w:szCs w:val="22"/>
          <w:lang w:val="en-US"/>
        </w:rPr>
        <w:t xml:space="preserve">includes a natural gas boiler, a solar steam generator and an additional boiler specific to the fuel to be utilized in the transient phase. The fuels that will be considered in this work are biomass and municipal solid waste. Moreover, two different boilers will be investigated for the incineration of solid waste: a fluidized bed (FB) boiler and a grate-fired (GF) boiler. The main difference between the two boilers lies in the type of solid waste incinerated </w:t>
      </w:r>
      <w:r w:rsidR="008C7907">
        <w:rPr>
          <w:sz w:val="20"/>
          <w:szCs w:val="22"/>
          <w:lang w:val="en-US"/>
        </w:rPr>
        <w:t>and the amount of carbon emissions which allows a more controlled incineration when the process takes place in a fluidized bed boiler. VHP steam</w:t>
      </w:r>
      <w:r w:rsidR="002C15BA">
        <w:rPr>
          <w:sz w:val="20"/>
          <w:szCs w:val="22"/>
          <w:lang w:val="en-US"/>
        </w:rPr>
        <w:t xml:space="preserve"> </w:t>
      </w:r>
      <w:r w:rsidR="008C7907">
        <w:rPr>
          <w:sz w:val="20"/>
          <w:szCs w:val="22"/>
          <w:lang w:val="en-US"/>
        </w:rPr>
        <w:t xml:space="preserve">at 41 bars and 450 </w:t>
      </w:r>
      <w:r w:rsidR="008C7907">
        <w:rPr>
          <w:sz w:val="20"/>
          <w:szCs w:val="22"/>
          <w:vertAlign w:val="superscript"/>
          <w:lang w:val="en-US"/>
        </w:rPr>
        <w:t>o</w:t>
      </w:r>
      <w:r w:rsidR="008C7907">
        <w:rPr>
          <w:sz w:val="20"/>
          <w:szCs w:val="22"/>
          <w:lang w:val="en-US"/>
        </w:rPr>
        <w:t xml:space="preserve">C is produced in this section and fed to the next stage of the system. </w:t>
      </w:r>
      <w:r w:rsidR="00FA2919">
        <w:rPr>
          <w:sz w:val="20"/>
          <w:szCs w:val="22"/>
          <w:lang w:val="en-US"/>
        </w:rPr>
        <w:t xml:space="preserve">The second stage includes a throttling valve (TV), a back-pressure driver (DRBP) and turbo-generator (TGBP) for the production of LP steam at 2 bars, in addition to a condensing driver (DRCD) and turbo-generator (TGCD) for the production of VLP steam at 0.4 bar. The VLP steam produced is condensed, pumped and deaerated before being relocated as  </w:t>
      </w:r>
      <w:r w:rsidR="00FA2919">
        <w:rPr>
          <w:sz w:val="20"/>
          <w:szCs w:val="22"/>
          <w:lang w:val="en-US"/>
        </w:rPr>
        <w:lastRenderedPageBreak/>
        <w:t xml:space="preserve">boiling feed water (BFW) to the first section, while the shaft and electric power produced are distributed to the desalination technologies in the following section. Two different desalination technologies are incorporated in this system: </w:t>
      </w:r>
      <w:r w:rsidR="00340E40">
        <w:rPr>
          <w:sz w:val="20"/>
          <w:szCs w:val="22"/>
          <w:lang w:val="en-US"/>
        </w:rPr>
        <w:t>thermal desalination using multi-stage flashing (MSF) and membrane desalination using reverse osmosis (RO). A portion of freshwater stream generated is recycled back as makeup water to the deaerator in order to compensate for any loss of steam during VHP steam expansion and deaeration.</w:t>
      </w:r>
    </w:p>
    <w:p w14:paraId="565E8615" w14:textId="77777777" w:rsidR="007552B5" w:rsidRDefault="007552B5" w:rsidP="00C852F0">
      <w:pPr>
        <w:pStyle w:val="Els-referenceno-number"/>
        <w:ind w:left="0" w:firstLine="0"/>
        <w:jc w:val="both"/>
        <w:rPr>
          <w:b/>
          <w:bCs/>
          <w:sz w:val="20"/>
          <w:szCs w:val="22"/>
          <w:lang w:val="en-US"/>
        </w:rPr>
      </w:pPr>
    </w:p>
    <w:p w14:paraId="5B199E58" w14:textId="721F5F60" w:rsidR="00B86AAE" w:rsidRDefault="00CD53F2" w:rsidP="00C852F0">
      <w:pPr>
        <w:pStyle w:val="Els-referenceno-number"/>
        <w:ind w:left="0" w:firstLine="0"/>
        <w:jc w:val="both"/>
        <w:rPr>
          <w:b/>
          <w:bCs/>
          <w:sz w:val="20"/>
          <w:szCs w:val="22"/>
          <w:lang w:val="en-US"/>
        </w:rPr>
      </w:pPr>
      <w:r w:rsidRPr="00CD53F2">
        <w:rPr>
          <w:b/>
          <w:bCs/>
          <w:sz w:val="20"/>
          <w:szCs w:val="22"/>
          <w:lang w:val="en-US"/>
        </w:rPr>
        <w:drawing>
          <wp:inline distT="0" distB="0" distL="0" distR="0" wp14:anchorId="56855344" wp14:editId="6790DA84">
            <wp:extent cx="4499610" cy="1810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9610" cy="1810385"/>
                    </a:xfrm>
                    <a:prstGeom prst="rect">
                      <a:avLst/>
                    </a:prstGeom>
                    <a:noFill/>
                    <a:ln>
                      <a:noFill/>
                    </a:ln>
                  </pic:spPr>
                </pic:pic>
              </a:graphicData>
            </a:graphic>
          </wp:inline>
        </w:drawing>
      </w:r>
    </w:p>
    <w:p w14:paraId="6B463805" w14:textId="77777777" w:rsidR="002C15BA" w:rsidRDefault="002C15BA" w:rsidP="007552B5">
      <w:pPr>
        <w:pStyle w:val="Els-referenceno-number"/>
        <w:ind w:left="0" w:firstLine="0"/>
        <w:jc w:val="center"/>
        <w:rPr>
          <w:szCs w:val="18"/>
          <w:lang w:val="en-US"/>
        </w:rPr>
      </w:pPr>
    </w:p>
    <w:p w14:paraId="396E96F9" w14:textId="51E47FEC" w:rsidR="002113C8" w:rsidRDefault="007552B5" w:rsidP="00B00966">
      <w:pPr>
        <w:pStyle w:val="Els-referenceno-number"/>
        <w:ind w:left="0" w:firstLine="0"/>
        <w:jc w:val="center"/>
        <w:rPr>
          <w:szCs w:val="18"/>
          <w:lang w:val="en-US"/>
        </w:rPr>
      </w:pPr>
      <w:r w:rsidRPr="007552B5">
        <w:rPr>
          <w:szCs w:val="18"/>
          <w:lang w:val="en-US"/>
        </w:rPr>
        <w:t xml:space="preserve">Figure 1: </w:t>
      </w:r>
      <w:r w:rsidR="002C15BA">
        <w:rPr>
          <w:szCs w:val="18"/>
          <w:lang w:val="en-US"/>
        </w:rPr>
        <w:t xml:space="preserve">Proposed </w:t>
      </w:r>
      <w:r w:rsidR="00F7721B">
        <w:rPr>
          <w:szCs w:val="18"/>
          <w:lang w:val="en-US"/>
        </w:rPr>
        <w:t>t</w:t>
      </w:r>
      <w:r w:rsidR="002C15BA">
        <w:rPr>
          <w:szCs w:val="18"/>
          <w:lang w:val="en-US"/>
        </w:rPr>
        <w:t xml:space="preserve">ri-generation </w:t>
      </w:r>
      <w:r w:rsidR="00F7721B">
        <w:rPr>
          <w:szCs w:val="18"/>
          <w:lang w:val="en-US"/>
        </w:rPr>
        <w:t>s</w:t>
      </w:r>
      <w:r w:rsidR="002C15BA">
        <w:rPr>
          <w:szCs w:val="18"/>
          <w:lang w:val="en-US"/>
        </w:rPr>
        <w:t xml:space="preserve">ystem </w:t>
      </w:r>
      <w:r w:rsidR="00F7721B">
        <w:rPr>
          <w:szCs w:val="18"/>
          <w:lang w:val="en-US"/>
        </w:rPr>
        <w:t>s</w:t>
      </w:r>
      <w:r w:rsidR="002C15BA">
        <w:rPr>
          <w:szCs w:val="18"/>
          <w:lang w:val="en-US"/>
        </w:rPr>
        <w:t>tructure</w:t>
      </w:r>
    </w:p>
    <w:p w14:paraId="51486E15" w14:textId="387DBA0A" w:rsidR="009B224E" w:rsidRPr="009B224E" w:rsidRDefault="009B224E" w:rsidP="009B224E">
      <w:pPr>
        <w:pStyle w:val="Els-1storder-head"/>
      </w:pPr>
      <w:r>
        <w:rPr>
          <w:bCs/>
          <w:szCs w:val="24"/>
        </w:rPr>
        <w:t>Mathematical Model</w:t>
      </w:r>
    </w:p>
    <w:p w14:paraId="0DB936CA" w14:textId="6704D9B9" w:rsidR="00AD216D" w:rsidRDefault="00B00966" w:rsidP="00B00966">
      <w:pPr>
        <w:pStyle w:val="Els-referenceno-number"/>
        <w:ind w:left="0" w:firstLine="0"/>
        <w:jc w:val="both"/>
        <w:rPr>
          <w:sz w:val="20"/>
          <w:lang w:val="en-US"/>
        </w:rPr>
      </w:pPr>
      <w:r>
        <w:rPr>
          <w:sz w:val="20"/>
          <w:lang w:val="en-US"/>
        </w:rPr>
        <w:t>The proposed tri-generation system has been converted into a Mixed Integer Non-linear Problem (MINLP) that aims at minimizing the total cost of the system. The objective function is described in Eq. (1) below, where</w:t>
      </w:r>
      <w:r w:rsidRPr="00B00966">
        <w:rPr>
          <w:i/>
          <w:iCs/>
          <w:sz w:val="20"/>
          <w:lang w:val="en-US"/>
        </w:rPr>
        <w:t xml:space="preserve"> Cost</w:t>
      </w:r>
      <w:r w:rsidRPr="00B00966">
        <w:rPr>
          <w:i/>
          <w:iCs/>
          <w:sz w:val="20"/>
          <w:vertAlign w:val="superscript"/>
          <w:lang w:val="en-US"/>
        </w:rPr>
        <w:t>sec1</w:t>
      </w:r>
      <w:r>
        <w:rPr>
          <w:i/>
          <w:iCs/>
          <w:sz w:val="20"/>
          <w:lang w:val="en-US"/>
        </w:rPr>
        <w:t xml:space="preserve"> </w:t>
      </w:r>
      <w:r>
        <w:rPr>
          <w:sz w:val="20"/>
          <w:lang w:val="en-US"/>
        </w:rPr>
        <w:t xml:space="preserve">is the VHP steam generation cost from the different energy sources and technologies embedded in section 1 of the system, </w:t>
      </w:r>
      <w:r w:rsidRPr="00B00966">
        <w:rPr>
          <w:i/>
          <w:iCs/>
          <w:sz w:val="20"/>
          <w:lang w:val="en-US"/>
        </w:rPr>
        <w:t>Cost</w:t>
      </w:r>
      <w:r w:rsidRPr="00B00966">
        <w:rPr>
          <w:i/>
          <w:iCs/>
          <w:sz w:val="20"/>
          <w:vertAlign w:val="superscript"/>
          <w:lang w:val="en-US"/>
        </w:rPr>
        <w:t>sec2</w:t>
      </w:r>
      <w:r>
        <w:rPr>
          <w:sz w:val="20"/>
          <w:lang w:val="en-US"/>
        </w:rPr>
        <w:t xml:space="preserve"> is the cost of utilities (LP and VLP steam, electric and shaft work) generated in section 2 of the system for desalination purposes, and </w:t>
      </w:r>
      <w:r w:rsidRPr="00B00966">
        <w:rPr>
          <w:i/>
          <w:iCs/>
          <w:sz w:val="20"/>
          <w:lang w:val="en-US"/>
        </w:rPr>
        <w:t>Cost</w:t>
      </w:r>
      <w:r w:rsidRPr="00B00966">
        <w:rPr>
          <w:i/>
          <w:iCs/>
          <w:sz w:val="20"/>
          <w:vertAlign w:val="superscript"/>
          <w:lang w:val="en-US"/>
        </w:rPr>
        <w:t>sec3</w:t>
      </w:r>
      <w:r>
        <w:rPr>
          <w:sz w:val="20"/>
          <w:lang w:val="en-US"/>
        </w:rPr>
        <w:t xml:space="preserve"> is the cost of desalination process which takes place in the third section of the system. </w:t>
      </w:r>
    </w:p>
    <w:p w14:paraId="4D8377CE" w14:textId="2E7142BB" w:rsidR="0053400F" w:rsidRDefault="0053400F" w:rsidP="00B00966">
      <w:pPr>
        <w:pStyle w:val="Els-referenceno-number"/>
        <w:ind w:left="0" w:firstLine="0"/>
        <w:jc w:val="both"/>
        <w:rPr>
          <w:sz w:val="20"/>
          <w:lang w:val="en-US"/>
        </w:rPr>
      </w:pPr>
    </w:p>
    <w:p w14:paraId="154EBE53" w14:textId="4D08EDCF" w:rsidR="0053400F" w:rsidRDefault="00AB1BCE" w:rsidP="0053400F">
      <w:pPr>
        <w:pStyle w:val="Els-body-text"/>
        <w:jc w:val="right"/>
      </w:pPr>
      <m:oMath>
        <m:r>
          <w:rPr>
            <w:rFonts w:ascii="Cambria Math" w:hAnsi="Cambria Math"/>
          </w:rPr>
          <m:t xml:space="preserve">Minimize        </m:t>
        </m:r>
        <m:sSup>
          <m:sSupPr>
            <m:ctrlPr>
              <w:rPr>
                <w:rFonts w:ascii="Cambria Math" w:hAnsi="Cambria Math"/>
                <w:i/>
              </w:rPr>
            </m:ctrlPr>
          </m:sSupPr>
          <m:e>
            <m:r>
              <w:rPr>
                <w:rFonts w:ascii="Cambria Math" w:hAnsi="Cambria Math"/>
              </w:rPr>
              <m:t>Cost</m:t>
            </m:r>
          </m:e>
          <m:sup>
            <m:r>
              <w:rPr>
                <w:rFonts w:ascii="Cambria Math" w:hAnsi="Cambria Math"/>
              </w:rPr>
              <m:t>sec1</m:t>
            </m:r>
          </m:sup>
        </m:sSup>
        <m:r>
          <w:rPr>
            <w:rFonts w:ascii="Cambria Math" w:hAnsi="Cambria Math"/>
          </w:rPr>
          <m:t>+</m:t>
        </m:r>
        <m:sSup>
          <m:sSupPr>
            <m:ctrlPr>
              <w:rPr>
                <w:rFonts w:ascii="Cambria Math" w:hAnsi="Cambria Math"/>
                <w:i/>
              </w:rPr>
            </m:ctrlPr>
          </m:sSupPr>
          <m:e>
            <m:r>
              <w:rPr>
                <w:rFonts w:ascii="Cambria Math" w:hAnsi="Cambria Math"/>
              </w:rPr>
              <m:t>Cost</m:t>
            </m:r>
          </m:e>
          <m:sup>
            <m:r>
              <w:rPr>
                <w:rFonts w:ascii="Cambria Math" w:hAnsi="Cambria Math"/>
              </w:rPr>
              <m:t>sec2</m:t>
            </m:r>
          </m:sup>
        </m:sSup>
        <m:r>
          <w:rPr>
            <w:rFonts w:ascii="Cambria Math" w:hAnsi="Cambria Math"/>
          </w:rPr>
          <m:t>+</m:t>
        </m:r>
        <m:sSup>
          <m:sSupPr>
            <m:ctrlPr>
              <w:rPr>
                <w:rFonts w:ascii="Cambria Math" w:hAnsi="Cambria Math"/>
                <w:i/>
              </w:rPr>
            </m:ctrlPr>
          </m:sSupPr>
          <m:e>
            <m:r>
              <w:rPr>
                <w:rFonts w:ascii="Cambria Math" w:hAnsi="Cambria Math"/>
              </w:rPr>
              <m:t>Cost</m:t>
            </m:r>
          </m:e>
          <m:sup>
            <m:r>
              <w:rPr>
                <w:rFonts w:ascii="Cambria Math" w:hAnsi="Cambria Math"/>
              </w:rPr>
              <m:t>sec3</m:t>
            </m:r>
          </m:sup>
        </m:sSup>
      </m:oMath>
      <w:r w:rsidR="0053400F">
        <w:t xml:space="preserve">       </w:t>
      </w:r>
      <w:r>
        <w:t xml:space="preserve">                    </w:t>
      </w:r>
      <w:r w:rsidR="0053400F">
        <w:t xml:space="preserve"> (1)</w:t>
      </w:r>
    </w:p>
    <w:p w14:paraId="5D4B6C86" w14:textId="318F2832" w:rsidR="0053400F" w:rsidRDefault="0053400F" w:rsidP="0053400F">
      <w:pPr>
        <w:pStyle w:val="Els-body-text"/>
        <w:jc w:val="right"/>
      </w:pPr>
    </w:p>
    <w:p w14:paraId="5C05E5FF" w14:textId="31F77BB9" w:rsidR="0053400F" w:rsidRDefault="003E1D24" w:rsidP="003E1D24">
      <w:pPr>
        <w:pStyle w:val="Els-body-text"/>
      </w:pPr>
      <w:r>
        <w:t xml:space="preserve">Equality and inequality constraints have been added to the model. The equality constraints cover the material and energy balances around all technologies and headers in the system. For instance, Eq. (2-5) represents the mass balances on natural gas boiler, solar steam generator, back-pressure turbo-generator and </w:t>
      </w:r>
      <w:r w:rsidR="00AB1BCE">
        <w:t>reverse osmosis</w:t>
      </w:r>
      <w:r>
        <w:t xml:space="preserve"> unit, respectively</w:t>
      </w:r>
      <w:r w:rsidR="00DB4DE0">
        <w:t xml:space="preserve">, while </w:t>
      </w:r>
      <w:r>
        <w:t xml:space="preserve">the energy balances of the same technologies are </w:t>
      </w:r>
      <w:r w:rsidR="00C45995">
        <w:t>represented in Eq. (6-9), respectively.</w:t>
      </w:r>
      <w:r>
        <w:t xml:space="preserve"> </w:t>
      </w:r>
      <w:r w:rsidR="00DB4DE0">
        <w:t xml:space="preserve">In these equations, </w:t>
      </w:r>
      <w:r w:rsidR="00DD672D">
        <w:t xml:space="preserve">the variables </w:t>
      </w:r>
      <w:r w:rsidR="00DD672D" w:rsidRPr="00DD672D">
        <w:rPr>
          <w:i/>
          <w:iCs/>
        </w:rPr>
        <w:t>G</w:t>
      </w:r>
      <w:r w:rsidR="00DD672D">
        <w:t xml:space="preserve">, </w:t>
      </w:r>
      <w:r w:rsidR="00DD672D" w:rsidRPr="00DD672D">
        <w:rPr>
          <w:i/>
          <w:iCs/>
        </w:rPr>
        <w:t>H</w:t>
      </w:r>
      <w:r w:rsidR="00DD672D">
        <w:t xml:space="preserve">, </w:t>
      </w:r>
      <w:r w:rsidR="00DD672D" w:rsidRPr="00DD672D">
        <w:rPr>
          <w:i/>
          <w:iCs/>
        </w:rPr>
        <w:t>Q</w:t>
      </w:r>
      <w:r w:rsidR="00DD672D">
        <w:t xml:space="preserve"> and </w:t>
      </w:r>
      <w:r w:rsidR="00DD672D" w:rsidRPr="00DD672D">
        <w:rPr>
          <w:i/>
          <w:iCs/>
        </w:rPr>
        <w:t>W</w:t>
      </w:r>
      <w:r w:rsidR="00DD672D">
        <w:t xml:space="preserve"> denote the mass flowrate, specific enthalpy, thermal energy and electric power</w:t>
      </w:r>
      <w:r w:rsidR="00325EF8">
        <w:t>, respectively</w:t>
      </w:r>
      <w:r w:rsidR="00DD672D">
        <w:t xml:space="preserve">, while the subscripts </w:t>
      </w:r>
      <w:r w:rsidR="00325EF8">
        <w:rPr>
          <w:i/>
          <w:iCs/>
        </w:rPr>
        <w:t>B</w:t>
      </w:r>
      <w:r w:rsidR="00DD672D">
        <w:t xml:space="preserve">, </w:t>
      </w:r>
      <w:r w:rsidR="00DD672D" w:rsidRPr="00325EF8">
        <w:rPr>
          <w:i/>
          <w:iCs/>
        </w:rPr>
        <w:t>S</w:t>
      </w:r>
      <w:r w:rsidR="00DD672D">
        <w:t xml:space="preserve">, </w:t>
      </w:r>
      <w:r w:rsidR="00325EF8">
        <w:rPr>
          <w:i/>
          <w:iCs/>
        </w:rPr>
        <w:t>SG</w:t>
      </w:r>
      <w:r w:rsidR="00DD672D">
        <w:t xml:space="preserve">, </w:t>
      </w:r>
      <w:r w:rsidR="00DD672D" w:rsidRPr="00325EF8">
        <w:rPr>
          <w:i/>
          <w:iCs/>
        </w:rPr>
        <w:t>TB</w:t>
      </w:r>
      <w:r w:rsidR="00DD672D">
        <w:t xml:space="preserve">, </w:t>
      </w:r>
      <w:r w:rsidR="00DD672D" w:rsidRPr="00325EF8">
        <w:rPr>
          <w:i/>
          <w:iCs/>
        </w:rPr>
        <w:t>RO</w:t>
      </w:r>
      <w:r w:rsidR="00325EF8">
        <w:t xml:space="preserve">, </w:t>
      </w:r>
      <w:r w:rsidR="00DD672D" w:rsidRPr="00325EF8">
        <w:rPr>
          <w:i/>
          <w:iCs/>
        </w:rPr>
        <w:t>DSW</w:t>
      </w:r>
      <w:r w:rsidR="00325EF8">
        <w:rPr>
          <w:i/>
          <w:iCs/>
        </w:rPr>
        <w:t xml:space="preserve"> </w:t>
      </w:r>
      <w:r w:rsidR="00325EF8">
        <w:t xml:space="preserve">and </w:t>
      </w:r>
      <w:r w:rsidR="00325EF8" w:rsidRPr="00325EF8">
        <w:rPr>
          <w:i/>
          <w:iCs/>
        </w:rPr>
        <w:t>NG</w:t>
      </w:r>
      <w:r w:rsidR="00325EF8">
        <w:t xml:space="preserve"> </w:t>
      </w:r>
      <w:r w:rsidR="00DD672D">
        <w:t xml:space="preserve"> refer to boiler, steam, steam generator, turbo-generator, reverse osmosis</w:t>
      </w:r>
      <w:r w:rsidR="00325EF8">
        <w:t xml:space="preserve">, </w:t>
      </w:r>
      <w:r w:rsidR="00DD672D">
        <w:t>desalinated water</w:t>
      </w:r>
      <w:r w:rsidR="00325EF8">
        <w:t xml:space="preserve"> and natural gas,</w:t>
      </w:r>
      <w:r w:rsidR="00DD672D">
        <w:t xml:space="preserve"> respectively. </w:t>
      </w:r>
      <w:r w:rsidR="00325EF8">
        <w:t xml:space="preserve">Moreover, </w:t>
      </w:r>
      <w:r w:rsidR="00325EF8" w:rsidRPr="00144379">
        <w:rPr>
          <w:i/>
          <w:iCs/>
        </w:rPr>
        <w:t>HV</w:t>
      </w:r>
      <w:r w:rsidR="00325EF8">
        <w:t xml:space="preserve">, </w:t>
      </w:r>
      <w:r w:rsidR="00325EF8" w:rsidRPr="00144379">
        <w:rPr>
          <w:rFonts w:asciiTheme="majorBidi" w:hAnsiTheme="majorBidi" w:cstheme="majorBidi"/>
          <w:i/>
          <w:iCs/>
        </w:rPr>
        <w:t>η</w:t>
      </w:r>
      <w:r w:rsidR="00325EF8">
        <w:t xml:space="preserve"> and λ</w:t>
      </w:r>
      <w:r w:rsidR="00561B1C">
        <w:rPr>
          <w:rFonts w:asciiTheme="majorBidi" w:hAnsiTheme="majorBidi" w:cstheme="majorBidi"/>
          <w:i/>
          <w:iCs/>
          <w:vertAlign w:val="subscript"/>
        </w:rPr>
        <w:t xml:space="preserve"> </w:t>
      </w:r>
      <w:r w:rsidR="00325EF8">
        <w:t>are the parameters corresponding to the calorific value of natural gas, technology efficiency and electric power requirement per unit of water, respectively.</w:t>
      </w:r>
    </w:p>
    <w:p w14:paraId="66573C74" w14:textId="4FE17207" w:rsidR="00B00966" w:rsidRDefault="00B00966" w:rsidP="003E1D24">
      <w:pPr>
        <w:pStyle w:val="Els-referenceno-number"/>
        <w:ind w:left="0" w:firstLine="0"/>
        <w:jc w:val="both"/>
        <w:rPr>
          <w:sz w:val="20"/>
          <w:lang w:val="en-US"/>
        </w:rPr>
      </w:pPr>
    </w:p>
    <w:p w14:paraId="16E04D9D" w14:textId="5A8F5DA7" w:rsidR="00C45995" w:rsidRDefault="00D22D4C" w:rsidP="00897943">
      <w:pPr>
        <w:pStyle w:val="Els-referenceno-number"/>
        <w:ind w:left="0" w:firstLine="0"/>
        <w:jc w:val="right"/>
        <w:rPr>
          <w:sz w:val="20"/>
          <w:szCs w:val="22"/>
        </w:rPr>
      </w:pPr>
      <m:oMath>
        <m:sSub>
          <m:sSubPr>
            <m:ctrlPr>
              <w:rPr>
                <w:rFonts w:ascii="Cambria Math" w:hAnsi="Cambria Math"/>
                <w:i/>
                <w:sz w:val="20"/>
                <w:szCs w:val="22"/>
              </w:rPr>
            </m:ctrlPr>
          </m:sSubPr>
          <m:e>
            <m:r>
              <w:rPr>
                <w:rFonts w:ascii="Cambria Math"/>
                <w:sz w:val="20"/>
                <w:szCs w:val="22"/>
              </w:rPr>
              <m:t>G</m:t>
            </m:r>
          </m:e>
          <m:sub>
            <m:r>
              <w:rPr>
                <w:rFonts w:ascii="Cambria Math"/>
                <w:sz w:val="20"/>
                <w:szCs w:val="22"/>
              </w:rPr>
              <m:t>BFW</m:t>
            </m:r>
            <m:r>
              <w:rPr>
                <w:rFonts w:ascii="Cambria Math"/>
                <w:sz w:val="20"/>
                <w:szCs w:val="22"/>
              </w:rPr>
              <m:t>-</m:t>
            </m:r>
            <m:r>
              <w:rPr>
                <w:rFonts w:ascii="Cambria Math"/>
                <w:sz w:val="20"/>
                <w:szCs w:val="22"/>
              </w:rPr>
              <m:t>B</m:t>
            </m:r>
          </m:sub>
        </m:sSub>
        <m:r>
          <w:rPr>
            <w:rFonts w:ascii="Cambria Math"/>
            <w:sz w:val="20"/>
            <w:szCs w:val="22"/>
          </w:rPr>
          <m:t>=</m:t>
        </m:r>
        <m:sSub>
          <m:sSubPr>
            <m:ctrlPr>
              <w:rPr>
                <w:rFonts w:ascii="Cambria Math" w:hAnsi="Cambria Math"/>
                <w:i/>
                <w:sz w:val="20"/>
                <w:szCs w:val="22"/>
              </w:rPr>
            </m:ctrlPr>
          </m:sSubPr>
          <m:e>
            <m:r>
              <w:rPr>
                <w:rFonts w:ascii="Cambria Math"/>
                <w:sz w:val="20"/>
                <w:szCs w:val="22"/>
              </w:rPr>
              <m:t>G</m:t>
            </m:r>
          </m:e>
          <m:sub>
            <m:r>
              <w:rPr>
                <w:rFonts w:ascii="Cambria Math"/>
                <w:sz w:val="20"/>
                <w:szCs w:val="22"/>
              </w:rPr>
              <m:t>S</m:t>
            </m:r>
            <m:r>
              <w:rPr>
                <w:rFonts w:ascii="Cambria Math"/>
                <w:sz w:val="20"/>
                <w:szCs w:val="22"/>
              </w:rPr>
              <m:t>-</m:t>
            </m:r>
            <m:r>
              <w:rPr>
                <w:rFonts w:ascii="Cambria Math"/>
                <w:sz w:val="20"/>
                <w:szCs w:val="22"/>
              </w:rPr>
              <m:t>B</m:t>
            </m:r>
          </m:sub>
        </m:sSub>
        <m:r>
          <w:rPr>
            <w:rFonts w:ascii="Cambria Math"/>
            <w:sz w:val="20"/>
            <w:szCs w:val="22"/>
          </w:rPr>
          <m:t>+</m:t>
        </m:r>
        <m:sSub>
          <m:sSubPr>
            <m:ctrlPr>
              <w:rPr>
                <w:rFonts w:ascii="Cambria Math" w:hAnsi="Cambria Math"/>
                <w:i/>
                <w:sz w:val="20"/>
                <w:szCs w:val="22"/>
              </w:rPr>
            </m:ctrlPr>
          </m:sSubPr>
          <m:e>
            <m:r>
              <w:rPr>
                <w:rFonts w:ascii="Cambria Math"/>
                <w:sz w:val="20"/>
                <w:szCs w:val="22"/>
              </w:rPr>
              <m:t>G</m:t>
            </m:r>
          </m:e>
          <m:sub>
            <m:r>
              <w:rPr>
                <w:rFonts w:ascii="Cambria Math"/>
                <w:sz w:val="20"/>
                <w:szCs w:val="22"/>
              </w:rPr>
              <m:t>blowdown</m:t>
            </m:r>
          </m:sub>
        </m:sSub>
      </m:oMath>
      <w:r w:rsidR="00AB1BCE" w:rsidRPr="00897943">
        <w:rPr>
          <w:sz w:val="20"/>
          <w:szCs w:val="22"/>
        </w:rPr>
        <w:t xml:space="preserve">                                          (2)</w:t>
      </w:r>
    </w:p>
    <w:p w14:paraId="26ABDBFC" w14:textId="77777777" w:rsidR="00897943" w:rsidRDefault="00897943" w:rsidP="00897943">
      <w:pPr>
        <w:pStyle w:val="Els-referenceno-number"/>
        <w:ind w:left="0" w:firstLine="0"/>
        <w:jc w:val="right"/>
        <w:rPr>
          <w:sz w:val="20"/>
          <w:szCs w:val="22"/>
        </w:rPr>
      </w:pPr>
    </w:p>
    <w:p w14:paraId="38EF3159" w14:textId="170F0A74" w:rsidR="00897943" w:rsidRDefault="00D22D4C" w:rsidP="00897943">
      <w:pPr>
        <w:pStyle w:val="Els-body-text"/>
        <w:jc w:val="right"/>
      </w:pPr>
      <m:oMath>
        <m:sSub>
          <m:sSubPr>
            <m:ctrlPr>
              <w:rPr>
                <w:rFonts w:ascii="Cambria Math" w:hAnsi="Cambria Math"/>
                <w:i/>
                <w:lang w:val="en-GB"/>
              </w:rPr>
            </m:ctrlPr>
          </m:sSubPr>
          <m:e>
            <m:r>
              <w:rPr>
                <w:rFonts w:ascii="Cambria Math"/>
                <w:lang w:val="en-GB"/>
              </w:rPr>
              <m:t>G</m:t>
            </m:r>
          </m:e>
          <m:sub>
            <m:r>
              <w:rPr>
                <w:rFonts w:ascii="Cambria Math"/>
                <w:lang w:val="en-GB"/>
              </w:rPr>
              <m:t>BFW</m:t>
            </m:r>
            <m:r>
              <w:rPr>
                <w:rFonts w:ascii="Cambria Math"/>
                <w:lang w:val="en-GB"/>
              </w:rPr>
              <m:t>-</m:t>
            </m:r>
            <m:r>
              <w:rPr>
                <w:rFonts w:ascii="Cambria Math"/>
                <w:lang w:val="en-GB"/>
              </w:rPr>
              <m:t>SG</m:t>
            </m:r>
          </m:sub>
        </m:sSub>
        <m:r>
          <w:rPr>
            <w:rFonts w:ascii="Cambria Math"/>
            <w:lang w:val="en-GB"/>
          </w:rPr>
          <m:t>=</m:t>
        </m:r>
        <m:sSub>
          <m:sSubPr>
            <m:ctrlPr>
              <w:rPr>
                <w:rFonts w:ascii="Cambria Math" w:hAnsi="Cambria Math"/>
                <w:i/>
                <w:lang w:val="en-GB"/>
              </w:rPr>
            </m:ctrlPr>
          </m:sSubPr>
          <m:e>
            <m:r>
              <w:rPr>
                <w:rFonts w:ascii="Cambria Math"/>
                <w:lang w:val="en-GB"/>
              </w:rPr>
              <m:t>G</m:t>
            </m:r>
          </m:e>
          <m:sub>
            <m:r>
              <w:rPr>
                <w:rFonts w:ascii="Cambria Math"/>
                <w:lang w:val="en-GB"/>
              </w:rPr>
              <m:t>S</m:t>
            </m:r>
            <m:r>
              <w:rPr>
                <w:rFonts w:ascii="Cambria Math"/>
                <w:lang w:val="en-GB"/>
              </w:rPr>
              <m:t>-</m:t>
            </m:r>
            <m:r>
              <w:rPr>
                <w:rFonts w:ascii="Cambria Math"/>
                <w:lang w:val="en-GB"/>
              </w:rPr>
              <m:t>SG</m:t>
            </m:r>
          </m:sub>
        </m:sSub>
      </m:oMath>
      <w:r w:rsidR="00897943">
        <w:t xml:space="preserve">                                                  (3)</w:t>
      </w:r>
    </w:p>
    <w:p w14:paraId="2042BC78" w14:textId="3B451299" w:rsidR="00897943" w:rsidRDefault="00897943" w:rsidP="00897943">
      <w:pPr>
        <w:pStyle w:val="Els-body-text"/>
        <w:jc w:val="right"/>
      </w:pPr>
    </w:p>
    <w:p w14:paraId="663A9C20" w14:textId="0B575391" w:rsidR="00897943" w:rsidRDefault="00D22D4C" w:rsidP="00897943">
      <w:pPr>
        <w:pStyle w:val="Els-body-text"/>
        <w:jc w:val="right"/>
      </w:pPr>
      <m:oMath>
        <m:sSub>
          <m:sSubPr>
            <m:ctrlPr>
              <w:rPr>
                <w:rFonts w:ascii="Cambria Math" w:hAnsi="Cambria Math"/>
                <w:i/>
                <w:lang w:val="en-GB"/>
              </w:rPr>
            </m:ctrlPr>
          </m:sSubPr>
          <m:e>
            <m:r>
              <w:rPr>
                <w:rFonts w:ascii="Cambria Math"/>
                <w:lang w:val="en-GB"/>
              </w:rPr>
              <m:t>G</m:t>
            </m:r>
          </m:e>
          <m:sub>
            <m:r>
              <w:rPr>
                <w:rFonts w:ascii="Cambria Math"/>
                <w:lang w:val="en-GB"/>
              </w:rPr>
              <m:t>TB</m:t>
            </m:r>
            <m:r>
              <w:rPr>
                <w:rFonts w:ascii="Cambria Math"/>
                <w:lang w:val="en-GB"/>
              </w:rPr>
              <m:t>-</m:t>
            </m:r>
            <m:r>
              <w:rPr>
                <w:rFonts w:ascii="Cambria Math"/>
                <w:lang w:val="en-GB"/>
              </w:rPr>
              <m:t>in</m:t>
            </m:r>
          </m:sub>
        </m:sSub>
        <m:r>
          <w:rPr>
            <w:rFonts w:ascii="Cambria Math"/>
            <w:lang w:val="en-GB"/>
          </w:rPr>
          <m:t>=</m:t>
        </m:r>
        <m:sSub>
          <m:sSubPr>
            <m:ctrlPr>
              <w:rPr>
                <w:rFonts w:ascii="Cambria Math" w:hAnsi="Cambria Math"/>
                <w:i/>
                <w:lang w:val="en-GB"/>
              </w:rPr>
            </m:ctrlPr>
          </m:sSubPr>
          <m:e>
            <m:r>
              <w:rPr>
                <w:rFonts w:ascii="Cambria Math"/>
                <w:lang w:val="en-GB"/>
              </w:rPr>
              <m:t>G</m:t>
            </m:r>
          </m:e>
          <m:sub>
            <m:r>
              <w:rPr>
                <w:rFonts w:ascii="Cambria Math"/>
                <w:lang w:val="en-GB"/>
              </w:rPr>
              <m:t>TB</m:t>
            </m:r>
            <m:r>
              <w:rPr>
                <w:rFonts w:ascii="Cambria Math"/>
                <w:lang w:val="en-GB"/>
              </w:rPr>
              <m:t>-</m:t>
            </m:r>
            <m:r>
              <w:rPr>
                <w:rFonts w:ascii="Cambria Math"/>
                <w:lang w:val="en-GB"/>
              </w:rPr>
              <m:t>out</m:t>
            </m:r>
          </m:sub>
        </m:sSub>
      </m:oMath>
      <w:r w:rsidR="00897943">
        <w:t xml:space="preserve">                                                  (4)</w:t>
      </w:r>
    </w:p>
    <w:p w14:paraId="63E74A9A" w14:textId="77777777" w:rsidR="00897943" w:rsidRDefault="00897943" w:rsidP="00897943">
      <w:pPr>
        <w:pStyle w:val="Els-body-text"/>
        <w:jc w:val="right"/>
      </w:pPr>
    </w:p>
    <w:p w14:paraId="164F14F8" w14:textId="400F4070" w:rsidR="00897943" w:rsidRDefault="00D22D4C" w:rsidP="00DB4DE0">
      <w:pPr>
        <w:pStyle w:val="Els-body-text"/>
        <w:jc w:val="right"/>
      </w:pPr>
      <m:oMath>
        <m:sSub>
          <m:sSubPr>
            <m:ctrlPr>
              <w:rPr>
                <w:rFonts w:ascii="Cambria Math" w:hAnsi="Cambria Math"/>
                <w:i/>
                <w:lang w:val="en-GB"/>
              </w:rPr>
            </m:ctrlPr>
          </m:sSubPr>
          <m:e>
            <m:r>
              <w:rPr>
                <w:rFonts w:ascii="Cambria Math"/>
                <w:lang w:val="en-GB"/>
              </w:rPr>
              <m:t>G</m:t>
            </m:r>
          </m:e>
          <m:sub>
            <m:r>
              <w:rPr>
                <w:rFonts w:ascii="Cambria Math"/>
                <w:lang w:val="en-GB"/>
              </w:rPr>
              <m:t>RO</m:t>
            </m:r>
            <m:r>
              <w:rPr>
                <w:rFonts w:ascii="Cambria Math"/>
                <w:lang w:val="en-GB"/>
              </w:rPr>
              <m:t>-</m:t>
            </m:r>
            <m:r>
              <w:rPr>
                <w:rFonts w:ascii="Cambria Math"/>
                <w:lang w:val="en-GB"/>
              </w:rPr>
              <m:t>in</m:t>
            </m:r>
          </m:sub>
        </m:sSub>
        <m:r>
          <w:rPr>
            <w:rFonts w:ascii="Cambria Math"/>
            <w:lang w:val="en-GB"/>
          </w:rPr>
          <m:t>=</m:t>
        </m:r>
        <m:sSub>
          <m:sSubPr>
            <m:ctrlPr>
              <w:rPr>
                <w:rFonts w:ascii="Cambria Math" w:hAnsi="Cambria Math"/>
                <w:i/>
                <w:lang w:val="en-GB"/>
              </w:rPr>
            </m:ctrlPr>
          </m:sSubPr>
          <m:e>
            <m:r>
              <w:rPr>
                <w:rFonts w:ascii="Cambria Math"/>
                <w:lang w:val="en-GB"/>
              </w:rPr>
              <m:t>G</m:t>
            </m:r>
          </m:e>
          <m:sub>
            <m:r>
              <w:rPr>
                <w:rFonts w:ascii="Cambria Math"/>
                <w:lang w:val="en-GB"/>
              </w:rPr>
              <m:t>RO</m:t>
            </m:r>
            <m:r>
              <w:rPr>
                <w:rFonts w:ascii="Cambria Math"/>
                <w:lang w:val="en-GB"/>
              </w:rPr>
              <m:t>-</m:t>
            </m:r>
            <m:r>
              <w:rPr>
                <w:rFonts w:ascii="Cambria Math"/>
                <w:lang w:val="en-GB"/>
              </w:rPr>
              <m:t>brine</m:t>
            </m:r>
          </m:sub>
        </m:sSub>
        <m:r>
          <w:rPr>
            <w:rFonts w:ascii="Cambria Math"/>
            <w:lang w:val="en-GB"/>
          </w:rPr>
          <m:t>+</m:t>
        </m:r>
        <m:sSub>
          <m:sSubPr>
            <m:ctrlPr>
              <w:rPr>
                <w:rFonts w:ascii="Cambria Math" w:hAnsi="Cambria Math"/>
                <w:i/>
                <w:lang w:val="en-GB"/>
              </w:rPr>
            </m:ctrlPr>
          </m:sSubPr>
          <m:e>
            <m:r>
              <w:rPr>
                <w:rFonts w:ascii="Cambria Math"/>
                <w:lang w:val="en-GB"/>
              </w:rPr>
              <m:t>G</m:t>
            </m:r>
          </m:e>
          <m:sub>
            <m:r>
              <w:rPr>
                <w:rFonts w:ascii="Cambria Math"/>
                <w:lang w:val="en-GB"/>
              </w:rPr>
              <m:t>RO</m:t>
            </m:r>
            <m:r>
              <w:rPr>
                <w:rFonts w:ascii="Cambria Math"/>
                <w:lang w:val="en-GB"/>
              </w:rPr>
              <m:t>-</m:t>
            </m:r>
            <m:r>
              <w:rPr>
                <w:rFonts w:ascii="Cambria Math"/>
                <w:lang w:val="en-GB"/>
              </w:rPr>
              <m:t>DSW</m:t>
            </m:r>
          </m:sub>
        </m:sSub>
      </m:oMath>
      <w:r w:rsidR="00897943">
        <w:t xml:space="preserve">         </w:t>
      </w:r>
      <w:r w:rsidR="00911242">
        <w:t xml:space="preserve">  </w:t>
      </w:r>
      <w:r w:rsidR="00897943">
        <w:t xml:space="preserve">                             (5)</w:t>
      </w:r>
    </w:p>
    <w:p w14:paraId="47AC3942" w14:textId="77777777" w:rsidR="00DB4DE0" w:rsidRPr="00DB4DE0" w:rsidRDefault="00DB4DE0" w:rsidP="00DB4DE0">
      <w:pPr>
        <w:pStyle w:val="Els-body-text"/>
        <w:jc w:val="right"/>
      </w:pPr>
    </w:p>
    <w:p w14:paraId="552BFCC6" w14:textId="14063154" w:rsidR="00897943" w:rsidRDefault="00D22D4C" w:rsidP="00897943">
      <w:pPr>
        <w:pStyle w:val="Els-body-text"/>
        <w:jc w:val="right"/>
      </w:pPr>
      <m:oMath>
        <m:d>
          <m:dPr>
            <m:ctrlPr>
              <w:rPr>
                <w:rFonts w:ascii="Cambria Math" w:hAnsi="Cambria Math"/>
                <w:i/>
                <w:lang w:val="en-GB"/>
              </w:rPr>
            </m:ctrlPr>
          </m:dPr>
          <m:e>
            <m:sSub>
              <m:sSubPr>
                <m:ctrlPr>
                  <w:rPr>
                    <w:rFonts w:ascii="Cambria Math" w:hAnsi="Cambria Math"/>
                    <w:i/>
                    <w:lang w:val="en-GB"/>
                  </w:rPr>
                </m:ctrlPr>
              </m:sSubPr>
              <m:e>
                <m:r>
                  <w:rPr>
                    <w:rFonts w:ascii="Cambria Math"/>
                    <w:lang w:val="en-GB"/>
                  </w:rPr>
                  <m:t>G</m:t>
                </m:r>
              </m:e>
              <m:sub>
                <m:r>
                  <w:rPr>
                    <w:rFonts w:ascii="Cambria Math"/>
                    <w:lang w:val="en-GB"/>
                  </w:rPr>
                  <m:t>BFW</m:t>
                </m:r>
                <m:r>
                  <w:rPr>
                    <w:rFonts w:ascii="Cambria Math"/>
                    <w:lang w:val="en-GB"/>
                  </w:rPr>
                  <m:t>-</m:t>
                </m:r>
                <m:r>
                  <w:rPr>
                    <w:rFonts w:ascii="Cambria Math"/>
                    <w:lang w:val="en-GB"/>
                  </w:rPr>
                  <m:t>b</m:t>
                </m:r>
              </m:sub>
            </m:sSub>
            <m:sSub>
              <m:sSubPr>
                <m:ctrlPr>
                  <w:rPr>
                    <w:rFonts w:ascii="Cambria Math" w:hAnsi="Cambria Math"/>
                    <w:i/>
                    <w:lang w:val="en-GB"/>
                  </w:rPr>
                </m:ctrlPr>
              </m:sSubPr>
              <m:e>
                <m:r>
                  <w:rPr>
                    <w:rFonts w:ascii="Cambria Math"/>
                    <w:lang w:val="en-GB"/>
                  </w:rPr>
                  <m:t>H</m:t>
                </m:r>
              </m:e>
              <m:sub>
                <m:r>
                  <w:rPr>
                    <w:rFonts w:ascii="Cambria Math"/>
                    <w:lang w:val="en-GB"/>
                  </w:rPr>
                  <m:t>BFW</m:t>
                </m:r>
                <m:r>
                  <w:rPr>
                    <w:rFonts w:ascii="Cambria Math"/>
                    <w:lang w:val="en-GB"/>
                  </w:rPr>
                  <m:t>-</m:t>
                </m:r>
                <m:r>
                  <w:rPr>
                    <w:rFonts w:ascii="Cambria Math"/>
                    <w:lang w:val="en-GB"/>
                  </w:rPr>
                  <m:t>b</m:t>
                </m:r>
              </m:sub>
            </m:sSub>
            <m:r>
              <w:rPr>
                <w:rFonts w:ascii="Cambria Math"/>
                <w:lang w:val="en-GB"/>
              </w:rPr>
              <m:t>+</m:t>
            </m:r>
            <m:sSub>
              <m:sSubPr>
                <m:ctrlPr>
                  <w:rPr>
                    <w:rFonts w:ascii="Cambria Math" w:hAnsi="Cambria Math"/>
                    <w:i/>
                    <w:lang w:val="en-GB"/>
                  </w:rPr>
                </m:ctrlPr>
              </m:sSubPr>
              <m:e>
                <m:r>
                  <w:rPr>
                    <w:rFonts w:ascii="Cambria Math"/>
                    <w:lang w:val="en-GB"/>
                  </w:rPr>
                  <m:t>G</m:t>
                </m:r>
              </m:e>
              <m:sub>
                <m:r>
                  <w:rPr>
                    <w:rFonts w:ascii="Cambria Math"/>
                    <w:lang w:val="en-GB"/>
                  </w:rPr>
                  <m:t>NG</m:t>
                </m:r>
              </m:sub>
            </m:sSub>
            <m:sSub>
              <m:sSubPr>
                <m:ctrlPr>
                  <w:rPr>
                    <w:rFonts w:ascii="Cambria Math" w:hAnsi="Cambria Math"/>
                    <w:i/>
                    <w:lang w:val="en-GB"/>
                  </w:rPr>
                </m:ctrlPr>
              </m:sSubPr>
              <m:e>
                <m:r>
                  <w:rPr>
                    <w:rFonts w:ascii="Cambria Math"/>
                    <w:lang w:val="en-GB"/>
                  </w:rPr>
                  <m:t>HV</m:t>
                </m:r>
              </m:e>
              <m:sub>
                <m:r>
                  <w:rPr>
                    <w:rFonts w:ascii="Cambria Math"/>
                    <w:lang w:val="en-GB"/>
                  </w:rPr>
                  <m:t>NG</m:t>
                </m:r>
              </m:sub>
            </m:sSub>
          </m:e>
        </m:d>
        <m:r>
          <w:rPr>
            <w:rFonts w:ascii="Cambria Math" w:hAnsi="Cambria Math"/>
            <w:lang w:val="en-GB"/>
          </w:rPr>
          <m:t xml:space="preserve"> </m:t>
        </m:r>
        <m:sSub>
          <m:sSubPr>
            <m:ctrlPr>
              <w:rPr>
                <w:rFonts w:ascii="Cambria Math" w:hAnsi="Cambria Math"/>
                <w:i/>
                <w:lang w:val="en-GB"/>
              </w:rPr>
            </m:ctrlPr>
          </m:sSubPr>
          <m:e>
            <m:r>
              <w:rPr>
                <w:rFonts w:ascii="Cambria Math"/>
                <w:lang w:val="en-GB"/>
              </w:rPr>
              <m:t>η</m:t>
            </m:r>
          </m:e>
          <m:sub>
            <m:r>
              <w:rPr>
                <w:rFonts w:ascii="Cambria Math"/>
                <w:lang w:val="en-GB"/>
              </w:rPr>
              <m:t>B</m:t>
            </m:r>
          </m:sub>
        </m:sSub>
        <m:r>
          <w:rPr>
            <w:rFonts w:ascii="Cambria Math"/>
            <w:lang w:val="en-GB"/>
          </w:rPr>
          <m:t>=</m:t>
        </m:r>
        <m:sSub>
          <m:sSubPr>
            <m:ctrlPr>
              <w:rPr>
                <w:rFonts w:ascii="Cambria Math" w:hAnsi="Cambria Math"/>
                <w:i/>
                <w:lang w:val="en-GB"/>
              </w:rPr>
            </m:ctrlPr>
          </m:sSubPr>
          <m:e>
            <m:r>
              <w:rPr>
                <w:rFonts w:ascii="Cambria Math"/>
                <w:lang w:val="en-GB"/>
              </w:rPr>
              <m:t>G</m:t>
            </m:r>
          </m:e>
          <m:sub>
            <m:r>
              <w:rPr>
                <w:rFonts w:ascii="Cambria Math"/>
                <w:lang w:val="en-GB"/>
              </w:rPr>
              <m:t>S</m:t>
            </m:r>
            <m:r>
              <w:rPr>
                <w:rFonts w:ascii="Cambria Math"/>
                <w:lang w:val="en-GB"/>
              </w:rPr>
              <m:t>-</m:t>
            </m:r>
            <m:r>
              <w:rPr>
                <w:rFonts w:ascii="Cambria Math"/>
                <w:lang w:val="en-GB"/>
              </w:rPr>
              <m:t>B</m:t>
            </m:r>
          </m:sub>
        </m:sSub>
        <m:sSub>
          <m:sSubPr>
            <m:ctrlPr>
              <w:rPr>
                <w:rFonts w:ascii="Cambria Math" w:hAnsi="Cambria Math"/>
                <w:i/>
                <w:lang w:val="en-GB"/>
              </w:rPr>
            </m:ctrlPr>
          </m:sSubPr>
          <m:e>
            <m:r>
              <w:rPr>
                <w:rFonts w:ascii="Cambria Math"/>
                <w:lang w:val="en-GB"/>
              </w:rPr>
              <m:t>H</m:t>
            </m:r>
          </m:e>
          <m:sub>
            <m:r>
              <w:rPr>
                <w:rFonts w:ascii="Cambria Math"/>
                <w:lang w:val="en-GB"/>
              </w:rPr>
              <m:t>S</m:t>
            </m:r>
            <m:r>
              <w:rPr>
                <w:rFonts w:ascii="Cambria Math"/>
                <w:lang w:val="en-GB"/>
              </w:rPr>
              <m:t>-</m:t>
            </m:r>
            <m:r>
              <w:rPr>
                <w:rFonts w:ascii="Cambria Math"/>
                <w:lang w:val="en-GB"/>
              </w:rPr>
              <m:t>B</m:t>
            </m:r>
          </m:sub>
        </m:sSub>
        <m:r>
          <w:rPr>
            <w:rFonts w:ascii="Cambria Math"/>
            <w:lang w:val="en-GB"/>
          </w:rPr>
          <m:t>+</m:t>
        </m:r>
        <m:sSub>
          <m:sSubPr>
            <m:ctrlPr>
              <w:rPr>
                <w:rFonts w:ascii="Cambria Math" w:hAnsi="Cambria Math"/>
                <w:i/>
                <w:lang w:val="en-GB"/>
              </w:rPr>
            </m:ctrlPr>
          </m:sSubPr>
          <m:e>
            <m:r>
              <w:rPr>
                <w:rFonts w:ascii="Cambria Math"/>
                <w:lang w:val="en-GB"/>
              </w:rPr>
              <m:t>G</m:t>
            </m:r>
          </m:e>
          <m:sub>
            <m:r>
              <w:rPr>
                <w:rFonts w:ascii="Cambria Math"/>
                <w:lang w:val="en-GB"/>
              </w:rPr>
              <m:t>blowdown</m:t>
            </m:r>
          </m:sub>
        </m:sSub>
        <m:sSub>
          <m:sSubPr>
            <m:ctrlPr>
              <w:rPr>
                <w:rFonts w:ascii="Cambria Math" w:hAnsi="Cambria Math"/>
                <w:i/>
                <w:lang w:val="en-GB"/>
              </w:rPr>
            </m:ctrlPr>
          </m:sSubPr>
          <m:e>
            <m:r>
              <w:rPr>
                <w:rFonts w:ascii="Cambria Math"/>
                <w:lang w:val="en-GB"/>
              </w:rPr>
              <m:t>H</m:t>
            </m:r>
          </m:e>
          <m:sub>
            <m:r>
              <w:rPr>
                <w:rFonts w:ascii="Cambria Math"/>
                <w:lang w:val="en-GB"/>
              </w:rPr>
              <m:t>blowdown</m:t>
            </m:r>
          </m:sub>
        </m:sSub>
      </m:oMath>
      <w:r w:rsidR="00897943">
        <w:rPr>
          <w:lang w:val="en-GB"/>
        </w:rPr>
        <w:t xml:space="preserve">         </w:t>
      </w:r>
      <w:r w:rsidR="00897943">
        <w:t xml:space="preserve"> (6)</w:t>
      </w:r>
    </w:p>
    <w:p w14:paraId="0BC205FB" w14:textId="60FF5A67" w:rsidR="00897943" w:rsidRDefault="00897943" w:rsidP="00897943">
      <w:pPr>
        <w:pStyle w:val="Els-referenceno-number"/>
        <w:ind w:left="0" w:firstLine="0"/>
        <w:jc w:val="right"/>
        <w:rPr>
          <w:sz w:val="22"/>
          <w:szCs w:val="22"/>
          <w:lang w:val="en-US"/>
        </w:rPr>
      </w:pPr>
    </w:p>
    <w:p w14:paraId="575795D6" w14:textId="2E92B13C" w:rsidR="00897943" w:rsidRDefault="00D22D4C" w:rsidP="00897943">
      <w:pPr>
        <w:pStyle w:val="Els-body-text"/>
        <w:jc w:val="right"/>
      </w:pPr>
      <m:oMath>
        <m:sSub>
          <m:sSubPr>
            <m:ctrlPr>
              <w:rPr>
                <w:rFonts w:ascii="Cambria Math" w:hAnsi="Cambria Math"/>
                <w:i/>
                <w:lang w:val="en-GB"/>
              </w:rPr>
            </m:ctrlPr>
          </m:sSubPr>
          <m:e>
            <m:r>
              <w:rPr>
                <w:rFonts w:ascii="Cambria Math"/>
                <w:lang w:val="en-GB"/>
              </w:rPr>
              <m:t>Q</m:t>
            </m:r>
          </m:e>
          <m:sub>
            <m:r>
              <w:rPr>
                <w:rFonts w:ascii="Cambria Math"/>
                <w:lang w:val="en-GB"/>
              </w:rPr>
              <m:t>absorbed</m:t>
            </m:r>
          </m:sub>
        </m:sSub>
        <m:r>
          <w:rPr>
            <w:rFonts w:ascii="Cambria Math"/>
            <w:lang w:val="en-GB"/>
          </w:rPr>
          <m:t>=</m:t>
        </m:r>
        <m:sSub>
          <m:sSubPr>
            <m:ctrlPr>
              <w:rPr>
                <w:rFonts w:ascii="Cambria Math" w:hAnsi="Cambria Math"/>
                <w:i/>
                <w:lang w:val="en-GB"/>
              </w:rPr>
            </m:ctrlPr>
          </m:sSubPr>
          <m:e>
            <m:r>
              <w:rPr>
                <w:rFonts w:ascii="Cambria Math"/>
                <w:lang w:val="en-GB"/>
              </w:rPr>
              <m:t>η</m:t>
            </m:r>
          </m:e>
          <m:sub>
            <m:r>
              <w:rPr>
                <w:rFonts w:ascii="Cambria Math"/>
                <w:lang w:val="en-GB"/>
              </w:rPr>
              <m:t>SG</m:t>
            </m:r>
          </m:sub>
        </m:sSub>
        <m:r>
          <w:rPr>
            <w:rFonts w:ascii="Cambria Math"/>
            <w:lang w:val="en-GB"/>
          </w:rPr>
          <m:t xml:space="preserve"> </m:t>
        </m:r>
        <m:sSub>
          <m:sSubPr>
            <m:ctrlPr>
              <w:rPr>
                <w:rFonts w:ascii="Cambria Math" w:hAnsi="Cambria Math"/>
                <w:i/>
                <w:lang w:val="en-GB"/>
              </w:rPr>
            </m:ctrlPr>
          </m:sSubPr>
          <m:e>
            <m:r>
              <w:rPr>
                <w:rFonts w:ascii="Cambria Math"/>
                <w:lang w:val="en-GB"/>
              </w:rPr>
              <m:t>Q</m:t>
            </m:r>
          </m:e>
          <m:sub>
            <m:r>
              <w:rPr>
                <w:rFonts w:ascii="Cambria Math"/>
                <w:lang w:val="en-GB"/>
              </w:rPr>
              <m:t>released</m:t>
            </m:r>
          </m:sub>
        </m:sSub>
      </m:oMath>
      <w:r w:rsidR="00897943">
        <w:t xml:space="preserve">                                            (7)</w:t>
      </w:r>
    </w:p>
    <w:p w14:paraId="0CC0BE71" w14:textId="77777777" w:rsidR="00DD672D" w:rsidRDefault="00DD672D" w:rsidP="00897943">
      <w:pPr>
        <w:pStyle w:val="Els-body-text"/>
        <w:jc w:val="right"/>
      </w:pPr>
    </w:p>
    <w:p w14:paraId="4BCA231B" w14:textId="4662949A" w:rsidR="00DB4DE0" w:rsidRPr="00DB4DE0" w:rsidRDefault="00D22D4C" w:rsidP="00897943">
      <w:pPr>
        <w:pStyle w:val="Els-referenceno-number"/>
        <w:ind w:left="0" w:firstLine="0"/>
        <w:jc w:val="right"/>
        <w:rPr>
          <w:noProof w:val="0"/>
          <w:sz w:val="16"/>
          <w:szCs w:val="18"/>
        </w:rPr>
      </w:pPr>
      <m:oMath>
        <m:sSub>
          <m:sSubPr>
            <m:ctrlPr>
              <w:rPr>
                <w:rFonts w:ascii="Cambria Math" w:hAnsi="Cambria Math"/>
                <w:i/>
                <w:sz w:val="20"/>
              </w:rPr>
            </m:ctrlPr>
          </m:sSubPr>
          <m:e>
            <m:r>
              <w:rPr>
                <w:rFonts w:ascii="Cambria Math"/>
                <w:sz w:val="20"/>
              </w:rPr>
              <m:t>W</m:t>
            </m:r>
          </m:e>
          <m:sub>
            <m:r>
              <w:rPr>
                <w:rFonts w:ascii="Cambria Math"/>
                <w:sz w:val="20"/>
              </w:rPr>
              <m:t>TB</m:t>
            </m:r>
          </m:sub>
        </m:sSub>
        <m:r>
          <w:rPr>
            <w:rFonts w:ascii="Cambria Math"/>
            <w:sz w:val="20"/>
          </w:rPr>
          <m:t>=</m:t>
        </m:r>
        <m:sSub>
          <m:sSubPr>
            <m:ctrlPr>
              <w:rPr>
                <w:rFonts w:ascii="Cambria Math" w:hAnsi="Cambria Math"/>
                <w:i/>
                <w:sz w:val="20"/>
              </w:rPr>
            </m:ctrlPr>
          </m:sSubPr>
          <m:e>
            <m:r>
              <w:rPr>
                <w:rFonts w:ascii="Cambria Math"/>
                <w:sz w:val="20"/>
              </w:rPr>
              <m:t>η</m:t>
            </m:r>
          </m:e>
          <m:sub>
            <m:r>
              <w:rPr>
                <w:rFonts w:ascii="Cambria Math"/>
                <w:sz w:val="20"/>
              </w:rPr>
              <m:t xml:space="preserve">power </m:t>
            </m:r>
          </m:sub>
        </m:sSub>
        <m:sSub>
          <m:sSubPr>
            <m:ctrlPr>
              <w:rPr>
                <w:rFonts w:ascii="Cambria Math" w:hAnsi="Cambria Math"/>
                <w:i/>
                <w:sz w:val="20"/>
              </w:rPr>
            </m:ctrlPr>
          </m:sSubPr>
          <m:e>
            <m:r>
              <w:rPr>
                <w:rFonts w:ascii="Cambria Math"/>
                <w:sz w:val="20"/>
              </w:rPr>
              <m:t>η</m:t>
            </m:r>
          </m:e>
          <m:sub>
            <m:r>
              <w:rPr>
                <w:rFonts w:ascii="Cambria Math" w:hAnsi="Cambria Math"/>
                <w:sz w:val="20"/>
              </w:rPr>
              <m:t xml:space="preserve">TB </m:t>
            </m:r>
          </m:sub>
        </m:sSub>
        <m:r>
          <w:rPr>
            <w:rFonts w:ascii="Cambria Math"/>
            <w:sz w:val="20"/>
          </w:rPr>
          <m:t>Δ</m:t>
        </m:r>
        <m:sSub>
          <m:sSubPr>
            <m:ctrlPr>
              <w:rPr>
                <w:rFonts w:ascii="Cambria Math" w:hAnsi="Cambria Math"/>
                <w:i/>
                <w:sz w:val="20"/>
              </w:rPr>
            </m:ctrlPr>
          </m:sSubPr>
          <m:e>
            <m:r>
              <w:rPr>
                <w:rFonts w:ascii="Cambria Math"/>
                <w:sz w:val="20"/>
              </w:rPr>
              <m:t>H</m:t>
            </m:r>
          </m:e>
          <m:sub>
            <m:r>
              <w:rPr>
                <w:rFonts w:ascii="Cambria Math"/>
                <w:sz w:val="20"/>
              </w:rPr>
              <m:t>TB</m:t>
            </m:r>
          </m:sub>
        </m:sSub>
        <m:r>
          <w:rPr>
            <w:rFonts w:ascii="Cambria Math" w:hAnsi="Cambria Math"/>
            <w:sz w:val="20"/>
          </w:rPr>
          <m:t xml:space="preserve">                                                   </m:t>
        </m:r>
      </m:oMath>
      <w:r w:rsidR="00DB4DE0" w:rsidRPr="00DB4DE0">
        <w:rPr>
          <w:sz w:val="20"/>
        </w:rPr>
        <w:t>(</w:t>
      </w:r>
      <w:r w:rsidR="00DB4DE0">
        <w:rPr>
          <w:sz w:val="20"/>
        </w:rPr>
        <w:t>8</w:t>
      </w:r>
      <w:r w:rsidR="00DB4DE0" w:rsidRPr="00DB4DE0">
        <w:rPr>
          <w:sz w:val="20"/>
        </w:rPr>
        <w:t>)</w:t>
      </w:r>
    </w:p>
    <w:p w14:paraId="501AB836" w14:textId="77777777" w:rsidR="00DB4DE0" w:rsidRPr="00DB4DE0" w:rsidRDefault="00DB4DE0" w:rsidP="00897943">
      <w:pPr>
        <w:pStyle w:val="Els-referenceno-number"/>
        <w:ind w:left="0" w:firstLine="0"/>
        <w:jc w:val="right"/>
        <w:rPr>
          <w:noProof w:val="0"/>
          <w:sz w:val="20"/>
          <w:szCs w:val="22"/>
        </w:rPr>
      </w:pPr>
    </w:p>
    <w:p w14:paraId="3F3BFC88" w14:textId="7E522C3D" w:rsidR="00897943" w:rsidRDefault="00D22D4C" w:rsidP="00897943">
      <w:pPr>
        <w:pStyle w:val="Els-referenceno-number"/>
        <w:ind w:left="0" w:firstLine="0"/>
        <w:jc w:val="right"/>
        <w:rPr>
          <w:sz w:val="20"/>
        </w:rPr>
      </w:pPr>
      <m:oMath>
        <m:sSub>
          <m:sSubPr>
            <m:ctrlPr>
              <w:rPr>
                <w:rFonts w:ascii="Cambria Math" w:hAnsi="Cambria Math"/>
                <w:i/>
                <w:sz w:val="20"/>
              </w:rPr>
            </m:ctrlPr>
          </m:sSubPr>
          <m:e>
            <m:r>
              <w:rPr>
                <w:rFonts w:ascii="Cambria Math"/>
                <w:sz w:val="20"/>
              </w:rPr>
              <m:t>W</m:t>
            </m:r>
          </m:e>
          <m:sub>
            <m:r>
              <w:rPr>
                <w:rFonts w:ascii="Cambria Math"/>
                <w:sz w:val="20"/>
              </w:rPr>
              <m:t>RO</m:t>
            </m:r>
          </m:sub>
        </m:sSub>
        <m:r>
          <w:rPr>
            <w:rFonts w:ascii="Cambria Math"/>
            <w:sz w:val="20"/>
          </w:rPr>
          <m:t>=</m:t>
        </m:r>
        <m:sSub>
          <m:sSubPr>
            <m:ctrlPr>
              <w:rPr>
                <w:rFonts w:ascii="Cambria Math" w:hAnsi="Cambria Math"/>
                <w:i/>
                <w:sz w:val="20"/>
              </w:rPr>
            </m:ctrlPr>
          </m:sSubPr>
          <m:e>
            <m:r>
              <w:rPr>
                <w:rFonts w:ascii="Cambria Math"/>
                <w:sz w:val="20"/>
              </w:rPr>
              <m:t>λ</m:t>
            </m:r>
          </m:e>
          <m:sub>
            <m:r>
              <w:rPr>
                <w:rFonts w:ascii="Cambria Math"/>
                <w:sz w:val="20"/>
              </w:rPr>
              <m:t>RO</m:t>
            </m:r>
          </m:sub>
        </m:sSub>
        <m:r>
          <w:rPr>
            <w:rFonts w:ascii="Cambria Math" w:hAnsi="Cambria Math"/>
            <w:sz w:val="20"/>
          </w:rPr>
          <m:t xml:space="preserve"> </m:t>
        </m:r>
        <m:sSub>
          <m:sSubPr>
            <m:ctrlPr>
              <w:rPr>
                <w:rFonts w:ascii="Cambria Math" w:hAnsi="Cambria Math"/>
                <w:i/>
                <w:sz w:val="20"/>
              </w:rPr>
            </m:ctrlPr>
          </m:sSubPr>
          <m:e>
            <m:r>
              <w:rPr>
                <w:rFonts w:ascii="Cambria Math"/>
                <w:sz w:val="20"/>
              </w:rPr>
              <m:t>G</m:t>
            </m:r>
          </m:e>
          <m:sub>
            <m:r>
              <w:rPr>
                <w:rFonts w:ascii="Cambria Math"/>
                <w:sz w:val="20"/>
              </w:rPr>
              <m:t>RO</m:t>
            </m:r>
            <m:r>
              <w:rPr>
                <w:rFonts w:ascii="Cambria Math"/>
                <w:sz w:val="20"/>
              </w:rPr>
              <m:t>-</m:t>
            </m:r>
            <m:r>
              <w:rPr>
                <w:rFonts w:ascii="Cambria Math"/>
                <w:sz w:val="20"/>
              </w:rPr>
              <m:t>DSW</m:t>
            </m:r>
          </m:sub>
        </m:sSub>
      </m:oMath>
      <w:r w:rsidR="00DB4DE0" w:rsidRPr="00DB4DE0">
        <w:rPr>
          <w:sz w:val="20"/>
        </w:rPr>
        <w:t xml:space="preserve">                                                (9)</w:t>
      </w:r>
    </w:p>
    <w:p w14:paraId="31781DAB" w14:textId="6816E62F" w:rsidR="00561B1C" w:rsidRDefault="00561B1C" w:rsidP="00897943">
      <w:pPr>
        <w:pStyle w:val="Els-referenceno-number"/>
        <w:ind w:left="0" w:firstLine="0"/>
        <w:jc w:val="right"/>
        <w:rPr>
          <w:sz w:val="20"/>
        </w:rPr>
      </w:pPr>
    </w:p>
    <w:p w14:paraId="7F8D750D" w14:textId="4A3E2375" w:rsidR="00911242" w:rsidRPr="00975069" w:rsidRDefault="00911242" w:rsidP="00911242">
      <w:pPr>
        <w:pStyle w:val="Els-referenceno-number"/>
        <w:ind w:left="0" w:firstLine="0"/>
        <w:jc w:val="both"/>
        <w:rPr>
          <w:sz w:val="20"/>
          <w:lang w:val="en-US"/>
        </w:rPr>
      </w:pPr>
      <w:r>
        <w:rPr>
          <w:sz w:val="20"/>
          <w:lang w:val="en-US"/>
        </w:rPr>
        <w:t>On the other hand, the inequality constraints, described in Eq. (10-13) below, address the limitations on certain aspects of the system, such as the capacities of technologies, solar availability, minimum freshwater production and maximum allowable CO</w:t>
      </w:r>
      <w:r>
        <w:rPr>
          <w:sz w:val="20"/>
          <w:vertAlign w:val="subscript"/>
          <w:lang w:val="en-US"/>
        </w:rPr>
        <w:t>2</w:t>
      </w:r>
      <w:r>
        <w:rPr>
          <w:sz w:val="20"/>
          <w:lang w:val="en-US"/>
        </w:rPr>
        <w:t xml:space="preserve"> emissions </w:t>
      </w:r>
      <w:r w:rsidR="008C7ECC">
        <w:rPr>
          <w:sz w:val="20"/>
          <w:lang w:val="en-US"/>
        </w:rPr>
        <w:t>subject to</w:t>
      </w:r>
      <w:r>
        <w:rPr>
          <w:sz w:val="20"/>
          <w:lang w:val="en-US"/>
        </w:rPr>
        <w:t xml:space="preserve"> a net carbon reduction target (NCRT) imposed on the system. </w:t>
      </w:r>
      <w:r w:rsidR="00975069">
        <w:rPr>
          <w:sz w:val="20"/>
          <w:lang w:val="en-US"/>
        </w:rPr>
        <w:t xml:space="preserve">In these equations, </w:t>
      </w:r>
      <w:r w:rsidR="00975069" w:rsidRPr="00975069">
        <w:rPr>
          <w:i/>
          <w:iCs/>
          <w:sz w:val="20"/>
          <w:lang w:val="en-US"/>
        </w:rPr>
        <w:t>b</w:t>
      </w:r>
      <w:r w:rsidR="00975069">
        <w:rPr>
          <w:sz w:val="20"/>
          <w:lang w:val="en-US"/>
        </w:rPr>
        <w:t xml:space="preserve"> represents a binary variable, </w:t>
      </w:r>
      <m:oMath>
        <m:sSub>
          <m:sSubPr>
            <m:ctrlPr>
              <w:rPr>
                <w:rFonts w:ascii="Cambria Math" w:hAnsi="Cambria Math"/>
                <w:i/>
                <w:noProof w:val="0"/>
                <w:sz w:val="20"/>
              </w:rPr>
            </m:ctrlPr>
          </m:sSubPr>
          <m:e>
            <m:r>
              <w:rPr>
                <w:rFonts w:ascii="Cambria Math" w:hAnsi="Cambria Math"/>
              </w:rPr>
              <m:t>A</m:t>
            </m:r>
          </m:e>
          <m:sub>
            <m:r>
              <w:rPr>
                <w:rFonts w:ascii="Cambria Math" w:hAnsi="Cambria Math"/>
              </w:rPr>
              <m:t>SF</m:t>
            </m:r>
          </m:sub>
        </m:sSub>
      </m:oMath>
      <w:r w:rsidR="00975069">
        <w:rPr>
          <w:sz w:val="20"/>
          <w:lang w:val="en-US"/>
        </w:rPr>
        <w:t xml:space="preserve"> is the required solar field area, </w:t>
      </w:r>
      <w:r w:rsidR="00975069" w:rsidRPr="00975069">
        <w:rPr>
          <w:i/>
          <w:iCs/>
          <w:sz w:val="20"/>
          <w:lang w:val="en-US"/>
        </w:rPr>
        <w:t>DNI</w:t>
      </w:r>
      <w:r w:rsidR="00975069">
        <w:rPr>
          <w:sz w:val="20"/>
          <w:lang w:val="en-US"/>
        </w:rPr>
        <w:t xml:space="preserve"> is the average direct normal irradiance, while </w:t>
      </w:r>
      <m:oMath>
        <m:sSubSup>
          <m:sSubSupPr>
            <m:ctrlPr>
              <w:rPr>
                <w:rFonts w:ascii="Cambria Math" w:hAnsi="Cambria Math" w:cstheme="majorBidi"/>
                <w:i/>
                <w:sz w:val="20"/>
              </w:rPr>
            </m:ctrlPr>
          </m:sSubSupPr>
          <m:e>
            <m:r>
              <w:rPr>
                <w:rFonts w:ascii="Cambria Math" w:hAnsi="Cambria Math" w:cstheme="majorBidi"/>
                <w:sz w:val="20"/>
              </w:rPr>
              <m:t>G</m:t>
            </m:r>
          </m:e>
          <m:sub>
            <m:r>
              <w:rPr>
                <w:rFonts w:ascii="Cambria Math" w:hAnsi="Cambria Math" w:cstheme="majorBidi"/>
              </w:rPr>
              <m:t>NG</m:t>
            </m:r>
          </m:sub>
          <m:sup>
            <m:r>
              <w:rPr>
                <w:rFonts w:ascii="Cambria Math" w:hAnsi="Cambria Math" w:cstheme="majorBidi"/>
              </w:rPr>
              <m:t>CO2</m:t>
            </m:r>
          </m:sup>
        </m:sSubSup>
      </m:oMath>
      <w:r w:rsidR="00975069">
        <w:rPr>
          <w:sz w:val="20"/>
        </w:rPr>
        <w:t xml:space="preserve">, </w:t>
      </w:r>
      <m:oMath>
        <m:sSubSup>
          <m:sSubSupPr>
            <m:ctrlPr>
              <w:rPr>
                <w:rFonts w:ascii="Cambria Math" w:hAnsi="Cambria Math" w:cstheme="majorBidi"/>
                <w:i/>
                <w:sz w:val="20"/>
              </w:rPr>
            </m:ctrlPr>
          </m:sSubSupPr>
          <m:e>
            <m:r>
              <w:rPr>
                <w:rFonts w:ascii="Cambria Math" w:hAnsi="Cambria Math" w:cstheme="majorBidi"/>
                <w:sz w:val="20"/>
              </w:rPr>
              <m:t>G</m:t>
            </m:r>
          </m:e>
          <m:sub>
            <m:r>
              <w:rPr>
                <w:rFonts w:ascii="Cambria Math" w:hAnsi="Cambria Math" w:cstheme="majorBidi"/>
              </w:rPr>
              <m:t>TF</m:t>
            </m:r>
          </m:sub>
          <m:sup>
            <m:r>
              <w:rPr>
                <w:rFonts w:ascii="Cambria Math" w:hAnsi="Cambria Math" w:cstheme="majorBidi"/>
              </w:rPr>
              <m:t>CO2</m:t>
            </m:r>
          </m:sup>
        </m:sSubSup>
      </m:oMath>
      <w:r w:rsidR="00975069">
        <w:rPr>
          <w:sz w:val="20"/>
        </w:rPr>
        <w:t xml:space="preserve">, and </w:t>
      </w:r>
      <m:oMath>
        <m:sSup>
          <m:sSupPr>
            <m:ctrlPr>
              <w:rPr>
                <w:rFonts w:ascii="Cambria Math" w:hAnsi="Cambria Math" w:cstheme="majorBidi"/>
                <w:i/>
                <w:sz w:val="20"/>
              </w:rPr>
            </m:ctrlPr>
          </m:sSupPr>
          <m:e>
            <m:r>
              <w:rPr>
                <w:rFonts w:ascii="Cambria Math" w:hAnsi="Cambria Math" w:cstheme="majorBidi"/>
                <w:sz w:val="20"/>
              </w:rPr>
              <m:t>G</m:t>
            </m:r>
          </m:e>
          <m:sup>
            <m:r>
              <w:rPr>
                <w:rFonts w:ascii="Cambria Math" w:hAnsi="Cambria Math" w:cstheme="majorBidi"/>
              </w:rPr>
              <m:t>CO2</m:t>
            </m:r>
            <m:r>
              <w:rPr>
                <w:rFonts w:ascii="Cambria Math" w:hAnsi="Cambria Math" w:cstheme="majorBidi"/>
                <w:sz w:val="20"/>
              </w:rPr>
              <m:t xml:space="preserve">, </m:t>
            </m:r>
            <m:r>
              <w:rPr>
                <w:rFonts w:ascii="Cambria Math" w:hAnsi="Cambria Math" w:cstheme="majorBidi"/>
              </w:rPr>
              <m:t xml:space="preserve"> </m:t>
            </m:r>
            <m:r>
              <w:rPr>
                <w:rFonts w:ascii="Cambria Math" w:hAnsi="Cambria Math" w:cstheme="majorBidi"/>
                <w:sz w:val="20"/>
              </w:rPr>
              <m:t>BC</m:t>
            </m:r>
          </m:sup>
        </m:sSup>
      </m:oMath>
      <w:r w:rsidR="00975069">
        <w:rPr>
          <w:sz w:val="20"/>
        </w:rPr>
        <w:t xml:space="preserve"> are the carbon dioxide emissions from natural gas boiler, transient fuel boiler and total CO</w:t>
      </w:r>
      <w:r w:rsidR="00975069">
        <w:rPr>
          <w:sz w:val="20"/>
          <w:vertAlign w:val="subscript"/>
        </w:rPr>
        <w:t>2</w:t>
      </w:r>
      <w:r w:rsidR="00975069">
        <w:rPr>
          <w:sz w:val="20"/>
        </w:rPr>
        <w:t xml:space="preserve"> emissions of a base case scenario, respectively.</w:t>
      </w:r>
    </w:p>
    <w:p w14:paraId="07D6BE9B" w14:textId="77777777" w:rsidR="00911242" w:rsidRDefault="00911242" w:rsidP="00911242">
      <w:pPr>
        <w:pStyle w:val="Els-referenceno-number"/>
        <w:ind w:left="0" w:firstLine="0"/>
        <w:jc w:val="both"/>
        <w:rPr>
          <w:sz w:val="20"/>
          <w:lang w:val="en-US"/>
        </w:rPr>
      </w:pPr>
    </w:p>
    <w:p w14:paraId="40A3DFA4" w14:textId="6E7FA461" w:rsidR="00911242" w:rsidRDefault="008C7ECC" w:rsidP="00911242">
      <w:pPr>
        <w:pStyle w:val="Els-body-text"/>
        <w:jc w:val="right"/>
      </w:pPr>
      <m:oMath>
        <m:r>
          <w:rPr>
            <w:rFonts w:ascii="Cambria Math" w:hAnsi="Cambria Math"/>
          </w:rPr>
          <m:t xml:space="preserve">b </m:t>
        </m:r>
        <m:sSub>
          <m:sSubPr>
            <m:ctrlPr>
              <w:rPr>
                <w:rFonts w:ascii="Cambria Math" w:hAnsi="Cambria Math"/>
                <w:i/>
              </w:rPr>
            </m:ctrlPr>
          </m:sSubPr>
          <m:e>
            <m:r>
              <w:rPr>
                <w:rFonts w:ascii="Cambria Math" w:hAnsi="Cambria Math"/>
              </w:rPr>
              <m:t>G</m:t>
            </m:r>
          </m:e>
          <m:sub>
            <m:r>
              <w:rPr>
                <w:rFonts w:ascii="Cambria Math" w:hAnsi="Cambria Math"/>
              </w:rPr>
              <m:t>min</m:t>
            </m:r>
          </m:sub>
        </m:sSub>
        <m:r>
          <w:rPr>
            <w:rFonts w:ascii="Cambria Math" w:hAnsi="Cambria Math"/>
          </w:rPr>
          <m:t xml:space="preserve">≤G≤b </m:t>
        </m:r>
        <m:sSub>
          <m:sSubPr>
            <m:ctrlPr>
              <w:rPr>
                <w:rFonts w:ascii="Cambria Math" w:hAnsi="Cambria Math"/>
                <w:i/>
              </w:rPr>
            </m:ctrlPr>
          </m:sSubPr>
          <m:e>
            <m:r>
              <w:rPr>
                <w:rFonts w:ascii="Cambria Math" w:hAnsi="Cambria Math"/>
              </w:rPr>
              <m:t>G</m:t>
            </m:r>
          </m:e>
          <m:sub>
            <m:r>
              <w:rPr>
                <w:rFonts w:ascii="Cambria Math" w:hAnsi="Cambria Math"/>
              </w:rPr>
              <m:t>max</m:t>
            </m:r>
          </m:sub>
        </m:sSub>
      </m:oMath>
      <w:r w:rsidR="00911242">
        <w:t xml:space="preserve">            </w:t>
      </w:r>
      <w:r>
        <w:t xml:space="preserve">  </w:t>
      </w:r>
      <w:r w:rsidR="00911242">
        <w:t xml:space="preserve">                              (10)</w:t>
      </w:r>
    </w:p>
    <w:p w14:paraId="4FCE319E" w14:textId="77777777" w:rsidR="00911242" w:rsidRDefault="00911242" w:rsidP="00911242">
      <w:pPr>
        <w:pStyle w:val="Els-body-text"/>
        <w:jc w:val="right"/>
      </w:pPr>
    </w:p>
    <w:p w14:paraId="54121555" w14:textId="51E94EC1" w:rsidR="00911242" w:rsidRDefault="00D22D4C" w:rsidP="00911242">
      <w:pPr>
        <w:pStyle w:val="Els-body-text"/>
        <w:jc w:val="right"/>
      </w:pPr>
      <m:oMath>
        <m:sSub>
          <m:sSubPr>
            <m:ctrlPr>
              <w:rPr>
                <w:rFonts w:ascii="Cambria Math" w:hAnsi="Cambria Math"/>
                <w:i/>
                <w:lang w:val="en-GB"/>
              </w:rPr>
            </m:ctrlPr>
          </m:sSubPr>
          <m:e>
            <m:r>
              <w:rPr>
                <w:rFonts w:ascii="Cambria Math"/>
                <w:lang w:val="en-GB"/>
              </w:rPr>
              <m:t>G</m:t>
            </m:r>
          </m:e>
          <m:sub>
            <m:r>
              <w:rPr>
                <w:rFonts w:ascii="Cambria Math"/>
                <w:lang w:val="en-GB"/>
              </w:rPr>
              <m:t>S</m:t>
            </m:r>
            <m:r>
              <w:rPr>
                <w:rFonts w:ascii="Cambria Math"/>
                <w:lang w:val="en-GB"/>
              </w:rPr>
              <m:t>-</m:t>
            </m:r>
            <m:r>
              <w:rPr>
                <w:rFonts w:ascii="Cambria Math"/>
                <w:lang w:val="en-GB"/>
              </w:rPr>
              <m:t>SG</m:t>
            </m:r>
          </m:sub>
        </m:sSub>
        <m:d>
          <m:dPr>
            <m:ctrlPr>
              <w:rPr>
                <w:rFonts w:ascii="Cambria Math" w:hAnsi="Cambria Math"/>
                <w:i/>
                <w:lang w:val="en-GB"/>
              </w:rPr>
            </m:ctrlPr>
          </m:dPr>
          <m:e>
            <m:sSub>
              <m:sSubPr>
                <m:ctrlPr>
                  <w:rPr>
                    <w:rFonts w:ascii="Cambria Math" w:hAnsi="Cambria Math"/>
                    <w:i/>
                    <w:lang w:val="en-GB"/>
                  </w:rPr>
                </m:ctrlPr>
              </m:sSubPr>
              <m:e>
                <m:r>
                  <w:rPr>
                    <w:rFonts w:ascii="Cambria Math"/>
                    <w:lang w:val="en-GB"/>
                  </w:rPr>
                  <m:t>H</m:t>
                </m:r>
              </m:e>
              <m:sub>
                <m:r>
                  <w:rPr>
                    <w:rFonts w:ascii="Cambria Math"/>
                    <w:lang w:val="en-GB"/>
                  </w:rPr>
                  <m:t>S</m:t>
                </m:r>
                <m:r>
                  <w:rPr>
                    <w:rFonts w:ascii="Cambria Math"/>
                    <w:lang w:val="en-GB"/>
                  </w:rPr>
                  <m:t>-</m:t>
                </m:r>
                <m:r>
                  <w:rPr>
                    <w:rFonts w:ascii="Cambria Math"/>
                    <w:lang w:val="en-GB"/>
                  </w:rPr>
                  <m:t>SG</m:t>
                </m:r>
              </m:sub>
            </m:sSub>
            <m:r>
              <w:rPr>
                <w:rFonts w:ascii="Cambria Math"/>
                <w:lang w:val="en-GB"/>
              </w:rPr>
              <m:t>-</m:t>
            </m:r>
            <m:sSub>
              <m:sSubPr>
                <m:ctrlPr>
                  <w:rPr>
                    <w:rFonts w:ascii="Cambria Math" w:hAnsi="Cambria Math"/>
                    <w:i/>
                    <w:lang w:val="en-GB"/>
                  </w:rPr>
                </m:ctrlPr>
              </m:sSubPr>
              <m:e>
                <m:r>
                  <w:rPr>
                    <w:rFonts w:ascii="Cambria Math"/>
                    <w:lang w:val="en-GB"/>
                  </w:rPr>
                  <m:t>H</m:t>
                </m:r>
              </m:e>
              <m:sub>
                <m:r>
                  <w:rPr>
                    <w:rFonts w:ascii="Cambria Math"/>
                    <w:lang w:val="en-GB"/>
                  </w:rPr>
                  <m:t>BFW</m:t>
                </m:r>
                <m:r>
                  <w:rPr>
                    <w:rFonts w:ascii="Cambria Math"/>
                    <w:lang w:val="en-GB"/>
                  </w:rPr>
                  <m:t>-</m:t>
                </m:r>
                <m:r>
                  <w:rPr>
                    <w:rFonts w:ascii="Cambria Math"/>
                    <w:lang w:val="en-GB"/>
                  </w:rPr>
                  <m:t>SG</m:t>
                </m:r>
              </m:sub>
            </m:sSub>
          </m:e>
        </m:d>
        <m:r>
          <w:rPr>
            <w:rFonts w:asci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SF</m:t>
            </m:r>
          </m:sub>
        </m:sSub>
        <m:r>
          <w:rPr>
            <w:rFonts w:ascii="Cambria Math"/>
            <w:lang w:val="en-GB"/>
          </w:rPr>
          <m:t xml:space="preserve"> DNI</m:t>
        </m:r>
      </m:oMath>
      <w:r w:rsidR="00911242">
        <w:t xml:space="preserve">       </w:t>
      </w:r>
      <w:r w:rsidR="008C7ECC">
        <w:t xml:space="preserve">     </w:t>
      </w:r>
      <w:r w:rsidR="00911242">
        <w:t xml:space="preserve">                    (11)</w:t>
      </w:r>
    </w:p>
    <w:p w14:paraId="08794118" w14:textId="77777777" w:rsidR="00911242" w:rsidRDefault="00911242" w:rsidP="00911242">
      <w:pPr>
        <w:pStyle w:val="Els-body-text"/>
        <w:jc w:val="right"/>
      </w:pPr>
    </w:p>
    <w:p w14:paraId="3F9FE157" w14:textId="38A8A3B9" w:rsidR="00911242" w:rsidRDefault="00911242" w:rsidP="00911242">
      <w:pPr>
        <w:pStyle w:val="Els-body-text"/>
        <w:jc w:val="right"/>
      </w:pPr>
      <w:r>
        <w:t xml:space="preserve">         </w:t>
      </w:r>
      <m:oMath>
        <m:sSub>
          <m:sSubPr>
            <m:ctrlPr>
              <w:rPr>
                <w:rFonts w:ascii="Cambria Math" w:hAnsi="Cambria Math"/>
                <w:i/>
              </w:rPr>
            </m:ctrlPr>
          </m:sSubPr>
          <m:e>
            <m:r>
              <w:rPr>
                <w:rFonts w:ascii="Cambria Math"/>
              </w:rPr>
              <m:t>G</m:t>
            </m:r>
          </m:e>
          <m:sub>
            <m:r>
              <w:rPr>
                <w:rFonts w:ascii="Cambria Math"/>
              </w:rPr>
              <m:t>DSW,</m:t>
            </m:r>
            <m:r>
              <w:rPr>
                <w:rFonts w:ascii="Cambria Math" w:hAnsi="Cambria Math" w:cs="Cambria Math"/>
              </w:rPr>
              <m:t>min</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DSW</m:t>
            </m:r>
          </m:sub>
        </m:sSub>
      </m:oMath>
      <w:r>
        <w:t xml:space="preserve">                                            (12)</w:t>
      </w:r>
    </w:p>
    <w:p w14:paraId="389DB345" w14:textId="14F32759" w:rsidR="008C7ECC" w:rsidRDefault="008C7ECC" w:rsidP="00911242">
      <w:pPr>
        <w:pStyle w:val="Els-body-text"/>
        <w:jc w:val="right"/>
      </w:pPr>
    </w:p>
    <w:p w14:paraId="4F394D89" w14:textId="1165EE0C" w:rsidR="008C7ECC" w:rsidRDefault="00D22D4C" w:rsidP="00911242">
      <w:pPr>
        <w:pStyle w:val="Els-body-text"/>
        <w:jc w:val="right"/>
      </w:pPr>
      <m:oMath>
        <m:sSubSup>
          <m:sSubSupPr>
            <m:ctrlPr>
              <w:rPr>
                <w:rFonts w:ascii="Cambria Math" w:hAnsi="Cambria Math" w:cstheme="majorBidi"/>
                <w:i/>
              </w:rPr>
            </m:ctrlPr>
          </m:sSubSupPr>
          <m:e>
            <m:r>
              <w:rPr>
                <w:rFonts w:ascii="Cambria Math" w:hAnsi="Cambria Math" w:cstheme="majorBidi"/>
              </w:rPr>
              <m:t>G</m:t>
            </m:r>
          </m:e>
          <m:sub>
            <m:r>
              <w:rPr>
                <w:rFonts w:ascii="Cambria Math" w:hAnsi="Cambria Math" w:cstheme="majorBidi"/>
              </w:rPr>
              <m:t>NG</m:t>
            </m:r>
          </m:sub>
          <m:sup>
            <m:r>
              <w:rPr>
                <w:rFonts w:ascii="Cambria Math" w:hAnsi="Cambria Math" w:cstheme="majorBidi"/>
              </w:rPr>
              <m:t>CO2</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G</m:t>
            </m:r>
          </m:e>
          <m:sub>
            <m:r>
              <w:rPr>
                <w:rFonts w:ascii="Cambria Math" w:hAnsi="Cambria Math" w:cstheme="majorBidi"/>
              </w:rPr>
              <m:t>TF</m:t>
            </m:r>
          </m:sub>
          <m:sup>
            <m:r>
              <w:rPr>
                <w:rFonts w:ascii="Cambria Math" w:hAnsi="Cambria Math" w:cstheme="majorBidi"/>
              </w:rPr>
              <m:t>CO2</m:t>
            </m:r>
          </m:sup>
        </m:sSubSup>
        <m:r>
          <w:rPr>
            <w:rFonts w:ascii="Cambria Math" w:hAnsi="Cambria Math" w:cstheme="majorBidi"/>
          </w:rPr>
          <m:t>≤</m:t>
        </m:r>
        <m:d>
          <m:dPr>
            <m:ctrlPr>
              <w:rPr>
                <w:rFonts w:ascii="Cambria Math" w:hAnsi="Cambria Math" w:cstheme="majorBidi"/>
                <w:i/>
              </w:rPr>
            </m:ctrlPr>
          </m:dPr>
          <m:e>
            <m:r>
              <w:rPr>
                <w:rFonts w:ascii="Cambria Math" w:hAnsi="Cambria Math" w:cstheme="majorBidi"/>
              </w:rPr>
              <m:t>1-NCRT</m:t>
            </m:r>
          </m:e>
        </m:d>
        <m:r>
          <w:rPr>
            <w:rFonts w:ascii="Cambria Math" w:hAnsi="Cambria Math" w:cstheme="majorBidi"/>
          </w:rPr>
          <m:t xml:space="preserve"> </m:t>
        </m:r>
        <m:sSup>
          <m:sSupPr>
            <m:ctrlPr>
              <w:rPr>
                <w:rFonts w:ascii="Cambria Math" w:hAnsi="Cambria Math" w:cstheme="majorBidi"/>
                <w:i/>
              </w:rPr>
            </m:ctrlPr>
          </m:sSupPr>
          <m:e>
            <m:r>
              <w:rPr>
                <w:rFonts w:ascii="Cambria Math" w:hAnsi="Cambria Math" w:cstheme="majorBidi"/>
              </w:rPr>
              <m:t>G</m:t>
            </m:r>
          </m:e>
          <m:sup>
            <m:r>
              <w:rPr>
                <w:rFonts w:ascii="Cambria Math" w:hAnsi="Cambria Math" w:cstheme="majorBidi"/>
              </w:rPr>
              <m:t>CO2,  BC</m:t>
            </m:r>
          </m:sup>
        </m:sSup>
      </m:oMath>
      <w:r w:rsidR="008C7ECC">
        <w:t xml:space="preserve">                                (13)</w:t>
      </w:r>
    </w:p>
    <w:p w14:paraId="04A7CBAC" w14:textId="61F138A0" w:rsidR="009B224E" w:rsidRPr="009B224E" w:rsidRDefault="009B224E" w:rsidP="009B224E">
      <w:pPr>
        <w:pStyle w:val="Els-1storder-head"/>
      </w:pPr>
      <w:r>
        <w:rPr>
          <w:bCs/>
          <w:szCs w:val="24"/>
        </w:rPr>
        <w:t xml:space="preserve"> Case Study</w:t>
      </w:r>
    </w:p>
    <w:p w14:paraId="400DCE1B" w14:textId="46213F9D" w:rsidR="00975069" w:rsidRDefault="002231C1" w:rsidP="002231C1">
      <w:pPr>
        <w:pStyle w:val="Els-body-text"/>
      </w:pPr>
      <w:r>
        <w:t>The proposed model was implemented on a trigeneration system integrated with Carlsbad desalination plant in California, USA. This plant operates using reverse osmosis (RO) membranes with a total capacity of 160,000 m</w:t>
      </w:r>
      <w:r>
        <w:rPr>
          <w:vertAlign w:val="superscript"/>
        </w:rPr>
        <w:t>3</w:t>
      </w:r>
      <w:r>
        <w:t>/d</w:t>
      </w:r>
      <w:r w:rsidR="00AC3A6E">
        <w:t xml:space="preserve"> and</w:t>
      </w:r>
      <w:r>
        <w:t xml:space="preserve"> inlet seawater salinity </w:t>
      </w:r>
      <w:r w:rsidR="00AC3A6E">
        <w:t>of 33.5 g/L. Moreover, the energy consumption of RO was estimated at 3.5 kWh/m</w:t>
      </w:r>
      <w:r w:rsidR="00AC3A6E">
        <w:rPr>
          <w:vertAlign w:val="superscript"/>
        </w:rPr>
        <w:t>3</w:t>
      </w:r>
      <w:r w:rsidR="00AC3A6E">
        <w:t>. The main energy supplier of Carlsbad plant is San Diego Gas and Electric</w:t>
      </w:r>
      <w:r w:rsidR="001421A8">
        <w:t xml:space="preserve"> (SDG&amp;E) plant</w:t>
      </w:r>
      <w:r w:rsidR="00AC3A6E">
        <w:t xml:space="preserve"> which </w:t>
      </w:r>
      <w:r w:rsidR="001421A8">
        <w:t>currently generates 55% of its energy from natural gas and 45% from solar panels and wind</w:t>
      </w:r>
      <w:r w:rsidR="00492803">
        <w:t xml:space="preserve"> (Klaimi et al., 2022c)</w:t>
      </w:r>
      <w:r w:rsidR="001421A8">
        <w:t xml:space="preserve">. Since the aim of this study is to assess the utilization of various fuel options and technologies in a transient phase towards a carbon neutral system, two </w:t>
      </w:r>
      <w:r w:rsidR="0084629D">
        <w:t xml:space="preserve">base case </w:t>
      </w:r>
      <w:r w:rsidR="001421A8">
        <w:t xml:space="preserve">scenarios will be </w:t>
      </w:r>
      <w:r w:rsidR="0084629D">
        <w:t>considered.</w:t>
      </w:r>
      <w:r w:rsidR="00B82FF9">
        <w:t xml:space="preserve"> In the first scenario,</w:t>
      </w:r>
      <w:r w:rsidR="0084629D">
        <w:t xml:space="preserve"> </w:t>
      </w:r>
      <w:r w:rsidR="00B82FF9">
        <w:t>t</w:t>
      </w:r>
      <w:r w:rsidR="0084629D">
        <w:t>he net carbon reduction target will be based on the amount of CO</w:t>
      </w:r>
      <w:r w:rsidR="0084629D">
        <w:rPr>
          <w:vertAlign w:val="subscript"/>
        </w:rPr>
        <w:t>2</w:t>
      </w:r>
      <w:r w:rsidR="0084629D">
        <w:t xml:space="preserve"> emitted from a system that is operating on natural gas only, whereas the second base case scenario is similar to the current situation.</w:t>
      </w:r>
      <w:r w:rsidR="00B82FF9">
        <w:t xml:space="preserve"> As previously mentioned, biomass and municipal solid waste are the transient fuels to be investigated in this work, while the technologies that will be incorporated are biomass boiler, grate-fired boiler and fluidized bed boiler. Moreover</w:t>
      </w:r>
      <w:r w:rsidR="001B3CFC">
        <w:t>, the option of making some revenues through the selection of grate-fired boiler was added to the model, since this policy is adopted in many countries to reduce the total volume of generated solid waste. On the other hand, i</w:t>
      </w:r>
      <w:r w:rsidR="00AC3A6E">
        <w:t>n order to determine the maximum amount of energy that could be generated from CSP, an average monthly DNI value of 168 kWh/m</w:t>
      </w:r>
      <w:r w:rsidR="00AC3A6E">
        <w:rPr>
          <w:vertAlign w:val="superscript"/>
        </w:rPr>
        <w:t>2</w:t>
      </w:r>
      <w:r w:rsidR="00AC3A6E">
        <w:t xml:space="preserve"> was considered.</w:t>
      </w:r>
      <w:r w:rsidR="001B3CFC">
        <w:t xml:space="preserve"> The MINLP optimization problem has been implemented using “</w:t>
      </w:r>
      <w:proofErr w:type="spellStart"/>
      <w:r w:rsidR="001B3CFC">
        <w:t>Whats’Best</w:t>
      </w:r>
      <w:proofErr w:type="spellEnd"/>
      <w:r w:rsidR="001B3CFC">
        <w:t xml:space="preserve"> 17.0” LINDO Global </w:t>
      </w:r>
      <w:r w:rsidR="001B3CFC">
        <w:lastRenderedPageBreak/>
        <w:t>Solver for MS-Excel 2016</w:t>
      </w:r>
      <w:r w:rsidR="001E1289">
        <w:t>.</w:t>
      </w:r>
      <w:r w:rsidR="001B3CFC">
        <w:t xml:space="preserve"> Figure 2 below shows the variation of </w:t>
      </w:r>
      <w:r w:rsidR="00601C8B">
        <w:t>total water production cost (WPC) using different transient fuels and technologies at a series of NCRT values ranging from 0 to 100%</w:t>
      </w:r>
      <w:r w:rsidR="00685922">
        <w:t xml:space="preserve"> based on the first scenario.</w:t>
      </w:r>
      <w:r w:rsidR="00AC3A6E">
        <w:t xml:space="preserve"> </w:t>
      </w:r>
      <w:r>
        <w:t xml:space="preserve"> </w:t>
      </w:r>
    </w:p>
    <w:p w14:paraId="0A67C601" w14:textId="4A23C06C" w:rsidR="00F7721B" w:rsidRDefault="00F7721B" w:rsidP="002231C1">
      <w:pPr>
        <w:pStyle w:val="Els-body-text"/>
      </w:pPr>
    </w:p>
    <w:p w14:paraId="5899C194" w14:textId="2282E2D6" w:rsidR="00F7721B" w:rsidRPr="002231C1" w:rsidRDefault="00F7721B" w:rsidP="00E90E15">
      <w:pPr>
        <w:pStyle w:val="Els-body-text"/>
        <w:jc w:val="center"/>
      </w:pPr>
      <w:r>
        <w:rPr>
          <w:noProof/>
        </w:rPr>
        <w:drawing>
          <wp:inline distT="0" distB="0" distL="0" distR="0" wp14:anchorId="1244E1EB" wp14:editId="263714CF">
            <wp:extent cx="4238625" cy="2571750"/>
            <wp:effectExtent l="0" t="0" r="0" b="0"/>
            <wp:docPr id="1" name="Chart 1">
              <a:extLst xmlns:a="http://schemas.openxmlformats.org/drawingml/2006/main">
                <a:ext uri="{FF2B5EF4-FFF2-40B4-BE49-F238E27FC236}">
                  <a16:creationId xmlns:a16="http://schemas.microsoft.com/office/drawing/2014/main" id="{706AB019-6DEA-4AFA-9002-A7F360FD7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9E27B4" w14:textId="77777777" w:rsidR="00975069" w:rsidRPr="008C7ECC" w:rsidRDefault="00975069" w:rsidP="00975069">
      <w:pPr>
        <w:pStyle w:val="Els-body-text"/>
        <w:jc w:val="left"/>
        <w:rPr>
          <w:sz w:val="16"/>
          <w:szCs w:val="16"/>
        </w:rPr>
      </w:pPr>
    </w:p>
    <w:p w14:paraId="51899AB3" w14:textId="460C63F0" w:rsidR="00561B1C" w:rsidRPr="00954941" w:rsidRDefault="00F7721B" w:rsidP="00F7721B">
      <w:pPr>
        <w:pStyle w:val="Els-referenceno-number"/>
        <w:ind w:left="0" w:firstLine="0"/>
        <w:jc w:val="center"/>
        <w:rPr>
          <w:szCs w:val="18"/>
          <w:lang w:val="en-US"/>
        </w:rPr>
      </w:pPr>
      <w:r w:rsidRPr="00954941">
        <w:rPr>
          <w:szCs w:val="18"/>
          <w:lang w:val="en-US"/>
        </w:rPr>
        <w:t>Figure 2: Water production cost vs NCRT for different fuel options</w:t>
      </w:r>
    </w:p>
    <w:p w14:paraId="6462DAE8" w14:textId="3F74E5A0" w:rsidR="00F7721B" w:rsidRDefault="00F7721B" w:rsidP="00F7721B">
      <w:pPr>
        <w:pStyle w:val="Els-referenceno-number"/>
        <w:ind w:left="0" w:firstLine="0"/>
        <w:jc w:val="center"/>
        <w:rPr>
          <w:sz w:val="20"/>
          <w:lang w:val="en-US"/>
        </w:rPr>
      </w:pPr>
    </w:p>
    <w:p w14:paraId="0A76F0C9" w14:textId="77777777" w:rsidR="004328F4" w:rsidRDefault="00685922" w:rsidP="00685922">
      <w:pPr>
        <w:pStyle w:val="Els-referenceno-number"/>
        <w:ind w:left="0" w:firstLine="0"/>
        <w:jc w:val="both"/>
        <w:rPr>
          <w:sz w:val="20"/>
          <w:lang w:val="en-US"/>
        </w:rPr>
      </w:pPr>
      <w:r>
        <w:rPr>
          <w:sz w:val="20"/>
          <w:lang w:val="en-US"/>
        </w:rPr>
        <w:t xml:space="preserve">The obtained results showed </w:t>
      </w:r>
      <w:r w:rsidR="003B0E36">
        <w:rPr>
          <w:sz w:val="20"/>
          <w:lang w:val="en-US"/>
        </w:rPr>
        <w:t>that water production cost of a tri-generation system operating using natural gas only (0% NCRT) is 0.715 USD/m</w:t>
      </w:r>
      <w:r w:rsidR="003B0E36">
        <w:rPr>
          <w:sz w:val="20"/>
          <w:vertAlign w:val="superscript"/>
          <w:lang w:val="en-US"/>
        </w:rPr>
        <w:t>3</w:t>
      </w:r>
      <w:r w:rsidR="003B0E36">
        <w:rPr>
          <w:sz w:val="20"/>
          <w:lang w:val="en-US"/>
        </w:rPr>
        <w:t>, while the amount of CO</w:t>
      </w:r>
      <w:r w:rsidR="003B0E36">
        <w:rPr>
          <w:sz w:val="20"/>
          <w:vertAlign w:val="subscript"/>
          <w:lang w:val="en-US"/>
        </w:rPr>
        <w:t>2</w:t>
      </w:r>
      <w:r w:rsidR="003B0E36">
        <w:rPr>
          <w:sz w:val="20"/>
          <w:lang w:val="en-US"/>
        </w:rPr>
        <w:t xml:space="preserve"> emissions associated with the utilization of natural gas is estimated at 299 tons/day. This WPC varies differently with increasing NCRT values depending on the type of transient fuel and technology. Figure 2 shows that </w:t>
      </w:r>
      <w:r w:rsidR="00DE1909">
        <w:rPr>
          <w:sz w:val="20"/>
          <w:lang w:val="en-US"/>
        </w:rPr>
        <w:t xml:space="preserve">biomass is the most appropriate fuel to be selected in the transient phase for NCRT values below 40%. </w:t>
      </w:r>
      <w:r w:rsidR="00A80BBA">
        <w:rPr>
          <w:sz w:val="20"/>
          <w:lang w:val="en-US"/>
        </w:rPr>
        <w:t xml:space="preserve">At low NCRT values, energy generation from biomass was found the cheapest among the available options, followed by MSW incineration using grate fired boiler with revenues (MSW-GFR). However, when the revenues from the utilization of grate fired boiler </w:t>
      </w:r>
      <w:r w:rsidR="008228A7">
        <w:rPr>
          <w:sz w:val="20"/>
          <w:lang w:val="en-US"/>
        </w:rPr>
        <w:t>a</w:t>
      </w:r>
      <w:r w:rsidR="00A80BBA">
        <w:rPr>
          <w:sz w:val="20"/>
          <w:lang w:val="en-US"/>
        </w:rPr>
        <w:t>re ignored</w:t>
      </w:r>
      <w:r w:rsidR="00397175">
        <w:rPr>
          <w:sz w:val="20"/>
          <w:lang w:val="en-US"/>
        </w:rPr>
        <w:t xml:space="preserve"> (MSW-GFWR)</w:t>
      </w:r>
      <w:r w:rsidR="00A80BBA">
        <w:rPr>
          <w:sz w:val="20"/>
          <w:lang w:val="en-US"/>
        </w:rPr>
        <w:t>, the fluidized bed boiler</w:t>
      </w:r>
      <w:r w:rsidR="00397175">
        <w:rPr>
          <w:sz w:val="20"/>
          <w:lang w:val="en-US"/>
        </w:rPr>
        <w:t xml:space="preserve"> (MSW-FB)</w:t>
      </w:r>
      <w:r w:rsidR="00A80BBA">
        <w:rPr>
          <w:sz w:val="20"/>
          <w:lang w:val="en-US"/>
        </w:rPr>
        <w:t xml:space="preserve"> </w:t>
      </w:r>
      <w:r w:rsidR="008228A7">
        <w:rPr>
          <w:sz w:val="20"/>
          <w:lang w:val="en-US"/>
        </w:rPr>
        <w:t>becomes the most suitable technology for the incineration of MSW. This is mainly due to the high amount of CO</w:t>
      </w:r>
      <w:r w:rsidR="008228A7">
        <w:rPr>
          <w:sz w:val="20"/>
          <w:vertAlign w:val="subscript"/>
          <w:lang w:val="en-US"/>
        </w:rPr>
        <w:t>2</w:t>
      </w:r>
      <w:r w:rsidR="008228A7">
        <w:rPr>
          <w:sz w:val="20"/>
          <w:lang w:val="en-US"/>
        </w:rPr>
        <w:t xml:space="preserve"> emissions resulted from the incorporation of a grate fired boiler which necessitates a significant contribution of CSP in th</w:t>
      </w:r>
      <w:r w:rsidR="00862D21">
        <w:rPr>
          <w:sz w:val="20"/>
          <w:lang w:val="en-US"/>
        </w:rPr>
        <w:t>is</w:t>
      </w:r>
      <w:r w:rsidR="008228A7">
        <w:rPr>
          <w:sz w:val="20"/>
          <w:lang w:val="en-US"/>
        </w:rPr>
        <w:t xml:space="preserve"> case in order to meet the carbon reduction target. </w:t>
      </w:r>
      <w:r w:rsidR="00862D21">
        <w:rPr>
          <w:sz w:val="20"/>
          <w:lang w:val="en-US"/>
        </w:rPr>
        <w:t>Thus, a higher WPC was observed due to the high investment cost of CSP. Similarly, when NCRT exceeds 40%</w:t>
      </w:r>
      <w:r w:rsidR="00B833EB">
        <w:rPr>
          <w:sz w:val="20"/>
          <w:lang w:val="en-US"/>
        </w:rPr>
        <w:t xml:space="preserve">, the high emissions from biomass combustion require a higher contribution of CSP. This resulted in a drastic increase in WPC when biomass is selected as a transient fuel. In addition, MSW incineration </w:t>
      </w:r>
      <w:r w:rsidR="00397175">
        <w:rPr>
          <w:sz w:val="20"/>
          <w:lang w:val="en-US"/>
        </w:rPr>
        <w:t xml:space="preserve">option </w:t>
      </w:r>
      <w:r w:rsidR="00B833EB">
        <w:rPr>
          <w:sz w:val="20"/>
          <w:lang w:val="en-US"/>
        </w:rPr>
        <w:t xml:space="preserve">using grate fired boiler with revenue was preferred over biomass </w:t>
      </w:r>
      <w:r w:rsidR="00397175">
        <w:rPr>
          <w:sz w:val="20"/>
          <w:lang w:val="en-US"/>
        </w:rPr>
        <w:t>for a NCRT beyond 40%, while the fluidized bed and grate fired boiler without revenues become more desirable at NCRT values of 50% and 60%, respectively. On the other hand, when a 100% carbon reduction is required, the WPC of a system operating using CSP only was found 1.75 USD/m</w:t>
      </w:r>
      <w:r w:rsidR="00397175">
        <w:rPr>
          <w:sz w:val="20"/>
          <w:vertAlign w:val="superscript"/>
          <w:lang w:val="en-US"/>
        </w:rPr>
        <w:t>3</w:t>
      </w:r>
      <w:r w:rsidR="00397175">
        <w:rPr>
          <w:sz w:val="20"/>
          <w:lang w:val="en-US"/>
        </w:rPr>
        <w:t>.</w:t>
      </w:r>
      <w:r w:rsidR="004328F4">
        <w:rPr>
          <w:sz w:val="20"/>
          <w:lang w:val="en-US"/>
        </w:rPr>
        <w:t xml:space="preserve"> </w:t>
      </w:r>
    </w:p>
    <w:p w14:paraId="029A01D2" w14:textId="752AE0D6" w:rsidR="00F7721B" w:rsidRDefault="004328F4" w:rsidP="00E961C1">
      <w:pPr>
        <w:pStyle w:val="Els-referenceno-number"/>
        <w:spacing w:before="240" w:after="240"/>
        <w:ind w:left="0" w:firstLine="0"/>
        <w:jc w:val="both"/>
        <w:rPr>
          <w:sz w:val="20"/>
          <w:lang w:val="en-US"/>
        </w:rPr>
      </w:pPr>
      <w:r>
        <w:rPr>
          <w:sz w:val="20"/>
          <w:lang w:val="en-US"/>
        </w:rPr>
        <w:t xml:space="preserve">The capital and investment costs of the </w:t>
      </w:r>
      <w:r w:rsidR="0032617E">
        <w:rPr>
          <w:sz w:val="20"/>
          <w:lang w:val="en-US"/>
        </w:rPr>
        <w:t xml:space="preserve">investigated </w:t>
      </w:r>
      <w:r>
        <w:rPr>
          <w:sz w:val="20"/>
          <w:lang w:val="en-US"/>
        </w:rPr>
        <w:t xml:space="preserve">technologies were not the only reason behind the </w:t>
      </w:r>
      <w:r w:rsidR="0032617E">
        <w:rPr>
          <w:sz w:val="20"/>
          <w:lang w:val="en-US"/>
        </w:rPr>
        <w:t xml:space="preserve">results observed in Figure 2. The amount of carbon emissions associated with the combustion of transient fuels could also affect the water production cost of the system. </w:t>
      </w:r>
      <w:r w:rsidR="0032617E">
        <w:rPr>
          <w:sz w:val="20"/>
          <w:lang w:val="en-US"/>
        </w:rPr>
        <w:lastRenderedPageBreak/>
        <w:t>Higher CO</w:t>
      </w:r>
      <w:r w:rsidR="0032617E">
        <w:rPr>
          <w:sz w:val="20"/>
          <w:vertAlign w:val="subscript"/>
          <w:lang w:val="en-US"/>
        </w:rPr>
        <w:t>2</w:t>
      </w:r>
      <w:r w:rsidR="0032617E">
        <w:rPr>
          <w:sz w:val="20"/>
          <w:lang w:val="en-US"/>
        </w:rPr>
        <w:t xml:space="preserve"> emissions result in the selection of CSP as a secondary energy source for desalination which increase the WPC. Since the transient fuels have different carbon emission factors, </w:t>
      </w:r>
      <w:r w:rsidR="009D0790">
        <w:rPr>
          <w:sz w:val="20"/>
          <w:lang w:val="en-US"/>
        </w:rPr>
        <w:t xml:space="preserve">it should be noted that </w:t>
      </w:r>
      <w:r w:rsidR="0032617E">
        <w:rPr>
          <w:sz w:val="20"/>
          <w:lang w:val="en-US"/>
        </w:rPr>
        <w:t xml:space="preserve">CSP technology </w:t>
      </w:r>
      <w:r w:rsidR="009D0790">
        <w:rPr>
          <w:sz w:val="20"/>
          <w:lang w:val="en-US"/>
        </w:rPr>
        <w:t>appeared</w:t>
      </w:r>
      <w:r w:rsidR="0032617E">
        <w:rPr>
          <w:sz w:val="20"/>
          <w:lang w:val="en-US"/>
        </w:rPr>
        <w:t xml:space="preserve"> for the first time </w:t>
      </w:r>
      <w:r w:rsidR="009D0790">
        <w:rPr>
          <w:sz w:val="20"/>
          <w:lang w:val="en-US"/>
        </w:rPr>
        <w:t>in the optimal configurations at different NCRT values depending on the type of transient fuel involved. Table 1 below summarizes the NCRT values at which CSP was selected for the first time, the contribution of this energy source</w:t>
      </w:r>
      <w:r w:rsidR="002D02EA">
        <w:rPr>
          <w:sz w:val="20"/>
          <w:lang w:val="en-US"/>
        </w:rPr>
        <w:t xml:space="preserve"> and WPC</w:t>
      </w:r>
      <w:r w:rsidR="009D0790">
        <w:rPr>
          <w:sz w:val="20"/>
          <w:lang w:val="en-US"/>
        </w:rPr>
        <w:t xml:space="preserve"> for the studied fuels. </w:t>
      </w:r>
    </w:p>
    <w:p w14:paraId="350BF9D6" w14:textId="1DC4D7EA" w:rsidR="00E961C1" w:rsidRDefault="00E961C1" w:rsidP="00E961C1">
      <w:pPr>
        <w:pStyle w:val="Caption"/>
        <w:keepNext/>
        <w:spacing w:before="0"/>
      </w:pPr>
      <w:r>
        <w:t xml:space="preserve">Table </w:t>
      </w:r>
      <w:r>
        <w:fldChar w:fldCharType="begin"/>
      </w:r>
      <w:r>
        <w:instrText xml:space="preserve"> SEQ Table \* ARABIC </w:instrText>
      </w:r>
      <w:r>
        <w:fldChar w:fldCharType="separate"/>
      </w:r>
      <w:r>
        <w:rPr>
          <w:noProof/>
        </w:rPr>
        <w:t>1</w:t>
      </w:r>
      <w:r>
        <w:fldChar w:fldCharType="end"/>
      </w:r>
      <w:r>
        <w:t>: Summary of CSP related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672"/>
        <w:gridCol w:w="2020"/>
        <w:gridCol w:w="1556"/>
      </w:tblGrid>
      <w:tr w:rsidR="002D02EA" w14:paraId="49D97EA7" w14:textId="01E8A789" w:rsidTr="00E961C1">
        <w:tc>
          <w:tcPr>
            <w:tcW w:w="1838" w:type="dxa"/>
            <w:tcBorders>
              <w:top w:val="single" w:sz="4" w:space="0" w:color="auto"/>
              <w:bottom w:val="single" w:sz="4" w:space="0" w:color="auto"/>
            </w:tcBorders>
          </w:tcPr>
          <w:p w14:paraId="1C6E0B5A" w14:textId="2AD7022C" w:rsidR="002D02EA" w:rsidRDefault="002D02EA" w:rsidP="00E961C1">
            <w:pPr>
              <w:pStyle w:val="Els-referenceno-number"/>
              <w:ind w:left="0" w:firstLine="0"/>
              <w:jc w:val="center"/>
              <w:rPr>
                <w:sz w:val="20"/>
                <w:lang w:val="en-US"/>
              </w:rPr>
            </w:pPr>
            <w:r>
              <w:rPr>
                <w:sz w:val="20"/>
                <w:lang w:val="en-US"/>
              </w:rPr>
              <w:t>Transient Fuel</w:t>
            </w:r>
          </w:p>
        </w:tc>
        <w:tc>
          <w:tcPr>
            <w:tcW w:w="1672" w:type="dxa"/>
            <w:tcBorders>
              <w:top w:val="single" w:sz="4" w:space="0" w:color="auto"/>
              <w:bottom w:val="single" w:sz="4" w:space="0" w:color="auto"/>
            </w:tcBorders>
          </w:tcPr>
          <w:p w14:paraId="44B62AE6" w14:textId="2F745CE7" w:rsidR="002D02EA" w:rsidRDefault="002D02EA" w:rsidP="00E961C1">
            <w:pPr>
              <w:pStyle w:val="Els-referenceno-number"/>
              <w:ind w:left="0" w:firstLine="0"/>
              <w:jc w:val="center"/>
              <w:rPr>
                <w:sz w:val="20"/>
                <w:lang w:val="en-US"/>
              </w:rPr>
            </w:pPr>
            <w:r>
              <w:rPr>
                <w:sz w:val="20"/>
                <w:lang w:val="en-US"/>
              </w:rPr>
              <w:t>NCRT (%)</w:t>
            </w:r>
          </w:p>
        </w:tc>
        <w:tc>
          <w:tcPr>
            <w:tcW w:w="2020" w:type="dxa"/>
            <w:tcBorders>
              <w:top w:val="single" w:sz="4" w:space="0" w:color="auto"/>
              <w:bottom w:val="single" w:sz="4" w:space="0" w:color="auto"/>
            </w:tcBorders>
          </w:tcPr>
          <w:p w14:paraId="1B98A408" w14:textId="66CAA89D" w:rsidR="002D02EA" w:rsidRDefault="002D02EA" w:rsidP="00E961C1">
            <w:pPr>
              <w:pStyle w:val="Els-referenceno-number"/>
              <w:ind w:left="0" w:firstLine="0"/>
              <w:jc w:val="center"/>
              <w:rPr>
                <w:sz w:val="20"/>
                <w:lang w:val="en-US"/>
              </w:rPr>
            </w:pPr>
            <w:r>
              <w:rPr>
                <w:sz w:val="20"/>
                <w:lang w:val="en-US"/>
              </w:rPr>
              <w:t>CSP Contribution (%)</w:t>
            </w:r>
          </w:p>
        </w:tc>
        <w:tc>
          <w:tcPr>
            <w:tcW w:w="1556" w:type="dxa"/>
            <w:tcBorders>
              <w:top w:val="single" w:sz="4" w:space="0" w:color="auto"/>
              <w:bottom w:val="single" w:sz="4" w:space="0" w:color="auto"/>
            </w:tcBorders>
          </w:tcPr>
          <w:p w14:paraId="556FDF47" w14:textId="7EB32145" w:rsidR="002D02EA" w:rsidRPr="002D02EA" w:rsidRDefault="002D02EA" w:rsidP="00E961C1">
            <w:pPr>
              <w:pStyle w:val="Els-referenceno-number"/>
              <w:ind w:left="0" w:firstLine="0"/>
              <w:jc w:val="center"/>
              <w:rPr>
                <w:sz w:val="20"/>
                <w:lang w:val="en-US"/>
              </w:rPr>
            </w:pPr>
            <w:r>
              <w:rPr>
                <w:sz w:val="20"/>
                <w:lang w:val="en-US"/>
              </w:rPr>
              <w:t>WPC (USD/m</w:t>
            </w:r>
            <w:r>
              <w:rPr>
                <w:sz w:val="20"/>
                <w:vertAlign w:val="superscript"/>
                <w:lang w:val="en-US"/>
              </w:rPr>
              <w:t>3</w:t>
            </w:r>
            <w:r>
              <w:rPr>
                <w:sz w:val="20"/>
                <w:lang w:val="en-US"/>
              </w:rPr>
              <w:t>)</w:t>
            </w:r>
          </w:p>
        </w:tc>
      </w:tr>
      <w:tr w:rsidR="002D02EA" w14:paraId="122E9ABE" w14:textId="3FD57C97" w:rsidTr="00E961C1">
        <w:tc>
          <w:tcPr>
            <w:tcW w:w="1838" w:type="dxa"/>
            <w:tcBorders>
              <w:top w:val="single" w:sz="4" w:space="0" w:color="auto"/>
              <w:bottom w:val="single" w:sz="4" w:space="0" w:color="auto"/>
            </w:tcBorders>
          </w:tcPr>
          <w:p w14:paraId="37DCABE7" w14:textId="66AB01DF" w:rsidR="002D02EA" w:rsidRDefault="002D02EA" w:rsidP="00E961C1">
            <w:pPr>
              <w:pStyle w:val="Els-referenceno-number"/>
              <w:ind w:left="0" w:firstLine="0"/>
              <w:jc w:val="center"/>
              <w:rPr>
                <w:sz w:val="20"/>
                <w:lang w:val="en-US"/>
              </w:rPr>
            </w:pPr>
            <w:r>
              <w:rPr>
                <w:sz w:val="20"/>
                <w:lang w:val="en-US"/>
              </w:rPr>
              <w:t>Biomass</w:t>
            </w:r>
          </w:p>
        </w:tc>
        <w:tc>
          <w:tcPr>
            <w:tcW w:w="1672" w:type="dxa"/>
            <w:tcBorders>
              <w:top w:val="single" w:sz="4" w:space="0" w:color="auto"/>
              <w:bottom w:val="single" w:sz="4" w:space="0" w:color="auto"/>
            </w:tcBorders>
          </w:tcPr>
          <w:p w14:paraId="27BB9197" w14:textId="037ABA4E" w:rsidR="002D02EA" w:rsidRDefault="002D02EA" w:rsidP="00E961C1">
            <w:pPr>
              <w:pStyle w:val="Els-referenceno-number"/>
              <w:ind w:left="0" w:firstLine="0"/>
              <w:jc w:val="center"/>
              <w:rPr>
                <w:sz w:val="20"/>
                <w:lang w:val="en-US"/>
              </w:rPr>
            </w:pPr>
            <w:r>
              <w:rPr>
                <w:sz w:val="20"/>
                <w:lang w:val="en-US"/>
              </w:rPr>
              <w:t>60</w:t>
            </w:r>
          </w:p>
        </w:tc>
        <w:tc>
          <w:tcPr>
            <w:tcW w:w="2020" w:type="dxa"/>
            <w:tcBorders>
              <w:top w:val="single" w:sz="4" w:space="0" w:color="auto"/>
              <w:bottom w:val="single" w:sz="4" w:space="0" w:color="auto"/>
            </w:tcBorders>
          </w:tcPr>
          <w:p w14:paraId="61CD0B12" w14:textId="2F1A3638" w:rsidR="002D02EA" w:rsidRDefault="002D02EA" w:rsidP="00E961C1">
            <w:pPr>
              <w:pStyle w:val="Els-referenceno-number"/>
              <w:ind w:left="0" w:firstLine="0"/>
              <w:jc w:val="center"/>
              <w:rPr>
                <w:sz w:val="20"/>
                <w:lang w:val="en-US"/>
              </w:rPr>
            </w:pPr>
            <w:r>
              <w:rPr>
                <w:sz w:val="20"/>
                <w:lang w:val="en-US"/>
              </w:rPr>
              <w:t>24</w:t>
            </w:r>
          </w:p>
        </w:tc>
        <w:tc>
          <w:tcPr>
            <w:tcW w:w="1556" w:type="dxa"/>
            <w:tcBorders>
              <w:top w:val="single" w:sz="4" w:space="0" w:color="auto"/>
              <w:bottom w:val="single" w:sz="4" w:space="0" w:color="auto"/>
            </w:tcBorders>
          </w:tcPr>
          <w:p w14:paraId="7C197682" w14:textId="54EAAD58" w:rsidR="002D02EA" w:rsidRDefault="00E961C1" w:rsidP="00E961C1">
            <w:pPr>
              <w:pStyle w:val="Els-referenceno-number"/>
              <w:ind w:left="0" w:firstLine="0"/>
              <w:jc w:val="center"/>
              <w:rPr>
                <w:sz w:val="20"/>
                <w:lang w:val="en-US"/>
              </w:rPr>
            </w:pPr>
            <w:r>
              <w:rPr>
                <w:sz w:val="20"/>
                <w:lang w:val="en-US"/>
              </w:rPr>
              <w:t>1.39</w:t>
            </w:r>
          </w:p>
        </w:tc>
      </w:tr>
      <w:tr w:rsidR="002D02EA" w14:paraId="35D49689" w14:textId="77E44844" w:rsidTr="00E961C1">
        <w:tc>
          <w:tcPr>
            <w:tcW w:w="1838" w:type="dxa"/>
            <w:tcBorders>
              <w:top w:val="single" w:sz="4" w:space="0" w:color="auto"/>
              <w:bottom w:val="single" w:sz="4" w:space="0" w:color="auto"/>
            </w:tcBorders>
          </w:tcPr>
          <w:p w14:paraId="20F31F67" w14:textId="33E3B76C" w:rsidR="002D02EA" w:rsidRDefault="002D02EA" w:rsidP="00E961C1">
            <w:pPr>
              <w:pStyle w:val="Els-referenceno-number"/>
              <w:ind w:left="0" w:firstLine="0"/>
              <w:jc w:val="center"/>
              <w:rPr>
                <w:sz w:val="20"/>
                <w:lang w:val="en-US"/>
              </w:rPr>
            </w:pPr>
            <w:r>
              <w:rPr>
                <w:sz w:val="20"/>
                <w:lang w:val="en-US"/>
              </w:rPr>
              <w:t>MSW-GFR</w:t>
            </w:r>
          </w:p>
        </w:tc>
        <w:tc>
          <w:tcPr>
            <w:tcW w:w="1672" w:type="dxa"/>
            <w:tcBorders>
              <w:top w:val="single" w:sz="4" w:space="0" w:color="auto"/>
              <w:bottom w:val="single" w:sz="4" w:space="0" w:color="auto"/>
            </w:tcBorders>
          </w:tcPr>
          <w:p w14:paraId="2A08649F" w14:textId="3494F53C" w:rsidR="002D02EA" w:rsidRDefault="002D02EA" w:rsidP="00E961C1">
            <w:pPr>
              <w:pStyle w:val="Els-referenceno-number"/>
              <w:ind w:left="0" w:firstLine="0"/>
              <w:jc w:val="center"/>
              <w:rPr>
                <w:sz w:val="20"/>
                <w:lang w:val="en-US"/>
              </w:rPr>
            </w:pPr>
            <w:r>
              <w:rPr>
                <w:sz w:val="20"/>
                <w:lang w:val="en-US"/>
              </w:rPr>
              <w:t>80</w:t>
            </w:r>
          </w:p>
        </w:tc>
        <w:tc>
          <w:tcPr>
            <w:tcW w:w="2020" w:type="dxa"/>
            <w:tcBorders>
              <w:top w:val="single" w:sz="4" w:space="0" w:color="auto"/>
              <w:bottom w:val="single" w:sz="4" w:space="0" w:color="auto"/>
            </w:tcBorders>
          </w:tcPr>
          <w:p w14:paraId="1F08F610" w14:textId="3C7D7AC4" w:rsidR="002D02EA" w:rsidRDefault="002D02EA" w:rsidP="00E961C1">
            <w:pPr>
              <w:pStyle w:val="Els-referenceno-number"/>
              <w:ind w:left="0" w:firstLine="0"/>
              <w:jc w:val="center"/>
              <w:rPr>
                <w:sz w:val="20"/>
                <w:lang w:val="en-US"/>
              </w:rPr>
            </w:pPr>
            <w:r>
              <w:rPr>
                <w:sz w:val="20"/>
                <w:lang w:val="en-US"/>
              </w:rPr>
              <w:t>11</w:t>
            </w:r>
          </w:p>
        </w:tc>
        <w:tc>
          <w:tcPr>
            <w:tcW w:w="1556" w:type="dxa"/>
            <w:tcBorders>
              <w:top w:val="single" w:sz="4" w:space="0" w:color="auto"/>
              <w:bottom w:val="single" w:sz="4" w:space="0" w:color="auto"/>
            </w:tcBorders>
          </w:tcPr>
          <w:p w14:paraId="0BB56067" w14:textId="7447E9D3" w:rsidR="002D02EA" w:rsidRDefault="00E961C1" w:rsidP="00E961C1">
            <w:pPr>
              <w:pStyle w:val="Els-referenceno-number"/>
              <w:ind w:left="0" w:firstLine="0"/>
              <w:jc w:val="center"/>
              <w:rPr>
                <w:sz w:val="20"/>
                <w:lang w:val="en-US"/>
              </w:rPr>
            </w:pPr>
            <w:r>
              <w:rPr>
                <w:sz w:val="20"/>
                <w:lang w:val="en-US"/>
              </w:rPr>
              <w:t>0.98</w:t>
            </w:r>
          </w:p>
        </w:tc>
      </w:tr>
      <w:tr w:rsidR="002D02EA" w14:paraId="590748FB" w14:textId="48400118" w:rsidTr="00E961C1">
        <w:tc>
          <w:tcPr>
            <w:tcW w:w="1838" w:type="dxa"/>
            <w:tcBorders>
              <w:top w:val="single" w:sz="4" w:space="0" w:color="auto"/>
              <w:bottom w:val="single" w:sz="4" w:space="0" w:color="auto"/>
            </w:tcBorders>
          </w:tcPr>
          <w:p w14:paraId="379FCDA0" w14:textId="3C4A4BDB" w:rsidR="002D02EA" w:rsidRDefault="002D02EA" w:rsidP="00E961C1">
            <w:pPr>
              <w:pStyle w:val="Els-referenceno-number"/>
              <w:ind w:left="0" w:firstLine="0"/>
              <w:jc w:val="center"/>
              <w:rPr>
                <w:sz w:val="20"/>
                <w:lang w:val="en-US"/>
              </w:rPr>
            </w:pPr>
            <w:r>
              <w:rPr>
                <w:sz w:val="20"/>
                <w:lang w:val="en-US"/>
              </w:rPr>
              <w:t>MSW-GFWR</w:t>
            </w:r>
          </w:p>
        </w:tc>
        <w:tc>
          <w:tcPr>
            <w:tcW w:w="1672" w:type="dxa"/>
            <w:tcBorders>
              <w:top w:val="single" w:sz="4" w:space="0" w:color="auto"/>
              <w:bottom w:val="single" w:sz="4" w:space="0" w:color="auto"/>
            </w:tcBorders>
          </w:tcPr>
          <w:p w14:paraId="08A05463" w14:textId="66A868B3" w:rsidR="002D02EA" w:rsidRDefault="002D02EA" w:rsidP="00E961C1">
            <w:pPr>
              <w:pStyle w:val="Els-referenceno-number"/>
              <w:ind w:left="0" w:firstLine="0"/>
              <w:jc w:val="center"/>
              <w:rPr>
                <w:sz w:val="20"/>
                <w:lang w:val="en-US"/>
              </w:rPr>
            </w:pPr>
            <w:r>
              <w:rPr>
                <w:sz w:val="20"/>
                <w:lang w:val="en-US"/>
              </w:rPr>
              <w:t>80</w:t>
            </w:r>
          </w:p>
        </w:tc>
        <w:tc>
          <w:tcPr>
            <w:tcW w:w="2020" w:type="dxa"/>
            <w:tcBorders>
              <w:top w:val="single" w:sz="4" w:space="0" w:color="auto"/>
              <w:bottom w:val="single" w:sz="4" w:space="0" w:color="auto"/>
            </w:tcBorders>
          </w:tcPr>
          <w:p w14:paraId="09D2049A" w14:textId="655A60B6" w:rsidR="002D02EA" w:rsidRDefault="002D02EA" w:rsidP="00E961C1">
            <w:pPr>
              <w:pStyle w:val="Els-referenceno-number"/>
              <w:ind w:left="0" w:firstLine="0"/>
              <w:jc w:val="center"/>
              <w:rPr>
                <w:sz w:val="20"/>
                <w:lang w:val="en-US"/>
              </w:rPr>
            </w:pPr>
            <w:r>
              <w:rPr>
                <w:sz w:val="20"/>
                <w:lang w:val="en-US"/>
              </w:rPr>
              <w:t>11</w:t>
            </w:r>
          </w:p>
        </w:tc>
        <w:tc>
          <w:tcPr>
            <w:tcW w:w="1556" w:type="dxa"/>
            <w:tcBorders>
              <w:top w:val="single" w:sz="4" w:space="0" w:color="auto"/>
              <w:bottom w:val="single" w:sz="4" w:space="0" w:color="auto"/>
            </w:tcBorders>
          </w:tcPr>
          <w:p w14:paraId="5A76DFF7" w14:textId="093B8BE8" w:rsidR="002D02EA" w:rsidRDefault="00E961C1" w:rsidP="00E961C1">
            <w:pPr>
              <w:pStyle w:val="Els-referenceno-number"/>
              <w:ind w:left="0" w:firstLine="0"/>
              <w:jc w:val="center"/>
              <w:rPr>
                <w:sz w:val="20"/>
                <w:lang w:val="en-US"/>
              </w:rPr>
            </w:pPr>
            <w:r>
              <w:rPr>
                <w:sz w:val="20"/>
                <w:lang w:val="en-US"/>
              </w:rPr>
              <w:t>1.21</w:t>
            </w:r>
          </w:p>
        </w:tc>
      </w:tr>
      <w:tr w:rsidR="002D02EA" w14:paraId="2B5C8BBC" w14:textId="1D7AF64D" w:rsidTr="00E961C1">
        <w:tc>
          <w:tcPr>
            <w:tcW w:w="1838" w:type="dxa"/>
            <w:tcBorders>
              <w:top w:val="single" w:sz="4" w:space="0" w:color="auto"/>
              <w:bottom w:val="single" w:sz="4" w:space="0" w:color="auto"/>
            </w:tcBorders>
          </w:tcPr>
          <w:p w14:paraId="0787B881" w14:textId="49E0DDBE" w:rsidR="002D02EA" w:rsidRDefault="002D02EA" w:rsidP="00E961C1">
            <w:pPr>
              <w:pStyle w:val="Els-referenceno-number"/>
              <w:ind w:left="0" w:firstLine="0"/>
              <w:jc w:val="center"/>
              <w:rPr>
                <w:sz w:val="20"/>
                <w:lang w:val="en-US"/>
              </w:rPr>
            </w:pPr>
            <w:r>
              <w:rPr>
                <w:sz w:val="20"/>
                <w:lang w:val="en-US"/>
              </w:rPr>
              <w:t>MSW-FB</w:t>
            </w:r>
          </w:p>
        </w:tc>
        <w:tc>
          <w:tcPr>
            <w:tcW w:w="1672" w:type="dxa"/>
            <w:tcBorders>
              <w:top w:val="single" w:sz="4" w:space="0" w:color="auto"/>
              <w:bottom w:val="single" w:sz="4" w:space="0" w:color="auto"/>
            </w:tcBorders>
          </w:tcPr>
          <w:p w14:paraId="7CBDCEE1" w14:textId="23B49D01" w:rsidR="002D02EA" w:rsidRDefault="002D02EA" w:rsidP="00E961C1">
            <w:pPr>
              <w:pStyle w:val="Els-referenceno-number"/>
              <w:ind w:left="0" w:firstLine="0"/>
              <w:jc w:val="center"/>
              <w:rPr>
                <w:sz w:val="20"/>
                <w:lang w:val="en-US"/>
              </w:rPr>
            </w:pPr>
            <w:r>
              <w:rPr>
                <w:sz w:val="20"/>
                <w:lang w:val="en-US"/>
              </w:rPr>
              <w:t>100</w:t>
            </w:r>
          </w:p>
        </w:tc>
        <w:tc>
          <w:tcPr>
            <w:tcW w:w="2020" w:type="dxa"/>
            <w:tcBorders>
              <w:top w:val="single" w:sz="4" w:space="0" w:color="auto"/>
              <w:bottom w:val="single" w:sz="4" w:space="0" w:color="auto"/>
            </w:tcBorders>
          </w:tcPr>
          <w:p w14:paraId="18B6796A" w14:textId="2D530465" w:rsidR="002D02EA" w:rsidRDefault="002D02EA" w:rsidP="00E961C1">
            <w:pPr>
              <w:pStyle w:val="Els-referenceno-number"/>
              <w:ind w:left="0" w:firstLine="0"/>
              <w:jc w:val="center"/>
              <w:rPr>
                <w:sz w:val="20"/>
                <w:lang w:val="en-US"/>
              </w:rPr>
            </w:pPr>
            <w:r>
              <w:rPr>
                <w:sz w:val="20"/>
                <w:lang w:val="en-US"/>
              </w:rPr>
              <w:t>100</w:t>
            </w:r>
          </w:p>
        </w:tc>
        <w:tc>
          <w:tcPr>
            <w:tcW w:w="1556" w:type="dxa"/>
            <w:tcBorders>
              <w:top w:val="single" w:sz="4" w:space="0" w:color="auto"/>
              <w:bottom w:val="single" w:sz="4" w:space="0" w:color="auto"/>
            </w:tcBorders>
          </w:tcPr>
          <w:p w14:paraId="1147AD36" w14:textId="1A8CDD86" w:rsidR="002D02EA" w:rsidRDefault="00E961C1" w:rsidP="00E961C1">
            <w:pPr>
              <w:pStyle w:val="Els-referenceno-number"/>
              <w:ind w:left="0" w:firstLine="0"/>
              <w:jc w:val="center"/>
              <w:rPr>
                <w:sz w:val="20"/>
                <w:lang w:val="en-US"/>
              </w:rPr>
            </w:pPr>
            <w:r>
              <w:rPr>
                <w:sz w:val="20"/>
                <w:lang w:val="en-US"/>
              </w:rPr>
              <w:t>1.75</w:t>
            </w:r>
          </w:p>
        </w:tc>
      </w:tr>
    </w:tbl>
    <w:p w14:paraId="53DB6864" w14:textId="7810F528" w:rsidR="00D92495" w:rsidRPr="001F0E23" w:rsidRDefault="00AD1B6F" w:rsidP="00E961C1">
      <w:pPr>
        <w:pStyle w:val="Els-referenceno-number"/>
        <w:spacing w:before="240" w:after="240"/>
        <w:ind w:left="0" w:firstLine="0"/>
        <w:jc w:val="both"/>
        <w:rPr>
          <w:sz w:val="20"/>
          <w:lang w:val="en-US"/>
        </w:rPr>
      </w:pPr>
      <w:r>
        <w:rPr>
          <w:sz w:val="20"/>
        </w:rPr>
        <w:t>A</w:t>
      </w:r>
      <w:r w:rsidR="001F0E23">
        <w:rPr>
          <w:sz w:val="20"/>
          <w:lang w:val="en-US"/>
        </w:rPr>
        <w:t>ll NCRT values were based on a carbon emission</w:t>
      </w:r>
      <w:r w:rsidR="00600565">
        <w:rPr>
          <w:sz w:val="20"/>
          <w:lang w:val="en-US"/>
        </w:rPr>
        <w:t xml:space="preserve"> flowrate of 162 tons/day. Surprisingly, the results showed the same trend of WPC variation with NCRT for the different fuels and technologies. The only difference was found in the values of WPC which were higher in the second case due to the higher contribution of CSP as a result of the stringent </w:t>
      </w:r>
      <w:r w:rsidR="001E1289">
        <w:rPr>
          <w:sz w:val="20"/>
          <w:lang w:val="en-US"/>
        </w:rPr>
        <w:t xml:space="preserve">allowable </w:t>
      </w:r>
      <w:r w:rsidR="00600565">
        <w:rPr>
          <w:sz w:val="20"/>
          <w:lang w:val="en-US"/>
        </w:rPr>
        <w:t xml:space="preserve">carbon </w:t>
      </w:r>
      <w:r w:rsidR="001E1289">
        <w:rPr>
          <w:sz w:val="20"/>
          <w:lang w:val="en-US"/>
        </w:rPr>
        <w:t>emissions</w:t>
      </w:r>
      <w:r w:rsidR="00600565">
        <w:rPr>
          <w:sz w:val="20"/>
          <w:lang w:val="en-US"/>
        </w:rPr>
        <w:t xml:space="preserve">. </w:t>
      </w:r>
      <w:r w:rsidR="001E1289">
        <w:rPr>
          <w:sz w:val="20"/>
          <w:lang w:val="en-US"/>
        </w:rPr>
        <w:t>Thus, it can be concluded that fuel optimality does not depend on the base case scenario, whereas the water production cost does.</w:t>
      </w:r>
    </w:p>
    <w:p w14:paraId="6954C399" w14:textId="34DE5450" w:rsidR="009B224E" w:rsidRPr="009B224E" w:rsidRDefault="009B224E" w:rsidP="009B224E">
      <w:pPr>
        <w:pStyle w:val="Els-1storder-head"/>
      </w:pPr>
      <w:r>
        <w:rPr>
          <w:bCs/>
          <w:szCs w:val="24"/>
        </w:rPr>
        <w:t>Conclusion</w:t>
      </w:r>
    </w:p>
    <w:p w14:paraId="6F339E9D" w14:textId="123178AA" w:rsidR="00F93DAA" w:rsidRDefault="00E961C1" w:rsidP="00AD1B6F">
      <w:pPr>
        <w:pStyle w:val="Els-referenceno-number"/>
        <w:spacing w:after="240"/>
        <w:ind w:left="0" w:firstLine="0"/>
        <w:jc w:val="both"/>
        <w:rPr>
          <w:sz w:val="20"/>
          <w:lang w:val="en-US"/>
        </w:rPr>
      </w:pPr>
      <w:r>
        <w:rPr>
          <w:sz w:val="20"/>
          <w:lang w:val="en-US"/>
        </w:rPr>
        <w:t xml:space="preserve">This study </w:t>
      </w:r>
      <w:r w:rsidR="00F93DAA">
        <w:rPr>
          <w:sz w:val="20"/>
          <w:lang w:val="en-US"/>
        </w:rPr>
        <w:t>has presented an assessment strategy for detrmining the most appropriate fuel and technology to be adopted in a transient phase while switching from fossil fuel to concentrated solar power based desalination system. The results showed that biomass is the best fuel to be utilized for this purposes at NCRT values below 40%, whereas solid waste</w:t>
      </w:r>
      <w:r w:rsidR="00700C83">
        <w:rPr>
          <w:sz w:val="20"/>
          <w:lang w:val="en-US"/>
        </w:rPr>
        <w:t xml:space="preserve"> incineration</w:t>
      </w:r>
      <w:r w:rsidR="00F93DAA">
        <w:rPr>
          <w:sz w:val="20"/>
          <w:lang w:val="en-US"/>
        </w:rPr>
        <w:t xml:space="preserve"> is </w:t>
      </w:r>
      <w:r w:rsidR="00AD1B6F">
        <w:rPr>
          <w:sz w:val="20"/>
          <w:lang w:val="en-US"/>
        </w:rPr>
        <w:t>preferred</w:t>
      </w:r>
      <w:r w:rsidR="00F93DAA">
        <w:rPr>
          <w:sz w:val="20"/>
          <w:lang w:val="en-US"/>
        </w:rPr>
        <w:t xml:space="preserve"> at higher NCRT values.</w:t>
      </w:r>
    </w:p>
    <w:p w14:paraId="4BF512F1" w14:textId="772E9FA9" w:rsidR="00F93DAA" w:rsidRDefault="00F93DAA" w:rsidP="00F93DAA">
      <w:pPr>
        <w:pStyle w:val="Els-referenceno-number"/>
        <w:spacing w:after="240"/>
        <w:ind w:left="0" w:firstLine="0"/>
        <w:jc w:val="both"/>
        <w:rPr>
          <w:b/>
          <w:bCs/>
          <w:sz w:val="22"/>
          <w:szCs w:val="22"/>
          <w:lang w:val="en-US"/>
        </w:rPr>
      </w:pPr>
      <w:r w:rsidRPr="00F93DAA">
        <w:rPr>
          <w:b/>
          <w:bCs/>
          <w:sz w:val="22"/>
          <w:szCs w:val="22"/>
          <w:lang w:val="en-US"/>
        </w:rPr>
        <w:t>References</w:t>
      </w:r>
    </w:p>
    <w:p w14:paraId="24698728" w14:textId="0201954F" w:rsidR="0062785B" w:rsidRPr="0062785B" w:rsidRDefault="0062785B" w:rsidP="0062785B">
      <w:pPr>
        <w:pStyle w:val="Els-referenceno-number"/>
        <w:ind w:left="0" w:firstLine="0"/>
        <w:jc w:val="both"/>
        <w:rPr>
          <w:rFonts w:asciiTheme="majorBidi" w:hAnsiTheme="majorBidi" w:cstheme="majorBidi"/>
          <w:color w:val="222222"/>
          <w:sz w:val="16"/>
          <w:szCs w:val="16"/>
          <w:shd w:val="clear" w:color="auto" w:fill="FFFFFF"/>
        </w:rPr>
      </w:pPr>
      <w:r w:rsidRPr="0062785B">
        <w:rPr>
          <w:rFonts w:asciiTheme="majorBidi" w:hAnsiTheme="majorBidi" w:cstheme="majorBidi"/>
          <w:color w:val="222222"/>
          <w:szCs w:val="18"/>
          <w:shd w:val="clear" w:color="auto" w:fill="FFFFFF"/>
        </w:rPr>
        <w:t xml:space="preserve">Khosravi, A., Santasalo-Aarnio, A., &amp; Syri, S. (2021). Optimal technology for a hybrid </w:t>
      </w:r>
      <w:r>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biomass/solar system for electricity generation and desalination in Brazil. </w:t>
      </w:r>
      <w:r w:rsidRPr="0062785B">
        <w:rPr>
          <w:rFonts w:asciiTheme="majorBidi" w:hAnsiTheme="majorBidi" w:cstheme="majorBidi"/>
          <w:i/>
          <w:iCs/>
          <w:color w:val="222222"/>
          <w:szCs w:val="18"/>
          <w:shd w:val="clear" w:color="auto" w:fill="FFFFFF"/>
        </w:rPr>
        <w:t>Energy</w:t>
      </w:r>
      <w:r w:rsidRPr="0062785B">
        <w:rPr>
          <w:rFonts w:asciiTheme="majorBidi" w:hAnsiTheme="majorBidi" w:cstheme="majorBidi"/>
          <w:color w:val="222222"/>
          <w:szCs w:val="18"/>
          <w:shd w:val="clear" w:color="auto" w:fill="FFFFFF"/>
        </w:rPr>
        <w:t>, </w:t>
      </w:r>
      <w:r w:rsidRPr="0062785B">
        <w:rPr>
          <w:rFonts w:asciiTheme="majorBidi" w:hAnsiTheme="majorBidi" w:cstheme="majorBidi"/>
          <w:i/>
          <w:iCs/>
          <w:color w:val="222222"/>
          <w:szCs w:val="18"/>
          <w:shd w:val="clear" w:color="auto" w:fill="FFFFFF"/>
        </w:rPr>
        <w:t>234</w:t>
      </w:r>
      <w:r w:rsidRPr="0062785B">
        <w:rPr>
          <w:rFonts w:asciiTheme="majorBidi" w:hAnsiTheme="majorBidi" w:cstheme="majorBidi"/>
          <w:color w:val="222222"/>
          <w:szCs w:val="18"/>
          <w:shd w:val="clear" w:color="auto" w:fill="FFFFFF"/>
        </w:rPr>
        <w:t xml:space="preserve">, </w:t>
      </w:r>
      <w:r w:rsidR="00803BB3">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121309.</w:t>
      </w:r>
    </w:p>
    <w:p w14:paraId="1C46D2F0" w14:textId="24EC9DAC" w:rsidR="0062785B" w:rsidRDefault="0062785B" w:rsidP="0062785B">
      <w:pPr>
        <w:pStyle w:val="Els-referenceno-number"/>
        <w:ind w:left="0" w:firstLine="0"/>
        <w:jc w:val="both"/>
        <w:rPr>
          <w:rFonts w:asciiTheme="majorBidi" w:hAnsiTheme="majorBidi" w:cstheme="majorBidi"/>
          <w:color w:val="222222"/>
          <w:szCs w:val="18"/>
          <w:shd w:val="clear" w:color="auto" w:fill="FFFFFF"/>
        </w:rPr>
      </w:pPr>
      <w:r w:rsidRPr="0062785B">
        <w:rPr>
          <w:rFonts w:asciiTheme="majorBidi" w:hAnsiTheme="majorBidi" w:cstheme="majorBidi"/>
          <w:color w:val="222222"/>
          <w:szCs w:val="18"/>
          <w:shd w:val="clear" w:color="auto" w:fill="FFFFFF"/>
        </w:rPr>
        <w:t xml:space="preserve">Klaimi, R., Alnouri, S. Y., &amp; Stijepović, M. (2021). Design and thermo-economic evaluation of an </w:t>
      </w:r>
      <w:r>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integrated concentrated solar power–Desalination tri-generation system. </w:t>
      </w:r>
      <w:r w:rsidRPr="0062785B">
        <w:rPr>
          <w:rFonts w:asciiTheme="majorBidi" w:hAnsiTheme="majorBidi" w:cstheme="majorBidi"/>
          <w:i/>
          <w:iCs/>
          <w:color w:val="222222"/>
          <w:szCs w:val="18"/>
          <w:shd w:val="clear" w:color="auto" w:fill="FFFFFF"/>
        </w:rPr>
        <w:t xml:space="preserve">Energy </w:t>
      </w:r>
      <w:r>
        <w:rPr>
          <w:rFonts w:asciiTheme="majorBidi" w:hAnsiTheme="majorBidi" w:cstheme="majorBidi"/>
          <w:i/>
          <w:iCs/>
          <w:color w:val="222222"/>
          <w:szCs w:val="18"/>
          <w:shd w:val="clear" w:color="auto" w:fill="FFFFFF"/>
        </w:rPr>
        <w:tab/>
      </w:r>
      <w:r w:rsidRPr="0062785B">
        <w:rPr>
          <w:rFonts w:asciiTheme="majorBidi" w:hAnsiTheme="majorBidi" w:cstheme="majorBidi"/>
          <w:i/>
          <w:iCs/>
          <w:color w:val="222222"/>
          <w:szCs w:val="18"/>
          <w:shd w:val="clear" w:color="auto" w:fill="FFFFFF"/>
        </w:rPr>
        <w:t>Conversion and Management</w:t>
      </w:r>
      <w:r w:rsidRPr="0062785B">
        <w:rPr>
          <w:rFonts w:asciiTheme="majorBidi" w:hAnsiTheme="majorBidi" w:cstheme="majorBidi"/>
          <w:color w:val="222222"/>
          <w:szCs w:val="18"/>
          <w:shd w:val="clear" w:color="auto" w:fill="FFFFFF"/>
        </w:rPr>
        <w:t>, </w:t>
      </w:r>
      <w:r w:rsidRPr="0062785B">
        <w:rPr>
          <w:rFonts w:asciiTheme="majorBidi" w:hAnsiTheme="majorBidi" w:cstheme="majorBidi"/>
          <w:i/>
          <w:iCs/>
          <w:color w:val="222222"/>
          <w:szCs w:val="18"/>
          <w:shd w:val="clear" w:color="auto" w:fill="FFFFFF"/>
        </w:rPr>
        <w:t>249</w:t>
      </w:r>
      <w:r w:rsidRPr="0062785B">
        <w:rPr>
          <w:rFonts w:asciiTheme="majorBidi" w:hAnsiTheme="majorBidi" w:cstheme="majorBidi"/>
          <w:color w:val="222222"/>
          <w:szCs w:val="18"/>
          <w:shd w:val="clear" w:color="auto" w:fill="FFFFFF"/>
        </w:rPr>
        <w:t>, 114865.</w:t>
      </w:r>
    </w:p>
    <w:p w14:paraId="247CA420" w14:textId="5CEB2DB1" w:rsidR="0062785B" w:rsidRDefault="0062785B" w:rsidP="0062785B">
      <w:pPr>
        <w:pStyle w:val="Els-referenceno-number"/>
        <w:ind w:left="0" w:firstLine="0"/>
        <w:jc w:val="both"/>
        <w:rPr>
          <w:rFonts w:asciiTheme="majorBidi" w:hAnsiTheme="majorBidi" w:cstheme="majorBidi"/>
          <w:color w:val="222222"/>
          <w:szCs w:val="18"/>
          <w:shd w:val="clear" w:color="auto" w:fill="FFFFFF"/>
        </w:rPr>
      </w:pPr>
      <w:r w:rsidRPr="0062785B">
        <w:rPr>
          <w:rFonts w:asciiTheme="majorBidi" w:hAnsiTheme="majorBidi" w:cstheme="majorBidi"/>
          <w:color w:val="222222"/>
          <w:szCs w:val="18"/>
          <w:shd w:val="clear" w:color="auto" w:fill="FFFFFF"/>
        </w:rPr>
        <w:t>Klaimi, R., Alnouri, S. Y., &amp; Stijepovic, M. (2022</w:t>
      </w:r>
      <w:r>
        <w:rPr>
          <w:rFonts w:asciiTheme="majorBidi" w:hAnsiTheme="majorBidi" w:cstheme="majorBidi"/>
          <w:color w:val="222222"/>
          <w:szCs w:val="18"/>
          <w:shd w:val="clear" w:color="auto" w:fill="FFFFFF"/>
        </w:rPr>
        <w:t>a</w:t>
      </w:r>
      <w:r w:rsidRPr="0062785B">
        <w:rPr>
          <w:rFonts w:asciiTheme="majorBidi" w:hAnsiTheme="majorBidi" w:cstheme="majorBidi"/>
          <w:color w:val="222222"/>
          <w:szCs w:val="18"/>
          <w:shd w:val="clear" w:color="auto" w:fill="FFFFFF"/>
        </w:rPr>
        <w:t xml:space="preserve">). Design and Evaluation Strategies for a Novel </w:t>
      </w:r>
      <w:r>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Hybrid Trigeneration System. In </w:t>
      </w:r>
      <w:r w:rsidRPr="0062785B">
        <w:rPr>
          <w:rFonts w:asciiTheme="majorBidi" w:hAnsiTheme="majorBidi" w:cstheme="majorBidi"/>
          <w:i/>
          <w:iCs/>
          <w:color w:val="222222"/>
          <w:szCs w:val="18"/>
          <w:shd w:val="clear" w:color="auto" w:fill="FFFFFF"/>
        </w:rPr>
        <w:t>Computer Aided Chemical Engineering</w:t>
      </w:r>
      <w:r w:rsidRPr="0062785B">
        <w:rPr>
          <w:rFonts w:asciiTheme="majorBidi" w:hAnsiTheme="majorBidi" w:cstheme="majorBidi"/>
          <w:color w:val="222222"/>
          <w:szCs w:val="18"/>
          <w:shd w:val="clear" w:color="auto" w:fill="FFFFFF"/>
        </w:rPr>
        <w:t xml:space="preserve"> (Vol. 51, pp. </w:t>
      </w:r>
      <w:r>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673-678). Elsevier.</w:t>
      </w:r>
    </w:p>
    <w:p w14:paraId="5B041F37" w14:textId="06750C9B" w:rsidR="0062785B" w:rsidRDefault="0062785B" w:rsidP="0062785B">
      <w:pPr>
        <w:pStyle w:val="Els-referenceno-number"/>
        <w:ind w:left="0" w:firstLine="0"/>
        <w:jc w:val="both"/>
        <w:rPr>
          <w:rFonts w:asciiTheme="majorBidi" w:hAnsiTheme="majorBidi" w:cstheme="majorBidi"/>
          <w:color w:val="222222"/>
          <w:szCs w:val="18"/>
          <w:shd w:val="clear" w:color="auto" w:fill="FFFFFF"/>
        </w:rPr>
      </w:pPr>
      <w:r w:rsidRPr="0062785B">
        <w:rPr>
          <w:rFonts w:asciiTheme="majorBidi" w:hAnsiTheme="majorBidi" w:cstheme="majorBidi"/>
          <w:color w:val="222222"/>
          <w:szCs w:val="18"/>
          <w:shd w:val="clear" w:color="auto" w:fill="FFFFFF"/>
        </w:rPr>
        <w:t>Klaimi, R., Alnouri, S. Y., &amp; Stijepović, M. (2022</w:t>
      </w:r>
      <w:r>
        <w:rPr>
          <w:rFonts w:asciiTheme="majorBidi" w:hAnsiTheme="majorBidi" w:cstheme="majorBidi"/>
          <w:color w:val="222222"/>
          <w:szCs w:val="18"/>
          <w:shd w:val="clear" w:color="auto" w:fill="FFFFFF"/>
        </w:rPr>
        <w:t>b</w:t>
      </w:r>
      <w:r w:rsidRPr="0062785B">
        <w:rPr>
          <w:rFonts w:asciiTheme="majorBidi" w:hAnsiTheme="majorBidi" w:cstheme="majorBidi"/>
          <w:color w:val="222222"/>
          <w:szCs w:val="18"/>
          <w:shd w:val="clear" w:color="auto" w:fill="FFFFFF"/>
        </w:rPr>
        <w:t xml:space="preserve">). Investigation of seasonal variations and </w:t>
      </w:r>
      <w:r>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 xml:space="preserve">multiple fuel options in a novel tri-generation CSP integrated hybrid energy </w:t>
      </w:r>
      <w:r>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process. </w:t>
      </w:r>
      <w:r w:rsidRPr="0062785B">
        <w:rPr>
          <w:rFonts w:asciiTheme="majorBidi" w:hAnsiTheme="majorBidi" w:cstheme="majorBidi"/>
          <w:i/>
          <w:iCs/>
          <w:color w:val="222222"/>
          <w:szCs w:val="18"/>
          <w:shd w:val="clear" w:color="auto" w:fill="FFFFFF"/>
        </w:rPr>
        <w:t>Energy</w:t>
      </w:r>
      <w:r w:rsidRPr="0062785B">
        <w:rPr>
          <w:rFonts w:asciiTheme="majorBidi" w:hAnsiTheme="majorBidi" w:cstheme="majorBidi"/>
          <w:color w:val="222222"/>
          <w:szCs w:val="18"/>
          <w:shd w:val="clear" w:color="auto" w:fill="FFFFFF"/>
        </w:rPr>
        <w:t>, </w:t>
      </w:r>
      <w:r w:rsidRPr="0062785B">
        <w:rPr>
          <w:rFonts w:asciiTheme="majorBidi" w:hAnsiTheme="majorBidi" w:cstheme="majorBidi"/>
          <w:i/>
          <w:iCs/>
          <w:color w:val="222222"/>
          <w:szCs w:val="18"/>
          <w:shd w:val="clear" w:color="auto" w:fill="FFFFFF"/>
        </w:rPr>
        <w:t>261</w:t>
      </w:r>
      <w:r w:rsidRPr="0062785B">
        <w:rPr>
          <w:rFonts w:asciiTheme="majorBidi" w:hAnsiTheme="majorBidi" w:cstheme="majorBidi"/>
          <w:color w:val="222222"/>
          <w:szCs w:val="18"/>
          <w:shd w:val="clear" w:color="auto" w:fill="FFFFFF"/>
        </w:rPr>
        <w:t>, 125338.</w:t>
      </w:r>
    </w:p>
    <w:p w14:paraId="53713793" w14:textId="14439342" w:rsidR="00492803" w:rsidRPr="00492803" w:rsidRDefault="00492803" w:rsidP="00492803">
      <w:pPr>
        <w:pStyle w:val="Els-referenceno-number"/>
        <w:ind w:left="0" w:firstLine="0"/>
        <w:jc w:val="both"/>
        <w:rPr>
          <w:rFonts w:asciiTheme="majorBidi" w:hAnsiTheme="majorBidi" w:cstheme="majorBidi"/>
          <w:color w:val="222222"/>
          <w:szCs w:val="18"/>
          <w:shd w:val="clear" w:color="auto" w:fill="FFFFFF"/>
        </w:rPr>
      </w:pPr>
      <w:r>
        <w:rPr>
          <w:rFonts w:asciiTheme="majorBidi" w:hAnsiTheme="majorBidi" w:cstheme="majorBidi"/>
          <w:color w:val="222222"/>
          <w:szCs w:val="18"/>
          <w:shd w:val="clear" w:color="auto" w:fill="FFFFFF"/>
        </w:rPr>
        <w:t xml:space="preserve">Klaimi, R., Alnouri, S. Y., Zeaiter, J., &amp; </w:t>
      </w:r>
      <w:r w:rsidRPr="0062785B">
        <w:rPr>
          <w:rFonts w:asciiTheme="majorBidi" w:hAnsiTheme="majorBidi" w:cstheme="majorBidi"/>
          <w:color w:val="222222"/>
          <w:szCs w:val="18"/>
          <w:shd w:val="clear" w:color="auto" w:fill="FFFFFF"/>
        </w:rPr>
        <w:t>Stijepović, M. (202</w:t>
      </w:r>
      <w:r>
        <w:rPr>
          <w:rFonts w:asciiTheme="majorBidi" w:hAnsiTheme="majorBidi" w:cstheme="majorBidi"/>
          <w:color w:val="222222"/>
          <w:szCs w:val="18"/>
          <w:shd w:val="clear" w:color="auto" w:fill="FFFFFF"/>
        </w:rPr>
        <w:t>2c</w:t>
      </w:r>
      <w:r w:rsidRPr="0062785B">
        <w:rPr>
          <w:rFonts w:asciiTheme="majorBidi" w:hAnsiTheme="majorBidi" w:cstheme="majorBidi"/>
          <w:color w:val="222222"/>
          <w:szCs w:val="18"/>
          <w:shd w:val="clear" w:color="auto" w:fill="FFFFFF"/>
        </w:rPr>
        <w:t>).</w:t>
      </w:r>
      <w:r>
        <w:rPr>
          <w:rFonts w:asciiTheme="majorBidi" w:hAnsiTheme="majorBidi" w:cstheme="majorBidi"/>
          <w:color w:val="222222"/>
          <w:szCs w:val="18"/>
          <w:shd w:val="clear" w:color="auto" w:fill="FFFFFF"/>
        </w:rPr>
        <w:t xml:space="preserve"> Optimization of multiple fuel </w:t>
      </w:r>
      <w:r>
        <w:rPr>
          <w:rFonts w:asciiTheme="majorBidi" w:hAnsiTheme="majorBidi" w:cstheme="majorBidi"/>
          <w:color w:val="222222"/>
          <w:szCs w:val="18"/>
          <w:shd w:val="clear" w:color="auto" w:fill="FFFFFF"/>
        </w:rPr>
        <w:tab/>
        <w:t xml:space="preserve">utilization options in Tri-generation systems. </w:t>
      </w:r>
      <w:r w:rsidRPr="00492803">
        <w:rPr>
          <w:rFonts w:asciiTheme="majorBidi" w:hAnsiTheme="majorBidi" w:cstheme="majorBidi"/>
          <w:i/>
          <w:iCs/>
          <w:color w:val="222222"/>
          <w:szCs w:val="18"/>
          <w:shd w:val="clear" w:color="auto" w:fill="FFFFFF"/>
        </w:rPr>
        <w:t>Energy Reports</w:t>
      </w:r>
      <w:r>
        <w:rPr>
          <w:rFonts w:asciiTheme="majorBidi" w:hAnsiTheme="majorBidi" w:cstheme="majorBidi"/>
          <w:color w:val="222222"/>
          <w:szCs w:val="18"/>
          <w:shd w:val="clear" w:color="auto" w:fill="FFFFFF"/>
        </w:rPr>
        <w:t>.</w:t>
      </w:r>
    </w:p>
    <w:p w14:paraId="52AFFFAB" w14:textId="44517B15" w:rsidR="00F93DAA" w:rsidRDefault="0062785B" w:rsidP="0062785B">
      <w:pPr>
        <w:pStyle w:val="Els-referenceno-number"/>
        <w:ind w:left="0" w:firstLine="0"/>
        <w:jc w:val="both"/>
        <w:rPr>
          <w:rFonts w:asciiTheme="majorBidi" w:hAnsiTheme="majorBidi" w:cstheme="majorBidi"/>
          <w:color w:val="222222"/>
          <w:szCs w:val="18"/>
          <w:shd w:val="clear" w:color="auto" w:fill="FFFFFF"/>
        </w:rPr>
      </w:pPr>
      <w:r w:rsidRPr="0062785B">
        <w:rPr>
          <w:rFonts w:asciiTheme="majorBidi" w:hAnsiTheme="majorBidi" w:cstheme="majorBidi"/>
          <w:color w:val="222222"/>
          <w:szCs w:val="18"/>
          <w:shd w:val="clear" w:color="auto" w:fill="FFFFFF"/>
        </w:rPr>
        <w:t xml:space="preserve">Ma'aji, N. S., Adun, H., Shefik, A., Adedeji, M., &amp; Dagbasi, M. (2022). Design of trigeneration </w:t>
      </w:r>
      <w:r>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 xml:space="preserve">plant for electricity freshwater production, and district heating: A case study Periwinkle </w:t>
      </w:r>
      <w:r>
        <w:rPr>
          <w:rFonts w:asciiTheme="majorBidi" w:hAnsiTheme="majorBidi" w:cstheme="majorBidi"/>
          <w:color w:val="222222"/>
          <w:szCs w:val="18"/>
          <w:shd w:val="clear" w:color="auto" w:fill="FFFFFF"/>
        </w:rPr>
        <w:tab/>
      </w:r>
      <w:r w:rsidRPr="0062785B">
        <w:rPr>
          <w:rFonts w:asciiTheme="majorBidi" w:hAnsiTheme="majorBidi" w:cstheme="majorBidi"/>
          <w:color w:val="222222"/>
          <w:szCs w:val="18"/>
          <w:shd w:val="clear" w:color="auto" w:fill="FFFFFF"/>
        </w:rPr>
        <w:t>Lifestyle Estate, Lagos Nigeria. </w:t>
      </w:r>
      <w:r w:rsidRPr="0062785B">
        <w:rPr>
          <w:rFonts w:asciiTheme="majorBidi" w:hAnsiTheme="majorBidi" w:cstheme="majorBidi"/>
          <w:i/>
          <w:iCs/>
          <w:color w:val="222222"/>
          <w:szCs w:val="18"/>
          <w:shd w:val="clear" w:color="auto" w:fill="FFFFFF"/>
        </w:rPr>
        <w:t>Case Studies in Thermal Engineering</w:t>
      </w:r>
      <w:r w:rsidRPr="0062785B">
        <w:rPr>
          <w:rFonts w:asciiTheme="majorBidi" w:hAnsiTheme="majorBidi" w:cstheme="majorBidi"/>
          <w:color w:val="222222"/>
          <w:szCs w:val="18"/>
          <w:shd w:val="clear" w:color="auto" w:fill="FFFFFF"/>
        </w:rPr>
        <w:t>, </w:t>
      </w:r>
      <w:r w:rsidRPr="0062785B">
        <w:rPr>
          <w:rFonts w:asciiTheme="majorBidi" w:hAnsiTheme="majorBidi" w:cstheme="majorBidi"/>
          <w:i/>
          <w:iCs/>
          <w:color w:val="222222"/>
          <w:szCs w:val="18"/>
          <w:shd w:val="clear" w:color="auto" w:fill="FFFFFF"/>
        </w:rPr>
        <w:t>35</w:t>
      </w:r>
      <w:r w:rsidRPr="0062785B">
        <w:rPr>
          <w:rFonts w:asciiTheme="majorBidi" w:hAnsiTheme="majorBidi" w:cstheme="majorBidi"/>
          <w:color w:val="222222"/>
          <w:szCs w:val="18"/>
          <w:shd w:val="clear" w:color="auto" w:fill="FFFFFF"/>
        </w:rPr>
        <w:t>, 102041.</w:t>
      </w:r>
    </w:p>
    <w:p w14:paraId="55085352" w14:textId="6C3A93AC" w:rsidR="00397175" w:rsidRPr="00F97169" w:rsidRDefault="00803BB3" w:rsidP="00F97169">
      <w:pPr>
        <w:pStyle w:val="Els-referenceno-number"/>
        <w:ind w:left="0" w:firstLine="0"/>
        <w:jc w:val="both"/>
        <w:rPr>
          <w:rFonts w:asciiTheme="majorBidi" w:hAnsiTheme="majorBidi" w:cstheme="majorBidi"/>
          <w:color w:val="222222"/>
          <w:szCs w:val="18"/>
          <w:shd w:val="clear" w:color="auto" w:fill="FFFFFF"/>
        </w:rPr>
      </w:pPr>
      <w:r w:rsidRPr="00803BB3">
        <w:rPr>
          <w:rFonts w:asciiTheme="majorBidi" w:hAnsiTheme="majorBidi" w:cstheme="majorBidi"/>
          <w:color w:val="222222"/>
          <w:szCs w:val="18"/>
          <w:shd w:val="clear" w:color="auto" w:fill="FFFFFF"/>
        </w:rPr>
        <w:t xml:space="preserve">Najjar, E., Al-Hindi, M., Massoud, M., &amp; Saad, W. (2021). Life Cycle Assessment of a seawater </w:t>
      </w:r>
      <w:r>
        <w:rPr>
          <w:rFonts w:asciiTheme="majorBidi" w:hAnsiTheme="majorBidi" w:cstheme="majorBidi"/>
          <w:color w:val="222222"/>
          <w:szCs w:val="18"/>
          <w:shd w:val="clear" w:color="auto" w:fill="FFFFFF"/>
        </w:rPr>
        <w:tab/>
      </w:r>
      <w:r w:rsidRPr="00803BB3">
        <w:rPr>
          <w:rFonts w:asciiTheme="majorBidi" w:hAnsiTheme="majorBidi" w:cstheme="majorBidi"/>
          <w:color w:val="222222"/>
          <w:szCs w:val="18"/>
          <w:shd w:val="clear" w:color="auto" w:fill="FFFFFF"/>
        </w:rPr>
        <w:t xml:space="preserve">reverse osmosis plant powered by a hybrid energy system (fossil fuel and waste to </w:t>
      </w:r>
      <w:r>
        <w:rPr>
          <w:rFonts w:asciiTheme="majorBidi" w:hAnsiTheme="majorBidi" w:cstheme="majorBidi"/>
          <w:color w:val="222222"/>
          <w:szCs w:val="18"/>
          <w:shd w:val="clear" w:color="auto" w:fill="FFFFFF"/>
        </w:rPr>
        <w:tab/>
      </w:r>
      <w:r w:rsidRPr="00803BB3">
        <w:rPr>
          <w:rFonts w:asciiTheme="majorBidi" w:hAnsiTheme="majorBidi" w:cstheme="majorBidi"/>
          <w:color w:val="222222"/>
          <w:szCs w:val="18"/>
          <w:shd w:val="clear" w:color="auto" w:fill="FFFFFF"/>
        </w:rPr>
        <w:t>energy). </w:t>
      </w:r>
      <w:r w:rsidRPr="00803BB3">
        <w:rPr>
          <w:rFonts w:asciiTheme="majorBidi" w:hAnsiTheme="majorBidi" w:cstheme="majorBidi"/>
          <w:i/>
          <w:iCs/>
          <w:color w:val="222222"/>
          <w:szCs w:val="18"/>
          <w:shd w:val="clear" w:color="auto" w:fill="FFFFFF"/>
        </w:rPr>
        <w:t>Energy Reports</w:t>
      </w:r>
      <w:r w:rsidRPr="00803BB3">
        <w:rPr>
          <w:rFonts w:asciiTheme="majorBidi" w:hAnsiTheme="majorBidi" w:cstheme="majorBidi"/>
          <w:color w:val="222222"/>
          <w:szCs w:val="18"/>
          <w:shd w:val="clear" w:color="auto" w:fill="FFFFFF"/>
        </w:rPr>
        <w:t>, </w:t>
      </w:r>
      <w:r w:rsidRPr="00803BB3">
        <w:rPr>
          <w:rFonts w:asciiTheme="majorBidi" w:hAnsiTheme="majorBidi" w:cstheme="majorBidi"/>
          <w:i/>
          <w:iCs/>
          <w:color w:val="222222"/>
          <w:szCs w:val="18"/>
          <w:shd w:val="clear" w:color="auto" w:fill="FFFFFF"/>
        </w:rPr>
        <w:t>7</w:t>
      </w:r>
      <w:r w:rsidRPr="00803BB3">
        <w:rPr>
          <w:rFonts w:asciiTheme="majorBidi" w:hAnsiTheme="majorBidi" w:cstheme="majorBidi"/>
          <w:color w:val="222222"/>
          <w:szCs w:val="18"/>
          <w:shd w:val="clear" w:color="auto" w:fill="FFFFFF"/>
        </w:rPr>
        <w:t>, 448-465.</w:t>
      </w:r>
    </w:p>
    <w:sectPr w:rsidR="00397175" w:rsidRPr="00F9716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4D6A7" w14:textId="77777777" w:rsidR="00D22D4C" w:rsidRDefault="00D22D4C">
      <w:r>
        <w:separator/>
      </w:r>
    </w:p>
  </w:endnote>
  <w:endnote w:type="continuationSeparator" w:id="0">
    <w:p w14:paraId="36086225" w14:textId="77777777" w:rsidR="00D22D4C" w:rsidRDefault="00D2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6DDD2" w14:textId="77777777" w:rsidR="00D22D4C" w:rsidRDefault="00D22D4C">
      <w:r>
        <w:separator/>
      </w:r>
    </w:p>
  </w:footnote>
  <w:footnote w:type="continuationSeparator" w:id="0">
    <w:p w14:paraId="17CE4CC5" w14:textId="77777777" w:rsidR="00D22D4C" w:rsidRDefault="00D2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0122" w14:textId="50342FCE" w:rsidR="001B3CFC" w:rsidRDefault="001B3CFC">
    <w:pPr>
      <w:pStyle w:val="Header"/>
      <w:tabs>
        <w:tab w:val="clear" w:pos="7200"/>
        <w:tab w:val="right" w:pos="7088"/>
      </w:tabs>
    </w:pPr>
    <w:r>
      <w:rPr>
        <w:rStyle w:val="PageNumber"/>
      </w:rPr>
      <w:fldChar w:fldCharType="begin"/>
    </w:r>
    <w:r>
      <w:rPr>
        <w:rStyle w:val="PageNumber"/>
      </w:rPr>
      <w:instrText xml:space="preserve"> PAGE </w:instrText>
    </w:r>
    <w:r>
      <w:rPr>
        <w:rStyle w:val="PageNumber"/>
      </w:rPr>
      <w:fldChar w:fldCharType="separate"/>
    </w:r>
    <w:r w:rsidR="009945C9">
      <w:rPr>
        <w:rStyle w:val="PageNumber"/>
      </w:rPr>
      <w:t>6</w:t>
    </w:r>
    <w:r>
      <w:rPr>
        <w:rStyle w:val="PageNumber"/>
      </w:rPr>
      <w:fldChar w:fldCharType="end"/>
    </w:r>
    <w:r>
      <w:rPr>
        <w:rStyle w:val="PageNumber"/>
      </w:rPr>
      <w:tab/>
    </w:r>
    <w:r>
      <w:rPr>
        <w:rStyle w:val="PageNumber"/>
        <w:i/>
      </w:rPr>
      <w:tab/>
      <w:t>R. Klaimi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0C11" w14:textId="66D9CCA5" w:rsidR="001B3CFC" w:rsidRDefault="00AD1B6F" w:rsidP="002113C8">
    <w:pPr>
      <w:pStyle w:val="Header"/>
      <w:tabs>
        <w:tab w:val="clear" w:pos="7200"/>
        <w:tab w:val="right" w:pos="7088"/>
      </w:tabs>
      <w:rPr>
        <w:sz w:val="24"/>
      </w:rPr>
    </w:pPr>
    <w:r w:rsidRPr="00AD1B6F">
      <w:rPr>
        <w:i/>
      </w:rPr>
      <w:t>Switching from fossil fuel-based to concentrated solar power driven tri-generation systems: an optimization model</w:t>
    </w:r>
    <w:r w:rsidR="001B3CFC">
      <w:rPr>
        <w:rStyle w:val="PageNumber"/>
        <w:i/>
        <w:sz w:val="24"/>
      </w:rPr>
      <w:tab/>
    </w:r>
    <w:r w:rsidR="001B3CFC">
      <w:rPr>
        <w:rStyle w:val="PageNumber"/>
        <w:sz w:val="24"/>
      </w:rPr>
      <w:tab/>
    </w:r>
    <w:r w:rsidR="001B3CFC">
      <w:rPr>
        <w:rStyle w:val="PageNumber"/>
      </w:rPr>
      <w:fldChar w:fldCharType="begin"/>
    </w:r>
    <w:r w:rsidR="001B3CFC">
      <w:rPr>
        <w:rStyle w:val="PageNumber"/>
      </w:rPr>
      <w:instrText xml:space="preserve"> PAGE </w:instrText>
    </w:r>
    <w:r w:rsidR="001B3CFC">
      <w:rPr>
        <w:rStyle w:val="PageNumber"/>
      </w:rPr>
      <w:fldChar w:fldCharType="separate"/>
    </w:r>
    <w:r w:rsidR="009945C9">
      <w:rPr>
        <w:rStyle w:val="PageNumber"/>
      </w:rPr>
      <w:t>5</w:t>
    </w:r>
    <w:r w:rsidR="001B3CFC">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6189" w14:textId="77777777" w:rsidR="00AD1B6F" w:rsidRPr="003B50B5" w:rsidRDefault="00AD1B6F" w:rsidP="00AD1B6F">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9945C9">
      <w:rPr>
        <w:rStyle w:val="underline1"/>
        <w:sz w:val="18"/>
        <w:szCs w:val="18"/>
        <w:u w:val="none"/>
      </w:rPr>
      <w:t>34</w:t>
    </w:r>
    <w:r w:rsidRPr="009945C9">
      <w:rPr>
        <w:rStyle w:val="underline1"/>
        <w:sz w:val="18"/>
        <w:szCs w:val="18"/>
        <w:u w:val="none"/>
        <w:vertAlign w:val="superscript"/>
      </w:rPr>
      <w:t>th</w:t>
    </w:r>
    <w:r w:rsidRPr="009945C9">
      <w:rPr>
        <w:rStyle w:val="underline1"/>
        <w:sz w:val="18"/>
        <w:szCs w:val="18"/>
        <w:u w:val="none"/>
      </w:rPr>
      <w:t xml:space="preserve"> European Symposium on Computer Aided Process Engineering / 15</w:t>
    </w:r>
    <w:r w:rsidRPr="009945C9">
      <w:rPr>
        <w:rStyle w:val="underline1"/>
        <w:sz w:val="18"/>
        <w:szCs w:val="18"/>
        <w:u w:val="none"/>
        <w:vertAlign w:val="superscript"/>
      </w:rPr>
      <w:t>th</w:t>
    </w:r>
    <w:r w:rsidRPr="009945C9">
      <w:rPr>
        <w:rStyle w:val="underline1"/>
        <w:sz w:val="18"/>
        <w:szCs w:val="18"/>
        <w:u w:val="none"/>
      </w:rPr>
      <w:t xml:space="preserve"> International Symposium on Process Systems Engineering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5BCB484A" w14:textId="74A092EB" w:rsidR="001B3CFC" w:rsidRDefault="00AD1B6F" w:rsidP="00AD1B6F">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1B3CF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6D7B5F54"/>
    <w:multiLevelType w:val="hybridMultilevel"/>
    <w:tmpl w:val="C99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0"/>
  </w:num>
  <w:num w:numId="3">
    <w:abstractNumId w:val="10"/>
  </w:num>
  <w:num w:numId="4">
    <w:abstractNumId w:val="10"/>
  </w:num>
  <w:num w:numId="5">
    <w:abstractNumId w:val="0"/>
  </w:num>
  <w:num w:numId="6">
    <w:abstractNumId w:val="6"/>
  </w:num>
  <w:num w:numId="7">
    <w:abstractNumId w:val="11"/>
  </w:num>
  <w:num w:numId="8">
    <w:abstractNumId w:val="1"/>
  </w:num>
  <w:num w:numId="9">
    <w:abstractNumId w:val="9"/>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02D1B"/>
    <w:rsid w:val="0001147F"/>
    <w:rsid w:val="000930A5"/>
    <w:rsid w:val="000D3D9B"/>
    <w:rsid w:val="00131BFF"/>
    <w:rsid w:val="001414D6"/>
    <w:rsid w:val="001421A8"/>
    <w:rsid w:val="001879F6"/>
    <w:rsid w:val="001B3CFC"/>
    <w:rsid w:val="001C757E"/>
    <w:rsid w:val="001E1289"/>
    <w:rsid w:val="001F0E23"/>
    <w:rsid w:val="002113C8"/>
    <w:rsid w:val="002231C1"/>
    <w:rsid w:val="00223272"/>
    <w:rsid w:val="00264926"/>
    <w:rsid w:val="002778A5"/>
    <w:rsid w:val="002A7DF4"/>
    <w:rsid w:val="002C15BA"/>
    <w:rsid w:val="002C57D5"/>
    <w:rsid w:val="002D02EA"/>
    <w:rsid w:val="0031496F"/>
    <w:rsid w:val="00325EF8"/>
    <w:rsid w:val="0032617E"/>
    <w:rsid w:val="00340E40"/>
    <w:rsid w:val="0034768A"/>
    <w:rsid w:val="00397175"/>
    <w:rsid w:val="003B0E36"/>
    <w:rsid w:val="003C2D1C"/>
    <w:rsid w:val="003D7E4C"/>
    <w:rsid w:val="003E1D24"/>
    <w:rsid w:val="003E41C2"/>
    <w:rsid w:val="00405E4A"/>
    <w:rsid w:val="004328F4"/>
    <w:rsid w:val="004554D4"/>
    <w:rsid w:val="00455EB0"/>
    <w:rsid w:val="00457FBE"/>
    <w:rsid w:val="00492803"/>
    <w:rsid w:val="004A013D"/>
    <w:rsid w:val="004A2F9E"/>
    <w:rsid w:val="004C003E"/>
    <w:rsid w:val="004C5BBA"/>
    <w:rsid w:val="004F279E"/>
    <w:rsid w:val="0053400F"/>
    <w:rsid w:val="00552EEB"/>
    <w:rsid w:val="00561B1C"/>
    <w:rsid w:val="005A3C45"/>
    <w:rsid w:val="005E6B46"/>
    <w:rsid w:val="00600565"/>
    <w:rsid w:val="00601C8B"/>
    <w:rsid w:val="00605DDC"/>
    <w:rsid w:val="00612749"/>
    <w:rsid w:val="0062785B"/>
    <w:rsid w:val="00657067"/>
    <w:rsid w:val="00680AF8"/>
    <w:rsid w:val="00685922"/>
    <w:rsid w:val="006A69BF"/>
    <w:rsid w:val="00700C83"/>
    <w:rsid w:val="007552B5"/>
    <w:rsid w:val="00755B73"/>
    <w:rsid w:val="007C0529"/>
    <w:rsid w:val="007D3EB9"/>
    <w:rsid w:val="007E29E7"/>
    <w:rsid w:val="00803BB3"/>
    <w:rsid w:val="0080739B"/>
    <w:rsid w:val="008132E8"/>
    <w:rsid w:val="008228A7"/>
    <w:rsid w:val="00823407"/>
    <w:rsid w:val="008260D1"/>
    <w:rsid w:val="00831F87"/>
    <w:rsid w:val="00834456"/>
    <w:rsid w:val="00834C4C"/>
    <w:rsid w:val="0084629D"/>
    <w:rsid w:val="00862D21"/>
    <w:rsid w:val="00897943"/>
    <w:rsid w:val="008B0184"/>
    <w:rsid w:val="008C5D02"/>
    <w:rsid w:val="008C7907"/>
    <w:rsid w:val="008C7ECC"/>
    <w:rsid w:val="008F10CB"/>
    <w:rsid w:val="0090568D"/>
    <w:rsid w:val="00911242"/>
    <w:rsid w:val="009125C9"/>
    <w:rsid w:val="00917661"/>
    <w:rsid w:val="0093522C"/>
    <w:rsid w:val="00954941"/>
    <w:rsid w:val="00961AD8"/>
    <w:rsid w:val="00970E5D"/>
    <w:rsid w:val="00975069"/>
    <w:rsid w:val="0097701C"/>
    <w:rsid w:val="00980A65"/>
    <w:rsid w:val="009945C9"/>
    <w:rsid w:val="009B224E"/>
    <w:rsid w:val="009D0790"/>
    <w:rsid w:val="009D7CD4"/>
    <w:rsid w:val="009E0C51"/>
    <w:rsid w:val="009F4AA3"/>
    <w:rsid w:val="00A25E70"/>
    <w:rsid w:val="00A336FD"/>
    <w:rsid w:val="00A33765"/>
    <w:rsid w:val="00A447A8"/>
    <w:rsid w:val="00A80BBA"/>
    <w:rsid w:val="00AA554B"/>
    <w:rsid w:val="00AB1BCE"/>
    <w:rsid w:val="00AC3A6E"/>
    <w:rsid w:val="00AD1B6F"/>
    <w:rsid w:val="00AD216D"/>
    <w:rsid w:val="00AE259E"/>
    <w:rsid w:val="00B00966"/>
    <w:rsid w:val="00B25B1F"/>
    <w:rsid w:val="00B47516"/>
    <w:rsid w:val="00B63237"/>
    <w:rsid w:val="00B82FF9"/>
    <w:rsid w:val="00B833EB"/>
    <w:rsid w:val="00B86AAE"/>
    <w:rsid w:val="00B92AFA"/>
    <w:rsid w:val="00BB5FEC"/>
    <w:rsid w:val="00BF7A1F"/>
    <w:rsid w:val="00C049C4"/>
    <w:rsid w:val="00C220FF"/>
    <w:rsid w:val="00C45995"/>
    <w:rsid w:val="00C852F0"/>
    <w:rsid w:val="00CD53F2"/>
    <w:rsid w:val="00CF4FB0"/>
    <w:rsid w:val="00D02C75"/>
    <w:rsid w:val="00D05FA1"/>
    <w:rsid w:val="00D10E22"/>
    <w:rsid w:val="00D136A6"/>
    <w:rsid w:val="00D13D2C"/>
    <w:rsid w:val="00D16BA7"/>
    <w:rsid w:val="00D21556"/>
    <w:rsid w:val="00D22D4C"/>
    <w:rsid w:val="00D92495"/>
    <w:rsid w:val="00DB4DE0"/>
    <w:rsid w:val="00DC401A"/>
    <w:rsid w:val="00DC60C4"/>
    <w:rsid w:val="00DD3D9E"/>
    <w:rsid w:val="00DD672D"/>
    <w:rsid w:val="00DD7908"/>
    <w:rsid w:val="00DE1909"/>
    <w:rsid w:val="00DE2A8F"/>
    <w:rsid w:val="00DE2DD1"/>
    <w:rsid w:val="00E0427C"/>
    <w:rsid w:val="00E90E15"/>
    <w:rsid w:val="00E961C1"/>
    <w:rsid w:val="00EC5762"/>
    <w:rsid w:val="00ED512A"/>
    <w:rsid w:val="00EF14C2"/>
    <w:rsid w:val="00F06B56"/>
    <w:rsid w:val="00F26B5D"/>
    <w:rsid w:val="00F271FD"/>
    <w:rsid w:val="00F4005A"/>
    <w:rsid w:val="00F5439F"/>
    <w:rsid w:val="00F55A65"/>
    <w:rsid w:val="00F670E2"/>
    <w:rsid w:val="00F7721B"/>
    <w:rsid w:val="00F933F8"/>
    <w:rsid w:val="00F93DAA"/>
    <w:rsid w:val="00F94847"/>
    <w:rsid w:val="00F97169"/>
    <w:rsid w:val="00FA2919"/>
    <w:rsid w:val="00FA3B36"/>
    <w:rsid w:val="00FA58E7"/>
    <w:rsid w:val="00FB5BE8"/>
    <w:rsid w:val="00FE6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2D88"/>
  <w15:docId w15:val="{57BB39F3-F887-4E8E-BA01-2399D828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Els-body-textChar">
    <w:name w:val="Els-body-text Char"/>
    <w:link w:val="Els-body-text"/>
    <w:rsid w:val="0053400F"/>
    <w:rPr>
      <w:lang w:val="en-US" w:eastAsia="en-US"/>
    </w:rPr>
  </w:style>
  <w:style w:type="character" w:styleId="PlaceholderText">
    <w:name w:val="Placeholder Text"/>
    <w:basedOn w:val="DefaultParagraphFont"/>
    <w:uiPriority w:val="99"/>
    <w:semiHidden/>
    <w:rsid w:val="00AB1BCE"/>
    <w:rPr>
      <w:color w:val="808080"/>
    </w:rPr>
  </w:style>
  <w:style w:type="table" w:styleId="TableGrid">
    <w:name w:val="Table Grid"/>
    <w:basedOn w:val="TableNormal"/>
    <w:rsid w:val="002D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68A"/>
    <w:rPr>
      <w:rFonts w:asciiTheme="minorHAnsi" w:eastAsiaTheme="minorHAnsi" w:hAnsiTheme="minorHAnsi" w:cstheme="minorBidi"/>
      <w:sz w:val="22"/>
      <w:szCs w:val="22"/>
      <w:lang w:eastAsia="en-US"/>
    </w:rPr>
  </w:style>
  <w:style w:type="character" w:customStyle="1" w:styleId="underline1">
    <w:name w:val="underline1"/>
    <w:basedOn w:val="DefaultParagraphFont"/>
    <w:rsid w:val="00AD1B6F"/>
    <w:rPr>
      <w:u w:val="single"/>
    </w:rPr>
  </w:style>
  <w:style w:type="paragraph" w:customStyle="1" w:styleId="ElsevierBodyTextCentredNospace">
    <w:name w:val="Elsevier Body Text Centred No space"/>
    <w:basedOn w:val="Normal"/>
    <w:qFormat/>
    <w:rsid w:val="00AD1B6F"/>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59011">
      <w:bodyDiv w:val="1"/>
      <w:marLeft w:val="0"/>
      <w:marRight w:val="0"/>
      <w:marTop w:val="0"/>
      <w:marBottom w:val="0"/>
      <w:divBdr>
        <w:top w:val="none" w:sz="0" w:space="0" w:color="auto"/>
        <w:left w:val="none" w:sz="0" w:space="0" w:color="auto"/>
        <w:bottom w:val="none" w:sz="0" w:space="0" w:color="auto"/>
        <w:right w:val="none" w:sz="0" w:space="0" w:color="auto"/>
      </w:divBdr>
    </w:div>
    <w:div w:id="1976911291">
      <w:bodyDiv w:val="1"/>
      <w:marLeft w:val="0"/>
      <w:marRight w:val="0"/>
      <w:marTop w:val="0"/>
      <w:marBottom w:val="0"/>
      <w:divBdr>
        <w:top w:val="none" w:sz="0" w:space="0" w:color="auto"/>
        <w:left w:val="none" w:sz="0" w:space="0" w:color="auto"/>
        <w:bottom w:val="none" w:sz="0" w:space="0" w:color="auto"/>
        <w:right w:val="none" w:sz="0" w:space="0" w:color="auto"/>
      </w:divBdr>
    </w:div>
    <w:div w:id="20664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UB\Documents\ESCAPE%2033\Results\Results%20Summar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Biomass</c:v>
          </c:tx>
          <c:spPr>
            <a:ln w="19050" cap="rnd">
              <a:solidFill>
                <a:schemeClr val="tx1"/>
              </a:solidFill>
              <a:prstDash val="sysDot"/>
              <a:round/>
            </a:ln>
            <a:effectLst/>
          </c:spPr>
          <c:marker>
            <c:symbol val="none"/>
          </c:marker>
          <c:xVal>
            <c:numRef>
              <c:f>Sheet1!$A$6:$A$11</c:f>
              <c:numCache>
                <c:formatCode>General</c:formatCode>
                <c:ptCount val="6"/>
                <c:pt idx="0">
                  <c:v>0</c:v>
                </c:pt>
                <c:pt idx="1">
                  <c:v>20</c:v>
                </c:pt>
                <c:pt idx="2">
                  <c:v>40</c:v>
                </c:pt>
                <c:pt idx="3">
                  <c:v>60</c:v>
                </c:pt>
                <c:pt idx="4">
                  <c:v>80</c:v>
                </c:pt>
                <c:pt idx="5">
                  <c:v>100</c:v>
                </c:pt>
              </c:numCache>
            </c:numRef>
          </c:xVal>
          <c:yVal>
            <c:numRef>
              <c:f>Sheet1!$B$6:$B$11</c:f>
              <c:numCache>
                <c:formatCode>General</c:formatCode>
                <c:ptCount val="6"/>
                <c:pt idx="0">
                  <c:v>0.71499999999999997</c:v>
                </c:pt>
                <c:pt idx="1">
                  <c:v>0.748</c:v>
                </c:pt>
                <c:pt idx="2">
                  <c:v>0.78100000000000003</c:v>
                </c:pt>
                <c:pt idx="3">
                  <c:v>1.0289999999999999</c:v>
                </c:pt>
                <c:pt idx="4">
                  <c:v>1.39</c:v>
                </c:pt>
                <c:pt idx="5">
                  <c:v>1.75</c:v>
                </c:pt>
              </c:numCache>
            </c:numRef>
          </c:yVal>
          <c:smooth val="1"/>
          <c:extLst>
            <c:ext xmlns:c16="http://schemas.microsoft.com/office/drawing/2014/chart" uri="{C3380CC4-5D6E-409C-BE32-E72D297353CC}">
              <c16:uniqueId val="{00000000-AA1B-4FB8-9304-FA6C7847AA16}"/>
            </c:ext>
          </c:extLst>
        </c:ser>
        <c:ser>
          <c:idx val="1"/>
          <c:order val="1"/>
          <c:tx>
            <c:v>MSW-GFR</c:v>
          </c:tx>
          <c:spPr>
            <a:ln w="19050" cap="rnd">
              <a:solidFill>
                <a:schemeClr val="tx1"/>
              </a:solidFill>
              <a:prstDash val="solid"/>
              <a:round/>
            </a:ln>
            <a:effectLst/>
          </c:spPr>
          <c:marker>
            <c:symbol val="none"/>
          </c:marker>
          <c:xVal>
            <c:numRef>
              <c:f>Sheet1!$A$6:$A$11</c:f>
              <c:numCache>
                <c:formatCode>General</c:formatCode>
                <c:ptCount val="6"/>
                <c:pt idx="0">
                  <c:v>0</c:v>
                </c:pt>
                <c:pt idx="1">
                  <c:v>20</c:v>
                </c:pt>
                <c:pt idx="2">
                  <c:v>40</c:v>
                </c:pt>
                <c:pt idx="3">
                  <c:v>60</c:v>
                </c:pt>
                <c:pt idx="4">
                  <c:v>80</c:v>
                </c:pt>
                <c:pt idx="5">
                  <c:v>100</c:v>
                </c:pt>
              </c:numCache>
            </c:numRef>
          </c:xVal>
          <c:yVal>
            <c:numRef>
              <c:f>Sheet1!$C$6:$C$11</c:f>
              <c:numCache>
                <c:formatCode>General</c:formatCode>
                <c:ptCount val="6"/>
                <c:pt idx="0">
                  <c:v>0.71499999999999997</c:v>
                </c:pt>
                <c:pt idx="1">
                  <c:v>0.75900000000000001</c:v>
                </c:pt>
                <c:pt idx="2">
                  <c:v>0.80200000000000005</c:v>
                </c:pt>
                <c:pt idx="3">
                  <c:v>0.84599999999999997</c:v>
                </c:pt>
                <c:pt idx="4">
                  <c:v>0.97699999999999998</c:v>
                </c:pt>
                <c:pt idx="5">
                  <c:v>1.75</c:v>
                </c:pt>
              </c:numCache>
            </c:numRef>
          </c:yVal>
          <c:smooth val="1"/>
          <c:extLst>
            <c:ext xmlns:c16="http://schemas.microsoft.com/office/drawing/2014/chart" uri="{C3380CC4-5D6E-409C-BE32-E72D297353CC}">
              <c16:uniqueId val="{00000001-AA1B-4FB8-9304-FA6C7847AA16}"/>
            </c:ext>
          </c:extLst>
        </c:ser>
        <c:ser>
          <c:idx val="2"/>
          <c:order val="2"/>
          <c:tx>
            <c:v>MSW-GFWR</c:v>
          </c:tx>
          <c:spPr>
            <a:ln w="19050" cap="rnd">
              <a:solidFill>
                <a:schemeClr val="tx1"/>
              </a:solidFill>
              <a:prstDash val="sysDash"/>
              <a:round/>
            </a:ln>
            <a:effectLst/>
          </c:spPr>
          <c:marker>
            <c:symbol val="none"/>
          </c:marker>
          <c:xVal>
            <c:numRef>
              <c:f>Sheet1!$A$6:$A$11</c:f>
              <c:numCache>
                <c:formatCode>General</c:formatCode>
                <c:ptCount val="6"/>
                <c:pt idx="0">
                  <c:v>0</c:v>
                </c:pt>
                <c:pt idx="1">
                  <c:v>20</c:v>
                </c:pt>
                <c:pt idx="2">
                  <c:v>40</c:v>
                </c:pt>
                <c:pt idx="3">
                  <c:v>60</c:v>
                </c:pt>
                <c:pt idx="4">
                  <c:v>80</c:v>
                </c:pt>
                <c:pt idx="5">
                  <c:v>100</c:v>
                </c:pt>
              </c:numCache>
            </c:numRef>
          </c:xVal>
          <c:yVal>
            <c:numRef>
              <c:f>Sheet1!$D$6:$D$11</c:f>
              <c:numCache>
                <c:formatCode>General</c:formatCode>
                <c:ptCount val="6"/>
                <c:pt idx="0">
                  <c:v>0.71499999999999997</c:v>
                </c:pt>
                <c:pt idx="1">
                  <c:v>0.82599999999999996</c:v>
                </c:pt>
                <c:pt idx="2">
                  <c:v>0.93700000000000006</c:v>
                </c:pt>
                <c:pt idx="3">
                  <c:v>1.048</c:v>
                </c:pt>
                <c:pt idx="4">
                  <c:v>1.21</c:v>
                </c:pt>
                <c:pt idx="5">
                  <c:v>1.75</c:v>
                </c:pt>
              </c:numCache>
            </c:numRef>
          </c:yVal>
          <c:smooth val="1"/>
          <c:extLst>
            <c:ext xmlns:c16="http://schemas.microsoft.com/office/drawing/2014/chart" uri="{C3380CC4-5D6E-409C-BE32-E72D297353CC}">
              <c16:uniqueId val="{00000002-AA1B-4FB8-9304-FA6C7847AA16}"/>
            </c:ext>
          </c:extLst>
        </c:ser>
        <c:ser>
          <c:idx val="3"/>
          <c:order val="3"/>
          <c:tx>
            <c:v>MSW-FB</c:v>
          </c:tx>
          <c:spPr>
            <a:ln w="19050" cap="rnd">
              <a:solidFill>
                <a:schemeClr val="tx1"/>
              </a:solidFill>
              <a:prstDash val="dashDot"/>
              <a:round/>
            </a:ln>
            <a:effectLst/>
          </c:spPr>
          <c:marker>
            <c:symbol val="none"/>
          </c:marker>
          <c:xVal>
            <c:numRef>
              <c:f>Sheet1!$A$6:$A$11</c:f>
              <c:numCache>
                <c:formatCode>General</c:formatCode>
                <c:ptCount val="6"/>
                <c:pt idx="0">
                  <c:v>0</c:v>
                </c:pt>
                <c:pt idx="1">
                  <c:v>20</c:v>
                </c:pt>
                <c:pt idx="2">
                  <c:v>40</c:v>
                </c:pt>
                <c:pt idx="3">
                  <c:v>60</c:v>
                </c:pt>
                <c:pt idx="4">
                  <c:v>80</c:v>
                </c:pt>
                <c:pt idx="5">
                  <c:v>100</c:v>
                </c:pt>
              </c:numCache>
            </c:numRef>
          </c:xVal>
          <c:yVal>
            <c:numRef>
              <c:f>Sheet1!$E$6:$E$11</c:f>
              <c:numCache>
                <c:formatCode>General</c:formatCode>
                <c:ptCount val="6"/>
                <c:pt idx="0">
                  <c:v>0.71499999999999997</c:v>
                </c:pt>
                <c:pt idx="1">
                  <c:v>0.79300000000000004</c:v>
                </c:pt>
                <c:pt idx="2">
                  <c:v>0.871</c:v>
                </c:pt>
                <c:pt idx="3">
                  <c:v>0.94899999999999995</c:v>
                </c:pt>
                <c:pt idx="4">
                  <c:v>1.0269999999999999</c:v>
                </c:pt>
                <c:pt idx="5">
                  <c:v>1.75</c:v>
                </c:pt>
              </c:numCache>
            </c:numRef>
          </c:yVal>
          <c:smooth val="1"/>
          <c:extLst>
            <c:ext xmlns:c16="http://schemas.microsoft.com/office/drawing/2014/chart" uri="{C3380CC4-5D6E-409C-BE32-E72D297353CC}">
              <c16:uniqueId val="{00000003-AA1B-4FB8-9304-FA6C7847AA16}"/>
            </c:ext>
          </c:extLst>
        </c:ser>
        <c:ser>
          <c:idx val="4"/>
          <c:order val="4"/>
          <c:tx>
            <c:v>CSP</c:v>
          </c:tx>
          <c:spPr>
            <a:ln w="19050" cap="rnd">
              <a:solidFill>
                <a:schemeClr val="tx1"/>
              </a:solidFill>
              <a:prstDash val="lgDash"/>
              <a:round/>
            </a:ln>
            <a:effectLst/>
          </c:spPr>
          <c:marker>
            <c:symbol val="none"/>
          </c:marker>
          <c:xVal>
            <c:numRef>
              <c:f>Sheet1!$A$6:$A$11</c:f>
              <c:numCache>
                <c:formatCode>General</c:formatCode>
                <c:ptCount val="6"/>
                <c:pt idx="0">
                  <c:v>0</c:v>
                </c:pt>
                <c:pt idx="1">
                  <c:v>20</c:v>
                </c:pt>
                <c:pt idx="2">
                  <c:v>40</c:v>
                </c:pt>
                <c:pt idx="3">
                  <c:v>60</c:v>
                </c:pt>
                <c:pt idx="4">
                  <c:v>80</c:v>
                </c:pt>
                <c:pt idx="5">
                  <c:v>100</c:v>
                </c:pt>
              </c:numCache>
            </c:numRef>
          </c:xVal>
          <c:yVal>
            <c:numRef>
              <c:f>Sheet1!$F$6:$F$11</c:f>
              <c:numCache>
                <c:formatCode>General</c:formatCode>
                <c:ptCount val="6"/>
                <c:pt idx="0">
                  <c:v>0.71499999999999997</c:v>
                </c:pt>
                <c:pt idx="1">
                  <c:v>0.93500000000000005</c:v>
                </c:pt>
                <c:pt idx="2">
                  <c:v>1.1419999999999999</c:v>
                </c:pt>
                <c:pt idx="3">
                  <c:v>1.3360000000000001</c:v>
                </c:pt>
                <c:pt idx="4">
                  <c:v>1.5429999999999999</c:v>
                </c:pt>
                <c:pt idx="5">
                  <c:v>1.75</c:v>
                </c:pt>
              </c:numCache>
            </c:numRef>
          </c:yVal>
          <c:smooth val="1"/>
          <c:extLst>
            <c:ext xmlns:c16="http://schemas.microsoft.com/office/drawing/2014/chart" uri="{C3380CC4-5D6E-409C-BE32-E72D297353CC}">
              <c16:uniqueId val="{00000004-AA1B-4FB8-9304-FA6C7847AA16}"/>
            </c:ext>
          </c:extLst>
        </c:ser>
        <c:dLbls>
          <c:showLegendKey val="0"/>
          <c:showVal val="0"/>
          <c:showCatName val="0"/>
          <c:showSerName val="0"/>
          <c:showPercent val="0"/>
          <c:showBubbleSize val="0"/>
        </c:dLbls>
        <c:axId val="645151712"/>
        <c:axId val="562672320"/>
      </c:scatterChart>
      <c:valAx>
        <c:axId val="645151712"/>
        <c:scaling>
          <c:orientation val="minMax"/>
          <c:max val="100"/>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NCRT</a:t>
                </a:r>
                <a:r>
                  <a:rPr lang="en-US" baseline="0"/>
                  <a:t> (%)</a:t>
                </a:r>
                <a:endParaRPr lang="en-US"/>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2672320"/>
        <c:crosses val="autoZero"/>
        <c:crossBetween val="midCat"/>
      </c:valAx>
      <c:valAx>
        <c:axId val="562672320"/>
        <c:scaling>
          <c:orientation val="minMax"/>
          <c:max val="1.8"/>
          <c:min val="0.70000000000000007"/>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Water</a:t>
                </a:r>
                <a:r>
                  <a:rPr lang="en-US" baseline="0"/>
                  <a:t> Production Cost (USD/m</a:t>
                </a:r>
                <a:r>
                  <a:rPr lang="en-US" baseline="30000"/>
                  <a:t>3</a:t>
                </a:r>
                <a:r>
                  <a:rPr lang="en-US" baseline="0"/>
                  <a:t>)</a:t>
                </a:r>
                <a:endParaRPr lang="en-US"/>
              </a:p>
            </c:rich>
          </c:tx>
          <c:layout>
            <c:manualLayout>
              <c:xMode val="edge"/>
              <c:yMode val="edge"/>
              <c:x val="3.0555555555555555E-2"/>
              <c:y val="0.12568569553805775"/>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4515171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1F29-6B36-49D3-8820-FB2A40FF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TotalTime>
  <Pages>6</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Sabla Yehya Ali Alnouri</cp:lastModifiedBy>
  <cp:revision>4</cp:revision>
  <cp:lastPrinted>2004-12-17T09:20:00Z</cp:lastPrinted>
  <dcterms:created xsi:type="dcterms:W3CDTF">2023-11-02T13:19:00Z</dcterms:created>
  <dcterms:modified xsi:type="dcterms:W3CDTF">2023-11-02T13:23:00Z</dcterms:modified>
</cp:coreProperties>
</file>