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D7A272C" w:rsidR="00DD3D9E" w:rsidRPr="003E3E3C" w:rsidRDefault="00F02816" w:rsidP="003E3E3C">
      <w:pPr>
        <w:pStyle w:val="Els-Title"/>
        <w:rPr>
          <w:color w:val="000000" w:themeColor="text1"/>
          <w:sz w:val="30"/>
          <w:szCs w:val="30"/>
        </w:rPr>
      </w:pPr>
      <w:r w:rsidRPr="003E3E3C">
        <w:rPr>
          <w:sz w:val="30"/>
          <w:szCs w:val="30"/>
        </w:rPr>
        <w:t>Impact of Industrial Waste Heat Recovery on Heat and Electricity Marginal Cost</w:t>
      </w:r>
      <w:r w:rsidR="00C267EA" w:rsidRPr="003E3E3C">
        <w:rPr>
          <w:sz w:val="30"/>
          <w:szCs w:val="30"/>
        </w:rPr>
        <w:t>s</w:t>
      </w:r>
      <w:r w:rsidRPr="003E3E3C">
        <w:rPr>
          <w:sz w:val="30"/>
          <w:szCs w:val="30"/>
        </w:rPr>
        <w:t xml:space="preserve"> in an Energy Community</w:t>
      </w:r>
    </w:p>
    <w:p w14:paraId="144DE680" w14:textId="4726CC79" w:rsidR="00DD3D9E" w:rsidRPr="002B4829" w:rsidRDefault="00F02816">
      <w:pPr>
        <w:pStyle w:val="Els-Author"/>
        <w:rPr>
          <w:vertAlign w:val="superscript"/>
          <w:lang w:val="fr-CH"/>
        </w:rPr>
      </w:pPr>
      <w:r w:rsidRPr="00F02816">
        <w:rPr>
          <w:lang w:val="fr-CH"/>
        </w:rPr>
        <w:t>Cédric Terrier</w:t>
      </w:r>
      <w:r w:rsidRPr="00F02816">
        <w:rPr>
          <w:vertAlign w:val="superscript"/>
          <w:lang w:val="fr-CH"/>
        </w:rPr>
        <w:t>a</w:t>
      </w:r>
      <w:r>
        <w:rPr>
          <w:vertAlign w:val="superscript"/>
          <w:lang w:val="fr-CH"/>
        </w:rPr>
        <w:t>*</w:t>
      </w:r>
      <w:r w:rsidRPr="00F02816">
        <w:rPr>
          <w:lang w:val="fr-CH"/>
        </w:rPr>
        <w:t>, Dorsan Lepour</w:t>
      </w:r>
      <w:r>
        <w:rPr>
          <w:vertAlign w:val="superscript"/>
          <w:lang w:val="fr-CH"/>
        </w:rPr>
        <w:t>a</w:t>
      </w:r>
      <w:r w:rsidRPr="00F02816">
        <w:rPr>
          <w:lang w:val="fr-CH"/>
        </w:rPr>
        <w:t>, Fra</w:t>
      </w:r>
      <w:r>
        <w:rPr>
          <w:lang w:val="fr-CH"/>
        </w:rPr>
        <w:t>nçois Maréchal</w:t>
      </w:r>
      <w:r w:rsidR="002B4829">
        <w:rPr>
          <w:vertAlign w:val="superscript"/>
          <w:lang w:val="fr-CH"/>
        </w:rPr>
        <w:t>a</w:t>
      </w:r>
    </w:p>
    <w:p w14:paraId="144DE681" w14:textId="4E1B9A14" w:rsidR="00DD3D9E" w:rsidRPr="00F02816" w:rsidRDefault="00F02816">
      <w:pPr>
        <w:pStyle w:val="Els-Affiliation"/>
        <w:rPr>
          <w:lang w:val="fr-CH"/>
        </w:rPr>
      </w:pPr>
      <w:r w:rsidRPr="00F02816">
        <w:rPr>
          <w:vertAlign w:val="superscript"/>
          <w:lang w:val="fr-CH"/>
        </w:rPr>
        <w:t>a</w:t>
      </w:r>
      <w:r w:rsidRPr="00F02816">
        <w:rPr>
          <w:lang w:val="fr-CH"/>
        </w:rPr>
        <w:t xml:space="preserve"> </w:t>
      </w:r>
      <w:r w:rsidR="000D2FDF" w:rsidRPr="000D2FDF">
        <w:rPr>
          <w:color w:val="000000" w:themeColor="text1"/>
          <w:lang w:val="fr-CH"/>
        </w:rPr>
        <w:t xml:space="preserve">EPFL Valais Wallis, </w:t>
      </w:r>
      <w:r w:rsidR="003E3E3C" w:rsidRPr="000D2FDF">
        <w:rPr>
          <w:color w:val="000000" w:themeColor="text1"/>
          <w:lang w:val="fr-CH"/>
        </w:rPr>
        <w:t>IPESE</w:t>
      </w:r>
      <w:r w:rsidRPr="00F02816">
        <w:rPr>
          <w:lang w:val="fr-CH"/>
        </w:rPr>
        <w:t xml:space="preserve">, </w:t>
      </w:r>
      <w:r w:rsidRPr="00F02816">
        <w:rPr>
          <w:rStyle w:val="lrzxr"/>
          <w:lang w:val="fr-CH"/>
        </w:rPr>
        <w:t>Rue de l'Industrie 17, 1950 Sion</w:t>
      </w:r>
      <w:r w:rsidRPr="00F02816">
        <w:rPr>
          <w:lang w:val="fr-CH"/>
        </w:rPr>
        <w:t>, Switzerland</w:t>
      </w:r>
    </w:p>
    <w:p w14:paraId="144DE683" w14:textId="0784FE27" w:rsidR="008D2649" w:rsidRPr="00A05AEC" w:rsidRDefault="00F02816" w:rsidP="008D2649">
      <w:pPr>
        <w:pStyle w:val="Els-Affiliation"/>
        <w:spacing w:after="120"/>
        <w:rPr>
          <w:lang w:val="en-US"/>
        </w:rPr>
      </w:pPr>
      <w:r w:rsidRPr="00A05AEC">
        <w:rPr>
          <w:lang w:val="en-US"/>
        </w:rPr>
        <w:t>* cedric.terrier@epfl.ch</w:t>
      </w:r>
    </w:p>
    <w:p w14:paraId="144DE684" w14:textId="77777777" w:rsidR="008D2649" w:rsidRPr="00A05AEC" w:rsidRDefault="008D2649" w:rsidP="008D2649">
      <w:pPr>
        <w:pStyle w:val="Els-Abstract"/>
      </w:pPr>
      <w:r w:rsidRPr="00A05AEC">
        <w:t>Abstract</w:t>
      </w:r>
    </w:p>
    <w:p w14:paraId="04341931" w14:textId="76C9396E" w:rsidR="00F65851" w:rsidRDefault="002B4829" w:rsidP="00D84750">
      <w:pPr>
        <w:jc w:val="both"/>
        <w:rPr>
          <w:lang w:val="en-US"/>
        </w:rPr>
      </w:pPr>
      <w:r>
        <w:rPr>
          <w:lang w:val="en-US"/>
        </w:rPr>
        <w:t>Sector coupling is seen as one of the keys to improve energy efficiency within urban centers</w:t>
      </w:r>
      <w:r w:rsidR="006607DD">
        <w:rPr>
          <w:lang w:val="en-US"/>
        </w:rPr>
        <w:t xml:space="preserve">. </w:t>
      </w:r>
      <w:r>
        <w:rPr>
          <w:lang w:val="en-US"/>
        </w:rPr>
        <w:t xml:space="preserve">In this perspective, residential energy system coupled with industrial waste heat recovery via district heating network is a promising solution. However, it also implies the coordination between systems design since a decision taken in one subsystem directly affects the decision-making of other subsystems. The aim of this paper is to demonstrate </w:t>
      </w:r>
      <w:r w:rsidR="005072B0">
        <w:rPr>
          <w:lang w:val="en-US"/>
        </w:rPr>
        <w:t>the sector coupling within an energy community containing an industrial site. The problem is formulated as a renewable energy hub with investment and operation decisions. Each building is modeled individually and the Dantzig-Wolfe decomposition is applied to optimize the district-scale problem. The industrial site is modeled as a heat source with fixed capacity and temperature. The marginal cost analysis demonstrates the spillover effect of waste heat availability on the profitability of PV panels, therefore engendering a self-consumption competition.</w:t>
      </w:r>
    </w:p>
    <w:p w14:paraId="078421BB" w14:textId="77777777" w:rsidR="005072B0" w:rsidRDefault="005072B0" w:rsidP="00D84750">
      <w:pPr>
        <w:jc w:val="both"/>
      </w:pPr>
    </w:p>
    <w:p w14:paraId="7B167696" w14:textId="0F19EB89" w:rsidR="00D84750" w:rsidRPr="00C267EA" w:rsidRDefault="008D2649" w:rsidP="008D2649">
      <w:pPr>
        <w:pStyle w:val="Els-body-text"/>
        <w:spacing w:after="120"/>
      </w:pPr>
      <w:r>
        <w:rPr>
          <w:b/>
          <w:bCs/>
          <w:lang w:val="en-GB"/>
        </w:rPr>
        <w:t>Keywords</w:t>
      </w:r>
      <w:r>
        <w:rPr>
          <w:lang w:val="en-GB"/>
        </w:rPr>
        <w:t xml:space="preserve">: </w:t>
      </w:r>
      <w:r w:rsidR="00D84750" w:rsidRPr="001820E7">
        <w:t>Renewable energy hub</w:t>
      </w:r>
      <w:r w:rsidR="005072B0">
        <w:t>,</w:t>
      </w:r>
      <w:r w:rsidR="005072B0" w:rsidRPr="001820E7">
        <w:t xml:space="preserve"> </w:t>
      </w:r>
      <w:r w:rsidR="00D84750" w:rsidRPr="001820E7">
        <w:t xml:space="preserve">district heating network, marginal cost, </w:t>
      </w:r>
      <w:r w:rsidR="00835EFC">
        <w:t>MILP</w:t>
      </w:r>
    </w:p>
    <w:p w14:paraId="144DE68B" w14:textId="30A5FF4C" w:rsidR="008D2649" w:rsidRDefault="00C82318" w:rsidP="008D2649">
      <w:pPr>
        <w:pStyle w:val="Els-1storder-head"/>
      </w:pPr>
      <w:r>
        <w:t>Introduction</w:t>
      </w:r>
    </w:p>
    <w:p w14:paraId="418AC787" w14:textId="5EA838D5" w:rsidR="00906DC9" w:rsidRPr="00091B2D" w:rsidRDefault="00906DC9" w:rsidP="00091B2D">
      <w:pPr>
        <w:spacing w:before="240"/>
        <w:jc w:val="both"/>
        <w:rPr>
          <w:lang w:val="en-US"/>
        </w:rPr>
      </w:pPr>
      <w:r>
        <w:rPr>
          <w:lang w:val="en-US"/>
        </w:rPr>
        <w:t xml:space="preserve">The </w:t>
      </w:r>
      <w:r w:rsidRPr="00887730">
        <w:rPr>
          <w:lang w:val="en-US"/>
        </w:rPr>
        <w:t>building sector represents 19% of the CO</w:t>
      </w:r>
      <w:r w:rsidRPr="00887730">
        <w:rPr>
          <w:vertAlign w:val="subscript"/>
          <w:lang w:val="en-US"/>
        </w:rPr>
        <w:t>2, eq</w:t>
      </w:r>
      <w:r w:rsidRPr="00887730">
        <w:rPr>
          <w:lang w:val="en-US"/>
        </w:rPr>
        <w:t xml:space="preserve"> emissions worldwide and is therefore one of the largest contributors to global warming</w:t>
      </w:r>
      <w:r w:rsidR="00EC7116">
        <w:rPr>
          <w:lang w:val="en-US"/>
        </w:rPr>
        <w:t xml:space="preserve"> </w:t>
      </w:r>
      <w:r w:rsidR="00EC7116" w:rsidRPr="00887730">
        <w:rPr>
          <w:lang w:val="en-US"/>
        </w:rPr>
        <w:fldChar w:fldCharType="begin"/>
      </w:r>
      <w:r w:rsidR="00EC7116" w:rsidRPr="00887730">
        <w:rPr>
          <w:lang w:val="en-US"/>
        </w:rPr>
        <w:instrText xml:space="preserve"> ADDIN ZOTERO_ITEM CSL_CITATION {"citationID":"8a3rfl9z","properties":{"formattedCitation":"(Internation Renewable Energy Agency 2021)","plainCitation":"(Internation Renewable Energy Agency 2021)","dontUpdate":true,"noteIndex":0},"citationItems":[{"id":297,"uris":["http://zotero.org/users/7516078/items/CDAGMQ4T"],"itemData":{"id":297,"type":"article-journal","title":"World Energy Transitions Outlook","author":[{"literal":"Internation Renewable Energy Agency"}],"issued":{"date-parts":[["2021"]]}}}],"schema":"https://github.com/citation-style-language/schema/raw/master/csl-citation.json"} </w:instrText>
      </w:r>
      <w:r w:rsidR="00EC7116" w:rsidRPr="00887730">
        <w:rPr>
          <w:lang w:val="en-US"/>
        </w:rPr>
        <w:fldChar w:fldCharType="separate"/>
      </w:r>
      <w:r w:rsidR="00EC7116" w:rsidRPr="00887730">
        <w:rPr>
          <w:noProof/>
          <w:lang w:val="en-US"/>
        </w:rPr>
        <w:t>(IRENA 2021)</w:t>
      </w:r>
      <w:r w:rsidR="00EC7116" w:rsidRPr="00887730">
        <w:rPr>
          <w:lang w:val="en-US"/>
        </w:rPr>
        <w:fldChar w:fldCharType="end"/>
      </w:r>
      <w:r w:rsidRPr="00887730">
        <w:rPr>
          <w:lang w:val="en-US"/>
        </w:rPr>
        <w:t xml:space="preserve">. Integrating renewable capacities in the built environment </w:t>
      </w:r>
      <w:r w:rsidR="00887730" w:rsidRPr="00887730">
        <w:rPr>
          <w:lang w:val="en-US"/>
        </w:rPr>
        <w:t>becomes</w:t>
      </w:r>
      <w:r w:rsidRPr="00887730">
        <w:rPr>
          <w:lang w:val="en-US"/>
        </w:rPr>
        <w:t xml:space="preserve"> a prerequisite to the energy transition. In this perspective, the European parliament emphasized in 2018 the role of energy communities at promoting a high penetration of renewable energy in urban systems</w:t>
      </w:r>
      <w:r w:rsidRPr="00887730">
        <w:rPr>
          <w:vertAlign w:val="superscript"/>
          <w:lang w:val="en-US"/>
        </w:rPr>
        <w:t xml:space="preserve"> </w:t>
      </w:r>
      <w:r w:rsidRPr="00887730">
        <w:rPr>
          <w:vertAlign w:val="superscript"/>
          <w:lang w:val="en-US"/>
        </w:rPr>
        <w:fldChar w:fldCharType="begin"/>
      </w:r>
      <w:r w:rsidR="007B5AD0" w:rsidRPr="00887730">
        <w:rPr>
          <w:vertAlign w:val="superscript"/>
          <w:lang w:val="en-US"/>
        </w:rPr>
        <w:instrText xml:space="preserve"> ADDIN ZOTERO_ITEM CSL_CITATION {"citationID":"Pho5MXVB","properties":{"formattedCitation":"(Parliament 2018)","plainCitation":"(Parliament 2018)","dontUpdate":true,"noteIndex":0},"citationItems":[{"id":3657,"uris":["http://zotero.org/users/7516078/items/TH26Y9F6"],"itemData":{"id":3657,"type":"article-journal","language":"en","page":"128","source":"Zotero","title":"DIRECTIVE  (EU)  2018/  2001  OF  THE  EUROPEAN  PARLIAMENT  AND  OF  THE  COUNCIL  -  of  11 December  2018  -  on  the  promotion  of  the  use  of  energy  from  renewable  sources","author":[{"family":"Parliament","given":"European"}],"issued":{"date-parts":[["2018"]]}}}],"schema":"https://github.com/citation-style-language/schema/raw/master/csl-citation.json"} </w:instrText>
      </w:r>
      <w:r w:rsidRPr="00887730">
        <w:rPr>
          <w:vertAlign w:val="superscript"/>
          <w:lang w:val="en-US"/>
        </w:rPr>
        <w:fldChar w:fldCharType="separate"/>
      </w:r>
      <w:r w:rsidRPr="00887730">
        <w:rPr>
          <w:noProof/>
          <w:lang w:val="en-US"/>
        </w:rPr>
        <w:t>(EU Parliament 2018)</w:t>
      </w:r>
      <w:r w:rsidRPr="00887730">
        <w:rPr>
          <w:vertAlign w:val="superscript"/>
          <w:lang w:val="en-US"/>
        </w:rPr>
        <w:fldChar w:fldCharType="end"/>
      </w:r>
      <w:r w:rsidRPr="00887730">
        <w:rPr>
          <w:lang w:val="en-US"/>
        </w:rPr>
        <w:t>. They improve the self-consumption of local resources by coupling distributed energy sources and enhance energy efficiency by supplying multiple services to the consumers. Energy communities are usually considered at the neighborhood scale with a majority of residential buildings, therefore neglecting the synergy potential with the industrial sector, responsible for 23% of the CO</w:t>
      </w:r>
      <w:r w:rsidRPr="00887730">
        <w:rPr>
          <w:vertAlign w:val="subscript"/>
          <w:lang w:val="en-US"/>
        </w:rPr>
        <w:t>2, eq</w:t>
      </w:r>
      <w:r w:rsidRPr="00887730">
        <w:rPr>
          <w:lang w:val="en-US"/>
        </w:rPr>
        <w:t xml:space="preserve"> emissions worldwide</w:t>
      </w:r>
      <w:r w:rsidR="00091B2D">
        <w:rPr>
          <w:lang w:val="en-US"/>
        </w:rPr>
        <w:t xml:space="preserve"> </w:t>
      </w:r>
      <w:r w:rsidR="00091B2D" w:rsidRPr="00887730">
        <w:rPr>
          <w:lang w:val="en-US"/>
        </w:rPr>
        <w:fldChar w:fldCharType="begin"/>
      </w:r>
      <w:r w:rsidR="00091B2D" w:rsidRPr="00887730">
        <w:rPr>
          <w:lang w:val="en-US"/>
        </w:rPr>
        <w:instrText xml:space="preserve"> ADDIN ZOTERO_ITEM CSL_CITATION {"citationID":"8a3rfl9z","properties":{"formattedCitation":"(Internation Renewable Energy Agency 2021)","plainCitation":"(Internation Renewable Energy Agency 2021)","dontUpdate":true,"noteIndex":0},"citationItems":[{"id":297,"uris":["http://zotero.org/users/7516078/items/CDAGMQ4T"],"itemData":{"id":297,"type":"article-journal","title":"World Energy Transitions Outlook","author":[{"literal":"Internation Renewable Energy Agency"}],"issued":{"date-parts":[["2021"]]}}}],"schema":"https://github.com/citation-style-language/schema/raw/master/csl-citation.json"} </w:instrText>
      </w:r>
      <w:r w:rsidR="00091B2D" w:rsidRPr="00887730">
        <w:rPr>
          <w:lang w:val="en-US"/>
        </w:rPr>
        <w:fldChar w:fldCharType="separate"/>
      </w:r>
      <w:r w:rsidR="00091B2D" w:rsidRPr="00887730">
        <w:rPr>
          <w:noProof/>
          <w:lang w:val="en-US"/>
        </w:rPr>
        <w:t>(IRENA 2021)</w:t>
      </w:r>
      <w:r w:rsidR="00091B2D" w:rsidRPr="00887730">
        <w:rPr>
          <w:lang w:val="en-US"/>
        </w:rPr>
        <w:fldChar w:fldCharType="end"/>
      </w:r>
      <w:r w:rsidRPr="00887730">
        <w:rPr>
          <w:lang w:val="en-US"/>
        </w:rPr>
        <w:t>. It is estimated that industrial waste heat recovery could reduce the energy consumption of cities by up to 26%</w:t>
      </w:r>
      <w:r w:rsidRPr="00887730">
        <w:rPr>
          <w:vertAlign w:val="superscript"/>
          <w:lang w:val="en-US"/>
        </w:rPr>
        <w:t xml:space="preserve"> </w:t>
      </w:r>
      <w:r w:rsidR="00357A36" w:rsidRPr="00887730">
        <w:rPr>
          <w:vertAlign w:val="superscript"/>
          <w:lang w:val="en-US"/>
        </w:rPr>
        <w:fldChar w:fldCharType="begin"/>
      </w:r>
      <w:r w:rsidR="00357A36" w:rsidRPr="00887730">
        <w:rPr>
          <w:vertAlign w:val="superscript"/>
          <w:lang w:val="en-US"/>
        </w:rPr>
        <w:instrText xml:space="preserve"> ADDIN ZOTERO_ITEM CSL_CITATION {"citationID":"YeEvv0Ue","properties":{"formattedCitation":"(Raluca-Ancuta Suciu, 2019)","plainCitation":"(Raluca-Ancuta Suciu, 2019)","noteIndex":0},"citationItems":[{"id":407,"uris":["http://zotero.org/users/7516078/items/8B66NB9J"],"itemData":{"id":407,"type":"thesis","language":"en","publisher":"EPFL","source":"Zotero","title":"Fifth generation district energy systems for low carbon cities","author":[{"family":"Raluca-Ancuta Suciu","given":""}],"issued":{"date-parts":[["2019"]]}}}],"schema":"https://github.com/citation-style-language/schema/raw/master/csl-citation.json"} </w:instrText>
      </w:r>
      <w:r w:rsidR="00357A36" w:rsidRPr="00887730">
        <w:rPr>
          <w:vertAlign w:val="superscript"/>
          <w:lang w:val="en-US"/>
        </w:rPr>
        <w:fldChar w:fldCharType="separate"/>
      </w:r>
      <w:r w:rsidR="00357A36" w:rsidRPr="00887730">
        <w:rPr>
          <w:noProof/>
          <w:lang w:val="en-US"/>
        </w:rPr>
        <w:t>(Raluca-Ancuta Suciu, 2019)</w:t>
      </w:r>
      <w:r w:rsidR="00357A36" w:rsidRPr="00887730">
        <w:rPr>
          <w:vertAlign w:val="superscript"/>
          <w:lang w:val="en-US"/>
        </w:rPr>
        <w:fldChar w:fldCharType="end"/>
      </w:r>
      <w:r w:rsidRPr="00887730">
        <w:rPr>
          <w:lang w:val="en-US"/>
        </w:rPr>
        <w:t>. Therefore, besides service coupling, there is as well a need for sector coupling</w:t>
      </w:r>
      <w:r>
        <w:rPr>
          <w:lang w:val="en-US"/>
        </w:rPr>
        <w:t xml:space="preserve"> to maximize energy efficiency. </w:t>
      </w:r>
      <w:r w:rsidR="00437DB4">
        <w:t xml:space="preserve">The aim of this paper is to </w:t>
      </w:r>
      <w:proofErr w:type="spellStart"/>
      <w:r w:rsidR="00437DB4">
        <w:t>analy</w:t>
      </w:r>
      <w:r w:rsidR="002B44DC">
        <w:t>z</w:t>
      </w:r>
      <w:r w:rsidR="00437DB4">
        <w:t>e</w:t>
      </w:r>
      <w:proofErr w:type="spellEnd"/>
      <w:r w:rsidR="00437DB4">
        <w:t xml:space="preserve"> </w:t>
      </w:r>
      <w:r w:rsidR="007365CD">
        <w:t>energy carriers</w:t>
      </w:r>
      <w:r w:rsidR="00091B2D">
        <w:t xml:space="preserve"> and sectorial</w:t>
      </w:r>
      <w:r w:rsidR="00437DB4">
        <w:t xml:space="preserve"> coupling</w:t>
      </w:r>
      <w:r w:rsidR="00091B2D">
        <w:t>s</w:t>
      </w:r>
      <w:r w:rsidR="00437DB4">
        <w:t xml:space="preserve"> </w:t>
      </w:r>
      <w:r w:rsidR="00537BEB">
        <w:t>within</w:t>
      </w:r>
      <w:r w:rsidR="00437DB4">
        <w:t xml:space="preserve"> a</w:t>
      </w:r>
      <w:r w:rsidR="00091B2D">
        <w:t>n energy community composed of a</w:t>
      </w:r>
      <w:r w:rsidR="00437DB4">
        <w:t xml:space="preserve"> residential </w:t>
      </w:r>
      <w:r w:rsidR="00091B2D">
        <w:t>area and an industry site. A marginal cost analysis is conducted to understand the dynamics of the system.</w:t>
      </w:r>
    </w:p>
    <w:p w14:paraId="144DE699" w14:textId="53C7D0B8" w:rsidR="008D2649" w:rsidRDefault="00C82318" w:rsidP="008D2649">
      <w:pPr>
        <w:pStyle w:val="Els-1storder-head"/>
      </w:pPr>
      <w:r>
        <w:lastRenderedPageBreak/>
        <w:t>Methodology</w:t>
      </w:r>
    </w:p>
    <w:p w14:paraId="144DE69A" w14:textId="7EE1E618" w:rsidR="008D2649" w:rsidRDefault="00382B8F" w:rsidP="008D2649">
      <w:pPr>
        <w:pStyle w:val="Els-2ndorder-head"/>
      </w:pPr>
      <w:r>
        <w:t>Overview of the problem formulation</w:t>
      </w:r>
    </w:p>
    <w:p w14:paraId="3CA8F9AB" w14:textId="77777777" w:rsidR="00437DB4" w:rsidRDefault="00437DB4" w:rsidP="00382B8F">
      <w:pPr>
        <w:jc w:val="both"/>
        <w:rPr>
          <w:lang w:val="en-US"/>
        </w:rPr>
      </w:pPr>
    </w:p>
    <w:p w14:paraId="05B5B7DD" w14:textId="716AB430" w:rsidR="00130EAD" w:rsidRPr="00130EAD" w:rsidRDefault="00382B8F" w:rsidP="00130EAD">
      <w:pPr>
        <w:jc w:val="both"/>
        <w:rPr>
          <w:lang w:val="en-US"/>
        </w:rPr>
      </w:pPr>
      <w:r>
        <w:rPr>
          <w:lang w:val="en-US"/>
        </w:rPr>
        <w:t xml:space="preserve">The </w:t>
      </w:r>
      <w:r w:rsidR="00130EAD">
        <w:rPr>
          <w:lang w:val="en-US"/>
        </w:rPr>
        <w:t>open-source decision support tool REHO (</w:t>
      </w:r>
      <w:r>
        <w:rPr>
          <w:lang w:val="en-US"/>
        </w:rPr>
        <w:t xml:space="preserve">Renewable Energy Hub Optimizer) is used to model </w:t>
      </w:r>
      <w:r w:rsidR="00130EAD">
        <w:rPr>
          <w:lang w:val="en-US"/>
        </w:rPr>
        <w:t xml:space="preserve">the </w:t>
      </w:r>
      <w:r w:rsidR="001F4CEA">
        <w:rPr>
          <w:lang w:val="en-US"/>
        </w:rPr>
        <w:t>district energy system</w:t>
      </w:r>
      <w:r w:rsidR="00837C11">
        <w:rPr>
          <w:lang w:val="en-US"/>
        </w:rPr>
        <w:t xml:space="preserve"> </w:t>
      </w:r>
      <w:r w:rsidR="00357A36">
        <w:rPr>
          <w:lang w:val="en-US"/>
        </w:rPr>
        <w:fldChar w:fldCharType="begin"/>
      </w:r>
      <w:r w:rsidR="00357A36">
        <w:rPr>
          <w:lang w:val="en-US"/>
        </w:rPr>
        <w:instrText xml:space="preserve"> ADDIN ZOTERO_ITEM CSL_CITATION {"citationID":"p24t3Hcr","properties":{"formattedCitation":"(Lepour et al., 2023)","plainCitation":"(Lepour et al., 2023)","noteIndex":0},"citationItems":[{"id":15188,"uris":["http://zotero.org/users/7516078/items/5L8BKHL3"],"itemData":{"id":15188,"type":"software","genre":"Python, Ampl","title":"Renewable Energy Hub Optimizer (REHO)","title-short":"REHO","URL":"https://github.com/IPESE/REHO","version":"1.0","author":[{"family":"Lepour","given":"Dorsan"},{"family":"Terrier","given":"Cédric"},{"family":"Middelhauve","given":"Luise"}],"issued":{"date-parts":[["2023"]]}}}],"schema":"https://github.com/citation-style-language/schema/raw/master/csl-citation.json"} </w:instrText>
      </w:r>
      <w:r w:rsidR="00357A36">
        <w:rPr>
          <w:lang w:val="en-US"/>
        </w:rPr>
        <w:fldChar w:fldCharType="separate"/>
      </w:r>
      <w:r w:rsidR="00357A36">
        <w:rPr>
          <w:noProof/>
          <w:lang w:val="en-US"/>
        </w:rPr>
        <w:t>(Lepour et al., 2023)</w:t>
      </w:r>
      <w:r w:rsidR="00357A36">
        <w:rPr>
          <w:lang w:val="en-US"/>
        </w:rPr>
        <w:fldChar w:fldCharType="end"/>
      </w:r>
      <w:r w:rsidR="00130EAD">
        <w:rPr>
          <w:lang w:val="en-US"/>
        </w:rPr>
        <w:t>. The latter is defined as a set of building</w:t>
      </w:r>
      <w:r w:rsidR="008264FA">
        <w:rPr>
          <w:lang w:val="en-US"/>
        </w:rPr>
        <w:t>s</w:t>
      </w:r>
      <w:r w:rsidR="00130EAD">
        <w:rPr>
          <w:lang w:val="en-US"/>
        </w:rPr>
        <w:t xml:space="preserve"> connected to the same low-voltage electricity grid</w:t>
      </w:r>
      <w:r w:rsidR="00837C11">
        <w:rPr>
          <w:lang w:val="en-US"/>
        </w:rPr>
        <w:t xml:space="preserve"> and the same </w:t>
      </w:r>
      <w:r w:rsidR="008264FA">
        <w:rPr>
          <w:lang w:val="en-US"/>
        </w:rPr>
        <w:t>district heating network (</w:t>
      </w:r>
      <w:r w:rsidR="00837C11">
        <w:rPr>
          <w:lang w:val="en-US"/>
        </w:rPr>
        <w:t>DHN</w:t>
      </w:r>
      <w:r w:rsidR="008264FA">
        <w:rPr>
          <w:lang w:val="en-US"/>
        </w:rPr>
        <w:t>)</w:t>
      </w:r>
      <w:r w:rsidR="00130EAD">
        <w:rPr>
          <w:lang w:val="en-US"/>
        </w:rPr>
        <w:t>. D</w:t>
      </w:r>
      <w:r w:rsidR="00130EAD" w:rsidRPr="00130EAD">
        <w:rPr>
          <w:lang w:val="en-US"/>
        </w:rPr>
        <w:t>emands</w:t>
      </w:r>
      <w:r w:rsidR="00130EAD">
        <w:rPr>
          <w:lang w:val="en-US"/>
        </w:rPr>
        <w:t xml:space="preserve"> for services, such as </w:t>
      </w:r>
      <w:r w:rsidR="00130EAD" w:rsidRPr="00130EAD">
        <w:rPr>
          <w:lang w:val="en-US"/>
        </w:rPr>
        <w:t>space heating</w:t>
      </w:r>
      <w:r w:rsidR="00835F87">
        <w:rPr>
          <w:lang w:val="en-US"/>
        </w:rPr>
        <w:t xml:space="preserve"> and domestic electricity</w:t>
      </w:r>
      <w:r w:rsidR="00130EAD">
        <w:rPr>
          <w:lang w:val="en-US"/>
        </w:rPr>
        <w:t>, are evaluated</w:t>
      </w:r>
      <w:r w:rsidR="00130EAD" w:rsidRPr="00130EAD">
        <w:rPr>
          <w:lang w:val="en-US"/>
        </w:rPr>
        <w:t xml:space="preserve"> </w:t>
      </w:r>
      <w:r w:rsidR="00130EAD">
        <w:rPr>
          <w:lang w:val="en-US"/>
        </w:rPr>
        <w:t>for</w:t>
      </w:r>
      <w:r w:rsidR="00130EAD" w:rsidRPr="00130EAD">
        <w:rPr>
          <w:lang w:val="en-US"/>
        </w:rPr>
        <w:t xml:space="preserve"> each building</w:t>
      </w:r>
      <w:r w:rsidR="00130EAD">
        <w:rPr>
          <w:lang w:val="en-US"/>
        </w:rPr>
        <w:t xml:space="preserve"> and are supplied </w:t>
      </w:r>
      <w:r w:rsidR="00130EAD" w:rsidRPr="00130EAD">
        <w:rPr>
          <w:lang w:val="en-US"/>
        </w:rPr>
        <w:t xml:space="preserve">by </w:t>
      </w:r>
      <w:r w:rsidR="00130EAD">
        <w:rPr>
          <w:lang w:val="en-US"/>
        </w:rPr>
        <w:t xml:space="preserve">energy </w:t>
      </w:r>
      <w:r w:rsidR="00130EAD" w:rsidRPr="00130EAD">
        <w:rPr>
          <w:lang w:val="en-US"/>
        </w:rPr>
        <w:t xml:space="preserve">conversion units and </w:t>
      </w:r>
      <w:r w:rsidR="00130EAD">
        <w:rPr>
          <w:lang w:val="en-US"/>
        </w:rPr>
        <w:t xml:space="preserve">energy carriers purchased </w:t>
      </w:r>
      <w:r w:rsidR="00837C11">
        <w:rPr>
          <w:lang w:val="en-US"/>
        </w:rPr>
        <w:t>from</w:t>
      </w:r>
      <w:r w:rsidR="00130EAD">
        <w:rPr>
          <w:lang w:val="en-US"/>
        </w:rPr>
        <w:t xml:space="preserve"> the utility grid</w:t>
      </w:r>
      <w:r w:rsidR="00835F87">
        <w:rPr>
          <w:lang w:val="en-US"/>
        </w:rPr>
        <w:t>s</w:t>
      </w:r>
      <w:r w:rsidR="00130EAD">
        <w:rPr>
          <w:lang w:val="en-US"/>
        </w:rPr>
        <w:t xml:space="preserve"> (electricity, gas, heat)</w:t>
      </w:r>
      <w:r w:rsidR="00130EAD" w:rsidRPr="00130EAD">
        <w:rPr>
          <w:lang w:val="en-US"/>
        </w:rPr>
        <w:t xml:space="preserve">.  </w:t>
      </w:r>
      <w:r w:rsidR="00837C11">
        <w:rPr>
          <w:lang w:val="en-US"/>
        </w:rPr>
        <w:t>The investment into energy units and their operation is optimized with a</w:t>
      </w:r>
      <w:r w:rsidR="00130EAD" w:rsidRPr="00130EAD">
        <w:rPr>
          <w:lang w:val="en-US"/>
        </w:rPr>
        <w:t xml:space="preserve"> mixed integer linear programming formulation</w:t>
      </w:r>
      <w:r w:rsidR="00837C11">
        <w:rPr>
          <w:lang w:val="en-US"/>
        </w:rPr>
        <w:t xml:space="preserve">. At the building scale, the choice of conversion units </w:t>
      </w:r>
      <w:r w:rsidR="00837C11" w:rsidRPr="00130EAD">
        <w:rPr>
          <w:lang w:val="en-US"/>
        </w:rPr>
        <w:t>includes</w:t>
      </w:r>
      <w:r w:rsidR="00130EAD" w:rsidRPr="00130EAD">
        <w:rPr>
          <w:lang w:val="en-US"/>
        </w:rPr>
        <w:t xml:space="preserve"> air-water heat pumps, gas boilers, electrical</w:t>
      </w:r>
      <w:r w:rsidR="008264FA">
        <w:rPr>
          <w:lang w:val="en-US"/>
        </w:rPr>
        <w:t xml:space="preserve"> heaters</w:t>
      </w:r>
      <w:r w:rsidR="00837C11">
        <w:rPr>
          <w:lang w:val="en-US"/>
        </w:rPr>
        <w:t xml:space="preserve">, </w:t>
      </w:r>
      <w:r w:rsidR="00130EAD" w:rsidRPr="00130EAD">
        <w:rPr>
          <w:lang w:val="en-US"/>
        </w:rPr>
        <w:t>thermal tanks</w:t>
      </w:r>
      <w:r w:rsidR="00837C11">
        <w:rPr>
          <w:lang w:val="en-US"/>
        </w:rPr>
        <w:t xml:space="preserve">, </w:t>
      </w:r>
      <w:r w:rsidR="00837C11" w:rsidRPr="00130EAD">
        <w:rPr>
          <w:lang w:val="en-US"/>
        </w:rPr>
        <w:t>lithium-ion</w:t>
      </w:r>
      <w:r w:rsidR="00130EAD" w:rsidRPr="00130EAD">
        <w:rPr>
          <w:lang w:val="en-US"/>
        </w:rPr>
        <w:t xml:space="preserve"> batteries</w:t>
      </w:r>
      <w:r w:rsidR="00837C11">
        <w:rPr>
          <w:lang w:val="en-US"/>
        </w:rPr>
        <w:t xml:space="preserve"> and</w:t>
      </w:r>
      <w:r w:rsidR="00130EAD" w:rsidRPr="00130EAD">
        <w:rPr>
          <w:lang w:val="en-US"/>
        </w:rPr>
        <w:t xml:space="preserve"> PV panels</w:t>
      </w:r>
      <w:r w:rsidR="00837C11">
        <w:rPr>
          <w:lang w:val="en-US"/>
        </w:rPr>
        <w:t xml:space="preserve">. When a building is connected to </w:t>
      </w:r>
      <w:r w:rsidR="008264FA">
        <w:rPr>
          <w:lang w:val="en-US"/>
        </w:rPr>
        <w:t xml:space="preserve">the </w:t>
      </w:r>
      <w:r w:rsidR="00837C11">
        <w:rPr>
          <w:lang w:val="en-US"/>
        </w:rPr>
        <w:t>DHN, the model considers the installation</w:t>
      </w:r>
      <w:r w:rsidR="00FD7D1E">
        <w:rPr>
          <w:lang w:val="en-US"/>
        </w:rPr>
        <w:t xml:space="preserve"> cost</w:t>
      </w:r>
      <w:r w:rsidR="00837C11">
        <w:rPr>
          <w:lang w:val="en-US"/>
        </w:rPr>
        <w:t xml:space="preserve"> of underground pipes</w:t>
      </w:r>
      <w:r w:rsidR="00FD7D1E">
        <w:rPr>
          <w:lang w:val="en-US"/>
        </w:rPr>
        <w:t xml:space="preserve"> and</w:t>
      </w:r>
      <w:r w:rsidR="00837C11">
        <w:rPr>
          <w:lang w:val="en-US"/>
        </w:rPr>
        <w:t xml:space="preserve"> heat exchangers</w:t>
      </w:r>
      <w:r w:rsidR="00FD7D1E">
        <w:rPr>
          <w:lang w:val="en-US"/>
        </w:rPr>
        <w:t xml:space="preserve">. At the district scales, the energy units include a battery and a centralized </w:t>
      </w:r>
      <w:r w:rsidR="00837C11">
        <w:rPr>
          <w:lang w:val="en-US"/>
        </w:rPr>
        <w:t>heat pump</w:t>
      </w:r>
      <w:r w:rsidR="00FD7D1E">
        <w:rPr>
          <w:lang w:val="en-US"/>
        </w:rPr>
        <w:t xml:space="preserve"> connected to the DHN.</w:t>
      </w:r>
    </w:p>
    <w:p w14:paraId="5EC91B2B" w14:textId="77777777" w:rsidR="00130EAD" w:rsidRPr="00130EAD" w:rsidRDefault="00130EAD" w:rsidP="00130EAD">
      <w:pPr>
        <w:jc w:val="both"/>
        <w:rPr>
          <w:b/>
          <w:bCs/>
          <w:lang w:val="en-US"/>
        </w:rPr>
      </w:pPr>
    </w:p>
    <w:p w14:paraId="3DCF3135" w14:textId="7E1A4194" w:rsidR="00FD7D1E" w:rsidRDefault="00837C11" w:rsidP="00FD7D1E">
      <w:pPr>
        <w:jc w:val="both"/>
        <w:rPr>
          <w:lang w:val="en-US"/>
        </w:rPr>
      </w:pPr>
      <w:r>
        <w:rPr>
          <w:lang w:val="en-US"/>
        </w:rPr>
        <w:t>The energy system is constrained by e</w:t>
      </w:r>
      <w:r w:rsidR="00130EAD" w:rsidRPr="00130EAD">
        <w:rPr>
          <w:lang w:val="en-US"/>
        </w:rPr>
        <w:t xml:space="preserve">nergy and mass balances </w:t>
      </w:r>
      <w:r>
        <w:rPr>
          <w:lang w:val="en-US"/>
        </w:rPr>
        <w:t>and</w:t>
      </w:r>
      <w:r w:rsidR="00130EAD" w:rsidRPr="00130EAD">
        <w:rPr>
          <w:lang w:val="en-US"/>
        </w:rPr>
        <w:t xml:space="preserve"> heat cascade. </w:t>
      </w:r>
      <w:r>
        <w:rPr>
          <w:lang w:val="en-US"/>
        </w:rPr>
        <w:t xml:space="preserve">Equation 1 represents the energy equilibrium </w:t>
      </w:r>
      <w:r w:rsidRPr="00130EAD">
        <w:rPr>
          <w:lang w:val="en-US"/>
        </w:rPr>
        <w:t xml:space="preserve">between imports and exports </w:t>
      </w:r>
      <w:r>
        <w:rPr>
          <w:lang w:val="en-US"/>
        </w:rPr>
        <w:t xml:space="preserve">at the building level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E</m:t>
                </m:r>
              </m:e>
            </m:acc>
          </m:e>
          <m:sub>
            <m:r>
              <w:rPr>
                <w:rFonts w:ascii="Cambria Math" w:hAnsi="Cambria Math"/>
                <w:lang w:val="en-US"/>
              </w:rPr>
              <m:t>b,l,p,t</m:t>
            </m:r>
          </m:sub>
          <m:sup>
            <m:r>
              <w:rPr>
                <w:rFonts w:ascii="Cambria Math" w:hAnsi="Cambria Math"/>
                <w:lang w:val="en-US"/>
              </w:rPr>
              <m:t>gr</m:t>
            </m:r>
          </m:sup>
        </m:sSubSup>
      </m:oMath>
      <w:r w:rsidRPr="00130EAD">
        <w:rPr>
          <w:lang w:val="en-US"/>
        </w:rPr>
        <w:t xml:space="preserve"> and </w:t>
      </w:r>
      <w:r>
        <w:rPr>
          <w:lang w:val="en-US"/>
        </w:rPr>
        <w:t>energy e</w:t>
      </w:r>
      <w:r w:rsidRPr="00130EAD">
        <w:rPr>
          <w:lang w:val="en-US"/>
        </w:rPr>
        <w:t>xchanges</w:t>
      </w:r>
      <w:r>
        <w:rPr>
          <w:lang w:val="en-US"/>
        </w:rPr>
        <w:t xml:space="preserve"> with the </w:t>
      </w:r>
      <w:r w:rsidR="00BE6CA3">
        <w:rPr>
          <w:lang w:val="en-US"/>
        </w:rPr>
        <w:t>grids</w:t>
      </w:r>
      <w:r>
        <w:rPr>
          <w:lang w:val="en-US"/>
        </w:rPr>
        <w:t xml:space="preserve">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E</m:t>
                </m:r>
              </m:e>
            </m:acc>
          </m:e>
          <m:sub>
            <m:r>
              <w:rPr>
                <w:rFonts w:ascii="Cambria Math" w:hAnsi="Cambria Math"/>
                <w:lang w:val="en-US"/>
              </w:rPr>
              <m:t>l,p,t</m:t>
            </m:r>
          </m:sub>
          <m:sup>
            <m:r>
              <w:rPr>
                <w:rFonts w:ascii="Cambria Math" w:hAnsi="Cambria Math"/>
                <w:lang w:val="en-US"/>
              </w:rPr>
              <m:t>tr</m:t>
            </m:r>
          </m:sup>
        </m:sSubSup>
      </m:oMath>
      <w:r>
        <w:rPr>
          <w:lang w:val="en-US"/>
        </w:rPr>
        <w:t xml:space="preserve">. </w:t>
      </w:r>
      <w:r w:rsidR="00130EAD" w:rsidRPr="00130EAD">
        <w:rPr>
          <w:lang w:val="en-US"/>
        </w:rPr>
        <w:t xml:space="preserve">A positive symbol represents an import of energy and a negative one an export. </w:t>
      </w:r>
      <w:r w:rsidR="00A71C8C">
        <w:rPr>
          <w:lang w:val="en-US"/>
        </w:rPr>
        <w:t xml:space="preserve">In addition, capacity constraints are applied to consider the maximal connection power with the </w:t>
      </w:r>
      <w:r w:rsidR="003E3E3C">
        <w:rPr>
          <w:lang w:val="en-US"/>
        </w:rPr>
        <w:t>grid</w:t>
      </w:r>
      <w:r w:rsidR="00A71C8C">
        <w:rPr>
          <w:lang w:val="en-US"/>
        </w:rPr>
        <w:t xml:space="preserve"> (Eq</w:t>
      </w:r>
      <w:r w:rsidR="00BE6CA3">
        <w:rPr>
          <w:lang w:val="en-US"/>
        </w:rPr>
        <w:t>.</w:t>
      </w:r>
      <w:r w:rsidR="00A71C8C">
        <w:rPr>
          <w:lang w:val="en-US"/>
        </w:rPr>
        <w:t xml:space="preserve"> 2). Within the low-voltage grid, buildings are allowed to exchange energy carriers to maximize the self-consumption of renewable energy and respect the capacity constraints</w:t>
      </w:r>
      <w:r w:rsidR="002B44DC">
        <w:rPr>
          <w:lang w:val="en-US"/>
        </w:rPr>
        <w:t>.</w:t>
      </w:r>
    </w:p>
    <w:p w14:paraId="509F8C41" w14:textId="77777777" w:rsidR="00FD7D1E" w:rsidRPr="009A405F" w:rsidRDefault="00FD7D1E" w:rsidP="00FD7D1E">
      <w:pPr>
        <w:jc w:val="both"/>
        <w:rPr>
          <w:lang w:val="en-US"/>
        </w:rPr>
      </w:pPr>
    </w:p>
    <w:tbl>
      <w:tblPr>
        <w:tblW w:w="7087" w:type="dxa"/>
        <w:tblLook w:val="04A0" w:firstRow="1" w:lastRow="0" w:firstColumn="1" w:lastColumn="0" w:noHBand="0" w:noVBand="1"/>
      </w:tblPr>
      <w:tblGrid>
        <w:gridCol w:w="6122"/>
        <w:gridCol w:w="965"/>
      </w:tblGrid>
      <w:tr w:rsidR="00FD7D1E" w:rsidRPr="00A94774" w14:paraId="0ACC7409" w14:textId="77777777" w:rsidTr="00B24EF1">
        <w:tc>
          <w:tcPr>
            <w:tcW w:w="6122" w:type="dxa"/>
            <w:shd w:val="clear" w:color="auto" w:fill="auto"/>
            <w:vAlign w:val="center"/>
          </w:tcPr>
          <w:p w14:paraId="13D476D4" w14:textId="06FDCF98" w:rsidR="00FD7D1E" w:rsidRPr="00BE6CA3" w:rsidRDefault="00000000" w:rsidP="00B24EF1">
            <w:pPr>
              <w:pStyle w:val="Els-body-text"/>
              <w:spacing w:before="120" w:after="120" w:line="264" w:lineRule="auto"/>
              <w:rPr>
                <w:lang w:val="en-GB"/>
              </w:rPr>
            </w:pPr>
            <m:oMathPara>
              <m:oMathParaPr>
                <m:jc m:val="left"/>
              </m:oMathParaPr>
              <m:oMath>
                <m:nary>
                  <m:naryPr>
                    <m:chr m:val="∑"/>
                    <m:limLoc m:val="undOvr"/>
                    <m:supHide m:val="1"/>
                    <m:ctrlPr>
                      <w:rPr>
                        <w:rFonts w:ascii="Cambria Math" w:hAnsi="Cambria Math"/>
                        <w:i/>
                        <w:lang w:val="en-GB"/>
                      </w:rPr>
                    </m:ctrlPr>
                  </m:naryPr>
                  <m:sub>
                    <m:r>
                      <w:rPr>
                        <w:rFonts w:ascii="Cambria Math" w:hAnsi="Cambria Math"/>
                        <w:lang w:val="en-GB"/>
                      </w:rPr>
                      <m:t>b∈B</m:t>
                    </m:r>
                  </m:sub>
                  <m:sup/>
                  <m:e>
                    <m:sSubSup>
                      <m:sSubSupPr>
                        <m:ctrlPr>
                          <w:rPr>
                            <w:rFonts w:ascii="Cambria Math" w:hAnsi="Cambria Math"/>
                            <w:i/>
                            <w:lang w:val="en-GB"/>
                          </w:rPr>
                        </m:ctrlPr>
                      </m:sSubSupPr>
                      <m:e>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E</m:t>
                            </m:r>
                          </m:e>
                        </m:acc>
                      </m:e>
                      <m:sub>
                        <m:r>
                          <w:rPr>
                            <w:rFonts w:ascii="Cambria Math" w:hAnsi="Cambria Math"/>
                            <w:lang w:val="en-GB"/>
                          </w:rPr>
                          <m:t>b,l,p,t</m:t>
                        </m:r>
                      </m:sub>
                      <m:sup>
                        <m:r>
                          <w:rPr>
                            <w:rFonts w:ascii="Cambria Math" w:hAnsi="Cambria Math"/>
                            <w:lang w:val="en-GB"/>
                          </w:rPr>
                          <m:t>gr+</m:t>
                        </m:r>
                      </m:sup>
                    </m:sSubSup>
                    <m:r>
                      <w:rPr>
                        <w:rFonts w:ascii="Cambria Math" w:hAnsi="Cambria Math"/>
                        <w:lang w:val="en-GB"/>
                      </w:rPr>
                      <m:t>-</m:t>
                    </m:r>
                    <m:sSubSup>
                      <m:sSubSupPr>
                        <m:ctrlPr>
                          <w:rPr>
                            <w:rFonts w:ascii="Cambria Math" w:hAnsi="Cambria Math"/>
                            <w:i/>
                            <w:lang w:val="en-GB"/>
                          </w:rPr>
                        </m:ctrlPr>
                      </m:sSubSupPr>
                      <m:e>
                        <m:acc>
                          <m:accPr>
                            <m:chr m:val="̇"/>
                            <m:ctrlPr>
                              <w:rPr>
                                <w:rFonts w:ascii="Cambria Math" w:hAnsi="Cambria Math"/>
                                <w:i/>
                                <w:lang w:val="en-GB"/>
                              </w:rPr>
                            </m:ctrlPr>
                          </m:accPr>
                          <m:e>
                            <m:r>
                              <w:rPr>
                                <w:rFonts w:ascii="Cambria Math" w:hAnsi="Cambria Math"/>
                                <w:lang w:val="en-GB"/>
                              </w:rPr>
                              <m:t>E</m:t>
                            </m:r>
                          </m:e>
                        </m:acc>
                      </m:e>
                      <m:sub>
                        <m:r>
                          <w:rPr>
                            <w:rFonts w:ascii="Cambria Math" w:hAnsi="Cambria Math"/>
                            <w:lang w:val="en-GB"/>
                          </w:rPr>
                          <m:t>b,l,p,t</m:t>
                        </m:r>
                      </m:sub>
                      <m:sup>
                        <m:r>
                          <w:rPr>
                            <w:rFonts w:ascii="Cambria Math" w:hAnsi="Cambria Math"/>
                            <w:lang w:val="en-GB"/>
                          </w:rPr>
                          <m:t>gr-</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p</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t</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l,p,t</m:t>
                        </m:r>
                      </m:sub>
                      <m:sup>
                        <m:r>
                          <w:rPr>
                            <w:rFonts w:ascii="Cambria Math" w:hAnsi="Cambria Math"/>
                            <w:lang w:val="en-GB"/>
                          </w:rPr>
                          <m:t>tr+</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l,p,t</m:t>
                        </m:r>
                      </m:sub>
                      <m:sup>
                        <m:r>
                          <w:rPr>
                            <w:rFonts w:ascii="Cambria Math" w:hAnsi="Cambria Math"/>
                            <w:lang w:val="en-GB"/>
                          </w:rPr>
                          <m:t>tr-</m:t>
                        </m:r>
                      </m:sup>
                    </m:sSubSup>
                    <m:r>
                      <w:rPr>
                        <w:rFonts w:ascii="Cambria Math" w:hAnsi="Cambria Math"/>
                        <w:lang w:val="en-GB"/>
                      </w:rPr>
                      <m:t xml:space="preserve">)   ∀l∈L, ∀p∈P, ∀t∈T </m:t>
                    </m:r>
                  </m:e>
                </m:nary>
              </m:oMath>
            </m:oMathPara>
          </w:p>
        </w:tc>
        <w:tc>
          <w:tcPr>
            <w:tcW w:w="965" w:type="dxa"/>
            <w:shd w:val="clear" w:color="auto" w:fill="auto"/>
            <w:vAlign w:val="center"/>
          </w:tcPr>
          <w:p w14:paraId="58DF54FE" w14:textId="77777777" w:rsidR="00FD7D1E" w:rsidRPr="00A94774" w:rsidRDefault="00FD7D1E" w:rsidP="00B24EF1">
            <w:pPr>
              <w:pStyle w:val="Els-body-text"/>
              <w:spacing w:before="120" w:after="120" w:line="264" w:lineRule="auto"/>
              <w:jc w:val="right"/>
              <w:rPr>
                <w:lang w:val="en-GB"/>
              </w:rPr>
            </w:pPr>
            <w:r w:rsidRPr="00A94774">
              <w:rPr>
                <w:lang w:val="en-GB"/>
              </w:rPr>
              <w:t>(1)</w:t>
            </w:r>
          </w:p>
        </w:tc>
      </w:tr>
      <w:tr w:rsidR="00FD7D1E" w:rsidRPr="00A94774" w14:paraId="6993C6E7" w14:textId="77777777" w:rsidTr="00B24EF1">
        <w:tc>
          <w:tcPr>
            <w:tcW w:w="6122" w:type="dxa"/>
            <w:shd w:val="clear" w:color="auto" w:fill="auto"/>
            <w:vAlign w:val="center"/>
          </w:tcPr>
          <w:p w14:paraId="48A34CA8" w14:textId="538AC66E" w:rsidR="00FD7D1E" w:rsidRPr="00BE6CA3" w:rsidRDefault="00000000" w:rsidP="00B24EF1">
            <w:pPr>
              <w:pStyle w:val="Els-body-text"/>
              <w:spacing w:before="120" w:after="120" w:line="264" w:lineRule="auto"/>
              <w:rPr>
                <w:lang w:val="en-GB"/>
              </w:rPr>
            </w:pPr>
            <m:oMathPara>
              <m:oMathParaPr>
                <m:jc m:val="left"/>
              </m:oMathParaPr>
              <m:oMath>
                <m:sSubSup>
                  <m:sSubSupPr>
                    <m:ctrlPr>
                      <w:rPr>
                        <w:rFonts w:ascii="Cambria Math" w:hAnsi="Cambria Math"/>
                        <w:i/>
                        <w:lang w:val="en-GB"/>
                      </w:rPr>
                    </m:ctrlPr>
                  </m:sSubSupPr>
                  <m:e>
                    <m:acc>
                      <m:accPr>
                        <m:chr m:val="̇"/>
                        <m:ctrlPr>
                          <w:rPr>
                            <w:rFonts w:ascii="Cambria Math" w:hAnsi="Cambria Math"/>
                            <w:i/>
                            <w:lang w:val="en-GB"/>
                          </w:rPr>
                        </m:ctrlPr>
                      </m:accPr>
                      <m:e>
                        <m:r>
                          <w:rPr>
                            <w:rFonts w:ascii="Cambria Math" w:hAnsi="Cambria Math"/>
                            <w:lang w:val="en-GB"/>
                          </w:rPr>
                          <m:t>E</m:t>
                        </m:r>
                      </m:e>
                    </m:acc>
                  </m:e>
                  <m:sub>
                    <m:r>
                      <w:rPr>
                        <w:rFonts w:ascii="Cambria Math" w:hAnsi="Cambria Math"/>
                        <w:lang w:val="en-GB"/>
                      </w:rPr>
                      <m:t>l,p,t</m:t>
                    </m:r>
                  </m:sub>
                  <m:sup>
                    <m:r>
                      <w:rPr>
                        <w:rFonts w:ascii="Cambria Math" w:hAnsi="Cambria Math"/>
                        <w:lang w:val="en-GB"/>
                      </w:rPr>
                      <m:t>tr±</m:t>
                    </m:r>
                  </m:sup>
                </m:sSubSup>
                <m:r>
                  <w:rPr>
                    <w:rFonts w:ascii="Cambria Math" w:hAnsi="Cambria Math"/>
                    <w:lang w:val="en-GB"/>
                  </w:rPr>
                  <m:t>≤</m:t>
                </m:r>
                <m:sSubSup>
                  <m:sSubSupPr>
                    <m:ctrlPr>
                      <w:rPr>
                        <w:rFonts w:ascii="Cambria Math" w:hAnsi="Cambria Math"/>
                        <w:i/>
                        <w:lang w:val="en-GB"/>
                      </w:rPr>
                    </m:ctrlPr>
                  </m:sSubSupPr>
                  <m:e>
                    <m:acc>
                      <m:accPr>
                        <m:chr m:val="̇"/>
                        <m:ctrlPr>
                          <w:rPr>
                            <w:rFonts w:ascii="Cambria Math" w:hAnsi="Cambria Math"/>
                            <w:i/>
                            <w:lang w:val="en-GB"/>
                          </w:rPr>
                        </m:ctrlPr>
                      </m:accPr>
                      <m:e>
                        <m:r>
                          <w:rPr>
                            <w:rFonts w:ascii="Cambria Math" w:hAnsi="Cambria Math"/>
                            <w:lang w:val="en-GB"/>
                          </w:rPr>
                          <m:t>E</m:t>
                        </m:r>
                      </m:e>
                    </m:acc>
                  </m:e>
                  <m:sub>
                    <m:r>
                      <w:rPr>
                        <w:rFonts w:ascii="Cambria Math" w:hAnsi="Cambria Math"/>
                        <w:lang w:val="en-GB"/>
                      </w:rPr>
                      <m:t>l,p,t</m:t>
                    </m:r>
                  </m:sub>
                  <m:sup>
                    <m:r>
                      <w:rPr>
                        <w:rFonts w:ascii="Cambria Math" w:hAnsi="Cambria Math"/>
                        <w:lang w:val="en-GB"/>
                      </w:rPr>
                      <m:t>tr max</m:t>
                    </m:r>
                  </m:sup>
                </m:sSubSup>
                <m:r>
                  <w:rPr>
                    <w:rFonts w:ascii="Cambria Math" w:hAnsi="Cambria Math"/>
                    <w:lang w:val="en-GB"/>
                  </w:rPr>
                  <m:t xml:space="preserve">                                                             ∀l∈L, ∀p∈P, ∀t∈T</m:t>
                </m:r>
              </m:oMath>
            </m:oMathPara>
          </w:p>
        </w:tc>
        <w:tc>
          <w:tcPr>
            <w:tcW w:w="965" w:type="dxa"/>
            <w:shd w:val="clear" w:color="auto" w:fill="auto"/>
            <w:vAlign w:val="center"/>
          </w:tcPr>
          <w:p w14:paraId="3BC0AC03" w14:textId="5524BACD" w:rsidR="00FD7D1E" w:rsidRPr="00A94774" w:rsidRDefault="00FD7D1E" w:rsidP="00B24EF1">
            <w:pPr>
              <w:pStyle w:val="Els-body-text"/>
              <w:spacing w:before="120" w:after="120" w:line="264" w:lineRule="auto"/>
              <w:jc w:val="right"/>
              <w:rPr>
                <w:lang w:val="en-GB"/>
              </w:rPr>
            </w:pPr>
            <w:r w:rsidRPr="00A94774">
              <w:rPr>
                <w:lang w:val="en-GB"/>
              </w:rPr>
              <w:t>(</w:t>
            </w:r>
            <w:r w:rsidR="00A24CDB">
              <w:rPr>
                <w:lang w:val="en-GB"/>
              </w:rPr>
              <w:t>2</w:t>
            </w:r>
            <w:r w:rsidRPr="00A94774">
              <w:rPr>
                <w:lang w:val="en-GB"/>
              </w:rPr>
              <w:t>)</w:t>
            </w:r>
          </w:p>
        </w:tc>
      </w:tr>
    </w:tbl>
    <w:p w14:paraId="79EB40EB" w14:textId="77777777" w:rsidR="008264FA" w:rsidRDefault="008264FA" w:rsidP="00447942">
      <w:pPr>
        <w:jc w:val="both"/>
        <w:rPr>
          <w:lang w:val="en-US"/>
        </w:rPr>
      </w:pPr>
    </w:p>
    <w:p w14:paraId="08EB9954" w14:textId="0E861C5F" w:rsidR="003E3E3C" w:rsidRDefault="00BE42FE" w:rsidP="00447942">
      <w:pPr>
        <w:jc w:val="both"/>
        <w:rPr>
          <w:lang w:val="en-US"/>
        </w:rPr>
      </w:pPr>
      <w:r>
        <w:rPr>
          <w:lang w:val="en-US"/>
        </w:rPr>
        <w:t>T</w:t>
      </w:r>
      <w:r w:rsidR="00447942">
        <w:rPr>
          <w:lang w:val="en-US"/>
        </w:rPr>
        <w:t>he objective function</w:t>
      </w:r>
      <w:r>
        <w:rPr>
          <w:lang w:val="en-US"/>
        </w:rPr>
        <w:t xml:space="preserve"> is</w:t>
      </w:r>
      <w:r w:rsidR="00447942">
        <w:rPr>
          <w:lang w:val="en-US"/>
        </w:rPr>
        <w:t xml:space="preserve"> the total costs (TOTEX)</w:t>
      </w:r>
      <w:r>
        <w:rPr>
          <w:lang w:val="en-US"/>
        </w:rPr>
        <w:t>, being the sum of the operating (OPEX) c</w:t>
      </w:r>
      <w:r w:rsidR="00447942">
        <w:rPr>
          <w:lang w:val="en-US"/>
        </w:rPr>
        <w:t>apital costs (CAPEX)</w:t>
      </w:r>
      <w:r>
        <w:rPr>
          <w:lang w:val="en-US"/>
        </w:rPr>
        <w:t>. The OPEX corresponds to the purchase and s</w:t>
      </w:r>
      <w:r w:rsidR="002B44DC">
        <w:rPr>
          <w:lang w:val="en-US"/>
        </w:rPr>
        <w:t>ale</w:t>
      </w:r>
      <w:r>
        <w:rPr>
          <w:lang w:val="en-US"/>
        </w:rPr>
        <w:t xml:space="preserve"> of energy carriers</w:t>
      </w:r>
      <w:r w:rsidR="00BE6CA3">
        <w:rPr>
          <w:lang w:val="en-US"/>
        </w:rPr>
        <w:t xml:space="preserve"> on the energy layers </w:t>
      </w:r>
      <m:oMath>
        <m:r>
          <w:rPr>
            <w:rFonts w:ascii="Cambria Math" w:hAnsi="Cambria Math"/>
            <w:lang w:val="en-US"/>
          </w:rPr>
          <m:t>L</m:t>
        </m:r>
      </m:oMath>
      <w:r w:rsidR="00BE6CA3">
        <w:rPr>
          <w:lang w:val="en-US"/>
        </w:rPr>
        <w:t xml:space="preserve"> </w:t>
      </w:r>
      <w:r>
        <w:rPr>
          <w:lang w:val="en-US"/>
        </w:rPr>
        <w:t>(Eq</w:t>
      </w:r>
      <w:r w:rsidR="00BE6CA3">
        <w:rPr>
          <w:lang w:val="en-US"/>
        </w:rPr>
        <w:t>.</w:t>
      </w:r>
      <w:r>
        <w:rPr>
          <w:lang w:val="en-US"/>
        </w:rPr>
        <w:t xml:space="preserve"> 3). The CAPEX </w:t>
      </w:r>
      <w:r w:rsidR="00447942">
        <w:rPr>
          <w:lang w:val="en-US"/>
        </w:rPr>
        <w:t xml:space="preserve">encompasses fixed and variable investment cost into energy units </w:t>
      </w:r>
      <w:r>
        <w:rPr>
          <w:lang w:val="en-US"/>
        </w:rPr>
        <w:t>(Eq</w:t>
      </w:r>
      <w:r w:rsidR="00BE6CA3">
        <w:rPr>
          <w:lang w:val="en-US"/>
        </w:rPr>
        <w:t>.</w:t>
      </w:r>
      <w:r>
        <w:rPr>
          <w:lang w:val="en-US"/>
        </w:rPr>
        <w:t xml:space="preserve"> 4).</w:t>
      </w:r>
      <w:r w:rsidR="00447942">
        <w:rPr>
          <w:lang w:val="en-US"/>
        </w:rPr>
        <w:t xml:space="preserve"> </w:t>
      </w:r>
      <w:r>
        <w:rPr>
          <w:lang w:val="en-US"/>
        </w:rPr>
        <w:t>R</w:t>
      </w:r>
      <w:r w:rsidR="00447942">
        <w:rPr>
          <w:lang w:val="en-US"/>
        </w:rPr>
        <w:t>eplacement costs are considered when a unit has to be replaced over the project horizon</w:t>
      </w:r>
      <w:r w:rsidR="00833CF8">
        <w:rPr>
          <w:lang w:val="en-US"/>
        </w:rPr>
        <w:t xml:space="preserve"> </w:t>
      </w:r>
      <m:oMath>
        <m:r>
          <w:rPr>
            <w:rFonts w:ascii="Cambria Math" w:hAnsi="Cambria Math"/>
            <w:lang w:val="en-US"/>
          </w:rPr>
          <m:t>n</m:t>
        </m:r>
      </m:oMath>
      <w:r w:rsidR="00447942">
        <w:rPr>
          <w:lang w:val="en-US"/>
        </w:rPr>
        <w:t xml:space="preserve">. </w:t>
      </w:r>
      <w:r w:rsidR="00833CF8">
        <w:rPr>
          <w:lang w:val="en-US"/>
        </w:rPr>
        <w:t xml:space="preserve">The investment is annualized with an interest rate </w:t>
      </w:r>
      <m:oMath>
        <m:r>
          <w:rPr>
            <w:rFonts w:ascii="Cambria Math" w:hAnsi="Cambria Math"/>
            <w:lang w:val="en-US"/>
          </w:rPr>
          <m:t>i</m:t>
        </m:r>
      </m:oMath>
      <w:r w:rsidR="00833CF8">
        <w:rPr>
          <w:lang w:val="en-US"/>
        </w:rPr>
        <w:t>.</w:t>
      </w:r>
      <w:r>
        <w:rPr>
          <w:lang w:val="en-US"/>
        </w:rPr>
        <w:t xml:space="preserve"> </w:t>
      </w:r>
      <w:r w:rsidR="00447942">
        <w:rPr>
          <w:lang w:val="en-US"/>
        </w:rPr>
        <w:t>T</w:t>
      </w:r>
      <w:r w:rsidR="00447942" w:rsidRPr="00130EAD">
        <w:rPr>
          <w:lang w:val="en-US"/>
        </w:rPr>
        <w:t xml:space="preserve">ypical </w:t>
      </w:r>
      <w:r w:rsidR="00BE6CA3">
        <w:rPr>
          <w:lang w:val="en-US"/>
        </w:rPr>
        <w:t>periods (</w:t>
      </w:r>
      <m:oMath>
        <m:r>
          <w:rPr>
            <w:rFonts w:ascii="Cambria Math" w:hAnsi="Cambria Math"/>
            <w:lang w:val="en-US"/>
          </w:rPr>
          <m:t>P</m:t>
        </m:r>
      </m:oMath>
      <w:r w:rsidR="00BE6CA3">
        <w:rPr>
          <w:lang w:val="en-US"/>
        </w:rPr>
        <w:t>)</w:t>
      </w:r>
      <w:r w:rsidR="00447942">
        <w:rPr>
          <w:lang w:val="en-US"/>
        </w:rPr>
        <w:t xml:space="preserve"> are considered to reduce the problem complexity. </w:t>
      </w:r>
      <w:r w:rsidR="00447942" w:rsidRPr="00130EAD">
        <w:rPr>
          <w:lang w:val="en-US"/>
        </w:rPr>
        <w:t xml:space="preserve">More details on the problem formulation are given in the following thesis </w:t>
      </w:r>
      <w:r w:rsidR="00357A36">
        <w:rPr>
          <w:lang w:val="en-US"/>
        </w:rPr>
        <w:fldChar w:fldCharType="begin"/>
      </w:r>
      <w:r w:rsidR="00357A36">
        <w:rPr>
          <w:lang w:val="en-US"/>
        </w:rPr>
        <w:instrText xml:space="preserve"> ADDIN ZOTERO_ITEM CSL_CITATION {"citationID":"CKsgeAlt","properties":{"formattedCitation":"(Middelhauve, Luise, 2022)","plainCitation":"(Middelhauve, Luise, 2022)","noteIndex":0},"citationItems":[{"id":426,"uris":["http://zotero.org/users/7516078/items/4W9KEXFX"],"itemData":{"id":426,"type":"thesis","abstract":"Although inevitable, the process of transforming urban areas into sustainable living environments\npresents many challenges. The decentralization of the energy system, the interconnection of\nmultiple energy carriers, and the need to account for conflicting interests renders it a complex task.\nAs key stakeholders, authorities often lack appropriate decision tools to frame and encourage the\ntransition and to monitor the impact of implemented policies.\nThis work aims to provide useful insights into the role of districts as renewable energy hubs by\nshowing requirements and highlighting constraints, leading to an increase in renewable energy\npenetration. The benefits and trade-offs between centralized and decentralized renewable energy\nhubs are emphasized to contribute to the ongoing discussion regarding sustainable urban planning.\nMathematical programming is used to build a multi-objective optimization platformthat integrates\nseveral renewable technologies with a special focus on solar integration. Specifically, this approach\nincludes the role of the orientation of photovoltaic (PV) panels and the use of facades, including\nmounting partly shadowed PV panels and receiving solar heat gain. A decomposition algorithm\n(Dantzig–Wolfe) is used to bypass the computation effort associated with centralized energy hubs at\nthe district scale.\nThe results highlight that a low-emission electrical gridmix has a high impact on sustainable design\nof renewable energy hubs at the building scale and led to less independent system configurations.\nOptimally integrating of solar systems had a significant impact on their interaction with the electrical\ngrid: rotating the panels 20  westwards reduced the grid exchange peak by 50% while increasing cost\nby only 8.3%. Moreover, the studied district could achieve carbon neutrality based on PV energy\nalone, whereas self-sufficiency is more ambitious that confirmed the importance of storage systems:\neven with 100% round-trip efficiency of storage systems, the required ratio of area covered in PV\nmodules to the energy reference area (ERA) was Apv /AERA   0.44 and 16% of available facades\nwere needed to be covered with PV modules. However, energy demand reduction through thermal\nrenovation would allow self-sufficiency with half of the PV and storage capacity. Overall, this work\ndemonstrates thatmoving froma decentralized to coordinated and centralized design strategy allows\na higher electrification rate and an increased integration of renewable energy in the district for\nthe same total expenses. The centralized investment strategy differed most from the decentralized\nstrategy for PV panels; using the centralized strategy, a wide range of PV installation on less–optimal\nsurfaces became economically interesting. The most economically convenient solution to overcome transformer limitations were district storage for peak shaving and photovoltaic curtailment. The\ncost increase were around 600 CHF per kWyr annual capacity shortage, regardless of the considered\ndistrict energy system.","publisher":"EPFL","title":"On the role of districts as renewable energy hubs","author":[{"literal":"Middelhauve, Luise"}],"issued":{"date-parts":[["2022"]]}}}],"schema":"https://github.com/citation-style-language/schema/raw/master/csl-citation.json"} </w:instrText>
      </w:r>
      <w:r w:rsidR="00357A36">
        <w:rPr>
          <w:lang w:val="en-US"/>
        </w:rPr>
        <w:fldChar w:fldCharType="separate"/>
      </w:r>
      <w:r w:rsidR="00357A36">
        <w:rPr>
          <w:noProof/>
          <w:lang w:val="en-US"/>
        </w:rPr>
        <w:t>(Middelhauve, Luise, 2022)</w:t>
      </w:r>
      <w:r w:rsidR="00357A36">
        <w:rPr>
          <w:lang w:val="en-US"/>
        </w:rPr>
        <w:fldChar w:fldCharType="end"/>
      </w:r>
      <w:r>
        <w:rPr>
          <w:lang w:val="en-US"/>
        </w:rPr>
        <w:t>.</w:t>
      </w:r>
    </w:p>
    <w:tbl>
      <w:tblPr>
        <w:tblW w:w="7087" w:type="dxa"/>
        <w:tblLook w:val="04A0" w:firstRow="1" w:lastRow="0" w:firstColumn="1" w:lastColumn="0" w:noHBand="0" w:noVBand="1"/>
      </w:tblPr>
      <w:tblGrid>
        <w:gridCol w:w="6122"/>
        <w:gridCol w:w="965"/>
      </w:tblGrid>
      <w:tr w:rsidR="00A24CDB" w:rsidRPr="00A94774" w14:paraId="58661575" w14:textId="77777777" w:rsidTr="00B24EF1">
        <w:tc>
          <w:tcPr>
            <w:tcW w:w="6122" w:type="dxa"/>
            <w:shd w:val="clear" w:color="auto" w:fill="auto"/>
            <w:vAlign w:val="center"/>
          </w:tcPr>
          <w:p w14:paraId="0FF02905" w14:textId="3B2C04FA" w:rsidR="00A24CDB" w:rsidRPr="00BE6CA3" w:rsidRDefault="00000000" w:rsidP="00B24EF1">
            <w:pPr>
              <w:pStyle w:val="Els-body-text"/>
              <w:spacing w:before="120" w:after="120" w:line="264" w:lineRule="auto"/>
              <w:rPr>
                <w:lang w:val="en-GB"/>
              </w:rPr>
            </w:pPr>
            <m:oMathPara>
              <m:oMathParaPr>
                <m:jc m:val="left"/>
              </m:oMathParaP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op</m:t>
                    </m:r>
                  </m:sup>
                </m:sSup>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 xml:space="preserve">l∈L,p∈P, t∈T </m:t>
                    </m:r>
                  </m:sub>
                  <m:sup/>
                  <m:e>
                    <m:r>
                      <w:rPr>
                        <w:rFonts w:ascii="Cambria Math" w:hAnsi="Cambria Math"/>
                        <w:lang w:val="en-GB"/>
                      </w:rPr>
                      <m:t>(</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m:t>
                        </m:r>
                      </m:sup>
                    </m:sSup>
                    <m:r>
                      <w:rPr>
                        <w:rFonts w:ascii="Cambria Math" w:hAnsi="Cambria Math"/>
                        <w:lang w:val="en-GB"/>
                      </w:rPr>
                      <m:t>∙</m:t>
                    </m:r>
                    <m:sSubSup>
                      <m:sSubSupPr>
                        <m:ctrlPr>
                          <w:rPr>
                            <w:rFonts w:ascii="Cambria Math" w:hAnsi="Cambria Math"/>
                            <w:i/>
                            <w:lang w:val="en-GB"/>
                          </w:rPr>
                        </m:ctrlPr>
                      </m:sSubSupPr>
                      <m:e>
                        <m:acc>
                          <m:accPr>
                            <m:chr m:val="̇"/>
                            <m:ctrlPr>
                              <w:rPr>
                                <w:rFonts w:ascii="Cambria Math" w:hAnsi="Cambria Math"/>
                                <w:i/>
                                <w:lang w:val="en-GB"/>
                              </w:rPr>
                            </m:ctrlPr>
                          </m:accPr>
                          <m:e>
                            <m:r>
                              <w:rPr>
                                <w:rFonts w:ascii="Cambria Math" w:hAnsi="Cambria Math"/>
                                <w:lang w:val="en-GB"/>
                              </w:rPr>
                              <m:t>E</m:t>
                            </m:r>
                          </m:e>
                        </m:acc>
                      </m:e>
                      <m:sub>
                        <m:r>
                          <w:rPr>
                            <w:rFonts w:ascii="Cambria Math" w:hAnsi="Cambria Math"/>
                            <w:lang w:val="en-GB"/>
                          </w:rPr>
                          <m:t>l,p,t</m:t>
                        </m:r>
                      </m:sub>
                      <m:sup>
                        <m:r>
                          <w:rPr>
                            <w:rFonts w:ascii="Cambria Math" w:hAnsi="Cambria Math"/>
                            <w:lang w:val="en-GB"/>
                          </w:rPr>
                          <m:t>tr+</m:t>
                        </m:r>
                      </m:sup>
                    </m:sSubSup>
                    <m:r>
                      <w:rPr>
                        <w:rFonts w:ascii="Cambria Math" w:hAnsi="Cambria Math"/>
                        <w:lang w:val="en-GB"/>
                      </w:rPr>
                      <m:t>-</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m:t>
                        </m:r>
                      </m:sup>
                    </m:sSup>
                    <m:r>
                      <w:rPr>
                        <w:rFonts w:ascii="Cambria Math" w:hAnsi="Cambria Math"/>
                        <w:lang w:val="en-GB"/>
                      </w:rPr>
                      <m:t>∙</m:t>
                    </m:r>
                    <m:sSubSup>
                      <m:sSubSupPr>
                        <m:ctrlPr>
                          <w:rPr>
                            <w:rFonts w:ascii="Cambria Math" w:hAnsi="Cambria Math"/>
                            <w:i/>
                            <w:lang w:val="en-GB"/>
                          </w:rPr>
                        </m:ctrlPr>
                      </m:sSubSupPr>
                      <m:e>
                        <m:acc>
                          <m:accPr>
                            <m:chr m:val="̇"/>
                            <m:ctrlPr>
                              <w:rPr>
                                <w:rFonts w:ascii="Cambria Math" w:hAnsi="Cambria Math"/>
                                <w:i/>
                                <w:lang w:val="en-GB"/>
                              </w:rPr>
                            </m:ctrlPr>
                          </m:accPr>
                          <m:e>
                            <m:r>
                              <w:rPr>
                                <w:rFonts w:ascii="Cambria Math" w:hAnsi="Cambria Math"/>
                                <w:lang w:val="en-GB"/>
                              </w:rPr>
                              <m:t>E</m:t>
                            </m:r>
                          </m:e>
                        </m:acc>
                      </m:e>
                      <m:sub>
                        <m:r>
                          <w:rPr>
                            <w:rFonts w:ascii="Cambria Math" w:hAnsi="Cambria Math"/>
                            <w:lang w:val="en-GB"/>
                          </w:rPr>
                          <m:t>l,p,t</m:t>
                        </m:r>
                      </m:sub>
                      <m:sup>
                        <m:r>
                          <w:rPr>
                            <w:rFonts w:ascii="Cambria Math" w:hAnsi="Cambria Math"/>
                            <w:lang w:val="en-GB"/>
                          </w:rPr>
                          <m:t>tr-</m:t>
                        </m:r>
                      </m:sup>
                    </m:sSubSup>
                    <m:r>
                      <w:rPr>
                        <w:rFonts w:ascii="Cambria Math" w:hAnsi="Cambria Math"/>
                        <w:lang w:val="en-GB"/>
                      </w:rPr>
                      <m:t>)</m:t>
                    </m:r>
                  </m:e>
                </m:nary>
                <m:r>
                  <w:rPr>
                    <w:rFonts w:ascii="Cambria Math" w:hAnsi="Cambria Math"/>
                    <w:lang w:val="en-GB"/>
                  </w:rPr>
                  <m:t>∙</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p</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t</m:t>
                    </m:r>
                  </m:sub>
                </m:sSub>
                <m:r>
                  <w:rPr>
                    <w:rFonts w:ascii="Cambria Math" w:hAnsi="Cambria Math"/>
                    <w:lang w:val="en-GB"/>
                  </w:rPr>
                  <m:t xml:space="preserve">     </m:t>
                </m:r>
              </m:oMath>
            </m:oMathPara>
          </w:p>
        </w:tc>
        <w:tc>
          <w:tcPr>
            <w:tcW w:w="965" w:type="dxa"/>
            <w:shd w:val="clear" w:color="auto" w:fill="auto"/>
            <w:vAlign w:val="center"/>
          </w:tcPr>
          <w:p w14:paraId="0B626269" w14:textId="77777777" w:rsidR="00A24CDB" w:rsidRPr="00A94774" w:rsidRDefault="00A24CDB" w:rsidP="00B24EF1">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r w:rsidR="00A24CDB" w:rsidRPr="00A94774" w14:paraId="1445907A" w14:textId="77777777" w:rsidTr="00B24EF1">
        <w:tc>
          <w:tcPr>
            <w:tcW w:w="6122" w:type="dxa"/>
            <w:shd w:val="clear" w:color="auto" w:fill="auto"/>
            <w:vAlign w:val="center"/>
          </w:tcPr>
          <w:p w14:paraId="1499F0AC" w14:textId="775393EF" w:rsidR="00A24CDB" w:rsidRPr="00BE6CA3" w:rsidRDefault="00000000" w:rsidP="00B24EF1">
            <w:pPr>
              <w:pStyle w:val="Els-body-text"/>
              <w:spacing w:before="120" w:after="120" w:line="264" w:lineRule="auto"/>
              <w:rPr>
                <w:lang w:val="en-GB"/>
              </w:rPr>
            </w:pPr>
            <m:oMathPara>
              <m:oMathParaPr>
                <m:jc m:val="left"/>
              </m:oMathParaP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inv</m:t>
                    </m:r>
                  </m:sup>
                </m:sSup>
                <m:r>
                  <w:rPr>
                    <w:rFonts w:ascii="Cambria Math" w:hAnsi="Cambria Math"/>
                    <w:lang w:val="en-GB"/>
                  </w:rPr>
                  <m:t>=</m:t>
                </m:r>
                <m:f>
                  <m:fPr>
                    <m:ctrlPr>
                      <w:rPr>
                        <w:rFonts w:ascii="Cambria Math" w:hAnsi="Cambria Math"/>
                        <w:i/>
                        <w:lang w:val="en-GB"/>
                      </w:rPr>
                    </m:ctrlPr>
                  </m:fPr>
                  <m:num>
                    <m:r>
                      <w:rPr>
                        <w:rFonts w:ascii="Cambria Math" w:hAnsi="Cambria Math"/>
                        <w:lang w:val="en-GB"/>
                      </w:rPr>
                      <m:t>i(1+i)</m:t>
                    </m:r>
                  </m:num>
                  <m:den>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1+i</m:t>
                            </m:r>
                          </m:e>
                        </m:d>
                      </m:e>
                      <m:sup>
                        <m:r>
                          <w:rPr>
                            <w:rFonts w:ascii="Cambria Math" w:hAnsi="Cambria Math"/>
                            <w:lang w:val="en-GB"/>
                          </w:rPr>
                          <m:t>n</m:t>
                        </m:r>
                      </m:sup>
                    </m:sSup>
                    <m:r>
                      <w:rPr>
                        <w:rFonts w:ascii="Cambria Math" w:hAnsi="Cambria Math"/>
                        <w:lang w:val="en-GB"/>
                      </w:rPr>
                      <m:t>-1</m:t>
                    </m:r>
                  </m:den>
                </m:f>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 xml:space="preserve">u∈U </m:t>
                    </m:r>
                  </m:sub>
                  <m:sup/>
                  <m:e>
                    <m:sSup>
                      <m:sSupPr>
                        <m:ctrlPr>
                          <w:rPr>
                            <w:rFonts w:ascii="Cambria Math" w:hAnsi="Cambria Math"/>
                            <w:i/>
                            <w:lang w:val="en-GB"/>
                          </w:rPr>
                        </m:ctrlPr>
                      </m:sSupPr>
                      <m:e>
                        <m:r>
                          <w:rPr>
                            <w:rFonts w:ascii="Cambria Math" w:hAnsi="Cambria Math"/>
                            <w:lang w:val="en-GB"/>
                          </w:rPr>
                          <m:t>b</m:t>
                        </m:r>
                      </m:e>
                      <m:sup>
                        <m:r>
                          <w:rPr>
                            <w:rFonts w:ascii="Cambria Math" w:hAnsi="Cambria Math"/>
                            <w:lang w:val="en-GB"/>
                          </w:rPr>
                          <m:t>u</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c1,u</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y</m:t>
                        </m:r>
                      </m:e>
                      <m:sup>
                        <m:r>
                          <w:rPr>
                            <w:rFonts w:ascii="Cambria Math" w:hAnsi="Cambria Math"/>
                            <w:lang w:val="en-GB"/>
                          </w:rPr>
                          <m:t>u</m:t>
                        </m:r>
                      </m:sup>
                    </m:sSup>
                    <m:r>
                      <w:rPr>
                        <w:rFonts w:ascii="Cambria Math" w:hAnsi="Cambria Math"/>
                        <w:lang w:val="en-GB"/>
                      </w:rPr>
                      <m:t>+</m:t>
                    </m:r>
                  </m:e>
                </m:nary>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c2,u</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u</m:t>
                    </m:r>
                  </m:sup>
                </m:sSup>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rep</m:t>
                    </m:r>
                  </m:sup>
                </m:sSup>
                <m:r>
                  <w:rPr>
                    <w:rFonts w:ascii="Cambria Math" w:hAnsi="Cambria Math"/>
                    <w:lang w:val="en-GB"/>
                  </w:rPr>
                  <m:t xml:space="preserve">  </m:t>
                </m:r>
              </m:oMath>
            </m:oMathPara>
          </w:p>
        </w:tc>
        <w:tc>
          <w:tcPr>
            <w:tcW w:w="965" w:type="dxa"/>
            <w:shd w:val="clear" w:color="auto" w:fill="auto"/>
            <w:vAlign w:val="center"/>
          </w:tcPr>
          <w:p w14:paraId="70B2BE90" w14:textId="7C7EDE45" w:rsidR="00A24CDB" w:rsidRPr="00A94774" w:rsidRDefault="00A24CDB" w:rsidP="00B24EF1">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bl>
    <w:p w14:paraId="74B031A7" w14:textId="57C73DE1" w:rsidR="00447942" w:rsidRDefault="00DE393B" w:rsidP="00447942">
      <w:pPr>
        <w:pStyle w:val="Els-2ndorder-head"/>
      </w:pPr>
      <w:r>
        <w:t>Dantzig-Wolfe</w:t>
      </w:r>
      <w:r w:rsidR="009C2348">
        <w:t xml:space="preserve"> Decomposition and Linking Constraints</w:t>
      </w:r>
    </w:p>
    <w:p w14:paraId="6D83F4FC" w14:textId="77777777" w:rsidR="00447942" w:rsidRPr="00447942" w:rsidRDefault="00447942" w:rsidP="00447942">
      <w:pPr>
        <w:pStyle w:val="Els-body-text"/>
      </w:pPr>
    </w:p>
    <w:p w14:paraId="2971D055" w14:textId="77C05AED" w:rsidR="009C1BA3" w:rsidRDefault="008F0180" w:rsidP="009C1BA3">
      <w:pPr>
        <w:jc w:val="both"/>
        <w:rPr>
          <w:lang w:val="en-US"/>
        </w:rPr>
      </w:pPr>
      <w:r>
        <w:rPr>
          <w:lang w:val="en-US"/>
        </w:rPr>
        <w:t xml:space="preserve">To reduce solving time, the </w:t>
      </w:r>
      <w:r w:rsidR="00447942">
        <w:rPr>
          <w:lang w:val="en-US"/>
        </w:rPr>
        <w:t xml:space="preserve">Dantzig-Wolfe decomposition is applied </w:t>
      </w:r>
      <w:r>
        <w:rPr>
          <w:lang w:val="en-US"/>
        </w:rPr>
        <w:t>to the original formulation</w:t>
      </w:r>
      <w:r w:rsidR="00447942">
        <w:rPr>
          <w:lang w:val="en-US"/>
        </w:rPr>
        <w:t xml:space="preserve">. </w:t>
      </w:r>
      <w:r w:rsidR="00385397">
        <w:rPr>
          <w:lang w:val="en-US"/>
        </w:rPr>
        <w:t>The latter is split in several small problem</w:t>
      </w:r>
      <w:r w:rsidR="00373DC0">
        <w:rPr>
          <w:lang w:val="en-US"/>
        </w:rPr>
        <w:t>s</w:t>
      </w:r>
      <w:r w:rsidR="00385397">
        <w:rPr>
          <w:lang w:val="en-US"/>
        </w:rPr>
        <w:t xml:space="preserve"> fast to solve. </w:t>
      </w:r>
      <w:r>
        <w:rPr>
          <w:lang w:val="en-US"/>
        </w:rPr>
        <w:t xml:space="preserve">Building energy </w:t>
      </w:r>
      <w:r>
        <w:rPr>
          <w:lang w:val="en-US"/>
        </w:rPr>
        <w:lastRenderedPageBreak/>
        <w:t>systems are modeled in sub-problems (SPs)</w:t>
      </w:r>
      <w:r w:rsidR="00C055D4">
        <w:rPr>
          <w:lang w:val="en-US"/>
        </w:rPr>
        <w:t>. The</w:t>
      </w:r>
      <w:r w:rsidR="00385397">
        <w:rPr>
          <w:lang w:val="en-US"/>
        </w:rPr>
        <w:t>y</w:t>
      </w:r>
      <w:r w:rsidR="00C055D4">
        <w:rPr>
          <w:lang w:val="en-US"/>
        </w:rPr>
        <w:t xml:space="preserve"> provide system configurations to a master problem (MP) that ensure an optimal integration </w:t>
      </w:r>
      <w:r w:rsidR="009C1BA3">
        <w:rPr>
          <w:lang w:val="en-US"/>
        </w:rPr>
        <w:t xml:space="preserve">of the configurations </w:t>
      </w:r>
      <w:r w:rsidR="00C055D4">
        <w:rPr>
          <w:lang w:val="en-US"/>
        </w:rPr>
        <w:t xml:space="preserve">in </w:t>
      </w:r>
      <w:r>
        <w:rPr>
          <w:lang w:val="en-US"/>
        </w:rPr>
        <w:t>the district energy system. The latter considers linking constraints, such as capacity constraints</w:t>
      </w:r>
      <w:r w:rsidR="009C1BA3">
        <w:rPr>
          <w:lang w:val="en-US"/>
        </w:rPr>
        <w:t xml:space="preserve"> (Eq. 2) </w:t>
      </w:r>
      <w:r>
        <w:rPr>
          <w:lang w:val="en-US"/>
        </w:rPr>
        <w:t>and energy balances</w:t>
      </w:r>
      <w:r w:rsidR="009C1BA3">
        <w:rPr>
          <w:lang w:val="en-US"/>
        </w:rPr>
        <w:t xml:space="preserve"> (Eq. 1)</w:t>
      </w:r>
      <w:r>
        <w:rPr>
          <w:lang w:val="en-US"/>
        </w:rPr>
        <w:t xml:space="preserve"> with the </w:t>
      </w:r>
      <w:r w:rsidR="00BE6CA3">
        <w:rPr>
          <w:lang w:val="en-US"/>
        </w:rPr>
        <w:t>grids</w:t>
      </w:r>
      <w:r>
        <w:rPr>
          <w:lang w:val="en-US"/>
        </w:rPr>
        <w:t xml:space="preserve">, </w:t>
      </w:r>
      <w:r w:rsidR="009C1BA3">
        <w:rPr>
          <w:lang w:val="en-US"/>
        </w:rPr>
        <w:t>as well as</w:t>
      </w:r>
      <w:r>
        <w:rPr>
          <w:lang w:val="en-US"/>
        </w:rPr>
        <w:t xml:space="preserve"> energy units at the district scale. </w:t>
      </w:r>
      <w:r w:rsidR="00D62BF6">
        <w:rPr>
          <w:lang w:val="en-US"/>
        </w:rPr>
        <w:t>T</w:t>
      </w:r>
      <w:r>
        <w:rPr>
          <w:lang w:val="en-US"/>
        </w:rPr>
        <w:t xml:space="preserve">he dual values of the linking constraints are </w:t>
      </w:r>
      <w:r w:rsidR="00D62BF6">
        <w:rPr>
          <w:lang w:val="en-US"/>
        </w:rPr>
        <w:t xml:space="preserve">inserted in the </w:t>
      </w:r>
      <w:r w:rsidR="00F3530F">
        <w:rPr>
          <w:lang w:val="en-US"/>
        </w:rPr>
        <w:t>OPEX</w:t>
      </w:r>
      <w:r w:rsidR="00D62BF6">
        <w:rPr>
          <w:lang w:val="en-US"/>
        </w:rPr>
        <w:t xml:space="preserve"> of the SPs </w:t>
      </w:r>
      <w:r w:rsidR="003641F7">
        <w:rPr>
          <w:lang w:val="en-US"/>
        </w:rPr>
        <w:t>(Eq</w:t>
      </w:r>
      <w:r w:rsidR="00BE6CA3">
        <w:rPr>
          <w:lang w:val="en-US"/>
        </w:rPr>
        <w:t>.</w:t>
      </w:r>
      <w:r w:rsidR="003641F7">
        <w:rPr>
          <w:lang w:val="en-US"/>
        </w:rPr>
        <w:t xml:space="preserve"> </w:t>
      </w:r>
      <w:r w:rsidR="00F3530F">
        <w:rPr>
          <w:lang w:val="en-US"/>
        </w:rPr>
        <w:t>5</w:t>
      </w:r>
      <w:r w:rsidR="003641F7">
        <w:rPr>
          <w:lang w:val="en-US"/>
        </w:rPr>
        <w:t xml:space="preserve">) </w:t>
      </w:r>
      <w:r w:rsidR="00D62BF6">
        <w:rPr>
          <w:lang w:val="en-US"/>
        </w:rPr>
        <w:t xml:space="preserve">and </w:t>
      </w:r>
      <w:r w:rsidR="00385397">
        <w:rPr>
          <w:lang w:val="en-US"/>
        </w:rPr>
        <w:t>is similar to</w:t>
      </w:r>
      <w:r w:rsidR="00D62BF6">
        <w:rPr>
          <w:lang w:val="en-US"/>
        </w:rPr>
        <w:t xml:space="preserve"> </w:t>
      </w:r>
      <w:r>
        <w:rPr>
          <w:lang w:val="en-US"/>
        </w:rPr>
        <w:t>a micro-grid tariff</w:t>
      </w:r>
      <w:r w:rsidR="00D62BF6">
        <w:rPr>
          <w:lang w:val="en-US"/>
        </w:rPr>
        <w:t xml:space="preserve"> of energy</w:t>
      </w:r>
      <w:r>
        <w:rPr>
          <w:lang w:val="en-US"/>
        </w:rPr>
        <w:t xml:space="preserve">. </w:t>
      </w:r>
      <w:r w:rsidR="003641F7">
        <w:rPr>
          <w:lang w:val="en-US"/>
        </w:rPr>
        <w:t>This formulation is a reduced cost. The iteration loop terminates once the reduced cost of all SPs becomes positive, meaning that no additional configuration can improve the MP objective function.</w:t>
      </w:r>
      <w:r>
        <w:rPr>
          <w:lang w:val="en-US"/>
        </w:rPr>
        <w:t xml:space="preserve"> </w:t>
      </w:r>
    </w:p>
    <w:p w14:paraId="49001404" w14:textId="77777777" w:rsidR="008264FA" w:rsidRDefault="008264FA" w:rsidP="009C1BA3">
      <w:pPr>
        <w:jc w:val="both"/>
        <w:rPr>
          <w:lang w:val="en-US"/>
        </w:rPr>
      </w:pPr>
    </w:p>
    <w:tbl>
      <w:tblPr>
        <w:tblW w:w="7087" w:type="dxa"/>
        <w:tblLook w:val="04A0" w:firstRow="1" w:lastRow="0" w:firstColumn="1" w:lastColumn="0" w:noHBand="0" w:noVBand="1"/>
      </w:tblPr>
      <w:tblGrid>
        <w:gridCol w:w="6122"/>
        <w:gridCol w:w="965"/>
      </w:tblGrid>
      <w:tr w:rsidR="009C1BA3" w:rsidRPr="00A94774" w14:paraId="095C47EA" w14:textId="77777777" w:rsidTr="00B24EF1">
        <w:tc>
          <w:tcPr>
            <w:tcW w:w="6122" w:type="dxa"/>
            <w:shd w:val="clear" w:color="auto" w:fill="auto"/>
            <w:vAlign w:val="center"/>
          </w:tcPr>
          <w:p w14:paraId="0E521484" w14:textId="62E404B7" w:rsidR="009C1BA3" w:rsidRPr="00BE6CA3" w:rsidRDefault="00000000" w:rsidP="00B24EF1">
            <w:pPr>
              <w:pStyle w:val="Els-body-text"/>
              <w:spacing w:before="120" w:after="120" w:line="264" w:lineRule="auto"/>
              <w:rPr>
                <w:lang w:val="en-GB"/>
              </w:rPr>
            </w:pPr>
            <m:oMathPara>
              <m:oMathParaPr>
                <m:jc m:val="left"/>
              </m:oMathParaP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b</m:t>
                    </m:r>
                  </m:sub>
                  <m:sup>
                    <m:r>
                      <w:rPr>
                        <w:rFonts w:ascii="Cambria Math" w:hAnsi="Cambria Math"/>
                        <w:lang w:val="en-GB"/>
                      </w:rPr>
                      <m:t>op, SP</m:t>
                    </m:r>
                  </m:sup>
                </m:sSubSup>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 xml:space="preserve">l∈L,∈P, t∈T </m:t>
                    </m:r>
                  </m:sub>
                  <m:sup/>
                  <m:e>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p,t</m:t>
                        </m:r>
                      </m:sub>
                    </m:sSub>
                    <m:r>
                      <w:rPr>
                        <w:rFonts w:ascii="Cambria Math" w:hAnsi="Cambria Math"/>
                        <w:lang w:val="en-GB"/>
                      </w:rPr>
                      <m:t>∙</m:t>
                    </m:r>
                    <m:sSubSup>
                      <m:sSubSupPr>
                        <m:ctrlPr>
                          <w:rPr>
                            <w:rFonts w:ascii="Cambria Math" w:hAnsi="Cambria Math"/>
                            <w:i/>
                            <w:lang w:val="en-GB"/>
                          </w:rPr>
                        </m:ctrlPr>
                      </m:sSubSupPr>
                      <m:e>
                        <m:acc>
                          <m:accPr>
                            <m:chr m:val="̇"/>
                            <m:ctrlPr>
                              <w:rPr>
                                <w:rFonts w:ascii="Cambria Math" w:hAnsi="Cambria Math"/>
                                <w:i/>
                                <w:lang w:val="en-GB"/>
                              </w:rPr>
                            </m:ctrlPr>
                          </m:accPr>
                          <m:e>
                            <m:r>
                              <w:rPr>
                                <w:rFonts w:ascii="Cambria Math" w:hAnsi="Cambria Math"/>
                                <w:lang w:val="en-GB"/>
                              </w:rPr>
                              <m:t>E</m:t>
                            </m:r>
                          </m:e>
                        </m:acc>
                      </m:e>
                      <m:sub>
                        <m:r>
                          <w:rPr>
                            <w:rFonts w:ascii="Cambria Math" w:hAnsi="Cambria Math"/>
                            <w:lang w:val="en-GB"/>
                          </w:rPr>
                          <m:t>l,p,t</m:t>
                        </m:r>
                      </m:sub>
                      <m:sup>
                        <m:r>
                          <w:rPr>
                            <w:rFonts w:ascii="Cambria Math" w:hAnsi="Cambria Math"/>
                            <w:lang w:val="en-GB"/>
                          </w:rPr>
                          <m:t>gr+</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p,t</m:t>
                        </m:r>
                      </m:sub>
                    </m:sSub>
                    <m:r>
                      <w:rPr>
                        <w:rFonts w:ascii="Cambria Math" w:hAnsi="Cambria Math"/>
                        <w:lang w:val="en-GB"/>
                      </w:rPr>
                      <m:t>∙</m:t>
                    </m:r>
                    <m:sSubSup>
                      <m:sSubSupPr>
                        <m:ctrlPr>
                          <w:rPr>
                            <w:rFonts w:ascii="Cambria Math" w:hAnsi="Cambria Math"/>
                            <w:i/>
                            <w:lang w:val="en-GB"/>
                          </w:rPr>
                        </m:ctrlPr>
                      </m:sSubSupPr>
                      <m:e>
                        <m:acc>
                          <m:accPr>
                            <m:chr m:val="̇"/>
                            <m:ctrlPr>
                              <w:rPr>
                                <w:rFonts w:ascii="Cambria Math" w:hAnsi="Cambria Math"/>
                                <w:i/>
                                <w:lang w:val="en-GB"/>
                              </w:rPr>
                            </m:ctrlPr>
                          </m:accPr>
                          <m:e>
                            <m:r>
                              <w:rPr>
                                <w:rFonts w:ascii="Cambria Math" w:hAnsi="Cambria Math"/>
                                <w:lang w:val="en-GB"/>
                              </w:rPr>
                              <m:t>E</m:t>
                            </m:r>
                          </m:e>
                        </m:acc>
                      </m:e>
                      <m:sub>
                        <m:r>
                          <w:rPr>
                            <w:rFonts w:ascii="Cambria Math" w:hAnsi="Cambria Math"/>
                            <w:lang w:val="en-GB"/>
                          </w:rPr>
                          <m:t>l,p,t</m:t>
                        </m:r>
                      </m:sub>
                      <m:sup>
                        <m:r>
                          <w:rPr>
                            <w:rFonts w:ascii="Cambria Math" w:hAnsi="Cambria Math"/>
                            <w:lang w:val="en-GB"/>
                          </w:rPr>
                          <m:t>gr-</m:t>
                        </m:r>
                      </m:sup>
                    </m:sSubSup>
                    <m:r>
                      <w:rPr>
                        <w:rFonts w:ascii="Cambria Math" w:hAnsi="Cambria Math"/>
                        <w:lang w:val="en-GB"/>
                      </w:rPr>
                      <m:t>)</m:t>
                    </m:r>
                  </m:e>
                </m:nary>
                <m:r>
                  <w:rPr>
                    <w:rFonts w:ascii="Cambria Math" w:hAnsi="Cambria Math"/>
                    <w:lang w:val="en-GB"/>
                  </w:rPr>
                  <m:t>∙</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p</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t</m:t>
                    </m:r>
                  </m:sub>
                </m:sSub>
                <m:r>
                  <w:rPr>
                    <w:rFonts w:ascii="Cambria Math" w:hAnsi="Cambria Math"/>
                    <w:lang w:val="en-GB"/>
                  </w:rPr>
                  <m:t xml:space="preserve">                   ∀b∈B  </m:t>
                </m:r>
              </m:oMath>
            </m:oMathPara>
          </w:p>
        </w:tc>
        <w:tc>
          <w:tcPr>
            <w:tcW w:w="965" w:type="dxa"/>
            <w:shd w:val="clear" w:color="auto" w:fill="auto"/>
            <w:vAlign w:val="center"/>
          </w:tcPr>
          <w:p w14:paraId="7DE9B1F0" w14:textId="5F84B7B2" w:rsidR="009C1BA3" w:rsidRPr="00A94774" w:rsidRDefault="009C1BA3" w:rsidP="00B24EF1">
            <w:pPr>
              <w:pStyle w:val="Els-body-text"/>
              <w:spacing w:before="120" w:after="120" w:line="264" w:lineRule="auto"/>
              <w:jc w:val="right"/>
              <w:rPr>
                <w:lang w:val="en-GB"/>
              </w:rPr>
            </w:pPr>
            <w:r w:rsidRPr="00A94774">
              <w:rPr>
                <w:lang w:val="en-GB"/>
              </w:rPr>
              <w:t>(</w:t>
            </w:r>
            <w:r w:rsidR="00F3530F">
              <w:rPr>
                <w:lang w:val="en-GB"/>
              </w:rPr>
              <w:t>5</w:t>
            </w:r>
            <w:r w:rsidRPr="00A94774">
              <w:rPr>
                <w:lang w:val="en-GB"/>
              </w:rPr>
              <w:t>)</w:t>
            </w:r>
          </w:p>
        </w:tc>
      </w:tr>
    </w:tbl>
    <w:p w14:paraId="3974C26D" w14:textId="440DF671" w:rsidR="00F3530F" w:rsidRDefault="00F3530F" w:rsidP="00F3530F">
      <w:pPr>
        <w:pStyle w:val="Els-2ndorder-head"/>
      </w:pPr>
      <w:r>
        <w:t>District Heating Network Modeling</w:t>
      </w:r>
    </w:p>
    <w:p w14:paraId="6CD772F1" w14:textId="77777777" w:rsidR="00F97A4E" w:rsidRDefault="00F97A4E" w:rsidP="00DE393B">
      <w:pPr>
        <w:pStyle w:val="Els-body-text"/>
      </w:pPr>
    </w:p>
    <w:p w14:paraId="3CE00763" w14:textId="2A4E0271" w:rsidR="008264FA" w:rsidRDefault="00CC2FF4" w:rsidP="00C21E6C">
      <w:pPr>
        <w:pStyle w:val="Els-body-text"/>
      </w:pPr>
      <w:r>
        <w:t>The DHN cost considers two investments: the costs of pipes and the cost of delivering heat to the buildings, either with a direct heat exchange or with a</w:t>
      </w:r>
      <w:r w:rsidR="00385397">
        <w:t xml:space="preserve"> </w:t>
      </w:r>
      <w:r>
        <w:t xml:space="preserve">heat pump. The latter </w:t>
      </w:r>
      <w:r w:rsidR="008264FA">
        <w:t>are</w:t>
      </w:r>
      <w:r>
        <w:t xml:space="preserve"> modeled with fixed and variable cost</w:t>
      </w:r>
      <w:r w:rsidR="008264FA">
        <w:t>s</w:t>
      </w:r>
      <w:r>
        <w:t xml:space="preserve"> like the rest of energy units. However, the piping cost follow</w:t>
      </w:r>
      <w:r w:rsidR="008264FA">
        <w:t>s</w:t>
      </w:r>
      <w:r>
        <w:t xml:space="preserve"> </w:t>
      </w:r>
      <w:r w:rsidR="00F97A4E">
        <w:t xml:space="preserve">a </w:t>
      </w:r>
      <w:r>
        <w:t xml:space="preserve">highly </w:t>
      </w:r>
      <w:r w:rsidR="00F97A4E">
        <w:t>non-linear functio</w:t>
      </w:r>
      <w:r>
        <w:t>n</w:t>
      </w:r>
      <w:r w:rsidR="001E313C">
        <w:t xml:space="preserve"> (Eq</w:t>
      </w:r>
      <w:r w:rsidR="00122D0A">
        <w:t>.</w:t>
      </w:r>
      <w:r w:rsidR="001E313C">
        <w:t xml:space="preserve"> 6 and 7)</w:t>
      </w:r>
      <w:r>
        <w:t xml:space="preserve">. The diameter of the pipes </w:t>
      </w:r>
      <m:oMath>
        <m:sSubSup>
          <m:sSubSupPr>
            <m:ctrlPr>
              <w:rPr>
                <w:rFonts w:ascii="Cambria Math" w:hAnsi="Cambria Math"/>
                <w:i/>
                <w:lang w:val="en-GB"/>
              </w:rPr>
            </m:ctrlPr>
          </m:sSubSupPr>
          <m:e>
            <m:r>
              <w:rPr>
                <w:rFonts w:ascii="Cambria Math" w:hAnsi="Cambria Math"/>
                <w:lang w:val="en-GB"/>
              </w:rPr>
              <m:t>d</m:t>
            </m:r>
          </m:e>
          <m:sub>
            <m:r>
              <w:rPr>
                <w:rFonts w:ascii="Cambria Math" w:hAnsi="Cambria Math"/>
                <w:lang w:val="en-GB"/>
              </w:rPr>
              <m:t>b</m:t>
            </m:r>
          </m:sub>
          <m:sup>
            <m:r>
              <w:rPr>
                <w:rFonts w:ascii="Cambria Math" w:hAnsi="Cambria Math"/>
                <w:lang w:val="en-GB"/>
              </w:rPr>
              <m:t>dhn</m:t>
            </m:r>
          </m:sup>
        </m:sSubSup>
      </m:oMath>
      <w:r>
        <w:t xml:space="preserve"> is a square root function of the </w:t>
      </w:r>
      <w:r w:rsidR="00F97A4E">
        <w:t xml:space="preserve">heat delivered </w:t>
      </w:r>
      <w:r>
        <w:t xml:space="preserve">and the length </w:t>
      </w:r>
      <m:oMath>
        <m:r>
          <w:rPr>
            <w:rFonts w:ascii="Cambria Math" w:hAnsi="Cambria Math"/>
            <w:lang w:val="en-GB"/>
          </w:rPr>
          <m:t>L</m:t>
        </m:r>
      </m:oMath>
      <w:r>
        <w:rPr>
          <w:lang w:val="en-GB"/>
        </w:rPr>
        <w:t xml:space="preserve"> of the DHN is a decision variable depending on </w:t>
      </w:r>
      <w:r w:rsidR="008264FA">
        <w:rPr>
          <w:lang w:val="en-GB"/>
        </w:rPr>
        <w:t>the number of</w:t>
      </w:r>
      <w:r>
        <w:rPr>
          <w:lang w:val="en-GB"/>
        </w:rPr>
        <w:t xml:space="preserve"> building</w:t>
      </w:r>
      <w:r w:rsidR="008264FA">
        <w:rPr>
          <w:lang w:val="en-GB"/>
        </w:rPr>
        <w:t xml:space="preserve">s connected </w:t>
      </w:r>
      <w:r>
        <w:rPr>
          <w:lang w:val="en-GB"/>
        </w:rPr>
        <w:t xml:space="preserve">to the network. Therefore, to keep the linearity of the model some </w:t>
      </w:r>
      <w:r w:rsidR="001E313C">
        <w:rPr>
          <w:lang w:val="en-GB"/>
        </w:rPr>
        <w:t>reformulations</w:t>
      </w:r>
      <w:r>
        <w:rPr>
          <w:lang w:val="en-GB"/>
        </w:rPr>
        <w:t xml:space="preserve"> </w:t>
      </w:r>
      <w:r w:rsidR="001E313C">
        <w:rPr>
          <w:lang w:val="en-GB"/>
        </w:rPr>
        <w:t>are</w:t>
      </w:r>
      <w:r>
        <w:rPr>
          <w:lang w:val="en-GB"/>
        </w:rPr>
        <w:t xml:space="preserve"> performed</w:t>
      </w:r>
      <w:r w:rsidR="001E313C">
        <w:rPr>
          <w:lang w:val="en-GB"/>
        </w:rPr>
        <w:t xml:space="preserve"> by taking advantage of the structure of the Dantzig-Wolfe decomposition. </w:t>
      </w:r>
      <w:r w:rsidR="001E313C">
        <w:t xml:space="preserve">First, the problem is initialized by enforcing the buildings to supply their heating demand from the DHN. The result is an associated piping cost calibrated to </w:t>
      </w:r>
      <w:r w:rsidR="00122D0A">
        <w:t xml:space="preserve">the </w:t>
      </w:r>
      <w:r w:rsidR="001E313C">
        <w:t xml:space="preserve">demand of the buildings. These costs are then linearized with fixed and variable costs and used in the SPs. </w:t>
      </w:r>
      <w:r w:rsidR="00C21E6C">
        <w:t>In a second step, the MP collects the SPs configurations</w:t>
      </w:r>
      <w:r w:rsidR="008264FA">
        <w:t>, where</w:t>
      </w:r>
      <w:r w:rsidR="00C21E6C">
        <w:t xml:space="preserve"> the </w:t>
      </w:r>
      <w:r w:rsidR="008264FA">
        <w:t xml:space="preserve">DHN </w:t>
      </w:r>
      <w:r w:rsidR="00C21E6C">
        <w:t xml:space="preserve">heat load </w:t>
      </w:r>
      <w:r w:rsidR="00BC31EC">
        <w:t xml:space="preserve">of the buildings </w:t>
      </w:r>
      <w:r w:rsidR="008264FA">
        <w:t>becomes a</w:t>
      </w:r>
      <w:r w:rsidR="00C21E6C">
        <w:t xml:space="preserve"> parameter.</w:t>
      </w:r>
      <w:r w:rsidR="00BC31EC">
        <w:t xml:space="preserve"> Therefore, it allows the MP to calculate the piping costs based on a linear combination of configurations.</w:t>
      </w:r>
      <w:r w:rsidR="00C21E6C">
        <w:t xml:space="preserve"> </w:t>
      </w:r>
      <w:r w:rsidR="00BC31EC">
        <w:t>Finally,</w:t>
      </w:r>
      <w:r w:rsidR="00C21E6C">
        <w:t xml:space="preserve"> the DHN length </w:t>
      </w:r>
      <w:r w:rsidR="00BC31EC">
        <w:t>between</w:t>
      </w:r>
      <w:r w:rsidR="00C21E6C">
        <w:t xml:space="preserve"> building</w:t>
      </w:r>
      <w:r w:rsidR="00BC31EC">
        <w:t xml:space="preserve"> is</w:t>
      </w:r>
      <w:r w:rsidR="00C21E6C">
        <w:t xml:space="preserve"> assumed constant and </w:t>
      </w:r>
      <w:r w:rsidR="00BC31EC">
        <w:t xml:space="preserve">is </w:t>
      </w:r>
      <w:r w:rsidR="00C21E6C">
        <w:t>calculated with Eq</w:t>
      </w:r>
      <w:r w:rsidR="00122D0A">
        <w:t>.</w:t>
      </w:r>
      <w:r w:rsidR="00C21E6C">
        <w:t xml:space="preserve"> 7, where n is the number of buildings and K a shape factor </w:t>
      </w:r>
      <w:r w:rsidR="006770D5">
        <w:t>equal to 0.4. More information is available in th</w:t>
      </w:r>
      <w:r w:rsidR="00915B09">
        <w:t>is</w:t>
      </w:r>
      <w:r w:rsidR="006770D5">
        <w:t xml:space="preserve"> thesis </w:t>
      </w:r>
      <w:r w:rsidR="00357A36">
        <w:fldChar w:fldCharType="begin"/>
      </w:r>
      <w:r w:rsidR="00357A36">
        <w:instrText xml:space="preserve"> ADDIN ZOTERO_ITEM CSL_CITATION {"citationID":"Dyc8uP3B","properties":{"formattedCitation":"(Girardin, 2012)","plainCitation":"(Girardin, 2012)","noteIndex":0},"citationItems":[{"id":331,"uris":["http://zotero.org/users/7516078/items/FRND4W6F"],"itemData":{"id":331,"type":"thesis","abstract":"Following the pioneering work \"Tokyo Half Project\"  promoted by the Alliance for Global Sustainability (AGS), a  geographical information system has been developed to model  the energy requirements of urban areas. The purpose of this platform is to model with sufficient  details the energy services requirements of a given  geographical area in order to allow the evaluation of the  integration of advanced integrated energy conversion  systems. This tool is used to study the emergence of more  sustainable cities that realize energy efficiency improvement  measures, integrate energy efficient conversion technologies  and promote the use of endogenous renewable energy. It is  based on techniques at the crossroads of three domains :  geographical information systems, urban energy modelling and  process integration and process design techniques. The model is illustrated with case studies for the  energetic planning of urban district in Switzerland.","note":"DOI: 10.5075/epfl-thesis-5287","publisher":"EPFL","title":"A GIS-based Methodology for the Evaluation of Integrated Energy Systems in Urban Area","URL":"http://infoscience.epfl.ch/record/170535/files/EPFL_TH5287.pdf","author":[{"family":"Girardin","given":"Luc"}],"issued":{"date-parts":[["2012"]]}}}],"schema":"https://github.com/citation-style-language/schema/raw/master/csl-citation.json"} </w:instrText>
      </w:r>
      <w:r w:rsidR="00357A36">
        <w:fldChar w:fldCharType="separate"/>
      </w:r>
      <w:r w:rsidR="00357A36">
        <w:rPr>
          <w:noProof/>
        </w:rPr>
        <w:t>(Girardin, 2012)</w:t>
      </w:r>
      <w:r w:rsidR="00357A36">
        <w:fldChar w:fldCharType="end"/>
      </w:r>
      <w:r w:rsidR="006770D5">
        <w:t>.</w:t>
      </w:r>
    </w:p>
    <w:p w14:paraId="1B98B087" w14:textId="77777777" w:rsidR="00144AB3" w:rsidRPr="008264FA" w:rsidRDefault="00144AB3" w:rsidP="00C21E6C">
      <w:pPr>
        <w:pStyle w:val="Els-body-text"/>
      </w:pPr>
    </w:p>
    <w:tbl>
      <w:tblPr>
        <w:tblW w:w="7087" w:type="dxa"/>
        <w:tblLook w:val="04A0" w:firstRow="1" w:lastRow="0" w:firstColumn="1" w:lastColumn="0" w:noHBand="0" w:noVBand="1"/>
      </w:tblPr>
      <w:tblGrid>
        <w:gridCol w:w="6122"/>
        <w:gridCol w:w="965"/>
      </w:tblGrid>
      <w:tr w:rsidR="00DE393B" w:rsidRPr="00A94774" w14:paraId="7FEE2638" w14:textId="77777777" w:rsidTr="00502066">
        <w:tc>
          <w:tcPr>
            <w:tcW w:w="6122" w:type="dxa"/>
            <w:shd w:val="clear" w:color="auto" w:fill="auto"/>
            <w:vAlign w:val="center"/>
          </w:tcPr>
          <w:p w14:paraId="1DD685B8" w14:textId="7BE17A79" w:rsidR="00DE393B" w:rsidRPr="0008326C" w:rsidRDefault="00000000" w:rsidP="00502066">
            <w:pPr>
              <w:pStyle w:val="Els-body-text"/>
              <w:spacing w:before="120" w:after="120" w:line="264" w:lineRule="auto"/>
              <w:rPr>
                <w:lang w:val="en-GB"/>
              </w:rPr>
            </w:pPr>
            <m:oMathPara>
              <m:oMathParaPr>
                <m:jc m:val="left"/>
              </m:oMathParaP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b</m:t>
                    </m:r>
                  </m:sub>
                  <m:sup>
                    <m:r>
                      <w:rPr>
                        <w:rFonts w:ascii="Cambria Math" w:hAnsi="Cambria Math"/>
                        <w:lang w:val="en-GB"/>
                      </w:rPr>
                      <m:t>pipes</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b</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1</m:t>
                    </m:r>
                  </m:sup>
                </m:s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d</m:t>
                    </m:r>
                  </m:e>
                  <m:sub>
                    <m:r>
                      <w:rPr>
                        <w:rFonts w:ascii="Cambria Math" w:hAnsi="Cambria Math"/>
                        <w:lang w:val="en-GB"/>
                      </w:rPr>
                      <m:t>b</m:t>
                    </m:r>
                  </m:sub>
                  <m:sup>
                    <m:r>
                      <w:rPr>
                        <w:rFonts w:ascii="Cambria Math" w:hAnsi="Cambria Math"/>
                        <w:lang w:val="en-GB"/>
                      </w:rPr>
                      <m:t>dhn</m:t>
                    </m:r>
                  </m:sup>
                </m:sSubSup>
                <m:r>
                  <w:rPr>
                    <w:rFonts w:ascii="Cambria Math" w:hAnsi="Cambria Math"/>
                    <w:lang w:val="en-GB"/>
                  </w:rPr>
                  <m:t>+</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2</m:t>
                    </m:r>
                  </m:sup>
                </m:s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y</m:t>
                    </m:r>
                  </m:e>
                  <m:sub>
                    <m:r>
                      <w:rPr>
                        <w:rFonts w:ascii="Cambria Math" w:hAnsi="Cambria Math"/>
                        <w:lang w:val="en-GB"/>
                      </w:rPr>
                      <m:t>b</m:t>
                    </m:r>
                  </m:sub>
                  <m:sup>
                    <m:r>
                      <w:rPr>
                        <w:rFonts w:ascii="Cambria Math" w:hAnsi="Cambria Math"/>
                        <w:lang w:val="en-GB"/>
                      </w:rPr>
                      <m:t>dhn</m:t>
                    </m:r>
                  </m:sup>
                </m:sSubSup>
                <m:r>
                  <w:rPr>
                    <w:rFonts w:ascii="Cambria Math" w:hAnsi="Cambria Math"/>
                    <w:lang w:val="en-GB"/>
                  </w:rPr>
                  <m:t xml:space="preserve">)                                                ∀b∈B  </m:t>
                </m:r>
              </m:oMath>
            </m:oMathPara>
          </w:p>
        </w:tc>
        <w:tc>
          <w:tcPr>
            <w:tcW w:w="965" w:type="dxa"/>
            <w:shd w:val="clear" w:color="auto" w:fill="auto"/>
            <w:vAlign w:val="center"/>
          </w:tcPr>
          <w:p w14:paraId="49D4B344" w14:textId="57B89997" w:rsidR="00DE393B" w:rsidRPr="00A94774" w:rsidRDefault="00DE393B" w:rsidP="00502066">
            <w:pPr>
              <w:pStyle w:val="Els-body-text"/>
              <w:spacing w:before="120" w:after="120" w:line="264" w:lineRule="auto"/>
              <w:jc w:val="right"/>
              <w:rPr>
                <w:lang w:val="en-GB"/>
              </w:rPr>
            </w:pPr>
            <w:r w:rsidRPr="00A94774">
              <w:rPr>
                <w:lang w:val="en-GB"/>
              </w:rPr>
              <w:t>(</w:t>
            </w:r>
            <w:r w:rsidR="00010F8C">
              <w:rPr>
                <w:lang w:val="en-GB"/>
              </w:rPr>
              <w:t>6</w:t>
            </w:r>
            <w:r w:rsidRPr="00A94774">
              <w:rPr>
                <w:lang w:val="en-GB"/>
              </w:rPr>
              <w:t>)</w:t>
            </w:r>
          </w:p>
        </w:tc>
      </w:tr>
      <w:tr w:rsidR="00010F8C" w:rsidRPr="00A94774" w14:paraId="78EDEA93" w14:textId="77777777" w:rsidTr="00B24EF1">
        <w:tc>
          <w:tcPr>
            <w:tcW w:w="6122" w:type="dxa"/>
            <w:shd w:val="clear" w:color="auto" w:fill="auto"/>
            <w:vAlign w:val="center"/>
          </w:tcPr>
          <w:p w14:paraId="6443682E" w14:textId="0DB7C79B" w:rsidR="00010F8C" w:rsidRPr="0008326C" w:rsidRDefault="00000000" w:rsidP="00B24EF1">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b</m:t>
                    </m:r>
                  </m:sub>
                </m:sSub>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district</m:t>
                                </m:r>
                              </m:sup>
                            </m:sSup>
                          </m:num>
                          <m:den>
                            <m:r>
                              <w:rPr>
                                <w:rFonts w:ascii="Cambria Math" w:hAnsi="Cambria Math"/>
                                <w:lang w:val="en-GB"/>
                              </w:rPr>
                              <m:t>n</m:t>
                            </m:r>
                          </m:den>
                        </m:f>
                      </m:e>
                    </m:d>
                  </m:e>
                  <m:sup>
                    <m:r>
                      <w:rPr>
                        <w:rFonts w:ascii="Cambria Math" w:hAnsi="Cambria Math"/>
                        <w:lang w:val="en-GB"/>
                      </w:rPr>
                      <m:t>0.5</m:t>
                    </m:r>
                  </m:sup>
                </m:sSup>
                <m:r>
                  <w:rPr>
                    <w:rFonts w:ascii="Cambria Math" w:hAnsi="Cambria Math"/>
                    <w:lang w:val="en-GB"/>
                  </w:rPr>
                  <m:t>∙</m:t>
                </m:r>
                <m:d>
                  <m:dPr>
                    <m:ctrlPr>
                      <w:rPr>
                        <w:rFonts w:ascii="Cambria Math" w:hAnsi="Cambria Math"/>
                        <w:i/>
                        <w:lang w:val="en-GB"/>
                      </w:rPr>
                    </m:ctrlPr>
                  </m:dPr>
                  <m:e>
                    <m:r>
                      <w:rPr>
                        <w:rFonts w:ascii="Cambria Math" w:hAnsi="Cambria Math"/>
                        <w:lang w:val="en-GB"/>
                      </w:rPr>
                      <m:t>n-1</m:t>
                    </m:r>
                  </m:e>
                </m:d>
                <m:r>
                  <w:rPr>
                    <w:rFonts w:ascii="Cambria Math" w:hAnsi="Cambria Math"/>
                    <w:lang w:val="en-GB"/>
                  </w:rPr>
                  <m:t xml:space="preserve">∙K /n                                                   ∀b∈B  </m:t>
                </m:r>
              </m:oMath>
            </m:oMathPara>
          </w:p>
        </w:tc>
        <w:tc>
          <w:tcPr>
            <w:tcW w:w="965" w:type="dxa"/>
            <w:shd w:val="clear" w:color="auto" w:fill="auto"/>
            <w:vAlign w:val="center"/>
          </w:tcPr>
          <w:p w14:paraId="0900A606" w14:textId="0C8A4024" w:rsidR="00010F8C" w:rsidRPr="00A94774" w:rsidRDefault="00010F8C" w:rsidP="00B24EF1">
            <w:pPr>
              <w:pStyle w:val="Els-body-text"/>
              <w:spacing w:before="120" w:after="120" w:line="264" w:lineRule="auto"/>
              <w:jc w:val="right"/>
              <w:rPr>
                <w:lang w:val="en-GB"/>
              </w:rPr>
            </w:pPr>
            <w:r w:rsidRPr="00A94774">
              <w:rPr>
                <w:lang w:val="en-GB"/>
              </w:rPr>
              <w:t>(</w:t>
            </w:r>
            <w:r>
              <w:rPr>
                <w:lang w:val="en-GB"/>
              </w:rPr>
              <w:t>7</w:t>
            </w:r>
            <w:r w:rsidRPr="00A94774">
              <w:rPr>
                <w:lang w:val="en-GB"/>
              </w:rPr>
              <w:t>)</w:t>
            </w:r>
          </w:p>
        </w:tc>
      </w:tr>
    </w:tbl>
    <w:p w14:paraId="73C844C0" w14:textId="6AB48FA1" w:rsidR="00382B8F" w:rsidRPr="00906DC9" w:rsidRDefault="00382B8F" w:rsidP="00382B8F">
      <w:pPr>
        <w:pStyle w:val="Els-2ndorder-head"/>
      </w:pPr>
      <w:r>
        <w:t>Application</w:t>
      </w:r>
    </w:p>
    <w:p w14:paraId="7A8C6342" w14:textId="77777777" w:rsidR="00514894" w:rsidRDefault="00514894" w:rsidP="00382B8F">
      <w:pPr>
        <w:jc w:val="both"/>
        <w:rPr>
          <w:lang w:val="en-US"/>
        </w:rPr>
      </w:pPr>
    </w:p>
    <w:p w14:paraId="556A2FDA" w14:textId="75C973FB" w:rsidR="00382B8F" w:rsidRDefault="00382B8F" w:rsidP="008358F7">
      <w:pPr>
        <w:jc w:val="both"/>
      </w:pPr>
      <w:r>
        <w:rPr>
          <w:lang w:val="en-US"/>
        </w:rPr>
        <w:t>The</w:t>
      </w:r>
      <w:r w:rsidRPr="00382B8F">
        <w:rPr>
          <w:lang w:val="en-US"/>
        </w:rPr>
        <w:t xml:space="preserve"> </w:t>
      </w:r>
      <w:r>
        <w:rPr>
          <w:lang w:val="en-US"/>
        </w:rPr>
        <w:t xml:space="preserve">case study is a neighborhood with a mix of </w:t>
      </w:r>
      <w:r w:rsidR="00447B13">
        <w:rPr>
          <w:lang w:val="en-US"/>
        </w:rPr>
        <w:t xml:space="preserve">75 </w:t>
      </w:r>
      <w:r>
        <w:rPr>
          <w:lang w:val="en-US"/>
        </w:rPr>
        <w:t xml:space="preserve">residential buildings, offices and industries. </w:t>
      </w:r>
      <w:r w:rsidR="00385397">
        <w:rPr>
          <w:lang w:val="en-US"/>
        </w:rPr>
        <w:t>Three d</w:t>
      </w:r>
      <w:r>
        <w:rPr>
          <w:lang w:val="en-US"/>
        </w:rPr>
        <w:t>istrict heating networks are considered</w:t>
      </w:r>
      <w:r w:rsidR="00217B76">
        <w:rPr>
          <w:lang w:val="en-US"/>
        </w:rPr>
        <w:t xml:space="preserve"> with supply and return temperatures of 80/70°C, 45/35°C and 16/14°C</w:t>
      </w:r>
      <w:r>
        <w:rPr>
          <w:lang w:val="en-US"/>
        </w:rPr>
        <w:t>.</w:t>
      </w:r>
      <w:r w:rsidR="00217B76">
        <w:rPr>
          <w:lang w:val="en-US"/>
        </w:rPr>
        <w:t xml:space="preserve"> Water is used as an energy carrier. A geothermal heat pump at the district scale closes the </w:t>
      </w:r>
      <w:r w:rsidR="008358F7">
        <w:rPr>
          <w:lang w:val="en-US"/>
        </w:rPr>
        <w:t xml:space="preserve">DHN </w:t>
      </w:r>
      <w:r w:rsidR="00217B76">
        <w:rPr>
          <w:lang w:val="en-US"/>
        </w:rPr>
        <w:t>heat balance with a g</w:t>
      </w:r>
      <w:r w:rsidR="00F57363">
        <w:t xml:space="preserve">round source </w:t>
      </w:r>
      <w:r w:rsidR="008358F7">
        <w:t>at</w:t>
      </w:r>
      <w:r w:rsidR="00F57363">
        <w:t xml:space="preserve"> 8°C</w:t>
      </w:r>
      <w:r w:rsidR="00217B76">
        <w:t xml:space="preserve">. </w:t>
      </w:r>
      <w:r w:rsidR="00447B13">
        <w:t>Weather data are clustered in 10 typical days and 2 extreme periods. The electricity retail and feed-in tariffs are respectively 0.25/0.1 CHF/kWh and the natural gas tariff is 0.14 CHF/kWh. These values are taken from the mean tariffs in Switzerland over the last 3 years</w:t>
      </w:r>
      <w:r w:rsidR="008358F7">
        <w:t xml:space="preserve">. </w:t>
      </w:r>
      <w:r w:rsidR="00AA2D31">
        <w:t>I</w:t>
      </w:r>
      <w:r w:rsidR="00447B13">
        <w:t xml:space="preserve">ndustrial waste heat </w:t>
      </w:r>
      <w:r w:rsidR="00AA2D31">
        <w:t xml:space="preserve">is </w:t>
      </w:r>
      <w:proofErr w:type="spellStart"/>
      <w:r w:rsidR="00AA2D31">
        <w:t>modeled</w:t>
      </w:r>
      <w:proofErr w:type="spellEnd"/>
      <w:r w:rsidR="00AA2D31">
        <w:t xml:space="preserve"> by a heat capacity constraint as stated in Eq</w:t>
      </w:r>
      <w:r w:rsidR="006761CA">
        <w:t>.</w:t>
      </w:r>
      <w:r w:rsidR="00AA2D31">
        <w:t xml:space="preserve"> 2 and </w:t>
      </w:r>
      <w:r w:rsidR="00447B13">
        <w:t>is assumed to be free of charge</w:t>
      </w:r>
      <w:r w:rsidR="00514894">
        <w:t xml:space="preserve"> since the piping costs </w:t>
      </w:r>
      <w:r w:rsidR="00AA2D31">
        <w:t>are</w:t>
      </w:r>
      <w:r w:rsidR="00514894">
        <w:t xml:space="preserve"> already considered.</w:t>
      </w:r>
      <w:r w:rsidR="008358F7">
        <w:t xml:space="preserve"> </w:t>
      </w:r>
      <w:r w:rsidR="00210D86">
        <w:lastRenderedPageBreak/>
        <w:t xml:space="preserve">For low and medium temperature DHN, decentralized heat pumps are necessary to elevate the temperature of the heat to the </w:t>
      </w:r>
      <w:r w:rsidR="003E3E3C">
        <w:t>one</w:t>
      </w:r>
      <w:r w:rsidR="00210D86">
        <w:t xml:space="preserve"> of the</w:t>
      </w:r>
      <w:r w:rsidR="003E3E3C" w:rsidRPr="003E3E3C">
        <w:t xml:space="preserve"> </w:t>
      </w:r>
      <w:r w:rsidR="003E3E3C">
        <w:t>buildings</w:t>
      </w:r>
      <w:r w:rsidR="00210D86">
        <w:t xml:space="preserve"> </w:t>
      </w:r>
      <w:r w:rsidR="00385397">
        <w:t>hydraulic</w:t>
      </w:r>
      <w:r w:rsidR="00210D86">
        <w:t xml:space="preserve"> system</w:t>
      </w:r>
      <w:r w:rsidR="003E3E3C">
        <w:t>s</w:t>
      </w:r>
      <w:r w:rsidR="00210D86">
        <w:t xml:space="preserve">. The latter is 65°C for old buildings and 41.5°C for recent ones. </w:t>
      </w:r>
    </w:p>
    <w:p w14:paraId="144DE6A5" w14:textId="2570C009" w:rsidR="008D2649" w:rsidRPr="00A94774" w:rsidRDefault="00C82318" w:rsidP="008D2649">
      <w:pPr>
        <w:pStyle w:val="Els-1storder-head"/>
        <w:spacing w:after="120"/>
        <w:rPr>
          <w:lang w:val="en-GB"/>
        </w:rPr>
      </w:pPr>
      <w:r>
        <w:rPr>
          <w:lang w:val="en-GB"/>
        </w:rPr>
        <w:t>Results and Discussion</w:t>
      </w:r>
    </w:p>
    <w:p w14:paraId="390F989F" w14:textId="674E6903" w:rsidR="00876991" w:rsidRDefault="008E58C0" w:rsidP="00382B8F">
      <w:pPr>
        <w:jc w:val="both"/>
      </w:pPr>
      <w:r>
        <w:t>The following analysis look</w:t>
      </w:r>
      <w:r w:rsidR="00AA2D31">
        <w:t>s</w:t>
      </w:r>
      <w:r>
        <w:t xml:space="preserve"> at the impact of DHN</w:t>
      </w:r>
      <w:r w:rsidR="000B18D1">
        <w:t xml:space="preserve"> temperature</w:t>
      </w:r>
      <w:r w:rsidR="00B87618">
        <w:t>s</w:t>
      </w:r>
      <w:r>
        <w:t xml:space="preserve"> and waste heat availability on investment and operation design. Figure 1 </w:t>
      </w:r>
      <w:r w:rsidR="000B18D1">
        <w:t xml:space="preserve">is showing costs and PV integration as a function of the heat available from the industry, expressed </w:t>
      </w:r>
      <w:r w:rsidR="00B87618">
        <w:t>by the</w:t>
      </w:r>
      <w:r w:rsidR="000B18D1">
        <w:t xml:space="preserve"> ratio between</w:t>
      </w:r>
      <w:r w:rsidR="006761CA">
        <w:t xml:space="preserve"> the</w:t>
      </w:r>
      <w:r w:rsidR="000B18D1">
        <w:t xml:space="preserve"> waste heat power and</w:t>
      </w:r>
      <w:r w:rsidR="006761CA">
        <w:t xml:space="preserve"> the</w:t>
      </w:r>
      <w:r w:rsidR="000B18D1">
        <w:t xml:space="preserve"> heat demand </w:t>
      </w:r>
      <w:r w:rsidR="006761CA">
        <w:t xml:space="preserve">peak power </w:t>
      </w:r>
      <w:r w:rsidR="000B18D1">
        <w:t xml:space="preserve">from the district. </w:t>
      </w:r>
    </w:p>
    <w:p w14:paraId="2920A7B5" w14:textId="77777777" w:rsidR="008C0479" w:rsidRDefault="008C0479" w:rsidP="00382B8F">
      <w:pPr>
        <w:jc w:val="both"/>
      </w:pPr>
    </w:p>
    <w:p w14:paraId="31EDD1C3" w14:textId="3848174E" w:rsidR="00492EB9" w:rsidRDefault="008C0479" w:rsidP="00492EB9">
      <w:pPr>
        <w:jc w:val="both"/>
      </w:pPr>
      <w:r>
        <w:t xml:space="preserve">Among the three DHN designs, the CAPEX remains </w:t>
      </w:r>
      <w:r w:rsidR="00C6015D">
        <w:t xml:space="preserve">relatively </w:t>
      </w:r>
      <w:r>
        <w:t>constant.</w:t>
      </w:r>
      <w:r w:rsidR="00492EB9">
        <w:t xml:space="preserve"> Industrial waste </w:t>
      </w:r>
      <w:r w:rsidR="00055E10">
        <w:t>heat decreases the</w:t>
      </w:r>
      <w:r w:rsidR="00492EB9">
        <w:t xml:space="preserve"> capacity of the centrali</w:t>
      </w:r>
      <w:r w:rsidR="002B44DC">
        <w:t>z</w:t>
      </w:r>
      <w:r w:rsidR="00492EB9">
        <w:t xml:space="preserve">ed heat pump, but this investment is relatively low compared to the piping investment. In addition, concerning the low and medium temperature DHN, the need for distributed heat pumps makes the CAPEX decrease negligible (respectively </w:t>
      </w:r>
      <w:r w:rsidR="00055E10">
        <w:t xml:space="preserve">0.2% </w:t>
      </w:r>
      <w:r w:rsidR="00492EB9">
        <w:t>and 9.6%). This drop is larger for the high temperature DHN (17.6%) due to the low COP of the heat pump requiring a large capacity.</w:t>
      </w:r>
    </w:p>
    <w:p w14:paraId="0F4025DB" w14:textId="77777777" w:rsidR="00144AB3" w:rsidRDefault="00144AB3" w:rsidP="00382B8F">
      <w:pPr>
        <w:jc w:val="both"/>
      </w:pPr>
    </w:p>
    <w:p w14:paraId="04702191" w14:textId="40BB0CCA" w:rsidR="00217B76" w:rsidRDefault="000C3C10" w:rsidP="00382B8F">
      <w:pPr>
        <w:jc w:val="both"/>
      </w:pPr>
      <w:r>
        <w:t>The analysis is highly contrasting regarding the</w:t>
      </w:r>
      <w:r w:rsidR="005E151B">
        <w:t xml:space="preserve"> OPEX. </w:t>
      </w:r>
      <w:r>
        <w:t>Without waste heat recovery</w:t>
      </w:r>
      <w:r w:rsidR="005E151B">
        <w:t xml:space="preserve">, the high temperature </w:t>
      </w:r>
      <w:r>
        <w:t>design</w:t>
      </w:r>
      <w:r w:rsidR="005E151B">
        <w:t xml:space="preserve"> is twice </w:t>
      </w:r>
      <w:r>
        <w:t xml:space="preserve">more expensive than </w:t>
      </w:r>
      <w:r w:rsidR="005E151B">
        <w:t xml:space="preserve">the low temperature </w:t>
      </w:r>
      <w:r>
        <w:t>one</w:t>
      </w:r>
      <w:r w:rsidR="005E151B">
        <w:t xml:space="preserve">. </w:t>
      </w:r>
      <w:r w:rsidR="008C28C8">
        <w:t xml:space="preserve">This is </w:t>
      </w:r>
      <w:r w:rsidR="000F40E3">
        <w:t xml:space="preserve">mainly due to the </w:t>
      </w:r>
      <w:r w:rsidR="008C28C8">
        <w:t xml:space="preserve">COP of the </w:t>
      </w:r>
      <w:r w:rsidR="000F40E3">
        <w:t xml:space="preserve">centralized </w:t>
      </w:r>
      <w:r w:rsidR="008C28C8">
        <w:t xml:space="preserve">heat pump, </w:t>
      </w:r>
      <w:r w:rsidR="000F40E3">
        <w:t>varying by a factor 8</w:t>
      </w:r>
      <w:r w:rsidR="008C28C8">
        <w:t xml:space="preserve">. The poor performance of the high temperature </w:t>
      </w:r>
      <w:r w:rsidR="00055E10">
        <w:t>DHN</w:t>
      </w:r>
      <w:r w:rsidR="008C28C8">
        <w:t xml:space="preserve"> is partly compensated by a higher investment into PV panel</w:t>
      </w:r>
      <w:r w:rsidR="002B44DC">
        <w:t>s</w:t>
      </w:r>
      <w:r w:rsidR="008C28C8">
        <w:t xml:space="preserve"> to access cheap and renewable electricity</w:t>
      </w:r>
      <w:r w:rsidR="000F40E3">
        <w:t xml:space="preserve"> (Figure 1b)</w:t>
      </w:r>
      <w:r w:rsidR="008C28C8">
        <w:t xml:space="preserve">. </w:t>
      </w:r>
      <w:r w:rsidR="00AA2D31">
        <w:t>The OPEX and PV penetration are</w:t>
      </w:r>
      <w:r w:rsidR="008C28C8">
        <w:t xml:space="preserve"> highly sensitive to waste heat availability</w:t>
      </w:r>
      <w:r w:rsidR="00AA2D31">
        <w:t xml:space="preserve"> a</w:t>
      </w:r>
      <w:r w:rsidR="008C28C8">
        <w:t xml:space="preserve">nd the </w:t>
      </w:r>
      <w:r w:rsidR="00AA2D31">
        <w:t>sensitivity increases with</w:t>
      </w:r>
      <w:r w:rsidR="008C28C8">
        <w:t xml:space="preserve"> the temperature of the DHN. </w:t>
      </w:r>
      <w:r w:rsidR="00AA2D31">
        <w:t xml:space="preserve">It appears that waste heat and renewable electricity from PV panels are acting like too competing energy sources. Therefore, the highest the exergy content of the waste heat source, the lower the profitability of PV integration. </w:t>
      </w:r>
      <w:r w:rsidR="00A52EBB">
        <w:t>This trend is as well visible from the end</w:t>
      </w:r>
      <w:r w:rsidR="002B44DC">
        <w:t xml:space="preserve"> </w:t>
      </w:r>
      <w:r w:rsidR="00A52EBB">
        <w:t>use of renewable electricity. Electricity exports are increasing (+12.3%) together with the share of waste heat available due to the low</w:t>
      </w:r>
      <w:r w:rsidR="00277724">
        <w:t xml:space="preserve"> electricity</w:t>
      </w:r>
      <w:r w:rsidR="00A52EBB">
        <w:t xml:space="preserve"> self-consumption within the district.</w:t>
      </w:r>
      <w:r w:rsidR="00277724">
        <w:t xml:space="preserve"> </w:t>
      </w:r>
      <w:r w:rsidR="002B44DC">
        <w:t>In</w:t>
      </w:r>
      <w:r w:rsidR="00244678">
        <w:t xml:space="preserve"> conclusion, the </w:t>
      </w:r>
      <w:r w:rsidR="00382B8F">
        <w:t xml:space="preserve">sector coupling </w:t>
      </w:r>
      <w:r w:rsidR="00244678">
        <w:t>between industry and residential energy system generate</w:t>
      </w:r>
      <w:r w:rsidR="00CF1979">
        <w:t>s</w:t>
      </w:r>
      <w:r w:rsidR="00244678">
        <w:t xml:space="preserve"> a loss of profitability for</w:t>
      </w:r>
      <w:r w:rsidR="00CF1979">
        <w:t xml:space="preserve"> certain</w:t>
      </w:r>
      <w:r w:rsidR="00244678">
        <w:t xml:space="preserve"> investments</w:t>
      </w:r>
      <w:r w:rsidR="00CF1979">
        <w:t xml:space="preserve">, such as the ones in PV panels. </w:t>
      </w:r>
      <w:r w:rsidR="00741D60">
        <w:t>I</w:t>
      </w:r>
      <w:r w:rsidR="00277724" w:rsidRPr="00277724">
        <w:t xml:space="preserve">t should be noted </w:t>
      </w:r>
      <w:r w:rsidR="00CF1979">
        <w:t xml:space="preserve">that the higher the exergy efficiency, the lower </w:t>
      </w:r>
      <w:r w:rsidR="00277724">
        <w:t>are the investment and operation decision change. Therefore, the</w:t>
      </w:r>
      <w:r w:rsidR="00CF1979">
        <w:t xml:space="preserve"> risk</w:t>
      </w:r>
      <w:r w:rsidR="00277724">
        <w:t>s</w:t>
      </w:r>
      <w:r w:rsidR="00CF1979">
        <w:t xml:space="preserve"> for the residential sector</w:t>
      </w:r>
      <w:r w:rsidR="00277724">
        <w:t xml:space="preserve"> are mitigated</w:t>
      </w:r>
      <w:r w:rsidR="00CF1979">
        <w:t xml:space="preserve">. </w:t>
      </w:r>
    </w:p>
    <w:p w14:paraId="201ACB36" w14:textId="77777777" w:rsidR="00D41BEC" w:rsidRDefault="00D41BEC" w:rsidP="00382B8F">
      <w:pPr>
        <w:jc w:val="both"/>
      </w:pPr>
    </w:p>
    <w:p w14:paraId="340DD965" w14:textId="65BA11FF" w:rsidR="00145B3D" w:rsidRDefault="00091B2D" w:rsidP="00145B3D">
      <w:pPr>
        <w:keepNext/>
        <w:jc w:val="both"/>
      </w:pPr>
      <w:r>
        <w:rPr>
          <w:noProof/>
        </w:rPr>
        <w:drawing>
          <wp:inline distT="0" distB="0" distL="0" distR="0" wp14:anchorId="2E51463E" wp14:editId="5469D712">
            <wp:extent cx="4499610" cy="2012315"/>
            <wp:effectExtent l="0" t="0" r="0" b="0"/>
            <wp:docPr id="895747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4767" name="Image 895747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2012315"/>
                    </a:xfrm>
                    <a:prstGeom prst="rect">
                      <a:avLst/>
                    </a:prstGeom>
                  </pic:spPr>
                </pic:pic>
              </a:graphicData>
            </a:graphic>
          </wp:inline>
        </w:drawing>
      </w:r>
    </w:p>
    <w:p w14:paraId="557C3CDE" w14:textId="1A37FD99" w:rsidR="00091B2D" w:rsidRPr="00091B2D" w:rsidRDefault="00145B3D" w:rsidP="00091B2D">
      <w:pPr>
        <w:pStyle w:val="Lgende"/>
        <w:jc w:val="both"/>
      </w:pPr>
      <w:r>
        <w:t xml:space="preserve">Figure </w:t>
      </w:r>
      <w:r>
        <w:fldChar w:fldCharType="begin"/>
      </w:r>
      <w:r>
        <w:instrText xml:space="preserve"> SEQ Figure \* ARABIC </w:instrText>
      </w:r>
      <w:r>
        <w:fldChar w:fldCharType="separate"/>
      </w:r>
      <w:r>
        <w:rPr>
          <w:noProof/>
        </w:rPr>
        <w:t>1</w:t>
      </w:r>
      <w:r>
        <w:fldChar w:fldCharType="end"/>
      </w:r>
      <w:r>
        <w:t xml:space="preserve">: </w:t>
      </w:r>
      <w:r w:rsidR="001A03E4">
        <w:t>Costs and PV integration metrics with respect to waste heat recovery availability.</w:t>
      </w:r>
    </w:p>
    <w:p w14:paraId="2A2DEC6E" w14:textId="462B6095" w:rsidR="00921218" w:rsidRPr="00735AE0" w:rsidRDefault="000F42A2" w:rsidP="00D41BEC">
      <w:pPr>
        <w:pStyle w:val="Els-caption"/>
        <w:jc w:val="both"/>
      </w:pPr>
      <w:r>
        <w:rPr>
          <w:sz w:val="20"/>
        </w:rPr>
        <w:lastRenderedPageBreak/>
        <w:t xml:space="preserve">Beside reducing computational time, the decomposition approach provides insightful measurements of the system dynamics described previously. </w:t>
      </w:r>
      <w:r w:rsidR="000F12C2">
        <w:rPr>
          <w:sz w:val="20"/>
        </w:rPr>
        <w:t>T</w:t>
      </w:r>
      <w:r w:rsidR="00184807">
        <w:rPr>
          <w:sz w:val="20"/>
        </w:rPr>
        <w:t>he dual values of the energy balances (Eq</w:t>
      </w:r>
      <w:r w:rsidR="007A6521">
        <w:rPr>
          <w:sz w:val="20"/>
        </w:rPr>
        <w:t>.</w:t>
      </w:r>
      <w:r w:rsidR="00184807">
        <w:rPr>
          <w:sz w:val="20"/>
        </w:rPr>
        <w:t xml:space="preserve"> </w:t>
      </w:r>
      <w:r w:rsidR="00434EE1">
        <w:rPr>
          <w:sz w:val="20"/>
        </w:rPr>
        <w:t>1</w:t>
      </w:r>
      <w:r w:rsidR="00184807">
        <w:rPr>
          <w:sz w:val="20"/>
        </w:rPr>
        <w:t>)</w:t>
      </w:r>
      <w:r w:rsidR="000F12C2">
        <w:rPr>
          <w:sz w:val="20"/>
        </w:rPr>
        <w:t xml:space="preserve"> </w:t>
      </w:r>
      <w:r>
        <w:rPr>
          <w:sz w:val="20"/>
        </w:rPr>
        <w:t>are the</w:t>
      </w:r>
      <w:r w:rsidR="000F12C2">
        <w:rPr>
          <w:sz w:val="20"/>
        </w:rPr>
        <w:t xml:space="preserve"> price signals </w:t>
      </w:r>
      <w:r>
        <w:rPr>
          <w:sz w:val="20"/>
        </w:rPr>
        <w:t>sent by</w:t>
      </w:r>
      <w:r w:rsidR="000F12C2">
        <w:rPr>
          <w:sz w:val="20"/>
        </w:rPr>
        <w:t xml:space="preserve"> the district energy system to the buildings</w:t>
      </w:r>
      <w:r w:rsidR="00184807">
        <w:rPr>
          <w:sz w:val="20"/>
        </w:rPr>
        <w:t xml:space="preserve">. </w:t>
      </w:r>
      <w:r w:rsidR="000F12C2">
        <w:rPr>
          <w:sz w:val="20"/>
        </w:rPr>
        <w:t xml:space="preserve">Figure 2 shows </w:t>
      </w:r>
      <w:r>
        <w:rPr>
          <w:sz w:val="20"/>
        </w:rPr>
        <w:t xml:space="preserve">their values, being </w:t>
      </w:r>
      <w:r w:rsidR="000F12C2">
        <w:rPr>
          <w:sz w:val="20"/>
        </w:rPr>
        <w:t xml:space="preserve">the marginal cost of heat and electricity. </w:t>
      </w:r>
      <w:r>
        <w:rPr>
          <w:sz w:val="20"/>
        </w:rPr>
        <w:t>Each figure is showing the 10 typical days one after the other. In Figure 2a</w:t>
      </w:r>
      <w:r w:rsidR="000F12C2">
        <w:rPr>
          <w:sz w:val="20"/>
        </w:rPr>
        <w:t xml:space="preserve">, no waste heat is available. </w:t>
      </w:r>
      <w:r>
        <w:rPr>
          <w:sz w:val="20"/>
        </w:rPr>
        <w:t>The marginal cost of electricity oscillates between the retail and feed-in tariff, depending on whether the district is on net import or export of electricity. The synergies between the two energy carriers are clear since the two profiles are highly correlated.</w:t>
      </w:r>
      <w:r w:rsidR="007A6521">
        <w:rPr>
          <w:sz w:val="20"/>
        </w:rPr>
        <w:t xml:space="preserve"> T</w:t>
      </w:r>
      <w:r w:rsidR="002F6129">
        <w:rPr>
          <w:sz w:val="20"/>
        </w:rPr>
        <w:t xml:space="preserve">he marginal cost of heat considers as well the efficiency of the system since </w:t>
      </w:r>
      <w:r w:rsidR="00C72D5C">
        <w:rPr>
          <w:sz w:val="20"/>
        </w:rPr>
        <w:t>its value is proportional to the COP of the heat pumps, thus to the temperatures of the DHN.</w:t>
      </w:r>
      <w:r w:rsidR="002F6129">
        <w:rPr>
          <w:sz w:val="20"/>
        </w:rPr>
        <w:t xml:space="preserve">  </w:t>
      </w:r>
    </w:p>
    <w:p w14:paraId="644F2A19" w14:textId="23C35044" w:rsidR="00921218" w:rsidRPr="003B24AE" w:rsidRDefault="003B24AE" w:rsidP="00382B8F">
      <w:pPr>
        <w:jc w:val="both"/>
        <w:rPr>
          <w:lang w:val="en-US"/>
        </w:rPr>
      </w:pPr>
      <w:r>
        <w:rPr>
          <w:noProof/>
          <w:lang w:val="en-US"/>
        </w:rPr>
        <w:drawing>
          <wp:inline distT="0" distB="0" distL="0" distR="0" wp14:anchorId="16EAF442" wp14:editId="51C5019F">
            <wp:extent cx="4499610" cy="4534535"/>
            <wp:effectExtent l="0" t="0" r="0" b="0"/>
            <wp:docPr id="3808971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97191" name="Image 38089719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610" cy="4534535"/>
                    </a:xfrm>
                    <a:prstGeom prst="rect">
                      <a:avLst/>
                    </a:prstGeom>
                  </pic:spPr>
                </pic:pic>
              </a:graphicData>
            </a:graphic>
          </wp:inline>
        </w:drawing>
      </w:r>
    </w:p>
    <w:p w14:paraId="237512E4" w14:textId="5D62878C" w:rsidR="00D41BEC" w:rsidRPr="00D41BEC" w:rsidRDefault="001A03E4" w:rsidP="00D41BEC">
      <w:pPr>
        <w:pStyle w:val="Lgende"/>
        <w:jc w:val="both"/>
      </w:pPr>
      <w:r>
        <w:t xml:space="preserve">Figure 2: </w:t>
      </w:r>
      <w:r w:rsidR="00AC6606">
        <w:t xml:space="preserve">Dual values of the energy and capacity </w:t>
      </w:r>
      <w:r w:rsidR="00A853AB">
        <w:t xml:space="preserve">constraints for a) no waste heat, b) no waste heat and electrical capacity of 400 kW, c) </w:t>
      </w:r>
      <w:r w:rsidR="00A853AB">
        <w:rPr>
          <w:sz w:val="20"/>
        </w:rPr>
        <w:t xml:space="preserve">0.5 </w:t>
      </w:r>
      <m:oMath>
        <m:f>
          <m:fPr>
            <m:ctrlPr>
              <w:rPr>
                <w:rFonts w:ascii="Cambria Math" w:hAnsi="Cambria Math"/>
                <w:i/>
                <w:sz w:val="13"/>
                <w:szCs w:val="13"/>
              </w:rPr>
            </m:ctrlPr>
          </m:fPr>
          <m:num>
            <m:r>
              <w:rPr>
                <w:rFonts w:ascii="Cambria Math" w:hAnsi="Cambria Math"/>
                <w:sz w:val="13"/>
                <w:szCs w:val="13"/>
              </w:rPr>
              <m:t>k</m:t>
            </m:r>
            <m:sSub>
              <m:sSubPr>
                <m:ctrlPr>
                  <w:rPr>
                    <w:rFonts w:ascii="Cambria Math" w:hAnsi="Cambria Math"/>
                    <w:i/>
                    <w:sz w:val="13"/>
                    <w:szCs w:val="13"/>
                  </w:rPr>
                </m:ctrlPr>
              </m:sSubPr>
              <m:e>
                <m:r>
                  <w:rPr>
                    <w:rFonts w:ascii="Cambria Math" w:hAnsi="Cambria Math"/>
                    <w:sz w:val="13"/>
                    <w:szCs w:val="13"/>
                  </w:rPr>
                  <m:t>W</m:t>
                </m:r>
              </m:e>
              <m:sub>
                <m:r>
                  <w:rPr>
                    <w:rFonts w:ascii="Cambria Math" w:hAnsi="Cambria Math"/>
                    <w:sz w:val="13"/>
                    <w:szCs w:val="13"/>
                  </w:rPr>
                  <m:t>p, industry</m:t>
                </m:r>
              </m:sub>
            </m:sSub>
          </m:num>
          <m:den>
            <m:r>
              <w:rPr>
                <w:rFonts w:ascii="Cambria Math" w:hAnsi="Cambria Math"/>
                <w:sz w:val="13"/>
                <w:szCs w:val="13"/>
              </w:rPr>
              <m:t>k</m:t>
            </m:r>
            <m:sSub>
              <m:sSubPr>
                <m:ctrlPr>
                  <w:rPr>
                    <w:rFonts w:ascii="Cambria Math" w:hAnsi="Cambria Math"/>
                    <w:i/>
                    <w:sz w:val="13"/>
                    <w:szCs w:val="13"/>
                  </w:rPr>
                </m:ctrlPr>
              </m:sSubPr>
              <m:e>
                <m:r>
                  <w:rPr>
                    <w:rFonts w:ascii="Cambria Math" w:hAnsi="Cambria Math"/>
                    <w:sz w:val="13"/>
                    <w:szCs w:val="13"/>
                  </w:rPr>
                  <m:t>W</m:t>
                </m:r>
              </m:e>
              <m:sub>
                <m:r>
                  <w:rPr>
                    <w:rFonts w:ascii="Cambria Math" w:hAnsi="Cambria Math"/>
                    <w:sz w:val="13"/>
                    <w:szCs w:val="13"/>
                  </w:rPr>
                  <m:t>p, demand</m:t>
                </m:r>
              </m:sub>
            </m:sSub>
          </m:den>
        </m:f>
      </m:oMath>
      <w:r w:rsidR="00A853AB">
        <w:rPr>
          <w:sz w:val="13"/>
          <w:szCs w:val="13"/>
        </w:rPr>
        <w:t xml:space="preserve"> </w:t>
      </w:r>
      <w:r w:rsidR="00A853AB">
        <w:t>waste heat and electrical capacity of 400 kW</w:t>
      </w:r>
    </w:p>
    <w:p w14:paraId="408B9423" w14:textId="45BED7AF" w:rsidR="007A6521" w:rsidRDefault="00D41BEC" w:rsidP="00D41BEC">
      <w:pPr>
        <w:pStyle w:val="Els-caption"/>
        <w:jc w:val="both"/>
        <w:rPr>
          <w:sz w:val="20"/>
        </w:rPr>
      </w:pPr>
      <w:r>
        <w:rPr>
          <w:sz w:val="20"/>
        </w:rPr>
        <w:t xml:space="preserve">The second scenario presented in Figure 2b is similar to the first one, but a capacity constraint of 400 kW has been set on the electricity grid. This constraint decreases the investment into PV panels, therefore making the system net importer over the </w:t>
      </w:r>
      <w:r w:rsidR="002B44DC">
        <w:rPr>
          <w:sz w:val="20"/>
        </w:rPr>
        <w:t>first two</w:t>
      </w:r>
      <w:r>
        <w:rPr>
          <w:sz w:val="20"/>
        </w:rPr>
        <w:t xml:space="preserve"> typical days. In addition, the profiles depict positive and negative peaks whenever the </w:t>
      </w:r>
    </w:p>
    <w:p w14:paraId="423D9EE0" w14:textId="45652DAA" w:rsidR="00D41BEC" w:rsidRDefault="00D41BEC" w:rsidP="00D41BEC">
      <w:pPr>
        <w:pStyle w:val="Els-caption"/>
        <w:jc w:val="both"/>
        <w:rPr>
          <w:sz w:val="20"/>
        </w:rPr>
      </w:pPr>
      <w:r>
        <w:rPr>
          <w:sz w:val="20"/>
        </w:rPr>
        <w:lastRenderedPageBreak/>
        <w:t>system is reaching the maximal capacity of the electrical grid. It is worth mentioning that for some time</w:t>
      </w:r>
      <w:r w:rsidR="002B44DC">
        <w:rPr>
          <w:sz w:val="20"/>
        </w:rPr>
        <w:t xml:space="preserve"> </w:t>
      </w:r>
      <w:r>
        <w:rPr>
          <w:sz w:val="20"/>
        </w:rPr>
        <w:t>steps the electricity marginal cost is negative. It means that the system is decreasing its TOTEX if it consumes more electricity, because it avoids changing configuration.</w:t>
      </w:r>
    </w:p>
    <w:p w14:paraId="26EB7F4E" w14:textId="3F227A2D" w:rsidR="00D41BEC" w:rsidRPr="00D41BEC" w:rsidRDefault="00D41BEC" w:rsidP="00D41BEC">
      <w:pPr>
        <w:pStyle w:val="Els-caption"/>
        <w:jc w:val="both"/>
        <w:rPr>
          <w:sz w:val="20"/>
        </w:rPr>
      </w:pPr>
      <w:r>
        <w:rPr>
          <w:sz w:val="20"/>
        </w:rPr>
        <w:t xml:space="preserve">Finally, a last scenario is built to demonstrate the impact of waste heat recovery (Figure 2c). It possesses the same electrical capacity and has a heat capacity of 0.5 </w:t>
      </w:r>
      <m:oMath>
        <m:f>
          <m:fPr>
            <m:ctrlPr>
              <w:rPr>
                <w:rFonts w:ascii="Cambria Math" w:hAnsi="Cambria Math"/>
                <w:i/>
                <w:sz w:val="13"/>
                <w:szCs w:val="13"/>
              </w:rPr>
            </m:ctrlPr>
          </m:fPr>
          <m:num>
            <m:r>
              <w:rPr>
                <w:rFonts w:ascii="Cambria Math" w:hAnsi="Cambria Math"/>
                <w:sz w:val="13"/>
                <w:szCs w:val="13"/>
              </w:rPr>
              <m:t>k</m:t>
            </m:r>
            <m:sSub>
              <m:sSubPr>
                <m:ctrlPr>
                  <w:rPr>
                    <w:rFonts w:ascii="Cambria Math" w:hAnsi="Cambria Math"/>
                    <w:i/>
                    <w:sz w:val="13"/>
                    <w:szCs w:val="13"/>
                  </w:rPr>
                </m:ctrlPr>
              </m:sSubPr>
              <m:e>
                <m:r>
                  <w:rPr>
                    <w:rFonts w:ascii="Cambria Math" w:hAnsi="Cambria Math"/>
                    <w:sz w:val="13"/>
                    <w:szCs w:val="13"/>
                  </w:rPr>
                  <m:t>W</m:t>
                </m:r>
              </m:e>
              <m:sub>
                <m:r>
                  <w:rPr>
                    <w:rFonts w:ascii="Cambria Math" w:hAnsi="Cambria Math"/>
                    <w:sz w:val="13"/>
                    <w:szCs w:val="13"/>
                  </w:rPr>
                  <m:t>p, industry</m:t>
                </m:r>
              </m:sub>
            </m:sSub>
          </m:num>
          <m:den>
            <m:r>
              <w:rPr>
                <w:rFonts w:ascii="Cambria Math" w:hAnsi="Cambria Math"/>
                <w:sz w:val="13"/>
                <w:szCs w:val="13"/>
              </w:rPr>
              <m:t>k</m:t>
            </m:r>
            <m:sSub>
              <m:sSubPr>
                <m:ctrlPr>
                  <w:rPr>
                    <w:rFonts w:ascii="Cambria Math" w:hAnsi="Cambria Math"/>
                    <w:i/>
                    <w:sz w:val="13"/>
                    <w:szCs w:val="13"/>
                  </w:rPr>
                </m:ctrlPr>
              </m:sSubPr>
              <m:e>
                <m:r>
                  <w:rPr>
                    <w:rFonts w:ascii="Cambria Math" w:hAnsi="Cambria Math"/>
                    <w:sz w:val="13"/>
                    <w:szCs w:val="13"/>
                  </w:rPr>
                  <m:t>W</m:t>
                </m:r>
              </m:e>
              <m:sub>
                <m:r>
                  <w:rPr>
                    <w:rFonts w:ascii="Cambria Math" w:hAnsi="Cambria Math"/>
                    <w:sz w:val="13"/>
                    <w:szCs w:val="13"/>
                  </w:rPr>
                  <m:t>p, demand</m:t>
                </m:r>
              </m:sub>
            </m:sSub>
          </m:den>
        </m:f>
      </m:oMath>
      <w:r>
        <w:rPr>
          <w:sz w:val="20"/>
        </w:rPr>
        <w:t xml:space="preserve">. The electricity marginal cost has a similar profile than in the second scenario. However, the heat profile is </w:t>
      </w:r>
      <w:r w:rsidR="002B44DC">
        <w:rPr>
          <w:sz w:val="20"/>
        </w:rPr>
        <w:t>un</w:t>
      </w:r>
      <w:r>
        <w:rPr>
          <w:sz w:val="20"/>
        </w:rPr>
        <w:t xml:space="preserve">correlated to the electricity tariff over the last 4 typical days. This is due to the waste heat competing with renewable electricity, therefore screening the influence of electricity on the heat marginal cost. The outcome is serious. It means that cross-sectorial coupling is reducing cross-energy carrier coupling. In other words, if the waste heat is due to inefficient processes, not only the industry will sell </w:t>
      </w:r>
      <w:r w:rsidR="007A6521">
        <w:rPr>
          <w:sz w:val="20"/>
        </w:rPr>
        <w:t xml:space="preserve">its </w:t>
      </w:r>
      <w:r>
        <w:rPr>
          <w:sz w:val="20"/>
        </w:rPr>
        <w:t xml:space="preserve">inefficiency to the residential sector, but it will also reduce the energy efficiency of the residential </w:t>
      </w:r>
      <w:r w:rsidR="00B17505">
        <w:rPr>
          <w:sz w:val="20"/>
        </w:rPr>
        <w:t>energy system</w:t>
      </w:r>
      <w:r>
        <w:rPr>
          <w:sz w:val="20"/>
        </w:rPr>
        <w:t>.</w:t>
      </w:r>
    </w:p>
    <w:p w14:paraId="29D89C8F" w14:textId="56FDB808" w:rsidR="00C82318" w:rsidRPr="00A94774" w:rsidRDefault="00C82318" w:rsidP="00C82318">
      <w:pPr>
        <w:pStyle w:val="Els-1storder-head"/>
        <w:spacing w:after="120"/>
        <w:rPr>
          <w:lang w:val="en-GB"/>
        </w:rPr>
      </w:pPr>
      <w:r>
        <w:rPr>
          <w:lang w:val="en-GB"/>
        </w:rPr>
        <w:t>Conclusion</w:t>
      </w:r>
    </w:p>
    <w:p w14:paraId="09CE7B0C" w14:textId="6CEE2117" w:rsidR="00906DC9" w:rsidRPr="00D84750" w:rsidRDefault="00046C6C" w:rsidP="00906DC9">
      <w:pPr>
        <w:pStyle w:val="Els-body-text"/>
        <w:rPr>
          <w:lang w:val="en-GB"/>
        </w:rPr>
      </w:pPr>
      <w:r>
        <w:rPr>
          <w:lang w:val="en-GB"/>
        </w:rPr>
        <w:t xml:space="preserve">The aim of this paper was to demonstrate the sectorial and energy carriers coupling between a residential energy system and an industry delivering waste heat. The energy community is </w:t>
      </w:r>
      <w:proofErr w:type="spellStart"/>
      <w:r>
        <w:rPr>
          <w:lang w:val="en-GB"/>
        </w:rPr>
        <w:t>modeled</w:t>
      </w:r>
      <w:proofErr w:type="spellEnd"/>
      <w:r>
        <w:rPr>
          <w:lang w:val="en-GB"/>
        </w:rPr>
        <w:t xml:space="preserve"> as an energy hub being connected to a district heating network </w:t>
      </w:r>
      <w:r w:rsidR="003B6EBB">
        <w:rPr>
          <w:lang w:val="en-GB"/>
        </w:rPr>
        <w:t xml:space="preserve">and to </w:t>
      </w:r>
      <w:r>
        <w:rPr>
          <w:lang w:val="en-GB"/>
        </w:rPr>
        <w:t>electricity and natural gas grid</w:t>
      </w:r>
      <w:r w:rsidR="002B44DC">
        <w:rPr>
          <w:lang w:val="en-GB"/>
        </w:rPr>
        <w:t>s</w:t>
      </w:r>
      <w:r>
        <w:rPr>
          <w:lang w:val="en-GB"/>
        </w:rPr>
        <w:t>. The Dantzig-Wolfe decomposition is applied on the problem</w:t>
      </w:r>
      <w:r w:rsidR="00ED049E">
        <w:rPr>
          <w:lang w:val="en-GB"/>
        </w:rPr>
        <w:t xml:space="preserve"> to</w:t>
      </w:r>
      <w:r>
        <w:rPr>
          <w:lang w:val="en-GB"/>
        </w:rPr>
        <w:t xml:space="preserve"> </w:t>
      </w:r>
      <w:r w:rsidR="002B44DC">
        <w:rPr>
          <w:lang w:val="en-GB"/>
        </w:rPr>
        <w:t>reduc</w:t>
      </w:r>
      <w:r w:rsidR="00ED049E">
        <w:rPr>
          <w:lang w:val="en-GB"/>
        </w:rPr>
        <w:t>e</w:t>
      </w:r>
      <w:r>
        <w:rPr>
          <w:lang w:val="en-GB"/>
        </w:rPr>
        <w:t xml:space="preserve"> computational time. </w:t>
      </w:r>
      <w:r w:rsidR="003B6EBB">
        <w:rPr>
          <w:lang w:val="en-GB"/>
        </w:rPr>
        <w:t>This method is based on the use of dual variables. Interestingly, t</w:t>
      </w:r>
      <w:r>
        <w:rPr>
          <w:lang w:val="en-GB"/>
        </w:rPr>
        <w:t>he dual values of the energy balances and grid capacity constraints provide a physical meaning on the dynamics of the system. They inform on the</w:t>
      </w:r>
      <w:r w:rsidR="000F42A2">
        <w:rPr>
          <w:lang w:val="en-GB"/>
        </w:rPr>
        <w:t xml:space="preserve"> availability of cheap renewable electricity</w:t>
      </w:r>
      <w:r w:rsidRPr="00046C6C">
        <w:rPr>
          <w:lang w:val="en-GB"/>
        </w:rPr>
        <w:t xml:space="preserve"> </w:t>
      </w:r>
      <w:r>
        <w:rPr>
          <w:lang w:val="en-GB"/>
        </w:rPr>
        <w:t xml:space="preserve">and on the saturation of </w:t>
      </w:r>
      <w:r w:rsidR="00D5740C">
        <w:rPr>
          <w:lang w:val="en-GB"/>
        </w:rPr>
        <w:t>energy</w:t>
      </w:r>
      <w:r>
        <w:rPr>
          <w:lang w:val="en-GB"/>
        </w:rPr>
        <w:t xml:space="preserve"> grids. Moreover, they demonstrate the </w:t>
      </w:r>
      <w:r w:rsidR="000F42A2">
        <w:rPr>
          <w:lang w:val="en-GB"/>
        </w:rPr>
        <w:t xml:space="preserve">synergies </w:t>
      </w:r>
      <w:r>
        <w:rPr>
          <w:lang w:val="en-GB"/>
        </w:rPr>
        <w:t xml:space="preserve">occurring </w:t>
      </w:r>
      <w:r w:rsidR="000F42A2">
        <w:rPr>
          <w:lang w:val="en-GB"/>
        </w:rPr>
        <w:t>between energy carriers</w:t>
      </w:r>
      <w:r>
        <w:rPr>
          <w:lang w:val="en-GB"/>
        </w:rPr>
        <w:t xml:space="preserve"> based on the correlation between </w:t>
      </w:r>
      <w:r w:rsidR="003B6EBB">
        <w:rPr>
          <w:lang w:val="en-GB"/>
        </w:rPr>
        <w:t>energy carriers’</w:t>
      </w:r>
      <w:r>
        <w:rPr>
          <w:lang w:val="en-GB"/>
        </w:rPr>
        <w:t xml:space="preserve"> marginal costs. </w:t>
      </w:r>
      <w:r w:rsidR="00D5740C">
        <w:rPr>
          <w:lang w:val="en-GB"/>
        </w:rPr>
        <w:t xml:space="preserve">Without waste heat recovery, the marginal cost of heat is correlated to the </w:t>
      </w:r>
      <w:r w:rsidR="003B6EBB">
        <w:rPr>
          <w:lang w:val="en-GB"/>
        </w:rPr>
        <w:t>one</w:t>
      </w:r>
      <w:r w:rsidR="00D5740C">
        <w:rPr>
          <w:lang w:val="en-GB"/>
        </w:rPr>
        <w:t xml:space="preserve"> of electricity. However, with the integration of waste heat in the system the correlation between the two drops, especially with waste heat at high temperature. It demonstrates the competition between renewable electricity from the PV panels and waste heat recovery. Therefore, </w:t>
      </w:r>
      <w:r w:rsidR="00184807">
        <w:t>the paper highlights the importance of well-designed sector coupling to pre</w:t>
      </w:r>
      <w:r w:rsidR="00D5740C">
        <w:t>v</w:t>
      </w:r>
      <w:r w:rsidR="00184807">
        <w:t>ent a spillover</w:t>
      </w:r>
      <w:r w:rsidR="00184807" w:rsidRPr="001F385A">
        <w:t xml:space="preserve"> effect</w:t>
      </w:r>
      <w:r w:rsidR="00184807">
        <w:t xml:space="preserve"> of industrial inefficiencies on the residential sector. </w:t>
      </w:r>
      <w:r w:rsidR="00D5740C">
        <w:t xml:space="preserve">Further work could be accomplished on the modeling of the industry site and its integration in a nested decomposition accounting </w:t>
      </w:r>
      <w:r w:rsidR="00CA553D">
        <w:t xml:space="preserve">for both </w:t>
      </w:r>
      <w:r w:rsidR="00D5740C">
        <w:t>industrial processes and urban planning in a single optimization.</w:t>
      </w:r>
    </w:p>
    <w:p w14:paraId="144DE6BF" w14:textId="608D0AD6" w:rsidR="008D2649" w:rsidRDefault="008D2649" w:rsidP="008D2649">
      <w:pPr>
        <w:pStyle w:val="Els-reference-head"/>
      </w:pPr>
      <w:r>
        <w:t>References</w:t>
      </w:r>
    </w:p>
    <w:p w14:paraId="7A2ACE85" w14:textId="77777777" w:rsidR="00887730" w:rsidRPr="00887730" w:rsidRDefault="004B3C30" w:rsidP="00ED049E">
      <w:pPr>
        <w:pStyle w:val="Bibliographie2"/>
        <w:numPr>
          <w:ilvl w:val="0"/>
          <w:numId w:val="25"/>
        </w:numPr>
        <w:rPr>
          <w:rFonts w:ascii="Times New Roman" w:hAnsi="Times New Roman"/>
          <w:sz w:val="18"/>
          <w:lang w:val="en-US"/>
        </w:rPr>
      </w:pPr>
      <w:r w:rsidRPr="00467D33">
        <w:rPr>
          <w:sz w:val="18"/>
        </w:rPr>
        <w:fldChar w:fldCharType="begin"/>
      </w:r>
      <w:r w:rsidR="00887730">
        <w:rPr>
          <w:sz w:val="18"/>
          <w:lang w:val="en-US"/>
        </w:rPr>
        <w:instrText xml:space="preserve"> ADDIN ZOTERO_BIBL {"uncited":[],"omitted":[],"custom":[]} CSL_BIBLIOGRAPHY </w:instrText>
      </w:r>
      <w:r w:rsidRPr="00467D33">
        <w:rPr>
          <w:sz w:val="18"/>
        </w:rPr>
        <w:fldChar w:fldCharType="separate"/>
      </w:r>
      <w:r w:rsidR="00887730" w:rsidRPr="00887730">
        <w:rPr>
          <w:rFonts w:ascii="Times New Roman" w:hAnsi="Times New Roman"/>
          <w:sz w:val="18"/>
          <w:lang w:val="en-US"/>
        </w:rPr>
        <w:t>Girardin, L., 2012. A GIS-based Methodology for the Evaluation of Integrated Energy Systems in Urban Area. EPFL. https://doi.org/10.5075/epfl-thesis-5287</w:t>
      </w:r>
    </w:p>
    <w:p w14:paraId="5741BE00" w14:textId="77777777" w:rsidR="00887730" w:rsidRPr="00887730" w:rsidRDefault="00887730" w:rsidP="00ED049E">
      <w:pPr>
        <w:pStyle w:val="Bibliographie2"/>
        <w:numPr>
          <w:ilvl w:val="0"/>
          <w:numId w:val="25"/>
        </w:numPr>
        <w:rPr>
          <w:rFonts w:ascii="Times New Roman" w:hAnsi="Times New Roman"/>
          <w:sz w:val="18"/>
          <w:lang w:val="en-US"/>
        </w:rPr>
      </w:pPr>
      <w:proofErr w:type="spellStart"/>
      <w:r w:rsidRPr="00887730">
        <w:rPr>
          <w:rFonts w:ascii="Times New Roman" w:hAnsi="Times New Roman"/>
          <w:sz w:val="18"/>
          <w:lang w:val="en-US"/>
        </w:rPr>
        <w:t>Internation</w:t>
      </w:r>
      <w:proofErr w:type="spellEnd"/>
      <w:r w:rsidRPr="00887730">
        <w:rPr>
          <w:rFonts w:ascii="Times New Roman" w:hAnsi="Times New Roman"/>
          <w:sz w:val="18"/>
          <w:lang w:val="en-US"/>
        </w:rPr>
        <w:t xml:space="preserve"> Renewable Energy Agency, 2021. World Energy Transitions Outlook.</w:t>
      </w:r>
    </w:p>
    <w:p w14:paraId="1022DF3E" w14:textId="77777777" w:rsidR="00887730" w:rsidRPr="00887730" w:rsidRDefault="00887730" w:rsidP="00ED049E">
      <w:pPr>
        <w:pStyle w:val="Bibliographie2"/>
        <w:numPr>
          <w:ilvl w:val="0"/>
          <w:numId w:val="25"/>
        </w:numPr>
        <w:rPr>
          <w:rFonts w:ascii="Times New Roman" w:hAnsi="Times New Roman"/>
          <w:sz w:val="18"/>
          <w:lang w:val="en-US"/>
        </w:rPr>
      </w:pPr>
      <w:proofErr w:type="spellStart"/>
      <w:r w:rsidRPr="00887730">
        <w:rPr>
          <w:rFonts w:ascii="Times New Roman" w:hAnsi="Times New Roman"/>
          <w:sz w:val="18"/>
          <w:lang w:val="en-US"/>
        </w:rPr>
        <w:t>Lepour</w:t>
      </w:r>
      <w:proofErr w:type="spellEnd"/>
      <w:r w:rsidRPr="00887730">
        <w:rPr>
          <w:rFonts w:ascii="Times New Roman" w:hAnsi="Times New Roman"/>
          <w:sz w:val="18"/>
          <w:lang w:val="en-US"/>
        </w:rPr>
        <w:t xml:space="preserve">, D., Terrier, C., </w:t>
      </w:r>
      <w:proofErr w:type="spellStart"/>
      <w:r w:rsidRPr="00887730">
        <w:rPr>
          <w:rFonts w:ascii="Times New Roman" w:hAnsi="Times New Roman"/>
          <w:sz w:val="18"/>
          <w:lang w:val="en-US"/>
        </w:rPr>
        <w:t>Middelhauve</w:t>
      </w:r>
      <w:proofErr w:type="spellEnd"/>
      <w:r w:rsidRPr="00887730">
        <w:rPr>
          <w:rFonts w:ascii="Times New Roman" w:hAnsi="Times New Roman"/>
          <w:sz w:val="18"/>
          <w:lang w:val="en-US"/>
        </w:rPr>
        <w:t>, L., 2023. Renewable Energy Hub Optimizer (REHO).</w:t>
      </w:r>
    </w:p>
    <w:p w14:paraId="24DB0DD0" w14:textId="77777777" w:rsidR="00887730" w:rsidRPr="00887730" w:rsidRDefault="00887730" w:rsidP="00ED049E">
      <w:pPr>
        <w:pStyle w:val="Bibliographie2"/>
        <w:numPr>
          <w:ilvl w:val="0"/>
          <w:numId w:val="25"/>
        </w:numPr>
        <w:rPr>
          <w:rFonts w:ascii="Times New Roman" w:hAnsi="Times New Roman"/>
          <w:sz w:val="18"/>
          <w:lang w:val="en-US"/>
        </w:rPr>
      </w:pPr>
      <w:proofErr w:type="spellStart"/>
      <w:r w:rsidRPr="00887730">
        <w:rPr>
          <w:rFonts w:ascii="Times New Roman" w:hAnsi="Times New Roman"/>
          <w:sz w:val="18"/>
          <w:lang w:val="en-US"/>
        </w:rPr>
        <w:t>Middelhauve</w:t>
      </w:r>
      <w:proofErr w:type="spellEnd"/>
      <w:r w:rsidRPr="00887730">
        <w:rPr>
          <w:rFonts w:ascii="Times New Roman" w:hAnsi="Times New Roman"/>
          <w:sz w:val="18"/>
          <w:lang w:val="en-US"/>
        </w:rPr>
        <w:t xml:space="preserve">, </w:t>
      </w:r>
      <w:proofErr w:type="spellStart"/>
      <w:r w:rsidRPr="00887730">
        <w:rPr>
          <w:rFonts w:ascii="Times New Roman" w:hAnsi="Times New Roman"/>
          <w:sz w:val="18"/>
          <w:lang w:val="en-US"/>
        </w:rPr>
        <w:t>Luise</w:t>
      </w:r>
      <w:proofErr w:type="spellEnd"/>
      <w:r w:rsidRPr="00887730">
        <w:rPr>
          <w:rFonts w:ascii="Times New Roman" w:hAnsi="Times New Roman"/>
          <w:sz w:val="18"/>
          <w:lang w:val="en-US"/>
        </w:rPr>
        <w:t>, 2022. On the role of districts as renewable energy hubs. EPFL.</w:t>
      </w:r>
    </w:p>
    <w:p w14:paraId="02ADB890" w14:textId="77777777" w:rsidR="00887730" w:rsidRPr="00887730" w:rsidRDefault="00887730" w:rsidP="00ED049E">
      <w:pPr>
        <w:pStyle w:val="Bibliographie2"/>
        <w:numPr>
          <w:ilvl w:val="0"/>
          <w:numId w:val="25"/>
        </w:numPr>
        <w:rPr>
          <w:rFonts w:ascii="Times New Roman" w:hAnsi="Times New Roman"/>
          <w:sz w:val="18"/>
          <w:lang w:val="en-US"/>
        </w:rPr>
      </w:pPr>
      <w:r w:rsidRPr="00887730">
        <w:rPr>
          <w:rFonts w:ascii="Times New Roman" w:hAnsi="Times New Roman"/>
          <w:sz w:val="18"/>
          <w:lang w:val="en-US"/>
        </w:rPr>
        <w:t xml:space="preserve">Parliament, E., 2018. </w:t>
      </w:r>
      <w:proofErr w:type="gramStart"/>
      <w:r w:rsidRPr="00887730">
        <w:rPr>
          <w:rFonts w:ascii="Times New Roman" w:hAnsi="Times New Roman"/>
          <w:sz w:val="18"/>
          <w:lang w:val="en-US"/>
        </w:rPr>
        <w:t>DIRECTIVE  (</w:t>
      </w:r>
      <w:proofErr w:type="gramEnd"/>
      <w:r w:rsidRPr="00887730">
        <w:rPr>
          <w:rFonts w:ascii="Times New Roman" w:hAnsi="Times New Roman"/>
          <w:sz w:val="18"/>
          <w:lang w:val="en-US"/>
        </w:rPr>
        <w:t>EU)  2018/  2001  OF  THE  EUROPEAN  PARLIAMENT  AND  OF  THE  COUNCIL  -  of  11 December  2018  -  on  the  promotion  of  the  use  of  energy  from  renewable  sources 128.</w:t>
      </w:r>
    </w:p>
    <w:p w14:paraId="5D8E112D" w14:textId="77777777" w:rsidR="00887730" w:rsidRPr="00887730" w:rsidRDefault="00887730" w:rsidP="00ED049E">
      <w:pPr>
        <w:pStyle w:val="Bibliographie2"/>
        <w:numPr>
          <w:ilvl w:val="0"/>
          <w:numId w:val="25"/>
        </w:numPr>
        <w:rPr>
          <w:rFonts w:ascii="Times New Roman" w:hAnsi="Times New Roman"/>
          <w:sz w:val="18"/>
          <w:lang w:val="fr-FR"/>
        </w:rPr>
      </w:pPr>
      <w:r w:rsidRPr="00887730">
        <w:rPr>
          <w:rFonts w:ascii="Times New Roman" w:hAnsi="Times New Roman"/>
          <w:sz w:val="18"/>
          <w:lang w:val="en-US"/>
        </w:rPr>
        <w:t>Raluca-</w:t>
      </w:r>
      <w:proofErr w:type="spellStart"/>
      <w:r w:rsidRPr="00887730">
        <w:rPr>
          <w:rFonts w:ascii="Times New Roman" w:hAnsi="Times New Roman"/>
          <w:sz w:val="18"/>
          <w:lang w:val="en-US"/>
        </w:rPr>
        <w:t>Ancuta</w:t>
      </w:r>
      <w:proofErr w:type="spellEnd"/>
      <w:r w:rsidRPr="00887730">
        <w:rPr>
          <w:rFonts w:ascii="Times New Roman" w:hAnsi="Times New Roman"/>
          <w:sz w:val="18"/>
          <w:lang w:val="en-US"/>
        </w:rPr>
        <w:t xml:space="preserve"> Suciu, 2019. Fifth generation district energy systems for low carbon cities. </w:t>
      </w:r>
      <w:r w:rsidRPr="00887730">
        <w:rPr>
          <w:rFonts w:ascii="Times New Roman" w:hAnsi="Times New Roman"/>
          <w:sz w:val="18"/>
          <w:lang w:val="fr-FR"/>
        </w:rPr>
        <w:t>EPFL.</w:t>
      </w:r>
    </w:p>
    <w:p w14:paraId="0AAF2904" w14:textId="48484D82" w:rsidR="00B420B3" w:rsidRPr="00B420B3" w:rsidRDefault="004B3C30" w:rsidP="00357A36">
      <w:pPr>
        <w:pStyle w:val="Els-referenceno-number"/>
        <w:ind w:left="0" w:firstLine="0"/>
        <w:jc w:val="both"/>
        <w:rPr>
          <w:lang w:val="en-US"/>
        </w:rPr>
      </w:pPr>
      <w:r w:rsidRPr="00467D33">
        <w:rPr>
          <w:lang w:val="en-US"/>
        </w:rPr>
        <w:fldChar w:fldCharType="end"/>
      </w:r>
    </w:p>
    <w:sectPr w:rsidR="00B420B3" w:rsidRPr="00B420B3" w:rsidSect="00055FD3">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EF45" w14:textId="77777777" w:rsidR="00055FD3" w:rsidRDefault="00055FD3">
      <w:r>
        <w:separator/>
      </w:r>
    </w:p>
  </w:endnote>
  <w:endnote w:type="continuationSeparator" w:id="0">
    <w:p w14:paraId="75C5F771" w14:textId="77777777" w:rsidR="00055FD3" w:rsidRDefault="0005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8500" w14:textId="77777777" w:rsidR="00055FD3" w:rsidRDefault="00055FD3">
      <w:r>
        <w:separator/>
      </w:r>
    </w:p>
  </w:footnote>
  <w:footnote w:type="continuationSeparator" w:id="0">
    <w:p w14:paraId="1CD10BB6" w14:textId="77777777" w:rsidR="00055FD3" w:rsidRDefault="00055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En-tte"/>
      <w:tabs>
        <w:tab w:val="clear" w:pos="7200"/>
        <w:tab w:val="right" w:pos="7088"/>
      </w:tabs>
    </w:pPr>
    <w:r>
      <w:rPr>
        <w:rStyle w:val="Numrodepage"/>
      </w:rPr>
      <w:tab/>
    </w:r>
    <w:r>
      <w:rPr>
        <w:rStyle w:val="Numrodepage"/>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En-tte"/>
      <w:tabs>
        <w:tab w:val="clear" w:pos="7200"/>
        <w:tab w:val="right" w:pos="7088"/>
      </w:tabs>
      <w:jc w:val="right"/>
      <w:rPr>
        <w:sz w:val="24"/>
      </w:rPr>
    </w:pPr>
    <w:r>
      <w:rPr>
        <w:rStyle w:val="Numrodepage"/>
        <w:i/>
        <w:sz w:val="24"/>
      </w:rPr>
      <w:tab/>
    </w:r>
    <w:r>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1701"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5145BA"/>
    <w:multiLevelType w:val="hybridMultilevel"/>
    <w:tmpl w:val="416E8A78"/>
    <w:lvl w:ilvl="0" w:tplc="E1BC806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2F5EF6"/>
    <w:multiLevelType w:val="hybridMultilevel"/>
    <w:tmpl w:val="3E0CA4B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F35D10"/>
    <w:multiLevelType w:val="hybridMultilevel"/>
    <w:tmpl w:val="8E40A91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744105F"/>
    <w:multiLevelType w:val="hybridMultilevel"/>
    <w:tmpl w:val="90F45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9D66F2"/>
    <w:multiLevelType w:val="hybridMultilevel"/>
    <w:tmpl w:val="60F4102A"/>
    <w:lvl w:ilvl="0" w:tplc="08E2251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6BDA5419"/>
    <w:multiLevelType w:val="hybridMultilevel"/>
    <w:tmpl w:val="CEA8B688"/>
    <w:lvl w:ilvl="0" w:tplc="5D145B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0A1228"/>
    <w:multiLevelType w:val="hybridMultilevel"/>
    <w:tmpl w:val="33E6589E"/>
    <w:lvl w:ilvl="0" w:tplc="E1BC806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2290267">
    <w:abstractNumId w:val="14"/>
  </w:num>
  <w:num w:numId="2" w16cid:durableId="1076825445">
    <w:abstractNumId w:val="14"/>
  </w:num>
  <w:num w:numId="3" w16cid:durableId="1737163575">
    <w:abstractNumId w:val="14"/>
  </w:num>
  <w:num w:numId="4" w16cid:durableId="1476332265">
    <w:abstractNumId w:val="14"/>
  </w:num>
  <w:num w:numId="5" w16cid:durableId="760418729">
    <w:abstractNumId w:val="0"/>
  </w:num>
  <w:num w:numId="6" w16cid:durableId="1951400823">
    <w:abstractNumId w:val="6"/>
  </w:num>
  <w:num w:numId="7" w16cid:durableId="857039928">
    <w:abstractNumId w:val="17"/>
  </w:num>
  <w:num w:numId="8" w16cid:durableId="2104103386">
    <w:abstractNumId w:val="1"/>
  </w:num>
  <w:num w:numId="9" w16cid:durableId="1058629636">
    <w:abstractNumId w:val="13"/>
  </w:num>
  <w:num w:numId="10" w16cid:durableId="55009361">
    <w:abstractNumId w:val="20"/>
  </w:num>
  <w:num w:numId="11" w16cid:durableId="1778059235">
    <w:abstractNumId w:val="19"/>
  </w:num>
  <w:num w:numId="12" w16cid:durableId="1272395918">
    <w:abstractNumId w:val="5"/>
  </w:num>
  <w:num w:numId="13" w16cid:durableId="282931059">
    <w:abstractNumId w:val="11"/>
  </w:num>
  <w:num w:numId="14" w16cid:durableId="560948937">
    <w:abstractNumId w:val="2"/>
  </w:num>
  <w:num w:numId="15" w16cid:durableId="1105417128">
    <w:abstractNumId w:val="7"/>
  </w:num>
  <w:num w:numId="16" w16cid:durableId="893345713">
    <w:abstractNumId w:val="3"/>
  </w:num>
  <w:num w:numId="17" w16cid:durableId="888878438">
    <w:abstractNumId w:val="4"/>
  </w:num>
  <w:num w:numId="18" w16cid:durableId="651179668">
    <w:abstractNumId w:val="12"/>
  </w:num>
  <w:num w:numId="19" w16cid:durableId="33122437">
    <w:abstractNumId w:val="16"/>
  </w:num>
  <w:num w:numId="20" w16cid:durableId="1697462019">
    <w:abstractNumId w:val="18"/>
  </w:num>
  <w:num w:numId="21" w16cid:durableId="1190685865">
    <w:abstractNumId w:val="21"/>
  </w:num>
  <w:num w:numId="22" w16cid:durableId="364722364">
    <w:abstractNumId w:val="8"/>
  </w:num>
  <w:num w:numId="23" w16cid:durableId="1605766748">
    <w:abstractNumId w:val="9"/>
  </w:num>
  <w:num w:numId="24" w16cid:durableId="1670599550">
    <w:abstractNumId w:val="15"/>
  </w:num>
  <w:num w:numId="25" w16cid:durableId="48190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0F8C"/>
    <w:rsid w:val="000143F8"/>
    <w:rsid w:val="0003120A"/>
    <w:rsid w:val="00046C6C"/>
    <w:rsid w:val="00055E10"/>
    <w:rsid w:val="00055FD3"/>
    <w:rsid w:val="00067A9A"/>
    <w:rsid w:val="0007317B"/>
    <w:rsid w:val="0008326C"/>
    <w:rsid w:val="00091B2D"/>
    <w:rsid w:val="000B18D1"/>
    <w:rsid w:val="000C3C10"/>
    <w:rsid w:val="000D2FDF"/>
    <w:rsid w:val="000D3D9B"/>
    <w:rsid w:val="000F12C2"/>
    <w:rsid w:val="000F40E3"/>
    <w:rsid w:val="000F42A2"/>
    <w:rsid w:val="00122D0A"/>
    <w:rsid w:val="00123F22"/>
    <w:rsid w:val="00130EAD"/>
    <w:rsid w:val="00144AB3"/>
    <w:rsid w:val="00145B3D"/>
    <w:rsid w:val="0016032F"/>
    <w:rsid w:val="0016680A"/>
    <w:rsid w:val="00184807"/>
    <w:rsid w:val="001879F6"/>
    <w:rsid w:val="001A03E4"/>
    <w:rsid w:val="001B136C"/>
    <w:rsid w:val="001B1DE3"/>
    <w:rsid w:val="001B6B1B"/>
    <w:rsid w:val="001C0148"/>
    <w:rsid w:val="001C757E"/>
    <w:rsid w:val="001E313C"/>
    <w:rsid w:val="001F4CEA"/>
    <w:rsid w:val="001F624A"/>
    <w:rsid w:val="0020390F"/>
    <w:rsid w:val="00210D86"/>
    <w:rsid w:val="00217B76"/>
    <w:rsid w:val="0024296F"/>
    <w:rsid w:val="00244678"/>
    <w:rsid w:val="00264926"/>
    <w:rsid w:val="00277336"/>
    <w:rsid w:val="00277724"/>
    <w:rsid w:val="002A1201"/>
    <w:rsid w:val="002A4EA8"/>
    <w:rsid w:val="002B44DC"/>
    <w:rsid w:val="002B4829"/>
    <w:rsid w:val="002C28AF"/>
    <w:rsid w:val="002F31FB"/>
    <w:rsid w:val="002F6129"/>
    <w:rsid w:val="00344D01"/>
    <w:rsid w:val="00357A36"/>
    <w:rsid w:val="003641F7"/>
    <w:rsid w:val="00373DC0"/>
    <w:rsid w:val="00382B8F"/>
    <w:rsid w:val="00385397"/>
    <w:rsid w:val="003B24AE"/>
    <w:rsid w:val="003B6EBB"/>
    <w:rsid w:val="003D1582"/>
    <w:rsid w:val="003D7E4C"/>
    <w:rsid w:val="003E3E3C"/>
    <w:rsid w:val="003E41C2"/>
    <w:rsid w:val="00421ECE"/>
    <w:rsid w:val="00434EE1"/>
    <w:rsid w:val="00437DB4"/>
    <w:rsid w:val="00447942"/>
    <w:rsid w:val="00447B13"/>
    <w:rsid w:val="004628E9"/>
    <w:rsid w:val="00467D33"/>
    <w:rsid w:val="00492EB9"/>
    <w:rsid w:val="0049772C"/>
    <w:rsid w:val="004B3C30"/>
    <w:rsid w:val="004C3B32"/>
    <w:rsid w:val="005072B0"/>
    <w:rsid w:val="00507CB7"/>
    <w:rsid w:val="00514894"/>
    <w:rsid w:val="00516175"/>
    <w:rsid w:val="005269F6"/>
    <w:rsid w:val="00537BEB"/>
    <w:rsid w:val="00552EEB"/>
    <w:rsid w:val="00555966"/>
    <w:rsid w:val="00567D93"/>
    <w:rsid w:val="00591BBC"/>
    <w:rsid w:val="005E151B"/>
    <w:rsid w:val="00601BBE"/>
    <w:rsid w:val="00603AC7"/>
    <w:rsid w:val="00627AE3"/>
    <w:rsid w:val="00641C4D"/>
    <w:rsid w:val="00652208"/>
    <w:rsid w:val="006560C8"/>
    <w:rsid w:val="006607DD"/>
    <w:rsid w:val="00675B39"/>
    <w:rsid w:val="006761CA"/>
    <w:rsid w:val="006770D5"/>
    <w:rsid w:val="006878CC"/>
    <w:rsid w:val="006A69BF"/>
    <w:rsid w:val="006C11D1"/>
    <w:rsid w:val="00711DF4"/>
    <w:rsid w:val="00735AE0"/>
    <w:rsid w:val="007365CD"/>
    <w:rsid w:val="00741D60"/>
    <w:rsid w:val="007A6521"/>
    <w:rsid w:val="007B128E"/>
    <w:rsid w:val="007B5AD0"/>
    <w:rsid w:val="007C79B6"/>
    <w:rsid w:val="007D70A1"/>
    <w:rsid w:val="007F0038"/>
    <w:rsid w:val="008132E8"/>
    <w:rsid w:val="00823407"/>
    <w:rsid w:val="0082589A"/>
    <w:rsid w:val="008264FA"/>
    <w:rsid w:val="00833CF8"/>
    <w:rsid w:val="008358F7"/>
    <w:rsid w:val="00835EFC"/>
    <w:rsid w:val="00835F87"/>
    <w:rsid w:val="00837C11"/>
    <w:rsid w:val="00876991"/>
    <w:rsid w:val="00887730"/>
    <w:rsid w:val="008B0184"/>
    <w:rsid w:val="008C0479"/>
    <w:rsid w:val="008C28C8"/>
    <w:rsid w:val="008C5D02"/>
    <w:rsid w:val="008D2649"/>
    <w:rsid w:val="008E58C0"/>
    <w:rsid w:val="008F0180"/>
    <w:rsid w:val="008F750A"/>
    <w:rsid w:val="0090568D"/>
    <w:rsid w:val="00906DC9"/>
    <w:rsid w:val="009125C9"/>
    <w:rsid w:val="00913879"/>
    <w:rsid w:val="00915B09"/>
    <w:rsid w:val="00917661"/>
    <w:rsid w:val="00921218"/>
    <w:rsid w:val="0094520D"/>
    <w:rsid w:val="00970E5D"/>
    <w:rsid w:val="0097701C"/>
    <w:rsid w:val="00980A65"/>
    <w:rsid w:val="009A405F"/>
    <w:rsid w:val="009A5231"/>
    <w:rsid w:val="009C1BA3"/>
    <w:rsid w:val="009C2348"/>
    <w:rsid w:val="009D3E87"/>
    <w:rsid w:val="009F31E6"/>
    <w:rsid w:val="00A00CAA"/>
    <w:rsid w:val="00A05AEC"/>
    <w:rsid w:val="00A24CDB"/>
    <w:rsid w:val="00A25E70"/>
    <w:rsid w:val="00A33765"/>
    <w:rsid w:val="00A45E52"/>
    <w:rsid w:val="00A4740C"/>
    <w:rsid w:val="00A51BFA"/>
    <w:rsid w:val="00A52EBB"/>
    <w:rsid w:val="00A63269"/>
    <w:rsid w:val="00A71C8C"/>
    <w:rsid w:val="00A853AB"/>
    <w:rsid w:val="00A92377"/>
    <w:rsid w:val="00AA2D31"/>
    <w:rsid w:val="00AB29ED"/>
    <w:rsid w:val="00AC6606"/>
    <w:rsid w:val="00AE4BD8"/>
    <w:rsid w:val="00B17505"/>
    <w:rsid w:val="00B420B3"/>
    <w:rsid w:val="00B4388F"/>
    <w:rsid w:val="00B6121A"/>
    <w:rsid w:val="00B63237"/>
    <w:rsid w:val="00B87618"/>
    <w:rsid w:val="00BC31EC"/>
    <w:rsid w:val="00BD405B"/>
    <w:rsid w:val="00BE42FE"/>
    <w:rsid w:val="00BE6CA3"/>
    <w:rsid w:val="00BF02EF"/>
    <w:rsid w:val="00C055D4"/>
    <w:rsid w:val="00C21E6C"/>
    <w:rsid w:val="00C267EA"/>
    <w:rsid w:val="00C32438"/>
    <w:rsid w:val="00C6015D"/>
    <w:rsid w:val="00C72D5C"/>
    <w:rsid w:val="00C82318"/>
    <w:rsid w:val="00C960DC"/>
    <w:rsid w:val="00CA553D"/>
    <w:rsid w:val="00CC2FF4"/>
    <w:rsid w:val="00CF1979"/>
    <w:rsid w:val="00D02C75"/>
    <w:rsid w:val="00D042CA"/>
    <w:rsid w:val="00D10E22"/>
    <w:rsid w:val="00D13D2C"/>
    <w:rsid w:val="00D41BEC"/>
    <w:rsid w:val="00D5740C"/>
    <w:rsid w:val="00D6057B"/>
    <w:rsid w:val="00D62BF6"/>
    <w:rsid w:val="00D84750"/>
    <w:rsid w:val="00DC18C7"/>
    <w:rsid w:val="00DC2F94"/>
    <w:rsid w:val="00DD3D9E"/>
    <w:rsid w:val="00DD7908"/>
    <w:rsid w:val="00DE393B"/>
    <w:rsid w:val="00DE3ED4"/>
    <w:rsid w:val="00E26FEE"/>
    <w:rsid w:val="00E82297"/>
    <w:rsid w:val="00EC7116"/>
    <w:rsid w:val="00ED049E"/>
    <w:rsid w:val="00EF39FD"/>
    <w:rsid w:val="00F02816"/>
    <w:rsid w:val="00F06842"/>
    <w:rsid w:val="00F107FD"/>
    <w:rsid w:val="00F3530F"/>
    <w:rsid w:val="00F57363"/>
    <w:rsid w:val="00F65851"/>
    <w:rsid w:val="00F97A4E"/>
    <w:rsid w:val="00FB64A8"/>
    <w:rsid w:val="00FC3402"/>
    <w:rsid w:val="00FD7D1E"/>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E67F"/>
  <w15:docId w15:val="{B356D312-A921-0247-9D1A-E2BCE547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ind w:left="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link w:val="Els-referenceCar"/>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link w:val="NotedebasdepageCar"/>
    <w:semiHidden/>
    <w:rsid w:val="008B0184"/>
    <w:rPr>
      <w:rFonts w:ascii="Univers" w:hAnsi="Univers"/>
    </w:rPr>
  </w:style>
  <w:style w:type="character" w:styleId="Lienhypertexte">
    <w:name w:val="Hyperlink"/>
    <w:basedOn w:val="Policepardfaut"/>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link w:val="Els-referenceno-numberCar"/>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lrzxr">
    <w:name w:val="lrzxr"/>
    <w:basedOn w:val="Policepardfaut"/>
    <w:rsid w:val="00F02816"/>
  </w:style>
  <w:style w:type="paragraph" w:customStyle="1" w:styleId="Bibliographie1">
    <w:name w:val="Bibliographie1"/>
    <w:basedOn w:val="Normal"/>
    <w:link w:val="BibliographyCar"/>
    <w:rsid w:val="004B3C30"/>
    <w:pPr>
      <w:ind w:left="720" w:hanging="720"/>
    </w:pPr>
    <w:rPr>
      <w:noProof/>
      <w:sz w:val="18"/>
      <w:lang w:val="en-US"/>
    </w:rPr>
  </w:style>
  <w:style w:type="character" w:customStyle="1" w:styleId="Els-referenceCar">
    <w:name w:val="Els-reference Car"/>
    <w:basedOn w:val="Policepardfaut"/>
    <w:link w:val="Els-reference"/>
    <w:rsid w:val="004B3C30"/>
    <w:rPr>
      <w:noProof/>
      <w:sz w:val="18"/>
      <w:lang w:eastAsia="en-US"/>
    </w:rPr>
  </w:style>
  <w:style w:type="character" w:customStyle="1" w:styleId="Els-referenceno-numberCar">
    <w:name w:val="Els-reference no-number Car"/>
    <w:basedOn w:val="Els-referenceCar"/>
    <w:link w:val="Els-referenceno-number"/>
    <w:rsid w:val="004B3C30"/>
    <w:rPr>
      <w:noProof/>
      <w:sz w:val="18"/>
      <w:lang w:eastAsia="en-US"/>
    </w:rPr>
  </w:style>
  <w:style w:type="character" w:customStyle="1" w:styleId="BibliographyCar">
    <w:name w:val="Bibliography Car"/>
    <w:basedOn w:val="Els-referenceno-numberCar"/>
    <w:link w:val="Bibliographie1"/>
    <w:rsid w:val="004B3C30"/>
    <w:rPr>
      <w:noProof/>
      <w:sz w:val="18"/>
      <w:lang w:val="en-US" w:eastAsia="en-US"/>
    </w:rPr>
  </w:style>
  <w:style w:type="character" w:styleId="Textedelespacerserv">
    <w:name w:val="Placeholder Text"/>
    <w:basedOn w:val="Policepardfaut"/>
    <w:uiPriority w:val="99"/>
    <w:semiHidden/>
    <w:rsid w:val="0008326C"/>
    <w:rPr>
      <w:color w:val="666666"/>
    </w:rPr>
  </w:style>
  <w:style w:type="paragraph" w:styleId="Paragraphedeliste">
    <w:name w:val="List Paragraph"/>
    <w:basedOn w:val="Normal"/>
    <w:uiPriority w:val="34"/>
    <w:qFormat/>
    <w:rsid w:val="00C32438"/>
    <w:pPr>
      <w:ind w:left="720"/>
      <w:contextualSpacing/>
    </w:pPr>
  </w:style>
  <w:style w:type="paragraph" w:customStyle="1" w:styleId="Bibliographie2">
    <w:name w:val="Bibliographie2"/>
    <w:basedOn w:val="Normal"/>
    <w:link w:val="BibliographyCar1"/>
    <w:rsid w:val="00357A36"/>
    <w:pPr>
      <w:tabs>
        <w:tab w:val="left" w:pos="380"/>
      </w:tabs>
      <w:ind w:left="720" w:hanging="720"/>
    </w:pPr>
    <w:rPr>
      <w:rFonts w:ascii="Univers" w:hAnsi="Univers"/>
    </w:rPr>
  </w:style>
  <w:style w:type="character" w:customStyle="1" w:styleId="NotedebasdepageCar">
    <w:name w:val="Note de bas de page Car"/>
    <w:basedOn w:val="Policepardfaut"/>
    <w:link w:val="Notedebasdepage"/>
    <w:semiHidden/>
    <w:rsid w:val="00357A36"/>
    <w:rPr>
      <w:rFonts w:ascii="Univers" w:hAnsi="Univers"/>
      <w:lang w:eastAsia="en-US"/>
    </w:rPr>
  </w:style>
  <w:style w:type="character" w:customStyle="1" w:styleId="BibliographyCar1">
    <w:name w:val="Bibliography Car1"/>
    <w:basedOn w:val="NotedebasdepageCar"/>
    <w:link w:val="Bibliographie2"/>
    <w:rsid w:val="00357A36"/>
    <w:rPr>
      <w:rFonts w:ascii="Univers" w:hAnsi="Univer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8DDE8-634C-6449-A221-C3229874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570</TotalTime>
  <Pages>6</Pages>
  <Words>3882</Words>
  <Characters>21352</Characters>
  <Application>Microsoft Office Word</Application>
  <DocSecurity>0</DocSecurity>
  <Lines>177</Lines>
  <Paragraphs>50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Microsoft Office User</cp:lastModifiedBy>
  <cp:revision>116</cp:revision>
  <cp:lastPrinted>2004-12-17T09:20:00Z</cp:lastPrinted>
  <dcterms:created xsi:type="dcterms:W3CDTF">2023-10-05T08:00:00Z</dcterms:created>
  <dcterms:modified xsi:type="dcterms:W3CDTF">2024-01-23T15:52:00Z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id="oQf9JrEw"/&gt;&lt;style id="http://www.zotero.org/styles/elsevier-harvard" hasBibliography="1" bibliographyStyleHasBeenSet="1"/&gt;&lt;prefs&gt;&lt;pref name="fieldType" value="Field"/&gt;&lt;/prefs&gt;&lt;/data&gt;</vt:lpwstr>
  </property>
  <property fmtid="{D5CDD505-2E9C-101B-9397-08002B2CF9AE}" pid="11" name="ZOTERO_PREF_2">
    <vt:lpwstr/>
  </property>
</Properties>
</file>