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4DE67F" w14:textId="1A822F6A" w:rsidR="00DD3D9E" w:rsidRPr="00B4388F" w:rsidRDefault="001C6BA8">
      <w:pPr>
        <w:pStyle w:val="Els-Title"/>
        <w:rPr>
          <w:color w:val="000000" w:themeColor="text1"/>
        </w:rPr>
      </w:pPr>
      <w:bookmarkStart w:id="0" w:name="_Hlk150787056"/>
      <w:r w:rsidRPr="001C6BA8">
        <w:rPr>
          <w:color w:val="000000" w:themeColor="text1"/>
        </w:rPr>
        <w:t xml:space="preserve">Combining automated machine learning and molecular simulation to advance the discovery of </w:t>
      </w:r>
      <w:r w:rsidR="00D23431">
        <w:rPr>
          <w:color w:val="000000" w:themeColor="text1"/>
        </w:rPr>
        <w:t>COF-based</w:t>
      </w:r>
      <w:r w:rsidRPr="001C6BA8">
        <w:rPr>
          <w:color w:val="000000" w:themeColor="text1"/>
        </w:rPr>
        <w:t xml:space="preserve"> membrane</w:t>
      </w:r>
      <w:r w:rsidR="00AF0FD3">
        <w:rPr>
          <w:color w:val="000000" w:themeColor="text1"/>
        </w:rPr>
        <w:t>s</w:t>
      </w:r>
      <w:r w:rsidRPr="001C6BA8">
        <w:rPr>
          <w:color w:val="000000" w:themeColor="text1"/>
        </w:rPr>
        <w:t xml:space="preserve"> for acid gas separation</w:t>
      </w:r>
    </w:p>
    <w:p w14:paraId="144DE680" w14:textId="34705452" w:rsidR="00DD3D9E" w:rsidRPr="0085305E" w:rsidRDefault="001C6BA8" w:rsidP="007E135F">
      <w:pPr>
        <w:pStyle w:val="Els-Author"/>
        <w:rPr>
          <w:sz w:val="20"/>
        </w:rPr>
      </w:pPr>
      <w:bookmarkStart w:id="1" w:name="_Hlk152764054"/>
      <w:bookmarkEnd w:id="0"/>
      <w:r w:rsidRPr="0085305E">
        <w:rPr>
          <w:sz w:val="20"/>
        </w:rPr>
        <w:t>Bingru Xin</w:t>
      </w:r>
      <w:r w:rsidR="00E0542B" w:rsidRPr="0085305E">
        <w:rPr>
          <w:sz w:val="20"/>
          <w:vertAlign w:val="superscript"/>
        </w:rPr>
        <w:t>a</w:t>
      </w:r>
      <w:r w:rsidRPr="0085305E">
        <w:rPr>
          <w:sz w:val="20"/>
        </w:rPr>
        <w:t>, Minggao Feng</w:t>
      </w:r>
      <w:r w:rsidR="00E0542B" w:rsidRPr="0085305E">
        <w:rPr>
          <w:sz w:val="20"/>
          <w:vertAlign w:val="superscript"/>
        </w:rPr>
        <w:t>b</w:t>
      </w:r>
      <w:r w:rsidRPr="0085305E">
        <w:rPr>
          <w:sz w:val="20"/>
        </w:rPr>
        <w:t>, Min Cheng</w:t>
      </w:r>
      <w:r w:rsidR="00E0542B" w:rsidRPr="0085305E">
        <w:rPr>
          <w:sz w:val="20"/>
          <w:vertAlign w:val="superscript"/>
        </w:rPr>
        <w:t>c</w:t>
      </w:r>
      <w:r w:rsidRPr="0085305E">
        <w:rPr>
          <w:sz w:val="20"/>
        </w:rPr>
        <w:t>, Zhongde Dai</w:t>
      </w:r>
      <w:r w:rsidR="00E0542B" w:rsidRPr="0085305E">
        <w:rPr>
          <w:sz w:val="20"/>
          <w:vertAlign w:val="superscript"/>
        </w:rPr>
        <w:t>d</w:t>
      </w:r>
      <w:r w:rsidRPr="0085305E">
        <w:rPr>
          <w:sz w:val="20"/>
        </w:rPr>
        <w:t>, Li Zhou</w:t>
      </w:r>
      <w:r w:rsidR="00E0542B" w:rsidRPr="0085305E">
        <w:rPr>
          <w:sz w:val="20"/>
          <w:vertAlign w:val="superscript"/>
        </w:rPr>
        <w:t>a</w:t>
      </w:r>
      <w:r w:rsidRPr="0085305E">
        <w:rPr>
          <w:sz w:val="20"/>
        </w:rPr>
        <w:t>, Yiyang Dai</w:t>
      </w:r>
      <w:r w:rsidR="00E0542B" w:rsidRPr="0085305E">
        <w:rPr>
          <w:sz w:val="20"/>
          <w:vertAlign w:val="superscript"/>
        </w:rPr>
        <w:t>a</w:t>
      </w:r>
      <w:r w:rsidRPr="0085305E">
        <w:rPr>
          <w:sz w:val="20"/>
        </w:rPr>
        <w:t>*, Xu Ji</w:t>
      </w:r>
      <w:r w:rsidR="00E0542B" w:rsidRPr="0085305E">
        <w:rPr>
          <w:sz w:val="20"/>
          <w:vertAlign w:val="superscript"/>
        </w:rPr>
        <w:t>a</w:t>
      </w:r>
      <w:r w:rsidRPr="0085305E">
        <w:rPr>
          <w:sz w:val="20"/>
        </w:rPr>
        <w:t>*</w:t>
      </w:r>
    </w:p>
    <w:bookmarkEnd w:id="1"/>
    <w:p w14:paraId="1C5CC7AE" w14:textId="3C60DFBC" w:rsidR="00E0542B" w:rsidRDefault="00E0542B" w:rsidP="00E0542B">
      <w:pPr>
        <w:pStyle w:val="Els-Affiliation"/>
      </w:pPr>
      <w:r w:rsidRPr="00E0542B">
        <w:rPr>
          <w:vertAlign w:val="superscript"/>
        </w:rPr>
        <w:t>a</w:t>
      </w:r>
      <w:r>
        <w:t>College of Chemical Engineering, Sichuan University, Chengdu 610065, China</w:t>
      </w:r>
    </w:p>
    <w:p w14:paraId="2E650D1E" w14:textId="5A001E62" w:rsidR="00E0542B" w:rsidRDefault="00E0542B" w:rsidP="00E0542B">
      <w:pPr>
        <w:pStyle w:val="Els-Affiliation"/>
      </w:pPr>
      <w:r w:rsidRPr="00E0542B">
        <w:rPr>
          <w:vertAlign w:val="superscript"/>
        </w:rPr>
        <w:t>b</w:t>
      </w:r>
      <w:r>
        <w:t>Department of Chemistry and Materials Innovation Factory, University of Liverpool, Liverpool L7 3NY, UK</w:t>
      </w:r>
    </w:p>
    <w:p w14:paraId="75B5067F" w14:textId="55BF3325" w:rsidR="00E0542B" w:rsidRDefault="00E0542B" w:rsidP="00E0542B">
      <w:pPr>
        <w:pStyle w:val="Els-Affiliation"/>
      </w:pPr>
      <w:r w:rsidRPr="00E0542B">
        <w:rPr>
          <w:vertAlign w:val="superscript"/>
        </w:rPr>
        <w:t>c</w:t>
      </w:r>
      <w:r>
        <w:t xml:space="preserve">BYD Company Ltd, No 5. Xiusha Road, Kenzie Town, Pingshan </w:t>
      </w:r>
      <w:r w:rsidR="002A5D2C">
        <w:t>District</w:t>
      </w:r>
      <w:r>
        <w:t>, Shenzhen, Guangdong, 518122, P.R China</w:t>
      </w:r>
    </w:p>
    <w:p w14:paraId="3ED8F7AB" w14:textId="752BFED7" w:rsidR="00E0542B" w:rsidRDefault="00E0542B" w:rsidP="00E0542B">
      <w:pPr>
        <w:pStyle w:val="Els-Affiliation"/>
      </w:pPr>
      <w:r w:rsidRPr="00E0542B">
        <w:rPr>
          <w:vertAlign w:val="superscript"/>
        </w:rPr>
        <w:t>d</w:t>
      </w:r>
      <w:r>
        <w:t>College of Carbon Neutrality Future Technology, Sichuan University, Chengdu 610065, China</w:t>
      </w:r>
    </w:p>
    <w:p w14:paraId="30F23441" w14:textId="7E5A6700" w:rsidR="00E0542B" w:rsidRPr="00816E41" w:rsidRDefault="00E0542B" w:rsidP="00E0542B">
      <w:pPr>
        <w:pStyle w:val="Els-Affiliation"/>
        <w:rPr>
          <w:lang w:val="en-US"/>
        </w:rPr>
      </w:pPr>
      <w:r w:rsidRPr="00816E41">
        <w:rPr>
          <w:lang w:val="en-US"/>
        </w:rPr>
        <w:t>*</w:t>
      </w:r>
      <w:r w:rsidR="00FA581D" w:rsidRPr="00FA581D">
        <w:t xml:space="preserve"> </w:t>
      </w:r>
      <w:r w:rsidR="00FA581D" w:rsidRPr="00816E41">
        <w:rPr>
          <w:lang w:val="en-US"/>
        </w:rPr>
        <w:t>Corresponding Authors:</w:t>
      </w:r>
      <w:r w:rsidRPr="00816E41">
        <w:rPr>
          <w:lang w:val="en-US"/>
        </w:rPr>
        <w:t xml:space="preserve">Yiyang Dai: daiyy@scu.edu.cn ; </w:t>
      </w:r>
      <w:r w:rsidR="00D23431" w:rsidRPr="00816E41">
        <w:rPr>
          <w:lang w:val="en-US"/>
        </w:rPr>
        <w:t>*</w:t>
      </w:r>
      <w:r w:rsidRPr="00816E41">
        <w:rPr>
          <w:lang w:val="en-US"/>
        </w:rPr>
        <w:t>Xu Ji: jxhhpb@163.com</w:t>
      </w:r>
    </w:p>
    <w:p w14:paraId="144DE684" w14:textId="77777777" w:rsidR="008D2649" w:rsidRDefault="008D2649" w:rsidP="00B61BA3">
      <w:pPr>
        <w:pStyle w:val="Els-Abstract"/>
      </w:pPr>
      <w:r>
        <w:t>Abstract</w:t>
      </w:r>
    </w:p>
    <w:p w14:paraId="78AFBE16" w14:textId="4523108F" w:rsidR="00D23431" w:rsidRDefault="00D23431" w:rsidP="008D2649">
      <w:pPr>
        <w:pStyle w:val="Els-body-text"/>
        <w:spacing w:after="120"/>
        <w:rPr>
          <w:lang w:val="en-GB"/>
        </w:rPr>
      </w:pPr>
      <w:r w:rsidRPr="00D23431">
        <w:rPr>
          <w:lang w:val="en-GB"/>
        </w:rPr>
        <w:t>Due to the rapid increase in the number of covalent organic frameworks (COFs), there is a need for efficient methods to quickly assess the properties of these materials. In this study, we used a combination of automated machine learning (ML) and molecular simulations to investigate the membrane permeability and selectivity of 811 curated COFs for acid gas</w:t>
      </w:r>
      <w:r>
        <w:rPr>
          <w:lang w:val="en-GB"/>
        </w:rPr>
        <w:t xml:space="preserve"> </w:t>
      </w:r>
      <w:r w:rsidRPr="00D23431">
        <w:rPr>
          <w:lang w:val="en-GB"/>
        </w:rPr>
        <w:t>(H</w:t>
      </w:r>
      <w:r w:rsidRPr="00D23431">
        <w:rPr>
          <w:vertAlign w:val="subscript"/>
          <w:lang w:val="en-GB"/>
        </w:rPr>
        <w:t>2</w:t>
      </w:r>
      <w:r w:rsidRPr="00D23431">
        <w:rPr>
          <w:lang w:val="en-GB"/>
        </w:rPr>
        <w:t>S and CO</w:t>
      </w:r>
      <w:r w:rsidRPr="00D23431">
        <w:rPr>
          <w:vertAlign w:val="subscript"/>
          <w:lang w:val="en-GB"/>
        </w:rPr>
        <w:t>2</w:t>
      </w:r>
      <w:r w:rsidRPr="00D23431">
        <w:rPr>
          <w:lang w:val="en-GB"/>
        </w:rPr>
        <w:t xml:space="preserve">) separation. An automated ML model was developed to directly predict membrane permeability based on 20 features obtained through fast computation. Next, we </w:t>
      </w:r>
      <w:r w:rsidR="004F5B2A">
        <w:rPr>
          <w:lang w:val="en-GB"/>
        </w:rPr>
        <w:t>analysed</w:t>
      </w:r>
      <w:r w:rsidRPr="00D23431">
        <w:rPr>
          <w:lang w:val="en-GB"/>
        </w:rPr>
        <w:t xml:space="preserve"> the feature weights using SHAP and found that pore size and structural features had the highest correlation with gas permeability. Based on the feature knowledge and ML model we screened 69,840 hypothetical COFs (</w:t>
      </w:r>
      <w:proofErr w:type="spellStart"/>
      <w:r w:rsidRPr="00D23431">
        <w:rPr>
          <w:lang w:val="en-GB"/>
        </w:rPr>
        <w:t>hCOFs</w:t>
      </w:r>
      <w:proofErr w:type="spellEnd"/>
      <w:r w:rsidRPr="00D23431">
        <w:rPr>
          <w:lang w:val="en-GB"/>
        </w:rPr>
        <w:t xml:space="preserve">) to obtain high-performance COFs without the need for expensive molecular simulations. Finally, the separation performance of COF/polymer mixed matrix membranes (MMMs) was evaluated under a ternary gas mixture system. This integrated approach of artificial intelligence and molecular simulations </w:t>
      </w:r>
      <w:r w:rsidR="002A5D2C">
        <w:rPr>
          <w:lang w:val="en-GB"/>
        </w:rPr>
        <w:t>accurately and efficiently advances the discovery of high-performance COF membrane materials for acid gas separation and</w:t>
      </w:r>
      <w:r w:rsidRPr="00D23431">
        <w:rPr>
          <w:lang w:val="en-GB"/>
        </w:rPr>
        <w:t xml:space="preserve"> provides valuable insights for experimental and computational work.</w:t>
      </w:r>
    </w:p>
    <w:p w14:paraId="144DE687" w14:textId="27EF3BB2" w:rsidR="008D2649" w:rsidRDefault="008D2649" w:rsidP="008D2649">
      <w:pPr>
        <w:pStyle w:val="Els-body-text"/>
        <w:spacing w:after="120"/>
        <w:rPr>
          <w:lang w:val="en-GB"/>
        </w:rPr>
      </w:pPr>
      <w:r>
        <w:rPr>
          <w:b/>
          <w:bCs/>
          <w:lang w:val="en-GB"/>
        </w:rPr>
        <w:t>Keywords</w:t>
      </w:r>
      <w:r>
        <w:rPr>
          <w:lang w:val="en-GB"/>
        </w:rPr>
        <w:t xml:space="preserve">: </w:t>
      </w:r>
      <w:r w:rsidR="00D23431" w:rsidRPr="00D23431">
        <w:rPr>
          <w:lang w:val="en-GB"/>
        </w:rPr>
        <w:t>Covalent organic framework</w:t>
      </w:r>
      <w:r w:rsidR="00D23431">
        <w:rPr>
          <w:lang w:val="en-GB"/>
        </w:rPr>
        <w:t xml:space="preserve"> (COF), </w:t>
      </w:r>
      <w:r w:rsidR="00D23431" w:rsidRPr="00D23431">
        <w:rPr>
          <w:lang w:val="en-GB"/>
        </w:rPr>
        <w:t>Machine learning</w:t>
      </w:r>
      <w:r w:rsidR="00D23431">
        <w:rPr>
          <w:lang w:val="en-GB"/>
        </w:rPr>
        <w:t xml:space="preserve">, </w:t>
      </w:r>
      <w:r w:rsidR="00D23431" w:rsidRPr="00D23431">
        <w:rPr>
          <w:lang w:val="en-GB"/>
        </w:rPr>
        <w:t>Molecular simulation</w:t>
      </w:r>
      <w:r w:rsidR="00D23431">
        <w:rPr>
          <w:lang w:val="en-GB"/>
        </w:rPr>
        <w:t>, Acid gas separation, Membranes separation</w:t>
      </w:r>
    </w:p>
    <w:p w14:paraId="43E90694" w14:textId="58F860B8" w:rsidR="00E66983" w:rsidRPr="00E66983" w:rsidRDefault="00E66983" w:rsidP="00B61BA3">
      <w:pPr>
        <w:pStyle w:val="Els-1storder-head"/>
        <w:spacing w:before="120" w:after="120"/>
      </w:pPr>
      <w:r>
        <w:t>Introduction</w:t>
      </w:r>
    </w:p>
    <w:p w14:paraId="00E5A554" w14:textId="3938E8E2" w:rsidR="00162146" w:rsidRDefault="00162146" w:rsidP="00EC2AE8">
      <w:pPr>
        <w:pStyle w:val="Els-body-text"/>
        <w:spacing w:afterLines="50" w:after="120"/>
      </w:pPr>
      <w:r w:rsidRPr="00162146">
        <w:t>In the realm of fossil fuels, natural gas is widely recognized as the most environmentally beneficial alternative due to its minimal emission of pollutants during the combustion process. However, to optimize the efficiency of methane utilization, it is crucial to eliminate acid gas (H</w:t>
      </w:r>
      <w:r w:rsidRPr="00162146">
        <w:rPr>
          <w:vertAlign w:val="subscript"/>
        </w:rPr>
        <w:t>2</w:t>
      </w:r>
      <w:r w:rsidRPr="00162146">
        <w:t>S, CO</w:t>
      </w:r>
      <w:r w:rsidRPr="00162146">
        <w:rPr>
          <w:vertAlign w:val="subscript"/>
        </w:rPr>
        <w:t>2</w:t>
      </w:r>
      <w:r w:rsidRPr="00162146">
        <w:t xml:space="preserve">) from natural gas. </w:t>
      </w:r>
      <w:r w:rsidR="00421BC5" w:rsidRPr="00421BC5">
        <w:t>Membrane separation method is a promising technology with the advantages of small footprint, low energy consumption and easy operation</w:t>
      </w:r>
      <w:r w:rsidR="00A97872">
        <w:t>.</w:t>
      </w:r>
      <w:r w:rsidR="002A5D2C">
        <w:t xml:space="preserve"> </w:t>
      </w:r>
      <w:r w:rsidR="00421BC5" w:rsidRPr="00421BC5">
        <w:t>The choice of membrane material is crucial to the performance of membrane separation.</w:t>
      </w:r>
      <w:r w:rsidR="00421BC5">
        <w:t xml:space="preserve"> </w:t>
      </w:r>
      <w:r w:rsidR="00961ADA" w:rsidRPr="00961ADA">
        <w:t>Covalent organic frameworks</w:t>
      </w:r>
      <w:r w:rsidR="00961ADA">
        <w:t>(COFs)</w:t>
      </w:r>
      <w:r w:rsidR="00961ADA" w:rsidRPr="00961ADA">
        <w:t xml:space="preserve"> are widely used in gas membrane separation applications as popular porous materials in recent years</w:t>
      </w:r>
      <w:r w:rsidR="002A5D2C">
        <w:t xml:space="preserve"> </w:t>
      </w:r>
      <w:r w:rsidR="001A3CE9">
        <w:fldChar w:fldCharType="begin"/>
      </w:r>
      <w:r w:rsidR="001A3CE9">
        <w:instrText xml:space="preserve"> ADDIN ZOTERO_ITEM CSL_CITATION {"citationID":"Qd28XKzO","properties":{"formattedCitation":"(Yuan et al., 2019)","plainCitation":"(Yuan et al., 2019)","noteIndex":0},"citationItems":[{"id":637,"uris":["http://zotero.org/users/9765954/items/TPAXC8TN"],"itemData":{"id":637,"type":"article-journal","abstract":"Covalent organic frameworks (COFs), a new class of crystalline porous materials, comprises periodically extended and covalently bound network structures.\n          , \n            \n              Covalent organic frameworks (COFs), which are constructed from organic linkers, are a new class of crystalline porous materials comprising periodically extended and covalently bound network structures. The intrinsic structures and the tailorable organic linkers endow COFs with a low density, large surface area, tunable pore size and structure, and facilely-tailored functionality, attracting increasing interests in different fields including membrane separations. Exciting research activities ranging from fabrication strategies to separation applications of COF-based membranes have appeared. This review analyzes the synthesis and applications of diverse continuous/discontinuous COF membranes, such as COF-based mixed matrix membranes (MMMs), COF-based thin film nanocomposite (TFN) membranes, and free-standing COF films. Special attention was given to pore size, stability, hydrophilicity/hydrophobicity and surface charge of COFs in view of determining proper COFs for membrane fabrication, along with the approaches to fabricate COF-based membranes, such as blending,\n              in situ\n              growth, layer-by-layer stacking and interfacial polymerization (IP). Moreover, applications of COF-based membranes in gas separation, water treatment (deaslination and dye removal), organic solvent nanofiltration (OSN), pervaporation and fuel cell are disscussed. Finally, we illustrate the advantages and disadvantages of COF-based membranes through a comparison with MOF-based membranes, and the remaining challenges and future opportunities in this field.","call-number":"1","container-title":"Chemical Society Reviews","DOI":"10.1039/C8CS00919H","ISSN":"0306-0012, 1460-4744","issue":"10","journalAbbreviation":"Chem. Soc. Rev.","language":"en","page":"2665-2681","source":"46.2","title":"Covalent organic frameworks for membrane separation","volume":"48","author":[{"family":"Yuan","given":"Shushan"},{"family":"Li","given":"Xin"},{"family":"Zhu","given":"Junyong"},{"family":"Zhang","given":"Gang"},{"family":"Van Puyvelde","given":"Peter"},{"family":"Van Der Bruggen","given":"Bart"}],"issued":{"date-parts":[["2019"]]}}}],"schema":"https://github.com/citation-style-language/schema/raw/master/csl-citation.json"} </w:instrText>
      </w:r>
      <w:r w:rsidR="001A3CE9">
        <w:fldChar w:fldCharType="separate"/>
      </w:r>
      <w:r w:rsidR="009A3E87" w:rsidRPr="009A3E87">
        <w:t>(Yuan et al., 2019)</w:t>
      </w:r>
      <w:r w:rsidR="001A3CE9">
        <w:fldChar w:fldCharType="end"/>
      </w:r>
      <w:r w:rsidR="00961ADA">
        <w:t xml:space="preserve">. </w:t>
      </w:r>
    </w:p>
    <w:p w14:paraId="66C246A6" w14:textId="77917EF6" w:rsidR="00CF725B" w:rsidRDefault="00961ADA" w:rsidP="00EC2AE8">
      <w:pPr>
        <w:pStyle w:val="Els-body-text"/>
        <w:spacing w:afterLines="50" w:after="120"/>
      </w:pPr>
      <w:r>
        <w:lastRenderedPageBreak/>
        <w:t xml:space="preserve">For the study and </w:t>
      </w:r>
      <w:r w:rsidR="00F61C71">
        <w:t>characterization</w:t>
      </w:r>
      <w:r>
        <w:t xml:space="preserve"> of material properties, traditional experimental methods are time-consuming and </w:t>
      </w:r>
      <w:r w:rsidR="00D2266C">
        <w:t>labor-intensive</w:t>
      </w:r>
      <w:r>
        <w:t>. In recent years, with the rapid development of computer technology,</w:t>
      </w:r>
      <w:r w:rsidR="00557019" w:rsidRPr="00557019">
        <w:t xml:space="preserve"> </w:t>
      </w:r>
      <w:r w:rsidR="00557019" w:rsidRPr="00162146">
        <w:t>high-throughput computational screening (HTCS)</w:t>
      </w:r>
      <w:r>
        <w:t xml:space="preserve"> methods for rapid study of large-scale material properties through molecular simulation (MS) can overcome the limitations of traditional experimental methods to a certain extent. </w:t>
      </w:r>
      <w:r w:rsidRPr="00961ADA">
        <w:t>In our previous work, the helium purification properties of 688 COFs were investigated by molecular simulation, and five high-performance COFs were finally obtained by the synergistic screening strategy of both H</w:t>
      </w:r>
      <w:r>
        <w:t>e</w:t>
      </w:r>
      <w:r w:rsidRPr="00961ADA">
        <w:t>/CH</w:t>
      </w:r>
      <w:r w:rsidRPr="00F61C71">
        <w:rPr>
          <w:vertAlign w:val="subscript"/>
        </w:rPr>
        <w:t>4</w:t>
      </w:r>
      <w:r w:rsidRPr="00961ADA">
        <w:t xml:space="preserve"> and H</w:t>
      </w:r>
      <w:r>
        <w:t>e</w:t>
      </w:r>
      <w:r w:rsidRPr="00961ADA">
        <w:t>/N</w:t>
      </w:r>
      <w:r w:rsidRPr="00F61C71">
        <w:rPr>
          <w:vertAlign w:val="subscript"/>
        </w:rPr>
        <w:t>2</w:t>
      </w:r>
      <w:r w:rsidRPr="00961ADA">
        <w:t xml:space="preserve"> systems</w:t>
      </w:r>
      <w:r w:rsidR="00CF725B">
        <w:t xml:space="preserve"> </w:t>
      </w:r>
      <w:r>
        <w:fldChar w:fldCharType="begin"/>
      </w:r>
      <w:r>
        <w:instrText xml:space="preserve"> ADDIN ZOTERO_ITEM CSL_CITATION {"citationID":"ORuCPDNJ","properties":{"formattedCitation":"(Feng et al., 2022)","plainCitation":"(Feng et al., 2022)","noteIndex":0},"citationItems":[{"id":78,"uris":["http://zotero.org/users/9765954/items/J6PTKFRI"],"itemData":{"id":78,"type":"article-journal","abstract":"Currently, helium purification is carried out by the heat-driven cryogenic distillation process, which is prohib­ itively energy-intensive and capital-intensive. As an alternative, covalent-organic frameworks (COFs)-based membrane separation technology is considered to be cost-efficient and technically feasible. In this study, a highthroughput computational screening strategy was proposed for the rapid determination of high-performing COF membranes for this particular application. A geometric analysis-based prescreening process was carried out on 688 experimentally synthesized COFs, resulting in 665 COF candidates with pore limited diameter (PLD) no less than 3.8 Å. Subsequently, molecular simulations were performed to estimate the henry coefficients and selfdiffusion coefficients of N2, H2, and CH4 in each COF. Based on the results, the membrane selectivity and permeability of all the COFs were calculated, from which 23 high-performing COF membranes were identified. Additionally, the performances of these 23 COF membranes for a ternary mixture of He/N2/CH4 were compu­ tationally examined, five of which were highly preferable to permeate He over N2 or CH4. The results indicated that a large number of COF membranes exceeded the performance upper limit of polymer membranes owing to their high He permeability. Additionally, the relation between the PLD of COFs and the corresponding separation performances was investigated. Finally, He permeability, as well as He/CH4 and He/N2 selectivity of mixed matrix membranes were estimated by using the Maxwell model. The results revealed that the addition of COFs into pure polymers significantly improved the permeability of He up to 11689 Barrer.","container-title":"Results in Engineering","DOI":"10.1016/j.rineng.2022.100538","ISSN":"25901230","journalAbbreviation":"Results in Engineering","language":"en","page":"100538","title":"High-throughput computational screening of Covalent−Organic framework membranes for helium</w:instrText>
      </w:r>
      <w:r>
        <w:rPr>
          <w:rFonts w:hint="eastAsia"/>
        </w:rPr>
        <w:instrText xml:space="preserve"> purification","title-short":"</w:instrText>
      </w:r>
      <w:r>
        <w:rPr>
          <w:rFonts w:ascii="Segoe UI Emoji" w:hAnsi="Segoe UI Emoji" w:cs="Segoe UI Emoji"/>
        </w:rPr>
        <w:instrText>🔤</w:instrText>
      </w:r>
      <w:r>
        <w:rPr>
          <w:rFonts w:hint="eastAsia"/>
        </w:rPr>
        <w:instrText>用于氦纯化的共价</w:instrText>
      </w:r>
      <w:r>
        <w:rPr>
          <w:rFonts w:hint="eastAsia"/>
        </w:rPr>
        <w:instrText>-</w:instrText>
      </w:r>
      <w:r>
        <w:rPr>
          <w:rFonts w:hint="eastAsia"/>
        </w:rPr>
        <w:instrText>有机框架膜的高通量计算筛选</w:instrText>
      </w:r>
      <w:r>
        <w:rPr>
          <w:rFonts w:hint="eastAsia"/>
        </w:rPr>
        <w:instrText>","volume":"15","author":[{"family":"Feng","given":"Minggao"},{"family":"Cheng","given":"Min"},{"family":"Deng","given":"Jing"},{"family":"Ji","given":"Xu"},{"family":"Zhou","given":"Li"},{"family":"Da</w:instrText>
      </w:r>
      <w:r>
        <w:instrText xml:space="preserve">ng","given":"Yagu"},{"family":"Bi","given":"Kexin"},{"family":"Dai","given":"Zhongde"},{"family":"Dai","given":"Yiyang"}],"issued":{"date-parts":[["2022",9]]}}}],"schema":"https://github.com/citation-style-language/schema/raw/master/csl-citation.json"} </w:instrText>
      </w:r>
      <w:r>
        <w:fldChar w:fldCharType="separate"/>
      </w:r>
      <w:r w:rsidRPr="00961ADA">
        <w:t>(Feng et al., 2022)</w:t>
      </w:r>
      <w:r>
        <w:fldChar w:fldCharType="end"/>
      </w:r>
      <w:r w:rsidR="00CF725B">
        <w:t>.</w:t>
      </w:r>
      <w:r w:rsidR="00CF725B" w:rsidRPr="00CF725B">
        <w:t>With the increasing amount of material in the database, traditional MS-based high-throughput methods require expensive computational costs. As an alternative, machine learning (ML) is increasingly popular for understanding complex structure-property relationships, predicting material properties, and expediting material discovery. Many researchers are now utilizing ML and molecular simulation (MS) to assess the performance of new materials</w:t>
      </w:r>
      <w:r w:rsidR="00BA5D53">
        <w:t>.</w:t>
      </w:r>
      <w:r w:rsidR="00BA5D53" w:rsidRPr="00BA5D53">
        <w:t xml:space="preserve"> Cheng et al. screened adsorbents with high iodine adsorption performance from more than 12,0</w:t>
      </w:r>
      <w:r w:rsidR="00BA5D53">
        <w:t>2</w:t>
      </w:r>
      <w:r w:rsidR="00BA5D53" w:rsidRPr="00BA5D53">
        <w:t xml:space="preserve">0 MOFs by </w:t>
      </w:r>
      <w:r w:rsidR="00121242">
        <w:t>MS</w:t>
      </w:r>
      <w:r w:rsidR="00BA5D53" w:rsidRPr="00BA5D53">
        <w:t xml:space="preserve"> and constructed structure-property relationships by </w:t>
      </w:r>
      <w:r w:rsidR="00121242">
        <w:t>ML</w:t>
      </w:r>
      <w:r w:rsidR="00B61BA3">
        <w:fldChar w:fldCharType="begin"/>
      </w:r>
      <w:r w:rsidR="00B61BA3">
        <w:instrText xml:space="preserve"> ADDIN ZOTERO_ITEM CSL_CITATION {"citationID":"3LAGA59o","properties":{"formattedCitation":"(Cheng et al., 2023)","plainCitation":"(Cheng et al., 2023)","noteIndex":0},"citationItems":[{"id":701,"uris":["http://zotero.org/users/9765954/items/PSTL9Q2C"],"itemData":{"id":701,"type":"article-journal","call-number":"2","container-title":"Frontiers of Environmental Science &amp; Engineering","DOI":"10.1007/s11783-023-1748-3","ISSN":"2095-2201, 2095-221X","issue":"12","journalAbbreviation":"Front. Environ. Sci. Eng.","language":"en","page":"148","source":"6.4","title":"A large-scale screening of metal-organic frameworks for iodine capture combining molecular simulation and machine learning","volume":"17","author":[{"family":"Cheng","given":"Min"},{"family":"Zhang","given":"Zhiyuan"},{"family":"Wang","given":"Shihui"},{"family":"Bi","given":"Kexin"},{"family":"Hu","given":"Kong-qiu"},{"family":"Dai","given":"Zhongde"},{"family":"Dai","given":"Yiyang"},{"family":"Liu","given":"Chong"},{"family":"Zhou","given":"Li"},{"family":"Ji","given":"Xu"},{"family":"Shi","given":"Wei-qun"}],"issued":{"date-parts":[["2023",12]]}}}],"schema":"https://github.com/citation-style-language/schema/raw/master/csl-citation.json"} </w:instrText>
      </w:r>
      <w:r w:rsidR="00B61BA3">
        <w:fldChar w:fldCharType="separate"/>
      </w:r>
      <w:r w:rsidR="00B61BA3" w:rsidRPr="00B61BA3">
        <w:t>(Cheng et al., 2023)</w:t>
      </w:r>
      <w:r w:rsidR="00B61BA3">
        <w:fldChar w:fldCharType="end"/>
      </w:r>
      <w:r w:rsidR="00B61BA3">
        <w:t>.</w:t>
      </w:r>
      <w:r w:rsidR="00121242" w:rsidRPr="00121242">
        <w:t xml:space="preserve"> </w:t>
      </w:r>
      <w:r w:rsidR="00121242">
        <w:t xml:space="preserve">On the other hand, </w:t>
      </w:r>
      <w:r w:rsidR="00121242" w:rsidRPr="00121242">
        <w:rPr>
          <w:szCs w:val="24"/>
        </w:rPr>
        <w:t>Onder Aksu</w:t>
      </w:r>
      <w:r w:rsidR="00121242">
        <w:t xml:space="preserve"> and Keskin </w:t>
      </w:r>
      <w:r w:rsidR="00121242" w:rsidRPr="00121242">
        <w:t xml:space="preserve">used </w:t>
      </w:r>
      <w:r w:rsidR="00121242">
        <w:t>ML</w:t>
      </w:r>
      <w:r w:rsidR="00121242" w:rsidRPr="00121242">
        <w:t xml:space="preserve"> and </w:t>
      </w:r>
      <w:r w:rsidR="00121242">
        <w:t xml:space="preserve">MS </w:t>
      </w:r>
      <w:r w:rsidR="00121242" w:rsidRPr="00121242">
        <w:t>to explore the CH</w:t>
      </w:r>
      <w:r w:rsidR="00121242" w:rsidRPr="00121242">
        <w:rPr>
          <w:vertAlign w:val="subscript"/>
        </w:rPr>
        <w:t>4</w:t>
      </w:r>
      <w:r w:rsidR="00121242" w:rsidRPr="00121242">
        <w:t>/H</w:t>
      </w:r>
      <w:r w:rsidR="00121242" w:rsidRPr="00121242">
        <w:rPr>
          <w:vertAlign w:val="subscript"/>
        </w:rPr>
        <w:t>2</w:t>
      </w:r>
      <w:r w:rsidR="00121242" w:rsidRPr="00121242">
        <w:t xml:space="preserve"> separation performance of COFs</w:t>
      </w:r>
      <w:r w:rsidR="00121242">
        <w:fldChar w:fldCharType="begin"/>
      </w:r>
      <w:r w:rsidR="00121242">
        <w:instrText xml:space="preserve"> ADDIN ZOTERO_ITEM CSL_CITATION {"citationID":"SJlIHRYp","properties":{"formattedCitation":"(Onder\\uc0\\u160{}Aksu and Keskin, 2023)","plainCitation":"(Onder Aksu and Keskin, 2023)","noteIndex":0},"citationItems":[{"id":551,"uris":["http://zotero.org/users/9765954/items/BLAUMUK3"],"itemData":{"id":551,"type":"article-journal","call-number":"2","container-title":"Journal of Materials Chemistry A","DOI":"10.1039/D3TA02433D","language":"en","note":"publisher: Royal Society of Chemistry","source":"14.511","title":"Advancing CH 4 /H 2 separation with covalent organic frameworks by combining molecular simulations and machine learning","URL":"https://pubs.rsc.org/en/content/articlelanding/2023/ta/d3ta02433d","author":[{"family":"Onder Aksu","given":"Gokhan"},{"family":"Keskin","given":"Seda"}],"accessed":{"date-parts":[["2023",6,28]]},"issued":{"date-parts":[["2023"]]}}}],"schema":"https://github.com/citation-style-language/schema/raw/master/csl-citation.json"} </w:instrText>
      </w:r>
      <w:r w:rsidR="00121242">
        <w:fldChar w:fldCharType="separate"/>
      </w:r>
      <w:r w:rsidR="00121242" w:rsidRPr="00121242">
        <w:rPr>
          <w:szCs w:val="24"/>
        </w:rPr>
        <w:t>(Onder Aksu and Keskin, 2023)</w:t>
      </w:r>
      <w:r w:rsidR="00121242">
        <w:fldChar w:fldCharType="end"/>
      </w:r>
      <w:r w:rsidR="00121242">
        <w:t>.</w:t>
      </w:r>
    </w:p>
    <w:p w14:paraId="48C8893A" w14:textId="60723E1E" w:rsidR="00EC2AE8" w:rsidRDefault="00EC2AE8" w:rsidP="00EC2AE8">
      <w:pPr>
        <w:pStyle w:val="Els-body-text"/>
      </w:pPr>
      <w:r>
        <w:t xml:space="preserve">Although there are already several approaches on combining </w:t>
      </w:r>
      <w:r w:rsidR="00104531">
        <w:t>ML</w:t>
      </w:r>
      <w:r>
        <w:t xml:space="preserve"> </w:t>
      </w:r>
      <w:r w:rsidR="00104531">
        <w:t>and MS</w:t>
      </w:r>
      <w:r>
        <w:t xml:space="preserve"> for material screening, combining the interpretability of the models to quickly screen large amounts of data is a challenge. To the best of our knowledge, no systematic methodology has been developed to integrate model interpretability into the screening process of COFs. Therefore, the main goal of this study is to combine an automated </w:t>
      </w:r>
      <w:r w:rsidR="00E41ABC">
        <w:t xml:space="preserve">ML </w:t>
      </w:r>
      <w:r>
        <w:t>and</w:t>
      </w:r>
      <w:r w:rsidR="00E41ABC">
        <w:t xml:space="preserve"> MS</w:t>
      </w:r>
      <w:r>
        <w:t xml:space="preserve"> approach while integrating the chemical insights obtained from model interpretability for the rapid screening of COF materials in a large amount of chemical space, and ultimately to investigate and obtain high-performance COFs for acid gas membrane separation.</w:t>
      </w:r>
    </w:p>
    <w:p w14:paraId="144DE699" w14:textId="03949E16" w:rsidR="008D2649" w:rsidRDefault="00807CC9" w:rsidP="00B61BA3">
      <w:pPr>
        <w:pStyle w:val="Els-1storder-head"/>
        <w:spacing w:before="120" w:after="120"/>
      </w:pPr>
      <w:bookmarkStart w:id="2" w:name="_Hlk152769285"/>
      <w:r w:rsidRPr="00807CC9">
        <w:t>Methodology</w:t>
      </w:r>
    </w:p>
    <w:p w14:paraId="59FA5B37" w14:textId="7E50A38C" w:rsidR="00EC2AE8" w:rsidRPr="00EC2AE8" w:rsidRDefault="00EC2AE8" w:rsidP="00EC2AE8">
      <w:pPr>
        <w:pStyle w:val="Els-body-text"/>
      </w:pPr>
      <w:bookmarkStart w:id="3" w:name="_Hlk152772863"/>
      <w:r w:rsidRPr="00EC2AE8">
        <w:t xml:space="preserve">This section describes the proposed workflow combining interpretable </w:t>
      </w:r>
      <w:r w:rsidR="00E41ABC">
        <w:t>ML</w:t>
      </w:r>
      <w:r w:rsidRPr="00EC2AE8">
        <w:t xml:space="preserve"> and </w:t>
      </w:r>
      <w:r w:rsidR="00E41ABC">
        <w:t>MS</w:t>
      </w:r>
      <w:r w:rsidRPr="00EC2AE8">
        <w:t xml:space="preserve"> for COF membrane discovery for acid gas separation in natural gas, as shown in Fig</w:t>
      </w:r>
      <w:r w:rsidR="00104531">
        <w:t>ure</w:t>
      </w:r>
      <w:r w:rsidRPr="00EC2AE8">
        <w:t>. 1.</w:t>
      </w:r>
      <w:r w:rsidR="00104531" w:rsidRPr="00104531">
        <w:t xml:space="preserve"> </w:t>
      </w:r>
    </w:p>
    <w:bookmarkEnd w:id="2"/>
    <w:p w14:paraId="781411A2" w14:textId="77777777" w:rsidR="00421BC5" w:rsidRDefault="00421BC5" w:rsidP="00421BC5">
      <w:pPr>
        <w:pStyle w:val="Els-body-text"/>
        <w:spacing w:before="80" w:after="80"/>
        <w:jc w:val="center"/>
      </w:pPr>
      <w:r>
        <w:rPr>
          <w:noProof/>
        </w:rPr>
        <w:drawing>
          <wp:inline distT="0" distB="0" distL="0" distR="0" wp14:anchorId="476C4F17" wp14:editId="75C8E2C9">
            <wp:extent cx="4445519" cy="2203938"/>
            <wp:effectExtent l="0" t="0" r="0" b="6350"/>
            <wp:docPr id="1348460443"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60443" name=""/>
                    <pic:cNvPicPr/>
                  </pic:nvPicPr>
                  <pic:blipFill>
                    <a:blip r:embed="rId8">
                      <a:extLst>
                        <a:ext uri="{96DAC541-7B7A-43D3-8B79-37D633B846F1}">
                          <asvg:svgBlip xmlns:asvg="http://schemas.microsoft.com/office/drawing/2016/SVG/main" r:embed="rId9"/>
                        </a:ext>
                      </a:extLst>
                    </a:blip>
                    <a:stretch>
                      <a:fillRect/>
                    </a:stretch>
                  </pic:blipFill>
                  <pic:spPr>
                    <a:xfrm>
                      <a:off x="0" y="0"/>
                      <a:ext cx="4456609" cy="2209436"/>
                    </a:xfrm>
                    <a:prstGeom prst="rect">
                      <a:avLst/>
                    </a:prstGeom>
                  </pic:spPr>
                </pic:pic>
              </a:graphicData>
            </a:graphic>
          </wp:inline>
        </w:drawing>
      </w:r>
    </w:p>
    <w:p w14:paraId="34F573E8" w14:textId="5113B0C7" w:rsidR="00421BC5" w:rsidRPr="00AF10A1" w:rsidRDefault="00421BC5" w:rsidP="00121242">
      <w:pPr>
        <w:pStyle w:val="Els-body-text"/>
        <w:spacing w:afterLines="50" w:after="120"/>
        <w:rPr>
          <w:sz w:val="18"/>
          <w:szCs w:val="18"/>
        </w:rPr>
      </w:pPr>
      <w:r w:rsidRPr="00AF10A1">
        <w:rPr>
          <w:b/>
          <w:bCs/>
          <w:sz w:val="18"/>
          <w:szCs w:val="18"/>
        </w:rPr>
        <w:t>Fig</w:t>
      </w:r>
      <w:r>
        <w:rPr>
          <w:b/>
          <w:bCs/>
          <w:sz w:val="18"/>
          <w:szCs w:val="18"/>
        </w:rPr>
        <w:t>ure</w:t>
      </w:r>
      <w:r w:rsidRPr="00AF10A1">
        <w:rPr>
          <w:b/>
          <w:bCs/>
          <w:sz w:val="18"/>
          <w:szCs w:val="18"/>
        </w:rPr>
        <w:t xml:space="preserve"> 1.</w:t>
      </w:r>
      <w:r w:rsidRPr="00AF10A1">
        <w:rPr>
          <w:sz w:val="18"/>
          <w:szCs w:val="18"/>
        </w:rPr>
        <w:t xml:space="preserve"> Workflow for interpretable ML-assisted discovery of innovative COF</w:t>
      </w:r>
      <w:r>
        <w:rPr>
          <w:sz w:val="18"/>
          <w:szCs w:val="18"/>
        </w:rPr>
        <w:t xml:space="preserve">-based membranes </w:t>
      </w:r>
      <w:r w:rsidRPr="00AF10A1">
        <w:rPr>
          <w:sz w:val="18"/>
          <w:szCs w:val="18"/>
        </w:rPr>
        <w:t>with high performance.</w:t>
      </w:r>
      <w:r w:rsidR="00104531" w:rsidRPr="00104531">
        <w:t xml:space="preserve"> </w:t>
      </w:r>
    </w:p>
    <w:p w14:paraId="79752F36" w14:textId="500114FC" w:rsidR="00421BC5" w:rsidRPr="00421BC5" w:rsidRDefault="00104531" w:rsidP="00421BC5">
      <w:pPr>
        <w:pStyle w:val="Els-body-text"/>
      </w:pPr>
      <w:r w:rsidRPr="00104531">
        <w:t>The workflow is (1) Structural pre-screening of the CURATED-COFs database to exclude COFs with pore limiting diameter smaller than 3.80 Å (CH</w:t>
      </w:r>
      <w:r w:rsidRPr="00104531">
        <w:rPr>
          <w:vertAlign w:val="subscript"/>
        </w:rPr>
        <w:t>4</w:t>
      </w:r>
      <w:r w:rsidRPr="00104531">
        <w:t xml:space="preserve"> kinetics diameter). </w:t>
      </w:r>
      <w:r w:rsidRPr="00104531">
        <w:lastRenderedPageBreak/>
        <w:t xml:space="preserve">(2) Extract pore size, structural, atomic, and chemical property descriptors from COFs to be used as feature inputs for ML models. The feature dimension was 20 dimensions. The results of GCMC and MD simulations at 10 bar and 298 k were used as predictive properties. (3) The regression and tree models for predicting gas permeability were trained using the automated machine learning tool TPOT. Chemical insights were obtained by calculating SHAP values. (4) High-throughput permeability prediction using feature knowledge and machine learning for a large number of </w:t>
      </w:r>
      <w:proofErr w:type="spellStart"/>
      <w:r w:rsidRPr="00104531">
        <w:t>hCOFs</w:t>
      </w:r>
      <w:proofErr w:type="spellEnd"/>
      <w:r w:rsidRPr="00104531">
        <w:t>. (5) Finally, molecular simulation of ternary gas mixtures under real conditions is performed for high-performance COFs to obtain optimal COF materials.</w:t>
      </w:r>
    </w:p>
    <w:bookmarkEnd w:id="3"/>
    <w:p w14:paraId="144DE69A" w14:textId="4DD3B9F1" w:rsidR="008D2649" w:rsidRDefault="00162146" w:rsidP="00C173C8">
      <w:pPr>
        <w:pStyle w:val="Els-2ndorder-head"/>
        <w:spacing w:after="60"/>
      </w:pPr>
      <w:r>
        <w:t xml:space="preserve">Datasets and </w:t>
      </w:r>
      <w:r w:rsidR="00A56899">
        <w:t>Features</w:t>
      </w:r>
    </w:p>
    <w:p w14:paraId="21B56E7B" w14:textId="53A73E48" w:rsidR="00A56899" w:rsidRDefault="008B2EEC" w:rsidP="00A56899">
      <w:pPr>
        <w:pStyle w:val="Els-body-text"/>
      </w:pPr>
      <w:r w:rsidRPr="008B2EEC">
        <w:t>In this work, we choose two databases, CUTARED-COFs</w:t>
      </w:r>
      <w:r w:rsidR="001A3CE9">
        <w:t xml:space="preserve"> </w:t>
      </w:r>
      <w:r w:rsidR="001A3CE9">
        <w:fldChar w:fldCharType="begin"/>
      </w:r>
      <w:r w:rsidR="001A3CE9">
        <w:instrText xml:space="preserve"> ADDIN ZOTERO_ITEM CSL_CITATION {"citationID":"YXJ3EzaD","properties":{"formattedCitation":"(Ongari et al., 2019)","plainCitation":"(Ongari et al., 2019)","noteIndex":0},"citationItems":[{"id":511,"uris":["http://zotero.org/users/9765954/items/F938CKPD"],"itemData":{"id":511,"type":"article-journal","abstract":"We present a workﬂow that traces the path from the bulk structure of a crystalline material to assessing its performance in carbon capture from coal’s postcombustion ﬂue gases. This workﬂow is applied to a database of 324 covalent−organic frameworks (COFs) reported in the literature, to characterize their CO2 adsorption properties using the following steps: (1) optimization of the crystal structure (atomic positions and unit cell) using density functional theory, (2) ﬁtting atomic point charges based on the electron density, (3) characterizing the pore geometry of the structures before and after optimization, (4) computing carbon dioxide and nitrogen isotherms using grand canonical Monte Carlo simulations with an empirical interaction potential, and ﬁnally, (5) assessing the CO2 parasitic energy via process modeling. The full workﬂow has been encoded in the Automated Interactive Infrastructure and Database for Computational Science (AiiDA). Both the workﬂow and the automatically generated provenance graph of our calculations are made available on the Materials Cloud, allowing peers to inspect every input parameter and result along the workﬂow, download structures and ﬁles at intermediate stages, and start their research right from where this work has left oﬀ. In particular, our set of CURATED (Clean, Uniform, and Reﬁned with Automatic Tracking from Experimental Database) COFs, having optimized geometry and high-quality DFT-derived point charges, are available for further investigations of gas adsorption properties. We plan to update the database as new COFs are being reported.","call-number":"1","container-title":"ACS Central Science","DOI":"10.1021/acscentsci.9b00619","ISSN":"2374-7943, 2374-7951","issue":"10","journalAbbreviation":"ACS Cent. Sci.","language":"en","page":"1663-1675","source":"18.728","title":"Building a Consistent and Reproducible Database for Adsorption Evaluation in Covalent–Organic Frameworks","volume":"5","author":[{"family":"Ongari","given":"Daniele"},{"family":"Yakutovich","given":"Aliaksandr V."},{"family":"Talirz","given":"Leopold"},{"family":"Smit","given":"Berend"}],"issued":{"date-parts":[["2019",10,23]]}}}],"schema":"https://github.com/citation-style-language/schema/raw/master/csl-citation.json"} </w:instrText>
      </w:r>
      <w:r w:rsidR="001A3CE9">
        <w:fldChar w:fldCharType="separate"/>
      </w:r>
      <w:r w:rsidR="009A3E87" w:rsidRPr="009A3E87">
        <w:t>(Ongari et al., 2019)</w:t>
      </w:r>
      <w:r w:rsidR="001A3CE9">
        <w:fldChar w:fldCharType="end"/>
      </w:r>
      <w:r w:rsidRPr="008B2EEC">
        <w:t xml:space="preserve"> and </w:t>
      </w:r>
      <w:proofErr w:type="spellStart"/>
      <w:r w:rsidRPr="008B2EEC">
        <w:t>hCOFs</w:t>
      </w:r>
      <w:proofErr w:type="spellEnd"/>
      <w:r w:rsidRPr="008B2EEC">
        <w:t>,</w:t>
      </w:r>
      <w:r w:rsidR="001A3CE9">
        <w:fldChar w:fldCharType="begin"/>
      </w:r>
      <w:r w:rsidR="001A3CE9">
        <w:instrText xml:space="preserve"> ADDIN ZOTERO_ITEM CSL_CITATION {"citationID":"swacJnZI","properties":{"formattedCitation":"(Mercado et al., 2018)","plainCitation":"(Mercado et al., 2018)","noteIndex":0},"citationItems":[{"id":516,"uris":["http://zotero.org/users/9765954/items/IA6NKMMW"],"itemData":{"id":516,"type":"article-journal","abstract":"Here, we present a database of 69 840 largely novel covalent organic frameworks assembled in silico from 666 distinct organic linkers and four established synthetic routes. Due to their light weights and high internal surface areas, the frameworks are promising materials for methane storage applications. To assess their methane storage performance, we used grand-canonical Monte Carlo simulations to calculate their deliverable capacities. We demonstrate that the best structure, composed of carbon–carbon bonded triazine linkers in the tbd topology, has a predicted 65-bar deliverable capacity of 216 v STP/v, better than the best methane storage materials published to date. Using our approach, we also discovered other high-performing materials with 300 structures having calculated deliverable capacities greater than 190 v STP/v and 10% of these outperforming 200 v STP/v. To encourage screening studies of these materials for other applications, all structures and their properties were made available on the Materials Cloud.","call-number":"2","container-title":"Chemistry of Materials","DOI":"10.1021/acs.chemmater.8b01425","ISSN":"0897-4756","issue":"15","journalAbbreviation":"Chem. Mater.","note":"publisher: American Chemical Society","page":"5069-5086","source":"10.508","title":"In Silico Design of 2D and 3D Covalent Organic Frameworks for Methane Storage Applications","volume":"30","author":[{"family":"Mercado","given":"Rocío"},{"family":"Fu","given":"Rueih-Sheng"},{"family":"Yakutovich","given":"Aliaksandr V."},{"family":"Talirz","given":"Leopold"},{"family":"Haranczyk","given":"Maciej"},{"family":"Smit","given":"Berend"}],"issued":{"date-parts":[["2018",8,14]]}}}],"schema":"https://github.com/citation-style-language/schema/raw/master/csl-citation.json"} </w:instrText>
      </w:r>
      <w:r w:rsidR="001A3CE9">
        <w:fldChar w:fldCharType="separate"/>
      </w:r>
      <w:r w:rsidR="009A3E87" w:rsidRPr="009A3E87">
        <w:t>(Mercado et al., 2018)</w:t>
      </w:r>
      <w:r w:rsidR="001A3CE9">
        <w:fldChar w:fldCharType="end"/>
      </w:r>
      <w:r w:rsidRPr="008B2EEC">
        <w:t xml:space="preserve"> as candidate materials. The former is an automatic recognition grabbing of the current experimentally </w:t>
      </w:r>
      <w:r w:rsidR="001F70BC" w:rsidRPr="008B2EEC">
        <w:t>synthesized</w:t>
      </w:r>
      <w:r w:rsidRPr="008B2EEC">
        <w:t xml:space="preserve"> COFs with </w:t>
      </w:r>
      <w:r w:rsidR="002A5D2C">
        <w:t>several</w:t>
      </w:r>
      <w:r w:rsidRPr="008B2EEC">
        <w:t xml:space="preserve"> </w:t>
      </w:r>
      <w:r w:rsidR="00705020">
        <w:t>788</w:t>
      </w:r>
      <w:r w:rsidRPr="008B2EEC">
        <w:t xml:space="preserve">. The latter is the computer-virtual </w:t>
      </w:r>
      <w:r w:rsidR="002A5D2C">
        <w:t>synthesized</w:t>
      </w:r>
      <w:r w:rsidRPr="008B2EEC">
        <w:t xml:space="preserve"> COFs with number up to 69</w:t>
      </w:r>
      <w:r w:rsidR="00705020">
        <w:t>654</w:t>
      </w:r>
      <w:r w:rsidRPr="008B2EEC">
        <w:t>.</w:t>
      </w:r>
      <w:r w:rsidR="007876AC" w:rsidRPr="007876AC">
        <w:t xml:space="preserve"> COFs with </w:t>
      </w:r>
      <w:r w:rsidR="007876AC">
        <w:t>PLD</w:t>
      </w:r>
      <w:r w:rsidR="007876AC" w:rsidRPr="007876AC">
        <w:t xml:space="preserve"> less than 3.8</w:t>
      </w:r>
      <w:r w:rsidR="007876AC" w:rsidRPr="00C73F32">
        <w:rPr>
          <w:rFonts w:cs="Calibri"/>
        </w:rPr>
        <w:t>Å</w:t>
      </w:r>
      <w:r w:rsidR="007876AC" w:rsidRPr="007876AC">
        <w:t xml:space="preserve"> were excluded from the calculation</w:t>
      </w:r>
      <w:r w:rsidR="007876AC">
        <w:t>.</w:t>
      </w:r>
      <w:r w:rsidR="00AE1880" w:rsidRPr="00AE1880">
        <w:t xml:space="preserve"> All </w:t>
      </w:r>
      <w:r w:rsidR="00AE1880">
        <w:t>features</w:t>
      </w:r>
      <w:r w:rsidR="00AE1880" w:rsidRPr="00AE1880">
        <w:t xml:space="preserve"> are listed in Table 1</w:t>
      </w:r>
      <w:r w:rsidR="00AE1880">
        <w:t>.</w:t>
      </w:r>
    </w:p>
    <w:p w14:paraId="63F8E13E" w14:textId="4F681E3F" w:rsidR="00AE1880" w:rsidRPr="00387D39" w:rsidRDefault="00387D39" w:rsidP="00387D39">
      <w:pPr>
        <w:pStyle w:val="Els-body-text"/>
        <w:spacing w:beforeLines="50" w:before="120"/>
        <w:jc w:val="center"/>
        <w:rPr>
          <w:sz w:val="18"/>
          <w:szCs w:val="18"/>
        </w:rPr>
      </w:pPr>
      <w:bookmarkStart w:id="4" w:name="_Hlk152769360"/>
      <w:bookmarkStart w:id="5" w:name="_Hlk152768474"/>
      <w:r w:rsidRPr="00387D39">
        <w:rPr>
          <w:sz w:val="18"/>
          <w:szCs w:val="18"/>
        </w:rPr>
        <w:t>Table 1. List of features of COFs used for ML model</w:t>
      </w:r>
    </w:p>
    <w:tbl>
      <w:tblPr>
        <w:tblStyle w:val="Grigliatabella"/>
        <w:tblW w:w="0" w:type="auto"/>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410"/>
        <w:gridCol w:w="1276"/>
        <w:gridCol w:w="2268"/>
        <w:gridCol w:w="709"/>
      </w:tblGrid>
      <w:tr w:rsidR="00AE1880" w:rsidRPr="00E20717" w14:paraId="026F785E" w14:textId="77777777" w:rsidTr="00E41ABC">
        <w:trPr>
          <w:trHeight w:val="227"/>
          <w:jc w:val="center"/>
        </w:trPr>
        <w:tc>
          <w:tcPr>
            <w:tcW w:w="2410" w:type="dxa"/>
            <w:tcBorders>
              <w:top w:val="single" w:sz="8" w:space="0" w:color="auto"/>
              <w:bottom w:val="single" w:sz="8" w:space="0" w:color="auto"/>
            </w:tcBorders>
            <w:vAlign w:val="center"/>
          </w:tcPr>
          <w:p w14:paraId="0B0A871D" w14:textId="7E098A45" w:rsidR="00AE1880" w:rsidRPr="00E04225" w:rsidRDefault="00AE1880" w:rsidP="00FC25D4">
            <w:pPr>
              <w:jc w:val="both"/>
              <w:rPr>
                <w:rFonts w:ascii="Times New Roman" w:hAnsi="Times New Roman" w:cs="Times New Roman"/>
                <w:b/>
                <w:bCs/>
                <w:sz w:val="18"/>
                <w:szCs w:val="18"/>
              </w:rPr>
            </w:pPr>
            <w:bookmarkStart w:id="6" w:name="_Hlk152769013"/>
            <w:bookmarkEnd w:id="4"/>
            <w:r w:rsidRPr="00AE1880">
              <w:rPr>
                <w:rFonts w:ascii="Times New Roman" w:hAnsi="Times New Roman" w:cs="Times New Roman"/>
                <w:b/>
                <w:bCs/>
                <w:sz w:val="18"/>
                <w:szCs w:val="18"/>
              </w:rPr>
              <w:t>Descriptor type</w:t>
            </w:r>
          </w:p>
        </w:tc>
        <w:tc>
          <w:tcPr>
            <w:tcW w:w="3544" w:type="dxa"/>
            <w:gridSpan w:val="2"/>
            <w:tcBorders>
              <w:top w:val="single" w:sz="8" w:space="0" w:color="auto"/>
              <w:bottom w:val="single" w:sz="8" w:space="0" w:color="auto"/>
            </w:tcBorders>
            <w:vAlign w:val="center"/>
          </w:tcPr>
          <w:p w14:paraId="2209BEDC" w14:textId="75D5BCE8" w:rsidR="00AE1880" w:rsidRPr="00E04225" w:rsidRDefault="00AE1880" w:rsidP="00FC25D4">
            <w:pPr>
              <w:jc w:val="both"/>
              <w:rPr>
                <w:rFonts w:ascii="Times New Roman" w:hAnsi="Times New Roman" w:cs="Times New Roman"/>
                <w:b/>
                <w:bCs/>
                <w:sz w:val="18"/>
                <w:szCs w:val="18"/>
              </w:rPr>
            </w:pPr>
            <w:r w:rsidRPr="00AE1880">
              <w:rPr>
                <w:rFonts w:ascii="Times New Roman" w:hAnsi="Times New Roman" w:cs="Times New Roman"/>
                <w:b/>
                <w:bCs/>
                <w:sz w:val="18"/>
                <w:szCs w:val="18"/>
              </w:rPr>
              <w:t>Feature</w:t>
            </w:r>
          </w:p>
        </w:tc>
        <w:tc>
          <w:tcPr>
            <w:tcW w:w="709" w:type="dxa"/>
            <w:tcBorders>
              <w:top w:val="single" w:sz="8" w:space="0" w:color="auto"/>
              <w:bottom w:val="single" w:sz="8" w:space="0" w:color="auto"/>
            </w:tcBorders>
            <w:vAlign w:val="center"/>
          </w:tcPr>
          <w:p w14:paraId="705D3813" w14:textId="38798A41" w:rsidR="00AE1880" w:rsidRPr="00E04225" w:rsidRDefault="00AE1880" w:rsidP="00FC25D4">
            <w:pPr>
              <w:jc w:val="both"/>
              <w:rPr>
                <w:rFonts w:ascii="Times New Roman" w:hAnsi="Times New Roman" w:cs="Times New Roman"/>
                <w:b/>
                <w:bCs/>
                <w:sz w:val="18"/>
                <w:szCs w:val="18"/>
                <w:lang w:eastAsia="zh-CN"/>
              </w:rPr>
            </w:pPr>
            <w:r>
              <w:rPr>
                <w:rFonts w:ascii="Times New Roman" w:hAnsi="Times New Roman" w:cs="Times New Roman" w:hint="eastAsia"/>
                <w:b/>
                <w:bCs/>
                <w:sz w:val="18"/>
                <w:szCs w:val="18"/>
                <w:lang w:eastAsia="zh-CN"/>
              </w:rPr>
              <w:t>U</w:t>
            </w:r>
            <w:r>
              <w:rPr>
                <w:rFonts w:ascii="Times New Roman" w:hAnsi="Times New Roman" w:cs="Times New Roman"/>
                <w:b/>
                <w:bCs/>
                <w:sz w:val="18"/>
                <w:szCs w:val="18"/>
                <w:lang w:eastAsia="zh-CN"/>
              </w:rPr>
              <w:t>nit</w:t>
            </w:r>
          </w:p>
        </w:tc>
      </w:tr>
      <w:tr w:rsidR="00AE1880" w:rsidRPr="00E20717" w14:paraId="6A95B76A" w14:textId="77777777" w:rsidTr="00E41ABC">
        <w:trPr>
          <w:trHeight w:val="227"/>
          <w:jc w:val="center"/>
        </w:trPr>
        <w:tc>
          <w:tcPr>
            <w:tcW w:w="2410" w:type="dxa"/>
            <w:vMerge w:val="restart"/>
            <w:tcBorders>
              <w:top w:val="single" w:sz="8" w:space="0" w:color="auto"/>
            </w:tcBorders>
            <w:vAlign w:val="center"/>
          </w:tcPr>
          <w:p w14:paraId="096950FE" w14:textId="3E6CDC94" w:rsidR="00AE1880" w:rsidRPr="000E57B2" w:rsidRDefault="00AE1880" w:rsidP="00FC25D4">
            <w:pPr>
              <w:spacing w:line="264" w:lineRule="auto"/>
              <w:jc w:val="both"/>
              <w:rPr>
                <w:rFonts w:ascii="Times New Roman" w:hAnsi="Times New Roman" w:cs="Times New Roman"/>
                <w:sz w:val="18"/>
                <w:szCs w:val="18"/>
              </w:rPr>
            </w:pPr>
            <w:r w:rsidRPr="00AE1880">
              <w:rPr>
                <w:rFonts w:ascii="Times New Roman" w:hAnsi="Times New Roman" w:cs="Times New Roman"/>
                <w:sz w:val="18"/>
                <w:szCs w:val="18"/>
              </w:rPr>
              <w:t>Pore size descriptors</w:t>
            </w:r>
          </w:p>
        </w:tc>
        <w:tc>
          <w:tcPr>
            <w:tcW w:w="3544" w:type="dxa"/>
            <w:gridSpan w:val="2"/>
            <w:tcBorders>
              <w:top w:val="single" w:sz="8" w:space="0" w:color="auto"/>
              <w:bottom w:val="nil"/>
            </w:tcBorders>
            <w:vAlign w:val="center"/>
          </w:tcPr>
          <w:p w14:paraId="2854E583" w14:textId="602C64A8" w:rsidR="00AE1880" w:rsidRPr="00AE1880" w:rsidRDefault="00AE1880" w:rsidP="00FC25D4">
            <w:pPr>
              <w:spacing w:line="264" w:lineRule="auto"/>
              <w:jc w:val="both"/>
              <w:rPr>
                <w:rFonts w:ascii="Times New Roman" w:hAnsi="Times New Roman" w:cs="Times New Roman"/>
                <w:sz w:val="18"/>
                <w:szCs w:val="18"/>
              </w:rPr>
            </w:pPr>
            <w:r w:rsidRPr="00AE1880">
              <w:rPr>
                <w:rFonts w:ascii="Times New Roman" w:hAnsi="Times New Roman" w:cs="Times New Roman"/>
                <w:sz w:val="18"/>
                <w:szCs w:val="18"/>
              </w:rPr>
              <w:t>Largest cavity diameter (LCD)</w:t>
            </w:r>
          </w:p>
        </w:tc>
        <w:tc>
          <w:tcPr>
            <w:tcW w:w="709" w:type="dxa"/>
            <w:tcBorders>
              <w:top w:val="single" w:sz="8" w:space="0" w:color="auto"/>
              <w:bottom w:val="nil"/>
            </w:tcBorders>
            <w:vAlign w:val="center"/>
          </w:tcPr>
          <w:p w14:paraId="5BF596C4" w14:textId="221E64C3" w:rsidR="00AE1880" w:rsidRPr="00AE1880" w:rsidRDefault="00AE1880" w:rsidP="00FC25D4">
            <w:pPr>
              <w:spacing w:line="264" w:lineRule="auto"/>
              <w:jc w:val="both"/>
              <w:rPr>
                <w:rFonts w:ascii="Times New Roman" w:hAnsi="Times New Roman" w:cs="Times New Roman"/>
                <w:sz w:val="18"/>
                <w:szCs w:val="18"/>
              </w:rPr>
            </w:pPr>
            <w:r w:rsidRPr="00AE1880">
              <w:rPr>
                <w:rFonts w:ascii="Times New Roman" w:hAnsi="Times New Roman" w:cs="Times New Roman"/>
                <w:sz w:val="18"/>
                <w:szCs w:val="18"/>
              </w:rPr>
              <w:t>Å</w:t>
            </w:r>
          </w:p>
        </w:tc>
      </w:tr>
      <w:tr w:rsidR="00AE1880" w:rsidRPr="00E20717" w14:paraId="0A422E45" w14:textId="77777777" w:rsidTr="00E41ABC">
        <w:trPr>
          <w:trHeight w:val="227"/>
          <w:jc w:val="center"/>
        </w:trPr>
        <w:tc>
          <w:tcPr>
            <w:tcW w:w="2410" w:type="dxa"/>
            <w:vMerge/>
            <w:tcBorders>
              <w:bottom w:val="single" w:sz="4" w:space="0" w:color="auto"/>
            </w:tcBorders>
            <w:vAlign w:val="center"/>
          </w:tcPr>
          <w:p w14:paraId="71CE032E" w14:textId="77777777" w:rsidR="00AE1880" w:rsidRPr="00AE1880" w:rsidRDefault="00AE1880" w:rsidP="00FC25D4">
            <w:pPr>
              <w:spacing w:line="264" w:lineRule="auto"/>
              <w:jc w:val="both"/>
              <w:rPr>
                <w:sz w:val="18"/>
                <w:szCs w:val="18"/>
              </w:rPr>
            </w:pPr>
          </w:p>
        </w:tc>
        <w:tc>
          <w:tcPr>
            <w:tcW w:w="3544" w:type="dxa"/>
            <w:gridSpan w:val="2"/>
            <w:tcBorders>
              <w:top w:val="nil"/>
              <w:bottom w:val="nil"/>
            </w:tcBorders>
            <w:vAlign w:val="center"/>
          </w:tcPr>
          <w:p w14:paraId="075D0223" w14:textId="030C5D9E" w:rsidR="00AE1880" w:rsidRPr="00AE1880" w:rsidRDefault="00AE1880" w:rsidP="00FC25D4">
            <w:pPr>
              <w:spacing w:line="264" w:lineRule="auto"/>
              <w:jc w:val="both"/>
              <w:rPr>
                <w:rFonts w:ascii="Times New Roman" w:hAnsi="Times New Roman" w:cs="Times New Roman"/>
                <w:sz w:val="18"/>
                <w:szCs w:val="18"/>
              </w:rPr>
            </w:pPr>
            <w:r w:rsidRPr="00AE1880">
              <w:rPr>
                <w:rFonts w:ascii="Times New Roman" w:hAnsi="Times New Roman" w:cs="Times New Roman"/>
                <w:sz w:val="18"/>
                <w:szCs w:val="18"/>
              </w:rPr>
              <w:t>Pore limiting diameter (PLD)</w:t>
            </w:r>
          </w:p>
        </w:tc>
        <w:tc>
          <w:tcPr>
            <w:tcW w:w="709" w:type="dxa"/>
            <w:tcBorders>
              <w:top w:val="nil"/>
              <w:bottom w:val="nil"/>
            </w:tcBorders>
            <w:vAlign w:val="center"/>
          </w:tcPr>
          <w:p w14:paraId="1627A719" w14:textId="0C702289" w:rsidR="00AE1880" w:rsidRPr="00AE1880" w:rsidRDefault="00AE1880" w:rsidP="00FC25D4">
            <w:pPr>
              <w:spacing w:line="264" w:lineRule="auto"/>
              <w:jc w:val="both"/>
              <w:rPr>
                <w:rFonts w:ascii="Times New Roman" w:hAnsi="Times New Roman" w:cs="Times New Roman"/>
                <w:sz w:val="18"/>
                <w:szCs w:val="18"/>
              </w:rPr>
            </w:pPr>
            <w:r w:rsidRPr="00AE1880">
              <w:rPr>
                <w:rFonts w:ascii="Times New Roman" w:hAnsi="Times New Roman" w:cs="Times New Roman"/>
                <w:sz w:val="18"/>
                <w:szCs w:val="18"/>
              </w:rPr>
              <w:t>Å</w:t>
            </w:r>
          </w:p>
        </w:tc>
      </w:tr>
      <w:tr w:rsidR="00387D39" w:rsidRPr="00E20717" w14:paraId="74CA957F" w14:textId="77777777" w:rsidTr="00E41ABC">
        <w:trPr>
          <w:trHeight w:val="227"/>
          <w:jc w:val="center"/>
        </w:trPr>
        <w:tc>
          <w:tcPr>
            <w:tcW w:w="2410" w:type="dxa"/>
            <w:vMerge w:val="restart"/>
            <w:tcBorders>
              <w:top w:val="single" w:sz="4" w:space="0" w:color="auto"/>
            </w:tcBorders>
            <w:vAlign w:val="center"/>
          </w:tcPr>
          <w:p w14:paraId="0CAA3D58" w14:textId="500EE319" w:rsidR="00387D39" w:rsidRPr="000E57B2" w:rsidRDefault="00387D39" w:rsidP="00FC25D4">
            <w:pPr>
              <w:spacing w:line="264" w:lineRule="auto"/>
              <w:jc w:val="both"/>
              <w:rPr>
                <w:rFonts w:ascii="Times New Roman" w:hAnsi="Times New Roman" w:cs="Times New Roman"/>
                <w:sz w:val="18"/>
                <w:szCs w:val="18"/>
              </w:rPr>
            </w:pPr>
            <w:r w:rsidRPr="00AE1880">
              <w:rPr>
                <w:rFonts w:ascii="Times New Roman" w:hAnsi="Times New Roman" w:cs="Times New Roman"/>
                <w:sz w:val="18"/>
                <w:szCs w:val="18"/>
              </w:rPr>
              <w:t>Structure descriptors</w:t>
            </w:r>
          </w:p>
        </w:tc>
        <w:tc>
          <w:tcPr>
            <w:tcW w:w="3544" w:type="dxa"/>
            <w:gridSpan w:val="2"/>
            <w:tcBorders>
              <w:top w:val="single" w:sz="4" w:space="0" w:color="auto"/>
              <w:bottom w:val="nil"/>
            </w:tcBorders>
            <w:vAlign w:val="center"/>
          </w:tcPr>
          <w:p w14:paraId="205EBF4F" w14:textId="2B3E1D6E"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Density (ρ)</w:t>
            </w:r>
          </w:p>
        </w:tc>
        <w:tc>
          <w:tcPr>
            <w:tcW w:w="709" w:type="dxa"/>
            <w:tcBorders>
              <w:top w:val="single" w:sz="4" w:space="0" w:color="auto"/>
              <w:bottom w:val="nil"/>
            </w:tcBorders>
            <w:vAlign w:val="center"/>
          </w:tcPr>
          <w:p w14:paraId="70BECE01" w14:textId="08FBDECE"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g/cm</w:t>
            </w:r>
            <w:r w:rsidRPr="00387D39">
              <w:rPr>
                <w:rFonts w:ascii="Times New Roman" w:hAnsi="Times New Roman" w:cs="Times New Roman"/>
                <w:sz w:val="18"/>
                <w:szCs w:val="18"/>
                <w:vertAlign w:val="superscript"/>
              </w:rPr>
              <w:t>3</w:t>
            </w:r>
          </w:p>
        </w:tc>
      </w:tr>
      <w:tr w:rsidR="00387D39" w:rsidRPr="00E20717" w14:paraId="41C866E4" w14:textId="77777777" w:rsidTr="00E41ABC">
        <w:trPr>
          <w:trHeight w:val="227"/>
          <w:jc w:val="center"/>
        </w:trPr>
        <w:tc>
          <w:tcPr>
            <w:tcW w:w="2410" w:type="dxa"/>
            <w:vMerge/>
            <w:vAlign w:val="center"/>
          </w:tcPr>
          <w:p w14:paraId="2E8859D7" w14:textId="77777777" w:rsidR="00387D39" w:rsidRPr="00AE1880" w:rsidRDefault="00387D39" w:rsidP="00FC25D4">
            <w:pPr>
              <w:spacing w:line="264" w:lineRule="auto"/>
              <w:jc w:val="both"/>
              <w:rPr>
                <w:sz w:val="18"/>
                <w:szCs w:val="18"/>
              </w:rPr>
            </w:pPr>
          </w:p>
        </w:tc>
        <w:tc>
          <w:tcPr>
            <w:tcW w:w="3544" w:type="dxa"/>
            <w:gridSpan w:val="2"/>
            <w:tcBorders>
              <w:top w:val="nil"/>
              <w:bottom w:val="nil"/>
            </w:tcBorders>
            <w:vAlign w:val="center"/>
          </w:tcPr>
          <w:p w14:paraId="3BB24AE2" w14:textId="419F3025"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Surface area (SA)</w:t>
            </w:r>
          </w:p>
        </w:tc>
        <w:tc>
          <w:tcPr>
            <w:tcW w:w="709" w:type="dxa"/>
            <w:tcBorders>
              <w:top w:val="nil"/>
              <w:bottom w:val="nil"/>
            </w:tcBorders>
            <w:vAlign w:val="center"/>
          </w:tcPr>
          <w:p w14:paraId="3FEB527D" w14:textId="1306D4D5"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m</w:t>
            </w:r>
            <w:r w:rsidRPr="00387D39">
              <w:rPr>
                <w:rFonts w:ascii="Times New Roman" w:hAnsi="Times New Roman" w:cs="Times New Roman"/>
                <w:sz w:val="18"/>
                <w:szCs w:val="18"/>
                <w:vertAlign w:val="superscript"/>
              </w:rPr>
              <w:t>2</w:t>
            </w:r>
            <w:r w:rsidRPr="00387D39">
              <w:rPr>
                <w:rFonts w:ascii="Times New Roman" w:hAnsi="Times New Roman" w:cs="Times New Roman"/>
                <w:sz w:val="18"/>
                <w:szCs w:val="18"/>
              </w:rPr>
              <w:t>/g</w:t>
            </w:r>
          </w:p>
        </w:tc>
      </w:tr>
      <w:tr w:rsidR="00387D39" w:rsidRPr="00E20717" w14:paraId="7BA90C87" w14:textId="77777777" w:rsidTr="00E41ABC">
        <w:trPr>
          <w:trHeight w:val="227"/>
          <w:jc w:val="center"/>
        </w:trPr>
        <w:tc>
          <w:tcPr>
            <w:tcW w:w="2410" w:type="dxa"/>
            <w:vMerge/>
            <w:vAlign w:val="center"/>
          </w:tcPr>
          <w:p w14:paraId="40201EBB" w14:textId="77777777" w:rsidR="00387D39" w:rsidRPr="00AE1880" w:rsidRDefault="00387D39" w:rsidP="00FC25D4">
            <w:pPr>
              <w:spacing w:line="264" w:lineRule="auto"/>
              <w:jc w:val="both"/>
              <w:rPr>
                <w:sz w:val="18"/>
                <w:szCs w:val="18"/>
              </w:rPr>
            </w:pPr>
          </w:p>
        </w:tc>
        <w:tc>
          <w:tcPr>
            <w:tcW w:w="3544" w:type="dxa"/>
            <w:gridSpan w:val="2"/>
            <w:tcBorders>
              <w:top w:val="nil"/>
              <w:bottom w:val="nil"/>
            </w:tcBorders>
            <w:vAlign w:val="center"/>
          </w:tcPr>
          <w:p w14:paraId="4E3A4D15" w14:textId="081FBD9C"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Pore volume (PV)</w:t>
            </w:r>
          </w:p>
        </w:tc>
        <w:tc>
          <w:tcPr>
            <w:tcW w:w="709" w:type="dxa"/>
            <w:tcBorders>
              <w:top w:val="nil"/>
              <w:bottom w:val="nil"/>
            </w:tcBorders>
            <w:vAlign w:val="center"/>
          </w:tcPr>
          <w:p w14:paraId="2B47C6F9" w14:textId="44B9AF10"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cm</w:t>
            </w:r>
            <w:r w:rsidRPr="00387D39">
              <w:rPr>
                <w:rFonts w:ascii="Times New Roman" w:hAnsi="Times New Roman" w:cs="Times New Roman"/>
                <w:sz w:val="18"/>
                <w:szCs w:val="18"/>
                <w:vertAlign w:val="superscript"/>
              </w:rPr>
              <w:t>3</w:t>
            </w:r>
            <w:r w:rsidRPr="00387D39">
              <w:rPr>
                <w:rFonts w:ascii="Times New Roman" w:hAnsi="Times New Roman" w:cs="Times New Roman"/>
                <w:sz w:val="18"/>
                <w:szCs w:val="18"/>
              </w:rPr>
              <w:t>/g</w:t>
            </w:r>
          </w:p>
        </w:tc>
      </w:tr>
      <w:tr w:rsidR="00387D39" w:rsidRPr="00E20717" w14:paraId="6C4FC51E" w14:textId="77777777" w:rsidTr="00E41ABC">
        <w:trPr>
          <w:trHeight w:val="227"/>
          <w:jc w:val="center"/>
        </w:trPr>
        <w:tc>
          <w:tcPr>
            <w:tcW w:w="2410" w:type="dxa"/>
            <w:vMerge/>
            <w:vAlign w:val="center"/>
          </w:tcPr>
          <w:p w14:paraId="1F52A196" w14:textId="77777777" w:rsidR="00387D39" w:rsidRPr="00AE1880" w:rsidRDefault="00387D39" w:rsidP="00FC25D4">
            <w:pPr>
              <w:spacing w:line="264" w:lineRule="auto"/>
              <w:jc w:val="both"/>
              <w:rPr>
                <w:sz w:val="18"/>
                <w:szCs w:val="18"/>
              </w:rPr>
            </w:pPr>
          </w:p>
        </w:tc>
        <w:tc>
          <w:tcPr>
            <w:tcW w:w="3544" w:type="dxa"/>
            <w:gridSpan w:val="2"/>
            <w:tcBorders>
              <w:top w:val="nil"/>
              <w:bottom w:val="nil"/>
            </w:tcBorders>
            <w:vAlign w:val="center"/>
          </w:tcPr>
          <w:p w14:paraId="214615DC" w14:textId="227DC4CB"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Void fraction (VF)</w:t>
            </w:r>
          </w:p>
        </w:tc>
        <w:tc>
          <w:tcPr>
            <w:tcW w:w="709" w:type="dxa"/>
            <w:tcBorders>
              <w:top w:val="nil"/>
              <w:bottom w:val="nil"/>
            </w:tcBorders>
            <w:vAlign w:val="center"/>
          </w:tcPr>
          <w:p w14:paraId="400DCBC9" w14:textId="4DF35A44"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w:t>
            </w:r>
          </w:p>
        </w:tc>
      </w:tr>
      <w:tr w:rsidR="00387D39" w:rsidRPr="00E20717" w14:paraId="5D7A06A8" w14:textId="77777777" w:rsidTr="00E41ABC">
        <w:trPr>
          <w:trHeight w:val="227"/>
          <w:jc w:val="center"/>
        </w:trPr>
        <w:tc>
          <w:tcPr>
            <w:tcW w:w="2410" w:type="dxa"/>
            <w:vMerge/>
            <w:vAlign w:val="center"/>
          </w:tcPr>
          <w:p w14:paraId="4B4A0DB4" w14:textId="77777777" w:rsidR="00387D39" w:rsidRPr="00AE1880" w:rsidRDefault="00387D39" w:rsidP="00FC25D4">
            <w:pPr>
              <w:spacing w:line="264" w:lineRule="auto"/>
              <w:jc w:val="both"/>
              <w:rPr>
                <w:sz w:val="18"/>
                <w:szCs w:val="18"/>
              </w:rPr>
            </w:pPr>
          </w:p>
        </w:tc>
        <w:tc>
          <w:tcPr>
            <w:tcW w:w="3544" w:type="dxa"/>
            <w:gridSpan w:val="2"/>
            <w:tcBorders>
              <w:top w:val="nil"/>
              <w:bottom w:val="single" w:sz="4" w:space="0" w:color="auto"/>
            </w:tcBorders>
            <w:vAlign w:val="center"/>
          </w:tcPr>
          <w:p w14:paraId="328A2A7C" w14:textId="2E5B7943"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Dimensions (D)</w:t>
            </w:r>
          </w:p>
        </w:tc>
        <w:tc>
          <w:tcPr>
            <w:tcW w:w="709" w:type="dxa"/>
            <w:tcBorders>
              <w:top w:val="nil"/>
              <w:bottom w:val="single" w:sz="4" w:space="0" w:color="auto"/>
            </w:tcBorders>
            <w:vAlign w:val="center"/>
          </w:tcPr>
          <w:p w14:paraId="72FC8B54" w14:textId="60B3DB59"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w:t>
            </w:r>
          </w:p>
        </w:tc>
      </w:tr>
      <w:tr w:rsidR="00387D39" w:rsidRPr="00E20717" w14:paraId="425A1598" w14:textId="77777777" w:rsidTr="00E41ABC">
        <w:trPr>
          <w:trHeight w:val="227"/>
          <w:jc w:val="center"/>
        </w:trPr>
        <w:tc>
          <w:tcPr>
            <w:tcW w:w="2410" w:type="dxa"/>
            <w:vMerge w:val="restart"/>
            <w:tcBorders>
              <w:top w:val="nil"/>
            </w:tcBorders>
            <w:vAlign w:val="center"/>
          </w:tcPr>
          <w:p w14:paraId="1AD61C3B" w14:textId="62C7519E" w:rsidR="00387D39" w:rsidRPr="000E57B2" w:rsidRDefault="00387D39" w:rsidP="00FC25D4">
            <w:pPr>
              <w:spacing w:line="264" w:lineRule="auto"/>
              <w:jc w:val="both"/>
              <w:rPr>
                <w:rFonts w:ascii="Times New Roman" w:hAnsi="Times New Roman" w:cs="Times New Roman"/>
                <w:sz w:val="18"/>
                <w:szCs w:val="18"/>
              </w:rPr>
            </w:pPr>
            <w:r w:rsidRPr="00AE1880">
              <w:rPr>
                <w:rFonts w:ascii="Times New Roman" w:hAnsi="Times New Roman" w:cs="Times New Roman"/>
                <w:sz w:val="18"/>
                <w:szCs w:val="18"/>
              </w:rPr>
              <w:t>Atomic descriptors</w:t>
            </w:r>
          </w:p>
        </w:tc>
        <w:tc>
          <w:tcPr>
            <w:tcW w:w="1276" w:type="dxa"/>
            <w:tcBorders>
              <w:top w:val="nil"/>
              <w:bottom w:val="nil"/>
            </w:tcBorders>
            <w:vAlign w:val="center"/>
          </w:tcPr>
          <w:p w14:paraId="699926B3" w14:textId="3A9C24C9" w:rsidR="00387D39" w:rsidRPr="00387D39" w:rsidRDefault="00387D39" w:rsidP="00FC25D4">
            <w:pPr>
              <w:spacing w:line="264" w:lineRule="auto"/>
              <w:jc w:val="both"/>
              <w:rPr>
                <w:rFonts w:ascii="Times New Roman" w:hAnsi="Times New Roman" w:cs="Times New Roman"/>
                <w:sz w:val="18"/>
                <w:szCs w:val="18"/>
                <w:lang w:eastAsia="zh-CN"/>
              </w:rPr>
            </w:pPr>
            <w:r w:rsidRPr="00387D39">
              <w:rPr>
                <w:rFonts w:ascii="Times New Roman" w:hAnsi="Times New Roman" w:cs="Times New Roman"/>
                <w:sz w:val="18"/>
                <w:szCs w:val="18"/>
                <w:lang w:eastAsia="zh-CN"/>
              </w:rPr>
              <w:t>C%</w:t>
            </w:r>
          </w:p>
        </w:tc>
        <w:tc>
          <w:tcPr>
            <w:tcW w:w="2268" w:type="dxa"/>
            <w:tcBorders>
              <w:top w:val="nil"/>
              <w:bottom w:val="nil"/>
            </w:tcBorders>
            <w:vAlign w:val="center"/>
          </w:tcPr>
          <w:p w14:paraId="2305B6E9" w14:textId="6F954AA1" w:rsidR="00387D39" w:rsidRPr="00387D39" w:rsidRDefault="00387D39" w:rsidP="00FC25D4">
            <w:pPr>
              <w:spacing w:line="264" w:lineRule="auto"/>
              <w:jc w:val="both"/>
              <w:rPr>
                <w:rFonts w:ascii="Times New Roman" w:hAnsi="Times New Roman" w:cs="Times New Roman"/>
                <w:sz w:val="18"/>
                <w:szCs w:val="18"/>
                <w:lang w:eastAsia="zh-CN"/>
              </w:rPr>
            </w:pPr>
            <w:r w:rsidRPr="00387D39">
              <w:rPr>
                <w:rFonts w:ascii="Times New Roman" w:hAnsi="Times New Roman" w:cs="Times New Roman"/>
                <w:sz w:val="18"/>
                <w:szCs w:val="18"/>
                <w:lang w:eastAsia="zh-CN"/>
              </w:rPr>
              <w:t>H%</w:t>
            </w:r>
          </w:p>
        </w:tc>
        <w:tc>
          <w:tcPr>
            <w:tcW w:w="709" w:type="dxa"/>
            <w:vMerge w:val="restart"/>
            <w:tcBorders>
              <w:top w:val="nil"/>
            </w:tcBorders>
            <w:vAlign w:val="center"/>
          </w:tcPr>
          <w:p w14:paraId="2D46DA51" w14:textId="55732250" w:rsidR="00387D39" w:rsidRPr="000E57B2" w:rsidRDefault="00387D39" w:rsidP="00FC25D4">
            <w:pPr>
              <w:spacing w:line="264" w:lineRule="auto"/>
              <w:jc w:val="both"/>
              <w:rPr>
                <w:rFonts w:ascii="Times New Roman" w:hAnsi="Times New Roman" w:cs="Times New Roman"/>
                <w:sz w:val="18"/>
                <w:szCs w:val="18"/>
                <w:lang w:eastAsia="zh-CN"/>
              </w:rPr>
            </w:pPr>
            <w:r>
              <w:rPr>
                <w:rFonts w:ascii="Times New Roman" w:hAnsi="Times New Roman" w:cs="Times New Roman" w:hint="eastAsia"/>
                <w:sz w:val="18"/>
                <w:szCs w:val="18"/>
                <w:lang w:eastAsia="zh-CN"/>
              </w:rPr>
              <w:t>-</w:t>
            </w:r>
          </w:p>
        </w:tc>
      </w:tr>
      <w:tr w:rsidR="00387D39" w:rsidRPr="00E20717" w14:paraId="77F2A5DE" w14:textId="77777777" w:rsidTr="00E41ABC">
        <w:trPr>
          <w:trHeight w:val="227"/>
          <w:jc w:val="center"/>
        </w:trPr>
        <w:tc>
          <w:tcPr>
            <w:tcW w:w="2410" w:type="dxa"/>
            <w:vMerge/>
            <w:vAlign w:val="center"/>
          </w:tcPr>
          <w:p w14:paraId="747C415B" w14:textId="77777777" w:rsidR="00387D39" w:rsidRPr="00AE1880" w:rsidRDefault="00387D39" w:rsidP="00FC25D4">
            <w:pPr>
              <w:spacing w:line="264" w:lineRule="auto"/>
              <w:jc w:val="both"/>
              <w:rPr>
                <w:sz w:val="18"/>
                <w:szCs w:val="18"/>
              </w:rPr>
            </w:pPr>
          </w:p>
        </w:tc>
        <w:tc>
          <w:tcPr>
            <w:tcW w:w="1276" w:type="dxa"/>
            <w:tcBorders>
              <w:top w:val="nil"/>
              <w:bottom w:val="nil"/>
            </w:tcBorders>
            <w:vAlign w:val="center"/>
          </w:tcPr>
          <w:p w14:paraId="5660AC45" w14:textId="3E6200EC" w:rsidR="00387D39" w:rsidRPr="00387D39" w:rsidRDefault="00387D39" w:rsidP="00FC25D4">
            <w:pPr>
              <w:spacing w:line="264" w:lineRule="auto"/>
              <w:jc w:val="both"/>
              <w:rPr>
                <w:rFonts w:ascii="Times New Roman" w:hAnsi="Times New Roman" w:cs="Times New Roman"/>
                <w:sz w:val="18"/>
                <w:szCs w:val="18"/>
                <w:lang w:eastAsia="zh-CN"/>
              </w:rPr>
            </w:pPr>
            <w:r w:rsidRPr="00387D39">
              <w:rPr>
                <w:rFonts w:ascii="Times New Roman" w:hAnsi="Times New Roman" w:cs="Times New Roman"/>
                <w:sz w:val="18"/>
                <w:szCs w:val="18"/>
                <w:lang w:eastAsia="zh-CN"/>
              </w:rPr>
              <w:t>N%</w:t>
            </w:r>
          </w:p>
        </w:tc>
        <w:tc>
          <w:tcPr>
            <w:tcW w:w="2268" w:type="dxa"/>
            <w:tcBorders>
              <w:top w:val="nil"/>
              <w:bottom w:val="nil"/>
            </w:tcBorders>
            <w:vAlign w:val="center"/>
          </w:tcPr>
          <w:p w14:paraId="5DE43DF0" w14:textId="0381CFCC" w:rsidR="00387D39" w:rsidRPr="00387D39" w:rsidRDefault="00387D39" w:rsidP="00FC25D4">
            <w:pPr>
              <w:spacing w:line="264" w:lineRule="auto"/>
              <w:jc w:val="both"/>
              <w:rPr>
                <w:rFonts w:ascii="Times New Roman" w:hAnsi="Times New Roman" w:cs="Times New Roman"/>
                <w:sz w:val="18"/>
                <w:szCs w:val="18"/>
                <w:lang w:eastAsia="zh-CN"/>
              </w:rPr>
            </w:pPr>
            <w:r w:rsidRPr="00387D39">
              <w:rPr>
                <w:rFonts w:ascii="Times New Roman" w:hAnsi="Times New Roman" w:cs="Times New Roman"/>
                <w:sz w:val="18"/>
                <w:szCs w:val="18"/>
                <w:lang w:eastAsia="zh-CN"/>
              </w:rPr>
              <w:t>O%</w:t>
            </w:r>
          </w:p>
        </w:tc>
        <w:tc>
          <w:tcPr>
            <w:tcW w:w="709" w:type="dxa"/>
            <w:vMerge/>
            <w:vAlign w:val="center"/>
          </w:tcPr>
          <w:p w14:paraId="18290006" w14:textId="77777777" w:rsidR="00387D39" w:rsidRPr="000E57B2" w:rsidRDefault="00387D39" w:rsidP="00FC25D4">
            <w:pPr>
              <w:spacing w:line="264" w:lineRule="auto"/>
              <w:jc w:val="both"/>
              <w:rPr>
                <w:sz w:val="18"/>
                <w:szCs w:val="18"/>
              </w:rPr>
            </w:pPr>
          </w:p>
        </w:tc>
      </w:tr>
      <w:tr w:rsidR="00387D39" w:rsidRPr="00E20717" w14:paraId="18E5E3E5" w14:textId="77777777" w:rsidTr="00E41ABC">
        <w:trPr>
          <w:trHeight w:val="227"/>
          <w:jc w:val="center"/>
        </w:trPr>
        <w:tc>
          <w:tcPr>
            <w:tcW w:w="2410" w:type="dxa"/>
            <w:vMerge/>
            <w:vAlign w:val="center"/>
          </w:tcPr>
          <w:p w14:paraId="32D21EA0" w14:textId="77777777" w:rsidR="00387D39" w:rsidRPr="00AE1880" w:rsidRDefault="00387D39" w:rsidP="00FC25D4">
            <w:pPr>
              <w:spacing w:line="264" w:lineRule="auto"/>
              <w:jc w:val="both"/>
              <w:rPr>
                <w:sz w:val="18"/>
                <w:szCs w:val="18"/>
              </w:rPr>
            </w:pPr>
          </w:p>
        </w:tc>
        <w:tc>
          <w:tcPr>
            <w:tcW w:w="1276" w:type="dxa"/>
            <w:tcBorders>
              <w:top w:val="nil"/>
              <w:bottom w:val="nil"/>
            </w:tcBorders>
            <w:vAlign w:val="center"/>
          </w:tcPr>
          <w:p w14:paraId="3089AC82" w14:textId="6B14D12C" w:rsidR="00387D39" w:rsidRPr="00387D39" w:rsidRDefault="00387D39" w:rsidP="00FC25D4">
            <w:pPr>
              <w:spacing w:line="264" w:lineRule="auto"/>
              <w:jc w:val="both"/>
              <w:rPr>
                <w:rFonts w:ascii="Times New Roman" w:hAnsi="Times New Roman" w:cs="Times New Roman"/>
                <w:sz w:val="18"/>
                <w:szCs w:val="18"/>
                <w:lang w:eastAsia="zh-CN"/>
              </w:rPr>
            </w:pPr>
            <w:r w:rsidRPr="00387D39">
              <w:rPr>
                <w:rFonts w:ascii="Times New Roman" w:hAnsi="Times New Roman" w:cs="Times New Roman"/>
                <w:sz w:val="18"/>
                <w:szCs w:val="18"/>
                <w:lang w:eastAsia="zh-CN"/>
              </w:rPr>
              <w:t>S%</w:t>
            </w:r>
          </w:p>
        </w:tc>
        <w:tc>
          <w:tcPr>
            <w:tcW w:w="2268" w:type="dxa"/>
            <w:tcBorders>
              <w:top w:val="nil"/>
              <w:bottom w:val="nil"/>
            </w:tcBorders>
            <w:vAlign w:val="center"/>
          </w:tcPr>
          <w:p w14:paraId="41EDA609" w14:textId="6E96ED7A"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Halogen %</w:t>
            </w:r>
          </w:p>
        </w:tc>
        <w:tc>
          <w:tcPr>
            <w:tcW w:w="709" w:type="dxa"/>
            <w:vMerge/>
            <w:vAlign w:val="center"/>
          </w:tcPr>
          <w:p w14:paraId="55076CCD" w14:textId="77777777" w:rsidR="00387D39" w:rsidRPr="000E57B2" w:rsidRDefault="00387D39" w:rsidP="00FC25D4">
            <w:pPr>
              <w:spacing w:line="264" w:lineRule="auto"/>
              <w:jc w:val="both"/>
              <w:rPr>
                <w:sz w:val="18"/>
                <w:szCs w:val="18"/>
              </w:rPr>
            </w:pPr>
          </w:p>
        </w:tc>
      </w:tr>
      <w:tr w:rsidR="00387D39" w:rsidRPr="00E20717" w14:paraId="50E63848" w14:textId="77777777" w:rsidTr="00E41ABC">
        <w:trPr>
          <w:trHeight w:val="227"/>
          <w:jc w:val="center"/>
        </w:trPr>
        <w:tc>
          <w:tcPr>
            <w:tcW w:w="2410" w:type="dxa"/>
            <w:vMerge/>
            <w:vAlign w:val="center"/>
          </w:tcPr>
          <w:p w14:paraId="46647F7D" w14:textId="77777777" w:rsidR="00387D39" w:rsidRPr="00AE1880" w:rsidRDefault="00387D39" w:rsidP="00FC25D4">
            <w:pPr>
              <w:spacing w:line="264" w:lineRule="auto"/>
              <w:jc w:val="both"/>
              <w:rPr>
                <w:sz w:val="18"/>
                <w:szCs w:val="18"/>
              </w:rPr>
            </w:pPr>
          </w:p>
        </w:tc>
        <w:tc>
          <w:tcPr>
            <w:tcW w:w="1276" w:type="dxa"/>
            <w:tcBorders>
              <w:top w:val="nil"/>
              <w:bottom w:val="nil"/>
            </w:tcBorders>
            <w:vAlign w:val="center"/>
          </w:tcPr>
          <w:p w14:paraId="3538DE14" w14:textId="79D80523"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Metalloid %</w:t>
            </w:r>
          </w:p>
        </w:tc>
        <w:tc>
          <w:tcPr>
            <w:tcW w:w="2268" w:type="dxa"/>
            <w:tcBorders>
              <w:top w:val="nil"/>
              <w:bottom w:val="nil"/>
            </w:tcBorders>
            <w:vAlign w:val="center"/>
          </w:tcPr>
          <w:p w14:paraId="187BBA33" w14:textId="533F1B13"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Metal %</w:t>
            </w:r>
          </w:p>
        </w:tc>
        <w:tc>
          <w:tcPr>
            <w:tcW w:w="709" w:type="dxa"/>
            <w:vMerge/>
            <w:vAlign w:val="center"/>
          </w:tcPr>
          <w:p w14:paraId="5DA2FD8F" w14:textId="77777777" w:rsidR="00387D39" w:rsidRPr="000E57B2" w:rsidRDefault="00387D39" w:rsidP="00FC25D4">
            <w:pPr>
              <w:spacing w:line="264" w:lineRule="auto"/>
              <w:jc w:val="both"/>
              <w:rPr>
                <w:sz w:val="18"/>
                <w:szCs w:val="18"/>
              </w:rPr>
            </w:pPr>
          </w:p>
        </w:tc>
      </w:tr>
      <w:tr w:rsidR="00387D39" w:rsidRPr="00E20717" w14:paraId="4EF78A83" w14:textId="77777777" w:rsidTr="00E41ABC">
        <w:trPr>
          <w:trHeight w:val="227"/>
          <w:jc w:val="center"/>
        </w:trPr>
        <w:tc>
          <w:tcPr>
            <w:tcW w:w="2410" w:type="dxa"/>
            <w:vMerge/>
            <w:tcBorders>
              <w:bottom w:val="single" w:sz="4" w:space="0" w:color="auto"/>
            </w:tcBorders>
            <w:vAlign w:val="center"/>
          </w:tcPr>
          <w:p w14:paraId="2B09FA20" w14:textId="77777777" w:rsidR="00387D39" w:rsidRPr="00AE1880" w:rsidRDefault="00387D39" w:rsidP="00FC25D4">
            <w:pPr>
              <w:spacing w:line="264" w:lineRule="auto"/>
              <w:jc w:val="both"/>
              <w:rPr>
                <w:sz w:val="18"/>
                <w:szCs w:val="18"/>
              </w:rPr>
            </w:pPr>
          </w:p>
        </w:tc>
        <w:tc>
          <w:tcPr>
            <w:tcW w:w="3544" w:type="dxa"/>
            <w:gridSpan w:val="2"/>
            <w:tcBorders>
              <w:top w:val="nil"/>
              <w:bottom w:val="single" w:sz="4" w:space="0" w:color="auto"/>
            </w:tcBorders>
            <w:vAlign w:val="center"/>
          </w:tcPr>
          <w:p w14:paraId="38CD5A8B" w14:textId="1A22EA6E"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Nitrogen-to-Oxygen (N-to-O)</w:t>
            </w:r>
          </w:p>
        </w:tc>
        <w:tc>
          <w:tcPr>
            <w:tcW w:w="709" w:type="dxa"/>
            <w:vMerge/>
            <w:tcBorders>
              <w:bottom w:val="single" w:sz="4" w:space="0" w:color="auto"/>
            </w:tcBorders>
            <w:vAlign w:val="center"/>
          </w:tcPr>
          <w:p w14:paraId="391753D3" w14:textId="77777777" w:rsidR="00387D39" w:rsidRPr="000E57B2" w:rsidRDefault="00387D39" w:rsidP="00FC25D4">
            <w:pPr>
              <w:spacing w:line="264" w:lineRule="auto"/>
              <w:jc w:val="both"/>
              <w:rPr>
                <w:sz w:val="18"/>
                <w:szCs w:val="18"/>
              </w:rPr>
            </w:pPr>
          </w:p>
        </w:tc>
      </w:tr>
      <w:tr w:rsidR="00387D39" w:rsidRPr="00E20717" w14:paraId="6F891F78" w14:textId="77777777" w:rsidTr="00E41ABC">
        <w:trPr>
          <w:trHeight w:val="227"/>
          <w:jc w:val="center"/>
        </w:trPr>
        <w:tc>
          <w:tcPr>
            <w:tcW w:w="2410" w:type="dxa"/>
            <w:vMerge w:val="restart"/>
            <w:tcBorders>
              <w:top w:val="single" w:sz="4" w:space="0" w:color="auto"/>
            </w:tcBorders>
            <w:vAlign w:val="center"/>
          </w:tcPr>
          <w:p w14:paraId="278BD811" w14:textId="4A3AC848" w:rsidR="00387D39" w:rsidRPr="000E57B2" w:rsidRDefault="00387D39" w:rsidP="00FC25D4">
            <w:pPr>
              <w:spacing w:line="264" w:lineRule="auto"/>
              <w:jc w:val="both"/>
              <w:rPr>
                <w:rFonts w:ascii="Times New Roman" w:hAnsi="Times New Roman" w:cs="Times New Roman"/>
                <w:sz w:val="18"/>
                <w:szCs w:val="18"/>
              </w:rPr>
            </w:pPr>
            <w:r w:rsidRPr="00AE1880">
              <w:rPr>
                <w:rFonts w:ascii="Times New Roman" w:hAnsi="Times New Roman" w:cs="Times New Roman"/>
                <w:sz w:val="18"/>
                <w:szCs w:val="18"/>
              </w:rPr>
              <w:t>Chemical property descriptor</w:t>
            </w:r>
          </w:p>
        </w:tc>
        <w:tc>
          <w:tcPr>
            <w:tcW w:w="3544" w:type="dxa"/>
            <w:gridSpan w:val="2"/>
            <w:tcBorders>
              <w:top w:val="single" w:sz="4" w:space="0" w:color="auto"/>
              <w:bottom w:val="nil"/>
            </w:tcBorders>
            <w:vAlign w:val="center"/>
          </w:tcPr>
          <w:p w14:paraId="3AECD639" w14:textId="6A927413"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Total degree of unsaturation (TDU)</w:t>
            </w:r>
          </w:p>
        </w:tc>
        <w:tc>
          <w:tcPr>
            <w:tcW w:w="709" w:type="dxa"/>
            <w:vMerge w:val="restart"/>
            <w:tcBorders>
              <w:top w:val="single" w:sz="4" w:space="0" w:color="auto"/>
            </w:tcBorders>
            <w:vAlign w:val="center"/>
          </w:tcPr>
          <w:p w14:paraId="2AE31E94" w14:textId="18A5EFFC" w:rsidR="00387D39" w:rsidRPr="000E57B2" w:rsidRDefault="00387D39" w:rsidP="00FC25D4">
            <w:pPr>
              <w:spacing w:line="264" w:lineRule="auto"/>
              <w:jc w:val="both"/>
              <w:rPr>
                <w:rFonts w:ascii="Times New Roman" w:hAnsi="Times New Roman" w:cs="Times New Roman"/>
                <w:sz w:val="18"/>
                <w:szCs w:val="18"/>
                <w:lang w:eastAsia="zh-CN"/>
              </w:rPr>
            </w:pPr>
            <w:r>
              <w:rPr>
                <w:rFonts w:ascii="Times New Roman" w:hAnsi="Times New Roman" w:cs="Times New Roman" w:hint="eastAsia"/>
                <w:sz w:val="18"/>
                <w:szCs w:val="18"/>
                <w:lang w:eastAsia="zh-CN"/>
              </w:rPr>
              <w:t>-</w:t>
            </w:r>
          </w:p>
        </w:tc>
      </w:tr>
      <w:tr w:rsidR="00387D39" w:rsidRPr="00E20717" w14:paraId="28F6A7CE" w14:textId="77777777" w:rsidTr="00E41ABC">
        <w:trPr>
          <w:trHeight w:val="227"/>
          <w:jc w:val="center"/>
        </w:trPr>
        <w:tc>
          <w:tcPr>
            <w:tcW w:w="2410" w:type="dxa"/>
            <w:vMerge/>
            <w:vAlign w:val="center"/>
          </w:tcPr>
          <w:p w14:paraId="733FC31A" w14:textId="77777777" w:rsidR="00387D39" w:rsidRPr="00AE1880" w:rsidRDefault="00387D39" w:rsidP="00387D39">
            <w:pPr>
              <w:spacing w:line="264" w:lineRule="auto"/>
              <w:jc w:val="center"/>
              <w:rPr>
                <w:sz w:val="18"/>
                <w:szCs w:val="18"/>
              </w:rPr>
            </w:pPr>
          </w:p>
        </w:tc>
        <w:tc>
          <w:tcPr>
            <w:tcW w:w="3544" w:type="dxa"/>
            <w:gridSpan w:val="2"/>
            <w:tcBorders>
              <w:top w:val="nil"/>
              <w:bottom w:val="nil"/>
            </w:tcBorders>
            <w:vAlign w:val="center"/>
          </w:tcPr>
          <w:p w14:paraId="702CC483" w14:textId="0F7BE43B"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Degree of unsaturation per carbon (DUC)</w:t>
            </w:r>
          </w:p>
        </w:tc>
        <w:tc>
          <w:tcPr>
            <w:tcW w:w="709" w:type="dxa"/>
            <w:vMerge/>
            <w:vAlign w:val="center"/>
          </w:tcPr>
          <w:p w14:paraId="007BD067" w14:textId="77777777" w:rsidR="00387D39" w:rsidRPr="000E57B2" w:rsidRDefault="00387D39" w:rsidP="00387D39">
            <w:pPr>
              <w:spacing w:line="264" w:lineRule="auto"/>
              <w:jc w:val="center"/>
              <w:rPr>
                <w:sz w:val="18"/>
                <w:szCs w:val="18"/>
              </w:rPr>
            </w:pPr>
          </w:p>
        </w:tc>
      </w:tr>
      <w:tr w:rsidR="00387D39" w:rsidRPr="00E20717" w14:paraId="65127A39" w14:textId="77777777" w:rsidTr="00E41ABC">
        <w:trPr>
          <w:trHeight w:val="227"/>
          <w:jc w:val="center"/>
        </w:trPr>
        <w:tc>
          <w:tcPr>
            <w:tcW w:w="2410" w:type="dxa"/>
            <w:vMerge/>
            <w:vAlign w:val="center"/>
          </w:tcPr>
          <w:p w14:paraId="19906002" w14:textId="77777777" w:rsidR="00387D39" w:rsidRPr="00AE1880" w:rsidRDefault="00387D39" w:rsidP="00387D39">
            <w:pPr>
              <w:spacing w:line="264" w:lineRule="auto"/>
              <w:jc w:val="center"/>
              <w:rPr>
                <w:sz w:val="18"/>
                <w:szCs w:val="18"/>
              </w:rPr>
            </w:pPr>
          </w:p>
        </w:tc>
        <w:tc>
          <w:tcPr>
            <w:tcW w:w="3544" w:type="dxa"/>
            <w:gridSpan w:val="2"/>
            <w:tcBorders>
              <w:top w:val="nil"/>
              <w:bottom w:val="nil"/>
            </w:tcBorders>
            <w:vAlign w:val="center"/>
          </w:tcPr>
          <w:p w14:paraId="52BFE75B" w14:textId="1EEF716B"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Total electronegativity (TE)</w:t>
            </w:r>
          </w:p>
        </w:tc>
        <w:tc>
          <w:tcPr>
            <w:tcW w:w="709" w:type="dxa"/>
            <w:vMerge/>
            <w:vAlign w:val="center"/>
          </w:tcPr>
          <w:p w14:paraId="271B8037" w14:textId="77777777" w:rsidR="00387D39" w:rsidRPr="000E57B2" w:rsidRDefault="00387D39" w:rsidP="00387D39">
            <w:pPr>
              <w:spacing w:line="264" w:lineRule="auto"/>
              <w:jc w:val="center"/>
              <w:rPr>
                <w:sz w:val="18"/>
                <w:szCs w:val="18"/>
              </w:rPr>
            </w:pPr>
          </w:p>
        </w:tc>
      </w:tr>
      <w:tr w:rsidR="00387D39" w:rsidRPr="00E20717" w14:paraId="51EC59D9" w14:textId="77777777" w:rsidTr="00E41ABC">
        <w:trPr>
          <w:trHeight w:val="227"/>
          <w:jc w:val="center"/>
        </w:trPr>
        <w:tc>
          <w:tcPr>
            <w:tcW w:w="2410" w:type="dxa"/>
            <w:vMerge/>
            <w:tcBorders>
              <w:bottom w:val="single" w:sz="8" w:space="0" w:color="auto"/>
            </w:tcBorders>
            <w:vAlign w:val="center"/>
          </w:tcPr>
          <w:p w14:paraId="0DB110E5" w14:textId="77777777" w:rsidR="00387D39" w:rsidRPr="00AE1880" w:rsidRDefault="00387D39" w:rsidP="00387D39">
            <w:pPr>
              <w:spacing w:line="264" w:lineRule="auto"/>
              <w:jc w:val="center"/>
              <w:rPr>
                <w:sz w:val="18"/>
                <w:szCs w:val="18"/>
              </w:rPr>
            </w:pPr>
          </w:p>
        </w:tc>
        <w:tc>
          <w:tcPr>
            <w:tcW w:w="3544" w:type="dxa"/>
            <w:gridSpan w:val="2"/>
            <w:tcBorders>
              <w:top w:val="nil"/>
              <w:bottom w:val="single" w:sz="8" w:space="0" w:color="auto"/>
            </w:tcBorders>
            <w:vAlign w:val="center"/>
          </w:tcPr>
          <w:p w14:paraId="5CE1E96C" w14:textId="62DEE25F" w:rsidR="00387D39" w:rsidRPr="00387D39" w:rsidRDefault="00387D39" w:rsidP="00FC25D4">
            <w:pPr>
              <w:spacing w:line="264" w:lineRule="auto"/>
              <w:jc w:val="both"/>
              <w:rPr>
                <w:rFonts w:ascii="Times New Roman" w:hAnsi="Times New Roman" w:cs="Times New Roman"/>
                <w:sz w:val="18"/>
                <w:szCs w:val="18"/>
              </w:rPr>
            </w:pPr>
            <w:r w:rsidRPr="00387D39">
              <w:rPr>
                <w:rFonts w:ascii="Times New Roman" w:hAnsi="Times New Roman" w:cs="Times New Roman"/>
                <w:sz w:val="18"/>
                <w:szCs w:val="18"/>
              </w:rPr>
              <w:t>Atomic weighted electronegativity (AWE)</w:t>
            </w:r>
          </w:p>
        </w:tc>
        <w:tc>
          <w:tcPr>
            <w:tcW w:w="709" w:type="dxa"/>
            <w:vMerge/>
            <w:tcBorders>
              <w:bottom w:val="single" w:sz="8" w:space="0" w:color="auto"/>
            </w:tcBorders>
            <w:vAlign w:val="center"/>
          </w:tcPr>
          <w:p w14:paraId="61C4B1F8" w14:textId="77777777" w:rsidR="00387D39" w:rsidRPr="000E57B2" w:rsidRDefault="00387D39" w:rsidP="00387D39">
            <w:pPr>
              <w:spacing w:line="264" w:lineRule="auto"/>
              <w:jc w:val="center"/>
              <w:rPr>
                <w:sz w:val="18"/>
                <w:szCs w:val="18"/>
              </w:rPr>
            </w:pPr>
          </w:p>
        </w:tc>
      </w:tr>
    </w:tbl>
    <w:bookmarkEnd w:id="5"/>
    <w:bookmarkEnd w:id="6"/>
    <w:p w14:paraId="144DE69D" w14:textId="1D2FB6AF" w:rsidR="008D2649" w:rsidRDefault="00A56899" w:rsidP="00C173C8">
      <w:pPr>
        <w:pStyle w:val="Els-2ndorder-head"/>
        <w:spacing w:after="60"/>
      </w:pPr>
      <w:r w:rsidRPr="00A56899">
        <w:t>Molecular Simulation &amp; Calculation of Membrane</w:t>
      </w:r>
    </w:p>
    <w:p w14:paraId="6BAAB940" w14:textId="25AD35AD" w:rsidR="00A56899" w:rsidRPr="00A56899" w:rsidRDefault="007876AC" w:rsidP="00A56899">
      <w:pPr>
        <w:pStyle w:val="Els-body-text"/>
        <w:rPr>
          <w:lang w:eastAsia="zh-CN"/>
        </w:rPr>
      </w:pPr>
      <w:r w:rsidRPr="007876AC">
        <w:t>The adsorption</w:t>
      </w:r>
      <w:r w:rsidR="00F93954">
        <w:t xml:space="preserve"> </w:t>
      </w:r>
      <w:r>
        <w:t>(</w:t>
      </w:r>
      <w:r w:rsidRPr="007876AC">
        <w:t>N</w:t>
      </w:r>
      <w:r w:rsidRPr="007876AC">
        <w:rPr>
          <w:vertAlign w:val="subscript"/>
        </w:rPr>
        <w:t>i</w:t>
      </w:r>
      <w:r>
        <w:t>)</w:t>
      </w:r>
      <w:r w:rsidRPr="007876AC">
        <w:t xml:space="preserve"> and diffusion</w:t>
      </w:r>
      <w:r w:rsidR="00F93954">
        <w:t xml:space="preserve"> </w:t>
      </w:r>
      <w:r>
        <w:t>(D</w:t>
      </w:r>
      <w:r w:rsidRPr="007876AC">
        <w:rPr>
          <w:vertAlign w:val="subscript"/>
        </w:rPr>
        <w:t>i</w:t>
      </w:r>
      <w:r>
        <w:t>)</w:t>
      </w:r>
      <w:r w:rsidRPr="007876AC">
        <w:t xml:space="preserve"> characteristics of all CURATED-COFs were evaluated by GCMC with MD for three single-component gases (H</w:t>
      </w:r>
      <w:r w:rsidRPr="007876AC">
        <w:rPr>
          <w:vertAlign w:val="subscript"/>
        </w:rPr>
        <w:t>2</w:t>
      </w:r>
      <w:r w:rsidRPr="007876AC">
        <w:t>S, CO</w:t>
      </w:r>
      <w:r w:rsidRPr="007876AC">
        <w:rPr>
          <w:vertAlign w:val="subscript"/>
        </w:rPr>
        <w:t>2</w:t>
      </w:r>
      <w:r w:rsidRPr="007876AC">
        <w:t>, CH</w:t>
      </w:r>
      <w:r w:rsidRPr="007876AC">
        <w:rPr>
          <w:vertAlign w:val="subscript"/>
        </w:rPr>
        <w:t>4</w:t>
      </w:r>
      <w:r w:rsidRPr="007876AC">
        <w:t>) at 298k, 10 bar.</w:t>
      </w:r>
      <w:r w:rsidR="00F93954" w:rsidRPr="00F93954">
        <w:t xml:space="preserve"> Along with the </w:t>
      </w:r>
      <w:r w:rsidR="00F93954" w:rsidRPr="007876AC">
        <w:t>N</w:t>
      </w:r>
      <w:r w:rsidR="00F93954" w:rsidRPr="007876AC">
        <w:rPr>
          <w:vertAlign w:val="subscript"/>
        </w:rPr>
        <w:t>i</w:t>
      </w:r>
      <w:r w:rsidR="00F93954" w:rsidRPr="00F93954">
        <w:t xml:space="preserve"> properties, </w:t>
      </w:r>
      <w:r w:rsidR="002A5D2C">
        <w:t xml:space="preserve">the </w:t>
      </w:r>
      <w:r w:rsidR="00F93954">
        <w:t>D</w:t>
      </w:r>
      <w:r w:rsidR="00F93954" w:rsidRPr="007876AC">
        <w:rPr>
          <w:vertAlign w:val="subscript"/>
        </w:rPr>
        <w:t>i</w:t>
      </w:r>
      <w:r w:rsidR="00F93954" w:rsidRPr="00F93954">
        <w:t xml:space="preserve"> of gas molecules through the </w:t>
      </w:r>
      <w:r w:rsidR="00F93954">
        <w:t>COF</w:t>
      </w:r>
      <w:r w:rsidR="00F93954" w:rsidRPr="00F93954">
        <w:t xml:space="preserve">s’ pores are calculated for membrane-based gas separations. After obtaining the molecular simulation data on the permeability of COFs, the gas permeability of the </w:t>
      </w:r>
      <w:r w:rsidR="00F93954">
        <w:t>mixed</w:t>
      </w:r>
      <w:r w:rsidR="00F93954" w:rsidRPr="00F93954">
        <w:t xml:space="preserve"> matrix membrane can be calculated by combining it with the permeability data of the experimental polymers based on Maxwell's theoretical permeation model.</w:t>
      </w:r>
      <w:r w:rsidRPr="007876AC">
        <w:t xml:space="preserve"> Detailed computational parameters for molecular simulations </w:t>
      </w:r>
      <w:r w:rsidR="002A5D2C">
        <w:t>and</w:t>
      </w:r>
      <w:r w:rsidRPr="007876AC">
        <w:t xml:space="preserve"> membrane calculations can be found in our previous work</w:t>
      </w:r>
      <w:r w:rsidR="001A3CE9">
        <w:t>.</w:t>
      </w:r>
      <w:r w:rsidRPr="007876AC">
        <w:t xml:space="preserve"> </w:t>
      </w:r>
      <w:r w:rsidR="00C33944" w:rsidRPr="001A3CE9">
        <w:fldChar w:fldCharType="begin"/>
      </w:r>
      <w:r w:rsidR="000E57B2">
        <w:instrText xml:space="preserve"> ADDIN ZOTERO_ITEM CSL_CITATION {"citationID":"caPcXkIj","properties":{"formattedCitation":"(Feng et al., 2022)","plainCitation":"(Feng et al., 2022)","noteIndex":0},"citationItems":[{"id":78,"uris":["http://zotero.org/users/9765954/items/J6PTKFRI"],"itemData":{"id":78,"type":"article-journal","abstract":"Currently, helium purification is carried out by the heat-driven cryogenic distillation process, which is prohib­ itively energy-intensive and capital-intensive. As an alternative, covalent-organic frameworks (COFs)-based membrane separation technology is considered to be cost-efficient and technically feasible. In this study, a highthroughput computational screening strategy was proposed for the rapid determination of high-performing COF membranes for this particular application. A geometric analysis-based prescreening process was carried out on 688 experimentally synthesized COFs, resulting in 665 COF candidates with pore limited diameter (PLD) no less than 3.8 Å. Subsequently, molecular simulations were performed to estimate the henry coefficients and selfdiffusion coefficients of N2, H2, and CH4 in each COF. Based on the results, the membrane selectivity and permeability of all the COFs were calculated, from which 23 high-performing COF membranes were identified. Additionally, the performances of these 23 COF membranes for a ternary mixture of He/N2/CH4 were compu­ tationally examined, five of which were highly preferable to permeate He over N2 or CH4. The results indicated that a large number of COF membranes exceeded the performance upper limit of polymer membranes owing to their high He permeability. Additionally, the relation between the PLD of COFs and the corresponding separation performances was investigated. Finally, He permeability, as well as He/CH4 and He/N2 selectivity of mixed matrix membranes were estimated by using the Maxwell model. The results revealed that the addition of COFs into pure polymers significantly improved the permeability of He up to 11689 Barrer.","container-title":"Results in Engineering","DOI":"10.1016/j.rineng.2022.100538","ISSN":"25901230","journalAbbreviation":"Results in Engineering","language":"en","page":"100538","title":"High-throughput computational screening of Covalent−Organic framework membranes for helium</w:instrText>
      </w:r>
      <w:r w:rsidR="000E57B2">
        <w:rPr>
          <w:rFonts w:hint="eastAsia"/>
        </w:rPr>
        <w:instrText xml:space="preserve"> purification","title-short":"</w:instrText>
      </w:r>
      <w:r w:rsidR="000E57B2">
        <w:rPr>
          <w:rFonts w:ascii="Segoe UI Emoji" w:hAnsi="Segoe UI Emoji" w:cs="Segoe UI Emoji"/>
        </w:rPr>
        <w:instrText>🔤</w:instrText>
      </w:r>
      <w:r w:rsidR="000E57B2">
        <w:rPr>
          <w:rFonts w:hint="eastAsia"/>
        </w:rPr>
        <w:instrText>用于氦纯化的共价</w:instrText>
      </w:r>
      <w:r w:rsidR="000E57B2">
        <w:rPr>
          <w:rFonts w:hint="eastAsia"/>
        </w:rPr>
        <w:instrText>-</w:instrText>
      </w:r>
      <w:r w:rsidR="000E57B2">
        <w:rPr>
          <w:rFonts w:hint="eastAsia"/>
        </w:rPr>
        <w:instrText>有机框架膜的高通量计算筛选</w:instrText>
      </w:r>
      <w:r w:rsidR="000E57B2">
        <w:rPr>
          <w:rFonts w:hint="eastAsia"/>
        </w:rPr>
        <w:instrText>","volume":"15","author":[{"family":"Feng","given":"Minggao"},{"family":"Cheng","given":"Min"},{"family":"Deng","given":"Jing"},{"family":"Ji","given":"Xu"},{"family":"Zhou","given":"Li"},{"family":"Da</w:instrText>
      </w:r>
      <w:r w:rsidR="000E57B2">
        <w:instrText xml:space="preserve">ng","given":"Yagu"},{"family":"Bi","given":"Kexin"},{"family":"Dai","given":"Zhongde"},{"family":"Dai","given":"Yiyang"}],"issued":{"date-parts":[["2022",9]]}}}],"schema":"https://github.com/citation-style-language/schema/raw/master/csl-citation.json"} </w:instrText>
      </w:r>
      <w:r w:rsidR="00C33944" w:rsidRPr="001A3CE9">
        <w:fldChar w:fldCharType="separate"/>
      </w:r>
      <w:r w:rsidR="000E57B2" w:rsidRPr="000E57B2">
        <w:t>(Feng et al., 2022)</w:t>
      </w:r>
      <w:r w:rsidR="00C33944" w:rsidRPr="001A3CE9">
        <w:fldChar w:fldCharType="end"/>
      </w:r>
    </w:p>
    <w:p w14:paraId="5CC5EDB3" w14:textId="78AA3F8B" w:rsidR="00A56899" w:rsidRDefault="00A56899" w:rsidP="00C173C8">
      <w:pPr>
        <w:pStyle w:val="Els-2ndorder-head"/>
        <w:spacing w:after="60"/>
      </w:pPr>
      <w:r w:rsidRPr="00A56899">
        <w:t>Automated Machine Learning and Interpretable Analysis</w:t>
      </w:r>
    </w:p>
    <w:p w14:paraId="0BACD4FB" w14:textId="29169C32" w:rsidR="00D733DC" w:rsidRPr="00A56899" w:rsidRDefault="00D733DC" w:rsidP="00D733DC">
      <w:pPr>
        <w:pStyle w:val="Els-body-text"/>
      </w:pPr>
      <w:r w:rsidRPr="00D733DC">
        <w:t xml:space="preserve">Four sets of descriptors are used as input features to construct a </w:t>
      </w:r>
      <w:r w:rsidR="002A5D2C">
        <w:t>ML</w:t>
      </w:r>
      <w:r w:rsidRPr="00D733DC">
        <w:t xml:space="preserve"> model. The Tree-based Pipeline Optimization Tool (TPOT), an automated machine learning tool, is </w:t>
      </w:r>
      <w:r w:rsidRPr="00D733DC">
        <w:lastRenderedPageBreak/>
        <w:t>employed for this purpose.</w:t>
      </w:r>
      <w:r w:rsidR="00D72441">
        <w:fldChar w:fldCharType="begin"/>
      </w:r>
      <w:r w:rsidR="00B61BA3">
        <w:instrText xml:space="preserve"> ADDIN ZOTERO_ITEM CSL_CITATION {"citationID":"zKHkx6PE","properties":{"formattedCitation":"(Olson and Moore, 2019)","plainCitation":"(Olson and Moore, 2019)","noteIndex":0},"citationItems":[{"id":753,"uris":["http://zotero.org/users/9765954/items/B5YXUVI2"],"itemData":{"id":753,"type":"chapter","abstract":"As data science becomes more mainstream, there will be an ever-growing demand for data science tools that are more accessible, ﬂexible, and scalable. In response to this demand, automated machine learning (AutoML) researchers have begun building systems that automate the process of designing and optimizing machine learning pipelines. In this paper we present TPOT v0.3, an open source genetic programming-based AutoML system that optimizes a series of feature preprocessors and machine learning models with the goal of maximizing classiﬁcation accuracy on a supervised classiﬁcation task. We benchmark TPOT on a series of 150 supervised classiﬁcation tasks and ﬁnd that it signiﬁcantly outperforms a basic machine learning analysis in 21 of them, while experiencing minimal degradation in accuracy on 4 of the benchmarks—all without any domain knowledge nor human input. As such, GP-based AutoML systems show considerable promise in the AutoML domain.","container-title":"Automated Machine Learning","event-place":"Cham","ISBN":"978-3-030-05317-8","language":"en","note":"collection-title: The Springer Series on Challenges in Machine Learning\nDOI: 10.1007/978-3-030-05318-5_8","page":"151-160","publisher":"Springer International Publishing","publisher-place":"Cham","source":"DOI.org (Crossref)","title":"TPOT: A Tree-Based Pipeline Optimization Tool for Automating Machine Learning","title-short":"TPOT","URL":"http://link.springer.com/10.1007/978-3-030-05318-5_8","editor":[{"family":"Hutter","given":"Frank"},{"family":"Kotthoff","given":"Lars"},{"family":"Vanschoren","given":"Joaquin"}],"author":[{"family":"Olson","given":"Randal S."},{"family":"Moore","given":"Jason H."}],"accessed":{"date-parts":[["2023",10,23]]},"issued":{"date-parts":[["2019"]]}}}],"schema":"https://github.com/citation-style-language/schema/raw/master/csl-citation.json"} </w:instrText>
      </w:r>
      <w:r w:rsidR="00D72441">
        <w:fldChar w:fldCharType="separate"/>
      </w:r>
      <w:r w:rsidR="00B61BA3" w:rsidRPr="00B61BA3">
        <w:t>(Olson and Moore, 2019)</w:t>
      </w:r>
      <w:r w:rsidR="00D72441">
        <w:fldChar w:fldCharType="end"/>
      </w:r>
      <w:r w:rsidR="002A5D2C">
        <w:t xml:space="preserve"> </w:t>
      </w:r>
      <w:r w:rsidRPr="00D733DC">
        <w:t xml:space="preserve">To ensure reliable results, the data is divided into an 80% training set and a 20% test set, with stratified sampling implemented to maintain consistent feature distribution. </w:t>
      </w:r>
      <w:r w:rsidR="002A5D2C">
        <w:t>To</w:t>
      </w:r>
      <w:r w:rsidRPr="00D733DC">
        <w:t xml:space="preserve"> prevent overfitting, a 50% discount cross-validation is utilized. The effectiveness of the model is evaluated using four metrics: coefficient of determination (R</w:t>
      </w:r>
      <w:r w:rsidRPr="00C33944">
        <w:rPr>
          <w:vertAlign w:val="superscript"/>
        </w:rPr>
        <w:t>2</w:t>
      </w:r>
      <w:r w:rsidRPr="00D733DC">
        <w:t>), root mean square error (RMSE), mean absolute error (MAE), and Spearman's rank correlation coefficient (SRCC).</w:t>
      </w:r>
      <w:r w:rsidR="00B61BA3">
        <w:rPr>
          <w:rFonts w:hint="eastAsia"/>
          <w:lang w:eastAsia="zh-CN"/>
        </w:rPr>
        <w:t xml:space="preserve"> </w:t>
      </w:r>
      <w:r w:rsidR="00D72441" w:rsidRPr="00D72441">
        <w:t>S</w:t>
      </w:r>
      <w:r w:rsidR="00D72441">
        <w:t>h</w:t>
      </w:r>
      <w:r w:rsidR="00D72441" w:rsidRPr="00D72441">
        <w:t xml:space="preserve">apley </w:t>
      </w:r>
      <w:r w:rsidR="00D72441">
        <w:t>a</w:t>
      </w:r>
      <w:r w:rsidR="00D72441" w:rsidRPr="00D72441">
        <w:t>dditive ex</w:t>
      </w:r>
      <w:r w:rsidR="00D72441">
        <w:t>p</w:t>
      </w:r>
      <w:r w:rsidR="00D72441" w:rsidRPr="00D72441">
        <w:t>lanations</w:t>
      </w:r>
      <w:r w:rsidR="00D72441">
        <w:t>(</w:t>
      </w:r>
      <w:r w:rsidR="00D72441" w:rsidRPr="00D72441">
        <w:t>SHAP</w:t>
      </w:r>
      <w:r w:rsidR="00D72441">
        <w:t>)</w:t>
      </w:r>
      <w:r w:rsidR="00D72441" w:rsidRPr="00D72441">
        <w:t xml:space="preserve"> analysis is an effective tool for machine learning model interpretability</w:t>
      </w:r>
      <w:r w:rsidR="00B61BA3">
        <w:fldChar w:fldCharType="begin"/>
      </w:r>
      <w:r w:rsidR="00B61BA3">
        <w:instrText xml:space="preserve"> ADDIN ZOTERO_ITEM CSL_CITATION {"citationID":"crWm7tMs","properties":{"formattedCitation":"(Yang et al., 2022)","plainCitation":"(Yang et al., 2022)","noteIndex":0},"citationItems":[{"id":339,"uris":["http://zotero.org/users/9765954/items/ENMIPAAT"],"itemData":{"id":339,"type":"article-journal","abstract":"Polymer membranes perform innumerable separations with far-reaching environmental implications. Despite decades of research, design of new membrane materials remains a largely Edisonian process. To address this shortcoming, we demonstrate a generalizable, accurate machine learning (ML) implementation for the discovery of innovative polymers with ideal performance. Specifically, multitask ML models are trained on experimental data to link polymer chemistry to gas permeabilities of He, H\n              2\n              , O\n              2\n              , N\n              2\n              , CO\n              2\n              , and CH\n              4\n              . We interpret the ML models and extract valuable insights into the contributions of different chemical moieties to permeability and selectivity. We then screen over 9 million hypothetical polymers and identify thousands that lie well above current performance upper bounds, including hundreds of never-before-seen ultrapermeable polymer membranes with O\n              2\n              and CO\n              2\n              permeability greater than 10\n              4\n              and 10\n              5\n              Barrers, respectively. High-fidelity molecular dynamics simulations confirm the ML-predicted gas permeabilities of the promising candidates, which suggests that many can be translated to reality.\n            \n          , \n            Machine learning generates chemical insights for the design of polymeric gas separation membranes with exceptional performance.","call-number":"1","container-title":"Science Advances","DOI":"10.1126/sciadv.abn9545","ISSN":"2375-2548","issue":"29","journalAbbreviation":"Sci. Adv.","language":"en</w:instrText>
      </w:r>
      <w:r w:rsidR="00B61BA3">
        <w:rPr>
          <w:rFonts w:hint="eastAsia"/>
        </w:rPr>
        <w:instrText>","page":"eabn9545","source":"14.957","title":"Machine learning enables interpretable discovery of innovative polymers for gas separation membranes","title-short":"</w:instrText>
      </w:r>
      <w:r w:rsidR="00B61BA3">
        <w:rPr>
          <w:rFonts w:ascii="Segoe UI Emoji" w:hAnsi="Segoe UI Emoji" w:cs="Segoe UI Emoji"/>
        </w:rPr>
        <w:instrText>🔤</w:instrText>
      </w:r>
      <w:r w:rsidR="00B61BA3">
        <w:rPr>
          <w:rFonts w:hint="eastAsia"/>
        </w:rPr>
        <w:instrText>机器学习使可解释地发现用于气体分离膜的创新聚合物成为可能</w:instrText>
      </w:r>
      <w:r w:rsidR="00B61BA3">
        <w:rPr>
          <w:rFonts w:hint="eastAsia"/>
        </w:rPr>
        <w:instrText>","volume":"8","author":[{"family":"Yang","given":"Jason"},{"</w:instrText>
      </w:r>
      <w:r w:rsidR="00B61BA3">
        <w:instrText xml:space="preserve">family":"Tao","given":"Lei"},{"family":"He","given":"Jinlong"},{"family":"McCutcheon","given":"Jeffrey R."},{"family":"Li","given":"Ying"}],"issued":{"date-parts":[["2022",7,22]]}}}],"schema":"https://github.com/citation-style-language/schema/raw/master/csl-citation.json"} </w:instrText>
      </w:r>
      <w:r w:rsidR="00B61BA3">
        <w:fldChar w:fldCharType="separate"/>
      </w:r>
      <w:r w:rsidR="00B61BA3" w:rsidRPr="00B61BA3">
        <w:t>(Yang et al., 2022)</w:t>
      </w:r>
      <w:r w:rsidR="00B61BA3">
        <w:fldChar w:fldCharType="end"/>
      </w:r>
      <w:r w:rsidR="00D72441" w:rsidRPr="00D72441">
        <w:t xml:space="preserve">. </w:t>
      </w:r>
      <w:r w:rsidRPr="00D733DC">
        <w:t>In this model, all features are regarded as "contributors" to the predicted value, leading to the computation of SHAP values. The selection of the best machine learning algorithm, as determined by TPOT, varies depending on the prediction tasks at hand. For each ML model, we utilize the corresponding SHAP interpreter, specifically the tree-based explainer and the linear-based explainer.</w:t>
      </w:r>
    </w:p>
    <w:p w14:paraId="144DE6A1" w14:textId="76633408" w:rsidR="008D2649" w:rsidRDefault="00807CC9" w:rsidP="00B61BA3">
      <w:pPr>
        <w:pStyle w:val="Els-1storder-head"/>
        <w:spacing w:before="120" w:after="120"/>
        <w:rPr>
          <w:lang w:val="en-GB"/>
        </w:rPr>
      </w:pPr>
      <w:r w:rsidRPr="00807CC9">
        <w:rPr>
          <w:lang w:val="en-GB"/>
        </w:rPr>
        <w:t>Results</w:t>
      </w:r>
    </w:p>
    <w:p w14:paraId="530107DD" w14:textId="048E1103" w:rsidR="00BD2120" w:rsidRPr="00BD2120" w:rsidRDefault="00A56899" w:rsidP="00BD2120">
      <w:pPr>
        <w:pStyle w:val="Els-2ndorder-head"/>
        <w:spacing w:after="120"/>
        <w:rPr>
          <w:lang w:val="en-GB"/>
        </w:rPr>
      </w:pPr>
      <w:r w:rsidRPr="00A56899">
        <w:rPr>
          <w:lang w:val="en-GB"/>
        </w:rPr>
        <w:t>Structure-Performance Analysis</w:t>
      </w:r>
    </w:p>
    <w:p w14:paraId="52F15777" w14:textId="3A60E780" w:rsidR="00BD2120" w:rsidRPr="00BD2120" w:rsidRDefault="00BD2120" w:rsidP="00BD2120">
      <w:pPr>
        <w:pStyle w:val="Els-body-text"/>
        <w:rPr>
          <w:lang w:val="en-GB"/>
        </w:rPr>
      </w:pPr>
      <w:r w:rsidRPr="00BD2120">
        <w:rPr>
          <w:lang w:val="en-GB"/>
        </w:rPr>
        <w:t>Based on the data obtained from GCMC and MD simulations, the gas permeability of the COF membrane was calculated. Figure 2</w:t>
      </w:r>
      <w:r w:rsidR="00705020">
        <w:rPr>
          <w:lang w:val="en-GB"/>
        </w:rPr>
        <w:t>.</w:t>
      </w:r>
      <w:r w:rsidRPr="00BD2120">
        <w:rPr>
          <w:lang w:val="en-GB"/>
        </w:rPr>
        <w:t xml:space="preserve"> shows the separation performance of H</w:t>
      </w:r>
      <w:r w:rsidRPr="00BD2120">
        <w:rPr>
          <w:vertAlign w:val="subscript"/>
          <w:lang w:val="en-GB"/>
        </w:rPr>
        <w:t>2</w:t>
      </w:r>
      <w:r w:rsidRPr="00BD2120">
        <w:rPr>
          <w:lang w:val="en-GB"/>
        </w:rPr>
        <w:t>S/CH</w:t>
      </w:r>
      <w:r w:rsidRPr="00BD2120">
        <w:rPr>
          <w:vertAlign w:val="subscript"/>
          <w:lang w:val="en-GB"/>
        </w:rPr>
        <w:t>4</w:t>
      </w:r>
      <w:r w:rsidRPr="00BD2120">
        <w:rPr>
          <w:lang w:val="en-GB"/>
        </w:rPr>
        <w:t xml:space="preserve"> </w:t>
      </w:r>
      <w:r>
        <w:rPr>
          <w:lang w:val="en-GB"/>
        </w:rPr>
        <w:t xml:space="preserve">(a.) </w:t>
      </w:r>
      <w:r w:rsidRPr="00BD2120">
        <w:rPr>
          <w:lang w:val="en-GB"/>
        </w:rPr>
        <w:t>and CO</w:t>
      </w:r>
      <w:r w:rsidRPr="00BD2120">
        <w:rPr>
          <w:vertAlign w:val="subscript"/>
          <w:lang w:val="en-GB"/>
        </w:rPr>
        <w:t>2</w:t>
      </w:r>
      <w:r w:rsidRPr="00BD2120">
        <w:rPr>
          <w:lang w:val="en-GB"/>
        </w:rPr>
        <w:t>/CH</w:t>
      </w:r>
      <w:r w:rsidRPr="00BD2120">
        <w:rPr>
          <w:vertAlign w:val="subscript"/>
          <w:lang w:val="en-GB"/>
        </w:rPr>
        <w:t>4</w:t>
      </w:r>
      <w:r>
        <w:rPr>
          <w:lang w:val="en-GB"/>
        </w:rPr>
        <w:t xml:space="preserve"> (b.)</w:t>
      </w:r>
      <w:r w:rsidRPr="00BD2120">
        <w:rPr>
          <w:lang w:val="en-GB"/>
        </w:rPr>
        <w:t xml:space="preserve"> for COF membranes at 298k </w:t>
      </w:r>
      <w:r w:rsidR="002A5D2C">
        <w:rPr>
          <w:lang w:val="en-GB"/>
        </w:rPr>
        <w:t xml:space="preserve">and </w:t>
      </w:r>
      <w:r w:rsidRPr="00BD2120">
        <w:rPr>
          <w:lang w:val="en-GB"/>
        </w:rPr>
        <w:t xml:space="preserve">10 bar, respectively. The </w:t>
      </w:r>
      <w:proofErr w:type="spellStart"/>
      <w:r w:rsidRPr="00BD2120">
        <w:rPr>
          <w:lang w:val="en-GB"/>
        </w:rPr>
        <w:t>color</w:t>
      </w:r>
      <w:proofErr w:type="spellEnd"/>
      <w:r w:rsidRPr="00BD2120">
        <w:rPr>
          <w:lang w:val="en-GB"/>
        </w:rPr>
        <w:t xml:space="preserve"> gradient in the figure represents the size of the </w:t>
      </w:r>
      <w:r>
        <w:rPr>
          <w:lang w:val="en-GB"/>
        </w:rPr>
        <w:t>void fraction</w:t>
      </w:r>
      <w:r w:rsidRPr="00BD2120">
        <w:rPr>
          <w:lang w:val="en-GB"/>
        </w:rPr>
        <w:t xml:space="preserve">. Like polymers, COF membranes exhibit a trade-off between permeability and selectivity, with only a few COFs approaching the </w:t>
      </w:r>
      <w:r>
        <w:rPr>
          <w:lang w:val="en-GB"/>
        </w:rPr>
        <w:t xml:space="preserve">Robeson </w:t>
      </w:r>
      <w:r w:rsidRPr="00BD2120">
        <w:rPr>
          <w:lang w:val="en-GB"/>
        </w:rPr>
        <w:t xml:space="preserve">upper </w:t>
      </w:r>
      <w:r>
        <w:rPr>
          <w:lang w:val="en-GB"/>
        </w:rPr>
        <w:t>bound</w:t>
      </w:r>
      <w:r w:rsidRPr="00BD2120">
        <w:rPr>
          <w:lang w:val="en-GB"/>
        </w:rPr>
        <w:t xml:space="preserve">. The classification of COF gradients based on void fraction demonstrates the positive impact of high </w:t>
      </w:r>
      <w:r>
        <w:rPr>
          <w:lang w:val="en-GB"/>
        </w:rPr>
        <w:t>VF</w:t>
      </w:r>
      <w:r w:rsidRPr="00BD2120">
        <w:rPr>
          <w:lang w:val="en-GB"/>
        </w:rPr>
        <w:t xml:space="preserve"> on membrane performance. This finding can be further validated through subsequent interpretable </w:t>
      </w:r>
      <w:r w:rsidR="002A5D2C">
        <w:rPr>
          <w:lang w:val="en-GB"/>
        </w:rPr>
        <w:t>ML</w:t>
      </w:r>
      <w:r w:rsidRPr="00BD2120">
        <w:rPr>
          <w:lang w:val="en-GB"/>
        </w:rPr>
        <w:t xml:space="preserve"> techniques.</w:t>
      </w:r>
    </w:p>
    <w:p w14:paraId="104B39D9" w14:textId="34CFA005" w:rsidR="00807CC9" w:rsidRDefault="00D733DC" w:rsidP="00D0384D">
      <w:pPr>
        <w:pStyle w:val="Els-body-text"/>
        <w:spacing w:beforeLines="50" w:before="120"/>
        <w:jc w:val="center"/>
        <w:rPr>
          <w:lang w:val="en-GB"/>
        </w:rPr>
      </w:pPr>
      <w:r>
        <w:rPr>
          <w:noProof/>
          <w:sz w:val="21"/>
          <w:szCs w:val="21"/>
        </w:rPr>
        <w:drawing>
          <wp:inline distT="0" distB="0" distL="0" distR="0" wp14:anchorId="1C3A9E16" wp14:editId="385DF895">
            <wp:extent cx="3600000" cy="1595881"/>
            <wp:effectExtent l="0" t="0" r="635" b="4445"/>
            <wp:docPr id="1954966832" name="图片 6"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66832" name="图片 6" descr="图表&#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000" cy="1595881"/>
                    </a:xfrm>
                    <a:prstGeom prst="rect">
                      <a:avLst/>
                    </a:prstGeom>
                    <a:noFill/>
                    <a:ln>
                      <a:noFill/>
                    </a:ln>
                  </pic:spPr>
                </pic:pic>
              </a:graphicData>
            </a:graphic>
          </wp:inline>
        </w:drawing>
      </w:r>
    </w:p>
    <w:p w14:paraId="09605F6F" w14:textId="37B303B4" w:rsidR="00BD2120" w:rsidRDefault="00BD2120" w:rsidP="00713E3B">
      <w:pPr>
        <w:pStyle w:val="Els-body-text"/>
        <w:spacing w:afterLines="50" w:after="120"/>
        <w:jc w:val="center"/>
        <w:rPr>
          <w:sz w:val="18"/>
          <w:szCs w:val="18"/>
          <w:lang w:val="en-GB"/>
        </w:rPr>
      </w:pPr>
      <w:r w:rsidRPr="00C869F1">
        <w:rPr>
          <w:b/>
          <w:bCs/>
          <w:sz w:val="18"/>
          <w:szCs w:val="18"/>
          <w:lang w:val="en-GB"/>
        </w:rPr>
        <w:t xml:space="preserve">Figure </w:t>
      </w:r>
      <w:r w:rsidR="00705020" w:rsidRPr="00C869F1">
        <w:rPr>
          <w:b/>
          <w:bCs/>
          <w:sz w:val="18"/>
          <w:szCs w:val="18"/>
          <w:lang w:val="en-GB"/>
        </w:rPr>
        <w:t>2</w:t>
      </w:r>
      <w:r w:rsidRPr="00C869F1">
        <w:rPr>
          <w:b/>
          <w:bCs/>
          <w:sz w:val="18"/>
          <w:szCs w:val="18"/>
          <w:lang w:val="en-GB"/>
        </w:rPr>
        <w:t>.</w:t>
      </w:r>
      <w:r w:rsidRPr="00705020">
        <w:rPr>
          <w:sz w:val="18"/>
          <w:szCs w:val="18"/>
          <w:lang w:val="en-GB"/>
        </w:rPr>
        <w:t xml:space="preserve"> H</w:t>
      </w:r>
      <w:r w:rsidRPr="00705020">
        <w:rPr>
          <w:sz w:val="18"/>
          <w:szCs w:val="18"/>
          <w:vertAlign w:val="subscript"/>
          <w:lang w:val="en-GB"/>
        </w:rPr>
        <w:t>2</w:t>
      </w:r>
      <w:r w:rsidRPr="00705020">
        <w:rPr>
          <w:sz w:val="18"/>
          <w:szCs w:val="18"/>
          <w:lang w:val="en-GB"/>
        </w:rPr>
        <w:t>S permeability and H</w:t>
      </w:r>
      <w:r w:rsidRPr="00705020">
        <w:rPr>
          <w:sz w:val="18"/>
          <w:szCs w:val="18"/>
          <w:vertAlign w:val="subscript"/>
          <w:lang w:val="en-GB"/>
        </w:rPr>
        <w:t>2</w:t>
      </w:r>
      <w:r w:rsidRPr="00705020">
        <w:rPr>
          <w:sz w:val="18"/>
          <w:szCs w:val="18"/>
          <w:lang w:val="en-GB"/>
        </w:rPr>
        <w:t>S/CH</w:t>
      </w:r>
      <w:r w:rsidRPr="00705020">
        <w:rPr>
          <w:sz w:val="18"/>
          <w:szCs w:val="18"/>
          <w:vertAlign w:val="subscript"/>
          <w:lang w:val="en-GB"/>
        </w:rPr>
        <w:t>4</w:t>
      </w:r>
      <w:r w:rsidRPr="00705020">
        <w:rPr>
          <w:sz w:val="18"/>
          <w:szCs w:val="18"/>
          <w:lang w:val="en-GB"/>
        </w:rPr>
        <w:t xml:space="preserve"> selectivity (a), CO</w:t>
      </w:r>
      <w:r w:rsidRPr="00705020">
        <w:rPr>
          <w:sz w:val="18"/>
          <w:szCs w:val="18"/>
          <w:vertAlign w:val="subscript"/>
          <w:lang w:val="en-GB"/>
        </w:rPr>
        <w:t>2</w:t>
      </w:r>
      <w:r w:rsidRPr="00705020">
        <w:rPr>
          <w:sz w:val="18"/>
          <w:szCs w:val="18"/>
          <w:lang w:val="en-GB"/>
        </w:rPr>
        <w:t xml:space="preserve"> permeability and CO</w:t>
      </w:r>
      <w:r w:rsidRPr="00705020">
        <w:rPr>
          <w:sz w:val="18"/>
          <w:szCs w:val="18"/>
          <w:vertAlign w:val="subscript"/>
          <w:lang w:val="en-GB"/>
        </w:rPr>
        <w:t>2</w:t>
      </w:r>
      <w:r w:rsidRPr="00705020">
        <w:rPr>
          <w:sz w:val="18"/>
          <w:szCs w:val="18"/>
          <w:lang w:val="en-GB"/>
        </w:rPr>
        <w:t>/CH</w:t>
      </w:r>
      <w:r w:rsidRPr="00705020">
        <w:rPr>
          <w:sz w:val="18"/>
          <w:szCs w:val="18"/>
          <w:vertAlign w:val="subscript"/>
          <w:lang w:val="en-GB"/>
        </w:rPr>
        <w:t>4</w:t>
      </w:r>
      <w:r w:rsidRPr="00705020">
        <w:rPr>
          <w:sz w:val="18"/>
          <w:szCs w:val="18"/>
          <w:lang w:val="en-GB"/>
        </w:rPr>
        <w:t xml:space="preserve"> selectivity </w:t>
      </w:r>
      <w:r w:rsidR="00705020">
        <w:rPr>
          <w:sz w:val="18"/>
          <w:szCs w:val="18"/>
          <w:lang w:val="en-GB"/>
        </w:rPr>
        <w:t xml:space="preserve">(b) </w:t>
      </w:r>
      <w:r w:rsidRPr="00705020">
        <w:rPr>
          <w:sz w:val="18"/>
          <w:szCs w:val="18"/>
          <w:lang w:val="en-GB"/>
        </w:rPr>
        <w:t>of COF membranes at 10bar, 298K. The VF indicates void fraction</w:t>
      </w:r>
      <w:r w:rsidR="00253070">
        <w:rPr>
          <w:sz w:val="18"/>
          <w:szCs w:val="18"/>
          <w:lang w:val="en-GB"/>
        </w:rPr>
        <w:t>.</w:t>
      </w:r>
    </w:p>
    <w:p w14:paraId="24ED1DC9" w14:textId="77777777" w:rsidR="00713E3B" w:rsidRDefault="00713E3B" w:rsidP="00713E3B">
      <w:pPr>
        <w:pStyle w:val="Els-2ndorder-head"/>
        <w:spacing w:after="120"/>
        <w:rPr>
          <w:lang w:val="en-GB"/>
        </w:rPr>
      </w:pPr>
      <w:r w:rsidRPr="00D733DC">
        <w:rPr>
          <w:lang w:val="en-GB"/>
        </w:rPr>
        <w:t>ML Model Prediction</w:t>
      </w:r>
    </w:p>
    <w:p w14:paraId="69460FF9" w14:textId="17E0FB2D" w:rsidR="009161E6" w:rsidRPr="009161E6" w:rsidRDefault="00E41ABC" w:rsidP="009161E6">
      <w:pPr>
        <w:pStyle w:val="Els-body-text"/>
        <w:rPr>
          <w:lang w:eastAsia="zh-CN"/>
        </w:rPr>
      </w:pPr>
      <w:r>
        <w:rPr>
          <w:lang w:eastAsia="zh-CN"/>
        </w:rPr>
        <w:t>T</w:t>
      </w:r>
      <w:r w:rsidRPr="00E41ABC">
        <w:rPr>
          <w:lang w:eastAsia="zh-CN"/>
        </w:rPr>
        <w:t>he model input comprised 19-dimensional features by excluding features with a Pearson correlation coefficient exceeding 0.9.</w:t>
      </w:r>
      <w:r w:rsidR="00BA5D53" w:rsidRPr="00BA5D53">
        <w:t xml:space="preserve"> </w:t>
      </w:r>
      <w:r w:rsidR="009161E6" w:rsidRPr="009161E6">
        <w:rPr>
          <w:lang w:eastAsia="zh-CN"/>
        </w:rPr>
        <w:t>Figure 3</w:t>
      </w:r>
      <w:r>
        <w:rPr>
          <w:lang w:eastAsia="zh-CN"/>
        </w:rPr>
        <w:t>a</w:t>
      </w:r>
      <w:r w:rsidR="009161E6" w:rsidRPr="009161E6">
        <w:rPr>
          <w:lang w:eastAsia="zh-CN"/>
        </w:rPr>
        <w:t xml:space="preserve"> demonstrates the direct construction of </w:t>
      </w:r>
      <w:r>
        <w:rPr>
          <w:lang w:eastAsia="zh-CN"/>
        </w:rPr>
        <w:t>ML</w:t>
      </w:r>
      <w:r w:rsidR="009161E6" w:rsidRPr="009161E6">
        <w:rPr>
          <w:lang w:eastAsia="zh-CN"/>
        </w:rPr>
        <w:t xml:space="preserve"> model for predicting </w:t>
      </w:r>
      <w:r>
        <w:rPr>
          <w:lang w:eastAsia="zh-CN"/>
        </w:rPr>
        <w:t>H</w:t>
      </w:r>
      <w:r w:rsidRPr="00E41ABC">
        <w:rPr>
          <w:vertAlign w:val="subscript"/>
          <w:lang w:eastAsia="zh-CN"/>
        </w:rPr>
        <w:t>2</w:t>
      </w:r>
      <w:r>
        <w:rPr>
          <w:lang w:eastAsia="zh-CN"/>
        </w:rPr>
        <w:t>S</w:t>
      </w:r>
      <w:r w:rsidR="009161E6" w:rsidRPr="009161E6">
        <w:rPr>
          <w:lang w:eastAsia="zh-CN"/>
        </w:rPr>
        <w:t xml:space="preserve"> permeability, which is superior to predicting adsorption and diffusion first and then calculating gas permeability. Subsequently, we explored the extent to which features contribute to the prediction model. Figure 3</w:t>
      </w:r>
      <w:r>
        <w:rPr>
          <w:lang w:eastAsia="zh-CN"/>
        </w:rPr>
        <w:t>b</w:t>
      </w:r>
      <w:r w:rsidR="009161E6" w:rsidRPr="009161E6">
        <w:rPr>
          <w:lang w:eastAsia="zh-CN"/>
        </w:rPr>
        <w:t xml:space="preserve"> shows the order of importance of the features used to predict </w:t>
      </w:r>
      <w:r w:rsidR="00B61BA3">
        <w:rPr>
          <w:lang w:eastAsia="zh-CN"/>
        </w:rPr>
        <w:t>H</w:t>
      </w:r>
      <w:r w:rsidR="00B61BA3" w:rsidRPr="00B61BA3">
        <w:rPr>
          <w:vertAlign w:val="subscript"/>
          <w:lang w:eastAsia="zh-CN"/>
        </w:rPr>
        <w:t>2</w:t>
      </w:r>
      <w:r w:rsidR="00B61BA3">
        <w:rPr>
          <w:lang w:eastAsia="zh-CN"/>
        </w:rPr>
        <w:t>S</w:t>
      </w:r>
      <w:r w:rsidR="009161E6" w:rsidRPr="009161E6">
        <w:rPr>
          <w:lang w:eastAsia="zh-CN"/>
        </w:rPr>
        <w:t xml:space="preserve"> permeability (displaying only the top six). Pore size and structure descriptors are the most important descriptor types, while atomic and chemical descriptors contribute to a lesser extent. Void fraction is the most contributing feature in all models. Consistent findings were observed in experimental </w:t>
      </w:r>
      <w:r w:rsidR="009161E6" w:rsidRPr="009161E6">
        <w:rPr>
          <w:lang w:eastAsia="zh-CN"/>
        </w:rPr>
        <w:lastRenderedPageBreak/>
        <w:t>studies on the effect of porosity and pore size on the membrane effectiveness of porous materials</w:t>
      </w:r>
      <w:r>
        <w:rPr>
          <w:lang w:eastAsia="zh-CN"/>
        </w:rPr>
        <w:t xml:space="preserve"> </w:t>
      </w:r>
      <w:r w:rsidR="009161E6">
        <w:rPr>
          <w:lang w:eastAsia="zh-CN"/>
        </w:rPr>
        <w:fldChar w:fldCharType="begin"/>
      </w:r>
      <w:r w:rsidR="009161E6">
        <w:rPr>
          <w:lang w:eastAsia="zh-CN"/>
        </w:rPr>
        <w:instrText xml:space="preserve"> ADDIN ZOTERO_ITEM CSL_CITATION {"citationID":"kSdtXmwq","properties":{"formattedCitation":"(Ying et al., 2022)","plainCitation":"(Ying et al., 2022)","noteIndex":0},"citationItems":[{"id":617,"uris":["http://zotero.org/users/9765954/items/FE9LMAKX"],"itemData":{"id":617,"type":"article-journal","abstract":"Abstract\n            \n              Covalent organic frameworks (COFs) are promising membrane materials due to their high porosity, ordered arrangements, and high stability. However, the relatively l</w:instrText>
      </w:r>
      <w:r w:rsidR="009161E6">
        <w:rPr>
          <w:rFonts w:hint="eastAsia"/>
          <w:lang w:eastAsia="zh-CN"/>
        </w:rPr>
        <w:instrText>arge pore size and complicated membrane preparation processes of COFs limit their applications in sieving small gas molecules, even at a lab scale. Herein, a multi</w:instrText>
      </w:r>
      <w:r w:rsidR="009161E6">
        <w:rPr>
          <w:rFonts w:hint="eastAsia"/>
          <w:lang w:eastAsia="zh-CN"/>
        </w:rPr>
        <w:instrText>‐</w:instrText>
      </w:r>
      <w:r w:rsidR="009161E6">
        <w:rPr>
          <w:rFonts w:hint="eastAsia"/>
          <w:lang w:eastAsia="zh-CN"/>
        </w:rPr>
        <w:instrText>interfacial engineering strategy is proposed, that is, direct layer</w:instrText>
      </w:r>
      <w:r w:rsidR="009161E6">
        <w:rPr>
          <w:rFonts w:hint="eastAsia"/>
          <w:lang w:eastAsia="zh-CN"/>
        </w:rPr>
        <w:instrText>‐</w:instrText>
      </w:r>
      <w:r w:rsidR="009161E6">
        <w:rPr>
          <w:rFonts w:hint="eastAsia"/>
          <w:lang w:eastAsia="zh-CN"/>
        </w:rPr>
        <w:instrText>by</w:instrText>
      </w:r>
      <w:r w:rsidR="009161E6">
        <w:rPr>
          <w:rFonts w:hint="eastAsia"/>
          <w:lang w:eastAsia="zh-CN"/>
        </w:rPr>
        <w:instrText>‐</w:instrText>
      </w:r>
      <w:r w:rsidR="009161E6">
        <w:rPr>
          <w:rFonts w:hint="eastAsia"/>
          <w:lang w:eastAsia="zh-CN"/>
        </w:rPr>
        <w:instrText>layer interfacial reaction of two COFs (TpPa</w:instrText>
      </w:r>
      <w:r w:rsidR="009161E6">
        <w:rPr>
          <w:rFonts w:hint="eastAsia"/>
          <w:lang w:eastAsia="zh-CN"/>
        </w:rPr>
        <w:instrText>‐</w:instrText>
      </w:r>
      <w:r w:rsidR="009161E6">
        <w:rPr>
          <w:rFonts w:hint="eastAsia"/>
          <w:lang w:eastAsia="zh-CN"/>
        </w:rPr>
        <w:instrText>SO\n              3\n              H and TpTG\n              Cl\n              ) with different pore sizes to form narrowed apertures at the COF</w:instrText>
      </w:r>
      <w:r w:rsidR="009161E6">
        <w:rPr>
          <w:rFonts w:hint="eastAsia"/>
          <w:lang w:eastAsia="zh-CN"/>
        </w:rPr>
        <w:instrText>–</w:instrText>
      </w:r>
      <w:r w:rsidR="009161E6">
        <w:rPr>
          <w:rFonts w:hint="eastAsia"/>
          <w:lang w:eastAsia="zh-CN"/>
        </w:rPr>
        <w:instrText>COF interfaces atop a relatively large</w:instrText>
      </w:r>
      <w:r w:rsidR="009161E6">
        <w:rPr>
          <w:rFonts w:hint="eastAsia"/>
          <w:lang w:eastAsia="zh-CN"/>
        </w:rPr>
        <w:instrText>‐</w:instrText>
      </w:r>
      <w:r w:rsidR="009161E6">
        <w:rPr>
          <w:rFonts w:hint="eastAsia"/>
          <w:lang w:eastAsia="zh-CN"/>
        </w:rPr>
        <w:instrText>pore COF (COF</w:instrText>
      </w:r>
      <w:r w:rsidR="009161E6">
        <w:rPr>
          <w:rFonts w:hint="eastAsia"/>
          <w:lang w:eastAsia="zh-CN"/>
        </w:rPr>
        <w:instrText>‐</w:instrText>
      </w:r>
      <w:r w:rsidR="009161E6">
        <w:rPr>
          <w:rFonts w:hint="eastAsia"/>
          <w:lang w:eastAsia="zh-CN"/>
        </w:rPr>
        <w:instrText>LZU1) film. At 423 K, one fabricated 155 nm</w:instrText>
      </w:r>
      <w:r w:rsidR="009161E6">
        <w:rPr>
          <w:rFonts w:hint="eastAsia"/>
          <w:lang w:eastAsia="zh-CN"/>
        </w:rPr>
        <w:instrText>‐</w:instrText>
      </w:r>
      <w:r w:rsidR="009161E6">
        <w:rPr>
          <w:rFonts w:hint="eastAsia"/>
          <w:lang w:eastAsia="zh-CN"/>
        </w:rPr>
        <w:instrText>thick ultrathin COF membrane displays H\n              2\n              permeance as high as 2163 gas permeation units (GPU) and a H\n              2\n              /CO\n              2\n              selectivity of 26, transcending the 2008 Robeson upper bound. This strategy not only provides high</w:instrText>
      </w:r>
      <w:r w:rsidR="009161E6">
        <w:rPr>
          <w:rFonts w:hint="eastAsia"/>
          <w:lang w:eastAsia="zh-CN"/>
        </w:rPr>
        <w:instrText>‐</w:instrText>
      </w:r>
      <w:r w:rsidR="009161E6">
        <w:rPr>
          <w:rFonts w:hint="eastAsia"/>
          <w:lang w:eastAsia="zh-CN"/>
        </w:rPr>
        <w:instrText>performance membrane candidates for H\n              2\n              separation, but also enlightens the interfacial engineering and pore engineering manipulation for other COFs, porous polymers, a</w:instrText>
      </w:r>
      <w:r w:rsidR="009161E6">
        <w:rPr>
          <w:lang w:eastAsia="zh-CN"/>
        </w:rPr>
        <w:instrText>nd their membranes.","call-number":"1","container-title":"Advanced Materials","DOI":"10.1002/adma.202104946","ISSN":"0935-9648, 1521-4095","issue":"25","journalAbbreviation":"Advanced Materials","language":"en","page":"2104946","source":"29.4","title":"Ul</w:instrText>
      </w:r>
      <w:r w:rsidR="009161E6">
        <w:rPr>
          <w:rFonts w:hint="eastAsia"/>
          <w:lang w:eastAsia="zh-CN"/>
        </w:rPr>
        <w:instrText>trathin Covalent Organic Framework Membranes via a Multi</w:instrText>
      </w:r>
      <w:r w:rsidR="009161E6">
        <w:rPr>
          <w:rFonts w:hint="eastAsia"/>
          <w:lang w:eastAsia="zh-CN"/>
        </w:rPr>
        <w:instrText>‐</w:instrText>
      </w:r>
      <w:r w:rsidR="009161E6">
        <w:rPr>
          <w:rFonts w:hint="eastAsia"/>
          <w:lang w:eastAsia="zh-CN"/>
        </w:rPr>
        <w:instrText>Interfacial Engineering Strategy for Gas Separation","volume":"34","author":[{"family":"Ying","given":"Yunpan"},{"family":"Peh","given":"Shing Bo"},{"family":"Yang","given":"Hao"},{"family":"Yang","</w:instrText>
      </w:r>
      <w:r w:rsidR="009161E6">
        <w:rPr>
          <w:lang w:eastAsia="zh-CN"/>
        </w:rPr>
        <w:instrText xml:space="preserve">given":"Ziqi"},{"family":"Zhao","given":"Dan"}],"issued":{"date-parts":[["2022",6]]}}}],"schema":"https://github.com/citation-style-language/schema/raw/master/csl-citation.json"} </w:instrText>
      </w:r>
      <w:r w:rsidR="009161E6">
        <w:rPr>
          <w:lang w:eastAsia="zh-CN"/>
        </w:rPr>
        <w:fldChar w:fldCharType="separate"/>
      </w:r>
      <w:r w:rsidR="009A3E87" w:rsidRPr="009A3E87">
        <w:t>(Ying et al., 2022)</w:t>
      </w:r>
      <w:r w:rsidR="009161E6">
        <w:rPr>
          <w:lang w:eastAsia="zh-CN"/>
        </w:rPr>
        <w:fldChar w:fldCharType="end"/>
      </w:r>
      <w:r>
        <w:rPr>
          <w:lang w:eastAsia="zh-CN"/>
        </w:rPr>
        <w:t>.</w:t>
      </w:r>
    </w:p>
    <w:p w14:paraId="7BB5E97E" w14:textId="0DC2AA29" w:rsidR="00C72921" w:rsidRDefault="00AE1880" w:rsidP="00C72921">
      <w:pPr>
        <w:pStyle w:val="Els-body-text"/>
        <w:jc w:val="center"/>
        <w:rPr>
          <w:lang w:val="en-GB"/>
        </w:rPr>
      </w:pPr>
      <w:r>
        <w:rPr>
          <w:noProof/>
          <w:lang w:val="en-GB"/>
        </w:rPr>
        <w:drawing>
          <wp:inline distT="0" distB="0" distL="0" distR="0" wp14:anchorId="64B5ED2F" wp14:editId="6CC9F9CA">
            <wp:extent cx="4390292" cy="1467156"/>
            <wp:effectExtent l="0" t="0" r="0" b="0"/>
            <wp:docPr id="11463592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93872" cy="1468352"/>
                    </a:xfrm>
                    <a:prstGeom prst="rect">
                      <a:avLst/>
                    </a:prstGeom>
                    <a:noFill/>
                    <a:ln>
                      <a:noFill/>
                    </a:ln>
                  </pic:spPr>
                </pic:pic>
              </a:graphicData>
            </a:graphic>
          </wp:inline>
        </w:drawing>
      </w:r>
    </w:p>
    <w:p w14:paraId="12821FE3" w14:textId="034C15F4" w:rsidR="004718E0" w:rsidRPr="00713E3B" w:rsidRDefault="00C72921" w:rsidP="00713E3B">
      <w:pPr>
        <w:pStyle w:val="Els-body-text"/>
        <w:spacing w:afterLines="50" w:after="120"/>
        <w:jc w:val="center"/>
        <w:rPr>
          <w:sz w:val="18"/>
          <w:szCs w:val="18"/>
          <w:lang w:val="en-GB"/>
        </w:rPr>
      </w:pPr>
      <w:bookmarkStart w:id="7" w:name="_Hlk152775119"/>
      <w:r w:rsidRPr="00C869F1">
        <w:rPr>
          <w:b/>
          <w:bCs/>
          <w:sz w:val="18"/>
          <w:szCs w:val="18"/>
          <w:lang w:val="en-GB"/>
        </w:rPr>
        <w:t>Figure 3.</w:t>
      </w:r>
      <w:r w:rsidRPr="00705020">
        <w:rPr>
          <w:sz w:val="18"/>
          <w:szCs w:val="18"/>
          <w:lang w:val="en-GB"/>
        </w:rPr>
        <w:t xml:space="preserve"> Marginal distribution scatter plots of </w:t>
      </w:r>
      <w:r w:rsidR="00B75446">
        <w:rPr>
          <w:sz w:val="18"/>
          <w:szCs w:val="18"/>
          <w:lang w:val="en-GB"/>
        </w:rPr>
        <w:t>H</w:t>
      </w:r>
      <w:r w:rsidR="00B75446" w:rsidRPr="00B75446">
        <w:rPr>
          <w:sz w:val="18"/>
          <w:szCs w:val="18"/>
          <w:vertAlign w:val="subscript"/>
          <w:lang w:val="en-GB"/>
        </w:rPr>
        <w:t>2</w:t>
      </w:r>
      <w:r w:rsidR="00B75446">
        <w:rPr>
          <w:sz w:val="18"/>
          <w:szCs w:val="18"/>
          <w:lang w:val="en-GB"/>
        </w:rPr>
        <w:t>S</w:t>
      </w:r>
      <w:r w:rsidRPr="00705020">
        <w:rPr>
          <w:sz w:val="18"/>
          <w:szCs w:val="18"/>
          <w:lang w:val="en-GB"/>
        </w:rPr>
        <w:t xml:space="preserve"> permeability predicted by ML compared with molecular simulation results and SHAP feature importance distribution</w:t>
      </w:r>
      <w:r>
        <w:rPr>
          <w:sz w:val="18"/>
          <w:szCs w:val="18"/>
          <w:lang w:val="en-GB"/>
        </w:rPr>
        <w:t>.</w:t>
      </w:r>
      <w:r w:rsidRPr="00705020">
        <w:rPr>
          <w:sz w:val="18"/>
          <w:szCs w:val="18"/>
          <w:lang w:val="en-GB"/>
        </w:rPr>
        <w:t xml:space="preserve"> </w:t>
      </w:r>
      <w:bookmarkStart w:id="8" w:name="_Hlk150764683"/>
    </w:p>
    <w:bookmarkEnd w:id="7"/>
    <w:bookmarkEnd w:id="8"/>
    <w:p w14:paraId="04A0FB84" w14:textId="3B9943A0" w:rsidR="00807CC9" w:rsidRPr="00A94774" w:rsidRDefault="00D733DC" w:rsidP="00807CC9">
      <w:pPr>
        <w:pStyle w:val="Els-2ndorder-head"/>
        <w:spacing w:after="120"/>
        <w:rPr>
          <w:lang w:val="en-GB"/>
        </w:rPr>
      </w:pPr>
      <w:r w:rsidRPr="00D733DC">
        <w:rPr>
          <w:lang w:val="en-GB"/>
        </w:rPr>
        <w:t xml:space="preserve">Rapid screening of </w:t>
      </w:r>
      <w:proofErr w:type="spellStart"/>
      <w:r w:rsidRPr="00D733DC">
        <w:rPr>
          <w:lang w:val="en-GB"/>
        </w:rPr>
        <w:t>hCOFs</w:t>
      </w:r>
      <w:proofErr w:type="spellEnd"/>
    </w:p>
    <w:p w14:paraId="32B25F12" w14:textId="7ADF60A2" w:rsidR="00C33944" w:rsidRDefault="00816E41" w:rsidP="00807CC9">
      <w:pPr>
        <w:pStyle w:val="Els-body-text"/>
        <w:rPr>
          <w:lang w:val="en-GB"/>
        </w:rPr>
      </w:pPr>
      <w:r w:rsidRPr="00816E41">
        <w:rPr>
          <w:lang w:val="en-GB"/>
        </w:rPr>
        <w:t>Using the previously acquired key features</w:t>
      </w:r>
      <w:r w:rsidR="002576FB" w:rsidRPr="002576FB">
        <w:rPr>
          <w:lang w:val="en-GB"/>
        </w:rPr>
        <w:t xml:space="preserve">, we have successfully pre-screened </w:t>
      </w:r>
      <w:proofErr w:type="spellStart"/>
      <w:r w:rsidR="002576FB" w:rsidRPr="002576FB">
        <w:rPr>
          <w:lang w:val="en-GB"/>
        </w:rPr>
        <w:t>hCOFs</w:t>
      </w:r>
      <w:proofErr w:type="spellEnd"/>
      <w:r w:rsidR="002576FB">
        <w:rPr>
          <w:lang w:val="en-GB"/>
        </w:rPr>
        <w:t>,</w:t>
      </w:r>
      <w:r w:rsidR="002576FB" w:rsidRPr="002576FB">
        <w:rPr>
          <w:lang w:val="en-GB"/>
        </w:rPr>
        <w:t xml:space="preserve"> resulting in the identification of 14,956 potential candidate COFs (</w:t>
      </w:r>
      <w:proofErr w:type="spellStart"/>
      <w:r w:rsidR="002576FB" w:rsidRPr="002576FB">
        <w:rPr>
          <w:lang w:val="en-GB"/>
        </w:rPr>
        <w:t>cCOFs</w:t>
      </w:r>
      <w:proofErr w:type="spellEnd"/>
      <w:r w:rsidR="002576FB" w:rsidRPr="002576FB">
        <w:rPr>
          <w:lang w:val="en-GB"/>
        </w:rPr>
        <w:t>).</w:t>
      </w:r>
      <w:r w:rsidR="002576FB" w:rsidRPr="002576FB">
        <w:t xml:space="preserve"> </w:t>
      </w:r>
      <w:r w:rsidR="002576FB" w:rsidRPr="002576FB">
        <w:rPr>
          <w:lang w:val="en-GB"/>
        </w:rPr>
        <w:t xml:space="preserve">We then uniformly sampled </w:t>
      </w:r>
      <w:proofErr w:type="spellStart"/>
      <w:r w:rsidR="002576FB" w:rsidRPr="002576FB">
        <w:rPr>
          <w:lang w:val="en-GB"/>
        </w:rPr>
        <w:t>cCOFs</w:t>
      </w:r>
      <w:proofErr w:type="spellEnd"/>
      <w:r w:rsidR="002576FB" w:rsidRPr="002576FB">
        <w:rPr>
          <w:lang w:val="en-GB"/>
        </w:rPr>
        <w:t xml:space="preserve"> based on </w:t>
      </w:r>
      <w:r w:rsidR="006A1A9F">
        <w:rPr>
          <w:lang w:val="en-GB"/>
        </w:rPr>
        <w:t>VF</w:t>
      </w:r>
      <w:r w:rsidR="002576FB" w:rsidRPr="002576FB">
        <w:rPr>
          <w:lang w:val="en-GB"/>
        </w:rPr>
        <w:t xml:space="preserve"> to obtain 500 mini-</w:t>
      </w:r>
      <w:proofErr w:type="spellStart"/>
      <w:r w:rsidR="002576FB" w:rsidRPr="002576FB">
        <w:rPr>
          <w:lang w:val="en-GB"/>
        </w:rPr>
        <w:t>cCOFs</w:t>
      </w:r>
      <w:proofErr w:type="spellEnd"/>
      <w:r w:rsidR="002576FB" w:rsidRPr="002576FB">
        <w:rPr>
          <w:lang w:val="en-GB"/>
        </w:rPr>
        <w:t xml:space="preserve"> for molecular simulation calculations and merged them with the data of CURATED-COFs </w:t>
      </w:r>
      <w:r w:rsidR="006A1A9F">
        <w:rPr>
          <w:lang w:val="en-GB"/>
        </w:rPr>
        <w:t xml:space="preserve">for </w:t>
      </w:r>
      <w:r w:rsidR="002A5D2C">
        <w:rPr>
          <w:lang w:val="en-GB"/>
        </w:rPr>
        <w:t xml:space="preserve">a </w:t>
      </w:r>
      <w:r w:rsidR="006A1A9F">
        <w:rPr>
          <w:lang w:val="en-GB"/>
        </w:rPr>
        <w:t xml:space="preserve">total of 1300 data </w:t>
      </w:r>
      <w:r w:rsidR="00560C3E">
        <w:rPr>
          <w:lang w:val="en-GB"/>
        </w:rPr>
        <w:t xml:space="preserve">points </w:t>
      </w:r>
      <w:r w:rsidR="002576FB" w:rsidRPr="002576FB">
        <w:rPr>
          <w:lang w:val="en-GB"/>
        </w:rPr>
        <w:t xml:space="preserve">to construct </w:t>
      </w:r>
      <w:r w:rsidR="006A1A9F">
        <w:rPr>
          <w:lang w:val="en-GB"/>
        </w:rPr>
        <w:t>ML</w:t>
      </w:r>
      <w:r w:rsidR="002576FB" w:rsidRPr="002576FB">
        <w:rPr>
          <w:lang w:val="en-GB"/>
        </w:rPr>
        <w:t xml:space="preserve"> model</w:t>
      </w:r>
      <w:r w:rsidR="006A1A9F">
        <w:rPr>
          <w:lang w:val="en-GB"/>
        </w:rPr>
        <w:t>s.</w:t>
      </w:r>
      <w:r w:rsidR="006A1A9F" w:rsidRPr="006A1A9F">
        <w:t xml:space="preserve"> </w:t>
      </w:r>
      <w:r w:rsidR="006A1A9F" w:rsidRPr="006A1A9F">
        <w:rPr>
          <w:lang w:val="en-GB"/>
        </w:rPr>
        <w:t xml:space="preserve">The MSE of </w:t>
      </w:r>
      <w:r w:rsidR="002A5D2C">
        <w:rPr>
          <w:lang w:val="en-GB"/>
        </w:rPr>
        <w:t xml:space="preserve">the </w:t>
      </w:r>
      <w:r w:rsidR="006A1A9F">
        <w:rPr>
          <w:lang w:val="en-GB"/>
        </w:rPr>
        <w:t>H</w:t>
      </w:r>
      <w:r w:rsidR="006A1A9F" w:rsidRPr="009161E6">
        <w:rPr>
          <w:vertAlign w:val="subscript"/>
          <w:lang w:val="en-GB"/>
        </w:rPr>
        <w:t>2</w:t>
      </w:r>
      <w:r w:rsidR="006A1A9F">
        <w:rPr>
          <w:lang w:val="en-GB"/>
        </w:rPr>
        <w:t xml:space="preserve">S permeability </w:t>
      </w:r>
      <w:r w:rsidR="006A1A9F" w:rsidRPr="006A1A9F">
        <w:rPr>
          <w:lang w:val="en-GB"/>
        </w:rPr>
        <w:t xml:space="preserve">prediction test is </w:t>
      </w:r>
      <w:r w:rsidR="006A1A9F">
        <w:rPr>
          <w:lang w:val="en-GB"/>
        </w:rPr>
        <w:t>2.45</w:t>
      </w:r>
      <w:r w:rsidR="006A1A9F" w:rsidRPr="006A1A9F">
        <w:rPr>
          <w:lang w:val="en-GB"/>
        </w:rPr>
        <w:t xml:space="preserve">, and </w:t>
      </w:r>
      <w:r w:rsidR="002A5D2C">
        <w:rPr>
          <w:lang w:val="en-GB"/>
        </w:rPr>
        <w:t xml:space="preserve">the </w:t>
      </w:r>
      <w:r w:rsidR="006A1A9F" w:rsidRPr="006A1A9F">
        <w:rPr>
          <w:lang w:val="en-GB"/>
        </w:rPr>
        <w:t>R</w:t>
      </w:r>
      <w:r w:rsidR="006A1A9F" w:rsidRPr="006A1A9F">
        <w:rPr>
          <w:vertAlign w:val="superscript"/>
          <w:lang w:val="en-GB"/>
        </w:rPr>
        <w:t>2</w:t>
      </w:r>
      <w:r w:rsidR="006A1A9F" w:rsidRPr="006A1A9F">
        <w:rPr>
          <w:lang w:val="en-GB"/>
        </w:rPr>
        <w:t xml:space="preserve"> is 0.9</w:t>
      </w:r>
      <w:r w:rsidR="006A1A9F">
        <w:rPr>
          <w:lang w:val="en-GB"/>
        </w:rPr>
        <w:t xml:space="preserve">53, </w:t>
      </w:r>
      <w:r w:rsidR="006A1A9F" w:rsidRPr="006A1A9F">
        <w:rPr>
          <w:lang w:val="en-GB"/>
        </w:rPr>
        <w:t xml:space="preserve">which </w:t>
      </w:r>
      <w:r w:rsidR="002A5D2C">
        <w:rPr>
          <w:lang w:val="en-GB"/>
        </w:rPr>
        <w:t>indicates</w:t>
      </w:r>
      <w:r w:rsidR="006A1A9F" w:rsidRPr="006A1A9F">
        <w:rPr>
          <w:lang w:val="en-GB"/>
        </w:rPr>
        <w:t xml:space="preserve"> the high prediction accuracy of the </w:t>
      </w:r>
      <w:r w:rsidR="006A1A9F">
        <w:rPr>
          <w:lang w:val="en-GB"/>
        </w:rPr>
        <w:t xml:space="preserve">ML </w:t>
      </w:r>
      <w:r w:rsidR="006A1A9F" w:rsidRPr="006A1A9F">
        <w:rPr>
          <w:lang w:val="en-GB"/>
        </w:rPr>
        <w:t>models.</w:t>
      </w:r>
      <w:r w:rsidR="009161E6" w:rsidRPr="009161E6">
        <w:t xml:space="preserve"> </w:t>
      </w:r>
      <w:r w:rsidR="009161E6" w:rsidRPr="009161E6">
        <w:rPr>
          <w:lang w:val="en-GB"/>
        </w:rPr>
        <w:t xml:space="preserve">Figure 4 shows the "permeability-selectivity" distribution of </w:t>
      </w:r>
      <w:proofErr w:type="spellStart"/>
      <w:r w:rsidR="009161E6" w:rsidRPr="009161E6">
        <w:rPr>
          <w:lang w:val="en-GB"/>
        </w:rPr>
        <w:t>hCOFs</w:t>
      </w:r>
      <w:proofErr w:type="spellEnd"/>
      <w:r w:rsidR="009161E6" w:rsidRPr="009161E6">
        <w:rPr>
          <w:lang w:val="en-GB"/>
        </w:rPr>
        <w:t xml:space="preserve"> obtained for training and prediction</w:t>
      </w:r>
      <w:r>
        <w:rPr>
          <w:lang w:val="en-GB"/>
        </w:rPr>
        <w:t xml:space="preserve">, </w:t>
      </w:r>
      <w:r w:rsidRPr="00816E41">
        <w:rPr>
          <w:lang w:val="en-GB"/>
        </w:rPr>
        <w:t xml:space="preserve">where the orange data represents the data used to participate in training the model in </w:t>
      </w:r>
      <w:proofErr w:type="spellStart"/>
      <w:r w:rsidRPr="00816E41">
        <w:rPr>
          <w:lang w:val="en-GB"/>
        </w:rPr>
        <w:t>cCOFs</w:t>
      </w:r>
      <w:proofErr w:type="spellEnd"/>
      <w:r w:rsidRPr="00816E41">
        <w:rPr>
          <w:lang w:val="en-GB"/>
        </w:rPr>
        <w:t>, and the blue data points represent the COFs data obtained from ML prediction.</w:t>
      </w:r>
    </w:p>
    <w:p w14:paraId="1EC701C1" w14:textId="2796110E" w:rsidR="00C33944" w:rsidRDefault="00DF2A3E" w:rsidP="00E41ABC">
      <w:pPr>
        <w:pStyle w:val="Els-body-text"/>
        <w:spacing w:beforeLines="50" w:before="120"/>
        <w:jc w:val="center"/>
        <w:rPr>
          <w:lang w:val="en-GB"/>
        </w:rPr>
      </w:pPr>
      <w:r w:rsidRPr="00DF2A3E">
        <w:rPr>
          <w:noProof/>
          <w:lang w:val="en-GB"/>
        </w:rPr>
        <w:drawing>
          <wp:inline distT="0" distB="0" distL="0" distR="0" wp14:anchorId="43190374" wp14:editId="604FC9CC">
            <wp:extent cx="3086100" cy="1231216"/>
            <wp:effectExtent l="0" t="0" r="0" b="7620"/>
            <wp:docPr id="177306889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68895"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3120599" cy="1244980"/>
                    </a:xfrm>
                    <a:prstGeom prst="rect">
                      <a:avLst/>
                    </a:prstGeom>
                  </pic:spPr>
                </pic:pic>
              </a:graphicData>
            </a:graphic>
          </wp:inline>
        </w:drawing>
      </w:r>
    </w:p>
    <w:p w14:paraId="7927C8B0" w14:textId="57960089" w:rsidR="00F96810" w:rsidRPr="00C33944" w:rsidRDefault="00C869F1" w:rsidP="00713E3B">
      <w:pPr>
        <w:pStyle w:val="Els-body-text"/>
        <w:spacing w:afterLines="50" w:after="120"/>
        <w:jc w:val="center"/>
        <w:rPr>
          <w:lang w:val="en-GB"/>
        </w:rPr>
      </w:pPr>
      <w:r w:rsidRPr="00C869F1">
        <w:rPr>
          <w:b/>
          <w:bCs/>
          <w:sz w:val="18"/>
          <w:szCs w:val="18"/>
          <w:lang w:val="en-GB"/>
        </w:rPr>
        <w:t>Figure 4.</w:t>
      </w:r>
      <w:r w:rsidR="00206EAA" w:rsidRPr="00206EAA">
        <w:t xml:space="preserve"> </w:t>
      </w:r>
      <w:r w:rsidR="00206EAA" w:rsidRPr="00206EAA">
        <w:rPr>
          <w:sz w:val="18"/>
          <w:szCs w:val="18"/>
          <w:lang w:val="en-GB"/>
        </w:rPr>
        <w:t>H</w:t>
      </w:r>
      <w:r w:rsidR="00206EAA" w:rsidRPr="00206EAA">
        <w:rPr>
          <w:sz w:val="18"/>
          <w:szCs w:val="18"/>
          <w:vertAlign w:val="subscript"/>
          <w:lang w:val="en-GB"/>
        </w:rPr>
        <w:t>2</w:t>
      </w:r>
      <w:r w:rsidR="00206EAA" w:rsidRPr="00206EAA">
        <w:rPr>
          <w:sz w:val="18"/>
          <w:szCs w:val="18"/>
          <w:lang w:val="en-GB"/>
        </w:rPr>
        <w:t>S/CH</w:t>
      </w:r>
      <w:r w:rsidR="00206EAA" w:rsidRPr="00206EAA">
        <w:rPr>
          <w:sz w:val="18"/>
          <w:szCs w:val="18"/>
          <w:vertAlign w:val="subscript"/>
          <w:lang w:val="en-GB"/>
        </w:rPr>
        <w:t>4</w:t>
      </w:r>
      <w:r w:rsidR="00206EAA" w:rsidRPr="00206EAA">
        <w:rPr>
          <w:sz w:val="18"/>
          <w:szCs w:val="18"/>
          <w:lang w:val="en-GB"/>
        </w:rPr>
        <w:t xml:space="preserve"> &amp; CO</w:t>
      </w:r>
      <w:r w:rsidR="00206EAA" w:rsidRPr="00206EAA">
        <w:rPr>
          <w:sz w:val="18"/>
          <w:szCs w:val="18"/>
          <w:vertAlign w:val="subscript"/>
          <w:lang w:val="en-GB"/>
        </w:rPr>
        <w:t>2</w:t>
      </w:r>
      <w:r w:rsidR="00206EAA" w:rsidRPr="00206EAA">
        <w:rPr>
          <w:sz w:val="18"/>
          <w:szCs w:val="18"/>
          <w:lang w:val="en-GB"/>
        </w:rPr>
        <w:t>/CH</w:t>
      </w:r>
      <w:r w:rsidR="00206EAA" w:rsidRPr="00206EAA">
        <w:rPr>
          <w:sz w:val="18"/>
          <w:szCs w:val="18"/>
          <w:vertAlign w:val="subscript"/>
          <w:lang w:val="en-GB"/>
        </w:rPr>
        <w:t>4</w:t>
      </w:r>
      <w:r w:rsidR="00206EAA" w:rsidRPr="00206EAA">
        <w:rPr>
          <w:sz w:val="18"/>
          <w:szCs w:val="18"/>
          <w:lang w:val="en-GB"/>
        </w:rPr>
        <w:t xml:space="preserve"> permeability-selectivity distributions obtained from </w:t>
      </w:r>
      <w:proofErr w:type="spellStart"/>
      <w:r w:rsidR="00206EAA" w:rsidRPr="00206EAA">
        <w:rPr>
          <w:sz w:val="18"/>
          <w:szCs w:val="18"/>
          <w:lang w:val="en-GB"/>
        </w:rPr>
        <w:t>hCOFs</w:t>
      </w:r>
      <w:proofErr w:type="spellEnd"/>
      <w:r w:rsidR="00206EAA" w:rsidRPr="00206EAA">
        <w:rPr>
          <w:sz w:val="18"/>
          <w:szCs w:val="18"/>
          <w:lang w:val="en-GB"/>
        </w:rPr>
        <w:t xml:space="preserve"> database after ML projection.</w:t>
      </w:r>
    </w:p>
    <w:p w14:paraId="2EFBA917" w14:textId="4797423B" w:rsidR="00C72921" w:rsidRPr="00A94774" w:rsidRDefault="00C72921" w:rsidP="00B61BA3">
      <w:pPr>
        <w:pStyle w:val="Els-2ndorder-head"/>
        <w:spacing w:before="120" w:after="120"/>
        <w:rPr>
          <w:lang w:val="en-GB"/>
        </w:rPr>
      </w:pPr>
      <w:r w:rsidRPr="00C72921">
        <w:rPr>
          <w:lang w:val="en-GB"/>
        </w:rPr>
        <w:t>TOP COFs</w:t>
      </w:r>
    </w:p>
    <w:p w14:paraId="608F28BA" w14:textId="69588DF1" w:rsidR="00B61BA3" w:rsidRPr="00121242" w:rsidRDefault="00560C3E" w:rsidP="008B03B9">
      <w:pPr>
        <w:pStyle w:val="Els-body-text"/>
        <w:rPr>
          <w:lang w:val="en-GB"/>
        </w:rPr>
      </w:pPr>
      <w:bookmarkStart w:id="9" w:name="_Hlk150420847"/>
      <w:r>
        <w:t>Finally</w:t>
      </w:r>
      <w:r w:rsidRPr="00560C3E">
        <w:rPr>
          <w:lang w:val="en-GB"/>
        </w:rPr>
        <w:t xml:space="preserve">, we </w:t>
      </w:r>
      <w:r>
        <w:rPr>
          <w:lang w:val="en-GB"/>
        </w:rPr>
        <w:t>selected</w:t>
      </w:r>
      <w:r w:rsidRPr="00560C3E">
        <w:rPr>
          <w:lang w:val="en-GB"/>
        </w:rPr>
        <w:t xml:space="preserve"> 20 advanced COFs designed for single-component gas separation and evaluated their performance under real operating conditions with ternary mixtures. Our research revealed that JUC-551-2 was the top-performing COF</w:t>
      </w:r>
      <w:r>
        <w:rPr>
          <w:lang w:val="en-GB"/>
        </w:rPr>
        <w:t xml:space="preserve"> and other TOP COFs </w:t>
      </w:r>
      <w:r w:rsidRPr="00560C3E">
        <w:rPr>
          <w:lang w:val="en-GB"/>
        </w:rPr>
        <w:t xml:space="preserve">are shown in </w:t>
      </w:r>
      <w:r w:rsidR="00FA1295">
        <w:rPr>
          <w:lang w:val="en-GB"/>
        </w:rPr>
        <w:t xml:space="preserve">Table </w:t>
      </w:r>
      <w:r w:rsidR="00E41ABC">
        <w:rPr>
          <w:lang w:val="en-GB"/>
        </w:rPr>
        <w:t>2</w:t>
      </w:r>
      <w:r w:rsidR="00FA1295">
        <w:rPr>
          <w:lang w:val="en-GB"/>
        </w:rPr>
        <w:t xml:space="preserve"> and </w:t>
      </w:r>
      <w:r w:rsidRPr="00560C3E">
        <w:rPr>
          <w:lang w:val="en-GB"/>
        </w:rPr>
        <w:t xml:space="preserve">Figure 5. </w:t>
      </w:r>
    </w:p>
    <w:p w14:paraId="4D4EB3B4" w14:textId="77777777" w:rsidR="00E41ABC" w:rsidRDefault="00E41ABC" w:rsidP="00E41ABC">
      <w:pPr>
        <w:pStyle w:val="Els-body-text"/>
        <w:spacing w:beforeLines="50" w:before="120"/>
        <w:jc w:val="center"/>
        <w:rPr>
          <w:lang w:val="en-GB"/>
        </w:rPr>
      </w:pPr>
      <w:bookmarkStart w:id="10" w:name="_GoBack"/>
      <w:r>
        <w:rPr>
          <w:noProof/>
          <w:lang w:val="en-GB"/>
        </w:rPr>
        <w:lastRenderedPageBreak/>
        <w:drawing>
          <wp:inline distT="0" distB="0" distL="0" distR="0" wp14:anchorId="39B1938C" wp14:editId="2DC0EDF7">
            <wp:extent cx="3710940" cy="838630"/>
            <wp:effectExtent l="0" t="0" r="3810" b="0"/>
            <wp:docPr id="2086965014" name="图片 1" descr="电脑萤幕画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965014" name="图片 1" descr="电脑萤幕画面&#10;&#10;中度可信度描述已自动生成"/>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34576" cy="866570"/>
                    </a:xfrm>
                    <a:prstGeom prst="rect">
                      <a:avLst/>
                    </a:prstGeom>
                    <a:noFill/>
                    <a:ln>
                      <a:noFill/>
                    </a:ln>
                  </pic:spPr>
                </pic:pic>
              </a:graphicData>
            </a:graphic>
          </wp:inline>
        </w:drawing>
      </w:r>
      <w:bookmarkEnd w:id="10"/>
    </w:p>
    <w:p w14:paraId="5F50CC11" w14:textId="77777777" w:rsidR="00E41ABC" w:rsidRPr="007748CA" w:rsidRDefault="00E41ABC" w:rsidP="00E41ABC">
      <w:pPr>
        <w:pStyle w:val="Els-body-text"/>
        <w:jc w:val="center"/>
        <w:rPr>
          <w:lang w:val="en-GB"/>
        </w:rPr>
      </w:pPr>
      <w:r w:rsidRPr="00C869F1">
        <w:rPr>
          <w:b/>
          <w:bCs/>
          <w:sz w:val="18"/>
          <w:szCs w:val="18"/>
          <w:lang w:val="en-GB"/>
        </w:rPr>
        <w:t>Figure 5.</w:t>
      </w:r>
      <w:r>
        <w:rPr>
          <w:b/>
          <w:bCs/>
          <w:sz w:val="18"/>
          <w:szCs w:val="18"/>
          <w:lang w:val="en-GB"/>
        </w:rPr>
        <w:t xml:space="preserve"> </w:t>
      </w:r>
      <w:r w:rsidRPr="000E57B2">
        <w:rPr>
          <w:sz w:val="18"/>
          <w:szCs w:val="18"/>
          <w:lang w:val="en-GB"/>
        </w:rPr>
        <w:t>Structure of</w:t>
      </w:r>
      <w:r>
        <w:rPr>
          <w:b/>
          <w:bCs/>
          <w:sz w:val="18"/>
          <w:szCs w:val="18"/>
          <w:lang w:val="en-GB"/>
        </w:rPr>
        <w:t xml:space="preserve"> </w:t>
      </w:r>
      <w:r>
        <w:rPr>
          <w:sz w:val="18"/>
          <w:szCs w:val="18"/>
          <w:lang w:val="en-GB"/>
        </w:rPr>
        <w:t>TOP-5 CURATED-COF</w:t>
      </w:r>
      <w:r>
        <w:rPr>
          <w:rFonts w:hint="eastAsia"/>
          <w:sz w:val="18"/>
          <w:szCs w:val="18"/>
          <w:lang w:val="en-GB" w:eastAsia="zh-CN"/>
        </w:rPr>
        <w:t>s</w:t>
      </w:r>
      <w:r>
        <w:rPr>
          <w:sz w:val="18"/>
          <w:szCs w:val="18"/>
          <w:lang w:val="en-GB"/>
        </w:rPr>
        <w:t xml:space="preserve"> </w:t>
      </w:r>
      <w:r>
        <w:rPr>
          <w:rFonts w:hint="eastAsia"/>
          <w:sz w:val="18"/>
          <w:szCs w:val="18"/>
          <w:lang w:val="en-GB" w:eastAsia="zh-CN"/>
        </w:rPr>
        <w:t>for</w:t>
      </w:r>
      <w:r>
        <w:rPr>
          <w:sz w:val="18"/>
          <w:szCs w:val="18"/>
          <w:lang w:val="en-GB"/>
        </w:rPr>
        <w:t xml:space="preserve"> </w:t>
      </w:r>
      <w:r>
        <w:rPr>
          <w:rFonts w:hint="eastAsia"/>
          <w:sz w:val="18"/>
          <w:szCs w:val="18"/>
          <w:lang w:val="en-GB" w:eastAsia="zh-CN"/>
        </w:rPr>
        <w:t>acid</w:t>
      </w:r>
      <w:r>
        <w:rPr>
          <w:sz w:val="18"/>
          <w:szCs w:val="18"/>
          <w:lang w:val="en-GB"/>
        </w:rPr>
        <w:t xml:space="preserve"> </w:t>
      </w:r>
      <w:r>
        <w:rPr>
          <w:rFonts w:hint="eastAsia"/>
          <w:sz w:val="18"/>
          <w:szCs w:val="18"/>
          <w:lang w:val="en-GB" w:eastAsia="zh-CN"/>
        </w:rPr>
        <w:t>gas</w:t>
      </w:r>
      <w:r>
        <w:rPr>
          <w:sz w:val="18"/>
          <w:szCs w:val="18"/>
          <w:lang w:val="en-GB"/>
        </w:rPr>
        <w:t xml:space="preserve"> </w:t>
      </w:r>
      <w:r>
        <w:rPr>
          <w:rFonts w:hint="eastAsia"/>
          <w:sz w:val="18"/>
          <w:szCs w:val="18"/>
          <w:lang w:val="en-GB" w:eastAsia="zh-CN"/>
        </w:rPr>
        <w:t>separation</w:t>
      </w:r>
      <w:r>
        <w:rPr>
          <w:sz w:val="18"/>
          <w:szCs w:val="18"/>
          <w:lang w:val="en-GB" w:eastAsia="zh-CN"/>
        </w:rPr>
        <w:t xml:space="preserve"> </w:t>
      </w:r>
      <w:r>
        <w:rPr>
          <w:rFonts w:hint="eastAsia"/>
          <w:sz w:val="18"/>
          <w:szCs w:val="18"/>
          <w:lang w:val="en-GB" w:eastAsia="zh-CN"/>
        </w:rPr>
        <w:t>o</w:t>
      </w:r>
      <w:r>
        <w:rPr>
          <w:sz w:val="18"/>
          <w:szCs w:val="18"/>
          <w:lang w:val="en-GB" w:eastAsia="zh-CN"/>
        </w:rPr>
        <w:t>f the membrane.</w:t>
      </w:r>
    </w:p>
    <w:bookmarkEnd w:id="9"/>
    <w:p w14:paraId="0247DDDB" w14:textId="0AC3264C" w:rsidR="007748CA" w:rsidRDefault="00E04225" w:rsidP="00E04225">
      <w:pPr>
        <w:pStyle w:val="Els-body-text"/>
        <w:spacing w:beforeLines="50" w:before="120"/>
        <w:jc w:val="center"/>
        <w:rPr>
          <w:sz w:val="18"/>
          <w:szCs w:val="18"/>
          <w:lang w:val="en-GB" w:eastAsia="zh-CN"/>
        </w:rPr>
      </w:pPr>
      <w:r>
        <w:rPr>
          <w:rFonts w:hint="eastAsia"/>
          <w:sz w:val="18"/>
          <w:szCs w:val="18"/>
          <w:lang w:val="en-GB" w:eastAsia="zh-CN"/>
        </w:rPr>
        <w:t>T</w:t>
      </w:r>
      <w:r>
        <w:rPr>
          <w:sz w:val="18"/>
          <w:szCs w:val="18"/>
          <w:lang w:val="en-GB" w:eastAsia="zh-CN"/>
        </w:rPr>
        <w:t>able.</w:t>
      </w:r>
      <w:r w:rsidR="00E41ABC">
        <w:rPr>
          <w:sz w:val="18"/>
          <w:szCs w:val="18"/>
          <w:lang w:val="en-GB" w:eastAsia="zh-CN"/>
        </w:rPr>
        <w:t>2</w:t>
      </w:r>
      <w:r>
        <w:rPr>
          <w:sz w:val="18"/>
          <w:szCs w:val="18"/>
          <w:lang w:val="en-GB" w:eastAsia="zh-CN"/>
        </w:rPr>
        <w:t xml:space="preserve"> </w:t>
      </w:r>
      <w:r w:rsidR="000E57B2" w:rsidRPr="000E57B2">
        <w:rPr>
          <w:sz w:val="18"/>
          <w:szCs w:val="18"/>
          <w:lang w:val="en-GB" w:eastAsia="zh-CN"/>
        </w:rPr>
        <w:t xml:space="preserve">Separation performances of the </w:t>
      </w:r>
      <w:r w:rsidR="000E57B2">
        <w:rPr>
          <w:sz w:val="18"/>
          <w:szCs w:val="18"/>
          <w:lang w:val="en-GB" w:eastAsia="zh-CN"/>
        </w:rPr>
        <w:t>T</w:t>
      </w:r>
      <w:r w:rsidR="000E57B2" w:rsidRPr="000E57B2">
        <w:rPr>
          <w:sz w:val="18"/>
          <w:szCs w:val="18"/>
          <w:lang w:val="en-GB" w:eastAsia="zh-CN"/>
        </w:rPr>
        <w:t>op</w:t>
      </w:r>
      <w:r w:rsidR="000E57B2">
        <w:rPr>
          <w:sz w:val="18"/>
          <w:szCs w:val="18"/>
          <w:lang w:val="en-GB" w:eastAsia="zh-CN"/>
        </w:rPr>
        <w:t>-5</w:t>
      </w:r>
      <w:r w:rsidR="000E57B2" w:rsidRPr="000E57B2">
        <w:rPr>
          <w:sz w:val="18"/>
          <w:szCs w:val="18"/>
          <w:lang w:val="en-GB" w:eastAsia="zh-CN"/>
        </w:rPr>
        <w:t xml:space="preserve"> </w:t>
      </w:r>
      <w:r w:rsidR="000E57B2">
        <w:rPr>
          <w:sz w:val="18"/>
          <w:szCs w:val="18"/>
          <w:lang w:val="en-GB" w:eastAsia="zh-CN"/>
        </w:rPr>
        <w:t>CURATED-</w:t>
      </w:r>
      <w:r w:rsidR="000E57B2" w:rsidRPr="000E57B2">
        <w:rPr>
          <w:sz w:val="18"/>
          <w:szCs w:val="18"/>
          <w:lang w:val="en-GB" w:eastAsia="zh-CN"/>
        </w:rPr>
        <w:t>COFs</w:t>
      </w:r>
    </w:p>
    <w:tbl>
      <w:tblPr>
        <w:tblStyle w:val="Grigliatabella"/>
        <w:tblW w:w="0" w:type="auto"/>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347"/>
        <w:gridCol w:w="576"/>
        <w:gridCol w:w="531"/>
        <w:gridCol w:w="436"/>
        <w:gridCol w:w="873"/>
        <w:gridCol w:w="915"/>
        <w:gridCol w:w="851"/>
        <w:gridCol w:w="868"/>
      </w:tblGrid>
      <w:tr w:rsidR="00E04225" w:rsidRPr="00E20717" w14:paraId="27B00D87" w14:textId="77777777" w:rsidTr="00E04225">
        <w:trPr>
          <w:jc w:val="center"/>
        </w:trPr>
        <w:tc>
          <w:tcPr>
            <w:tcW w:w="1347" w:type="dxa"/>
            <w:tcBorders>
              <w:top w:val="single" w:sz="8" w:space="0" w:color="auto"/>
              <w:bottom w:val="single" w:sz="8" w:space="0" w:color="auto"/>
            </w:tcBorders>
            <w:vAlign w:val="center"/>
          </w:tcPr>
          <w:p w14:paraId="777FE621" w14:textId="77777777" w:rsidR="00E04225" w:rsidRPr="00E04225" w:rsidRDefault="00E04225" w:rsidP="006157D5">
            <w:pPr>
              <w:jc w:val="center"/>
              <w:rPr>
                <w:rFonts w:ascii="Times New Roman" w:hAnsi="Times New Roman" w:cs="Times New Roman"/>
                <w:b/>
                <w:bCs/>
                <w:sz w:val="18"/>
                <w:szCs w:val="18"/>
              </w:rPr>
            </w:pPr>
            <w:r w:rsidRPr="00E04225">
              <w:rPr>
                <w:rFonts w:ascii="Times New Roman" w:hAnsi="Times New Roman" w:cs="Times New Roman"/>
                <w:b/>
                <w:bCs/>
                <w:sz w:val="18"/>
                <w:szCs w:val="18"/>
              </w:rPr>
              <w:t>COFs</w:t>
            </w:r>
          </w:p>
        </w:tc>
        <w:tc>
          <w:tcPr>
            <w:tcW w:w="576" w:type="dxa"/>
            <w:tcBorders>
              <w:top w:val="single" w:sz="8" w:space="0" w:color="auto"/>
              <w:bottom w:val="single" w:sz="8" w:space="0" w:color="auto"/>
            </w:tcBorders>
            <w:vAlign w:val="center"/>
          </w:tcPr>
          <w:p w14:paraId="39AFE1F0" w14:textId="77777777" w:rsidR="00E04225" w:rsidRDefault="00E04225" w:rsidP="006157D5">
            <w:pPr>
              <w:jc w:val="center"/>
              <w:rPr>
                <w:rFonts w:ascii="Times New Roman" w:hAnsi="Times New Roman" w:cs="Times New Roman"/>
                <w:b/>
                <w:bCs/>
                <w:sz w:val="18"/>
                <w:szCs w:val="18"/>
              </w:rPr>
            </w:pPr>
            <w:r w:rsidRPr="00E04225">
              <w:rPr>
                <w:rFonts w:ascii="Times New Roman" w:hAnsi="Times New Roman" w:cs="Times New Roman"/>
                <w:b/>
                <w:bCs/>
                <w:sz w:val="18"/>
                <w:szCs w:val="18"/>
              </w:rPr>
              <w:t>PLD</w:t>
            </w:r>
          </w:p>
          <w:p w14:paraId="00AC6FF9" w14:textId="572ECE5E" w:rsidR="00E04225" w:rsidRPr="00E04225" w:rsidRDefault="00E04225" w:rsidP="006157D5">
            <w:pPr>
              <w:jc w:val="center"/>
              <w:rPr>
                <w:rFonts w:ascii="Times New Roman" w:hAnsi="Times New Roman" w:cs="Times New Roman"/>
                <w:b/>
                <w:bCs/>
                <w:sz w:val="18"/>
                <w:szCs w:val="18"/>
              </w:rPr>
            </w:pPr>
            <w:r w:rsidRPr="00E04225">
              <w:rPr>
                <w:rFonts w:ascii="Times New Roman" w:hAnsi="Times New Roman" w:cs="Times New Roman"/>
                <w:b/>
                <w:bCs/>
                <w:sz w:val="18"/>
                <w:szCs w:val="18"/>
              </w:rPr>
              <w:t>(Å)</w:t>
            </w:r>
          </w:p>
        </w:tc>
        <w:tc>
          <w:tcPr>
            <w:tcW w:w="531" w:type="dxa"/>
            <w:tcBorders>
              <w:top w:val="single" w:sz="8" w:space="0" w:color="auto"/>
              <w:bottom w:val="single" w:sz="8" w:space="0" w:color="auto"/>
            </w:tcBorders>
            <w:vAlign w:val="center"/>
          </w:tcPr>
          <w:p w14:paraId="45AD4ECF" w14:textId="77777777" w:rsidR="00E04225" w:rsidRDefault="00E04225" w:rsidP="006157D5">
            <w:pPr>
              <w:jc w:val="center"/>
              <w:rPr>
                <w:rFonts w:ascii="Times New Roman" w:hAnsi="Times New Roman" w:cs="Times New Roman"/>
                <w:b/>
                <w:bCs/>
                <w:sz w:val="18"/>
                <w:szCs w:val="18"/>
              </w:rPr>
            </w:pPr>
            <w:r w:rsidRPr="00E04225">
              <w:rPr>
                <w:rFonts w:ascii="Times New Roman" w:hAnsi="Times New Roman" w:cs="Times New Roman"/>
                <w:b/>
                <w:bCs/>
                <w:sz w:val="18"/>
                <w:szCs w:val="18"/>
              </w:rPr>
              <w:t>VF</w:t>
            </w:r>
          </w:p>
          <w:p w14:paraId="72505595" w14:textId="22E0E083" w:rsidR="00E04225" w:rsidRPr="00E04225" w:rsidRDefault="00E04225" w:rsidP="006157D5">
            <w:pPr>
              <w:jc w:val="center"/>
              <w:rPr>
                <w:rFonts w:ascii="Times New Roman" w:hAnsi="Times New Roman" w:cs="Times New Roman"/>
                <w:b/>
                <w:bCs/>
                <w:sz w:val="18"/>
                <w:szCs w:val="18"/>
                <w:lang w:eastAsia="zh-CN"/>
              </w:rPr>
            </w:pPr>
            <w:r>
              <w:rPr>
                <w:rFonts w:ascii="Times New Roman" w:hAnsi="Times New Roman" w:cs="Times New Roman" w:hint="eastAsia"/>
                <w:b/>
                <w:bCs/>
                <w:sz w:val="18"/>
                <w:szCs w:val="18"/>
                <w:lang w:eastAsia="zh-CN"/>
              </w:rPr>
              <w:t>(</w:t>
            </w:r>
            <w:r>
              <w:rPr>
                <w:rFonts w:ascii="Times New Roman" w:hAnsi="Times New Roman" w:cs="Times New Roman"/>
                <w:b/>
                <w:bCs/>
                <w:sz w:val="18"/>
                <w:szCs w:val="18"/>
                <w:lang w:eastAsia="zh-CN"/>
              </w:rPr>
              <w:t>-)</w:t>
            </w:r>
          </w:p>
        </w:tc>
        <w:tc>
          <w:tcPr>
            <w:tcW w:w="436" w:type="dxa"/>
            <w:tcBorders>
              <w:top w:val="single" w:sz="8" w:space="0" w:color="auto"/>
              <w:bottom w:val="single" w:sz="8" w:space="0" w:color="auto"/>
            </w:tcBorders>
            <w:vAlign w:val="center"/>
          </w:tcPr>
          <w:p w14:paraId="4C532837" w14:textId="77777777" w:rsidR="00E04225" w:rsidRDefault="00E04225" w:rsidP="006157D5">
            <w:pPr>
              <w:jc w:val="center"/>
              <w:rPr>
                <w:rFonts w:ascii="Times New Roman" w:hAnsi="Times New Roman" w:cs="Times New Roman"/>
                <w:b/>
                <w:bCs/>
                <w:sz w:val="18"/>
                <w:szCs w:val="18"/>
              </w:rPr>
            </w:pPr>
            <w:r w:rsidRPr="00E04225">
              <w:rPr>
                <w:rFonts w:ascii="Times New Roman" w:hAnsi="Times New Roman" w:cs="Times New Roman"/>
                <w:b/>
                <w:bCs/>
                <w:sz w:val="18"/>
                <w:szCs w:val="18"/>
              </w:rPr>
              <w:t>Di</w:t>
            </w:r>
          </w:p>
          <w:p w14:paraId="0EF022D4" w14:textId="41363227" w:rsidR="00E04225" w:rsidRPr="00E04225" w:rsidRDefault="00E04225" w:rsidP="006157D5">
            <w:pPr>
              <w:jc w:val="center"/>
              <w:rPr>
                <w:rFonts w:ascii="Times New Roman" w:hAnsi="Times New Roman" w:cs="Times New Roman"/>
                <w:b/>
                <w:bCs/>
                <w:sz w:val="18"/>
                <w:szCs w:val="18"/>
                <w:lang w:eastAsia="zh-CN"/>
              </w:rPr>
            </w:pPr>
            <w:r>
              <w:rPr>
                <w:rFonts w:ascii="Times New Roman" w:hAnsi="Times New Roman" w:cs="Times New Roman" w:hint="eastAsia"/>
                <w:b/>
                <w:bCs/>
                <w:sz w:val="18"/>
                <w:szCs w:val="18"/>
                <w:lang w:eastAsia="zh-CN"/>
              </w:rPr>
              <w:t>(</w:t>
            </w:r>
            <w:r>
              <w:rPr>
                <w:rFonts w:ascii="Times New Roman" w:hAnsi="Times New Roman" w:cs="Times New Roman"/>
                <w:b/>
                <w:bCs/>
                <w:sz w:val="18"/>
                <w:szCs w:val="18"/>
                <w:lang w:eastAsia="zh-CN"/>
              </w:rPr>
              <w:t>-)</w:t>
            </w:r>
          </w:p>
        </w:tc>
        <w:tc>
          <w:tcPr>
            <w:tcW w:w="873" w:type="dxa"/>
            <w:tcBorders>
              <w:top w:val="single" w:sz="8" w:space="0" w:color="auto"/>
              <w:bottom w:val="single" w:sz="8" w:space="0" w:color="auto"/>
            </w:tcBorders>
            <w:vAlign w:val="center"/>
          </w:tcPr>
          <w:p w14:paraId="2D74DB09" w14:textId="77777777" w:rsidR="00E04225" w:rsidRPr="00E04225" w:rsidRDefault="00542CAB" w:rsidP="006157D5">
            <w:pPr>
              <w:jc w:val="center"/>
              <w:rPr>
                <w:rFonts w:ascii="Times New Roman" w:hAnsi="Times New Roman" w:cs="Times New Roman"/>
                <w:b/>
                <w:bCs/>
                <w:sz w:val="18"/>
                <w:szCs w:val="18"/>
              </w:rPr>
            </w:pPr>
            <m:oMathPara>
              <m:oMath>
                <m:sSub>
                  <m:sSubPr>
                    <m:ctrlPr>
                      <w:rPr>
                        <w:rFonts w:ascii="Cambria Math" w:hAnsi="Cambria Math" w:cs="Times New Roman"/>
                        <w:b/>
                        <w:bCs/>
                        <w:i/>
                        <w:sz w:val="18"/>
                        <w:szCs w:val="18"/>
                      </w:rPr>
                    </m:ctrlPr>
                  </m:sSubPr>
                  <m:e>
                    <m:r>
                      <m:rPr>
                        <m:sty m:val="bi"/>
                      </m:rPr>
                      <w:rPr>
                        <w:rFonts w:ascii="Cambria Math" w:hAnsi="Cambria Math" w:cs="Times New Roman"/>
                        <w:sz w:val="18"/>
                        <w:szCs w:val="18"/>
                      </w:rPr>
                      <m:t>P</m:t>
                    </m:r>
                  </m:e>
                  <m:sub>
                    <m:sSub>
                      <m:sSubPr>
                        <m:ctrlPr>
                          <w:rPr>
                            <w:rFonts w:ascii="Cambria Math" w:hAnsi="Cambria Math" w:cs="Times New Roman"/>
                            <w:b/>
                            <w:bCs/>
                            <w:i/>
                            <w:sz w:val="18"/>
                            <w:szCs w:val="18"/>
                          </w:rPr>
                        </m:ctrlPr>
                      </m:sSubPr>
                      <m:e>
                        <m:r>
                          <m:rPr>
                            <m:sty m:val="bi"/>
                          </m:rPr>
                          <w:rPr>
                            <w:rFonts w:ascii="Cambria Math" w:hAnsi="Cambria Math" w:cs="Times New Roman"/>
                            <w:sz w:val="18"/>
                            <w:szCs w:val="18"/>
                          </w:rPr>
                          <m:t>H</m:t>
                        </m:r>
                      </m:e>
                      <m:sub>
                        <m:r>
                          <m:rPr>
                            <m:sty m:val="bi"/>
                          </m:rPr>
                          <w:rPr>
                            <w:rFonts w:ascii="Cambria Math" w:hAnsi="Cambria Math" w:cs="Times New Roman"/>
                            <w:sz w:val="18"/>
                            <w:szCs w:val="18"/>
                          </w:rPr>
                          <m:t>2</m:t>
                        </m:r>
                      </m:sub>
                    </m:sSub>
                    <m:r>
                      <m:rPr>
                        <m:sty m:val="bi"/>
                      </m:rPr>
                      <w:rPr>
                        <w:rFonts w:ascii="Cambria Math" w:hAnsi="Cambria Math" w:cs="Times New Roman"/>
                        <w:sz w:val="18"/>
                        <w:szCs w:val="18"/>
                      </w:rPr>
                      <m:t>S</m:t>
                    </m:r>
                  </m:sub>
                </m:sSub>
              </m:oMath>
            </m:oMathPara>
          </w:p>
          <w:p w14:paraId="7703AEB3" w14:textId="77777777" w:rsidR="00E04225" w:rsidRPr="00E04225" w:rsidRDefault="00E04225" w:rsidP="006157D5">
            <w:pPr>
              <w:jc w:val="center"/>
              <w:rPr>
                <w:rFonts w:ascii="Times New Roman" w:hAnsi="Times New Roman" w:cs="Times New Roman"/>
                <w:b/>
                <w:bCs/>
                <w:sz w:val="18"/>
                <w:szCs w:val="18"/>
              </w:rPr>
            </w:pPr>
            <w:r w:rsidRPr="00E04225">
              <w:rPr>
                <w:rFonts w:ascii="Times New Roman" w:hAnsi="Times New Roman" w:cs="Times New Roman"/>
                <w:b/>
                <w:bCs/>
                <w:sz w:val="18"/>
                <w:szCs w:val="18"/>
              </w:rPr>
              <w:t>(Barrer)</w:t>
            </w:r>
          </w:p>
        </w:tc>
        <w:tc>
          <w:tcPr>
            <w:tcW w:w="915" w:type="dxa"/>
            <w:tcBorders>
              <w:top w:val="single" w:sz="8" w:space="0" w:color="auto"/>
              <w:bottom w:val="single" w:sz="8" w:space="0" w:color="auto"/>
            </w:tcBorders>
            <w:vAlign w:val="center"/>
          </w:tcPr>
          <w:p w14:paraId="6351FF56" w14:textId="77777777" w:rsidR="00E04225" w:rsidRPr="00E04225" w:rsidRDefault="00542CAB" w:rsidP="006157D5">
            <w:pPr>
              <w:jc w:val="center"/>
              <w:rPr>
                <w:rFonts w:ascii="Times New Roman" w:hAnsi="Times New Roman" w:cs="Times New Roman"/>
                <w:b/>
                <w:bCs/>
                <w:sz w:val="18"/>
                <w:szCs w:val="18"/>
              </w:rPr>
            </w:pPr>
            <m:oMathPara>
              <m:oMath>
                <m:sSub>
                  <m:sSubPr>
                    <m:ctrlPr>
                      <w:rPr>
                        <w:rFonts w:ascii="Cambria Math" w:hAnsi="Cambria Math" w:cs="Times New Roman"/>
                        <w:b/>
                        <w:bCs/>
                        <w:i/>
                        <w:sz w:val="18"/>
                        <w:szCs w:val="18"/>
                      </w:rPr>
                    </m:ctrlPr>
                  </m:sSubPr>
                  <m:e>
                    <m:r>
                      <m:rPr>
                        <m:sty m:val="bi"/>
                      </m:rPr>
                      <w:rPr>
                        <w:rFonts w:ascii="Cambria Math" w:hAnsi="Cambria Math" w:cs="Times New Roman"/>
                        <w:sz w:val="18"/>
                        <w:szCs w:val="18"/>
                      </w:rPr>
                      <m:t>P</m:t>
                    </m:r>
                  </m:e>
                  <m:sub>
                    <m:sSub>
                      <m:sSubPr>
                        <m:ctrlPr>
                          <w:rPr>
                            <w:rFonts w:ascii="Cambria Math" w:hAnsi="Cambria Math" w:cs="Times New Roman"/>
                            <w:b/>
                            <w:bCs/>
                            <w:i/>
                            <w:sz w:val="18"/>
                            <w:szCs w:val="18"/>
                          </w:rPr>
                        </m:ctrlPr>
                      </m:sSubPr>
                      <m:e>
                        <m:r>
                          <m:rPr>
                            <m:sty m:val="bi"/>
                          </m:rPr>
                          <w:rPr>
                            <w:rFonts w:ascii="Cambria Math" w:hAnsi="Cambria Math" w:cs="Times New Roman"/>
                            <w:sz w:val="18"/>
                            <w:szCs w:val="18"/>
                          </w:rPr>
                          <m:t>CO</m:t>
                        </m:r>
                      </m:e>
                      <m:sub>
                        <m:r>
                          <m:rPr>
                            <m:sty m:val="bi"/>
                          </m:rPr>
                          <w:rPr>
                            <w:rFonts w:ascii="Cambria Math" w:hAnsi="Cambria Math" w:cs="Times New Roman"/>
                            <w:sz w:val="18"/>
                            <w:szCs w:val="18"/>
                          </w:rPr>
                          <m:t>2</m:t>
                        </m:r>
                      </m:sub>
                    </m:sSub>
                  </m:sub>
                </m:sSub>
              </m:oMath>
            </m:oMathPara>
          </w:p>
          <w:p w14:paraId="5BBD7F40" w14:textId="77777777" w:rsidR="00E04225" w:rsidRPr="00E04225" w:rsidRDefault="00E04225" w:rsidP="006157D5">
            <w:pPr>
              <w:jc w:val="center"/>
              <w:rPr>
                <w:rFonts w:ascii="Times New Roman" w:hAnsi="Times New Roman" w:cs="Times New Roman"/>
                <w:b/>
                <w:bCs/>
                <w:sz w:val="18"/>
                <w:szCs w:val="18"/>
              </w:rPr>
            </w:pPr>
            <w:r w:rsidRPr="00E04225">
              <w:rPr>
                <w:rFonts w:ascii="Times New Roman" w:hAnsi="Times New Roman" w:cs="Times New Roman"/>
                <w:b/>
                <w:bCs/>
                <w:sz w:val="18"/>
                <w:szCs w:val="18"/>
              </w:rPr>
              <w:t>(Barrer)</w:t>
            </w:r>
          </w:p>
        </w:tc>
        <w:tc>
          <w:tcPr>
            <w:tcW w:w="851" w:type="dxa"/>
            <w:tcBorders>
              <w:top w:val="single" w:sz="8" w:space="0" w:color="auto"/>
              <w:bottom w:val="single" w:sz="8" w:space="0" w:color="auto"/>
            </w:tcBorders>
            <w:vAlign w:val="center"/>
          </w:tcPr>
          <w:p w14:paraId="0FC7A181" w14:textId="77777777" w:rsidR="00E04225" w:rsidRPr="00E04225" w:rsidRDefault="00542CAB" w:rsidP="006157D5">
            <w:pPr>
              <w:jc w:val="center"/>
              <w:rPr>
                <w:rFonts w:ascii="Times New Roman" w:hAnsi="Times New Roman" w:cs="Times New Roman"/>
                <w:b/>
                <w:bCs/>
                <w:sz w:val="18"/>
                <w:szCs w:val="18"/>
              </w:rPr>
            </w:pPr>
            <m:oMathPara>
              <m:oMath>
                <m:sSub>
                  <m:sSubPr>
                    <m:ctrlPr>
                      <w:rPr>
                        <w:rFonts w:ascii="Cambria Math" w:hAnsi="Cambria Math" w:cs="Times New Roman"/>
                        <w:b/>
                        <w:bCs/>
                        <w:i/>
                        <w:sz w:val="18"/>
                        <w:szCs w:val="18"/>
                      </w:rPr>
                    </m:ctrlPr>
                  </m:sSubPr>
                  <m:e>
                    <m:r>
                      <m:rPr>
                        <m:sty m:val="bi"/>
                      </m:rPr>
                      <w:rPr>
                        <w:rFonts w:ascii="Cambria Math" w:hAnsi="Cambria Math" w:cs="Times New Roman"/>
                        <w:sz w:val="18"/>
                        <w:szCs w:val="18"/>
                      </w:rPr>
                      <m:t>S</m:t>
                    </m:r>
                  </m:e>
                  <m:sub>
                    <m:sSub>
                      <m:sSubPr>
                        <m:ctrlPr>
                          <w:rPr>
                            <w:rFonts w:ascii="Cambria Math" w:hAnsi="Cambria Math" w:cs="Times New Roman"/>
                            <w:b/>
                            <w:bCs/>
                            <w:i/>
                            <w:sz w:val="18"/>
                            <w:szCs w:val="18"/>
                          </w:rPr>
                        </m:ctrlPr>
                      </m:sSubPr>
                      <m:e>
                        <m:r>
                          <m:rPr>
                            <m:sty m:val="bi"/>
                          </m:rPr>
                          <w:rPr>
                            <w:rFonts w:ascii="Cambria Math" w:hAnsi="Cambria Math" w:cs="Times New Roman"/>
                            <w:sz w:val="18"/>
                            <w:szCs w:val="18"/>
                          </w:rPr>
                          <m:t>H</m:t>
                        </m:r>
                      </m:e>
                      <m:sub>
                        <m:r>
                          <m:rPr>
                            <m:sty m:val="bi"/>
                          </m:rPr>
                          <w:rPr>
                            <w:rFonts w:ascii="Cambria Math" w:hAnsi="Cambria Math" w:cs="Times New Roman"/>
                            <w:sz w:val="18"/>
                            <w:szCs w:val="18"/>
                          </w:rPr>
                          <m:t>2</m:t>
                        </m:r>
                      </m:sub>
                    </m:sSub>
                    <m:r>
                      <m:rPr>
                        <m:sty m:val="bi"/>
                      </m:rPr>
                      <w:rPr>
                        <w:rFonts w:ascii="Cambria Math" w:hAnsi="Cambria Math" w:cs="Times New Roman"/>
                        <w:sz w:val="18"/>
                        <w:szCs w:val="18"/>
                      </w:rPr>
                      <m:t>S</m:t>
                    </m:r>
                    <m:r>
                      <m:rPr>
                        <m:sty m:val="bi"/>
                      </m:rPr>
                      <w:rPr>
                        <w:rFonts w:ascii="Cambria Math" w:hAnsi="Cambria Math" w:cs="Times New Roman"/>
                        <w:sz w:val="18"/>
                        <w:szCs w:val="18"/>
                      </w:rPr>
                      <m:t>/</m:t>
                    </m:r>
                    <m:r>
                      <m:rPr>
                        <m:sty m:val="bi"/>
                      </m:rPr>
                      <w:rPr>
                        <w:rFonts w:ascii="Cambria Math" w:hAnsi="Cambria Math" w:cs="Times New Roman"/>
                        <w:sz w:val="18"/>
                        <w:szCs w:val="18"/>
                      </w:rPr>
                      <m:t>C</m:t>
                    </m:r>
                    <m:sSub>
                      <m:sSubPr>
                        <m:ctrlPr>
                          <w:rPr>
                            <w:rFonts w:ascii="Cambria Math" w:hAnsi="Cambria Math" w:cs="Times New Roman"/>
                            <w:b/>
                            <w:bCs/>
                            <w:i/>
                            <w:sz w:val="18"/>
                            <w:szCs w:val="18"/>
                          </w:rPr>
                        </m:ctrlPr>
                      </m:sSubPr>
                      <m:e>
                        <m:r>
                          <m:rPr>
                            <m:sty m:val="bi"/>
                          </m:rPr>
                          <w:rPr>
                            <w:rFonts w:ascii="Cambria Math" w:hAnsi="Cambria Math" w:cs="Times New Roman"/>
                            <w:sz w:val="18"/>
                            <w:szCs w:val="18"/>
                          </w:rPr>
                          <m:t>H</m:t>
                        </m:r>
                      </m:e>
                      <m:sub>
                        <m:r>
                          <m:rPr>
                            <m:sty m:val="bi"/>
                          </m:rPr>
                          <w:rPr>
                            <w:rFonts w:ascii="Cambria Math" w:hAnsi="Cambria Math" w:cs="Times New Roman"/>
                            <w:sz w:val="18"/>
                            <w:szCs w:val="18"/>
                          </w:rPr>
                          <m:t>4</m:t>
                        </m:r>
                      </m:sub>
                    </m:sSub>
                  </m:sub>
                </m:sSub>
              </m:oMath>
            </m:oMathPara>
          </w:p>
          <w:p w14:paraId="788B90E0" w14:textId="77777777" w:rsidR="00E04225" w:rsidRPr="00E04225" w:rsidRDefault="00E04225" w:rsidP="006157D5">
            <w:pPr>
              <w:jc w:val="center"/>
              <w:rPr>
                <w:rFonts w:ascii="Times New Roman" w:hAnsi="Times New Roman" w:cs="Times New Roman"/>
                <w:b/>
                <w:bCs/>
                <w:sz w:val="18"/>
                <w:szCs w:val="18"/>
              </w:rPr>
            </w:pPr>
            <w:r w:rsidRPr="00E04225">
              <w:rPr>
                <w:rFonts w:ascii="Times New Roman" w:hAnsi="Times New Roman" w:cs="Times New Roman"/>
                <w:b/>
                <w:bCs/>
                <w:sz w:val="18"/>
                <w:szCs w:val="18"/>
              </w:rPr>
              <w:t>(-)</w:t>
            </w:r>
          </w:p>
        </w:tc>
        <w:tc>
          <w:tcPr>
            <w:tcW w:w="868" w:type="dxa"/>
            <w:tcBorders>
              <w:top w:val="single" w:sz="8" w:space="0" w:color="auto"/>
              <w:bottom w:val="single" w:sz="8" w:space="0" w:color="auto"/>
            </w:tcBorders>
            <w:vAlign w:val="center"/>
          </w:tcPr>
          <w:p w14:paraId="1D41D85D" w14:textId="77777777" w:rsidR="00E04225" w:rsidRPr="00E04225" w:rsidRDefault="00542CAB" w:rsidP="006157D5">
            <w:pPr>
              <w:jc w:val="center"/>
              <w:rPr>
                <w:rFonts w:ascii="Times New Roman" w:hAnsi="Times New Roman" w:cs="Times New Roman"/>
                <w:b/>
                <w:bCs/>
                <w:sz w:val="18"/>
                <w:szCs w:val="18"/>
              </w:rPr>
            </w:pPr>
            <m:oMathPara>
              <m:oMath>
                <m:sSub>
                  <m:sSubPr>
                    <m:ctrlPr>
                      <w:rPr>
                        <w:rFonts w:ascii="Cambria Math" w:hAnsi="Cambria Math" w:cs="Times New Roman"/>
                        <w:b/>
                        <w:bCs/>
                        <w:i/>
                        <w:sz w:val="18"/>
                        <w:szCs w:val="18"/>
                      </w:rPr>
                    </m:ctrlPr>
                  </m:sSubPr>
                  <m:e>
                    <m:r>
                      <m:rPr>
                        <m:sty m:val="bi"/>
                      </m:rPr>
                      <w:rPr>
                        <w:rFonts w:ascii="Cambria Math" w:hAnsi="Cambria Math" w:cs="Times New Roman"/>
                        <w:sz w:val="18"/>
                        <w:szCs w:val="18"/>
                      </w:rPr>
                      <m:t>S</m:t>
                    </m:r>
                  </m:e>
                  <m:sub>
                    <m:sSub>
                      <m:sSubPr>
                        <m:ctrlPr>
                          <w:rPr>
                            <w:rFonts w:ascii="Cambria Math" w:hAnsi="Cambria Math" w:cs="Times New Roman"/>
                            <w:b/>
                            <w:bCs/>
                            <w:i/>
                            <w:sz w:val="18"/>
                            <w:szCs w:val="18"/>
                          </w:rPr>
                        </m:ctrlPr>
                      </m:sSubPr>
                      <m:e>
                        <m:r>
                          <m:rPr>
                            <m:sty m:val="bi"/>
                          </m:rPr>
                          <w:rPr>
                            <w:rFonts w:ascii="Cambria Math" w:hAnsi="Cambria Math" w:cs="Times New Roman"/>
                            <w:sz w:val="18"/>
                            <w:szCs w:val="18"/>
                          </w:rPr>
                          <m:t>CO</m:t>
                        </m:r>
                      </m:e>
                      <m:sub>
                        <m:r>
                          <m:rPr>
                            <m:sty m:val="bi"/>
                          </m:rPr>
                          <w:rPr>
                            <w:rFonts w:ascii="Cambria Math" w:hAnsi="Cambria Math" w:cs="Times New Roman"/>
                            <w:sz w:val="18"/>
                            <w:szCs w:val="18"/>
                          </w:rPr>
                          <m:t>2</m:t>
                        </m:r>
                      </m:sub>
                    </m:sSub>
                    <m:r>
                      <m:rPr>
                        <m:sty m:val="bi"/>
                      </m:rPr>
                      <w:rPr>
                        <w:rFonts w:ascii="Cambria Math" w:hAnsi="Cambria Math" w:cs="Times New Roman"/>
                        <w:sz w:val="18"/>
                        <w:szCs w:val="18"/>
                      </w:rPr>
                      <m:t>/</m:t>
                    </m:r>
                    <m:r>
                      <m:rPr>
                        <m:sty m:val="bi"/>
                      </m:rPr>
                      <w:rPr>
                        <w:rFonts w:ascii="Cambria Math" w:hAnsi="Cambria Math" w:cs="Times New Roman"/>
                        <w:sz w:val="18"/>
                        <w:szCs w:val="18"/>
                      </w:rPr>
                      <m:t>C</m:t>
                    </m:r>
                    <m:sSub>
                      <m:sSubPr>
                        <m:ctrlPr>
                          <w:rPr>
                            <w:rFonts w:ascii="Cambria Math" w:hAnsi="Cambria Math" w:cs="Times New Roman"/>
                            <w:b/>
                            <w:bCs/>
                            <w:i/>
                            <w:sz w:val="18"/>
                            <w:szCs w:val="18"/>
                          </w:rPr>
                        </m:ctrlPr>
                      </m:sSubPr>
                      <m:e>
                        <m:r>
                          <m:rPr>
                            <m:sty m:val="bi"/>
                          </m:rPr>
                          <w:rPr>
                            <w:rFonts w:ascii="Cambria Math" w:hAnsi="Cambria Math" w:cs="Times New Roman"/>
                            <w:sz w:val="18"/>
                            <w:szCs w:val="18"/>
                          </w:rPr>
                          <m:t>H</m:t>
                        </m:r>
                      </m:e>
                      <m:sub>
                        <m:r>
                          <m:rPr>
                            <m:sty m:val="bi"/>
                          </m:rPr>
                          <w:rPr>
                            <w:rFonts w:ascii="Cambria Math" w:hAnsi="Cambria Math" w:cs="Times New Roman"/>
                            <w:sz w:val="18"/>
                            <w:szCs w:val="18"/>
                          </w:rPr>
                          <m:t>4</m:t>
                        </m:r>
                      </m:sub>
                    </m:sSub>
                  </m:sub>
                </m:sSub>
              </m:oMath>
            </m:oMathPara>
          </w:p>
          <w:p w14:paraId="02162C59" w14:textId="77777777" w:rsidR="00E04225" w:rsidRPr="00E04225" w:rsidRDefault="00E04225" w:rsidP="006157D5">
            <w:pPr>
              <w:jc w:val="center"/>
              <w:rPr>
                <w:rFonts w:ascii="Times New Roman" w:hAnsi="Times New Roman" w:cs="Times New Roman"/>
                <w:b/>
                <w:bCs/>
                <w:sz w:val="18"/>
                <w:szCs w:val="18"/>
              </w:rPr>
            </w:pPr>
            <w:r w:rsidRPr="00E04225">
              <w:rPr>
                <w:rFonts w:ascii="Times New Roman" w:hAnsi="Times New Roman" w:cs="Times New Roman"/>
                <w:b/>
                <w:bCs/>
                <w:sz w:val="18"/>
                <w:szCs w:val="18"/>
              </w:rPr>
              <w:t>(-)</w:t>
            </w:r>
          </w:p>
        </w:tc>
      </w:tr>
      <w:tr w:rsidR="00E04225" w:rsidRPr="00E20717" w14:paraId="6C727C4B" w14:textId="77777777" w:rsidTr="00E04225">
        <w:trPr>
          <w:jc w:val="center"/>
        </w:trPr>
        <w:tc>
          <w:tcPr>
            <w:tcW w:w="1347" w:type="dxa"/>
            <w:tcBorders>
              <w:top w:val="single" w:sz="8" w:space="0" w:color="auto"/>
              <w:bottom w:val="nil"/>
            </w:tcBorders>
            <w:vAlign w:val="center"/>
          </w:tcPr>
          <w:p w14:paraId="3218A125" w14:textId="32E3DB69"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JUC-551-2</w:t>
            </w:r>
          </w:p>
        </w:tc>
        <w:tc>
          <w:tcPr>
            <w:tcW w:w="576" w:type="dxa"/>
            <w:tcBorders>
              <w:top w:val="single" w:sz="8" w:space="0" w:color="auto"/>
              <w:bottom w:val="nil"/>
            </w:tcBorders>
            <w:vAlign w:val="center"/>
          </w:tcPr>
          <w:p w14:paraId="75EACDD2"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10.1</w:t>
            </w:r>
          </w:p>
        </w:tc>
        <w:tc>
          <w:tcPr>
            <w:tcW w:w="531" w:type="dxa"/>
            <w:tcBorders>
              <w:top w:val="single" w:sz="8" w:space="0" w:color="auto"/>
              <w:bottom w:val="nil"/>
            </w:tcBorders>
            <w:vAlign w:val="center"/>
          </w:tcPr>
          <w:p w14:paraId="4BE6F922"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0.91</w:t>
            </w:r>
          </w:p>
        </w:tc>
        <w:tc>
          <w:tcPr>
            <w:tcW w:w="436" w:type="dxa"/>
            <w:tcBorders>
              <w:top w:val="single" w:sz="8" w:space="0" w:color="auto"/>
              <w:bottom w:val="nil"/>
            </w:tcBorders>
            <w:vAlign w:val="center"/>
          </w:tcPr>
          <w:p w14:paraId="76F07353"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3D</w:t>
            </w:r>
          </w:p>
        </w:tc>
        <w:tc>
          <w:tcPr>
            <w:tcW w:w="873" w:type="dxa"/>
            <w:tcBorders>
              <w:top w:val="single" w:sz="8" w:space="0" w:color="auto"/>
              <w:bottom w:val="nil"/>
            </w:tcBorders>
            <w:vAlign w:val="center"/>
          </w:tcPr>
          <w:p w14:paraId="01853F87"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4.19×10</w:t>
            </w:r>
            <w:r w:rsidRPr="000E57B2">
              <w:rPr>
                <w:rFonts w:ascii="Times New Roman" w:hAnsi="Times New Roman" w:cs="Times New Roman"/>
                <w:sz w:val="18"/>
                <w:szCs w:val="18"/>
                <w:vertAlign w:val="superscript"/>
              </w:rPr>
              <w:t>5</w:t>
            </w:r>
          </w:p>
        </w:tc>
        <w:tc>
          <w:tcPr>
            <w:tcW w:w="915" w:type="dxa"/>
            <w:tcBorders>
              <w:top w:val="single" w:sz="8" w:space="0" w:color="auto"/>
              <w:bottom w:val="nil"/>
            </w:tcBorders>
            <w:vAlign w:val="center"/>
          </w:tcPr>
          <w:p w14:paraId="6FE2C1A2"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3.02×10</w:t>
            </w:r>
            <w:r w:rsidRPr="000E57B2">
              <w:rPr>
                <w:rFonts w:ascii="Times New Roman" w:hAnsi="Times New Roman" w:cs="Times New Roman"/>
                <w:sz w:val="18"/>
                <w:szCs w:val="18"/>
                <w:vertAlign w:val="superscript"/>
              </w:rPr>
              <w:t>5</w:t>
            </w:r>
          </w:p>
        </w:tc>
        <w:tc>
          <w:tcPr>
            <w:tcW w:w="851" w:type="dxa"/>
            <w:tcBorders>
              <w:top w:val="single" w:sz="8" w:space="0" w:color="auto"/>
              <w:bottom w:val="nil"/>
            </w:tcBorders>
            <w:vAlign w:val="center"/>
          </w:tcPr>
          <w:p w14:paraId="692B4868"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5.46</w:t>
            </w:r>
          </w:p>
        </w:tc>
        <w:tc>
          <w:tcPr>
            <w:tcW w:w="868" w:type="dxa"/>
            <w:tcBorders>
              <w:top w:val="single" w:sz="8" w:space="0" w:color="auto"/>
              <w:bottom w:val="nil"/>
            </w:tcBorders>
            <w:vAlign w:val="center"/>
          </w:tcPr>
          <w:p w14:paraId="3C859A05"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3.93</w:t>
            </w:r>
          </w:p>
        </w:tc>
      </w:tr>
      <w:tr w:rsidR="00E04225" w:rsidRPr="00E20717" w14:paraId="1BD5F7B0" w14:textId="77777777" w:rsidTr="00E04225">
        <w:trPr>
          <w:jc w:val="center"/>
        </w:trPr>
        <w:tc>
          <w:tcPr>
            <w:tcW w:w="1347" w:type="dxa"/>
            <w:tcBorders>
              <w:top w:val="nil"/>
              <w:bottom w:val="nil"/>
            </w:tcBorders>
            <w:vAlign w:val="center"/>
          </w:tcPr>
          <w:p w14:paraId="38D47045" w14:textId="64FC01F4"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JUC-508</w:t>
            </w:r>
          </w:p>
        </w:tc>
        <w:tc>
          <w:tcPr>
            <w:tcW w:w="576" w:type="dxa"/>
            <w:tcBorders>
              <w:top w:val="nil"/>
              <w:bottom w:val="nil"/>
            </w:tcBorders>
            <w:vAlign w:val="center"/>
          </w:tcPr>
          <w:p w14:paraId="48E3DC42"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8.9</w:t>
            </w:r>
          </w:p>
        </w:tc>
        <w:tc>
          <w:tcPr>
            <w:tcW w:w="531" w:type="dxa"/>
            <w:tcBorders>
              <w:top w:val="nil"/>
              <w:bottom w:val="nil"/>
            </w:tcBorders>
            <w:vAlign w:val="center"/>
          </w:tcPr>
          <w:p w14:paraId="6885BDF8"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0.87</w:t>
            </w:r>
          </w:p>
        </w:tc>
        <w:tc>
          <w:tcPr>
            <w:tcW w:w="436" w:type="dxa"/>
            <w:tcBorders>
              <w:top w:val="nil"/>
              <w:bottom w:val="nil"/>
            </w:tcBorders>
            <w:vAlign w:val="center"/>
          </w:tcPr>
          <w:p w14:paraId="6DD5C5CE"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3D</w:t>
            </w:r>
          </w:p>
        </w:tc>
        <w:tc>
          <w:tcPr>
            <w:tcW w:w="873" w:type="dxa"/>
            <w:tcBorders>
              <w:top w:val="nil"/>
              <w:bottom w:val="nil"/>
            </w:tcBorders>
            <w:vAlign w:val="center"/>
          </w:tcPr>
          <w:p w14:paraId="3D12738F"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6.01×10</w:t>
            </w:r>
            <w:r w:rsidRPr="000E57B2">
              <w:rPr>
                <w:rFonts w:ascii="Times New Roman" w:hAnsi="Times New Roman" w:cs="Times New Roman"/>
                <w:sz w:val="18"/>
                <w:szCs w:val="18"/>
                <w:vertAlign w:val="superscript"/>
              </w:rPr>
              <w:t>5</w:t>
            </w:r>
          </w:p>
        </w:tc>
        <w:tc>
          <w:tcPr>
            <w:tcW w:w="915" w:type="dxa"/>
            <w:tcBorders>
              <w:top w:val="nil"/>
              <w:bottom w:val="nil"/>
            </w:tcBorders>
            <w:vAlign w:val="center"/>
          </w:tcPr>
          <w:p w14:paraId="07E81B61"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1.85×10</w:t>
            </w:r>
            <w:r w:rsidRPr="000E57B2">
              <w:rPr>
                <w:rFonts w:ascii="Times New Roman" w:hAnsi="Times New Roman" w:cs="Times New Roman"/>
                <w:sz w:val="18"/>
                <w:szCs w:val="18"/>
                <w:vertAlign w:val="superscript"/>
              </w:rPr>
              <w:t>5</w:t>
            </w:r>
          </w:p>
        </w:tc>
        <w:tc>
          <w:tcPr>
            <w:tcW w:w="851" w:type="dxa"/>
            <w:tcBorders>
              <w:top w:val="nil"/>
              <w:bottom w:val="nil"/>
            </w:tcBorders>
            <w:vAlign w:val="center"/>
          </w:tcPr>
          <w:p w14:paraId="6E6F1753"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5.19</w:t>
            </w:r>
          </w:p>
        </w:tc>
        <w:tc>
          <w:tcPr>
            <w:tcW w:w="868" w:type="dxa"/>
            <w:tcBorders>
              <w:top w:val="nil"/>
              <w:bottom w:val="nil"/>
            </w:tcBorders>
            <w:vAlign w:val="center"/>
          </w:tcPr>
          <w:p w14:paraId="36DEC91C"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1.60</w:t>
            </w:r>
          </w:p>
        </w:tc>
      </w:tr>
      <w:tr w:rsidR="00E04225" w:rsidRPr="00E20717" w14:paraId="71A8BAF4" w14:textId="77777777" w:rsidTr="00E04225">
        <w:trPr>
          <w:jc w:val="center"/>
        </w:trPr>
        <w:tc>
          <w:tcPr>
            <w:tcW w:w="1347" w:type="dxa"/>
            <w:tcBorders>
              <w:top w:val="nil"/>
              <w:bottom w:val="nil"/>
            </w:tcBorders>
            <w:vAlign w:val="center"/>
          </w:tcPr>
          <w:p w14:paraId="62BC502F" w14:textId="6A6528F4"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3D-Py-COF-2P</w:t>
            </w:r>
          </w:p>
        </w:tc>
        <w:tc>
          <w:tcPr>
            <w:tcW w:w="576" w:type="dxa"/>
            <w:tcBorders>
              <w:top w:val="nil"/>
              <w:bottom w:val="nil"/>
            </w:tcBorders>
            <w:vAlign w:val="center"/>
          </w:tcPr>
          <w:p w14:paraId="6D5D0432"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12.3</w:t>
            </w:r>
          </w:p>
        </w:tc>
        <w:tc>
          <w:tcPr>
            <w:tcW w:w="531" w:type="dxa"/>
            <w:tcBorders>
              <w:top w:val="nil"/>
              <w:bottom w:val="nil"/>
            </w:tcBorders>
            <w:vAlign w:val="center"/>
          </w:tcPr>
          <w:p w14:paraId="2476EC4D"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0.91</w:t>
            </w:r>
          </w:p>
        </w:tc>
        <w:tc>
          <w:tcPr>
            <w:tcW w:w="436" w:type="dxa"/>
            <w:tcBorders>
              <w:top w:val="nil"/>
              <w:bottom w:val="nil"/>
            </w:tcBorders>
            <w:vAlign w:val="center"/>
          </w:tcPr>
          <w:p w14:paraId="0153FC73"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3D</w:t>
            </w:r>
          </w:p>
        </w:tc>
        <w:tc>
          <w:tcPr>
            <w:tcW w:w="873" w:type="dxa"/>
            <w:tcBorders>
              <w:top w:val="nil"/>
              <w:bottom w:val="nil"/>
            </w:tcBorders>
            <w:vAlign w:val="center"/>
          </w:tcPr>
          <w:p w14:paraId="0E087D48"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5.31×10</w:t>
            </w:r>
            <w:r w:rsidRPr="000E57B2">
              <w:rPr>
                <w:rFonts w:ascii="Times New Roman" w:hAnsi="Times New Roman" w:cs="Times New Roman"/>
                <w:sz w:val="18"/>
                <w:szCs w:val="18"/>
                <w:vertAlign w:val="superscript"/>
              </w:rPr>
              <w:t>5</w:t>
            </w:r>
          </w:p>
        </w:tc>
        <w:tc>
          <w:tcPr>
            <w:tcW w:w="915" w:type="dxa"/>
            <w:tcBorders>
              <w:top w:val="nil"/>
              <w:bottom w:val="nil"/>
            </w:tcBorders>
            <w:vAlign w:val="center"/>
          </w:tcPr>
          <w:p w14:paraId="76BADACB"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2.88×10</w:t>
            </w:r>
            <w:r w:rsidRPr="000E57B2">
              <w:rPr>
                <w:rFonts w:ascii="Times New Roman" w:hAnsi="Times New Roman" w:cs="Times New Roman"/>
                <w:sz w:val="18"/>
                <w:szCs w:val="18"/>
                <w:vertAlign w:val="superscript"/>
              </w:rPr>
              <w:t>5</w:t>
            </w:r>
          </w:p>
        </w:tc>
        <w:tc>
          <w:tcPr>
            <w:tcW w:w="851" w:type="dxa"/>
            <w:tcBorders>
              <w:top w:val="nil"/>
              <w:bottom w:val="nil"/>
            </w:tcBorders>
            <w:vAlign w:val="center"/>
          </w:tcPr>
          <w:p w14:paraId="79688675"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4.23</w:t>
            </w:r>
          </w:p>
        </w:tc>
        <w:tc>
          <w:tcPr>
            <w:tcW w:w="868" w:type="dxa"/>
            <w:tcBorders>
              <w:top w:val="nil"/>
              <w:bottom w:val="nil"/>
            </w:tcBorders>
            <w:vAlign w:val="center"/>
          </w:tcPr>
          <w:p w14:paraId="39FB1D88"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2.29</w:t>
            </w:r>
          </w:p>
        </w:tc>
      </w:tr>
      <w:tr w:rsidR="00E04225" w:rsidRPr="00E20717" w14:paraId="37D45280" w14:textId="77777777" w:rsidTr="00E04225">
        <w:trPr>
          <w:jc w:val="center"/>
        </w:trPr>
        <w:tc>
          <w:tcPr>
            <w:tcW w:w="1347" w:type="dxa"/>
            <w:tcBorders>
              <w:top w:val="nil"/>
              <w:bottom w:val="nil"/>
            </w:tcBorders>
            <w:vAlign w:val="center"/>
          </w:tcPr>
          <w:p w14:paraId="681EDB0B" w14:textId="45E1025D"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Ph-</w:t>
            </w:r>
            <w:proofErr w:type="spellStart"/>
            <w:r w:rsidRPr="000E57B2">
              <w:rPr>
                <w:rFonts w:ascii="Times New Roman" w:hAnsi="Times New Roman" w:cs="Times New Roman"/>
                <w:sz w:val="18"/>
                <w:szCs w:val="18"/>
              </w:rPr>
              <w:t>AnCD</w:t>
            </w:r>
            <w:proofErr w:type="spellEnd"/>
            <w:r w:rsidRPr="000E57B2">
              <w:rPr>
                <w:rFonts w:ascii="Times New Roman" w:hAnsi="Times New Roman" w:cs="Times New Roman"/>
                <w:sz w:val="18"/>
                <w:szCs w:val="18"/>
              </w:rPr>
              <w:t>-COF</w:t>
            </w:r>
          </w:p>
        </w:tc>
        <w:tc>
          <w:tcPr>
            <w:tcW w:w="576" w:type="dxa"/>
            <w:tcBorders>
              <w:top w:val="nil"/>
              <w:bottom w:val="nil"/>
            </w:tcBorders>
            <w:vAlign w:val="center"/>
          </w:tcPr>
          <w:p w14:paraId="02C62F82"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21.1</w:t>
            </w:r>
          </w:p>
        </w:tc>
        <w:tc>
          <w:tcPr>
            <w:tcW w:w="531" w:type="dxa"/>
            <w:tcBorders>
              <w:top w:val="nil"/>
              <w:bottom w:val="nil"/>
            </w:tcBorders>
            <w:vAlign w:val="center"/>
          </w:tcPr>
          <w:p w14:paraId="08194108"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0.91</w:t>
            </w:r>
          </w:p>
        </w:tc>
        <w:tc>
          <w:tcPr>
            <w:tcW w:w="436" w:type="dxa"/>
            <w:tcBorders>
              <w:top w:val="nil"/>
              <w:bottom w:val="nil"/>
            </w:tcBorders>
            <w:vAlign w:val="center"/>
          </w:tcPr>
          <w:p w14:paraId="4BE0893A"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2D</w:t>
            </w:r>
          </w:p>
        </w:tc>
        <w:tc>
          <w:tcPr>
            <w:tcW w:w="873" w:type="dxa"/>
            <w:tcBorders>
              <w:top w:val="nil"/>
              <w:bottom w:val="nil"/>
            </w:tcBorders>
            <w:vAlign w:val="center"/>
          </w:tcPr>
          <w:p w14:paraId="7FFD652D"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3.70×10</w:t>
            </w:r>
            <w:r w:rsidRPr="000E57B2">
              <w:rPr>
                <w:rFonts w:ascii="Times New Roman" w:hAnsi="Times New Roman" w:cs="Times New Roman"/>
                <w:sz w:val="18"/>
                <w:szCs w:val="18"/>
                <w:vertAlign w:val="superscript"/>
              </w:rPr>
              <w:t>5</w:t>
            </w:r>
          </w:p>
        </w:tc>
        <w:tc>
          <w:tcPr>
            <w:tcW w:w="915" w:type="dxa"/>
            <w:tcBorders>
              <w:top w:val="nil"/>
              <w:bottom w:val="nil"/>
            </w:tcBorders>
            <w:vAlign w:val="center"/>
          </w:tcPr>
          <w:p w14:paraId="371F6E94"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2.30×10</w:t>
            </w:r>
            <w:r w:rsidRPr="000E57B2">
              <w:rPr>
                <w:rFonts w:ascii="Times New Roman" w:hAnsi="Times New Roman" w:cs="Times New Roman"/>
                <w:sz w:val="18"/>
                <w:szCs w:val="18"/>
                <w:vertAlign w:val="superscript"/>
              </w:rPr>
              <w:t>5</w:t>
            </w:r>
          </w:p>
        </w:tc>
        <w:tc>
          <w:tcPr>
            <w:tcW w:w="851" w:type="dxa"/>
            <w:tcBorders>
              <w:top w:val="nil"/>
              <w:bottom w:val="nil"/>
            </w:tcBorders>
            <w:vAlign w:val="center"/>
          </w:tcPr>
          <w:p w14:paraId="4BE1E7BA"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4.70</w:t>
            </w:r>
          </w:p>
        </w:tc>
        <w:tc>
          <w:tcPr>
            <w:tcW w:w="868" w:type="dxa"/>
            <w:tcBorders>
              <w:top w:val="nil"/>
              <w:bottom w:val="nil"/>
            </w:tcBorders>
            <w:vAlign w:val="center"/>
          </w:tcPr>
          <w:p w14:paraId="34839ABF"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2.92</w:t>
            </w:r>
          </w:p>
        </w:tc>
      </w:tr>
      <w:tr w:rsidR="00E04225" w:rsidRPr="00E20717" w14:paraId="72F417E8" w14:textId="77777777" w:rsidTr="00E04225">
        <w:trPr>
          <w:jc w:val="center"/>
        </w:trPr>
        <w:tc>
          <w:tcPr>
            <w:tcW w:w="1347" w:type="dxa"/>
            <w:tcBorders>
              <w:top w:val="nil"/>
              <w:bottom w:val="single" w:sz="8" w:space="0" w:color="auto"/>
            </w:tcBorders>
            <w:vAlign w:val="center"/>
          </w:tcPr>
          <w:p w14:paraId="7A480F7E" w14:textId="5164E533"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JUC-519-2</w:t>
            </w:r>
            <w:r w:rsidRPr="000E57B2">
              <w:rPr>
                <w:sz w:val="18"/>
                <w:szCs w:val="18"/>
              </w:rPr>
              <w:fldChar w:fldCharType="begin"/>
            </w:r>
            <w:r w:rsidR="000E57B2" w:rsidRPr="000E57B2">
              <w:rPr>
                <w:rFonts w:ascii="Times New Roman" w:hAnsi="Times New Roman" w:cs="Times New Roman"/>
                <w:sz w:val="18"/>
                <w:szCs w:val="18"/>
              </w:rPr>
              <w:instrText xml:space="preserve"> ADDIN ZOTERO_ITEM CSL_CITATION {"citationID":"XQ1tUW0A","properties":{"formattedCitation":"\\super [10]\\nosupersub{}","plainCitation":"[10]","dontUpdate":true,"noteIndex":0},"citationItems":[{"id":784,"uris":["http://zotero.org/users/9765954/items/2EHIMH2Q"],"itemData":{"id":784,"type":"article-journal","abstract":"The functionalization of three-dimensional (3D) covalent organic frameworks (COFs) is essential to broaden their applications. However, the introduction of organic groups with electroactive abilities into 3D COFs is still very limited. Herein we report the ﬁrst case of 3D tetrathiafulvalene-based COFs (3D-TTF-COFs) with non- or 2-fold interpenetrated pts topology and tunable electrochemical activity. The obtained COFs show high crystallinity, permanent porosity, and large speciﬁc surface area (up to 3000 m2/g). Furthermore, these TTF-based COFs are redox active to form organic salts that exhibit tunable electric conductivity (as high as 1.4 × 10−2 S cm−1 at 120 °C) by iodine doping. These results open a way toward designing 3D electroactive COF materials and promote their applications in molecular electronics and energy storage.","call-number":"1","container-title":"Journal of the American Chemical Society","DOI":"10.1021/jacs.9b06908","ISSN":"0002-7863, 1520-5126","issue":"34","journalAbbreviation":"J. Am. Chem. Soc.","language":"en","page":"13324-13329","source":"15","title":"Three-Dimensional Tetrathiafulvalene-Based Covalent Organic Frameworks for Tunable Electrical Conductivity","volume":"141","author":[{"family":"Li","given":"Hui"},{"family":"Chang","given":"Jianhong"},{"family":"Li","given":"Shanshan"},{"family":"Guan","given":"Xinyu"},{"family":"Li","given":"Daohao"},{"family":"Li","given":"Cuiyan"},{"family":"Tang","given":"Lingxue"},{"family":"Xue","given":"Ming"},{"family":"Yan","given":"Yushan"},{"family":"Valtchev","given":"Valentin"},{"family":"Qiu","given":"Shilun"},{"family":"Fang","given":"Qianrong"}],"issued":{"date-parts":[["2019",8,28]]}}}],"schema":"https://github.com/citation-style-language/schema/raw/master/csl-citation.json"} </w:instrText>
            </w:r>
            <w:r w:rsidRPr="000E57B2">
              <w:rPr>
                <w:sz w:val="18"/>
                <w:szCs w:val="18"/>
              </w:rPr>
              <w:fldChar w:fldCharType="end"/>
            </w:r>
          </w:p>
        </w:tc>
        <w:tc>
          <w:tcPr>
            <w:tcW w:w="576" w:type="dxa"/>
            <w:tcBorders>
              <w:top w:val="nil"/>
              <w:bottom w:val="single" w:sz="8" w:space="0" w:color="auto"/>
            </w:tcBorders>
            <w:vAlign w:val="center"/>
          </w:tcPr>
          <w:p w14:paraId="398740D2"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8.9</w:t>
            </w:r>
          </w:p>
        </w:tc>
        <w:tc>
          <w:tcPr>
            <w:tcW w:w="531" w:type="dxa"/>
            <w:tcBorders>
              <w:top w:val="nil"/>
              <w:bottom w:val="single" w:sz="8" w:space="0" w:color="auto"/>
            </w:tcBorders>
            <w:vAlign w:val="center"/>
          </w:tcPr>
          <w:p w14:paraId="14CE8F6F"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0.89</w:t>
            </w:r>
          </w:p>
        </w:tc>
        <w:tc>
          <w:tcPr>
            <w:tcW w:w="436" w:type="dxa"/>
            <w:tcBorders>
              <w:top w:val="nil"/>
              <w:bottom w:val="single" w:sz="8" w:space="0" w:color="auto"/>
            </w:tcBorders>
            <w:vAlign w:val="center"/>
          </w:tcPr>
          <w:p w14:paraId="53615251"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3D</w:t>
            </w:r>
          </w:p>
        </w:tc>
        <w:tc>
          <w:tcPr>
            <w:tcW w:w="873" w:type="dxa"/>
            <w:tcBorders>
              <w:top w:val="nil"/>
              <w:bottom w:val="single" w:sz="8" w:space="0" w:color="auto"/>
            </w:tcBorders>
            <w:vAlign w:val="center"/>
          </w:tcPr>
          <w:p w14:paraId="579FC1B8"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3.83×10</w:t>
            </w:r>
            <w:r w:rsidRPr="000E57B2">
              <w:rPr>
                <w:rFonts w:ascii="Times New Roman" w:hAnsi="Times New Roman" w:cs="Times New Roman"/>
                <w:sz w:val="18"/>
                <w:szCs w:val="18"/>
                <w:vertAlign w:val="superscript"/>
              </w:rPr>
              <w:t>5</w:t>
            </w:r>
          </w:p>
        </w:tc>
        <w:tc>
          <w:tcPr>
            <w:tcW w:w="915" w:type="dxa"/>
            <w:tcBorders>
              <w:top w:val="nil"/>
              <w:bottom w:val="single" w:sz="8" w:space="0" w:color="auto"/>
            </w:tcBorders>
            <w:vAlign w:val="center"/>
          </w:tcPr>
          <w:p w14:paraId="26D796F2"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3.12×10</w:t>
            </w:r>
            <w:r w:rsidRPr="000E57B2">
              <w:rPr>
                <w:rFonts w:ascii="Times New Roman" w:hAnsi="Times New Roman" w:cs="Times New Roman"/>
                <w:sz w:val="18"/>
                <w:szCs w:val="18"/>
                <w:vertAlign w:val="superscript"/>
              </w:rPr>
              <w:t>5</w:t>
            </w:r>
          </w:p>
        </w:tc>
        <w:tc>
          <w:tcPr>
            <w:tcW w:w="851" w:type="dxa"/>
            <w:tcBorders>
              <w:top w:val="nil"/>
              <w:bottom w:val="single" w:sz="8" w:space="0" w:color="auto"/>
            </w:tcBorders>
            <w:vAlign w:val="center"/>
          </w:tcPr>
          <w:p w14:paraId="37C6995B"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3.54</w:t>
            </w:r>
          </w:p>
        </w:tc>
        <w:tc>
          <w:tcPr>
            <w:tcW w:w="868" w:type="dxa"/>
            <w:tcBorders>
              <w:top w:val="nil"/>
              <w:bottom w:val="single" w:sz="8" w:space="0" w:color="auto"/>
            </w:tcBorders>
            <w:vAlign w:val="center"/>
          </w:tcPr>
          <w:p w14:paraId="58F610EC" w14:textId="77777777" w:rsidR="00E04225" w:rsidRPr="000E57B2" w:rsidRDefault="00E04225" w:rsidP="000E57B2">
            <w:pPr>
              <w:spacing w:line="264" w:lineRule="auto"/>
              <w:jc w:val="center"/>
              <w:rPr>
                <w:rFonts w:ascii="Times New Roman" w:hAnsi="Times New Roman" w:cs="Times New Roman"/>
                <w:sz w:val="18"/>
                <w:szCs w:val="18"/>
              </w:rPr>
            </w:pPr>
            <w:r w:rsidRPr="000E57B2">
              <w:rPr>
                <w:rFonts w:ascii="Times New Roman" w:hAnsi="Times New Roman" w:cs="Times New Roman"/>
                <w:sz w:val="18"/>
                <w:szCs w:val="18"/>
              </w:rPr>
              <w:t>2.90</w:t>
            </w:r>
          </w:p>
        </w:tc>
      </w:tr>
    </w:tbl>
    <w:p w14:paraId="03D671E9" w14:textId="00E88D3B" w:rsidR="00E41ABC" w:rsidRPr="00E41ABC" w:rsidRDefault="00E41ABC" w:rsidP="00E41ABC">
      <w:pPr>
        <w:pStyle w:val="Els-body-text"/>
        <w:spacing w:beforeLines="50" w:before="120"/>
        <w:rPr>
          <w:lang w:val="en-GB"/>
        </w:rPr>
      </w:pPr>
      <w:r w:rsidRPr="00560C3E">
        <w:rPr>
          <w:lang w:val="en-GB"/>
        </w:rPr>
        <w:t>To further enhance separation performance, we explored the potential of combining the top five COFs with six different polymers, resulting in the development of MMMs. This approach su</w:t>
      </w:r>
      <w:bookmarkStart w:id="11" w:name="_Hlk150788332"/>
      <w:r w:rsidRPr="00560C3E">
        <w:rPr>
          <w:lang w:val="en-GB"/>
        </w:rPr>
        <w:t>ccessfully boosted the permeability of the polymer membranes, without compromising their selectivity.</w:t>
      </w:r>
      <w:bookmarkEnd w:id="11"/>
    </w:p>
    <w:p w14:paraId="22FA2608" w14:textId="0EDB0834" w:rsidR="00A56899" w:rsidRDefault="00A56899" w:rsidP="00E41ABC">
      <w:pPr>
        <w:pStyle w:val="Els-1storder-head"/>
        <w:numPr>
          <w:ilvl w:val="0"/>
          <w:numId w:val="0"/>
        </w:numPr>
        <w:spacing w:before="120" w:after="120"/>
        <w:rPr>
          <w:lang w:val="en-GB"/>
        </w:rPr>
      </w:pPr>
      <w:r>
        <w:rPr>
          <w:lang w:val="en-GB"/>
        </w:rPr>
        <w:t>Conclusions</w:t>
      </w:r>
    </w:p>
    <w:p w14:paraId="5DDB4866" w14:textId="7EE075F6" w:rsidR="00C3647B" w:rsidRPr="00C3647B" w:rsidRDefault="00C3647B" w:rsidP="00C3647B">
      <w:pPr>
        <w:pStyle w:val="Els-body-text"/>
        <w:rPr>
          <w:lang w:val="en-GB"/>
        </w:rPr>
      </w:pPr>
      <w:r w:rsidRPr="00C3647B">
        <w:rPr>
          <w:lang w:val="en-GB"/>
        </w:rPr>
        <w:t>In t</w:t>
      </w:r>
      <w:r w:rsidR="00E41ABC">
        <w:rPr>
          <w:lang w:val="en-GB"/>
        </w:rPr>
        <w:t>his</w:t>
      </w:r>
      <w:r w:rsidRPr="00C3647B">
        <w:rPr>
          <w:lang w:val="en-GB"/>
        </w:rPr>
        <w:t xml:space="preserve"> work, the performance of COF-based </w:t>
      </w:r>
      <w:r w:rsidR="002A5D2C">
        <w:rPr>
          <w:lang w:val="en-GB"/>
        </w:rPr>
        <w:t>membranes</w:t>
      </w:r>
      <w:r w:rsidRPr="00C3647B">
        <w:rPr>
          <w:lang w:val="en-GB"/>
        </w:rPr>
        <w:t xml:space="preserve"> </w:t>
      </w:r>
      <w:r w:rsidRPr="001C6BA8">
        <w:rPr>
          <w:color w:val="000000" w:themeColor="text1"/>
        </w:rPr>
        <w:t>for acid gas separation</w:t>
      </w:r>
      <w:r w:rsidRPr="00C3647B">
        <w:rPr>
          <w:lang w:val="en-GB"/>
        </w:rPr>
        <w:t xml:space="preserve"> is systematically investigated. The workflow combining automated </w:t>
      </w:r>
      <w:r w:rsidR="00E41ABC">
        <w:rPr>
          <w:lang w:val="en-GB"/>
        </w:rPr>
        <w:t>ML and MS</w:t>
      </w:r>
      <w:r w:rsidRPr="00C3647B">
        <w:rPr>
          <w:lang w:val="en-GB"/>
        </w:rPr>
        <w:t xml:space="preserve"> shows well the exploration process of </w:t>
      </w:r>
      <w:r w:rsidR="001A3CE9" w:rsidRPr="00C3647B">
        <w:rPr>
          <w:lang w:val="en-GB"/>
        </w:rPr>
        <w:t>high-performance</w:t>
      </w:r>
      <w:r w:rsidRPr="00C3647B">
        <w:rPr>
          <w:lang w:val="en-GB"/>
        </w:rPr>
        <w:t xml:space="preserve"> COF materials. Interpretability helps to extract the necessary feature knowledge helping us to quickly explore the material space in the unknown chemical space. The method provides an integrated working idea for future experimental discovery and design of optimal COF</w:t>
      </w:r>
      <w:r w:rsidR="00E41ABC">
        <w:rPr>
          <w:lang w:val="en-GB"/>
        </w:rPr>
        <w:t>-based</w:t>
      </w:r>
      <w:r w:rsidRPr="00C3647B">
        <w:rPr>
          <w:lang w:val="en-GB"/>
        </w:rPr>
        <w:t xml:space="preserve"> membrane</w:t>
      </w:r>
      <w:r w:rsidR="00E41ABC">
        <w:rPr>
          <w:lang w:val="en-GB"/>
        </w:rPr>
        <w:t>s</w:t>
      </w:r>
      <w:r w:rsidRPr="00C3647B">
        <w:rPr>
          <w:lang w:val="en-GB"/>
        </w:rPr>
        <w:t>.</w:t>
      </w:r>
    </w:p>
    <w:p w14:paraId="144DE6BF" w14:textId="608D0AD6" w:rsidR="008D2649" w:rsidRDefault="008D2649" w:rsidP="00B61BA3">
      <w:pPr>
        <w:pStyle w:val="Els-reference-head"/>
        <w:spacing w:before="120" w:after="120"/>
      </w:pPr>
      <w:bookmarkStart w:id="12" w:name="_Hlk152769088"/>
      <w:r>
        <w:t>References</w:t>
      </w:r>
    </w:p>
    <w:bookmarkEnd w:id="12"/>
    <w:p w14:paraId="3D678450" w14:textId="77777777" w:rsidR="00121242" w:rsidRPr="00121242" w:rsidRDefault="00C33944" w:rsidP="00121242">
      <w:pPr>
        <w:pStyle w:val="Bibliografia"/>
        <w:jc w:val="both"/>
        <w:rPr>
          <w:sz w:val="18"/>
        </w:rPr>
      </w:pPr>
      <w:r>
        <w:rPr>
          <w:lang w:val="en-US"/>
        </w:rPr>
        <w:fldChar w:fldCharType="begin"/>
      </w:r>
      <w:r w:rsidR="00B61BA3" w:rsidRPr="00FA581D">
        <w:instrText xml:space="preserve"> ADDIN ZOTERO_BIBL {"uncited":[],"omitted":[],"custom":[]} CSL_BIBLIOGRAPHY </w:instrText>
      </w:r>
      <w:r>
        <w:rPr>
          <w:lang w:val="en-US"/>
        </w:rPr>
        <w:fldChar w:fldCharType="separate"/>
      </w:r>
      <w:r w:rsidR="00121242" w:rsidRPr="00FA581D">
        <w:rPr>
          <w:sz w:val="18"/>
        </w:rPr>
        <w:t xml:space="preserve">Cheng, M., Zhang, Z., Wang, S., Bi, K., Hu, K., Dai, Z., Dai, Y., Liu, C., Zhou, L., Ji, X., Shi, W., 2023. </w:t>
      </w:r>
      <w:r w:rsidR="00121242" w:rsidRPr="00121242">
        <w:rPr>
          <w:sz w:val="18"/>
        </w:rPr>
        <w:t>A large-scale screening of metal-organic frameworks for iodine capture combining molecular simulation and machine learning. Front. Environ. Sci. Eng. 17, 148.</w:t>
      </w:r>
    </w:p>
    <w:p w14:paraId="474BB7A5" w14:textId="77777777" w:rsidR="00121242" w:rsidRPr="00542CAB" w:rsidRDefault="00121242" w:rsidP="00121242">
      <w:pPr>
        <w:pStyle w:val="Bibliografia"/>
        <w:jc w:val="both"/>
        <w:rPr>
          <w:sz w:val="18"/>
          <w:lang w:val="it-IT"/>
        </w:rPr>
      </w:pPr>
      <w:r w:rsidRPr="00121242">
        <w:rPr>
          <w:sz w:val="18"/>
        </w:rPr>
        <w:t xml:space="preserve">Feng, M., Cheng, M., Deng, J., Ji, X., Zhou, L., Dang, Y., Bi, K., Dai, Z., Dai, Y., 2022. High-throughput computational screening of Covalent−Organic framework membranes for helium purification. </w:t>
      </w:r>
      <w:r w:rsidRPr="00542CAB">
        <w:rPr>
          <w:sz w:val="18"/>
          <w:lang w:val="it-IT"/>
        </w:rPr>
        <w:t>Results Eng. 15, 100538.</w:t>
      </w:r>
    </w:p>
    <w:p w14:paraId="3ED112D4" w14:textId="77777777" w:rsidR="00121242" w:rsidRPr="00121242" w:rsidRDefault="00121242" w:rsidP="00121242">
      <w:pPr>
        <w:pStyle w:val="Bibliografia"/>
        <w:jc w:val="both"/>
        <w:rPr>
          <w:sz w:val="18"/>
        </w:rPr>
      </w:pPr>
      <w:r w:rsidRPr="00542CAB">
        <w:rPr>
          <w:sz w:val="18"/>
          <w:lang w:val="it-IT"/>
        </w:rPr>
        <w:t xml:space="preserve">Li, H., Chang, J., Li, S., Guan, X., Li, D., Li, C., Tang, L., Xue, M., Yan, Y., Valtchev, V., Qiu, S., Fang, Q., 2019. </w:t>
      </w:r>
      <w:r w:rsidRPr="00121242">
        <w:rPr>
          <w:sz w:val="18"/>
        </w:rPr>
        <w:t>Three-Dimensional Tetrathiafulvalene-Based Covalent Organic Frameworks for Tunable Electrical Conductivity. J. Am. Chem. Soc. 141, 13324–13329.</w:t>
      </w:r>
    </w:p>
    <w:p w14:paraId="75CC1957" w14:textId="77777777" w:rsidR="00121242" w:rsidRPr="00121242" w:rsidRDefault="00121242" w:rsidP="00121242">
      <w:pPr>
        <w:pStyle w:val="Bibliografia"/>
        <w:jc w:val="both"/>
        <w:rPr>
          <w:sz w:val="18"/>
        </w:rPr>
      </w:pPr>
      <w:r w:rsidRPr="00121242">
        <w:rPr>
          <w:sz w:val="18"/>
        </w:rPr>
        <w:t>Mercado, R., Fu, R.-S., Yakutovich, A.V., Talirz, L., Haranczyk, M., Smit, B., 2018. In Silico Design of 2D and 3D Covalent Organic Frameworks for Methane Storage Applications. Chem. Mater. 30, 5069–5086.</w:t>
      </w:r>
    </w:p>
    <w:p w14:paraId="31F52601" w14:textId="77777777" w:rsidR="00121242" w:rsidRPr="00121242" w:rsidRDefault="00121242" w:rsidP="00121242">
      <w:pPr>
        <w:pStyle w:val="Bibliografia"/>
        <w:jc w:val="both"/>
        <w:rPr>
          <w:sz w:val="18"/>
        </w:rPr>
      </w:pPr>
      <w:r w:rsidRPr="00121242">
        <w:rPr>
          <w:sz w:val="18"/>
        </w:rPr>
        <w:t>Olson, R.S., Moore, J.H., 2019. TPOT: A Tree-Based Pipeline Optimization Tool for Automating Machine Learning, in: Hutter, F., Kotthoff, L., Vanschoren, J. (Eds.), Automated Machine Learning, The Springer Series on Challenges in Machine Learning. Springer International Publishing, Cham, pp. 151–160.</w:t>
      </w:r>
    </w:p>
    <w:p w14:paraId="24BFB088" w14:textId="77777777" w:rsidR="00121242" w:rsidRPr="00121242" w:rsidRDefault="00121242" w:rsidP="00121242">
      <w:pPr>
        <w:pStyle w:val="Bibliografia"/>
        <w:jc w:val="both"/>
        <w:rPr>
          <w:sz w:val="18"/>
        </w:rPr>
      </w:pPr>
      <w:r w:rsidRPr="00121242">
        <w:rPr>
          <w:sz w:val="18"/>
        </w:rPr>
        <w:t>Onder Aksu, G., Keskin, S., 2023. Advancing CH 4 /H 2 separation with covalent organic frameworks by combining molecular simulations and machine learning. J. Mater. Chem. A.</w:t>
      </w:r>
    </w:p>
    <w:p w14:paraId="68E425C6" w14:textId="77777777" w:rsidR="00121242" w:rsidRPr="00121242" w:rsidRDefault="00121242" w:rsidP="00121242">
      <w:pPr>
        <w:pStyle w:val="Bibliografia"/>
        <w:jc w:val="both"/>
        <w:rPr>
          <w:sz w:val="18"/>
        </w:rPr>
      </w:pPr>
      <w:r w:rsidRPr="00121242">
        <w:rPr>
          <w:sz w:val="18"/>
        </w:rPr>
        <w:lastRenderedPageBreak/>
        <w:t>Ongari, D., Yakutovich, A.V., Talirz, L., Smit, B., 2019. Building a Consistent and Reproducible Database for Adsorption Evaluation in Covalent–Organic Frameworks. ACS Cent. Sci. 5, 1663–1675.</w:t>
      </w:r>
    </w:p>
    <w:p w14:paraId="138A0B01" w14:textId="77777777" w:rsidR="00121242" w:rsidRPr="00121242" w:rsidRDefault="00121242" w:rsidP="00121242">
      <w:pPr>
        <w:pStyle w:val="Bibliografia"/>
        <w:jc w:val="both"/>
        <w:rPr>
          <w:sz w:val="18"/>
        </w:rPr>
      </w:pPr>
      <w:r w:rsidRPr="00121242">
        <w:rPr>
          <w:sz w:val="18"/>
        </w:rPr>
        <w:t>Yang, J., Tao, L., He, J., McCutcheon, J.R., Li, Y., 2022. Machine learning enables interpretable discovery of innovative polymers for gas separation membranes. Sci. Adv. 8, eabn9545.</w:t>
      </w:r>
    </w:p>
    <w:p w14:paraId="31D4D252" w14:textId="77777777" w:rsidR="00121242" w:rsidRPr="00121242" w:rsidRDefault="00121242" w:rsidP="00121242">
      <w:pPr>
        <w:pStyle w:val="Bibliografia"/>
        <w:jc w:val="both"/>
        <w:rPr>
          <w:sz w:val="18"/>
          <w:lang w:val="de-DE"/>
        </w:rPr>
      </w:pPr>
      <w:r w:rsidRPr="00121242">
        <w:rPr>
          <w:sz w:val="18"/>
        </w:rPr>
        <w:t xml:space="preserve">Ying, Y., Peh, S.B., Yang, H., Yang, Z., Zhao, D., 2022. Ultrathin Covalent Organic Framework Membranes via a Multi‐Interfacial Engineering Strategy for Gas Separation. </w:t>
      </w:r>
      <w:r w:rsidRPr="00121242">
        <w:rPr>
          <w:sz w:val="18"/>
          <w:lang w:val="de-DE"/>
        </w:rPr>
        <w:t>Adv. Mater. 34, 2104946.</w:t>
      </w:r>
    </w:p>
    <w:p w14:paraId="4C956D07" w14:textId="77777777" w:rsidR="00121242" w:rsidRPr="00121242" w:rsidRDefault="00121242" w:rsidP="00121242">
      <w:pPr>
        <w:pStyle w:val="Bibliografia"/>
        <w:jc w:val="both"/>
        <w:rPr>
          <w:sz w:val="18"/>
        </w:rPr>
      </w:pPr>
      <w:r w:rsidRPr="00121242">
        <w:rPr>
          <w:sz w:val="18"/>
          <w:lang w:val="de-DE"/>
        </w:rPr>
        <w:t xml:space="preserve">Yuan, S., Li, X., Zhu, J., Zhang, G., Van Puyvelde, P., Van Der Bruggen, B., 2019. </w:t>
      </w:r>
      <w:r w:rsidRPr="00121242">
        <w:rPr>
          <w:sz w:val="18"/>
        </w:rPr>
        <w:t>Covalent organic frameworks for membrane separation. Chem. Soc. Rev. 48, 2665–2681.</w:t>
      </w:r>
    </w:p>
    <w:p w14:paraId="144DE6C3" w14:textId="600EA61F" w:rsidR="008D2649" w:rsidRDefault="00C33944" w:rsidP="00121242">
      <w:pPr>
        <w:pStyle w:val="Bibliografia"/>
        <w:ind w:left="0" w:firstLine="0"/>
        <w:jc w:val="both"/>
        <w:rPr>
          <w:lang w:val="en-US"/>
        </w:rPr>
      </w:pPr>
      <w:r>
        <w:rPr>
          <w:lang w:val="en-US"/>
        </w:rPr>
        <w:fldChar w:fldCharType="end"/>
      </w:r>
    </w:p>
    <w:sectPr w:rsidR="008D2649" w:rsidSect="008B0184">
      <w:headerReference w:type="even" r:id="rId15"/>
      <w:headerReference w:type="default" r:id="rId16"/>
      <w:headerReference w:type="first" r:id="rId17"/>
      <w:type w:val="continuous"/>
      <w:pgSz w:w="11906" w:h="16838" w:code="9"/>
      <w:pgMar w:top="2377" w:right="2410" w:bottom="2892" w:left="2410" w:header="1701" w:footer="2892" w:gutter="0"/>
      <w:cols w:space="720" w:equalWidth="0">
        <w:col w:w="7087"/>
      </w:cols>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6E9D1D" w14:textId="77777777" w:rsidR="00424C25" w:rsidRDefault="00424C25">
      <w:r>
        <w:separator/>
      </w:r>
    </w:p>
  </w:endnote>
  <w:endnote w:type="continuationSeparator" w:id="0">
    <w:p w14:paraId="3D0C920B" w14:textId="77777777" w:rsidR="00424C25" w:rsidRDefault="00424C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Univers">
    <w:altName w:val="Arial"/>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65B2A5" w14:textId="77777777" w:rsidR="00424C25" w:rsidRDefault="00424C25">
      <w:r>
        <w:separator/>
      </w:r>
    </w:p>
  </w:footnote>
  <w:footnote w:type="continuationSeparator" w:id="0">
    <w:p w14:paraId="1F5E56E1" w14:textId="77777777" w:rsidR="00424C25" w:rsidRDefault="00424C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4DE6C9" w14:textId="08532573" w:rsidR="00DD3D9E" w:rsidRDefault="00DD3D9E">
    <w:pPr>
      <w:pStyle w:val="Intestazione"/>
      <w:tabs>
        <w:tab w:val="clear" w:pos="7200"/>
        <w:tab w:val="right" w:pos="7088"/>
      </w:tabs>
    </w:pPr>
    <w:r>
      <w:rPr>
        <w:rStyle w:val="Numeropagina"/>
      </w:rPr>
      <w:tab/>
    </w:r>
    <w:r>
      <w:rPr>
        <w:rStyle w:val="Numeropagina"/>
        <w:i/>
      </w:rPr>
      <w:tab/>
    </w:r>
    <w:r w:rsidR="00D23431">
      <w:rPr>
        <w:rStyle w:val="Numeropagina"/>
        <w:i/>
      </w:rPr>
      <w:t>B</w:t>
    </w:r>
    <w:r w:rsidR="00D23431">
      <w:rPr>
        <w:rStyle w:val="Numeropagina"/>
        <w:rFonts w:hint="eastAsia"/>
        <w:i/>
        <w:lang w:eastAsia="zh-CN"/>
      </w:rPr>
      <w:t>.</w:t>
    </w:r>
    <w:r w:rsidR="00D23431">
      <w:rPr>
        <w:rStyle w:val="Numeropagina"/>
        <w:i/>
      </w:rPr>
      <w:t xml:space="preserve"> X</w:t>
    </w:r>
    <w:r w:rsidR="00D23431">
      <w:rPr>
        <w:rStyle w:val="Numeropagina"/>
        <w:rFonts w:hint="eastAsia"/>
        <w:i/>
        <w:lang w:eastAsia="zh-CN"/>
      </w:rPr>
      <w:t>in</w:t>
    </w:r>
    <w:r w:rsidR="00D23431">
      <w:rPr>
        <w:rStyle w:val="Numeropagina"/>
        <w:i/>
        <w:lang w:eastAsia="zh-CN"/>
      </w:rPr>
      <w:t xml:space="preserve"> et 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4DE6CA" w14:textId="3F6249D8" w:rsidR="00DD3D9E" w:rsidRDefault="00D23431" w:rsidP="00D23431">
    <w:pPr>
      <w:pStyle w:val="Intestazione"/>
      <w:tabs>
        <w:tab w:val="clear" w:pos="7200"/>
        <w:tab w:val="right" w:pos="7088"/>
      </w:tabs>
      <w:ind w:right="800"/>
      <w:rPr>
        <w:sz w:val="24"/>
      </w:rPr>
    </w:pPr>
    <w:r w:rsidRPr="00D23431">
      <w:rPr>
        <w:i/>
      </w:rPr>
      <w:t xml:space="preserve">Combining automated machine learning and molecular simulation to advance the discovery of </w:t>
    </w:r>
    <w:r>
      <w:rPr>
        <w:i/>
      </w:rPr>
      <w:t>COF-based</w:t>
    </w:r>
    <w:r w:rsidRPr="00D23431">
      <w:rPr>
        <w:i/>
      </w:rPr>
      <w:t xml:space="preserve"> membrane</w:t>
    </w:r>
    <w:r w:rsidR="00AF0FD3">
      <w:rPr>
        <w:i/>
      </w:rPr>
      <w:t>s</w:t>
    </w:r>
    <w:r w:rsidRPr="00D23431">
      <w:rPr>
        <w:i/>
      </w:rPr>
      <w:t xml:space="preserve"> for acid gas separatio</w:t>
    </w:r>
    <w:r>
      <w:rPr>
        <w:i/>
      </w:rPr>
      <w:t>n.</w:t>
    </w:r>
    <w:r w:rsidR="00DD3D9E">
      <w:rPr>
        <w:rStyle w:val="Numeropagina"/>
        <w:i/>
        <w:sz w:val="24"/>
      </w:rPr>
      <w:tab/>
    </w:r>
    <w:r w:rsidR="00DD3D9E">
      <w:rPr>
        <w:rStyle w:val="Numeropagina"/>
        <w:sz w:val="24"/>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4DE6CB" w14:textId="77777777" w:rsidR="00F06842" w:rsidRPr="003B50B5" w:rsidRDefault="00F06842" w:rsidP="00F06842">
    <w:pPr>
      <w:pStyle w:val="ElsevierBodyTextCentredNospace"/>
      <w:jc w:val="left"/>
      <w:rPr>
        <w:noProof/>
        <w:sz w:val="18"/>
        <w:szCs w:val="18"/>
      </w:rPr>
    </w:pPr>
    <w:r w:rsidRPr="0068162C">
      <w:rPr>
        <w:color w:val="auto"/>
        <w:sz w:val="18"/>
        <w:szCs w:val="18"/>
      </w:rPr>
      <w:t>Flavio Manenti, Gintaras V. Reklaitis (Eds.),</w:t>
    </w:r>
    <w:r>
      <w:rPr>
        <w:color w:val="auto"/>
      </w:rPr>
      <w:t xml:space="preserve"> </w:t>
    </w:r>
    <w:r w:rsidRPr="003B50B5">
      <w:rPr>
        <w:noProof/>
        <w:sz w:val="18"/>
        <w:szCs w:val="18"/>
      </w:rPr>
      <w:t xml:space="preserve">Proceedings </w:t>
    </w:r>
    <w:r>
      <w:rPr>
        <w:noProof/>
        <w:sz w:val="18"/>
        <w:szCs w:val="18"/>
      </w:rPr>
      <w:t>o</w:t>
    </w:r>
    <w:r w:rsidRPr="003B50B5">
      <w:rPr>
        <w:noProof/>
        <w:sz w:val="18"/>
        <w:szCs w:val="18"/>
      </w:rPr>
      <w:t xml:space="preserve">f </w:t>
    </w:r>
    <w:r w:rsidRPr="00F06842">
      <w:rPr>
        <w:noProof/>
        <w:sz w:val="18"/>
        <w:szCs w:val="18"/>
      </w:rPr>
      <w:t xml:space="preserve">the </w:t>
    </w:r>
    <w:r w:rsidRPr="00F06842">
      <w:rPr>
        <w:rStyle w:val="underline1"/>
        <w:sz w:val="18"/>
        <w:szCs w:val="18"/>
        <w:u w:val="none"/>
      </w:rPr>
      <w:t>34</w:t>
    </w:r>
    <w:r w:rsidRPr="00F06842">
      <w:rPr>
        <w:rStyle w:val="underline1"/>
        <w:sz w:val="18"/>
        <w:szCs w:val="18"/>
        <w:u w:val="none"/>
        <w:vertAlign w:val="superscript"/>
      </w:rPr>
      <w:t>th</w:t>
    </w:r>
    <w:r w:rsidRPr="00F06842">
      <w:rPr>
        <w:rStyle w:val="underline1"/>
        <w:sz w:val="18"/>
        <w:szCs w:val="18"/>
        <w:u w:val="none"/>
      </w:rPr>
      <w:t xml:space="preserve"> European Symposium on Computer Aided Process Engineering / 15</w:t>
    </w:r>
    <w:r w:rsidRPr="00F06842">
      <w:rPr>
        <w:rStyle w:val="underline1"/>
        <w:sz w:val="18"/>
        <w:szCs w:val="18"/>
        <w:u w:val="none"/>
        <w:vertAlign w:val="superscript"/>
      </w:rPr>
      <w:t>th</w:t>
    </w:r>
    <w:r w:rsidRPr="00F06842">
      <w:rPr>
        <w:rStyle w:val="underline1"/>
        <w:sz w:val="18"/>
        <w:szCs w:val="18"/>
        <w:u w:val="none"/>
      </w:rPr>
      <w:t xml:space="preserve"> International Symposium on Process Systems Engineerin</w:t>
    </w:r>
    <w:r w:rsidRPr="003B50B5">
      <w:rPr>
        <w:rStyle w:val="underline1"/>
        <w:sz w:val="18"/>
        <w:szCs w:val="18"/>
      </w:rPr>
      <w:t>g</w:t>
    </w:r>
    <w:r w:rsidRPr="003B50B5">
      <w:rPr>
        <w:noProof/>
        <w:sz w:val="18"/>
        <w:szCs w:val="18"/>
      </w:rPr>
      <w:t xml:space="preserve"> (ESCAPE34/PSE</w:t>
    </w:r>
    <w:r>
      <w:rPr>
        <w:noProof/>
        <w:sz w:val="18"/>
        <w:szCs w:val="18"/>
      </w:rPr>
      <w:t>24</w:t>
    </w:r>
    <w:r w:rsidRPr="003B50B5">
      <w:rPr>
        <w:noProof/>
        <w:sz w:val="18"/>
        <w:szCs w:val="18"/>
      </w:rPr>
      <w:t xml:space="preserve">), June </w:t>
    </w:r>
    <w:r>
      <w:rPr>
        <w:noProof/>
        <w:sz w:val="18"/>
        <w:szCs w:val="18"/>
      </w:rPr>
      <w:t>2-6</w:t>
    </w:r>
    <w:r w:rsidRPr="003B50B5">
      <w:rPr>
        <w:noProof/>
        <w:sz w:val="18"/>
        <w:szCs w:val="18"/>
      </w:rPr>
      <w:t>, 2024,</w:t>
    </w:r>
    <w:r w:rsidRPr="003B50B5">
      <w:rPr>
        <w:sz w:val="18"/>
        <w:szCs w:val="18"/>
      </w:rPr>
      <w:t xml:space="preserve"> Florence</w:t>
    </w:r>
    <w:r w:rsidRPr="003B50B5">
      <w:rPr>
        <w:noProof/>
        <w:sz w:val="18"/>
        <w:szCs w:val="18"/>
      </w:rPr>
      <w:t>, Italy</w:t>
    </w:r>
  </w:p>
  <w:p w14:paraId="144DE6CC" w14:textId="77777777" w:rsidR="00DD3D9E" w:rsidRDefault="00F06842" w:rsidP="00F06842">
    <w:pPr>
      <w:tabs>
        <w:tab w:val="right" w:pos="7086"/>
      </w:tabs>
    </w:pPr>
    <w:r w:rsidRPr="001E6A29">
      <w:rPr>
        <w:sz w:val="18"/>
        <w:szCs w:val="18"/>
      </w:rPr>
      <w:t>© 202</w:t>
    </w:r>
    <w:r>
      <w:rPr>
        <w:sz w:val="18"/>
        <w:szCs w:val="18"/>
      </w:rPr>
      <w:t>4</w:t>
    </w:r>
    <w:r w:rsidRPr="001E6A29">
      <w:rPr>
        <w:sz w:val="18"/>
        <w:szCs w:val="18"/>
      </w:rPr>
      <w:t xml:space="preserve"> Elsevier B.V. All rights reserved.</w:t>
    </w:r>
    <w:r w:rsidR="00DD3D9E">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B178C"/>
    <w:multiLevelType w:val="multilevel"/>
    <w:tmpl w:val="A2DC3ADE"/>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 w15:restartNumberingAfterBreak="0">
    <w:nsid w:val="1A2E0393"/>
    <w:multiLevelType w:val="multilevel"/>
    <w:tmpl w:val="77CA1008"/>
    <w:lvl w:ilvl="0">
      <w:start w:val="1"/>
      <w:numFmt w:val="bulle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2" w15:restartNumberingAfterBreak="0">
    <w:nsid w:val="1D0C7A89"/>
    <w:multiLevelType w:val="singleLevel"/>
    <w:tmpl w:val="3814B02C"/>
    <w:lvl w:ilvl="0">
      <w:start w:val="1"/>
      <w:numFmt w:val="decimal"/>
      <w:lvlText w:val="[%1]"/>
      <w:lvlJc w:val="left"/>
      <w:pPr>
        <w:tabs>
          <w:tab w:val="num" w:pos="360"/>
        </w:tabs>
        <w:ind w:left="312" w:hanging="312"/>
      </w:pPr>
    </w:lvl>
  </w:abstractNum>
  <w:abstractNum w:abstractNumId="3" w15:restartNumberingAfterBreak="0">
    <w:nsid w:val="241C6CF0"/>
    <w:multiLevelType w:val="multilevel"/>
    <w:tmpl w:val="F490D9D6"/>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4" w15:restartNumberingAfterBreak="0">
    <w:nsid w:val="2438217E"/>
    <w:multiLevelType w:val="multilevel"/>
    <w:tmpl w:val="B3242232"/>
    <w:lvl w:ilvl="0">
      <w:start w:val="1"/>
      <w:numFmt w:val="decimal"/>
      <w:pStyle w:val="Els-Chapterno"/>
      <w:suff w:val="space"/>
      <w:lvlText w:val="Chapter %1"/>
      <w:lvlJc w:val="left"/>
      <w:pPr>
        <w:ind w:left="0" w:firstLine="0"/>
      </w:pPr>
      <w:rPr>
        <w:rFonts w:hint="default"/>
      </w:rPr>
    </w:lvl>
    <w:lvl w:ilvl="1">
      <w:start w:val="1"/>
      <w:numFmt w:val="decimal"/>
      <w:pStyle w:val="Els-1storder-head"/>
      <w:suff w:val="space"/>
      <w:lvlText w:val="%2."/>
      <w:lvlJc w:val="left"/>
      <w:pPr>
        <w:ind w:left="0" w:firstLine="0"/>
      </w:pPr>
      <w:rPr>
        <w:rFonts w:hint="default"/>
      </w:rPr>
    </w:lvl>
    <w:lvl w:ilvl="2">
      <w:start w:val="1"/>
      <w:numFmt w:val="decimal"/>
      <w:pStyle w:val="Els-2ndorder-head"/>
      <w:suff w:val="space"/>
      <w:lvlText w:val="%2.%3."/>
      <w:lvlJc w:val="left"/>
      <w:pPr>
        <w:ind w:left="141" w:firstLine="0"/>
      </w:pPr>
      <w:rPr>
        <w:rFonts w:hint="default"/>
      </w:rPr>
    </w:lvl>
    <w:lvl w:ilvl="3">
      <w:start w:val="1"/>
      <w:numFmt w:val="decimal"/>
      <w:pStyle w:val="Els-3rdorder-head"/>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5" w15:restartNumberingAfterBreak="0">
    <w:nsid w:val="25486B6C"/>
    <w:multiLevelType w:val="singleLevel"/>
    <w:tmpl w:val="FE1C3F06"/>
    <w:lvl w:ilvl="0">
      <w:start w:val="1"/>
      <w:numFmt w:val="decimal"/>
      <w:lvlText w:val="[%1]"/>
      <w:lvlJc w:val="left"/>
      <w:pPr>
        <w:tabs>
          <w:tab w:val="num" w:pos="360"/>
        </w:tabs>
        <w:ind w:left="312" w:hanging="312"/>
      </w:pPr>
    </w:lvl>
  </w:abstractNum>
  <w:abstractNum w:abstractNumId="6" w15:restartNumberingAfterBreak="0">
    <w:nsid w:val="29322B9F"/>
    <w:multiLevelType w:val="multilevel"/>
    <w:tmpl w:val="C5F4A82C"/>
    <w:lvl w:ilvl="0">
      <w:start w:val="1"/>
      <w:numFmt w:val="upperLetter"/>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7" w15:restartNumberingAfterBreak="0">
    <w:nsid w:val="2AB1025D"/>
    <w:multiLevelType w:val="hybridMultilevel"/>
    <w:tmpl w:val="3DD8E7C4"/>
    <w:lvl w:ilvl="0" w:tplc="0BECA5BC">
      <w:start w:val="1"/>
      <w:numFmt w:val="decimal"/>
      <w:pStyle w:val="Els-reference"/>
      <w:lvlText w:val="%1."/>
      <w:lvlJc w:val="right"/>
      <w:pPr>
        <w:tabs>
          <w:tab w:val="num" w:pos="480"/>
        </w:tabs>
        <w:ind w:left="480" w:hanging="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4E652E1E"/>
    <w:multiLevelType w:val="hybridMultilevel"/>
    <w:tmpl w:val="6F0EF366"/>
    <w:lvl w:ilvl="0" w:tplc="FF16902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50AA62CA"/>
    <w:multiLevelType w:val="hybridMultilevel"/>
    <w:tmpl w:val="AB36EAAA"/>
    <w:lvl w:ilvl="0" w:tplc="A0824566">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27E7170"/>
    <w:multiLevelType w:val="multilevel"/>
    <w:tmpl w:val="596AD3C4"/>
    <w:lvl w:ilvl="0">
      <w:start w:val="1"/>
      <w:numFmt w:val="decimal"/>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11"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5E827A20"/>
    <w:multiLevelType w:val="multilevel"/>
    <w:tmpl w:val="3170006C"/>
    <w:lvl w:ilvl="0">
      <w:start w:val="1"/>
      <w:numFmt w:val="upperLetter"/>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3" w15:restartNumberingAfterBreak="0">
    <w:nsid w:val="70535D76"/>
    <w:multiLevelType w:val="multilevel"/>
    <w:tmpl w:val="D480ADB0"/>
    <w:lvl w:ilvl="0">
      <w:start w:val="1"/>
      <w:numFmt w:val="bulle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hint="default"/>
      </w:rPr>
    </w:lvl>
    <w:lvl w:ilvl="4">
      <w:start w:val="1"/>
      <w:numFmt w:val="none"/>
      <w:lvlText w:val=""/>
      <w:lvlJc w:val="left"/>
      <w:pPr>
        <w:tabs>
          <w:tab w:val="num" w:pos="1320"/>
        </w:tabs>
        <w:ind w:left="1200" w:hanging="240"/>
      </w:pPr>
      <w:rPr>
        <w:rFonts w:hint="default"/>
      </w:rPr>
    </w:lvl>
    <w:lvl w:ilvl="5">
      <w:start w:val="1"/>
      <w:numFmt w:val="none"/>
      <w:lvlText w:val=""/>
      <w:lvlJc w:val="left"/>
      <w:pPr>
        <w:tabs>
          <w:tab w:val="num" w:pos="1560"/>
        </w:tabs>
        <w:ind w:left="1440" w:hanging="240"/>
      </w:pPr>
      <w:rPr>
        <w:rFonts w:hint="default"/>
      </w:rPr>
    </w:lvl>
    <w:lvl w:ilvl="6">
      <w:start w:val="1"/>
      <w:numFmt w:val="none"/>
      <w:lvlText w:val=""/>
      <w:lvlJc w:val="left"/>
      <w:pPr>
        <w:tabs>
          <w:tab w:val="num" w:pos="1800"/>
        </w:tabs>
        <w:ind w:left="1680" w:hanging="240"/>
      </w:pPr>
      <w:rPr>
        <w:rFonts w:hint="default"/>
      </w:rPr>
    </w:lvl>
    <w:lvl w:ilvl="7">
      <w:start w:val="1"/>
      <w:numFmt w:val="none"/>
      <w:lvlText w:val=""/>
      <w:lvlJc w:val="left"/>
      <w:pPr>
        <w:tabs>
          <w:tab w:val="num" w:pos="2040"/>
        </w:tabs>
        <w:ind w:left="1920" w:hanging="240"/>
      </w:pPr>
      <w:rPr>
        <w:rFonts w:hint="default"/>
      </w:rPr>
    </w:lvl>
    <w:lvl w:ilvl="8">
      <w:start w:val="1"/>
      <w:numFmt w:val="none"/>
      <w:lvlText w:val=""/>
      <w:lvlJc w:val="left"/>
      <w:pPr>
        <w:tabs>
          <w:tab w:val="num" w:pos="2280"/>
        </w:tabs>
        <w:ind w:left="2160" w:hanging="240"/>
      </w:pPr>
      <w:rPr>
        <w:rFonts w:hint="default"/>
      </w:rPr>
    </w:lvl>
  </w:abstractNum>
  <w:abstractNum w:abstractNumId="14" w15:restartNumberingAfterBreak="0">
    <w:nsid w:val="752849CB"/>
    <w:multiLevelType w:val="singleLevel"/>
    <w:tmpl w:val="08090001"/>
    <w:lvl w:ilvl="0">
      <w:start w:val="1"/>
      <w:numFmt w:val="bullet"/>
      <w:lvlText w:val=""/>
      <w:lvlJc w:val="left"/>
      <w:pPr>
        <w:tabs>
          <w:tab w:val="num" w:pos="360"/>
        </w:tabs>
        <w:ind w:left="360" w:hanging="360"/>
      </w:pPr>
      <w:rPr>
        <w:rFonts w:ascii="Symbol" w:hAnsi="Symbol" w:hint="default"/>
      </w:rPr>
    </w:lvl>
  </w:abstractNum>
  <w:num w:numId="1">
    <w:abstractNumId w:val="11"/>
  </w:num>
  <w:num w:numId="2">
    <w:abstractNumId w:val="11"/>
  </w:num>
  <w:num w:numId="3">
    <w:abstractNumId w:val="11"/>
  </w:num>
  <w:num w:numId="4">
    <w:abstractNumId w:val="11"/>
  </w:num>
  <w:num w:numId="5">
    <w:abstractNumId w:val="0"/>
  </w:num>
  <w:num w:numId="6">
    <w:abstractNumId w:val="6"/>
  </w:num>
  <w:num w:numId="7">
    <w:abstractNumId w:val="12"/>
  </w:num>
  <w:num w:numId="8">
    <w:abstractNumId w:val="1"/>
  </w:num>
  <w:num w:numId="9">
    <w:abstractNumId w:val="10"/>
  </w:num>
  <w:num w:numId="10">
    <w:abstractNumId w:val="14"/>
  </w:num>
  <w:num w:numId="11">
    <w:abstractNumId w:val="13"/>
  </w:num>
  <w:num w:numId="12">
    <w:abstractNumId w:val="5"/>
  </w:num>
  <w:num w:numId="13">
    <w:abstractNumId w:val="8"/>
  </w:num>
  <w:num w:numId="14">
    <w:abstractNumId w:val="2"/>
  </w:num>
  <w:num w:numId="15">
    <w:abstractNumId w:val="7"/>
  </w:num>
  <w:num w:numId="16">
    <w:abstractNumId w:val="3"/>
  </w:num>
  <w:num w:numId="17">
    <w:abstractNumId w:val="4"/>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283"/>
  <w:evenAndOddHeaders/>
  <w:drawingGridHorizontalSpacing w:val="100"/>
  <w:drawingGridVerticalSpacing w:val="136"/>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237"/>
    <w:rsid w:val="00045B28"/>
    <w:rsid w:val="00075789"/>
    <w:rsid w:val="000D3D9B"/>
    <w:rsid w:val="000E57B2"/>
    <w:rsid w:val="00104531"/>
    <w:rsid w:val="00121242"/>
    <w:rsid w:val="001318AE"/>
    <w:rsid w:val="00152318"/>
    <w:rsid w:val="0016032F"/>
    <w:rsid w:val="00162146"/>
    <w:rsid w:val="00177963"/>
    <w:rsid w:val="001879F6"/>
    <w:rsid w:val="00195EA5"/>
    <w:rsid w:val="001A3CE9"/>
    <w:rsid w:val="001C0148"/>
    <w:rsid w:val="001C6BA8"/>
    <w:rsid w:val="001C757E"/>
    <w:rsid w:val="001D7925"/>
    <w:rsid w:val="001F395C"/>
    <w:rsid w:val="001F70BC"/>
    <w:rsid w:val="0020390F"/>
    <w:rsid w:val="00206EAA"/>
    <w:rsid w:val="002263E8"/>
    <w:rsid w:val="00253070"/>
    <w:rsid w:val="002576FB"/>
    <w:rsid w:val="00264926"/>
    <w:rsid w:val="002A5D2C"/>
    <w:rsid w:val="002C0478"/>
    <w:rsid w:val="002D4EE3"/>
    <w:rsid w:val="00326398"/>
    <w:rsid w:val="003335D4"/>
    <w:rsid w:val="00371088"/>
    <w:rsid w:val="00387D39"/>
    <w:rsid w:val="003D1582"/>
    <w:rsid w:val="003D7E4C"/>
    <w:rsid w:val="003E41C2"/>
    <w:rsid w:val="00421BC5"/>
    <w:rsid w:val="00424C25"/>
    <w:rsid w:val="00462B83"/>
    <w:rsid w:val="004718E0"/>
    <w:rsid w:val="0049772C"/>
    <w:rsid w:val="004C357F"/>
    <w:rsid w:val="004F5B2A"/>
    <w:rsid w:val="005030B0"/>
    <w:rsid w:val="00542CAB"/>
    <w:rsid w:val="00552EEB"/>
    <w:rsid w:val="00557019"/>
    <w:rsid w:val="00560C3E"/>
    <w:rsid w:val="005877A3"/>
    <w:rsid w:val="005E1BD5"/>
    <w:rsid w:val="005F34BF"/>
    <w:rsid w:val="0066775C"/>
    <w:rsid w:val="00673F38"/>
    <w:rsid w:val="00694CE3"/>
    <w:rsid w:val="006A1A9F"/>
    <w:rsid w:val="006A69BF"/>
    <w:rsid w:val="006C301D"/>
    <w:rsid w:val="006E1AB6"/>
    <w:rsid w:val="006F0078"/>
    <w:rsid w:val="006F0C44"/>
    <w:rsid w:val="00705020"/>
    <w:rsid w:val="00711DF4"/>
    <w:rsid w:val="00713E3B"/>
    <w:rsid w:val="00741906"/>
    <w:rsid w:val="007748CA"/>
    <w:rsid w:val="007876AC"/>
    <w:rsid w:val="0079404E"/>
    <w:rsid w:val="007D70A1"/>
    <w:rsid w:val="007E032D"/>
    <w:rsid w:val="007E135F"/>
    <w:rsid w:val="00807CC9"/>
    <w:rsid w:val="008109C3"/>
    <w:rsid w:val="008132E8"/>
    <w:rsid w:val="00816E41"/>
    <w:rsid w:val="00823407"/>
    <w:rsid w:val="0085305E"/>
    <w:rsid w:val="008870D7"/>
    <w:rsid w:val="008B0184"/>
    <w:rsid w:val="008B03B9"/>
    <w:rsid w:val="008B2EEC"/>
    <w:rsid w:val="008B466E"/>
    <w:rsid w:val="008C5D02"/>
    <w:rsid w:val="008D2649"/>
    <w:rsid w:val="0090568D"/>
    <w:rsid w:val="009125C9"/>
    <w:rsid w:val="00913879"/>
    <w:rsid w:val="009161E6"/>
    <w:rsid w:val="00917661"/>
    <w:rsid w:val="00961A47"/>
    <w:rsid w:val="00961ADA"/>
    <w:rsid w:val="00970E5D"/>
    <w:rsid w:val="0097701C"/>
    <w:rsid w:val="00980A65"/>
    <w:rsid w:val="009A3E87"/>
    <w:rsid w:val="009B0866"/>
    <w:rsid w:val="009B45E5"/>
    <w:rsid w:val="009D259F"/>
    <w:rsid w:val="00A25E70"/>
    <w:rsid w:val="00A33765"/>
    <w:rsid w:val="00A36E15"/>
    <w:rsid w:val="00A550BB"/>
    <w:rsid w:val="00A56899"/>
    <w:rsid w:val="00A63269"/>
    <w:rsid w:val="00A92377"/>
    <w:rsid w:val="00A97872"/>
    <w:rsid w:val="00AA4AC8"/>
    <w:rsid w:val="00AB29ED"/>
    <w:rsid w:val="00AD4346"/>
    <w:rsid w:val="00AE1880"/>
    <w:rsid w:val="00AE4BD8"/>
    <w:rsid w:val="00AF0FD3"/>
    <w:rsid w:val="00AF10A1"/>
    <w:rsid w:val="00B061A4"/>
    <w:rsid w:val="00B4388F"/>
    <w:rsid w:val="00B5060A"/>
    <w:rsid w:val="00B61BA3"/>
    <w:rsid w:val="00B63237"/>
    <w:rsid w:val="00B75446"/>
    <w:rsid w:val="00BA5D53"/>
    <w:rsid w:val="00BB3754"/>
    <w:rsid w:val="00BD2120"/>
    <w:rsid w:val="00C173C8"/>
    <w:rsid w:val="00C33944"/>
    <w:rsid w:val="00C3647B"/>
    <w:rsid w:val="00C72921"/>
    <w:rsid w:val="00C869F1"/>
    <w:rsid w:val="00C960DC"/>
    <w:rsid w:val="00CE056A"/>
    <w:rsid w:val="00CE08A6"/>
    <w:rsid w:val="00CF725B"/>
    <w:rsid w:val="00D02C75"/>
    <w:rsid w:val="00D0384D"/>
    <w:rsid w:val="00D10E22"/>
    <w:rsid w:val="00D13D2C"/>
    <w:rsid w:val="00D2266C"/>
    <w:rsid w:val="00D23431"/>
    <w:rsid w:val="00D47D45"/>
    <w:rsid w:val="00D72441"/>
    <w:rsid w:val="00D733DC"/>
    <w:rsid w:val="00D826F6"/>
    <w:rsid w:val="00D96B26"/>
    <w:rsid w:val="00DB294F"/>
    <w:rsid w:val="00DB2CD6"/>
    <w:rsid w:val="00DC2F94"/>
    <w:rsid w:val="00DD3D9E"/>
    <w:rsid w:val="00DD7908"/>
    <w:rsid w:val="00DF2A3E"/>
    <w:rsid w:val="00E04225"/>
    <w:rsid w:val="00E0542B"/>
    <w:rsid w:val="00E20FE1"/>
    <w:rsid w:val="00E41ABC"/>
    <w:rsid w:val="00E62ACC"/>
    <w:rsid w:val="00E63695"/>
    <w:rsid w:val="00E66983"/>
    <w:rsid w:val="00E82297"/>
    <w:rsid w:val="00EC2AE8"/>
    <w:rsid w:val="00EF39FD"/>
    <w:rsid w:val="00F06842"/>
    <w:rsid w:val="00F107FD"/>
    <w:rsid w:val="00F16637"/>
    <w:rsid w:val="00F40206"/>
    <w:rsid w:val="00F61C71"/>
    <w:rsid w:val="00F87A6F"/>
    <w:rsid w:val="00F93954"/>
    <w:rsid w:val="00F96810"/>
    <w:rsid w:val="00FA1295"/>
    <w:rsid w:val="00FA581D"/>
    <w:rsid w:val="00FB64A8"/>
    <w:rsid w:val="00FC25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44DE67F"/>
  <w14:defaultImageDpi w14:val="32767"/>
  <w15:docId w15:val="{B89D3AFA-8814-4AAB-A339-741809258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e">
    <w:name w:val="Normal"/>
    <w:qFormat/>
    <w:rsid w:val="008B0184"/>
    <w:rPr>
      <w:lang w:eastAsia="en-US"/>
    </w:rPr>
  </w:style>
  <w:style w:type="paragraph" w:styleId="Titolo3">
    <w:name w:val="heading 3"/>
    <w:basedOn w:val="Normale"/>
    <w:next w:val="Normale"/>
    <w:qFormat/>
    <w:rsid w:val="008B0184"/>
    <w:pPr>
      <w:keepNext/>
      <w:spacing w:before="240" w:after="60"/>
      <w:outlineLvl w:val="2"/>
    </w:pPr>
    <w:rPr>
      <w:rFonts w:ascii="Arial" w:hAnsi="Arial" w:cs="Arial"/>
      <w:b/>
      <w:bCs/>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Didascalia">
    <w:name w:val="caption"/>
    <w:basedOn w:val="Els-caption"/>
    <w:next w:val="Els-caption"/>
    <w:qFormat/>
    <w:rsid w:val="008B0184"/>
  </w:style>
  <w:style w:type="paragraph" w:customStyle="1" w:styleId="Els-caption">
    <w:name w:val="Els-caption"/>
    <w:rsid w:val="008B0184"/>
    <w:pPr>
      <w:keepLines/>
      <w:spacing w:before="100" w:after="120"/>
    </w:pPr>
    <w:rPr>
      <w:sz w:val="18"/>
      <w:lang w:val="en-US" w:eastAsia="en-US"/>
    </w:rPr>
  </w:style>
  <w:style w:type="paragraph" w:customStyle="1" w:styleId="Els-1storder-head">
    <w:name w:val="Els-1storder-head"/>
    <w:basedOn w:val="Els-body-text"/>
    <w:next w:val="Els-body-text"/>
    <w:rsid w:val="008B0184"/>
    <w:pPr>
      <w:keepNext/>
      <w:numPr>
        <w:ilvl w:val="1"/>
        <w:numId w:val="17"/>
      </w:numPr>
      <w:suppressAutoHyphens/>
      <w:spacing w:before="240" w:after="60" w:line="240" w:lineRule="exact"/>
    </w:pPr>
    <w:rPr>
      <w:b/>
      <w:sz w:val="22"/>
    </w:rPr>
  </w:style>
  <w:style w:type="paragraph" w:customStyle="1" w:styleId="Els-body-text">
    <w:name w:val="Els-body-text"/>
    <w:rsid w:val="008B0184"/>
    <w:pPr>
      <w:jc w:val="both"/>
    </w:pPr>
    <w:rPr>
      <w:lang w:val="en-US" w:eastAsia="en-US"/>
    </w:rPr>
  </w:style>
  <w:style w:type="paragraph" w:customStyle="1" w:styleId="Els-2ndorder-head">
    <w:name w:val="Els-2ndorder-head"/>
    <w:basedOn w:val="Els-body-text"/>
    <w:next w:val="Els-body-text"/>
    <w:rsid w:val="008B0184"/>
    <w:pPr>
      <w:keepNext/>
      <w:numPr>
        <w:ilvl w:val="2"/>
        <w:numId w:val="17"/>
      </w:numPr>
      <w:suppressAutoHyphens/>
      <w:spacing w:before="80"/>
      <w:ind w:left="0"/>
    </w:pPr>
    <w:rPr>
      <w:i/>
    </w:rPr>
  </w:style>
  <w:style w:type="paragraph" w:customStyle="1" w:styleId="Els-3rdorder-head">
    <w:name w:val="Els-3rdorder-head"/>
    <w:basedOn w:val="Els-body-text"/>
    <w:next w:val="Els-body-text"/>
    <w:rsid w:val="008B0184"/>
    <w:pPr>
      <w:keepNext/>
      <w:numPr>
        <w:ilvl w:val="3"/>
        <w:numId w:val="17"/>
      </w:numPr>
      <w:suppressAutoHyphens/>
      <w:spacing w:before="60"/>
    </w:pPr>
    <w:rPr>
      <w:i/>
    </w:rPr>
  </w:style>
  <w:style w:type="paragraph" w:customStyle="1" w:styleId="Els-Affiliation">
    <w:name w:val="Els-Affiliation"/>
    <w:rsid w:val="008B0184"/>
    <w:pPr>
      <w:suppressAutoHyphens/>
      <w:spacing w:line="240" w:lineRule="exact"/>
    </w:pPr>
    <w:rPr>
      <w:i/>
      <w:noProof/>
      <w:lang w:eastAsia="en-US"/>
    </w:rPr>
  </w:style>
  <w:style w:type="paragraph" w:customStyle="1" w:styleId="Els-Author">
    <w:name w:val="Els-Author"/>
    <w:next w:val="Els-Affiliation"/>
    <w:rsid w:val="008B0184"/>
    <w:pPr>
      <w:keepNext/>
      <w:suppressAutoHyphens/>
      <w:spacing w:after="60" w:line="310" w:lineRule="exact"/>
    </w:pPr>
    <w:rPr>
      <w:noProof/>
      <w:sz w:val="22"/>
      <w:lang w:eastAsia="en-US"/>
    </w:rPr>
  </w:style>
  <w:style w:type="paragraph" w:customStyle="1" w:styleId="Els-bulletlist">
    <w:name w:val="Els-bulletlist"/>
    <w:basedOn w:val="Els-body-text"/>
    <w:rsid w:val="008B0184"/>
    <w:pPr>
      <w:tabs>
        <w:tab w:val="left" w:pos="240"/>
        <w:tab w:val="num" w:pos="360"/>
      </w:tabs>
      <w:ind w:left="240" w:hanging="240"/>
      <w:jc w:val="left"/>
    </w:pPr>
  </w:style>
  <w:style w:type="paragraph" w:customStyle="1" w:styleId="Els-chem-equation">
    <w:name w:val="Els-chem-equation"/>
    <w:basedOn w:val="Els-body-text"/>
    <w:next w:val="Els-body-text"/>
    <w:rsid w:val="008B0184"/>
    <w:pPr>
      <w:tabs>
        <w:tab w:val="right" w:pos="7088"/>
      </w:tabs>
      <w:spacing w:before="120" w:after="120"/>
    </w:pPr>
    <w:rPr>
      <w:noProof/>
      <w:lang w:val="en-GB"/>
    </w:rPr>
  </w:style>
  <w:style w:type="paragraph" w:customStyle="1" w:styleId="Els-equation">
    <w:name w:val="Els-equation"/>
    <w:basedOn w:val="Els-body-text"/>
    <w:next w:val="Els-body-text"/>
    <w:rsid w:val="008B0184"/>
    <w:pPr>
      <w:tabs>
        <w:tab w:val="right" w:pos="7088"/>
      </w:tabs>
      <w:spacing w:before="120" w:after="120"/>
    </w:pPr>
    <w:rPr>
      <w:i/>
      <w:noProof/>
      <w:lang w:val="en-GB"/>
    </w:rPr>
  </w:style>
  <w:style w:type="paragraph" w:customStyle="1" w:styleId="Els-footnote">
    <w:name w:val="Els-footnote"/>
    <w:rsid w:val="008B0184"/>
    <w:pPr>
      <w:keepLines/>
      <w:widowControl w:val="0"/>
      <w:ind w:left="120" w:hanging="120"/>
    </w:pPr>
    <w:rPr>
      <w:sz w:val="18"/>
      <w:lang w:val="en-US" w:eastAsia="en-US"/>
    </w:rPr>
  </w:style>
  <w:style w:type="paragraph" w:customStyle="1" w:styleId="Els-numlist">
    <w:name w:val="Els-numlist"/>
    <w:basedOn w:val="Els-body-text"/>
    <w:rsid w:val="008B0184"/>
    <w:pPr>
      <w:tabs>
        <w:tab w:val="left" w:pos="240"/>
        <w:tab w:val="num" w:pos="360"/>
      </w:tabs>
      <w:ind w:left="240" w:hanging="240"/>
      <w:jc w:val="left"/>
    </w:pPr>
  </w:style>
  <w:style w:type="paragraph" w:customStyle="1" w:styleId="Els-reference">
    <w:name w:val="Els-reference"/>
    <w:rsid w:val="008B0184"/>
    <w:pPr>
      <w:numPr>
        <w:numId w:val="15"/>
      </w:numPr>
      <w:ind w:left="482"/>
    </w:pPr>
    <w:rPr>
      <w:noProof/>
      <w:sz w:val="18"/>
      <w:lang w:eastAsia="en-US"/>
    </w:rPr>
  </w:style>
  <w:style w:type="paragraph" w:customStyle="1" w:styleId="Els-reference-head">
    <w:name w:val="Els-reference-head"/>
    <w:basedOn w:val="Els-body-text"/>
    <w:next w:val="Els-referenceno-number"/>
    <w:rsid w:val="008B0184"/>
    <w:pPr>
      <w:keepNext/>
      <w:spacing w:before="240" w:after="60"/>
    </w:pPr>
    <w:rPr>
      <w:b/>
      <w:sz w:val="22"/>
      <w:szCs w:val="22"/>
    </w:rPr>
  </w:style>
  <w:style w:type="paragraph" w:customStyle="1" w:styleId="Els-table-text">
    <w:name w:val="Els-table-text"/>
    <w:rsid w:val="008B0184"/>
    <w:pPr>
      <w:keepNext/>
      <w:spacing w:after="80" w:line="240" w:lineRule="exact"/>
    </w:pPr>
    <w:rPr>
      <w:sz w:val="18"/>
      <w:lang w:val="en-US" w:eastAsia="en-US"/>
    </w:rPr>
  </w:style>
  <w:style w:type="paragraph" w:customStyle="1" w:styleId="Els-Title">
    <w:name w:val="Els-Title"/>
    <w:next w:val="Els-Author"/>
    <w:rsid w:val="008B0184"/>
    <w:pPr>
      <w:suppressAutoHyphens/>
      <w:spacing w:before="240" w:after="120" w:line="360" w:lineRule="exact"/>
    </w:pPr>
    <w:rPr>
      <w:b/>
      <w:sz w:val="32"/>
      <w:lang w:val="en-US" w:eastAsia="en-US"/>
    </w:rPr>
  </w:style>
  <w:style w:type="character" w:styleId="Rimandonotadichiusura">
    <w:name w:val="endnote reference"/>
    <w:basedOn w:val="Carpredefinitoparagrafo"/>
    <w:semiHidden/>
    <w:rsid w:val="008B0184"/>
    <w:rPr>
      <w:vertAlign w:val="superscript"/>
    </w:rPr>
  </w:style>
  <w:style w:type="paragraph" w:styleId="Intestazione">
    <w:name w:val="header"/>
    <w:rsid w:val="008B0184"/>
    <w:pPr>
      <w:tabs>
        <w:tab w:val="center" w:pos="3600"/>
        <w:tab w:val="right" w:pos="7200"/>
      </w:tabs>
      <w:spacing w:line="200" w:lineRule="atLeast"/>
    </w:pPr>
    <w:rPr>
      <w:noProof/>
      <w:lang w:eastAsia="en-US"/>
    </w:rPr>
  </w:style>
  <w:style w:type="paragraph" w:styleId="Pidipagina">
    <w:name w:val="footer"/>
    <w:basedOn w:val="Intestazione"/>
    <w:rsid w:val="008B0184"/>
  </w:style>
  <w:style w:type="character" w:styleId="Rimandonotaapidipagina">
    <w:name w:val="footnote reference"/>
    <w:semiHidden/>
    <w:rsid w:val="008B0184"/>
    <w:rPr>
      <w:vertAlign w:val="superscript"/>
    </w:rPr>
  </w:style>
  <w:style w:type="paragraph" w:styleId="Testonotaapidipagina">
    <w:name w:val="footnote text"/>
    <w:basedOn w:val="Normale"/>
    <w:semiHidden/>
    <w:rsid w:val="008B0184"/>
    <w:rPr>
      <w:rFonts w:ascii="Univers" w:hAnsi="Univers"/>
    </w:rPr>
  </w:style>
  <w:style w:type="character" w:styleId="Collegamentoipertestuale">
    <w:name w:val="Hyperlink"/>
    <w:basedOn w:val="Carpredefinitoparagrafo"/>
    <w:rsid w:val="008B0184"/>
    <w:rPr>
      <w:color w:val="0000FF"/>
      <w:u w:val="single"/>
    </w:rPr>
  </w:style>
  <w:style w:type="character" w:customStyle="1" w:styleId="MTEquationSection">
    <w:name w:val="MTEquationSection"/>
    <w:basedOn w:val="Carpredefinitoparagrafo"/>
    <w:rsid w:val="008B0184"/>
    <w:rPr>
      <w:vanish/>
      <w:color w:val="FF0000"/>
    </w:rPr>
  </w:style>
  <w:style w:type="character" w:styleId="Numeropagina">
    <w:name w:val="page number"/>
    <w:basedOn w:val="Carpredefinitoparagrafo"/>
    <w:rsid w:val="008B0184"/>
    <w:rPr>
      <w:sz w:val="20"/>
      <w:szCs w:val="20"/>
    </w:rPr>
  </w:style>
  <w:style w:type="paragraph" w:customStyle="1" w:styleId="Els-Chapterno">
    <w:name w:val="Els-Chapter no"/>
    <w:rsid w:val="008B0184"/>
    <w:pPr>
      <w:numPr>
        <w:numId w:val="17"/>
      </w:numPr>
      <w:spacing w:before="907" w:line="260" w:lineRule="exact"/>
    </w:pPr>
    <w:rPr>
      <w:sz w:val="24"/>
      <w:szCs w:val="24"/>
      <w:lang w:val="en-US" w:eastAsia="en-US"/>
    </w:rPr>
  </w:style>
  <w:style w:type="paragraph" w:customStyle="1" w:styleId="Els-referenceno-number">
    <w:name w:val="Els-reference no-number"/>
    <w:basedOn w:val="Els-reference"/>
    <w:rsid w:val="008B0184"/>
    <w:pPr>
      <w:numPr>
        <w:numId w:val="0"/>
      </w:numPr>
      <w:ind w:left="240" w:hanging="240"/>
    </w:pPr>
  </w:style>
  <w:style w:type="character" w:customStyle="1" w:styleId="Els-captionChar">
    <w:name w:val="Els-caption Char"/>
    <w:basedOn w:val="Carpredefinitoparagrafo"/>
    <w:rsid w:val="008B0184"/>
    <w:rPr>
      <w:sz w:val="18"/>
      <w:lang w:val="en-US" w:eastAsia="en-US" w:bidi="ar-SA"/>
    </w:rPr>
  </w:style>
  <w:style w:type="character" w:styleId="Rimandocommento">
    <w:name w:val="annotation reference"/>
    <w:basedOn w:val="Carpredefinitoparagrafo"/>
    <w:semiHidden/>
    <w:rsid w:val="008B0184"/>
    <w:rPr>
      <w:sz w:val="16"/>
      <w:szCs w:val="16"/>
    </w:rPr>
  </w:style>
  <w:style w:type="paragraph" w:styleId="Testocommento">
    <w:name w:val="annotation text"/>
    <w:basedOn w:val="Normale"/>
    <w:semiHidden/>
    <w:rsid w:val="008B0184"/>
  </w:style>
  <w:style w:type="paragraph" w:styleId="Soggettocommento">
    <w:name w:val="annotation subject"/>
    <w:basedOn w:val="Testocommento"/>
    <w:next w:val="Testocommento"/>
    <w:semiHidden/>
    <w:rsid w:val="008B0184"/>
    <w:rPr>
      <w:b/>
      <w:bCs/>
    </w:rPr>
  </w:style>
  <w:style w:type="paragraph" w:styleId="Testofumetto">
    <w:name w:val="Balloon Text"/>
    <w:basedOn w:val="Normale"/>
    <w:semiHidden/>
    <w:rsid w:val="008B0184"/>
    <w:rPr>
      <w:rFonts w:ascii="Tahoma" w:hAnsi="Tahoma" w:cs="Tahoma"/>
      <w:sz w:val="16"/>
      <w:szCs w:val="16"/>
    </w:rPr>
  </w:style>
  <w:style w:type="paragraph" w:customStyle="1" w:styleId="Els-Abstract">
    <w:name w:val="Els-Abstract"/>
    <w:basedOn w:val="Els-1storder-head"/>
    <w:next w:val="Els-body-text"/>
    <w:autoRedefine/>
    <w:rsid w:val="00B61BA3"/>
    <w:pPr>
      <w:numPr>
        <w:ilvl w:val="0"/>
        <w:numId w:val="0"/>
      </w:numPr>
      <w:spacing w:before="120" w:after="120"/>
    </w:pPr>
  </w:style>
  <w:style w:type="character" w:customStyle="1" w:styleId="underline1">
    <w:name w:val="underline1"/>
    <w:basedOn w:val="Carpredefinitoparagrafo"/>
    <w:rsid w:val="00F06842"/>
    <w:rPr>
      <w:u w:val="single"/>
    </w:rPr>
  </w:style>
  <w:style w:type="paragraph" w:customStyle="1" w:styleId="ElsevierBodyTextCentredNospace">
    <w:name w:val="Elsevier Body Text Centred No space"/>
    <w:basedOn w:val="Normale"/>
    <w:qFormat/>
    <w:rsid w:val="00F06842"/>
    <w:pPr>
      <w:jc w:val="center"/>
    </w:pPr>
    <w:rPr>
      <w:bCs/>
      <w:iCs/>
      <w:color w:val="000000" w:themeColor="text1"/>
      <w:sz w:val="22"/>
      <w:szCs w:val="24"/>
      <w:lang w:val="en-US"/>
    </w:rPr>
  </w:style>
  <w:style w:type="table" w:styleId="Grigliatabella">
    <w:name w:val="Table Grid"/>
    <w:basedOn w:val="Tabellanormale"/>
    <w:qFormat/>
    <w:rsid w:val="00E63695"/>
    <w:rPr>
      <w:rFonts w:asciiTheme="minorHAnsi" w:hAnsiTheme="minorHAnsi" w:cstheme="minorBidi"/>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ia">
    <w:name w:val="Bibliography"/>
    <w:basedOn w:val="Normale"/>
    <w:next w:val="Normale"/>
    <w:uiPriority w:val="37"/>
    <w:unhideWhenUsed/>
    <w:rsid w:val="00C33944"/>
    <w:pPr>
      <w:ind w:left="720" w:hanging="720"/>
    </w:pPr>
  </w:style>
  <w:style w:type="paragraph" w:styleId="Revisione">
    <w:name w:val="Revision"/>
    <w:hidden/>
    <w:uiPriority w:val="99"/>
    <w:semiHidden/>
    <w:rsid w:val="00421BC5"/>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5670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nakisk\KOSTAS-10%20July%202017\books\book%20proposals\Computer%20Aided%20Chemical%20Engineering\Instructions\Chap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8A5E87-7CE7-4902-AA71-A90FCE380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Chapter.dotx</Template>
  <TotalTime>246</TotalTime>
  <Pages>6</Pages>
  <Words>2307</Words>
  <Characters>37893</Characters>
  <Application>Microsoft Office Word</Application>
  <DocSecurity>0</DocSecurity>
  <Lines>315</Lines>
  <Paragraphs>80</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Chapter</vt:lpstr>
      <vt:lpstr>Chapter</vt:lpstr>
    </vt:vector>
  </TitlesOfParts>
  <Company>Elsevier Science</Company>
  <LinksUpToDate>false</LinksUpToDate>
  <CharactersWithSpaces>40120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dc:title>
  <dc:creator>Kostas</dc:creator>
  <cp:lastModifiedBy>Sauro Pierucci</cp:lastModifiedBy>
  <cp:revision>9</cp:revision>
  <cp:lastPrinted>2004-12-17T09:20:00Z</cp:lastPrinted>
  <dcterms:created xsi:type="dcterms:W3CDTF">2023-12-05T12:16:00Z</dcterms:created>
  <dcterms:modified xsi:type="dcterms:W3CDTF">2023-12-18T11:32:00Z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49ac42a-3eb4-4074-b885-aea26bd6241e_Enabled">
    <vt:lpwstr>true</vt:lpwstr>
  </property>
  <property fmtid="{D5CDD505-2E9C-101B-9397-08002B2CF9AE}" pid="3" name="MSIP_Label_549ac42a-3eb4-4074-b885-aea26bd6241e_SetDate">
    <vt:lpwstr>2023-10-02T08:38:43Z</vt:lpwstr>
  </property>
  <property fmtid="{D5CDD505-2E9C-101B-9397-08002B2CF9AE}" pid="4" name="MSIP_Label_549ac42a-3eb4-4074-b885-aea26bd6241e_Method">
    <vt:lpwstr>Standard</vt:lpwstr>
  </property>
  <property fmtid="{D5CDD505-2E9C-101B-9397-08002B2CF9AE}" pid="5" name="MSIP_Label_549ac42a-3eb4-4074-b885-aea26bd6241e_Name">
    <vt:lpwstr>General Business</vt:lpwstr>
  </property>
  <property fmtid="{D5CDD505-2E9C-101B-9397-08002B2CF9AE}" pid="6" name="MSIP_Label_549ac42a-3eb4-4074-b885-aea26bd6241e_SiteId">
    <vt:lpwstr>9274ee3f-9425-4109-a27f-9fb15c10675d</vt:lpwstr>
  </property>
  <property fmtid="{D5CDD505-2E9C-101B-9397-08002B2CF9AE}" pid="7" name="MSIP_Label_549ac42a-3eb4-4074-b885-aea26bd6241e_ActionId">
    <vt:lpwstr>d1e5754d-f2d2-4025-b8e5-4cd2943f5f30</vt:lpwstr>
  </property>
  <property fmtid="{D5CDD505-2E9C-101B-9397-08002B2CF9AE}" pid="8" name="MSIP_Label_549ac42a-3eb4-4074-b885-aea26bd6241e_ContentBits">
    <vt:lpwstr>0</vt:lpwstr>
  </property>
  <property fmtid="{D5CDD505-2E9C-101B-9397-08002B2CF9AE}" pid="9" name="GrammarlyDocumentId">
    <vt:lpwstr>1dbdf9704ae63b23c772d0a2d4dc5007e513b2143281315c46e9c661110ba89d</vt:lpwstr>
  </property>
  <property fmtid="{D5CDD505-2E9C-101B-9397-08002B2CF9AE}" pid="10" name="ZOTERO_PREF_1">
    <vt:lpwstr>&lt;data data-version="3" zotero-version="6.0.30"&gt;&lt;session id="anCC6ewI"/&gt;&lt;style id="http://www.zotero.org/styles/elsevier-harvard" hasBibliography="1" bibliographyStyleHasBeenSet="1"/&gt;&lt;prefs&gt;&lt;pref name="fieldType" value="Field"/&gt;&lt;pref name="automaticJournal</vt:lpwstr>
  </property>
  <property fmtid="{D5CDD505-2E9C-101B-9397-08002B2CF9AE}" pid="11" name="ZOTERO_PREF_2">
    <vt:lpwstr>Abbreviations" value="true"/&gt;&lt;/prefs&gt;&lt;/data&gt;</vt:lpwstr>
  </property>
</Properties>
</file>