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92DF582" w:rsidR="00DD3D9E" w:rsidRPr="00EB1AA2" w:rsidRDefault="00C57B7F">
      <w:pPr>
        <w:pStyle w:val="Els-Title"/>
        <w:rPr>
          <w:color w:val="000000" w:themeColor="text1"/>
        </w:rPr>
      </w:pPr>
      <w:r w:rsidRPr="00EB1AA2">
        <w:rPr>
          <w:color w:val="000000" w:themeColor="text1"/>
        </w:rPr>
        <w:t xml:space="preserve">Superstructure </w:t>
      </w:r>
      <w:r w:rsidR="00E76842">
        <w:rPr>
          <w:color w:val="000000" w:themeColor="text1"/>
        </w:rPr>
        <w:t>M</w:t>
      </w:r>
      <w:r w:rsidRPr="00EB1AA2">
        <w:rPr>
          <w:color w:val="000000" w:themeColor="text1"/>
        </w:rPr>
        <w:t xml:space="preserve">odeling of </w:t>
      </w:r>
      <w:r w:rsidR="00E76842">
        <w:rPr>
          <w:color w:val="000000" w:themeColor="text1"/>
        </w:rPr>
        <w:t>L</w:t>
      </w:r>
      <w:r w:rsidR="003D2743" w:rsidRPr="00EB1AA2">
        <w:rPr>
          <w:color w:val="000000" w:themeColor="text1"/>
        </w:rPr>
        <w:t>ithium</w:t>
      </w:r>
      <w:r w:rsidRPr="00EB1AA2">
        <w:rPr>
          <w:color w:val="000000" w:themeColor="text1"/>
        </w:rPr>
        <w:t>-</w:t>
      </w:r>
      <w:r w:rsidR="00233AAF">
        <w:rPr>
          <w:color w:val="000000" w:themeColor="text1"/>
        </w:rPr>
        <w:t>I</w:t>
      </w:r>
      <w:r w:rsidRPr="00EB1AA2">
        <w:rPr>
          <w:color w:val="000000" w:themeColor="text1"/>
        </w:rPr>
        <w:t xml:space="preserve">on </w:t>
      </w:r>
      <w:r w:rsidR="00E76842">
        <w:rPr>
          <w:color w:val="000000" w:themeColor="text1"/>
        </w:rPr>
        <w:t>B</w:t>
      </w:r>
      <w:r w:rsidRPr="00EB1AA2">
        <w:rPr>
          <w:color w:val="000000" w:themeColor="text1"/>
        </w:rPr>
        <w:t xml:space="preserve">atteries for </w:t>
      </w:r>
      <w:r w:rsidR="00B52EBF">
        <w:rPr>
          <w:color w:val="000000" w:themeColor="text1"/>
        </w:rPr>
        <w:t xml:space="preserve">an </w:t>
      </w:r>
      <w:r w:rsidR="00E76842">
        <w:rPr>
          <w:color w:val="000000" w:themeColor="text1"/>
        </w:rPr>
        <w:t>E</w:t>
      </w:r>
      <w:r w:rsidRPr="00EB1AA2">
        <w:rPr>
          <w:color w:val="000000" w:themeColor="text1"/>
        </w:rPr>
        <w:t>nvironmentally</w:t>
      </w:r>
      <w:r w:rsidR="0025449B" w:rsidRPr="00EB1AA2">
        <w:rPr>
          <w:color w:val="000000" w:themeColor="text1"/>
        </w:rPr>
        <w:t xml:space="preserve"> </w:t>
      </w:r>
      <w:r w:rsidR="00E76842">
        <w:rPr>
          <w:color w:val="000000" w:themeColor="text1"/>
        </w:rPr>
        <w:t>C</w:t>
      </w:r>
      <w:r w:rsidRPr="00EB1AA2">
        <w:rPr>
          <w:color w:val="000000" w:themeColor="text1"/>
        </w:rPr>
        <w:t xml:space="preserve">onscious </w:t>
      </w:r>
      <w:r w:rsidR="00E76842">
        <w:rPr>
          <w:color w:val="000000" w:themeColor="text1"/>
        </w:rPr>
        <w:t>L</w:t>
      </w:r>
      <w:r w:rsidR="00074868">
        <w:rPr>
          <w:color w:val="000000" w:themeColor="text1"/>
        </w:rPr>
        <w:t>ife-</w:t>
      </w:r>
      <w:r w:rsidR="00233AAF">
        <w:rPr>
          <w:color w:val="000000" w:themeColor="text1"/>
        </w:rPr>
        <w:t>C</w:t>
      </w:r>
      <w:r w:rsidR="00074868">
        <w:rPr>
          <w:color w:val="000000" w:themeColor="text1"/>
        </w:rPr>
        <w:t>ycle</w:t>
      </w:r>
      <w:r w:rsidRPr="00EB1AA2">
        <w:rPr>
          <w:color w:val="000000" w:themeColor="text1"/>
        </w:rPr>
        <w:t xml:space="preserve"> </w:t>
      </w:r>
      <w:r w:rsidR="00E76842">
        <w:rPr>
          <w:color w:val="000000" w:themeColor="text1"/>
        </w:rPr>
        <w:t>D</w:t>
      </w:r>
      <w:r w:rsidRPr="00EB1AA2">
        <w:rPr>
          <w:color w:val="000000" w:themeColor="text1"/>
        </w:rPr>
        <w:t>esign</w:t>
      </w:r>
    </w:p>
    <w:p w14:paraId="2E30B64B" w14:textId="77777777" w:rsidR="008A4357" w:rsidRPr="00C57B7F" w:rsidRDefault="008A4357" w:rsidP="008A4357">
      <w:pPr>
        <w:pStyle w:val="Els-Author"/>
      </w:pPr>
      <w:r w:rsidRPr="00725F94">
        <w:rPr>
          <w:szCs w:val="24"/>
        </w:rPr>
        <w:t>Tomoya Yonetsuka,</w:t>
      </w:r>
      <w:r w:rsidRPr="00725F94">
        <w:rPr>
          <w:szCs w:val="24"/>
          <w:vertAlign w:val="superscript"/>
        </w:rPr>
        <w:t>a</w:t>
      </w:r>
      <w:r w:rsidRPr="00725F94">
        <w:rPr>
          <w:szCs w:val="24"/>
        </w:rPr>
        <w:t xml:space="preserve"> Ayumi Yamaki,</w:t>
      </w:r>
      <w:r w:rsidRPr="00725F94">
        <w:rPr>
          <w:szCs w:val="24"/>
          <w:vertAlign w:val="superscript"/>
        </w:rPr>
        <w:t>b</w:t>
      </w:r>
      <w:r w:rsidRPr="00725F94">
        <w:rPr>
          <w:szCs w:val="24"/>
        </w:rPr>
        <w:t xml:space="preserve"> Aya Heiho,</w:t>
      </w:r>
      <w:r w:rsidRPr="00725F94">
        <w:rPr>
          <w:szCs w:val="24"/>
          <w:vertAlign w:val="superscript"/>
        </w:rPr>
        <w:t>c,d</w:t>
      </w:r>
      <w:r w:rsidRPr="00725F94">
        <w:rPr>
          <w:szCs w:val="24"/>
        </w:rPr>
        <w:t xml:space="preserve"> Yuichiro Kanematsu,</w:t>
      </w:r>
      <w:r w:rsidRPr="00725F94">
        <w:rPr>
          <w:szCs w:val="24"/>
          <w:vertAlign w:val="superscript"/>
        </w:rPr>
        <w:t>c</w:t>
      </w:r>
      <w:r w:rsidRPr="00725F94">
        <w:rPr>
          <w:szCs w:val="24"/>
        </w:rPr>
        <w:t xml:space="preserve"> Heng Yi Teah,</w:t>
      </w:r>
      <w:r w:rsidRPr="00725F94">
        <w:rPr>
          <w:szCs w:val="24"/>
          <w:vertAlign w:val="superscript"/>
        </w:rPr>
        <w:t>c</w:t>
      </w:r>
      <w:r w:rsidRPr="00725F94">
        <w:rPr>
          <w:szCs w:val="24"/>
        </w:rPr>
        <w:t xml:space="preserve"> Yasunori Kikuchi</w:t>
      </w:r>
      <w:r w:rsidRPr="00725F94">
        <w:rPr>
          <w:szCs w:val="24"/>
          <w:vertAlign w:val="superscript"/>
        </w:rPr>
        <w:t>a,b,c*</w:t>
      </w:r>
    </w:p>
    <w:p w14:paraId="1DCE2427" w14:textId="77777777" w:rsidR="008A4357" w:rsidRPr="00B76D10" w:rsidRDefault="008A4357" w:rsidP="008A4357">
      <w:pPr>
        <w:pStyle w:val="Els-Affiliation"/>
        <w:spacing w:line="220" w:lineRule="exact"/>
        <w:rPr>
          <w:lang w:eastAsia="ja-JP"/>
        </w:rPr>
      </w:pPr>
      <w:r>
        <w:rPr>
          <w:vertAlign w:val="superscript"/>
          <w:lang w:eastAsia="ja-JP"/>
        </w:rPr>
        <w:t>a</w:t>
      </w:r>
      <w:r w:rsidRPr="00B76D10">
        <w:rPr>
          <w:lang w:eastAsia="ja-JP"/>
        </w:rPr>
        <w:t xml:space="preserve"> </w:t>
      </w:r>
      <w:r>
        <w:rPr>
          <w:lang w:eastAsia="ja-JP"/>
        </w:rPr>
        <w:t xml:space="preserve">Department of Chemical System Engineering, </w:t>
      </w:r>
      <w:r w:rsidRPr="000205DE">
        <w:rPr>
          <w:lang w:eastAsia="ja-JP"/>
        </w:rPr>
        <w:t>The University of Tokyo, 7-3-1 Hongo, Bunkyo-ku, Tokyo 113-8656, Japan</w:t>
      </w:r>
    </w:p>
    <w:p w14:paraId="084DBBE5" w14:textId="77777777" w:rsidR="008A4357" w:rsidRDefault="008A4357" w:rsidP="008A4357">
      <w:pPr>
        <w:pStyle w:val="Els-Affiliation"/>
        <w:spacing w:line="220" w:lineRule="exact"/>
      </w:pPr>
      <w:r>
        <w:rPr>
          <w:vertAlign w:val="superscript"/>
        </w:rPr>
        <w:t>b</w:t>
      </w:r>
      <w:r>
        <w:t xml:space="preserve"> </w:t>
      </w:r>
      <w:r w:rsidRPr="000205DE">
        <w:t xml:space="preserve">Institute for Future Initiatives, The University of Tokyo, </w:t>
      </w:r>
      <w:r>
        <w:t xml:space="preserve">7-3-1 Hongo, Bunkyo-ku, </w:t>
      </w:r>
      <w:r w:rsidRPr="000205DE">
        <w:t>Tokyo 113-8654</w:t>
      </w:r>
      <w:r>
        <w:t>,</w:t>
      </w:r>
      <w:r w:rsidRPr="000205DE">
        <w:t xml:space="preserve"> </w:t>
      </w:r>
      <w:r>
        <w:t>Japan</w:t>
      </w:r>
    </w:p>
    <w:p w14:paraId="292DFDDC" w14:textId="77777777" w:rsidR="008A4357" w:rsidRPr="00CD378A" w:rsidRDefault="008A4357" w:rsidP="008A4357">
      <w:pPr>
        <w:pStyle w:val="Els-Affiliation"/>
        <w:spacing w:line="220" w:lineRule="exact"/>
        <w:rPr>
          <w:lang w:eastAsia="ja-JP"/>
        </w:rPr>
      </w:pPr>
      <w:r>
        <w:rPr>
          <w:vertAlign w:val="superscript"/>
          <w:lang w:eastAsia="ja-JP"/>
        </w:rPr>
        <w:t>c</w:t>
      </w:r>
      <w:r>
        <w:rPr>
          <w:lang w:eastAsia="ja-JP"/>
        </w:rPr>
        <w:t xml:space="preserve"> </w:t>
      </w:r>
      <w:r w:rsidRPr="000205DE">
        <w:rPr>
          <w:lang w:eastAsia="ja-JP"/>
        </w:rPr>
        <w:t>Presidential Endowed Chair for “Platinum Society”, The University of Tokyo</w:t>
      </w:r>
      <w:r>
        <w:rPr>
          <w:lang w:eastAsia="ja-JP"/>
        </w:rPr>
        <w:t xml:space="preserve">, </w:t>
      </w:r>
      <w:r w:rsidRPr="000205DE">
        <w:rPr>
          <w:lang w:eastAsia="ja-JP"/>
        </w:rPr>
        <w:t xml:space="preserve">7-3-1 </w:t>
      </w:r>
      <w:r w:rsidRPr="00CD378A">
        <w:rPr>
          <w:lang w:eastAsia="ja-JP"/>
        </w:rPr>
        <w:t>Hongo, Bunkyo-ku, Tokyo 113-8656, Japan</w:t>
      </w:r>
    </w:p>
    <w:p w14:paraId="6470A734" w14:textId="77777777" w:rsidR="008A4357" w:rsidRDefault="008A4357" w:rsidP="008A4357">
      <w:pPr>
        <w:pStyle w:val="Els-Affiliation"/>
        <w:spacing w:line="220" w:lineRule="exact"/>
        <w:rPr>
          <w:lang w:eastAsia="ja-JP"/>
        </w:rPr>
      </w:pPr>
      <w:r w:rsidRPr="00CD378A">
        <w:rPr>
          <w:vertAlign w:val="superscript"/>
          <w:lang w:eastAsia="ja-JP"/>
        </w:rPr>
        <w:t>d</w:t>
      </w:r>
      <w:r w:rsidRPr="00CD378A">
        <w:rPr>
          <w:lang w:eastAsia="ja-JP"/>
        </w:rPr>
        <w:t xml:space="preserve"> Faculty of Environmental Studies, Tokyo City University, 3-3-1 Ushikubo-Nishi, Tsuzuki-Ku, Yo</w:t>
      </w:r>
      <w:r>
        <w:rPr>
          <w:lang w:eastAsia="ja-JP"/>
        </w:rPr>
        <w:t>kohama,</w:t>
      </w:r>
      <w:r>
        <w:rPr>
          <w:rFonts w:hint="eastAsia"/>
          <w:lang w:eastAsia="ja-JP"/>
        </w:rPr>
        <w:t xml:space="preserve"> </w:t>
      </w:r>
      <w:r>
        <w:rPr>
          <w:lang w:eastAsia="ja-JP"/>
        </w:rPr>
        <w:t>Kanagawa 224-8551, Japan</w:t>
      </w:r>
    </w:p>
    <w:p w14:paraId="50CB5E44" w14:textId="77777777" w:rsidR="008A4357" w:rsidRDefault="008A4357" w:rsidP="008A4357">
      <w:pPr>
        <w:pStyle w:val="Els-Affiliation"/>
      </w:pPr>
      <w:r>
        <w:t>*ykikuchi@ifi.u-tokyo.ac.jp</w:t>
      </w:r>
    </w:p>
    <w:p w14:paraId="54555FCE" w14:textId="77777777" w:rsidR="00180A3C" w:rsidRPr="00EB1AA2" w:rsidRDefault="00180A3C" w:rsidP="0025449B">
      <w:pPr>
        <w:pStyle w:val="Els-Affiliation"/>
        <w:spacing w:line="220" w:lineRule="exact"/>
        <w:rPr>
          <w:noProof w:val="0"/>
          <w:lang w:val="en-US" w:eastAsia="ja-JP"/>
        </w:rPr>
      </w:pPr>
    </w:p>
    <w:p w14:paraId="144DE684" w14:textId="77777777" w:rsidR="008D2649" w:rsidRPr="00EB1AA2" w:rsidRDefault="008D2649" w:rsidP="0004333B">
      <w:pPr>
        <w:pStyle w:val="Els-Abstract"/>
      </w:pPr>
      <w:r w:rsidRPr="00EB1AA2">
        <w:t>Abstract</w:t>
      </w:r>
    </w:p>
    <w:p w14:paraId="027FEE94" w14:textId="13837CB8" w:rsidR="00E0585C" w:rsidRPr="00EB1AA2" w:rsidRDefault="00E967C2" w:rsidP="00523727">
      <w:pPr>
        <w:spacing w:line="260" w:lineRule="exact"/>
        <w:jc w:val="both"/>
        <w:rPr>
          <w:szCs w:val="21"/>
        </w:rPr>
      </w:pPr>
      <w:r w:rsidRPr="00EB1AA2">
        <w:rPr>
          <w:szCs w:val="21"/>
        </w:rPr>
        <w:t xml:space="preserve">With the introduction of </w:t>
      </w:r>
      <w:r w:rsidR="00B52EBF">
        <w:rPr>
          <w:szCs w:val="21"/>
        </w:rPr>
        <w:t>electric vehicles</w:t>
      </w:r>
      <w:r w:rsidRPr="00EB1AA2">
        <w:rPr>
          <w:szCs w:val="21"/>
        </w:rPr>
        <w:t>,</w:t>
      </w:r>
      <w:r w:rsidR="00523727" w:rsidRPr="00EB1AA2">
        <w:rPr>
          <w:szCs w:val="21"/>
        </w:rPr>
        <w:t xml:space="preserve"> mineral</w:t>
      </w:r>
      <w:r w:rsidRPr="00EB1AA2">
        <w:rPr>
          <w:szCs w:val="21"/>
        </w:rPr>
        <w:t xml:space="preserve"> resource consumption </w:t>
      </w:r>
      <w:r w:rsidR="002354DB">
        <w:rPr>
          <w:szCs w:val="21"/>
        </w:rPr>
        <w:t>has</w:t>
      </w:r>
      <w:r w:rsidRPr="00EB1AA2">
        <w:rPr>
          <w:szCs w:val="21"/>
        </w:rPr>
        <w:t xml:space="preserve"> increas</w:t>
      </w:r>
      <w:r w:rsidR="002354DB">
        <w:rPr>
          <w:szCs w:val="21"/>
        </w:rPr>
        <w:t>ed</w:t>
      </w:r>
      <w:r w:rsidR="00933CBF" w:rsidRPr="00EB1AA2">
        <w:rPr>
          <w:szCs w:val="21"/>
        </w:rPr>
        <w:t>,</w:t>
      </w:r>
      <w:r w:rsidRPr="00EB1AA2">
        <w:rPr>
          <w:szCs w:val="21"/>
        </w:rPr>
        <w:t xml:space="preserve"> and the need for metal recycling </w:t>
      </w:r>
      <w:r w:rsidR="002354DB">
        <w:rPr>
          <w:szCs w:val="21"/>
        </w:rPr>
        <w:t>has</w:t>
      </w:r>
      <w:r w:rsidRPr="00EB1AA2">
        <w:rPr>
          <w:szCs w:val="21"/>
        </w:rPr>
        <w:t xml:space="preserve"> grow</w:t>
      </w:r>
      <w:r w:rsidR="002354DB">
        <w:rPr>
          <w:szCs w:val="21"/>
        </w:rPr>
        <w:t>n</w:t>
      </w:r>
      <w:r w:rsidRPr="00EB1AA2">
        <w:rPr>
          <w:szCs w:val="21"/>
        </w:rPr>
        <w:t>.</w:t>
      </w:r>
      <w:r w:rsidRPr="00EB1AA2">
        <w:rPr>
          <w:rFonts w:hint="eastAsia"/>
          <w:szCs w:val="21"/>
          <w:lang w:eastAsia="ja-JP"/>
        </w:rPr>
        <w:t xml:space="preserve"> </w:t>
      </w:r>
      <w:r w:rsidR="0035582C" w:rsidRPr="00EB1AA2">
        <w:rPr>
          <w:szCs w:val="21"/>
        </w:rPr>
        <w:t>This study aim</w:t>
      </w:r>
      <w:r w:rsidR="002354DB">
        <w:rPr>
          <w:szCs w:val="21"/>
        </w:rPr>
        <w:t>ed</w:t>
      </w:r>
      <w:r w:rsidR="0035582C" w:rsidRPr="00EB1AA2">
        <w:rPr>
          <w:szCs w:val="21"/>
        </w:rPr>
        <w:t xml:space="preserve"> to</w:t>
      </w:r>
      <w:r w:rsidR="00523727" w:rsidRPr="00EB1AA2">
        <w:rPr>
          <w:szCs w:val="21"/>
        </w:rPr>
        <w:t xml:space="preserve"> </w:t>
      </w:r>
      <w:r w:rsidR="00ED5449" w:rsidRPr="00EB1AA2">
        <w:rPr>
          <w:rFonts w:hint="eastAsia"/>
          <w:szCs w:val="21"/>
          <w:lang w:eastAsia="ja-JP"/>
        </w:rPr>
        <w:t>e</w:t>
      </w:r>
      <w:r w:rsidR="00ED5449" w:rsidRPr="00EB1AA2">
        <w:rPr>
          <w:szCs w:val="21"/>
          <w:lang w:eastAsia="ja-JP"/>
        </w:rPr>
        <w:t xml:space="preserve">valuate recycling processes for an </w:t>
      </w:r>
      <w:r w:rsidR="002929A4" w:rsidRPr="00EB1AA2">
        <w:t xml:space="preserve">environmentally conscious </w:t>
      </w:r>
      <w:r w:rsidR="00074868">
        <w:t>life-cycle</w:t>
      </w:r>
      <w:r w:rsidR="00ED5449" w:rsidRPr="00EB1AA2">
        <w:t xml:space="preserve"> design</w:t>
      </w:r>
      <w:r w:rsidR="002929A4" w:rsidRPr="00EB1AA2">
        <w:t xml:space="preserve"> </w:t>
      </w:r>
      <w:r w:rsidR="00ED5449" w:rsidRPr="00EB1AA2">
        <w:t>of</w:t>
      </w:r>
      <w:r w:rsidR="002929A4" w:rsidRPr="00EB1AA2">
        <w:t xml:space="preserve"> </w:t>
      </w:r>
      <w:r w:rsidR="00DD292D">
        <w:t>Li</w:t>
      </w:r>
      <w:r w:rsidR="002929A4" w:rsidRPr="00EB1AA2">
        <w:t xml:space="preserve">-ion </w:t>
      </w:r>
      <w:r w:rsidR="00EE62AB" w:rsidRPr="00EB1AA2">
        <w:t>batteries</w:t>
      </w:r>
      <w:r w:rsidR="002929A4" w:rsidRPr="00EB1AA2">
        <w:rPr>
          <w:szCs w:val="21"/>
          <w:lang w:eastAsia="ja-JP"/>
        </w:rPr>
        <w:t xml:space="preserve"> (</w:t>
      </w:r>
      <w:proofErr w:type="spellStart"/>
      <w:r w:rsidR="002929A4" w:rsidRPr="00EB1AA2">
        <w:rPr>
          <w:szCs w:val="21"/>
          <w:lang w:eastAsia="ja-JP"/>
        </w:rPr>
        <w:t>LiB</w:t>
      </w:r>
      <w:proofErr w:type="spellEnd"/>
      <w:r w:rsidR="002929A4" w:rsidRPr="00EB1AA2">
        <w:rPr>
          <w:szCs w:val="21"/>
          <w:lang w:eastAsia="ja-JP"/>
        </w:rPr>
        <w:t>)</w:t>
      </w:r>
      <w:r w:rsidR="002929A4" w:rsidRPr="00EB1AA2">
        <w:rPr>
          <w:szCs w:val="21"/>
        </w:rPr>
        <w:t xml:space="preserve"> </w:t>
      </w:r>
      <w:r w:rsidR="002929A4" w:rsidRPr="00EB1AA2">
        <w:rPr>
          <w:szCs w:val="21"/>
          <w:lang w:eastAsia="ja-JP"/>
        </w:rPr>
        <w:t xml:space="preserve">by </w:t>
      </w:r>
      <w:r w:rsidR="00074868">
        <w:rPr>
          <w:szCs w:val="21"/>
          <w:lang w:eastAsia="ja-JP"/>
        </w:rPr>
        <w:t>life-cycle</w:t>
      </w:r>
      <w:r w:rsidR="002929A4" w:rsidRPr="00EB1AA2">
        <w:rPr>
          <w:szCs w:val="21"/>
          <w:lang w:eastAsia="ja-JP"/>
        </w:rPr>
        <w:t xml:space="preserve"> assessment (LCA)</w:t>
      </w:r>
      <w:r w:rsidR="002929A4" w:rsidRPr="00EB1AA2">
        <w:rPr>
          <w:szCs w:val="21"/>
        </w:rPr>
        <w:t xml:space="preserve"> through a superstructure. </w:t>
      </w:r>
      <w:r w:rsidRPr="00EB1AA2">
        <w:rPr>
          <w:szCs w:val="21"/>
        </w:rPr>
        <w:t xml:space="preserve">There are numerous </w:t>
      </w:r>
      <w:proofErr w:type="spellStart"/>
      <w:r w:rsidR="00B52EBF" w:rsidRPr="00EB1AA2">
        <w:rPr>
          <w:szCs w:val="21"/>
        </w:rPr>
        <w:t>LiB</w:t>
      </w:r>
      <w:proofErr w:type="spellEnd"/>
      <w:r w:rsidR="00B52EBF" w:rsidRPr="00EB1AA2">
        <w:rPr>
          <w:szCs w:val="21"/>
        </w:rPr>
        <w:t xml:space="preserve"> recycling </w:t>
      </w:r>
      <w:r w:rsidRPr="00EB1AA2">
        <w:rPr>
          <w:szCs w:val="21"/>
        </w:rPr>
        <w:t xml:space="preserve">technologies, and </w:t>
      </w:r>
      <w:r w:rsidR="002354DB">
        <w:rPr>
          <w:szCs w:val="21"/>
        </w:rPr>
        <w:t>for their</w:t>
      </w:r>
      <w:r w:rsidRPr="00EB1AA2">
        <w:rPr>
          <w:szCs w:val="21"/>
        </w:rPr>
        <w:t xml:space="preserve"> organiz</w:t>
      </w:r>
      <w:r w:rsidR="002354DB">
        <w:rPr>
          <w:szCs w:val="21"/>
        </w:rPr>
        <w:t>ation</w:t>
      </w:r>
      <w:r w:rsidRPr="00EB1AA2">
        <w:rPr>
          <w:szCs w:val="21"/>
        </w:rPr>
        <w:t xml:space="preserve"> and compar</w:t>
      </w:r>
      <w:r w:rsidR="002354DB">
        <w:rPr>
          <w:szCs w:val="21"/>
        </w:rPr>
        <w:t>ison</w:t>
      </w:r>
      <w:r w:rsidRPr="00EB1AA2">
        <w:rPr>
          <w:szCs w:val="21"/>
        </w:rPr>
        <w:t xml:space="preserve">, a superstructure was constructed through </w:t>
      </w:r>
      <w:r w:rsidR="002354DB">
        <w:rPr>
          <w:szCs w:val="21"/>
        </w:rPr>
        <w:t xml:space="preserve">a </w:t>
      </w:r>
      <w:r w:rsidRPr="00EB1AA2">
        <w:rPr>
          <w:szCs w:val="21"/>
        </w:rPr>
        <w:t>literature review, bibliometric analysis,</w:t>
      </w:r>
      <w:r w:rsidRPr="00EB1AA2">
        <w:rPr>
          <w:rFonts w:hint="eastAsia"/>
          <w:szCs w:val="21"/>
          <w:lang w:eastAsia="ja-JP"/>
        </w:rPr>
        <w:t xml:space="preserve"> </w:t>
      </w:r>
      <w:r w:rsidR="00B20361" w:rsidRPr="00EB1AA2">
        <w:rPr>
          <w:szCs w:val="21"/>
        </w:rPr>
        <w:t>and</w:t>
      </w:r>
      <w:r w:rsidR="00E5422A" w:rsidRPr="00EB1AA2">
        <w:rPr>
          <w:szCs w:val="21"/>
        </w:rPr>
        <w:t xml:space="preserve"> </w:t>
      </w:r>
      <w:r w:rsidR="00CD378A" w:rsidRPr="00EB1AA2">
        <w:t>discussion</w:t>
      </w:r>
      <w:r w:rsidR="00B20361" w:rsidRPr="00EB1AA2">
        <w:rPr>
          <w:szCs w:val="21"/>
        </w:rPr>
        <w:t xml:space="preserve"> wit</w:t>
      </w:r>
      <w:r w:rsidR="00523727" w:rsidRPr="00EB1AA2">
        <w:rPr>
          <w:szCs w:val="21"/>
        </w:rPr>
        <w:t>h</w:t>
      </w:r>
      <w:r w:rsidR="00DB06C3" w:rsidRPr="00EB1AA2">
        <w:t xml:space="preserve"> </w:t>
      </w:r>
      <w:r w:rsidR="00DB06C3" w:rsidRPr="00EB1AA2">
        <w:rPr>
          <w:szCs w:val="21"/>
        </w:rPr>
        <w:t>process engineers</w:t>
      </w:r>
      <w:r w:rsidR="0035582C" w:rsidRPr="00EB1AA2">
        <w:rPr>
          <w:szCs w:val="21"/>
        </w:rPr>
        <w:t xml:space="preserve">. </w:t>
      </w:r>
      <w:r w:rsidRPr="00EB1AA2">
        <w:rPr>
          <w:szCs w:val="21"/>
        </w:rPr>
        <w:t>The superstructure include</w:t>
      </w:r>
      <w:r w:rsidR="002354DB">
        <w:rPr>
          <w:szCs w:val="21"/>
        </w:rPr>
        <w:t>d</w:t>
      </w:r>
      <w:r w:rsidRPr="00EB1AA2">
        <w:rPr>
          <w:szCs w:val="21"/>
        </w:rPr>
        <w:t xml:space="preserve"> descriptions of available technologies and processes and </w:t>
      </w:r>
      <w:r w:rsidR="002354DB">
        <w:rPr>
          <w:szCs w:val="21"/>
        </w:rPr>
        <w:t xml:space="preserve">could </w:t>
      </w:r>
      <w:r w:rsidRPr="00EB1AA2">
        <w:rPr>
          <w:szCs w:val="21"/>
        </w:rPr>
        <w:t xml:space="preserve">provide designers with potential </w:t>
      </w:r>
      <w:r w:rsidR="00074868">
        <w:rPr>
          <w:szCs w:val="21"/>
        </w:rPr>
        <w:t>life-cycle</w:t>
      </w:r>
      <w:r w:rsidRPr="00EB1AA2">
        <w:rPr>
          <w:szCs w:val="21"/>
        </w:rPr>
        <w:t xml:space="preserve"> options and design variables to consider. This paper focuses on </w:t>
      </w:r>
      <w:r w:rsidR="002354DB">
        <w:rPr>
          <w:szCs w:val="21"/>
        </w:rPr>
        <w:t xml:space="preserve">the </w:t>
      </w:r>
      <w:r w:rsidRPr="00EB1AA2">
        <w:rPr>
          <w:szCs w:val="21"/>
        </w:rPr>
        <w:t>end</w:t>
      </w:r>
      <w:r w:rsidR="00E37FEC">
        <w:rPr>
          <w:szCs w:val="21"/>
        </w:rPr>
        <w:t xml:space="preserve"> </w:t>
      </w:r>
      <w:r w:rsidRPr="00EB1AA2">
        <w:rPr>
          <w:szCs w:val="21"/>
        </w:rPr>
        <w:t>of</w:t>
      </w:r>
      <w:r w:rsidR="00E37FEC">
        <w:rPr>
          <w:szCs w:val="21"/>
        </w:rPr>
        <w:t xml:space="preserve"> </w:t>
      </w:r>
      <w:r w:rsidRPr="00EB1AA2">
        <w:rPr>
          <w:szCs w:val="21"/>
        </w:rPr>
        <w:t xml:space="preserve">life of </w:t>
      </w:r>
      <w:proofErr w:type="spellStart"/>
      <w:r w:rsidRPr="00EB1AA2">
        <w:rPr>
          <w:szCs w:val="21"/>
        </w:rPr>
        <w:t>LiB</w:t>
      </w:r>
      <w:proofErr w:type="spellEnd"/>
      <w:r w:rsidRPr="00EB1AA2">
        <w:rPr>
          <w:szCs w:val="21"/>
        </w:rPr>
        <w:t xml:space="preserve"> cathodes. </w:t>
      </w:r>
      <w:r w:rsidR="00F24F51">
        <w:rPr>
          <w:szCs w:val="21"/>
        </w:rPr>
        <w:t>V</w:t>
      </w:r>
      <w:r w:rsidR="009944C7" w:rsidRPr="00EB1AA2">
        <w:rPr>
          <w:szCs w:val="21"/>
        </w:rPr>
        <w:t>arious</w:t>
      </w:r>
      <w:r w:rsidR="0035582C" w:rsidRPr="00EB1AA2">
        <w:rPr>
          <w:szCs w:val="21"/>
        </w:rPr>
        <w:t xml:space="preserve"> recycling processes described in the superstructure</w:t>
      </w:r>
      <w:r w:rsidR="00F24F51" w:rsidRPr="00F24F51">
        <w:rPr>
          <w:szCs w:val="21"/>
        </w:rPr>
        <w:t xml:space="preserve"> </w:t>
      </w:r>
      <w:r w:rsidR="00F24F51">
        <w:rPr>
          <w:szCs w:val="21"/>
        </w:rPr>
        <w:t>were selected as cases for</w:t>
      </w:r>
      <w:r w:rsidR="00F24F51" w:rsidRPr="00EB1AA2">
        <w:rPr>
          <w:szCs w:val="21"/>
        </w:rPr>
        <w:t xml:space="preserve"> LCA</w:t>
      </w:r>
      <w:r w:rsidR="0035582C" w:rsidRPr="00EB1AA2">
        <w:rPr>
          <w:szCs w:val="21"/>
        </w:rPr>
        <w:t xml:space="preserve">, and their environmental performance was evaluated. The </w:t>
      </w:r>
      <w:r w:rsidR="002C7EB3" w:rsidRPr="00EB1AA2">
        <w:rPr>
          <w:szCs w:val="21"/>
        </w:rPr>
        <w:t xml:space="preserve">environmental impacts </w:t>
      </w:r>
      <w:r w:rsidR="002C7EB3">
        <w:rPr>
          <w:szCs w:val="21"/>
        </w:rPr>
        <w:t xml:space="preserve">of the </w:t>
      </w:r>
      <w:r w:rsidR="0035582C" w:rsidRPr="00EB1AA2">
        <w:rPr>
          <w:szCs w:val="21"/>
        </w:rPr>
        <w:t>recycling process</w:t>
      </w:r>
      <w:r w:rsidR="002C7EB3">
        <w:rPr>
          <w:szCs w:val="21"/>
        </w:rPr>
        <w:t>es</w:t>
      </w:r>
      <w:r w:rsidR="0035582C" w:rsidRPr="00EB1AA2">
        <w:rPr>
          <w:szCs w:val="21"/>
        </w:rPr>
        <w:t xml:space="preserve"> vari</w:t>
      </w:r>
      <w:r w:rsidR="002C7EB3">
        <w:rPr>
          <w:szCs w:val="21"/>
        </w:rPr>
        <w:t>ed.</w:t>
      </w:r>
      <w:r w:rsidR="0035582C" w:rsidRPr="00EB1AA2">
        <w:rPr>
          <w:szCs w:val="21"/>
        </w:rPr>
        <w:t xml:space="preserve"> For example, in terms of global warming potential, processes such as </w:t>
      </w:r>
      <w:r w:rsidR="002C7EB3">
        <w:rPr>
          <w:szCs w:val="21"/>
        </w:rPr>
        <w:t xml:space="preserve">furnace </w:t>
      </w:r>
      <w:r w:rsidR="0035582C" w:rsidRPr="00EB1AA2">
        <w:rPr>
          <w:szCs w:val="21"/>
        </w:rPr>
        <w:t>roasting</w:t>
      </w:r>
      <w:r w:rsidR="002C7EB3">
        <w:rPr>
          <w:szCs w:val="21"/>
        </w:rPr>
        <w:t xml:space="preserve"> </w:t>
      </w:r>
      <w:r w:rsidR="0035582C" w:rsidRPr="00EB1AA2">
        <w:rPr>
          <w:szCs w:val="21"/>
        </w:rPr>
        <w:t>and solvent extraction could be potential hot</w:t>
      </w:r>
      <w:r w:rsidR="00E37FEC">
        <w:rPr>
          <w:szCs w:val="21"/>
        </w:rPr>
        <w:t xml:space="preserve"> </w:t>
      </w:r>
      <w:r w:rsidR="0035582C" w:rsidRPr="00EB1AA2">
        <w:rPr>
          <w:szCs w:val="21"/>
        </w:rPr>
        <w:t xml:space="preserve">spots. In terms of resource consumption, environmental benefits were observed in all cases, indicating the </w:t>
      </w:r>
      <w:r w:rsidR="002C7EB3">
        <w:rPr>
          <w:szCs w:val="21"/>
        </w:rPr>
        <w:t xml:space="preserve">recycling </w:t>
      </w:r>
      <w:r w:rsidR="0035582C" w:rsidRPr="00EB1AA2">
        <w:rPr>
          <w:szCs w:val="21"/>
        </w:rPr>
        <w:t>effectiveness in reducing resource consumption.</w:t>
      </w:r>
      <w:r w:rsidR="009944C7" w:rsidRPr="00EB1AA2">
        <w:rPr>
          <w:rFonts w:hint="eastAsia"/>
          <w:szCs w:val="21"/>
          <w:lang w:eastAsia="ja-JP"/>
        </w:rPr>
        <w:t xml:space="preserve"> </w:t>
      </w:r>
      <w:r w:rsidR="008B7491" w:rsidRPr="00EB1AA2">
        <w:rPr>
          <w:szCs w:val="21"/>
          <w:lang w:eastAsia="ja-JP"/>
        </w:rPr>
        <w:t>Th</w:t>
      </w:r>
      <w:r w:rsidR="004705DE" w:rsidRPr="00EB1AA2">
        <w:rPr>
          <w:szCs w:val="21"/>
          <w:lang w:eastAsia="ja-JP"/>
        </w:rPr>
        <w:t>is study</w:t>
      </w:r>
      <w:r w:rsidR="008B7491" w:rsidRPr="00EB1AA2">
        <w:rPr>
          <w:szCs w:val="21"/>
          <w:lang w:eastAsia="ja-JP"/>
        </w:rPr>
        <w:t xml:space="preserve"> provi</w:t>
      </w:r>
      <w:r w:rsidR="004705DE" w:rsidRPr="00EB1AA2">
        <w:rPr>
          <w:szCs w:val="21"/>
          <w:lang w:eastAsia="ja-JP"/>
        </w:rPr>
        <w:t>des</w:t>
      </w:r>
      <w:r w:rsidR="008B7491" w:rsidRPr="00EB1AA2">
        <w:rPr>
          <w:szCs w:val="21"/>
          <w:lang w:eastAsia="ja-JP"/>
        </w:rPr>
        <w:t xml:space="preserve"> information that should be considered in future </w:t>
      </w:r>
      <w:r w:rsidR="00074868">
        <w:rPr>
          <w:szCs w:val="21"/>
          <w:lang w:eastAsia="ja-JP"/>
        </w:rPr>
        <w:t>life-cycle</w:t>
      </w:r>
      <w:r w:rsidR="008B7491" w:rsidRPr="00EB1AA2">
        <w:rPr>
          <w:szCs w:val="21"/>
          <w:lang w:eastAsia="ja-JP"/>
        </w:rPr>
        <w:t xml:space="preserve"> design of </w:t>
      </w:r>
      <w:proofErr w:type="spellStart"/>
      <w:r w:rsidR="008B7491" w:rsidRPr="00EB1AA2">
        <w:rPr>
          <w:szCs w:val="21"/>
          <w:lang w:eastAsia="ja-JP"/>
        </w:rPr>
        <w:t>LiBs</w:t>
      </w:r>
      <w:proofErr w:type="spellEnd"/>
      <w:r w:rsidR="008B7491" w:rsidRPr="00EB1AA2">
        <w:rPr>
          <w:szCs w:val="21"/>
          <w:lang w:eastAsia="ja-JP"/>
        </w:rPr>
        <w:t>.</w:t>
      </w:r>
    </w:p>
    <w:p w14:paraId="7F4FE02A" w14:textId="77777777" w:rsidR="00E0585C" w:rsidRPr="00EB1AA2" w:rsidRDefault="00E0585C" w:rsidP="008D2649">
      <w:pPr>
        <w:pStyle w:val="Els-body-text"/>
        <w:spacing w:after="120"/>
      </w:pPr>
    </w:p>
    <w:p w14:paraId="144DE687" w14:textId="060F5671" w:rsidR="008D2649" w:rsidRPr="00EB1AA2" w:rsidRDefault="008D2649" w:rsidP="008D2649">
      <w:pPr>
        <w:pStyle w:val="Els-body-text"/>
        <w:spacing w:after="120"/>
      </w:pPr>
      <w:r w:rsidRPr="00EB1AA2">
        <w:rPr>
          <w:b/>
          <w:bCs/>
        </w:rPr>
        <w:t>Keywords</w:t>
      </w:r>
      <w:r w:rsidRPr="00EB1AA2">
        <w:t xml:space="preserve">: </w:t>
      </w:r>
      <w:r w:rsidR="0035582C" w:rsidRPr="00EB1AA2">
        <w:rPr>
          <w:rFonts w:hint="eastAsia"/>
          <w:lang w:eastAsia="ja-JP"/>
        </w:rPr>
        <w:t>s</w:t>
      </w:r>
      <w:r w:rsidR="0035582C" w:rsidRPr="00EB1AA2">
        <w:rPr>
          <w:lang w:eastAsia="ja-JP"/>
        </w:rPr>
        <w:t>uperstructure</w:t>
      </w:r>
      <w:r w:rsidR="0035582C" w:rsidRPr="00EB1AA2">
        <w:t xml:space="preserve">, LCA, resource circulation, </w:t>
      </w:r>
      <w:r w:rsidR="00CD0736" w:rsidRPr="00EB1AA2">
        <w:t xml:space="preserve">battery </w:t>
      </w:r>
      <w:r w:rsidR="0035582C" w:rsidRPr="00EB1AA2">
        <w:t>recycling</w:t>
      </w:r>
      <w:r w:rsidR="007F2FC2" w:rsidRPr="00EB1AA2">
        <w:t>, hydrometallurgy</w:t>
      </w:r>
      <w:r w:rsidR="0035582C" w:rsidRPr="00EB1AA2">
        <w:t>.</w:t>
      </w:r>
    </w:p>
    <w:p w14:paraId="144DE689" w14:textId="749A0ABA" w:rsidR="008D2649" w:rsidRPr="00EB1AA2" w:rsidRDefault="00504EA9" w:rsidP="008D2649">
      <w:pPr>
        <w:pStyle w:val="Els-1storder-head"/>
      </w:pPr>
      <w:r w:rsidRPr="00EB1AA2">
        <w:t>Introduction</w:t>
      </w:r>
    </w:p>
    <w:p w14:paraId="3738F87B" w14:textId="472E0E28" w:rsidR="00526F76" w:rsidRPr="00EB1AA2" w:rsidRDefault="003F7D75" w:rsidP="009852BA">
      <w:pPr>
        <w:pStyle w:val="Els-body-text"/>
        <w:spacing w:after="120"/>
      </w:pPr>
      <w:r>
        <w:t>T</w:t>
      </w:r>
      <w:r w:rsidR="00C52354" w:rsidRPr="00EB1AA2">
        <w:t xml:space="preserve">he accelerating adoption of electric vehicles (EVs) </w:t>
      </w:r>
      <w:r w:rsidR="00E37FEC">
        <w:t>made</w:t>
      </w:r>
      <w:r>
        <w:t xml:space="preserve"> </w:t>
      </w:r>
      <w:r w:rsidR="00C52354" w:rsidRPr="00EB1AA2">
        <w:t>the</w:t>
      </w:r>
      <w:r w:rsidR="001031C6" w:rsidRPr="00EB1AA2">
        <w:rPr>
          <w:rFonts w:hint="eastAsia"/>
          <w:lang w:eastAsia="ja-JP"/>
        </w:rPr>
        <w:t xml:space="preserve"> </w:t>
      </w:r>
      <w:r w:rsidR="001031C6" w:rsidRPr="00EB1AA2">
        <w:rPr>
          <w:lang w:eastAsia="ja-JP"/>
        </w:rPr>
        <w:t>stable</w:t>
      </w:r>
      <w:r w:rsidR="00C52354" w:rsidRPr="00EB1AA2">
        <w:t xml:space="preserve"> procurement and consumption of metal resources such as </w:t>
      </w:r>
      <w:r w:rsidR="00BE109F">
        <w:t>Co</w:t>
      </w:r>
      <w:r w:rsidR="00C52354" w:rsidRPr="00EB1AA2">
        <w:t xml:space="preserve"> and </w:t>
      </w:r>
      <w:r w:rsidR="00BE109F">
        <w:t>Li</w:t>
      </w:r>
      <w:r w:rsidR="00C52354" w:rsidRPr="00EB1AA2">
        <w:t xml:space="preserve"> required for</w:t>
      </w:r>
      <w:r w:rsidR="00AB1B96" w:rsidRPr="00EB1AA2">
        <w:t xml:space="preserve"> </w:t>
      </w:r>
      <w:r w:rsidR="00BE109F">
        <w:t>Li</w:t>
      </w:r>
      <w:r w:rsidR="00AB1B96" w:rsidRPr="00EB1AA2">
        <w:t>-ion batter</w:t>
      </w:r>
      <w:r w:rsidR="00BE109F">
        <w:t>ies</w:t>
      </w:r>
      <w:r w:rsidR="00C52354" w:rsidRPr="00EB1AA2">
        <w:t xml:space="preserve"> </w:t>
      </w:r>
      <w:r w:rsidR="00BE109F">
        <w:t>(</w:t>
      </w:r>
      <w:proofErr w:type="spellStart"/>
      <w:r w:rsidR="00C52354" w:rsidRPr="00EB1AA2">
        <w:t>LiBs</w:t>
      </w:r>
      <w:proofErr w:type="spellEnd"/>
      <w:r w:rsidR="00BE109F">
        <w:t>)</w:t>
      </w:r>
      <w:r w:rsidR="00C52354" w:rsidRPr="00EB1AA2">
        <w:t xml:space="preserve"> </w:t>
      </w:r>
      <w:r w:rsidR="00E37FEC">
        <w:t>challenging</w:t>
      </w:r>
      <w:r w:rsidR="00C52354" w:rsidRPr="00EB1AA2">
        <w:t>. Various types of</w:t>
      </w:r>
      <w:r w:rsidR="00AB1B96" w:rsidRPr="00EB1AA2">
        <w:t xml:space="preserve"> </w:t>
      </w:r>
      <w:proofErr w:type="spellStart"/>
      <w:proofErr w:type="gramStart"/>
      <w:r w:rsidR="00C52354" w:rsidRPr="00EB1AA2">
        <w:t>LiB</w:t>
      </w:r>
      <w:proofErr w:type="spellEnd"/>
      <w:proofErr w:type="gramEnd"/>
      <w:r w:rsidR="00C52354" w:rsidRPr="00EB1AA2">
        <w:t>, including Ni-Co-Al</w:t>
      </w:r>
      <w:r w:rsidR="0028753A" w:rsidRPr="00EB1AA2">
        <w:t xml:space="preserve"> oxide</w:t>
      </w:r>
      <w:r w:rsidR="00C52354" w:rsidRPr="00EB1AA2">
        <w:t xml:space="preserve"> (NCA), N</w:t>
      </w:r>
      <w:r w:rsidR="00BE109F">
        <w:t>i</w:t>
      </w:r>
      <w:r w:rsidR="00C52354" w:rsidRPr="00EB1AA2">
        <w:t>-M</w:t>
      </w:r>
      <w:r w:rsidR="00DD292D">
        <w:t>n</w:t>
      </w:r>
      <w:r w:rsidR="00C52354" w:rsidRPr="00EB1AA2">
        <w:t>-Co</w:t>
      </w:r>
      <w:r w:rsidR="0028753A" w:rsidRPr="00EB1AA2">
        <w:rPr>
          <w:rFonts w:hint="eastAsia"/>
          <w:lang w:eastAsia="ja-JP"/>
        </w:rPr>
        <w:t xml:space="preserve"> </w:t>
      </w:r>
      <w:r w:rsidR="0028753A" w:rsidRPr="00EB1AA2">
        <w:rPr>
          <w:lang w:eastAsia="ja-JP"/>
        </w:rPr>
        <w:t>oxide</w:t>
      </w:r>
      <w:r w:rsidR="00C52354" w:rsidRPr="00EB1AA2">
        <w:t xml:space="preserve"> (NMC), and Li</w:t>
      </w:r>
      <w:r w:rsidR="00BE109F">
        <w:t>-Fe</w:t>
      </w:r>
      <w:r w:rsidR="00C52354" w:rsidRPr="00EB1AA2">
        <w:t xml:space="preserve"> </w:t>
      </w:r>
      <w:r w:rsidR="00BE109F">
        <w:t>p</w:t>
      </w:r>
      <w:r w:rsidR="00C52354" w:rsidRPr="00EB1AA2">
        <w:t xml:space="preserve">hosphate (LFP) batteries, are in use. </w:t>
      </w:r>
      <w:r w:rsidR="00BE109F">
        <w:t xml:space="preserve">The </w:t>
      </w:r>
      <w:r w:rsidR="00BE109F" w:rsidRPr="00EB1AA2">
        <w:t>resource consumption</w:t>
      </w:r>
      <w:r w:rsidR="00E37FEC">
        <w:t xml:space="preserve"> </w:t>
      </w:r>
      <w:r w:rsidR="00BE109F">
        <w:t xml:space="preserve">of </w:t>
      </w:r>
      <w:r w:rsidR="00C52354" w:rsidRPr="00EB1AA2">
        <w:t>NMC, which is</w:t>
      </w:r>
      <w:r w:rsidR="00C50320" w:rsidRPr="00EB1AA2">
        <w:t xml:space="preserve"> a common </w:t>
      </w:r>
      <w:proofErr w:type="spellStart"/>
      <w:r w:rsidR="00C50320" w:rsidRPr="00EB1AA2">
        <w:t>LiB</w:t>
      </w:r>
      <w:proofErr w:type="spellEnd"/>
      <w:r w:rsidR="00C50320" w:rsidRPr="00EB1AA2">
        <w:t xml:space="preserve"> for </w:t>
      </w:r>
      <w:r w:rsidR="00A67BB0" w:rsidRPr="00EB1AA2">
        <w:t>EVs</w:t>
      </w:r>
      <w:r w:rsidR="00C50320" w:rsidRPr="00EB1AA2">
        <w:t>,</w:t>
      </w:r>
      <w:r w:rsidR="00C52354" w:rsidRPr="00EB1AA2">
        <w:t xml:space="preserve"> is predicted to </w:t>
      </w:r>
      <w:r w:rsidR="00BE109F">
        <w:t>grow by a factor of more than</w:t>
      </w:r>
      <w:r w:rsidR="00C52354" w:rsidRPr="00EB1AA2">
        <w:t xml:space="preserve"> 1</w:t>
      </w:r>
      <w:r w:rsidR="00BE109F">
        <w:t>5</w:t>
      </w:r>
      <w:r w:rsidR="00C52354" w:rsidRPr="00EB1AA2">
        <w:t xml:space="preserve"> </w:t>
      </w:r>
      <w:r w:rsidR="00C52354" w:rsidRPr="00EB1AA2">
        <w:lastRenderedPageBreak/>
        <w:t xml:space="preserve">from 2020 to 2050, emphasizing the need for resource recycling </w:t>
      </w:r>
      <w:r w:rsidR="00DF4E75" w:rsidRPr="00EB1AA2">
        <w:rPr>
          <w:rFonts w:hint="eastAsia"/>
          <w:lang w:eastAsia="ja-JP"/>
        </w:rPr>
        <w:t>(</w:t>
      </w:r>
      <w:r w:rsidR="00DF4E75" w:rsidRPr="00EB1AA2">
        <w:rPr>
          <w:lang w:eastAsia="ja-JP"/>
        </w:rPr>
        <w:t>Xu et al., 2020)</w:t>
      </w:r>
      <w:r w:rsidR="00C52354" w:rsidRPr="00EB1AA2">
        <w:t xml:space="preserve">.  </w:t>
      </w:r>
      <w:r>
        <w:t>The proposed r</w:t>
      </w:r>
      <w:r w:rsidR="00C52354" w:rsidRPr="00EB1AA2">
        <w:t>ecycling methods for end-of-life</w:t>
      </w:r>
      <w:r w:rsidR="009F2263">
        <w:t xml:space="preserve"> (</w:t>
      </w:r>
      <w:proofErr w:type="spellStart"/>
      <w:r w:rsidR="009F2263">
        <w:t>EoL</w:t>
      </w:r>
      <w:proofErr w:type="spellEnd"/>
      <w:r w:rsidR="009F2263">
        <w:t>)</w:t>
      </w:r>
      <w:r w:rsidR="00C52354" w:rsidRPr="00EB1AA2">
        <w:t xml:space="preserve"> </w:t>
      </w:r>
      <w:proofErr w:type="spellStart"/>
      <w:r w:rsidR="00C52354" w:rsidRPr="00EB1AA2">
        <w:t>LiBs</w:t>
      </w:r>
      <w:proofErr w:type="spellEnd"/>
      <w:r w:rsidR="00C52354" w:rsidRPr="00EB1AA2">
        <w:t xml:space="preserve"> includ</w:t>
      </w:r>
      <w:r>
        <w:t>e</w:t>
      </w:r>
      <w:r w:rsidR="00C52354" w:rsidRPr="00EB1AA2">
        <w:t xml:space="preserve"> pyrometallurgy and hydrometallurgy or their combinations </w:t>
      </w:r>
      <w:r w:rsidR="00DF4E75" w:rsidRPr="00EB1AA2">
        <w:t>(Wei et al, 2023)</w:t>
      </w:r>
      <w:r>
        <w:t>.</w:t>
      </w:r>
      <w:r w:rsidR="00C52354" w:rsidRPr="00EB1AA2">
        <w:t xml:space="preserve"> </w:t>
      </w:r>
      <w:r>
        <w:t>A</w:t>
      </w:r>
      <w:r w:rsidR="00C52354" w:rsidRPr="00EB1AA2">
        <w:t xml:space="preserve"> closed-loop recycling system is required to convert waste into raw materials for the same product. However, there are multiple technical options for metal recycling, and </w:t>
      </w:r>
      <w:r>
        <w:t>an</w:t>
      </w:r>
      <w:r w:rsidR="00C52354" w:rsidRPr="00EB1AA2">
        <w:t xml:space="preserve"> optimal recycling process should be designed to match the specific conditions.</w:t>
      </w:r>
      <w:r w:rsidR="004705DE" w:rsidRPr="00EB1AA2">
        <w:t xml:space="preserve"> </w:t>
      </w:r>
      <w:r>
        <w:rPr>
          <w:lang w:eastAsia="ja-JP"/>
        </w:rPr>
        <w:t>A</w:t>
      </w:r>
      <w:r w:rsidR="004705DE" w:rsidRPr="00EB1AA2">
        <w:rPr>
          <w:lang w:eastAsia="ja-JP"/>
        </w:rPr>
        <w:t xml:space="preserve"> superstructure </w:t>
      </w:r>
      <w:r>
        <w:rPr>
          <w:lang w:eastAsia="ja-JP"/>
        </w:rPr>
        <w:t xml:space="preserve">would include </w:t>
      </w:r>
      <w:r w:rsidR="004705DE" w:rsidRPr="00EB1AA2">
        <w:rPr>
          <w:lang w:eastAsia="ja-JP"/>
        </w:rPr>
        <w:t xml:space="preserve">all </w:t>
      </w:r>
      <w:r w:rsidR="00DB2D47" w:rsidRPr="00EB1AA2">
        <w:rPr>
          <w:lang w:eastAsia="ja-JP"/>
        </w:rPr>
        <w:t>available</w:t>
      </w:r>
      <w:r w:rsidR="004705DE" w:rsidRPr="00EB1AA2">
        <w:rPr>
          <w:lang w:eastAsia="ja-JP"/>
        </w:rPr>
        <w:t xml:space="preserve"> processes</w:t>
      </w:r>
      <w:r w:rsidR="00DB2D47" w:rsidRPr="00EB1AA2">
        <w:rPr>
          <w:lang w:eastAsia="ja-JP"/>
        </w:rPr>
        <w:t xml:space="preserve"> </w:t>
      </w:r>
      <w:r w:rsidR="00DB2D47" w:rsidRPr="00EB1AA2">
        <w:t>(</w:t>
      </w:r>
      <w:r w:rsidR="00DB2D47" w:rsidRPr="00EB1AA2">
        <w:rPr>
          <w:rFonts w:ascii="TimesNewRomanPSMT" w:hAnsi="TimesNewRomanPSMT" w:cs="TimesNewRomanPSMT"/>
          <w:lang w:eastAsia="en-GB"/>
        </w:rPr>
        <w:t>Restrepo-</w:t>
      </w:r>
      <w:proofErr w:type="spellStart"/>
      <w:r w:rsidR="00DB2D47" w:rsidRPr="00EB1AA2">
        <w:rPr>
          <w:rFonts w:ascii="TimesNewRomanPSMT" w:hAnsi="TimesNewRomanPSMT" w:cs="TimesNewRomanPSMT"/>
          <w:lang w:eastAsia="en-GB"/>
        </w:rPr>
        <w:t>Flórez</w:t>
      </w:r>
      <w:proofErr w:type="spellEnd"/>
      <w:r w:rsidR="00A7337B" w:rsidRPr="00EB1AA2">
        <w:rPr>
          <w:rFonts w:ascii="TimesNewRomanPSMT" w:hAnsi="TimesNewRomanPSMT" w:cs="TimesNewRomanPSMT"/>
          <w:lang w:eastAsia="en-GB"/>
        </w:rPr>
        <w:t xml:space="preserve"> </w:t>
      </w:r>
      <w:r w:rsidR="00A7337B" w:rsidRPr="00EB1AA2">
        <w:rPr>
          <w:rFonts w:ascii="TimesNewRomanPSMT" w:hAnsi="TimesNewRomanPSMT"/>
        </w:rPr>
        <w:t xml:space="preserve">and </w:t>
      </w:r>
      <w:r w:rsidR="00A7337B" w:rsidRPr="00EB1AA2">
        <w:rPr>
          <w:rFonts w:ascii="TimesNewRomanPSMT" w:hAnsi="TimesNewRomanPSMT" w:cs="TimesNewRomanPSMT"/>
          <w:lang w:eastAsia="en-GB"/>
        </w:rPr>
        <w:t>Maravelias</w:t>
      </w:r>
      <w:r w:rsidR="00DB2D47" w:rsidRPr="00EB1AA2">
        <w:rPr>
          <w:rFonts w:ascii="TimesNewRomanPSMT" w:hAnsi="TimesNewRomanPSMT" w:cs="TimesNewRomanPSMT"/>
          <w:lang w:eastAsia="en-GB"/>
        </w:rPr>
        <w:t>, 2021</w:t>
      </w:r>
      <w:r w:rsidR="00DB2D47" w:rsidRPr="00EB1AA2">
        <w:t>)</w:t>
      </w:r>
      <w:r w:rsidR="004705DE" w:rsidRPr="00EB1AA2">
        <w:rPr>
          <w:lang w:eastAsia="ja-JP"/>
        </w:rPr>
        <w:t>, but to the author</w:t>
      </w:r>
      <w:r w:rsidR="00F2364A" w:rsidRPr="00EB1AA2">
        <w:rPr>
          <w:lang w:eastAsia="ja-JP"/>
        </w:rPr>
        <w:t>s</w:t>
      </w:r>
      <w:r w:rsidR="00E37FEC">
        <w:rPr>
          <w:lang w:eastAsia="ja-JP"/>
        </w:rPr>
        <w:t>’</w:t>
      </w:r>
      <w:r w:rsidR="004705DE" w:rsidRPr="00EB1AA2">
        <w:rPr>
          <w:lang w:eastAsia="ja-JP"/>
        </w:rPr>
        <w:t xml:space="preserve"> knowledge, a superstructure for </w:t>
      </w:r>
      <w:proofErr w:type="spellStart"/>
      <w:r w:rsidR="004705DE" w:rsidRPr="00EB1AA2">
        <w:rPr>
          <w:lang w:eastAsia="ja-JP"/>
        </w:rPr>
        <w:t>LiB</w:t>
      </w:r>
      <w:proofErr w:type="spellEnd"/>
      <w:r w:rsidR="004705DE" w:rsidRPr="00EB1AA2">
        <w:rPr>
          <w:lang w:eastAsia="ja-JP"/>
        </w:rPr>
        <w:t xml:space="preserve"> cathode recycling has not yet been created. </w:t>
      </w:r>
      <w:r w:rsidR="00C52354" w:rsidRPr="00EB1AA2">
        <w:t xml:space="preserve">The </w:t>
      </w:r>
      <w:r w:rsidR="00074868">
        <w:t>life-cycle</w:t>
      </w:r>
      <w:r w:rsidR="004D3D50" w:rsidRPr="00EB1AA2">
        <w:t xml:space="preserve"> assessment (</w:t>
      </w:r>
      <w:r w:rsidR="00C52354" w:rsidRPr="00EB1AA2">
        <w:t>LCA</w:t>
      </w:r>
      <w:r w:rsidR="004D3D50" w:rsidRPr="00EB1AA2">
        <w:t>)</w:t>
      </w:r>
      <w:r w:rsidR="00C52354" w:rsidRPr="00EB1AA2">
        <w:t xml:space="preserve"> of a recycling system </w:t>
      </w:r>
      <w:r w:rsidR="0080134F">
        <w:t>using</w:t>
      </w:r>
      <w:r w:rsidR="00C52354" w:rsidRPr="00EB1AA2">
        <w:t xml:space="preserve"> </w:t>
      </w:r>
      <w:r w:rsidR="00184077" w:rsidRPr="00EB1AA2">
        <w:t>pulsed discharging</w:t>
      </w:r>
      <w:r w:rsidR="00C52354" w:rsidRPr="00EB1AA2">
        <w:t xml:space="preserve"> </w:t>
      </w:r>
      <w:r w:rsidR="008F69C1" w:rsidRPr="00EB1AA2">
        <w:t>(</w:t>
      </w:r>
      <w:proofErr w:type="spellStart"/>
      <w:r w:rsidR="008F69C1" w:rsidRPr="00EB1AA2">
        <w:t>Tokoro</w:t>
      </w:r>
      <w:proofErr w:type="spellEnd"/>
      <w:r w:rsidR="008F69C1" w:rsidRPr="00EB1AA2">
        <w:t xml:space="preserve"> et al.</w:t>
      </w:r>
      <w:r w:rsidR="00DE62AB" w:rsidRPr="00EB1AA2">
        <w:t>, 2021</w:t>
      </w:r>
      <w:r w:rsidR="008F69C1" w:rsidRPr="00EB1AA2">
        <w:t>)</w:t>
      </w:r>
      <w:r w:rsidR="00C52354" w:rsidRPr="00EB1AA2">
        <w:t xml:space="preserve"> has </w:t>
      </w:r>
      <w:r w:rsidR="0080134F">
        <w:t>shown</w:t>
      </w:r>
      <w:r w:rsidR="00C52354" w:rsidRPr="00EB1AA2">
        <w:t xml:space="preserve"> </w:t>
      </w:r>
      <w:r w:rsidR="00313C55" w:rsidRPr="00EB1AA2">
        <w:t xml:space="preserve">that </w:t>
      </w:r>
      <w:r w:rsidR="0080134F">
        <w:t>because of</w:t>
      </w:r>
      <w:r w:rsidR="0080134F" w:rsidRPr="00EB1AA2">
        <w:t xml:space="preserve"> the scale of the process </w:t>
      </w:r>
      <w:r w:rsidR="00313C55" w:rsidRPr="00EB1AA2">
        <w:t>there are different environmental impacts and different technologies</w:t>
      </w:r>
      <w:r w:rsidR="00DB06C3" w:rsidRPr="00EB1AA2">
        <w:t xml:space="preserve"> </w:t>
      </w:r>
      <w:r w:rsidR="00153ED1" w:rsidRPr="00EB1AA2">
        <w:t>(Kikuchi et al., 2021)</w:t>
      </w:r>
      <w:r w:rsidR="00C52354" w:rsidRPr="00EB1AA2">
        <w:t xml:space="preserve">. </w:t>
      </w:r>
      <w:r w:rsidR="0080134F">
        <w:t>By</w:t>
      </w:r>
      <w:r w:rsidR="00C52354" w:rsidRPr="00EB1AA2">
        <w:t xml:space="preserve"> contrast, detailed analyses of hydrometallurgy have not been conducted. </w:t>
      </w:r>
      <w:r w:rsidR="00E37FEC">
        <w:t>In addition</w:t>
      </w:r>
      <w:r w:rsidR="00C52354" w:rsidRPr="00EB1AA2">
        <w:t xml:space="preserve">, many recycling technologies for </w:t>
      </w:r>
      <w:proofErr w:type="spellStart"/>
      <w:r w:rsidR="00C52354" w:rsidRPr="00EB1AA2">
        <w:t>LiBs</w:t>
      </w:r>
      <w:proofErr w:type="spellEnd"/>
      <w:r w:rsidR="00C52354" w:rsidRPr="00EB1AA2">
        <w:t xml:space="preserve"> in the development stage are emerging. If these technologies are implemented</w:t>
      </w:r>
      <w:r w:rsidR="006839A3">
        <w:t xml:space="preserve"> in society</w:t>
      </w:r>
      <w:r w:rsidR="00C52354" w:rsidRPr="00EB1AA2">
        <w:t xml:space="preserve">, the LCA of the system becomes vital information for </w:t>
      </w:r>
      <w:r w:rsidR="00074868">
        <w:t>life-cycle</w:t>
      </w:r>
      <w:r w:rsidR="00C52354" w:rsidRPr="00EB1AA2">
        <w:t xml:space="preserve"> designers </w:t>
      </w:r>
      <w:r w:rsidR="009D0FCE" w:rsidRPr="00EB1AA2">
        <w:t xml:space="preserve">(Steubing </w:t>
      </w:r>
      <w:r w:rsidR="00B34F4D" w:rsidRPr="00EB1AA2">
        <w:t xml:space="preserve">and </w:t>
      </w:r>
      <w:r w:rsidR="009D0FCE" w:rsidRPr="00EB1AA2">
        <w:t>Koning, 2021)</w:t>
      </w:r>
      <w:r w:rsidR="00C52354" w:rsidRPr="00EB1AA2">
        <w:t>.</w:t>
      </w:r>
    </w:p>
    <w:p w14:paraId="11F84930" w14:textId="7E344754" w:rsidR="0006555F" w:rsidRPr="00EB1AA2" w:rsidRDefault="00B27381" w:rsidP="00526F76">
      <w:pPr>
        <w:pStyle w:val="Els-body-text"/>
        <w:spacing w:after="120"/>
      </w:pPr>
      <w:r>
        <w:t>In</w:t>
      </w:r>
      <w:r w:rsidR="00DB2D47" w:rsidRPr="00EB1AA2">
        <w:t xml:space="preserve"> this</w:t>
      </w:r>
      <w:r w:rsidR="00C52354" w:rsidRPr="00EB1AA2">
        <w:t xml:space="preserve"> stud</w:t>
      </w:r>
      <w:r w:rsidR="00233AAF">
        <w:t>y,</w:t>
      </w:r>
      <w:r w:rsidR="00DB2D47" w:rsidRPr="00EB1AA2">
        <w:t xml:space="preserve"> </w:t>
      </w:r>
      <w:r>
        <w:t>we aimed</w:t>
      </w:r>
      <w:r w:rsidR="00DB2D47" w:rsidRPr="00EB1AA2">
        <w:t xml:space="preserve"> to </w:t>
      </w:r>
      <w:r w:rsidR="00846CB1" w:rsidRPr="00EB1AA2">
        <w:rPr>
          <w:rFonts w:hint="eastAsia"/>
          <w:szCs w:val="21"/>
          <w:lang w:eastAsia="ja-JP"/>
        </w:rPr>
        <w:t>e</w:t>
      </w:r>
      <w:r w:rsidR="00846CB1" w:rsidRPr="00EB1AA2">
        <w:rPr>
          <w:szCs w:val="21"/>
          <w:lang w:eastAsia="ja-JP"/>
        </w:rPr>
        <w:t xml:space="preserve">valuate recycling processes for an </w:t>
      </w:r>
      <w:r w:rsidR="00846CB1" w:rsidRPr="00EB1AA2">
        <w:t xml:space="preserve">environmentally conscious </w:t>
      </w:r>
      <w:r w:rsidR="00074868">
        <w:t>life-cycle</w:t>
      </w:r>
      <w:r w:rsidR="00846CB1" w:rsidRPr="00EB1AA2">
        <w:t xml:space="preserve"> design of</w:t>
      </w:r>
      <w:r w:rsidR="00DB2D47" w:rsidRPr="00EB1AA2">
        <w:t xml:space="preserve"> </w:t>
      </w:r>
      <w:proofErr w:type="spellStart"/>
      <w:r w:rsidR="00DB2D47" w:rsidRPr="00EB1AA2">
        <w:t>LiBs</w:t>
      </w:r>
      <w:proofErr w:type="spellEnd"/>
      <w:r w:rsidR="00DB2D47" w:rsidRPr="00EB1AA2">
        <w:t xml:space="preserve">. </w:t>
      </w:r>
      <w:r>
        <w:t>The</w:t>
      </w:r>
      <w:r w:rsidR="00C52354" w:rsidRPr="00EB1AA2">
        <w:t xml:space="preserve"> environmental </w:t>
      </w:r>
      <w:r w:rsidR="001031C6" w:rsidRPr="00EB1AA2">
        <w:t>impact</w:t>
      </w:r>
      <w:r w:rsidR="00C52354" w:rsidRPr="00EB1AA2">
        <w:t xml:space="preserve"> of </w:t>
      </w:r>
      <w:r>
        <w:t>r</w:t>
      </w:r>
      <w:r w:rsidR="00C52354" w:rsidRPr="00EB1AA2">
        <w:t>ecycling processes</w:t>
      </w:r>
      <w:r w:rsidR="004705DE" w:rsidRPr="00EB1AA2">
        <w:rPr>
          <w:lang w:eastAsia="ja-JP"/>
        </w:rPr>
        <w:t xml:space="preserve"> for automotive </w:t>
      </w:r>
      <w:proofErr w:type="spellStart"/>
      <w:r w:rsidR="004705DE" w:rsidRPr="00EB1AA2">
        <w:rPr>
          <w:lang w:eastAsia="ja-JP"/>
        </w:rPr>
        <w:t>LiBs</w:t>
      </w:r>
      <w:proofErr w:type="spellEnd"/>
      <w:r w:rsidR="00C52354" w:rsidRPr="00EB1AA2">
        <w:t xml:space="preserve"> </w:t>
      </w:r>
      <w:r>
        <w:t xml:space="preserve">was assessed </w:t>
      </w:r>
      <w:r w:rsidR="00C52354" w:rsidRPr="00EB1AA2">
        <w:t xml:space="preserve">using LCA. </w:t>
      </w:r>
      <w:r>
        <w:t>A</w:t>
      </w:r>
      <w:r w:rsidRPr="00EB1AA2">
        <w:t xml:space="preserve"> superstructure </w:t>
      </w:r>
      <w:r>
        <w:t>was constructed to</w:t>
      </w:r>
      <w:r w:rsidR="00C52354" w:rsidRPr="00EB1AA2">
        <w:t xml:space="preserve"> illustrate various </w:t>
      </w:r>
      <w:r>
        <w:t xml:space="preserve">process </w:t>
      </w:r>
      <w:r w:rsidR="00C52354" w:rsidRPr="00EB1AA2">
        <w:t xml:space="preserve">combinations that </w:t>
      </w:r>
      <w:r w:rsidR="009F2263">
        <w:t>a</w:t>
      </w:r>
      <w:r w:rsidR="00C52354" w:rsidRPr="00EB1AA2">
        <w:t xml:space="preserve"> future</w:t>
      </w:r>
      <w:r>
        <w:t xml:space="preserve"> </w:t>
      </w:r>
      <w:proofErr w:type="spellStart"/>
      <w:r>
        <w:t>LiB</w:t>
      </w:r>
      <w:proofErr w:type="spellEnd"/>
      <w:r w:rsidR="00C52354" w:rsidRPr="00EB1AA2">
        <w:t xml:space="preserve"> life</w:t>
      </w:r>
      <w:r w:rsidR="00074868">
        <w:t xml:space="preserve"> </w:t>
      </w:r>
      <w:r w:rsidR="00C52354" w:rsidRPr="00EB1AA2">
        <w:t xml:space="preserve">cycle can encompass, including recycling technologies </w:t>
      </w:r>
      <w:r w:rsidRPr="00EB1AA2">
        <w:t xml:space="preserve">implementable </w:t>
      </w:r>
      <w:r w:rsidR="00C52354" w:rsidRPr="00EB1AA2">
        <w:t>in the development stage</w:t>
      </w:r>
      <w:r w:rsidR="00880D40" w:rsidRPr="00EB1AA2">
        <w:rPr>
          <w:rFonts w:hint="eastAsia"/>
          <w:lang w:eastAsia="ja-JP"/>
        </w:rPr>
        <w:t>.</w:t>
      </w:r>
      <w:r w:rsidR="00880D40" w:rsidRPr="00EB1AA2">
        <w:rPr>
          <w:lang w:eastAsia="ja-JP"/>
        </w:rPr>
        <w:t xml:space="preserve"> The </w:t>
      </w:r>
      <w:r w:rsidR="00880D40" w:rsidRPr="00EB1AA2">
        <w:t>s</w:t>
      </w:r>
      <w:r w:rsidR="0006555F" w:rsidRPr="00EB1AA2">
        <w:t>uperstructure was used to visualize the recycling process with a combination of available technologies and was also used to set the case</w:t>
      </w:r>
      <w:r>
        <w:t>s</w:t>
      </w:r>
      <w:r w:rsidR="0006555F" w:rsidRPr="00EB1AA2">
        <w:t xml:space="preserve"> in the LCA.</w:t>
      </w:r>
    </w:p>
    <w:p w14:paraId="144DE699" w14:textId="7386D7BE" w:rsidR="008D2649" w:rsidRPr="00EB1AA2" w:rsidRDefault="00504EA9" w:rsidP="008D2649">
      <w:pPr>
        <w:pStyle w:val="Els-1storder-head"/>
      </w:pPr>
      <w:r w:rsidRPr="00EB1AA2">
        <w:t>Methods</w:t>
      </w:r>
    </w:p>
    <w:p w14:paraId="144DE69A" w14:textId="7B88FF90" w:rsidR="008D2649" w:rsidRPr="00EB1AA2" w:rsidRDefault="00CB2BA4" w:rsidP="00526F76">
      <w:pPr>
        <w:pStyle w:val="Els-2ndorder-head"/>
      </w:pPr>
      <w:r w:rsidRPr="00EB1AA2">
        <w:t xml:space="preserve">LCA of </w:t>
      </w:r>
      <w:proofErr w:type="spellStart"/>
      <w:r w:rsidR="009F11AB" w:rsidRPr="00EB1AA2">
        <w:t>LiB</w:t>
      </w:r>
      <w:proofErr w:type="spellEnd"/>
      <w:r w:rsidRPr="00EB1AA2">
        <w:t xml:space="preserve"> cathode</w:t>
      </w:r>
    </w:p>
    <w:p w14:paraId="707F716C" w14:textId="7340DC87" w:rsidR="00760D70" w:rsidRPr="00EB1AA2" w:rsidRDefault="00FD7418" w:rsidP="00526F76">
      <w:pPr>
        <w:pStyle w:val="Els-body-text"/>
        <w:spacing w:after="120"/>
        <w:rPr>
          <w:lang w:eastAsia="ja-JP"/>
        </w:rPr>
      </w:pPr>
      <w:r w:rsidRPr="00EB1AA2">
        <w:rPr>
          <w:lang w:eastAsia="ja-JP"/>
        </w:rPr>
        <w:t xml:space="preserve">The functional unit was set as </w:t>
      </w:r>
      <w:r w:rsidR="00DD292D">
        <w:rPr>
          <w:lang w:eastAsia="ja-JP"/>
        </w:rPr>
        <w:t xml:space="preserve">a </w:t>
      </w:r>
      <w:r w:rsidRPr="00EB1AA2">
        <w:rPr>
          <w:lang w:eastAsia="ja-JP"/>
        </w:rPr>
        <w:t xml:space="preserve">1 kg automotive </w:t>
      </w:r>
      <w:proofErr w:type="spellStart"/>
      <w:r w:rsidRPr="00EB1AA2">
        <w:rPr>
          <w:lang w:eastAsia="ja-JP"/>
        </w:rPr>
        <w:t>LiB</w:t>
      </w:r>
      <w:proofErr w:type="spellEnd"/>
      <w:r w:rsidRPr="00EB1AA2">
        <w:rPr>
          <w:lang w:eastAsia="ja-JP"/>
        </w:rPr>
        <w:t xml:space="preserve">, NMC111 cathode. </w:t>
      </w:r>
      <w:r w:rsidR="009F11AB" w:rsidRPr="00EB1AA2">
        <w:rPr>
          <w:lang w:eastAsia="ja-JP"/>
        </w:rPr>
        <w:t xml:space="preserve">Figure 1 presents the </w:t>
      </w:r>
      <w:r w:rsidR="00074868">
        <w:rPr>
          <w:lang w:eastAsia="ja-JP"/>
        </w:rPr>
        <w:t>life-cycle</w:t>
      </w:r>
      <w:r w:rsidR="009F11AB" w:rsidRPr="00EB1AA2">
        <w:rPr>
          <w:lang w:eastAsia="ja-JP"/>
        </w:rPr>
        <w:t xml:space="preserve"> boundary in </w:t>
      </w:r>
      <w:r w:rsidR="007C5A8B" w:rsidRPr="00EB1AA2">
        <w:rPr>
          <w:lang w:eastAsia="ja-JP"/>
        </w:rPr>
        <w:t>this</w:t>
      </w:r>
      <w:r w:rsidR="00B4536C" w:rsidRPr="00EB1AA2">
        <w:rPr>
          <w:lang w:eastAsia="ja-JP"/>
        </w:rPr>
        <w:t xml:space="preserve"> </w:t>
      </w:r>
      <w:r w:rsidR="009F11AB" w:rsidRPr="00EB1AA2">
        <w:rPr>
          <w:lang w:eastAsia="ja-JP"/>
        </w:rPr>
        <w:t>study. The collection and transportation phases are outside the boundary.</w:t>
      </w:r>
      <w:r w:rsidR="009349B2" w:rsidRPr="00EB1AA2">
        <w:rPr>
          <w:lang w:eastAsia="ja-JP"/>
        </w:rPr>
        <w:t xml:space="preserve"> </w:t>
      </w:r>
      <w:r w:rsidRPr="00EB1AA2">
        <w:rPr>
          <w:lang w:eastAsia="ja-JP"/>
        </w:rPr>
        <w:t xml:space="preserve">The recycling targets are </w:t>
      </w:r>
      <w:r w:rsidR="00DD292D">
        <w:rPr>
          <w:lang w:eastAsia="ja-JP"/>
        </w:rPr>
        <w:t>Co</w:t>
      </w:r>
      <w:r w:rsidRPr="00EB1AA2">
        <w:rPr>
          <w:lang w:eastAsia="ja-JP"/>
        </w:rPr>
        <w:t xml:space="preserve"> and </w:t>
      </w:r>
      <w:r w:rsidR="00DD292D">
        <w:rPr>
          <w:lang w:eastAsia="ja-JP"/>
        </w:rPr>
        <w:t xml:space="preserve">Ni; </w:t>
      </w:r>
      <w:r w:rsidRPr="00EB1AA2">
        <w:rPr>
          <w:lang w:eastAsia="ja-JP"/>
        </w:rPr>
        <w:t xml:space="preserve">the recovery of </w:t>
      </w:r>
      <w:r w:rsidR="00DD292D">
        <w:rPr>
          <w:lang w:eastAsia="ja-JP"/>
        </w:rPr>
        <w:t>Mn</w:t>
      </w:r>
      <w:r w:rsidRPr="00EB1AA2">
        <w:rPr>
          <w:lang w:eastAsia="ja-JP"/>
        </w:rPr>
        <w:t xml:space="preserve"> and </w:t>
      </w:r>
      <w:r w:rsidR="00DD292D">
        <w:rPr>
          <w:lang w:eastAsia="ja-JP"/>
        </w:rPr>
        <w:t>Al</w:t>
      </w:r>
      <w:r w:rsidRPr="00EB1AA2">
        <w:rPr>
          <w:lang w:eastAsia="ja-JP"/>
        </w:rPr>
        <w:t xml:space="preserve"> is outside the</w:t>
      </w:r>
      <w:r w:rsidR="00760D70" w:rsidRPr="00EB1AA2">
        <w:rPr>
          <w:lang w:eastAsia="ja-JP"/>
        </w:rPr>
        <w:t xml:space="preserve"> boundary.</w:t>
      </w:r>
    </w:p>
    <w:p w14:paraId="31BFAF9A" w14:textId="4F82205D" w:rsidR="009F11AB" w:rsidRPr="00EB1AA2" w:rsidRDefault="009F11AB" w:rsidP="007F2C16">
      <w:pPr>
        <w:pStyle w:val="Els-body-text"/>
      </w:pPr>
      <w:r w:rsidRPr="00EB1AA2">
        <w:rPr>
          <w:lang w:eastAsia="ja-JP"/>
        </w:rPr>
        <w:t>Pre</w:t>
      </w:r>
      <w:r w:rsidR="00FC5692" w:rsidRPr="00EB1AA2">
        <w:rPr>
          <w:lang w:eastAsia="ja-JP"/>
        </w:rPr>
        <w:t>treatment</w:t>
      </w:r>
      <w:r w:rsidRPr="00EB1AA2">
        <w:rPr>
          <w:lang w:eastAsia="ja-JP"/>
        </w:rPr>
        <w:t xml:space="preserve"> includes </w:t>
      </w:r>
      <w:r w:rsidR="00FC5692" w:rsidRPr="00EB1AA2">
        <w:rPr>
          <w:lang w:eastAsia="ja-JP"/>
        </w:rPr>
        <w:t>smelting</w:t>
      </w:r>
      <w:r w:rsidRPr="00EB1AA2">
        <w:rPr>
          <w:lang w:eastAsia="ja-JP"/>
        </w:rPr>
        <w:t xml:space="preserve">, roasting, and </w:t>
      </w:r>
      <w:r w:rsidR="00FC5692" w:rsidRPr="00EB1AA2">
        <w:rPr>
          <w:lang w:eastAsia="ja-JP"/>
        </w:rPr>
        <w:t>pulsed discharging</w:t>
      </w:r>
      <w:r w:rsidRPr="00EB1AA2">
        <w:rPr>
          <w:lang w:eastAsia="ja-JP"/>
        </w:rPr>
        <w:t>, wh</w:t>
      </w:r>
      <w:r w:rsidR="00DD292D">
        <w:rPr>
          <w:lang w:eastAsia="ja-JP"/>
        </w:rPr>
        <w:t>ereas</w:t>
      </w:r>
      <w:r w:rsidRPr="00EB1AA2">
        <w:rPr>
          <w:lang w:eastAsia="ja-JP"/>
        </w:rPr>
        <w:t xml:space="preserve"> </w:t>
      </w:r>
      <w:r w:rsidR="00FC5692" w:rsidRPr="00EB1AA2">
        <w:rPr>
          <w:lang w:eastAsia="ja-JP"/>
        </w:rPr>
        <w:t xml:space="preserve">hydrometallurgy </w:t>
      </w:r>
      <w:r w:rsidRPr="00EB1AA2">
        <w:rPr>
          <w:lang w:eastAsia="ja-JP"/>
        </w:rPr>
        <w:t xml:space="preserve">involves processes </w:t>
      </w:r>
      <w:r w:rsidR="00DD292D">
        <w:rPr>
          <w:lang w:eastAsia="ja-JP"/>
        </w:rPr>
        <w:t>such as</w:t>
      </w:r>
      <w:r w:rsidRPr="00EB1AA2">
        <w:rPr>
          <w:lang w:eastAsia="ja-JP"/>
        </w:rPr>
        <w:t xml:space="preserve"> acid leaching, solvent extraction, and crystallization. In </w:t>
      </w:r>
      <w:r w:rsidR="00FC5692" w:rsidRPr="00EB1AA2">
        <w:rPr>
          <w:lang w:eastAsia="ja-JP"/>
        </w:rPr>
        <w:t>hydrometallurgy</w:t>
      </w:r>
      <w:r w:rsidRPr="00EB1AA2">
        <w:rPr>
          <w:lang w:eastAsia="ja-JP"/>
        </w:rPr>
        <w:t xml:space="preserve">, </w:t>
      </w:r>
      <w:r w:rsidR="00DD292D">
        <w:rPr>
          <w:lang w:eastAsia="ja-JP"/>
        </w:rPr>
        <w:t>Co</w:t>
      </w:r>
      <w:r w:rsidRPr="00EB1AA2">
        <w:rPr>
          <w:lang w:eastAsia="ja-JP"/>
        </w:rPr>
        <w:t xml:space="preserve"> and </w:t>
      </w:r>
      <w:r w:rsidR="00DD292D">
        <w:rPr>
          <w:lang w:eastAsia="ja-JP"/>
        </w:rPr>
        <w:t>Ni</w:t>
      </w:r>
      <w:r w:rsidRPr="00EB1AA2">
        <w:rPr>
          <w:lang w:eastAsia="ja-JP"/>
        </w:rPr>
        <w:t xml:space="preserve"> are recovered as individual elements or sulfate compounds, wh</w:t>
      </w:r>
      <w:r w:rsidR="00DD292D">
        <w:rPr>
          <w:lang w:eastAsia="ja-JP"/>
        </w:rPr>
        <w:t>ereas</w:t>
      </w:r>
      <w:r w:rsidRPr="00EB1AA2">
        <w:rPr>
          <w:lang w:eastAsia="ja-JP"/>
        </w:rPr>
        <w:t xml:space="preserve"> </w:t>
      </w:r>
      <w:r w:rsidR="00DD292D">
        <w:rPr>
          <w:lang w:eastAsia="ja-JP"/>
        </w:rPr>
        <w:t>Li</w:t>
      </w:r>
      <w:r w:rsidRPr="00EB1AA2">
        <w:rPr>
          <w:lang w:eastAsia="ja-JP"/>
        </w:rPr>
        <w:t xml:space="preserve"> is assumed to be recovered as hydroxides in </w:t>
      </w:r>
      <w:r w:rsidR="00D16506">
        <w:rPr>
          <w:lang w:eastAsia="ja-JP"/>
        </w:rPr>
        <w:t xml:space="preserve">the </w:t>
      </w:r>
      <w:r w:rsidRPr="00EB1AA2">
        <w:rPr>
          <w:lang w:eastAsia="ja-JP"/>
        </w:rPr>
        <w:t>cases where pre</w:t>
      </w:r>
      <w:r w:rsidR="00FC5692" w:rsidRPr="00EB1AA2">
        <w:rPr>
          <w:lang w:eastAsia="ja-JP"/>
        </w:rPr>
        <w:t>treatment</w:t>
      </w:r>
      <w:r w:rsidRPr="00EB1AA2">
        <w:rPr>
          <w:lang w:eastAsia="ja-JP"/>
        </w:rPr>
        <w:t xml:space="preserve"> is different from </w:t>
      </w:r>
      <w:r w:rsidR="00FC5692" w:rsidRPr="00EB1AA2">
        <w:rPr>
          <w:lang w:eastAsia="ja-JP"/>
        </w:rPr>
        <w:t>smelting</w:t>
      </w:r>
      <w:r w:rsidRPr="00EB1AA2">
        <w:rPr>
          <w:lang w:eastAsia="ja-JP"/>
        </w:rPr>
        <w:t>.</w:t>
      </w:r>
      <w:r w:rsidR="00A95B40" w:rsidRPr="00EB1AA2">
        <w:rPr>
          <w:lang w:eastAsia="ja-JP"/>
        </w:rPr>
        <w:t xml:space="preserve"> Recovered metals are considered to avoid primary material production and therefore have a negative environmental impact in the LCA results</w:t>
      </w:r>
      <w:r w:rsidR="00601CBA" w:rsidRPr="00EB1AA2">
        <w:rPr>
          <w:lang w:eastAsia="ja-JP"/>
        </w:rPr>
        <w:t xml:space="preserve"> </w:t>
      </w:r>
      <w:r w:rsidR="00B34F4D" w:rsidRPr="00EB1AA2">
        <w:rPr>
          <w:lang w:eastAsia="ja-JP"/>
        </w:rPr>
        <w:t>(</w:t>
      </w:r>
      <w:proofErr w:type="spellStart"/>
      <w:r w:rsidR="00B34F4D" w:rsidRPr="00EB1AA2">
        <w:rPr>
          <w:lang w:eastAsia="ja-JP"/>
        </w:rPr>
        <w:t>Nordel</w:t>
      </w:r>
      <w:r w:rsidR="00BE72B3" w:rsidRPr="00EB1AA2">
        <w:rPr>
          <w:rFonts w:hint="eastAsia"/>
          <w:lang w:eastAsia="ja-JP"/>
        </w:rPr>
        <w:t>ö</w:t>
      </w:r>
      <w:r w:rsidR="00B34F4D" w:rsidRPr="00EB1AA2">
        <w:rPr>
          <w:lang w:eastAsia="ja-JP"/>
        </w:rPr>
        <w:t>f</w:t>
      </w:r>
      <w:proofErr w:type="spellEnd"/>
      <w:r w:rsidR="00B34F4D" w:rsidRPr="00EB1AA2">
        <w:rPr>
          <w:lang w:eastAsia="ja-JP"/>
        </w:rPr>
        <w:t xml:space="preserve"> et al., 2019). Dire</w:t>
      </w:r>
      <w:r w:rsidRPr="00EB1AA2">
        <w:rPr>
          <w:lang w:eastAsia="ja-JP"/>
        </w:rPr>
        <w:t xml:space="preserve">ct recycling through </w:t>
      </w:r>
      <w:r w:rsidR="00FC5692" w:rsidRPr="00EB1AA2">
        <w:rPr>
          <w:lang w:eastAsia="ja-JP"/>
        </w:rPr>
        <w:t>pulsed discharging</w:t>
      </w:r>
      <w:r w:rsidRPr="00EB1AA2">
        <w:rPr>
          <w:lang w:eastAsia="ja-JP"/>
        </w:rPr>
        <w:t xml:space="preserve"> is assumed to recover positive electrode active materials and use them in positive electrode </w:t>
      </w:r>
      <w:r w:rsidR="00B34F4D" w:rsidRPr="00EB1AA2">
        <w:rPr>
          <w:lang w:eastAsia="ja-JP"/>
        </w:rPr>
        <w:t>production</w:t>
      </w:r>
      <w:r w:rsidR="00180A3C" w:rsidRPr="00EB1AA2">
        <w:rPr>
          <w:lang w:eastAsia="ja-JP"/>
        </w:rPr>
        <w:t xml:space="preserve"> </w:t>
      </w:r>
      <w:r w:rsidR="00180A3C" w:rsidRPr="00EB1AA2">
        <w:t>(</w:t>
      </w:r>
      <w:proofErr w:type="spellStart"/>
      <w:r w:rsidR="00180A3C" w:rsidRPr="00EB1AA2">
        <w:t>Tokoro</w:t>
      </w:r>
      <w:proofErr w:type="spellEnd"/>
      <w:r w:rsidR="00180A3C" w:rsidRPr="00EB1AA2">
        <w:t xml:space="preserve"> et al., 2021)</w:t>
      </w:r>
      <w:r w:rsidR="009852BA" w:rsidRPr="00EB1AA2">
        <w:t>.</w:t>
      </w:r>
    </w:p>
    <w:p w14:paraId="04997556" w14:textId="7E4F456B" w:rsidR="00B4536C" w:rsidRPr="00EB1AA2" w:rsidRDefault="00610061" w:rsidP="007F2C16">
      <w:pPr>
        <w:pStyle w:val="Els-body-text"/>
      </w:pPr>
      <w:r>
        <w:rPr>
          <w:noProof/>
        </w:rPr>
        <w:drawing>
          <wp:inline distT="0" distB="0" distL="0" distR="0" wp14:anchorId="72D422B4" wp14:editId="3A7895A4">
            <wp:extent cx="4468633" cy="1248719"/>
            <wp:effectExtent l="0" t="0" r="8255" b="8890"/>
            <wp:docPr id="12474143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333" cy="1259813"/>
                    </a:xfrm>
                    <a:prstGeom prst="rect">
                      <a:avLst/>
                    </a:prstGeom>
                    <a:noFill/>
                    <a:ln>
                      <a:noFill/>
                    </a:ln>
                  </pic:spPr>
                </pic:pic>
              </a:graphicData>
            </a:graphic>
          </wp:inline>
        </w:drawing>
      </w:r>
    </w:p>
    <w:p w14:paraId="473BEE3B" w14:textId="0879D9B6" w:rsidR="00DB06C3" w:rsidRPr="00EB1AA2" w:rsidRDefault="00B4536C" w:rsidP="00C013E2">
      <w:pPr>
        <w:pStyle w:val="Els-caption"/>
      </w:pPr>
      <w:r w:rsidRPr="00EB1AA2">
        <w:t>Figure</w:t>
      </w:r>
      <w:r w:rsidR="00233AAF">
        <w:t xml:space="preserve"> 1</w:t>
      </w:r>
      <w:r w:rsidRPr="00EB1AA2">
        <w:t xml:space="preserve"> </w:t>
      </w:r>
      <w:r w:rsidR="00D16506">
        <w:rPr>
          <w:lang w:eastAsia="ja-JP"/>
        </w:rPr>
        <w:t xml:space="preserve">The </w:t>
      </w:r>
      <w:r w:rsidR="00074868">
        <w:rPr>
          <w:lang w:eastAsia="ja-JP"/>
        </w:rPr>
        <w:t>life-cycle</w:t>
      </w:r>
      <w:r w:rsidR="00DB06C3" w:rsidRPr="00EB1AA2">
        <w:t xml:space="preserve"> boundary</w:t>
      </w:r>
      <w:r w:rsidRPr="00EB1AA2">
        <w:t xml:space="preserve"> of this</w:t>
      </w:r>
      <w:r w:rsidRPr="00EB1AA2">
        <w:rPr>
          <w:rFonts w:hint="eastAsia"/>
        </w:rPr>
        <w:t xml:space="preserve"> </w:t>
      </w:r>
      <w:r w:rsidRPr="00EB1AA2">
        <w:t>study</w:t>
      </w:r>
    </w:p>
    <w:p w14:paraId="0A171A09" w14:textId="0F07AB15" w:rsidR="00576D25" w:rsidRPr="00EB1AA2" w:rsidRDefault="00576D25" w:rsidP="00C707BB">
      <w:pPr>
        <w:pStyle w:val="Els-body-text"/>
        <w:spacing w:after="120"/>
        <w:rPr>
          <w:lang w:eastAsia="ja-JP"/>
        </w:rPr>
      </w:pPr>
      <w:r w:rsidRPr="00EB1AA2">
        <w:rPr>
          <w:lang w:eastAsia="ja-JP"/>
        </w:rPr>
        <w:lastRenderedPageBreak/>
        <w:t xml:space="preserve">The inventory data </w:t>
      </w:r>
      <w:r w:rsidR="004D3D50" w:rsidRPr="00EB1AA2">
        <w:rPr>
          <w:rFonts w:hint="eastAsia"/>
          <w:lang w:eastAsia="ja-JP"/>
        </w:rPr>
        <w:t>o</w:t>
      </w:r>
      <w:r w:rsidR="004D3D50" w:rsidRPr="00EB1AA2">
        <w:rPr>
          <w:lang w:eastAsia="ja-JP"/>
        </w:rPr>
        <w:t>f background processes were extracted from</w:t>
      </w:r>
      <w:r w:rsidR="002557EB" w:rsidRPr="002557EB">
        <w:rPr>
          <w:lang w:eastAsia="ja-JP"/>
        </w:rPr>
        <w:t xml:space="preserve"> </w:t>
      </w:r>
      <w:r w:rsidR="002557EB">
        <w:rPr>
          <w:lang w:eastAsia="ja-JP"/>
        </w:rPr>
        <w:t xml:space="preserve">the </w:t>
      </w:r>
      <w:r w:rsidR="002557EB" w:rsidRPr="00EB1AA2">
        <w:rPr>
          <w:lang w:eastAsia="ja-JP"/>
        </w:rPr>
        <w:t>Inventory Database for Environmental Assessment</w:t>
      </w:r>
      <w:r w:rsidR="004D3D50" w:rsidRPr="00EB1AA2">
        <w:rPr>
          <w:lang w:eastAsia="ja-JP"/>
        </w:rPr>
        <w:t xml:space="preserve"> </w:t>
      </w:r>
      <w:r w:rsidR="002557EB">
        <w:rPr>
          <w:lang w:eastAsia="ja-JP"/>
        </w:rPr>
        <w:t>(</w:t>
      </w:r>
      <w:r w:rsidRPr="00EB1AA2">
        <w:rPr>
          <w:lang w:eastAsia="ja-JP"/>
        </w:rPr>
        <w:t>IDEA</w:t>
      </w:r>
      <w:r w:rsidR="002557EB">
        <w:rPr>
          <w:lang w:eastAsia="ja-JP"/>
        </w:rPr>
        <w:t>)</w:t>
      </w:r>
      <w:r w:rsidRPr="00EB1AA2">
        <w:rPr>
          <w:lang w:eastAsia="ja-JP"/>
        </w:rPr>
        <w:t xml:space="preserve"> ver.3.</w:t>
      </w:r>
      <w:r w:rsidR="00AC45A0" w:rsidRPr="00EB1AA2">
        <w:rPr>
          <w:lang w:eastAsia="ja-JP"/>
        </w:rPr>
        <w:t>3 (</w:t>
      </w:r>
      <w:r w:rsidR="00AC45A0" w:rsidRPr="00EB1AA2">
        <w:t>AIST</w:t>
      </w:r>
      <w:r w:rsidR="00AC45A0" w:rsidRPr="00EB1AA2">
        <w:rPr>
          <w:lang w:eastAsia="ja-JP"/>
        </w:rPr>
        <w:t>, 2023)</w:t>
      </w:r>
      <w:r w:rsidRPr="00EB1AA2">
        <w:rPr>
          <w:lang w:eastAsia="ja-JP"/>
        </w:rPr>
        <w:t xml:space="preserve"> and </w:t>
      </w:r>
      <w:proofErr w:type="spellStart"/>
      <w:r w:rsidRPr="00EB1AA2">
        <w:rPr>
          <w:lang w:eastAsia="ja-JP"/>
        </w:rPr>
        <w:t>ecoinvent</w:t>
      </w:r>
      <w:proofErr w:type="spellEnd"/>
      <w:r w:rsidRPr="00EB1AA2">
        <w:rPr>
          <w:lang w:eastAsia="ja-JP"/>
        </w:rPr>
        <w:t xml:space="preserve"> ver.3.8</w:t>
      </w:r>
      <w:r w:rsidR="00AC45A0" w:rsidRPr="00EB1AA2">
        <w:rPr>
          <w:lang w:eastAsia="ja-JP"/>
        </w:rPr>
        <w:t xml:space="preserve"> (</w:t>
      </w:r>
      <w:proofErr w:type="spellStart"/>
      <w:r w:rsidR="00AC45A0" w:rsidRPr="00EB1AA2">
        <w:rPr>
          <w:lang w:eastAsia="ja-JP"/>
        </w:rPr>
        <w:t>ecoinvent</w:t>
      </w:r>
      <w:proofErr w:type="spellEnd"/>
      <w:r w:rsidR="00AC45A0" w:rsidRPr="00EB1AA2">
        <w:rPr>
          <w:lang w:eastAsia="ja-JP"/>
        </w:rPr>
        <w:t>, 2021)</w:t>
      </w:r>
      <w:r w:rsidRPr="00EB1AA2">
        <w:rPr>
          <w:lang w:eastAsia="ja-JP"/>
        </w:rPr>
        <w:t xml:space="preserve">. </w:t>
      </w:r>
      <w:r w:rsidR="0065474E" w:rsidRPr="00EB1AA2">
        <w:rPr>
          <w:lang w:eastAsia="ja-JP"/>
        </w:rPr>
        <w:t xml:space="preserve">For the process data, </w:t>
      </w:r>
      <w:r w:rsidR="00D16506">
        <w:rPr>
          <w:lang w:eastAsia="ja-JP"/>
        </w:rPr>
        <w:t xml:space="preserve">we used </w:t>
      </w:r>
      <w:r w:rsidR="0065474E" w:rsidRPr="00EB1AA2">
        <w:rPr>
          <w:lang w:eastAsia="ja-JP"/>
        </w:rPr>
        <w:t xml:space="preserve">a combination of existing LCA papers and papers on the latest recycling technologies. </w:t>
      </w:r>
      <w:r w:rsidRPr="00EB1AA2">
        <w:rPr>
          <w:lang w:eastAsia="ja-JP"/>
        </w:rPr>
        <w:t xml:space="preserve">The assessment indicators included five </w:t>
      </w:r>
      <w:r w:rsidR="00097644" w:rsidRPr="00EB1AA2">
        <w:rPr>
          <w:lang w:eastAsia="ja-JP"/>
        </w:rPr>
        <w:t>categories</w:t>
      </w:r>
      <w:r w:rsidRPr="00EB1AA2">
        <w:rPr>
          <w:lang w:eastAsia="ja-JP"/>
        </w:rPr>
        <w:t xml:space="preserve">: </w:t>
      </w:r>
      <w:r w:rsidR="004D3D50" w:rsidRPr="00EB1AA2">
        <w:rPr>
          <w:lang w:eastAsia="ja-JP"/>
        </w:rPr>
        <w:t xml:space="preserve">Climate change </w:t>
      </w:r>
      <w:r w:rsidRPr="00EB1AA2">
        <w:rPr>
          <w:lang w:eastAsia="ja-JP"/>
        </w:rPr>
        <w:t>(LC</w:t>
      </w:r>
      <w:r w:rsidR="00097644" w:rsidRPr="00EB1AA2">
        <w:rPr>
          <w:lang w:eastAsia="ja-JP"/>
        </w:rPr>
        <w:t>-</w:t>
      </w:r>
      <w:r w:rsidRPr="00EB1AA2">
        <w:rPr>
          <w:lang w:eastAsia="ja-JP"/>
        </w:rPr>
        <w:t xml:space="preserve">GHG), </w:t>
      </w:r>
      <w:r w:rsidR="004D3D50" w:rsidRPr="00EB1AA2">
        <w:rPr>
          <w:lang w:eastAsia="ja-JP"/>
        </w:rPr>
        <w:t>resource consumption</w:t>
      </w:r>
      <w:r w:rsidR="007F2C16" w:rsidRPr="00EB1AA2">
        <w:rPr>
          <w:lang w:eastAsia="ja-JP"/>
        </w:rPr>
        <w:t xml:space="preserve"> </w:t>
      </w:r>
      <w:r w:rsidRPr="00EB1AA2">
        <w:rPr>
          <w:lang w:eastAsia="ja-JP"/>
        </w:rPr>
        <w:t>(LC</w:t>
      </w:r>
      <w:r w:rsidR="00097644" w:rsidRPr="00EB1AA2">
        <w:rPr>
          <w:lang w:eastAsia="ja-JP"/>
        </w:rPr>
        <w:t>-</w:t>
      </w:r>
      <w:r w:rsidRPr="00EB1AA2">
        <w:rPr>
          <w:lang w:eastAsia="ja-JP"/>
        </w:rPr>
        <w:t xml:space="preserve">RCP), </w:t>
      </w:r>
      <w:r w:rsidR="004D3D50" w:rsidRPr="00EB1AA2">
        <w:rPr>
          <w:lang w:eastAsia="ja-JP"/>
        </w:rPr>
        <w:t>acidification</w:t>
      </w:r>
      <w:r w:rsidR="00097644" w:rsidRPr="00EB1AA2">
        <w:rPr>
          <w:lang w:eastAsia="ja-JP"/>
        </w:rPr>
        <w:t xml:space="preserve">, </w:t>
      </w:r>
      <w:r w:rsidR="004D3D50" w:rsidRPr="00EB1AA2">
        <w:rPr>
          <w:lang w:eastAsia="ja-JP"/>
        </w:rPr>
        <w:t>carcinogenic human toxicity</w:t>
      </w:r>
      <w:r w:rsidRPr="00EB1AA2">
        <w:rPr>
          <w:lang w:eastAsia="ja-JP"/>
        </w:rPr>
        <w:t xml:space="preserve">, </w:t>
      </w:r>
      <w:r w:rsidR="00097644" w:rsidRPr="00EB1AA2">
        <w:rPr>
          <w:lang w:eastAsia="ja-JP"/>
        </w:rPr>
        <w:t xml:space="preserve">and </w:t>
      </w:r>
      <w:r w:rsidR="004D3D50" w:rsidRPr="00EB1AA2">
        <w:rPr>
          <w:lang w:eastAsia="ja-JP"/>
        </w:rPr>
        <w:t>noncarcinogenic human toxicity</w:t>
      </w:r>
      <w:r w:rsidR="00097644" w:rsidRPr="00EB1AA2">
        <w:rPr>
          <w:lang w:eastAsia="ja-JP"/>
        </w:rPr>
        <w:t>.</w:t>
      </w:r>
      <w:r w:rsidRPr="00EB1AA2">
        <w:rPr>
          <w:lang w:eastAsia="ja-JP"/>
        </w:rPr>
        <w:t xml:space="preserve"> </w:t>
      </w:r>
      <w:r w:rsidR="00097644" w:rsidRPr="00EB1AA2">
        <w:rPr>
          <w:lang w:eastAsia="ja-JP"/>
        </w:rPr>
        <w:t>Environmental i</w:t>
      </w:r>
      <w:r w:rsidRPr="00EB1AA2">
        <w:rPr>
          <w:lang w:eastAsia="ja-JP"/>
        </w:rPr>
        <w:t>mpact</w:t>
      </w:r>
      <w:r w:rsidR="00AC45A0" w:rsidRPr="00EB1AA2">
        <w:rPr>
          <w:lang w:eastAsia="ja-JP"/>
        </w:rPr>
        <w:t>s</w:t>
      </w:r>
      <w:r w:rsidR="00097644" w:rsidRPr="00EB1AA2">
        <w:rPr>
          <w:lang w:eastAsia="ja-JP"/>
        </w:rPr>
        <w:t xml:space="preserve"> </w:t>
      </w:r>
      <w:r w:rsidRPr="00EB1AA2">
        <w:rPr>
          <w:lang w:eastAsia="ja-JP"/>
        </w:rPr>
        <w:t xml:space="preserve">were </w:t>
      </w:r>
      <w:r w:rsidR="004D3D50" w:rsidRPr="00EB1AA2">
        <w:rPr>
          <w:lang w:eastAsia="ja-JP"/>
        </w:rPr>
        <w:t>quantified by the impact assessment method applicable for Japanese ecosystems, i.e.,</w:t>
      </w:r>
      <w:r w:rsidR="004D3D50" w:rsidRPr="00D108E8">
        <w:rPr>
          <w:lang w:eastAsia="ja-JP"/>
        </w:rPr>
        <w:t xml:space="preserve"> </w:t>
      </w:r>
      <w:r w:rsidR="006839A3" w:rsidRPr="00D108E8">
        <w:rPr>
          <w:rFonts w:hint="eastAsia"/>
          <w:rPrChange w:id="0" w:author="米塚　智也" w:date="2024-01-05T15:20:00Z">
            <w:rPr>
              <w:rFonts w:hint="eastAsia"/>
              <w:color w:val="333333"/>
              <w:sz w:val="18"/>
              <w:szCs w:val="18"/>
            </w:rPr>
          </w:rPrChange>
        </w:rPr>
        <w:t>Life-cycle Impact Assessment Method based on Endpoint Modeling</w:t>
      </w:r>
      <w:r w:rsidRPr="00D108E8">
        <w:rPr>
          <w:lang w:eastAsia="ja-JP"/>
        </w:rPr>
        <w:t>2</w:t>
      </w:r>
      <w:r w:rsidR="00AC45A0" w:rsidRPr="00EB1AA2">
        <w:rPr>
          <w:lang w:eastAsia="ja-JP"/>
        </w:rPr>
        <w:t xml:space="preserve"> (</w:t>
      </w:r>
      <w:proofErr w:type="spellStart"/>
      <w:r w:rsidR="00523727" w:rsidRPr="00EB1AA2">
        <w:t>Itsubo</w:t>
      </w:r>
      <w:proofErr w:type="spellEnd"/>
      <w:r w:rsidR="00AC45A0" w:rsidRPr="00EB1AA2">
        <w:rPr>
          <w:lang w:eastAsia="ja-JP"/>
        </w:rPr>
        <w:t xml:space="preserve"> and Inaba, 2012)</w:t>
      </w:r>
      <w:r w:rsidRPr="00EB1AA2">
        <w:rPr>
          <w:lang w:eastAsia="ja-JP"/>
        </w:rPr>
        <w:t>.</w:t>
      </w:r>
    </w:p>
    <w:p w14:paraId="36E88455" w14:textId="614D7F12" w:rsidR="005A6CDD" w:rsidRPr="00EB1AA2" w:rsidRDefault="00E51857" w:rsidP="00C2480D">
      <w:pPr>
        <w:pStyle w:val="Els-caption"/>
        <w:rPr>
          <w:lang w:eastAsia="ja-JP"/>
        </w:rPr>
      </w:pPr>
      <w:r w:rsidRPr="00EB1AA2">
        <w:rPr>
          <w:rFonts w:hint="eastAsia"/>
          <w:lang w:eastAsia="ja-JP"/>
        </w:rPr>
        <w:t>T</w:t>
      </w:r>
      <w:r w:rsidRPr="00EB1AA2">
        <w:rPr>
          <w:lang w:eastAsia="ja-JP"/>
        </w:rPr>
        <w:t xml:space="preserve">able 1 </w:t>
      </w:r>
      <w:r w:rsidR="000E15E2" w:rsidRPr="00EB1AA2">
        <w:rPr>
          <w:lang w:eastAsia="ja-JP"/>
        </w:rPr>
        <w:t>Case description, P represents pretreatment and H represents hydrometallurgy.</w:t>
      </w:r>
    </w:p>
    <w:tbl>
      <w:tblPr>
        <w:tblStyle w:val="af0"/>
        <w:tblW w:w="6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324"/>
        <w:gridCol w:w="595"/>
        <w:gridCol w:w="595"/>
        <w:gridCol w:w="595"/>
        <w:gridCol w:w="595"/>
        <w:gridCol w:w="595"/>
        <w:gridCol w:w="595"/>
        <w:gridCol w:w="595"/>
      </w:tblGrid>
      <w:tr w:rsidR="00C2480D" w:rsidRPr="00EB1AA2" w14:paraId="08CE0EEC" w14:textId="77777777" w:rsidTr="009852BA">
        <w:trPr>
          <w:trHeight w:val="170"/>
        </w:trPr>
        <w:tc>
          <w:tcPr>
            <w:tcW w:w="454" w:type="dxa"/>
            <w:tcBorders>
              <w:top w:val="single" w:sz="4" w:space="0" w:color="auto"/>
              <w:bottom w:val="single" w:sz="12" w:space="0" w:color="auto"/>
            </w:tcBorders>
          </w:tcPr>
          <w:p w14:paraId="612ECD07" w14:textId="77777777" w:rsidR="00C2480D" w:rsidRPr="00EB1AA2" w:rsidRDefault="00C2480D" w:rsidP="00C2480D">
            <w:pPr>
              <w:pStyle w:val="Els-body-text"/>
            </w:pPr>
          </w:p>
        </w:tc>
        <w:tc>
          <w:tcPr>
            <w:tcW w:w="2324" w:type="dxa"/>
            <w:tcBorders>
              <w:top w:val="single" w:sz="4" w:space="0" w:color="auto"/>
              <w:bottom w:val="single" w:sz="12" w:space="0" w:color="auto"/>
            </w:tcBorders>
          </w:tcPr>
          <w:p w14:paraId="5B7C71F6" w14:textId="5C376ADB" w:rsidR="00C2480D" w:rsidRPr="00EB1AA2" w:rsidRDefault="00C2480D" w:rsidP="002A40D4">
            <w:pPr>
              <w:pStyle w:val="Els-body-text"/>
              <w:jc w:val="center"/>
              <w:rPr>
                <w:b/>
                <w:bCs/>
                <w:lang w:eastAsia="ja-JP"/>
              </w:rPr>
            </w:pPr>
            <w:r w:rsidRPr="00EB1AA2">
              <w:rPr>
                <w:rFonts w:hint="eastAsia"/>
                <w:b/>
                <w:bCs/>
                <w:lang w:eastAsia="ja-JP"/>
              </w:rPr>
              <w:t>C</w:t>
            </w:r>
            <w:r w:rsidR="002A40D4" w:rsidRPr="00EB1AA2">
              <w:rPr>
                <w:b/>
                <w:bCs/>
                <w:lang w:eastAsia="ja-JP"/>
              </w:rPr>
              <w:t>ase</w:t>
            </w:r>
          </w:p>
        </w:tc>
        <w:tc>
          <w:tcPr>
            <w:tcW w:w="595" w:type="dxa"/>
            <w:tcBorders>
              <w:top w:val="single" w:sz="4" w:space="0" w:color="auto"/>
              <w:bottom w:val="single" w:sz="12" w:space="0" w:color="auto"/>
            </w:tcBorders>
            <w:vAlign w:val="center"/>
          </w:tcPr>
          <w:p w14:paraId="502CE433" w14:textId="47005F5D" w:rsidR="00C2480D" w:rsidRPr="00EB1AA2" w:rsidRDefault="00C2480D" w:rsidP="00C2480D">
            <w:pPr>
              <w:pStyle w:val="Els-body-text"/>
            </w:pPr>
            <w:r w:rsidRPr="00EB1AA2">
              <w:rPr>
                <w:rFonts w:eastAsia="游ゴシック"/>
                <w:b/>
                <w:bCs/>
                <w:color w:val="000000"/>
                <w:lang w:eastAsia="ja-JP"/>
              </w:rPr>
              <w:t>A</w:t>
            </w:r>
          </w:p>
        </w:tc>
        <w:tc>
          <w:tcPr>
            <w:tcW w:w="595" w:type="dxa"/>
            <w:tcBorders>
              <w:top w:val="single" w:sz="4" w:space="0" w:color="auto"/>
              <w:bottom w:val="single" w:sz="12" w:space="0" w:color="auto"/>
            </w:tcBorders>
            <w:vAlign w:val="center"/>
          </w:tcPr>
          <w:p w14:paraId="653B5FB4" w14:textId="74573DB6" w:rsidR="00C2480D" w:rsidRPr="00EB1AA2" w:rsidRDefault="00C2480D" w:rsidP="00C2480D">
            <w:pPr>
              <w:pStyle w:val="Els-body-text"/>
            </w:pPr>
            <w:r w:rsidRPr="00EB1AA2">
              <w:rPr>
                <w:rFonts w:eastAsia="游ゴシック"/>
                <w:b/>
                <w:bCs/>
                <w:color w:val="000000"/>
                <w:lang w:eastAsia="ja-JP"/>
              </w:rPr>
              <w:t>B-1</w:t>
            </w:r>
          </w:p>
        </w:tc>
        <w:tc>
          <w:tcPr>
            <w:tcW w:w="595" w:type="dxa"/>
            <w:tcBorders>
              <w:top w:val="single" w:sz="4" w:space="0" w:color="auto"/>
              <w:bottom w:val="single" w:sz="12" w:space="0" w:color="auto"/>
            </w:tcBorders>
            <w:vAlign w:val="center"/>
          </w:tcPr>
          <w:p w14:paraId="31D35ACD" w14:textId="51E76188" w:rsidR="00C2480D" w:rsidRPr="00EB1AA2" w:rsidRDefault="00C2480D" w:rsidP="00C2480D">
            <w:pPr>
              <w:pStyle w:val="Els-body-text"/>
            </w:pPr>
            <w:r w:rsidRPr="00EB1AA2">
              <w:rPr>
                <w:rFonts w:eastAsia="游ゴシック"/>
                <w:b/>
                <w:bCs/>
                <w:color w:val="000000"/>
                <w:lang w:eastAsia="ja-JP"/>
              </w:rPr>
              <w:t>C-1</w:t>
            </w:r>
          </w:p>
        </w:tc>
        <w:tc>
          <w:tcPr>
            <w:tcW w:w="595" w:type="dxa"/>
            <w:tcBorders>
              <w:top w:val="single" w:sz="4" w:space="0" w:color="auto"/>
              <w:bottom w:val="single" w:sz="12" w:space="0" w:color="auto"/>
            </w:tcBorders>
            <w:vAlign w:val="center"/>
          </w:tcPr>
          <w:p w14:paraId="144F3F38" w14:textId="34958655" w:rsidR="00C2480D" w:rsidRPr="00EB1AA2" w:rsidRDefault="00C2480D" w:rsidP="00C2480D">
            <w:pPr>
              <w:pStyle w:val="Els-body-text"/>
            </w:pPr>
            <w:r w:rsidRPr="00EB1AA2">
              <w:rPr>
                <w:rFonts w:eastAsia="游ゴシック"/>
                <w:b/>
                <w:bCs/>
                <w:color w:val="000000"/>
                <w:lang w:eastAsia="ja-JP"/>
              </w:rPr>
              <w:t>C-2</w:t>
            </w:r>
          </w:p>
        </w:tc>
        <w:tc>
          <w:tcPr>
            <w:tcW w:w="595" w:type="dxa"/>
            <w:tcBorders>
              <w:top w:val="single" w:sz="4" w:space="0" w:color="auto"/>
              <w:bottom w:val="single" w:sz="12" w:space="0" w:color="auto"/>
            </w:tcBorders>
            <w:vAlign w:val="center"/>
          </w:tcPr>
          <w:p w14:paraId="3F390B87" w14:textId="674F423E" w:rsidR="00C2480D" w:rsidRPr="00EB1AA2" w:rsidRDefault="00C2480D" w:rsidP="00C2480D">
            <w:pPr>
              <w:pStyle w:val="Els-body-text"/>
            </w:pPr>
            <w:r w:rsidRPr="00EB1AA2">
              <w:rPr>
                <w:rFonts w:eastAsia="游ゴシック"/>
                <w:b/>
                <w:bCs/>
                <w:color w:val="000000"/>
                <w:lang w:eastAsia="ja-JP"/>
              </w:rPr>
              <w:t>D-1</w:t>
            </w:r>
          </w:p>
        </w:tc>
        <w:tc>
          <w:tcPr>
            <w:tcW w:w="595" w:type="dxa"/>
            <w:tcBorders>
              <w:top w:val="single" w:sz="4" w:space="0" w:color="auto"/>
              <w:bottom w:val="single" w:sz="12" w:space="0" w:color="auto"/>
            </w:tcBorders>
            <w:vAlign w:val="center"/>
          </w:tcPr>
          <w:p w14:paraId="0A7C1F20" w14:textId="66AD3CC8" w:rsidR="00C2480D" w:rsidRPr="00EB1AA2" w:rsidRDefault="00C2480D" w:rsidP="00C2480D">
            <w:pPr>
              <w:pStyle w:val="Els-body-text"/>
            </w:pPr>
            <w:r w:rsidRPr="00EB1AA2">
              <w:rPr>
                <w:rFonts w:eastAsia="游ゴシック"/>
                <w:b/>
                <w:bCs/>
                <w:color w:val="000000"/>
                <w:lang w:eastAsia="ja-JP"/>
              </w:rPr>
              <w:t>D-2</w:t>
            </w:r>
          </w:p>
        </w:tc>
        <w:tc>
          <w:tcPr>
            <w:tcW w:w="595" w:type="dxa"/>
            <w:tcBorders>
              <w:top w:val="single" w:sz="4" w:space="0" w:color="auto"/>
              <w:bottom w:val="single" w:sz="12" w:space="0" w:color="auto"/>
            </w:tcBorders>
            <w:vAlign w:val="center"/>
          </w:tcPr>
          <w:p w14:paraId="56C2C360" w14:textId="1F01B2F4" w:rsidR="00C2480D" w:rsidRPr="00EB1AA2" w:rsidRDefault="00C2480D" w:rsidP="00C2480D">
            <w:pPr>
              <w:pStyle w:val="Els-body-text"/>
            </w:pPr>
            <w:r w:rsidRPr="00EB1AA2">
              <w:rPr>
                <w:rFonts w:eastAsia="游ゴシック"/>
                <w:b/>
                <w:bCs/>
                <w:color w:val="000000"/>
                <w:lang w:eastAsia="ja-JP"/>
              </w:rPr>
              <w:t>E</w:t>
            </w:r>
          </w:p>
        </w:tc>
      </w:tr>
      <w:tr w:rsidR="00C2480D" w:rsidRPr="00EB1AA2" w14:paraId="7A065604" w14:textId="77777777" w:rsidTr="00C2480D">
        <w:trPr>
          <w:trHeight w:val="170"/>
        </w:trPr>
        <w:tc>
          <w:tcPr>
            <w:tcW w:w="454" w:type="dxa"/>
            <w:tcBorders>
              <w:top w:val="single" w:sz="12" w:space="0" w:color="auto"/>
            </w:tcBorders>
            <w:shd w:val="clear" w:color="auto" w:fill="92D050"/>
          </w:tcPr>
          <w:p w14:paraId="641F2D6D" w14:textId="77777777" w:rsidR="00C2480D" w:rsidRPr="00EB1AA2" w:rsidRDefault="00C2480D" w:rsidP="00C2480D">
            <w:pPr>
              <w:pStyle w:val="Els-body-text"/>
            </w:pPr>
          </w:p>
        </w:tc>
        <w:tc>
          <w:tcPr>
            <w:tcW w:w="2324" w:type="dxa"/>
            <w:tcBorders>
              <w:top w:val="single" w:sz="12" w:space="0" w:color="auto"/>
            </w:tcBorders>
            <w:shd w:val="clear" w:color="auto" w:fill="92D050"/>
            <w:vAlign w:val="center"/>
          </w:tcPr>
          <w:p w14:paraId="1B1EA98F" w14:textId="4E5D031C" w:rsidR="00C2480D" w:rsidRPr="00EB1AA2" w:rsidRDefault="00C2480D" w:rsidP="00C2480D">
            <w:pPr>
              <w:pStyle w:val="Els-body-text"/>
            </w:pPr>
            <w:r w:rsidRPr="00EB1AA2">
              <w:rPr>
                <w:rFonts w:eastAsia="游ゴシック"/>
                <w:b/>
                <w:bCs/>
                <w:color w:val="000000"/>
                <w:lang w:eastAsia="ja-JP"/>
              </w:rPr>
              <w:t>Production</w:t>
            </w:r>
          </w:p>
        </w:tc>
        <w:tc>
          <w:tcPr>
            <w:tcW w:w="595" w:type="dxa"/>
            <w:tcBorders>
              <w:top w:val="single" w:sz="12" w:space="0" w:color="auto"/>
            </w:tcBorders>
            <w:shd w:val="clear" w:color="auto" w:fill="92D050"/>
            <w:vAlign w:val="center"/>
          </w:tcPr>
          <w:p w14:paraId="025B8934" w14:textId="0D9BFF3B"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0CAB307D" w14:textId="349B2572"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1E6FDF6A" w14:textId="3EF843EE"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44DAB23A" w14:textId="5552E02B"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14F425AA" w14:textId="676EC23C"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7555AA98" w14:textId="1F1E783A"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tcBorders>
              <w:top w:val="single" w:sz="12" w:space="0" w:color="auto"/>
            </w:tcBorders>
            <w:shd w:val="clear" w:color="auto" w:fill="92D050"/>
            <w:vAlign w:val="center"/>
          </w:tcPr>
          <w:p w14:paraId="727E8021" w14:textId="6EF70948"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r>
      <w:tr w:rsidR="00C2480D" w:rsidRPr="00EB1AA2" w14:paraId="04929BE7" w14:textId="77777777" w:rsidTr="00C2480D">
        <w:trPr>
          <w:trHeight w:val="170"/>
        </w:trPr>
        <w:tc>
          <w:tcPr>
            <w:tcW w:w="454" w:type="dxa"/>
            <w:shd w:val="clear" w:color="auto" w:fill="FBD4B4" w:themeFill="accent6" w:themeFillTint="66"/>
          </w:tcPr>
          <w:p w14:paraId="601EC42C" w14:textId="77777777" w:rsidR="00C2480D" w:rsidRPr="00EB1AA2" w:rsidRDefault="00C2480D" w:rsidP="00C2480D">
            <w:pPr>
              <w:pStyle w:val="Els-body-text"/>
            </w:pPr>
          </w:p>
        </w:tc>
        <w:tc>
          <w:tcPr>
            <w:tcW w:w="2324" w:type="dxa"/>
            <w:shd w:val="clear" w:color="auto" w:fill="FBD4B4" w:themeFill="accent6" w:themeFillTint="66"/>
            <w:vAlign w:val="center"/>
          </w:tcPr>
          <w:p w14:paraId="1758BB68" w14:textId="614D3A63" w:rsidR="00C2480D" w:rsidRPr="00EB1AA2" w:rsidRDefault="00C2480D" w:rsidP="00C2480D">
            <w:pPr>
              <w:pStyle w:val="Els-body-text"/>
            </w:pPr>
            <w:r w:rsidRPr="00EB1AA2">
              <w:rPr>
                <w:rFonts w:eastAsia="游ゴシック"/>
                <w:b/>
                <w:bCs/>
                <w:color w:val="000000"/>
                <w:lang w:eastAsia="ja-JP"/>
              </w:rPr>
              <w:t>Smelting</w:t>
            </w:r>
          </w:p>
        </w:tc>
        <w:tc>
          <w:tcPr>
            <w:tcW w:w="595" w:type="dxa"/>
            <w:shd w:val="clear" w:color="auto" w:fill="FBD4B4" w:themeFill="accent6" w:themeFillTint="66"/>
            <w:vAlign w:val="bottom"/>
          </w:tcPr>
          <w:p w14:paraId="421A3C14" w14:textId="571997A4" w:rsidR="00C2480D" w:rsidRPr="00EB1AA2" w:rsidRDefault="00C2480D" w:rsidP="00C2480D">
            <w:pPr>
              <w:pStyle w:val="Els-body-text"/>
            </w:pPr>
          </w:p>
        </w:tc>
        <w:tc>
          <w:tcPr>
            <w:tcW w:w="595" w:type="dxa"/>
            <w:shd w:val="clear" w:color="auto" w:fill="FBD4B4" w:themeFill="accent6" w:themeFillTint="66"/>
            <w:vAlign w:val="center"/>
          </w:tcPr>
          <w:p w14:paraId="037FA70F" w14:textId="316A8436"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BD4B4" w:themeFill="accent6" w:themeFillTint="66"/>
            <w:vAlign w:val="bottom"/>
          </w:tcPr>
          <w:p w14:paraId="53388B1E" w14:textId="0B2BC385" w:rsidR="00C2480D" w:rsidRPr="00EB1AA2" w:rsidRDefault="00C2480D" w:rsidP="00C2480D">
            <w:pPr>
              <w:pStyle w:val="Els-body-text"/>
            </w:pPr>
          </w:p>
        </w:tc>
        <w:tc>
          <w:tcPr>
            <w:tcW w:w="595" w:type="dxa"/>
            <w:shd w:val="clear" w:color="auto" w:fill="FBD4B4" w:themeFill="accent6" w:themeFillTint="66"/>
            <w:vAlign w:val="bottom"/>
          </w:tcPr>
          <w:p w14:paraId="3B3DDF3B" w14:textId="67E0EF5A" w:rsidR="00C2480D" w:rsidRPr="00EB1AA2" w:rsidRDefault="00C2480D" w:rsidP="00C2480D">
            <w:pPr>
              <w:pStyle w:val="Els-body-text"/>
            </w:pPr>
          </w:p>
        </w:tc>
        <w:tc>
          <w:tcPr>
            <w:tcW w:w="595" w:type="dxa"/>
            <w:shd w:val="clear" w:color="auto" w:fill="FBD4B4" w:themeFill="accent6" w:themeFillTint="66"/>
            <w:vAlign w:val="bottom"/>
          </w:tcPr>
          <w:p w14:paraId="4FA9B266" w14:textId="3B4B3E37" w:rsidR="00C2480D" w:rsidRPr="00EB1AA2" w:rsidRDefault="00C2480D" w:rsidP="00C2480D">
            <w:pPr>
              <w:pStyle w:val="Els-body-text"/>
            </w:pPr>
          </w:p>
        </w:tc>
        <w:tc>
          <w:tcPr>
            <w:tcW w:w="595" w:type="dxa"/>
            <w:shd w:val="clear" w:color="auto" w:fill="FBD4B4" w:themeFill="accent6" w:themeFillTint="66"/>
            <w:vAlign w:val="bottom"/>
          </w:tcPr>
          <w:p w14:paraId="3C2DD656" w14:textId="509E9ABF" w:rsidR="00C2480D" w:rsidRPr="00EB1AA2" w:rsidRDefault="00C2480D" w:rsidP="00C2480D">
            <w:pPr>
              <w:pStyle w:val="Els-body-text"/>
            </w:pPr>
          </w:p>
        </w:tc>
        <w:tc>
          <w:tcPr>
            <w:tcW w:w="595" w:type="dxa"/>
            <w:shd w:val="clear" w:color="auto" w:fill="FBD4B4" w:themeFill="accent6" w:themeFillTint="66"/>
            <w:vAlign w:val="bottom"/>
          </w:tcPr>
          <w:p w14:paraId="45846E91" w14:textId="6FA37843" w:rsidR="00C2480D" w:rsidRPr="00EB1AA2" w:rsidRDefault="00C2480D" w:rsidP="00C2480D">
            <w:pPr>
              <w:pStyle w:val="Els-body-text"/>
            </w:pPr>
          </w:p>
        </w:tc>
      </w:tr>
      <w:tr w:rsidR="00C2480D" w:rsidRPr="00EB1AA2" w14:paraId="7A6E609A" w14:textId="77777777" w:rsidTr="00C2480D">
        <w:trPr>
          <w:trHeight w:val="170"/>
        </w:trPr>
        <w:tc>
          <w:tcPr>
            <w:tcW w:w="454" w:type="dxa"/>
            <w:shd w:val="clear" w:color="auto" w:fill="FBD4B4" w:themeFill="accent6" w:themeFillTint="66"/>
          </w:tcPr>
          <w:p w14:paraId="07739DA0" w14:textId="1A0A610A" w:rsidR="00C2480D" w:rsidRPr="00EB1AA2" w:rsidRDefault="00C2480D" w:rsidP="00C2480D">
            <w:pPr>
              <w:pStyle w:val="Els-body-text"/>
              <w:rPr>
                <w:lang w:eastAsia="ja-JP"/>
              </w:rPr>
            </w:pPr>
            <w:r w:rsidRPr="00EB1AA2">
              <w:rPr>
                <w:rFonts w:hint="eastAsia"/>
                <w:lang w:eastAsia="ja-JP"/>
              </w:rPr>
              <w:t>P</w:t>
            </w:r>
          </w:p>
        </w:tc>
        <w:tc>
          <w:tcPr>
            <w:tcW w:w="2324" w:type="dxa"/>
            <w:shd w:val="clear" w:color="auto" w:fill="FBD4B4" w:themeFill="accent6" w:themeFillTint="66"/>
            <w:vAlign w:val="center"/>
          </w:tcPr>
          <w:p w14:paraId="7972B925" w14:textId="6AC5D369" w:rsidR="00C2480D" w:rsidRPr="00EB1AA2" w:rsidRDefault="00C2480D" w:rsidP="00C2480D">
            <w:pPr>
              <w:pStyle w:val="Els-body-text"/>
            </w:pPr>
            <w:r w:rsidRPr="00EB1AA2">
              <w:rPr>
                <w:rFonts w:eastAsia="游ゴシック"/>
                <w:b/>
                <w:bCs/>
                <w:color w:val="000000"/>
                <w:lang w:eastAsia="ja-JP"/>
              </w:rPr>
              <w:t>Roasting</w:t>
            </w:r>
          </w:p>
        </w:tc>
        <w:tc>
          <w:tcPr>
            <w:tcW w:w="595" w:type="dxa"/>
            <w:shd w:val="clear" w:color="auto" w:fill="FBD4B4" w:themeFill="accent6" w:themeFillTint="66"/>
            <w:vAlign w:val="bottom"/>
          </w:tcPr>
          <w:p w14:paraId="4135BF38" w14:textId="3FF8164A" w:rsidR="00C2480D" w:rsidRPr="00EB1AA2" w:rsidRDefault="00C2480D" w:rsidP="00C2480D">
            <w:pPr>
              <w:pStyle w:val="Els-body-text"/>
            </w:pPr>
          </w:p>
        </w:tc>
        <w:tc>
          <w:tcPr>
            <w:tcW w:w="595" w:type="dxa"/>
            <w:shd w:val="clear" w:color="auto" w:fill="FBD4B4" w:themeFill="accent6" w:themeFillTint="66"/>
            <w:vAlign w:val="bottom"/>
          </w:tcPr>
          <w:p w14:paraId="45F5AE12" w14:textId="007FB325" w:rsidR="00C2480D" w:rsidRPr="00EB1AA2" w:rsidRDefault="00C2480D" w:rsidP="00C2480D">
            <w:pPr>
              <w:pStyle w:val="Els-body-text"/>
            </w:pPr>
          </w:p>
        </w:tc>
        <w:tc>
          <w:tcPr>
            <w:tcW w:w="595" w:type="dxa"/>
            <w:shd w:val="clear" w:color="auto" w:fill="FBD4B4" w:themeFill="accent6" w:themeFillTint="66"/>
            <w:vAlign w:val="center"/>
          </w:tcPr>
          <w:p w14:paraId="7D23C380" w14:textId="60E2DF4D"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BD4B4" w:themeFill="accent6" w:themeFillTint="66"/>
            <w:vAlign w:val="center"/>
          </w:tcPr>
          <w:p w14:paraId="600FF2F8" w14:textId="7A9D7784"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BD4B4" w:themeFill="accent6" w:themeFillTint="66"/>
            <w:vAlign w:val="center"/>
          </w:tcPr>
          <w:p w14:paraId="5EE8FC78" w14:textId="3E0841DF" w:rsidR="00C2480D" w:rsidRPr="00EB1AA2" w:rsidRDefault="00C2480D" w:rsidP="00C2480D">
            <w:pPr>
              <w:pStyle w:val="Els-body-text"/>
            </w:pPr>
          </w:p>
        </w:tc>
        <w:tc>
          <w:tcPr>
            <w:tcW w:w="595" w:type="dxa"/>
            <w:shd w:val="clear" w:color="auto" w:fill="FBD4B4" w:themeFill="accent6" w:themeFillTint="66"/>
            <w:vAlign w:val="center"/>
          </w:tcPr>
          <w:p w14:paraId="2B2A6269" w14:textId="5DD3E107" w:rsidR="00C2480D" w:rsidRPr="00EB1AA2" w:rsidRDefault="00C2480D" w:rsidP="00C2480D">
            <w:pPr>
              <w:pStyle w:val="Els-body-text"/>
            </w:pPr>
          </w:p>
        </w:tc>
        <w:tc>
          <w:tcPr>
            <w:tcW w:w="595" w:type="dxa"/>
            <w:shd w:val="clear" w:color="auto" w:fill="FBD4B4" w:themeFill="accent6" w:themeFillTint="66"/>
            <w:vAlign w:val="center"/>
          </w:tcPr>
          <w:p w14:paraId="140E0F51" w14:textId="246CA6C1" w:rsidR="00C2480D" w:rsidRPr="00EB1AA2" w:rsidRDefault="00C2480D" w:rsidP="00C2480D">
            <w:pPr>
              <w:pStyle w:val="Els-body-text"/>
            </w:pPr>
          </w:p>
        </w:tc>
      </w:tr>
      <w:tr w:rsidR="00C2480D" w:rsidRPr="00EB1AA2" w14:paraId="7DA7350D" w14:textId="77777777" w:rsidTr="00C2480D">
        <w:trPr>
          <w:trHeight w:val="170"/>
        </w:trPr>
        <w:tc>
          <w:tcPr>
            <w:tcW w:w="454" w:type="dxa"/>
            <w:shd w:val="clear" w:color="auto" w:fill="FBD4B4" w:themeFill="accent6" w:themeFillTint="66"/>
          </w:tcPr>
          <w:p w14:paraId="777CED67" w14:textId="77777777" w:rsidR="00C2480D" w:rsidRPr="00EB1AA2" w:rsidRDefault="00C2480D" w:rsidP="00C2480D">
            <w:pPr>
              <w:pStyle w:val="Els-body-text"/>
            </w:pPr>
          </w:p>
        </w:tc>
        <w:tc>
          <w:tcPr>
            <w:tcW w:w="2324" w:type="dxa"/>
            <w:shd w:val="clear" w:color="auto" w:fill="FBD4B4" w:themeFill="accent6" w:themeFillTint="66"/>
            <w:vAlign w:val="center"/>
          </w:tcPr>
          <w:p w14:paraId="0EAC7332" w14:textId="424C4F1E" w:rsidR="00C2480D" w:rsidRPr="00EB1AA2" w:rsidRDefault="00C2480D" w:rsidP="00C2480D">
            <w:pPr>
              <w:pStyle w:val="Els-body-text"/>
            </w:pPr>
            <w:r w:rsidRPr="00EB1AA2">
              <w:rPr>
                <w:rFonts w:eastAsia="游ゴシック"/>
                <w:b/>
                <w:bCs/>
                <w:color w:val="000000"/>
                <w:lang w:eastAsia="ja-JP"/>
              </w:rPr>
              <w:t>Pulsed discharging</w:t>
            </w:r>
          </w:p>
        </w:tc>
        <w:tc>
          <w:tcPr>
            <w:tcW w:w="595" w:type="dxa"/>
            <w:shd w:val="clear" w:color="auto" w:fill="FBD4B4" w:themeFill="accent6" w:themeFillTint="66"/>
            <w:vAlign w:val="bottom"/>
          </w:tcPr>
          <w:p w14:paraId="08CBF280" w14:textId="77461273" w:rsidR="00C2480D" w:rsidRPr="00EB1AA2" w:rsidRDefault="00C2480D" w:rsidP="00C2480D">
            <w:pPr>
              <w:pStyle w:val="Els-body-text"/>
            </w:pPr>
          </w:p>
        </w:tc>
        <w:tc>
          <w:tcPr>
            <w:tcW w:w="595" w:type="dxa"/>
            <w:shd w:val="clear" w:color="auto" w:fill="FBD4B4" w:themeFill="accent6" w:themeFillTint="66"/>
            <w:vAlign w:val="bottom"/>
          </w:tcPr>
          <w:p w14:paraId="1322C7DC" w14:textId="563ECBE6" w:rsidR="00C2480D" w:rsidRPr="00EB1AA2" w:rsidRDefault="00C2480D" w:rsidP="00C2480D">
            <w:pPr>
              <w:pStyle w:val="Els-body-text"/>
            </w:pPr>
          </w:p>
        </w:tc>
        <w:tc>
          <w:tcPr>
            <w:tcW w:w="595" w:type="dxa"/>
            <w:shd w:val="clear" w:color="auto" w:fill="FBD4B4" w:themeFill="accent6" w:themeFillTint="66"/>
            <w:vAlign w:val="center"/>
          </w:tcPr>
          <w:p w14:paraId="3859EE9B" w14:textId="422115CA" w:rsidR="00C2480D" w:rsidRPr="00EB1AA2" w:rsidRDefault="00C2480D" w:rsidP="00C2480D">
            <w:pPr>
              <w:pStyle w:val="Els-body-text"/>
            </w:pPr>
          </w:p>
        </w:tc>
        <w:tc>
          <w:tcPr>
            <w:tcW w:w="595" w:type="dxa"/>
            <w:shd w:val="clear" w:color="auto" w:fill="FBD4B4" w:themeFill="accent6" w:themeFillTint="66"/>
            <w:vAlign w:val="center"/>
          </w:tcPr>
          <w:p w14:paraId="6D23862D" w14:textId="0A4DBB0E" w:rsidR="00C2480D" w:rsidRPr="00EB1AA2" w:rsidRDefault="00C2480D" w:rsidP="00C2480D">
            <w:pPr>
              <w:pStyle w:val="Els-body-text"/>
            </w:pPr>
          </w:p>
        </w:tc>
        <w:tc>
          <w:tcPr>
            <w:tcW w:w="595" w:type="dxa"/>
            <w:shd w:val="clear" w:color="auto" w:fill="FBD4B4" w:themeFill="accent6" w:themeFillTint="66"/>
            <w:vAlign w:val="center"/>
          </w:tcPr>
          <w:p w14:paraId="06DF4C56" w14:textId="7C18DA4E"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BD4B4" w:themeFill="accent6" w:themeFillTint="66"/>
            <w:vAlign w:val="center"/>
          </w:tcPr>
          <w:p w14:paraId="3F802694" w14:textId="607BD32D"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BD4B4" w:themeFill="accent6" w:themeFillTint="66"/>
            <w:vAlign w:val="center"/>
          </w:tcPr>
          <w:p w14:paraId="3254E378" w14:textId="09615478"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r>
      <w:tr w:rsidR="00C2480D" w:rsidRPr="00EB1AA2" w14:paraId="5C28A33F" w14:textId="77777777" w:rsidTr="00C2480D">
        <w:trPr>
          <w:trHeight w:val="170"/>
        </w:trPr>
        <w:tc>
          <w:tcPr>
            <w:tcW w:w="454" w:type="dxa"/>
            <w:shd w:val="clear" w:color="auto" w:fill="DBE5F1" w:themeFill="accent1" w:themeFillTint="33"/>
          </w:tcPr>
          <w:p w14:paraId="12AB3859" w14:textId="77777777" w:rsidR="00C2480D" w:rsidRPr="00EB1AA2" w:rsidRDefault="00C2480D" w:rsidP="00C2480D">
            <w:pPr>
              <w:pStyle w:val="Els-body-text"/>
            </w:pPr>
          </w:p>
        </w:tc>
        <w:tc>
          <w:tcPr>
            <w:tcW w:w="2324" w:type="dxa"/>
            <w:shd w:val="clear" w:color="auto" w:fill="DBE5F1" w:themeFill="accent1" w:themeFillTint="33"/>
            <w:vAlign w:val="center"/>
          </w:tcPr>
          <w:p w14:paraId="4D9D754A" w14:textId="04840200" w:rsidR="00C2480D" w:rsidRPr="00EB1AA2" w:rsidRDefault="00C2480D" w:rsidP="00C2480D">
            <w:pPr>
              <w:pStyle w:val="Els-body-text"/>
            </w:pPr>
            <w:r w:rsidRPr="00EB1AA2">
              <w:rPr>
                <w:rFonts w:eastAsia="游ゴシック"/>
                <w:b/>
                <w:bCs/>
                <w:color w:val="000000"/>
                <w:lang w:eastAsia="ja-JP"/>
              </w:rPr>
              <w:t>Acid leaching</w:t>
            </w:r>
          </w:p>
        </w:tc>
        <w:tc>
          <w:tcPr>
            <w:tcW w:w="595" w:type="dxa"/>
            <w:shd w:val="clear" w:color="auto" w:fill="DBE5F1" w:themeFill="accent1" w:themeFillTint="33"/>
            <w:vAlign w:val="bottom"/>
          </w:tcPr>
          <w:p w14:paraId="2CA9723F" w14:textId="630DC54D" w:rsidR="00C2480D" w:rsidRPr="00EB1AA2" w:rsidRDefault="00C2480D" w:rsidP="00C2480D">
            <w:pPr>
              <w:pStyle w:val="Els-body-text"/>
            </w:pPr>
          </w:p>
        </w:tc>
        <w:tc>
          <w:tcPr>
            <w:tcW w:w="595" w:type="dxa"/>
            <w:shd w:val="clear" w:color="auto" w:fill="DBE5F1" w:themeFill="accent1" w:themeFillTint="33"/>
            <w:vAlign w:val="center"/>
          </w:tcPr>
          <w:p w14:paraId="7B90B6F8" w14:textId="69C31282"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79C8515C" w14:textId="7BA9F132"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14E62DA3" w14:textId="4197018D"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5D717964" w14:textId="592357C3"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654ACD7D" w14:textId="3BEAB001"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bottom"/>
          </w:tcPr>
          <w:p w14:paraId="01BA1E4A" w14:textId="77777777" w:rsidR="00C2480D" w:rsidRPr="00EB1AA2" w:rsidRDefault="00C2480D" w:rsidP="00C2480D">
            <w:pPr>
              <w:pStyle w:val="Els-body-text"/>
            </w:pPr>
          </w:p>
        </w:tc>
      </w:tr>
      <w:tr w:rsidR="00C2480D" w:rsidRPr="00EB1AA2" w14:paraId="2EA8B06E" w14:textId="77777777" w:rsidTr="00C2480D">
        <w:trPr>
          <w:trHeight w:val="170"/>
        </w:trPr>
        <w:tc>
          <w:tcPr>
            <w:tcW w:w="454" w:type="dxa"/>
            <w:shd w:val="clear" w:color="auto" w:fill="DBE5F1" w:themeFill="accent1" w:themeFillTint="33"/>
          </w:tcPr>
          <w:p w14:paraId="1E0B81BB" w14:textId="77777777" w:rsidR="00C2480D" w:rsidRPr="00EB1AA2" w:rsidRDefault="00C2480D" w:rsidP="00C2480D">
            <w:pPr>
              <w:pStyle w:val="Els-body-text"/>
            </w:pPr>
          </w:p>
        </w:tc>
        <w:tc>
          <w:tcPr>
            <w:tcW w:w="2324" w:type="dxa"/>
            <w:shd w:val="clear" w:color="auto" w:fill="DBE5F1" w:themeFill="accent1" w:themeFillTint="33"/>
            <w:vAlign w:val="center"/>
          </w:tcPr>
          <w:p w14:paraId="3A7CA53F" w14:textId="574D7425" w:rsidR="00C2480D" w:rsidRPr="00EB1AA2" w:rsidRDefault="00C2480D" w:rsidP="00C2480D">
            <w:pPr>
              <w:pStyle w:val="Els-body-text"/>
            </w:pPr>
            <w:r w:rsidRPr="00EB1AA2">
              <w:rPr>
                <w:rFonts w:eastAsia="游ゴシック"/>
                <w:b/>
                <w:bCs/>
                <w:color w:val="000000"/>
                <w:lang w:eastAsia="ja-JP"/>
              </w:rPr>
              <w:t>Solvent extraction</w:t>
            </w:r>
          </w:p>
        </w:tc>
        <w:tc>
          <w:tcPr>
            <w:tcW w:w="595" w:type="dxa"/>
            <w:shd w:val="clear" w:color="auto" w:fill="DBE5F1" w:themeFill="accent1" w:themeFillTint="33"/>
            <w:vAlign w:val="bottom"/>
          </w:tcPr>
          <w:p w14:paraId="5ADC3235" w14:textId="2257042D" w:rsidR="00C2480D" w:rsidRPr="00EB1AA2" w:rsidRDefault="00C2480D" w:rsidP="00C2480D">
            <w:pPr>
              <w:pStyle w:val="Els-body-text"/>
            </w:pPr>
          </w:p>
        </w:tc>
        <w:tc>
          <w:tcPr>
            <w:tcW w:w="595" w:type="dxa"/>
            <w:shd w:val="clear" w:color="auto" w:fill="DBE5F1" w:themeFill="accent1" w:themeFillTint="33"/>
            <w:vAlign w:val="center"/>
          </w:tcPr>
          <w:p w14:paraId="4C7F10AB" w14:textId="78A93319"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41AF3BCD" w14:textId="0E1A464A"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7A95EC7A" w14:textId="21073045"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649E0FAF" w14:textId="2BD38110"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1ECCA716" w14:textId="6C0B0CEA"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2C32A9CC" w14:textId="7F47E6B8" w:rsidR="00C2480D" w:rsidRPr="00EB1AA2" w:rsidRDefault="00C2480D" w:rsidP="00C2480D">
            <w:pPr>
              <w:pStyle w:val="Els-body-text"/>
            </w:pPr>
          </w:p>
        </w:tc>
      </w:tr>
      <w:tr w:rsidR="00C2480D" w:rsidRPr="00EB1AA2" w14:paraId="6AFF96C5" w14:textId="77777777" w:rsidTr="00C2480D">
        <w:trPr>
          <w:trHeight w:val="170"/>
        </w:trPr>
        <w:tc>
          <w:tcPr>
            <w:tcW w:w="454" w:type="dxa"/>
            <w:shd w:val="clear" w:color="auto" w:fill="DBE5F1" w:themeFill="accent1" w:themeFillTint="33"/>
          </w:tcPr>
          <w:p w14:paraId="18854414" w14:textId="117F48FC" w:rsidR="00C2480D" w:rsidRPr="00EB1AA2" w:rsidRDefault="00C2480D" w:rsidP="00C2480D">
            <w:pPr>
              <w:pStyle w:val="Els-body-text"/>
              <w:rPr>
                <w:lang w:eastAsia="ja-JP"/>
              </w:rPr>
            </w:pPr>
            <w:r w:rsidRPr="00EB1AA2">
              <w:rPr>
                <w:rFonts w:hint="eastAsia"/>
                <w:lang w:eastAsia="ja-JP"/>
              </w:rPr>
              <w:t>H</w:t>
            </w:r>
          </w:p>
        </w:tc>
        <w:tc>
          <w:tcPr>
            <w:tcW w:w="2324" w:type="dxa"/>
            <w:shd w:val="clear" w:color="auto" w:fill="DBE5F1" w:themeFill="accent1" w:themeFillTint="33"/>
            <w:vAlign w:val="center"/>
          </w:tcPr>
          <w:p w14:paraId="4B917E1E" w14:textId="516D877B" w:rsidR="00C2480D" w:rsidRPr="00EB1AA2" w:rsidRDefault="00C2480D" w:rsidP="00C2480D">
            <w:pPr>
              <w:pStyle w:val="Els-body-text"/>
            </w:pPr>
            <w:r w:rsidRPr="00EB1AA2">
              <w:rPr>
                <w:rFonts w:eastAsia="游ゴシック"/>
                <w:b/>
                <w:bCs/>
                <w:color w:val="000000"/>
                <w:lang w:eastAsia="ja-JP"/>
              </w:rPr>
              <w:t xml:space="preserve">Electrowinning </w:t>
            </w:r>
          </w:p>
        </w:tc>
        <w:tc>
          <w:tcPr>
            <w:tcW w:w="595" w:type="dxa"/>
            <w:shd w:val="clear" w:color="auto" w:fill="DBE5F1" w:themeFill="accent1" w:themeFillTint="33"/>
            <w:vAlign w:val="bottom"/>
          </w:tcPr>
          <w:p w14:paraId="27A03059" w14:textId="046B1FC7" w:rsidR="00C2480D" w:rsidRPr="00EB1AA2" w:rsidRDefault="00C2480D" w:rsidP="00C2480D">
            <w:pPr>
              <w:pStyle w:val="Els-body-text"/>
            </w:pPr>
          </w:p>
        </w:tc>
        <w:tc>
          <w:tcPr>
            <w:tcW w:w="595" w:type="dxa"/>
            <w:shd w:val="clear" w:color="auto" w:fill="DBE5F1" w:themeFill="accent1" w:themeFillTint="33"/>
            <w:vAlign w:val="center"/>
          </w:tcPr>
          <w:p w14:paraId="476B8BF1" w14:textId="5DD2785B"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03E46C94" w14:textId="6E60186B"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6D261CF0" w14:textId="1CAEBD62" w:rsidR="00C2480D" w:rsidRPr="00EB1AA2" w:rsidRDefault="00C2480D" w:rsidP="00C2480D">
            <w:pPr>
              <w:pStyle w:val="Els-body-text"/>
            </w:pPr>
          </w:p>
        </w:tc>
        <w:tc>
          <w:tcPr>
            <w:tcW w:w="595" w:type="dxa"/>
            <w:shd w:val="clear" w:color="auto" w:fill="DBE5F1" w:themeFill="accent1" w:themeFillTint="33"/>
            <w:vAlign w:val="center"/>
          </w:tcPr>
          <w:p w14:paraId="6A3125B6" w14:textId="433A3465"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7A80A123" w14:textId="76A412E5" w:rsidR="00C2480D" w:rsidRPr="00EB1AA2" w:rsidRDefault="00C2480D" w:rsidP="00C2480D">
            <w:pPr>
              <w:pStyle w:val="Els-body-text"/>
            </w:pPr>
          </w:p>
        </w:tc>
        <w:tc>
          <w:tcPr>
            <w:tcW w:w="595" w:type="dxa"/>
            <w:shd w:val="clear" w:color="auto" w:fill="DBE5F1" w:themeFill="accent1" w:themeFillTint="33"/>
            <w:vAlign w:val="center"/>
          </w:tcPr>
          <w:p w14:paraId="33B2BCBE" w14:textId="0F75C12C" w:rsidR="00C2480D" w:rsidRPr="00EB1AA2" w:rsidRDefault="00C2480D" w:rsidP="00C2480D">
            <w:pPr>
              <w:pStyle w:val="Els-body-text"/>
            </w:pPr>
          </w:p>
        </w:tc>
      </w:tr>
      <w:tr w:rsidR="00C2480D" w:rsidRPr="00EB1AA2" w14:paraId="588F796A" w14:textId="77777777" w:rsidTr="00C2480D">
        <w:trPr>
          <w:trHeight w:val="170"/>
        </w:trPr>
        <w:tc>
          <w:tcPr>
            <w:tcW w:w="454" w:type="dxa"/>
            <w:shd w:val="clear" w:color="auto" w:fill="DBE5F1" w:themeFill="accent1" w:themeFillTint="33"/>
          </w:tcPr>
          <w:p w14:paraId="6A47E3EC" w14:textId="77777777" w:rsidR="00C2480D" w:rsidRPr="00EB1AA2" w:rsidRDefault="00C2480D" w:rsidP="00C2480D">
            <w:pPr>
              <w:pStyle w:val="Els-body-text"/>
            </w:pPr>
          </w:p>
        </w:tc>
        <w:tc>
          <w:tcPr>
            <w:tcW w:w="2324" w:type="dxa"/>
            <w:shd w:val="clear" w:color="auto" w:fill="DBE5F1" w:themeFill="accent1" w:themeFillTint="33"/>
            <w:vAlign w:val="center"/>
          </w:tcPr>
          <w:p w14:paraId="62FFC55A" w14:textId="71F363EE" w:rsidR="00C2480D" w:rsidRPr="00EB1AA2" w:rsidRDefault="00C2480D" w:rsidP="00C2480D">
            <w:pPr>
              <w:pStyle w:val="Els-body-text"/>
            </w:pPr>
            <w:r w:rsidRPr="00EB1AA2">
              <w:rPr>
                <w:rFonts w:eastAsia="游ゴシック"/>
                <w:b/>
                <w:bCs/>
                <w:color w:val="000000"/>
                <w:lang w:eastAsia="ja-JP"/>
              </w:rPr>
              <w:t>Electrodialysis</w:t>
            </w:r>
          </w:p>
        </w:tc>
        <w:tc>
          <w:tcPr>
            <w:tcW w:w="595" w:type="dxa"/>
            <w:shd w:val="clear" w:color="auto" w:fill="DBE5F1" w:themeFill="accent1" w:themeFillTint="33"/>
            <w:vAlign w:val="bottom"/>
          </w:tcPr>
          <w:p w14:paraId="0942E7C3" w14:textId="338070B4" w:rsidR="00C2480D" w:rsidRPr="00EB1AA2" w:rsidRDefault="00C2480D" w:rsidP="00C2480D">
            <w:pPr>
              <w:pStyle w:val="Els-body-text"/>
            </w:pPr>
          </w:p>
        </w:tc>
        <w:tc>
          <w:tcPr>
            <w:tcW w:w="595" w:type="dxa"/>
            <w:shd w:val="clear" w:color="auto" w:fill="DBE5F1" w:themeFill="accent1" w:themeFillTint="33"/>
            <w:vAlign w:val="center"/>
          </w:tcPr>
          <w:p w14:paraId="66C1E40D" w14:textId="5B4A4316" w:rsidR="00C2480D" w:rsidRPr="00EB1AA2" w:rsidRDefault="00C2480D" w:rsidP="00C2480D">
            <w:pPr>
              <w:pStyle w:val="Els-body-text"/>
            </w:pPr>
          </w:p>
        </w:tc>
        <w:tc>
          <w:tcPr>
            <w:tcW w:w="595" w:type="dxa"/>
            <w:shd w:val="clear" w:color="auto" w:fill="DBE5F1" w:themeFill="accent1" w:themeFillTint="33"/>
            <w:vAlign w:val="center"/>
          </w:tcPr>
          <w:p w14:paraId="3756BA1D" w14:textId="6E2CB815"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152EB9E3" w14:textId="449EEC5F"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3C9DFAA7" w14:textId="1FDEE456"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13A5B38F" w14:textId="44EA7954"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bottom"/>
          </w:tcPr>
          <w:p w14:paraId="56E63516" w14:textId="4AFC8A05" w:rsidR="00C2480D" w:rsidRPr="00EB1AA2" w:rsidRDefault="00C2480D" w:rsidP="00C2480D">
            <w:pPr>
              <w:pStyle w:val="Els-body-text"/>
            </w:pPr>
          </w:p>
        </w:tc>
      </w:tr>
      <w:tr w:rsidR="00C2480D" w:rsidRPr="00EB1AA2" w14:paraId="1946E0BA" w14:textId="77777777" w:rsidTr="00C2480D">
        <w:trPr>
          <w:trHeight w:val="170"/>
        </w:trPr>
        <w:tc>
          <w:tcPr>
            <w:tcW w:w="454" w:type="dxa"/>
            <w:shd w:val="clear" w:color="auto" w:fill="DBE5F1" w:themeFill="accent1" w:themeFillTint="33"/>
          </w:tcPr>
          <w:p w14:paraId="1331AAFB" w14:textId="77777777" w:rsidR="00C2480D" w:rsidRPr="00EB1AA2" w:rsidRDefault="00C2480D" w:rsidP="00C2480D">
            <w:pPr>
              <w:pStyle w:val="Els-body-text"/>
            </w:pPr>
          </w:p>
        </w:tc>
        <w:tc>
          <w:tcPr>
            <w:tcW w:w="2324" w:type="dxa"/>
            <w:shd w:val="clear" w:color="auto" w:fill="DBE5F1" w:themeFill="accent1" w:themeFillTint="33"/>
            <w:vAlign w:val="center"/>
          </w:tcPr>
          <w:p w14:paraId="73791FFE" w14:textId="214D9108" w:rsidR="00C2480D" w:rsidRPr="00EB1AA2" w:rsidRDefault="00C2480D" w:rsidP="00C2480D">
            <w:pPr>
              <w:pStyle w:val="Els-body-text"/>
            </w:pPr>
            <w:r w:rsidRPr="00EB1AA2">
              <w:rPr>
                <w:rFonts w:eastAsia="游ゴシック"/>
                <w:b/>
                <w:bCs/>
                <w:color w:val="000000"/>
                <w:lang w:eastAsia="ja-JP"/>
              </w:rPr>
              <w:t>Crystallization</w:t>
            </w:r>
          </w:p>
        </w:tc>
        <w:tc>
          <w:tcPr>
            <w:tcW w:w="595" w:type="dxa"/>
            <w:shd w:val="clear" w:color="auto" w:fill="DBE5F1" w:themeFill="accent1" w:themeFillTint="33"/>
            <w:vAlign w:val="bottom"/>
          </w:tcPr>
          <w:p w14:paraId="08CD580D" w14:textId="5547B24A" w:rsidR="00C2480D" w:rsidRPr="00EB1AA2" w:rsidRDefault="00C2480D" w:rsidP="00C2480D">
            <w:pPr>
              <w:pStyle w:val="Els-body-text"/>
            </w:pPr>
          </w:p>
        </w:tc>
        <w:tc>
          <w:tcPr>
            <w:tcW w:w="595" w:type="dxa"/>
            <w:shd w:val="clear" w:color="auto" w:fill="DBE5F1" w:themeFill="accent1" w:themeFillTint="33"/>
            <w:vAlign w:val="center"/>
          </w:tcPr>
          <w:p w14:paraId="48B7991A" w14:textId="3A8F9DDF" w:rsidR="00C2480D" w:rsidRPr="00EB1AA2" w:rsidRDefault="00C2480D" w:rsidP="00C2480D">
            <w:pPr>
              <w:pStyle w:val="Els-body-text"/>
            </w:pPr>
          </w:p>
        </w:tc>
        <w:tc>
          <w:tcPr>
            <w:tcW w:w="595" w:type="dxa"/>
            <w:shd w:val="clear" w:color="auto" w:fill="DBE5F1" w:themeFill="accent1" w:themeFillTint="33"/>
            <w:vAlign w:val="center"/>
          </w:tcPr>
          <w:p w14:paraId="467964FE" w14:textId="342983DF"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3A24495A" w14:textId="37B4D841"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1D1EDCD0" w14:textId="2FD91213"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center"/>
          </w:tcPr>
          <w:p w14:paraId="4409C63E" w14:textId="35974249"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DBE5F1" w:themeFill="accent1" w:themeFillTint="33"/>
            <w:vAlign w:val="bottom"/>
          </w:tcPr>
          <w:p w14:paraId="46071895" w14:textId="42278C43" w:rsidR="00C2480D" w:rsidRPr="00EB1AA2" w:rsidRDefault="00C2480D" w:rsidP="00C2480D">
            <w:pPr>
              <w:pStyle w:val="Els-body-text"/>
            </w:pPr>
          </w:p>
        </w:tc>
      </w:tr>
      <w:tr w:rsidR="00C2480D" w:rsidRPr="00EB1AA2" w14:paraId="713EC966" w14:textId="77777777" w:rsidTr="00C2480D">
        <w:trPr>
          <w:trHeight w:val="170"/>
        </w:trPr>
        <w:tc>
          <w:tcPr>
            <w:tcW w:w="454" w:type="dxa"/>
            <w:shd w:val="clear" w:color="auto" w:fill="F79646" w:themeFill="accent6"/>
          </w:tcPr>
          <w:p w14:paraId="4F27F5D1" w14:textId="77777777" w:rsidR="00C2480D" w:rsidRPr="00EB1AA2" w:rsidRDefault="00C2480D" w:rsidP="00C2480D">
            <w:pPr>
              <w:pStyle w:val="Els-body-text"/>
            </w:pPr>
          </w:p>
        </w:tc>
        <w:tc>
          <w:tcPr>
            <w:tcW w:w="2324" w:type="dxa"/>
            <w:shd w:val="clear" w:color="auto" w:fill="F79646" w:themeFill="accent6"/>
            <w:vAlign w:val="center"/>
          </w:tcPr>
          <w:p w14:paraId="4B0E403F" w14:textId="1CB231A4" w:rsidR="00C2480D" w:rsidRPr="00EB1AA2" w:rsidRDefault="00C2480D" w:rsidP="00C2480D">
            <w:pPr>
              <w:pStyle w:val="Els-body-text"/>
            </w:pPr>
            <w:r w:rsidRPr="00EB1AA2">
              <w:rPr>
                <w:rFonts w:eastAsia="游ゴシック"/>
                <w:b/>
                <w:bCs/>
                <w:color w:val="000000"/>
                <w:lang w:eastAsia="ja-JP"/>
              </w:rPr>
              <w:t>Incineration and landfill</w:t>
            </w:r>
          </w:p>
        </w:tc>
        <w:tc>
          <w:tcPr>
            <w:tcW w:w="595" w:type="dxa"/>
            <w:shd w:val="clear" w:color="auto" w:fill="F79646" w:themeFill="accent6"/>
            <w:vAlign w:val="center"/>
          </w:tcPr>
          <w:p w14:paraId="7CC38B3F" w14:textId="79881FF6"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F79646" w:themeFill="accent6"/>
            <w:vAlign w:val="bottom"/>
          </w:tcPr>
          <w:p w14:paraId="74C1F255" w14:textId="4007754E" w:rsidR="00C2480D" w:rsidRPr="00EB1AA2" w:rsidRDefault="00C2480D" w:rsidP="00C2480D">
            <w:pPr>
              <w:pStyle w:val="Els-body-text"/>
            </w:pPr>
          </w:p>
        </w:tc>
        <w:tc>
          <w:tcPr>
            <w:tcW w:w="595" w:type="dxa"/>
            <w:shd w:val="clear" w:color="auto" w:fill="F79646" w:themeFill="accent6"/>
            <w:vAlign w:val="bottom"/>
          </w:tcPr>
          <w:p w14:paraId="4F7AB039" w14:textId="39192FEC" w:rsidR="00C2480D" w:rsidRPr="00EB1AA2" w:rsidRDefault="00C2480D" w:rsidP="00C2480D">
            <w:pPr>
              <w:pStyle w:val="Els-body-text"/>
            </w:pPr>
          </w:p>
        </w:tc>
        <w:tc>
          <w:tcPr>
            <w:tcW w:w="595" w:type="dxa"/>
            <w:shd w:val="clear" w:color="auto" w:fill="F79646" w:themeFill="accent6"/>
            <w:vAlign w:val="center"/>
          </w:tcPr>
          <w:p w14:paraId="30C75299" w14:textId="611BB2B1" w:rsidR="00C2480D" w:rsidRPr="00EB1AA2" w:rsidRDefault="00C2480D" w:rsidP="00C2480D">
            <w:pPr>
              <w:pStyle w:val="Els-body-text"/>
              <w:rPr>
                <w:lang w:eastAsia="ja-JP"/>
              </w:rPr>
            </w:pPr>
          </w:p>
        </w:tc>
        <w:tc>
          <w:tcPr>
            <w:tcW w:w="595" w:type="dxa"/>
            <w:shd w:val="clear" w:color="auto" w:fill="F79646" w:themeFill="accent6"/>
            <w:vAlign w:val="bottom"/>
          </w:tcPr>
          <w:p w14:paraId="69B893E4" w14:textId="47B8D7D6" w:rsidR="00C2480D" w:rsidRPr="00EB1AA2" w:rsidRDefault="00C2480D" w:rsidP="00C2480D">
            <w:pPr>
              <w:pStyle w:val="Els-body-text"/>
            </w:pPr>
          </w:p>
        </w:tc>
        <w:tc>
          <w:tcPr>
            <w:tcW w:w="595" w:type="dxa"/>
            <w:shd w:val="clear" w:color="auto" w:fill="F79646" w:themeFill="accent6"/>
            <w:vAlign w:val="center"/>
          </w:tcPr>
          <w:p w14:paraId="690E89A3" w14:textId="50316907" w:rsidR="00C2480D" w:rsidRPr="00EB1AA2" w:rsidRDefault="00C2480D" w:rsidP="00C2480D">
            <w:pPr>
              <w:pStyle w:val="Els-body-text"/>
            </w:pPr>
          </w:p>
        </w:tc>
        <w:tc>
          <w:tcPr>
            <w:tcW w:w="595" w:type="dxa"/>
            <w:shd w:val="clear" w:color="auto" w:fill="F79646" w:themeFill="accent6"/>
            <w:vAlign w:val="bottom"/>
          </w:tcPr>
          <w:p w14:paraId="6DC31D0F" w14:textId="09D84B1E" w:rsidR="00C2480D" w:rsidRPr="00EB1AA2" w:rsidRDefault="00C2480D" w:rsidP="00C2480D">
            <w:pPr>
              <w:pStyle w:val="Els-body-text"/>
            </w:pPr>
          </w:p>
        </w:tc>
      </w:tr>
      <w:tr w:rsidR="00C2480D" w:rsidRPr="00EB1AA2" w14:paraId="338898DF" w14:textId="77777777" w:rsidTr="00C2480D">
        <w:trPr>
          <w:trHeight w:val="170"/>
        </w:trPr>
        <w:tc>
          <w:tcPr>
            <w:tcW w:w="454" w:type="dxa"/>
            <w:shd w:val="clear" w:color="auto" w:fill="EAF1DD" w:themeFill="accent3" w:themeFillTint="33"/>
          </w:tcPr>
          <w:p w14:paraId="10C13F20" w14:textId="77777777" w:rsidR="00C2480D" w:rsidRPr="00EB1AA2" w:rsidRDefault="00C2480D" w:rsidP="00C2480D">
            <w:pPr>
              <w:pStyle w:val="Els-body-text"/>
            </w:pPr>
          </w:p>
        </w:tc>
        <w:tc>
          <w:tcPr>
            <w:tcW w:w="2324" w:type="dxa"/>
            <w:shd w:val="clear" w:color="auto" w:fill="EAF1DD" w:themeFill="accent3" w:themeFillTint="33"/>
            <w:vAlign w:val="center"/>
          </w:tcPr>
          <w:p w14:paraId="609F65D8" w14:textId="4AD23CC6" w:rsidR="00C2480D" w:rsidRPr="00EB1AA2" w:rsidRDefault="00C2480D" w:rsidP="00C2480D">
            <w:pPr>
              <w:pStyle w:val="Els-body-text"/>
            </w:pPr>
            <w:r w:rsidRPr="00EB1AA2">
              <w:rPr>
                <w:rFonts w:eastAsia="游ゴシック"/>
                <w:b/>
                <w:bCs/>
                <w:color w:val="000000"/>
                <w:lang w:eastAsia="ja-JP"/>
              </w:rPr>
              <w:t>Recovery of Ni</w:t>
            </w:r>
          </w:p>
        </w:tc>
        <w:tc>
          <w:tcPr>
            <w:tcW w:w="595" w:type="dxa"/>
            <w:shd w:val="clear" w:color="auto" w:fill="EAF1DD" w:themeFill="accent3" w:themeFillTint="33"/>
            <w:vAlign w:val="bottom"/>
          </w:tcPr>
          <w:p w14:paraId="5E130AA6" w14:textId="792C076D" w:rsidR="00C2480D" w:rsidRPr="00EB1AA2" w:rsidRDefault="00C2480D" w:rsidP="00C2480D">
            <w:pPr>
              <w:pStyle w:val="Els-body-text"/>
            </w:pPr>
          </w:p>
        </w:tc>
        <w:tc>
          <w:tcPr>
            <w:tcW w:w="595" w:type="dxa"/>
            <w:shd w:val="clear" w:color="auto" w:fill="EAF1DD" w:themeFill="accent3" w:themeFillTint="33"/>
            <w:vAlign w:val="center"/>
          </w:tcPr>
          <w:p w14:paraId="1B8C73D3" w14:textId="66783401"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7644203E" w14:textId="2C700A91"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2E95EC60" w14:textId="1E86604D" w:rsidR="00C2480D" w:rsidRPr="00EB1AA2" w:rsidRDefault="00C2480D" w:rsidP="00C2480D">
            <w:pPr>
              <w:pStyle w:val="Els-body-text"/>
            </w:pPr>
          </w:p>
        </w:tc>
        <w:tc>
          <w:tcPr>
            <w:tcW w:w="595" w:type="dxa"/>
            <w:shd w:val="clear" w:color="auto" w:fill="EAF1DD" w:themeFill="accent3" w:themeFillTint="33"/>
            <w:vAlign w:val="center"/>
          </w:tcPr>
          <w:p w14:paraId="4899F079" w14:textId="28C8E5B9"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54AB2461" w14:textId="356A25FC" w:rsidR="00C2480D" w:rsidRPr="00EB1AA2" w:rsidRDefault="00C2480D" w:rsidP="00C2480D">
            <w:pPr>
              <w:pStyle w:val="Els-body-text"/>
            </w:pPr>
          </w:p>
        </w:tc>
        <w:tc>
          <w:tcPr>
            <w:tcW w:w="595" w:type="dxa"/>
            <w:shd w:val="clear" w:color="auto" w:fill="EAF1DD" w:themeFill="accent3" w:themeFillTint="33"/>
            <w:vAlign w:val="bottom"/>
          </w:tcPr>
          <w:p w14:paraId="449F6F96" w14:textId="49C663BD" w:rsidR="00C2480D" w:rsidRPr="00EB1AA2" w:rsidRDefault="00C2480D" w:rsidP="00C2480D">
            <w:pPr>
              <w:pStyle w:val="Els-body-text"/>
            </w:pPr>
          </w:p>
        </w:tc>
      </w:tr>
      <w:tr w:rsidR="00C2480D" w:rsidRPr="00EB1AA2" w14:paraId="464D4141" w14:textId="77777777" w:rsidTr="00C2480D">
        <w:trPr>
          <w:trHeight w:val="170"/>
        </w:trPr>
        <w:tc>
          <w:tcPr>
            <w:tcW w:w="454" w:type="dxa"/>
            <w:shd w:val="clear" w:color="auto" w:fill="EAF1DD" w:themeFill="accent3" w:themeFillTint="33"/>
          </w:tcPr>
          <w:p w14:paraId="1A5D7283" w14:textId="77777777" w:rsidR="00C2480D" w:rsidRPr="00EB1AA2" w:rsidRDefault="00C2480D" w:rsidP="00C2480D">
            <w:pPr>
              <w:pStyle w:val="Els-body-text"/>
            </w:pPr>
          </w:p>
        </w:tc>
        <w:tc>
          <w:tcPr>
            <w:tcW w:w="2324" w:type="dxa"/>
            <w:shd w:val="clear" w:color="auto" w:fill="EAF1DD" w:themeFill="accent3" w:themeFillTint="33"/>
            <w:vAlign w:val="center"/>
          </w:tcPr>
          <w:p w14:paraId="0DFEDAB8" w14:textId="7E7249AC" w:rsidR="00C2480D" w:rsidRPr="00EB1AA2" w:rsidRDefault="00C2480D" w:rsidP="00C2480D">
            <w:pPr>
              <w:pStyle w:val="Els-body-text"/>
            </w:pPr>
            <w:r w:rsidRPr="00EB1AA2">
              <w:rPr>
                <w:rFonts w:eastAsia="游ゴシック"/>
                <w:b/>
                <w:bCs/>
                <w:color w:val="000000"/>
                <w:lang w:eastAsia="ja-JP"/>
              </w:rPr>
              <w:t>Recovery of NiSO4</w:t>
            </w:r>
          </w:p>
        </w:tc>
        <w:tc>
          <w:tcPr>
            <w:tcW w:w="595" w:type="dxa"/>
            <w:shd w:val="clear" w:color="auto" w:fill="EAF1DD" w:themeFill="accent3" w:themeFillTint="33"/>
            <w:vAlign w:val="bottom"/>
          </w:tcPr>
          <w:p w14:paraId="05197121" w14:textId="2925D57D" w:rsidR="00C2480D" w:rsidRPr="00EB1AA2" w:rsidRDefault="00C2480D" w:rsidP="00C2480D">
            <w:pPr>
              <w:pStyle w:val="Els-body-text"/>
            </w:pPr>
          </w:p>
        </w:tc>
        <w:tc>
          <w:tcPr>
            <w:tcW w:w="595" w:type="dxa"/>
            <w:shd w:val="clear" w:color="auto" w:fill="EAF1DD" w:themeFill="accent3" w:themeFillTint="33"/>
            <w:vAlign w:val="center"/>
          </w:tcPr>
          <w:p w14:paraId="3C15BFE0" w14:textId="2B7BDDAD" w:rsidR="00C2480D" w:rsidRPr="00EB1AA2" w:rsidRDefault="00C2480D" w:rsidP="00C2480D">
            <w:pPr>
              <w:pStyle w:val="Els-body-text"/>
            </w:pPr>
          </w:p>
        </w:tc>
        <w:tc>
          <w:tcPr>
            <w:tcW w:w="595" w:type="dxa"/>
            <w:shd w:val="clear" w:color="auto" w:fill="EAF1DD" w:themeFill="accent3" w:themeFillTint="33"/>
            <w:vAlign w:val="center"/>
          </w:tcPr>
          <w:p w14:paraId="296ED9C1" w14:textId="179671E9" w:rsidR="00C2480D" w:rsidRPr="00EB1AA2" w:rsidRDefault="00C2480D" w:rsidP="00C2480D">
            <w:pPr>
              <w:pStyle w:val="Els-body-text"/>
            </w:pPr>
          </w:p>
        </w:tc>
        <w:tc>
          <w:tcPr>
            <w:tcW w:w="595" w:type="dxa"/>
            <w:shd w:val="clear" w:color="auto" w:fill="EAF1DD" w:themeFill="accent3" w:themeFillTint="33"/>
            <w:vAlign w:val="center"/>
          </w:tcPr>
          <w:p w14:paraId="1CA491BD" w14:textId="24D4C19E"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7077C438" w14:textId="3E609F25" w:rsidR="00C2480D" w:rsidRPr="00EB1AA2" w:rsidRDefault="00C2480D" w:rsidP="00C2480D">
            <w:pPr>
              <w:pStyle w:val="Els-body-text"/>
            </w:pPr>
          </w:p>
        </w:tc>
        <w:tc>
          <w:tcPr>
            <w:tcW w:w="595" w:type="dxa"/>
            <w:shd w:val="clear" w:color="auto" w:fill="EAF1DD" w:themeFill="accent3" w:themeFillTint="33"/>
            <w:vAlign w:val="center"/>
          </w:tcPr>
          <w:p w14:paraId="3DAF79E7" w14:textId="5DB7434F"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0FE45994" w14:textId="5AED1915" w:rsidR="00C2480D" w:rsidRPr="00EB1AA2" w:rsidRDefault="00C2480D" w:rsidP="00C2480D">
            <w:pPr>
              <w:pStyle w:val="Els-body-text"/>
            </w:pPr>
          </w:p>
        </w:tc>
      </w:tr>
      <w:tr w:rsidR="00C2480D" w:rsidRPr="00EB1AA2" w14:paraId="0617802C" w14:textId="77777777" w:rsidTr="00C2480D">
        <w:trPr>
          <w:trHeight w:val="170"/>
        </w:trPr>
        <w:tc>
          <w:tcPr>
            <w:tcW w:w="454" w:type="dxa"/>
            <w:shd w:val="clear" w:color="auto" w:fill="EAF1DD" w:themeFill="accent3" w:themeFillTint="33"/>
          </w:tcPr>
          <w:p w14:paraId="1CCD4730" w14:textId="77777777" w:rsidR="00C2480D" w:rsidRPr="00EB1AA2" w:rsidRDefault="00C2480D" w:rsidP="00C2480D">
            <w:pPr>
              <w:pStyle w:val="Els-body-text"/>
            </w:pPr>
          </w:p>
        </w:tc>
        <w:tc>
          <w:tcPr>
            <w:tcW w:w="2324" w:type="dxa"/>
            <w:shd w:val="clear" w:color="auto" w:fill="EAF1DD" w:themeFill="accent3" w:themeFillTint="33"/>
            <w:vAlign w:val="center"/>
          </w:tcPr>
          <w:p w14:paraId="0A30B77C" w14:textId="01815236" w:rsidR="00C2480D" w:rsidRPr="00EB1AA2" w:rsidRDefault="00C2480D" w:rsidP="00C2480D">
            <w:pPr>
              <w:pStyle w:val="Els-body-text"/>
            </w:pPr>
            <w:r w:rsidRPr="00EB1AA2">
              <w:rPr>
                <w:rFonts w:eastAsia="游ゴシック"/>
                <w:b/>
                <w:bCs/>
                <w:color w:val="000000"/>
                <w:lang w:eastAsia="ja-JP"/>
              </w:rPr>
              <w:t>Recovery of Co</w:t>
            </w:r>
          </w:p>
        </w:tc>
        <w:tc>
          <w:tcPr>
            <w:tcW w:w="595" w:type="dxa"/>
            <w:shd w:val="clear" w:color="auto" w:fill="EAF1DD" w:themeFill="accent3" w:themeFillTint="33"/>
            <w:vAlign w:val="center"/>
          </w:tcPr>
          <w:p w14:paraId="09FBC89F" w14:textId="49F3F157" w:rsidR="00C2480D" w:rsidRPr="00EB1AA2" w:rsidRDefault="00C2480D" w:rsidP="00C2480D">
            <w:pPr>
              <w:pStyle w:val="Els-body-text"/>
            </w:pPr>
          </w:p>
        </w:tc>
        <w:tc>
          <w:tcPr>
            <w:tcW w:w="595" w:type="dxa"/>
            <w:shd w:val="clear" w:color="auto" w:fill="EAF1DD" w:themeFill="accent3" w:themeFillTint="33"/>
            <w:vAlign w:val="center"/>
          </w:tcPr>
          <w:p w14:paraId="1B4C348F" w14:textId="249D33CF"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55891FA6" w14:textId="3DD9510F"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08900B02" w14:textId="24291C7A" w:rsidR="00C2480D" w:rsidRPr="00EB1AA2" w:rsidRDefault="00C2480D" w:rsidP="00C2480D">
            <w:pPr>
              <w:pStyle w:val="Els-body-text"/>
            </w:pPr>
          </w:p>
        </w:tc>
        <w:tc>
          <w:tcPr>
            <w:tcW w:w="595" w:type="dxa"/>
            <w:shd w:val="clear" w:color="auto" w:fill="EAF1DD" w:themeFill="accent3" w:themeFillTint="33"/>
            <w:vAlign w:val="center"/>
          </w:tcPr>
          <w:p w14:paraId="19030E31" w14:textId="1C4D3B58"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254425B3" w14:textId="2E6190C5" w:rsidR="00C2480D" w:rsidRPr="00EB1AA2" w:rsidRDefault="00C2480D" w:rsidP="00C2480D">
            <w:pPr>
              <w:pStyle w:val="Els-body-text"/>
            </w:pPr>
          </w:p>
        </w:tc>
        <w:tc>
          <w:tcPr>
            <w:tcW w:w="595" w:type="dxa"/>
            <w:shd w:val="clear" w:color="auto" w:fill="EAF1DD" w:themeFill="accent3" w:themeFillTint="33"/>
            <w:vAlign w:val="bottom"/>
          </w:tcPr>
          <w:p w14:paraId="42670AD6" w14:textId="54E82926" w:rsidR="00C2480D" w:rsidRPr="00EB1AA2" w:rsidRDefault="00C2480D" w:rsidP="00C2480D">
            <w:pPr>
              <w:pStyle w:val="Els-body-text"/>
            </w:pPr>
          </w:p>
        </w:tc>
      </w:tr>
      <w:tr w:rsidR="00C2480D" w:rsidRPr="00EB1AA2" w14:paraId="5D565001" w14:textId="77777777" w:rsidTr="00C2480D">
        <w:trPr>
          <w:trHeight w:val="170"/>
        </w:trPr>
        <w:tc>
          <w:tcPr>
            <w:tcW w:w="454" w:type="dxa"/>
            <w:shd w:val="clear" w:color="auto" w:fill="EAF1DD" w:themeFill="accent3" w:themeFillTint="33"/>
          </w:tcPr>
          <w:p w14:paraId="4E9CD5F3" w14:textId="77777777" w:rsidR="00C2480D" w:rsidRPr="00EB1AA2" w:rsidRDefault="00C2480D" w:rsidP="00C2480D">
            <w:pPr>
              <w:pStyle w:val="Els-body-text"/>
            </w:pPr>
          </w:p>
        </w:tc>
        <w:tc>
          <w:tcPr>
            <w:tcW w:w="2324" w:type="dxa"/>
            <w:shd w:val="clear" w:color="auto" w:fill="EAF1DD" w:themeFill="accent3" w:themeFillTint="33"/>
            <w:vAlign w:val="center"/>
          </w:tcPr>
          <w:p w14:paraId="71C8AD6E" w14:textId="593B8582" w:rsidR="00C2480D" w:rsidRPr="00EB1AA2" w:rsidRDefault="00C2480D" w:rsidP="00C2480D">
            <w:pPr>
              <w:pStyle w:val="Els-body-text"/>
            </w:pPr>
            <w:r w:rsidRPr="00EB1AA2">
              <w:rPr>
                <w:rFonts w:eastAsia="游ゴシック"/>
                <w:b/>
                <w:bCs/>
                <w:color w:val="000000"/>
                <w:lang w:eastAsia="ja-JP"/>
              </w:rPr>
              <w:t>Recovery of CoSO4</w:t>
            </w:r>
          </w:p>
        </w:tc>
        <w:tc>
          <w:tcPr>
            <w:tcW w:w="595" w:type="dxa"/>
            <w:shd w:val="clear" w:color="auto" w:fill="EAF1DD" w:themeFill="accent3" w:themeFillTint="33"/>
            <w:vAlign w:val="bottom"/>
          </w:tcPr>
          <w:p w14:paraId="3AB25337" w14:textId="2E7E78FD" w:rsidR="00C2480D" w:rsidRPr="00EB1AA2" w:rsidRDefault="00C2480D" w:rsidP="00C2480D">
            <w:pPr>
              <w:pStyle w:val="Els-body-text"/>
            </w:pPr>
          </w:p>
        </w:tc>
        <w:tc>
          <w:tcPr>
            <w:tcW w:w="595" w:type="dxa"/>
            <w:shd w:val="clear" w:color="auto" w:fill="EAF1DD" w:themeFill="accent3" w:themeFillTint="33"/>
            <w:vAlign w:val="center"/>
          </w:tcPr>
          <w:p w14:paraId="662F415D" w14:textId="44F44858" w:rsidR="00C2480D" w:rsidRPr="00EB1AA2" w:rsidRDefault="00C2480D" w:rsidP="00C2480D">
            <w:pPr>
              <w:pStyle w:val="Els-body-text"/>
            </w:pPr>
          </w:p>
        </w:tc>
        <w:tc>
          <w:tcPr>
            <w:tcW w:w="595" w:type="dxa"/>
            <w:shd w:val="clear" w:color="auto" w:fill="EAF1DD" w:themeFill="accent3" w:themeFillTint="33"/>
            <w:vAlign w:val="center"/>
          </w:tcPr>
          <w:p w14:paraId="3DEB8B90" w14:textId="331D3853" w:rsidR="00C2480D" w:rsidRPr="00EB1AA2" w:rsidRDefault="00C2480D" w:rsidP="00C2480D">
            <w:pPr>
              <w:pStyle w:val="Els-body-text"/>
            </w:pPr>
          </w:p>
        </w:tc>
        <w:tc>
          <w:tcPr>
            <w:tcW w:w="595" w:type="dxa"/>
            <w:shd w:val="clear" w:color="auto" w:fill="EAF1DD" w:themeFill="accent3" w:themeFillTint="33"/>
            <w:vAlign w:val="center"/>
          </w:tcPr>
          <w:p w14:paraId="1055FA0B" w14:textId="4BBDE931"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4D662C98" w14:textId="6AFC3732" w:rsidR="00C2480D" w:rsidRPr="00EB1AA2" w:rsidRDefault="00C2480D" w:rsidP="00C2480D">
            <w:pPr>
              <w:pStyle w:val="Els-body-text"/>
            </w:pPr>
          </w:p>
        </w:tc>
        <w:tc>
          <w:tcPr>
            <w:tcW w:w="595" w:type="dxa"/>
            <w:shd w:val="clear" w:color="auto" w:fill="EAF1DD" w:themeFill="accent3" w:themeFillTint="33"/>
            <w:vAlign w:val="center"/>
          </w:tcPr>
          <w:p w14:paraId="63C9B0B0" w14:textId="75BC996B"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4B8C383D" w14:textId="697F6D92" w:rsidR="00C2480D" w:rsidRPr="00EB1AA2" w:rsidRDefault="00C2480D" w:rsidP="00C2480D">
            <w:pPr>
              <w:pStyle w:val="Els-body-text"/>
            </w:pPr>
          </w:p>
        </w:tc>
      </w:tr>
      <w:tr w:rsidR="00C2480D" w:rsidRPr="00EB1AA2" w14:paraId="50418181" w14:textId="77777777" w:rsidTr="00C2480D">
        <w:trPr>
          <w:trHeight w:val="170"/>
        </w:trPr>
        <w:tc>
          <w:tcPr>
            <w:tcW w:w="454" w:type="dxa"/>
            <w:shd w:val="clear" w:color="auto" w:fill="EAF1DD" w:themeFill="accent3" w:themeFillTint="33"/>
          </w:tcPr>
          <w:p w14:paraId="53481A04" w14:textId="77777777" w:rsidR="00C2480D" w:rsidRPr="00EB1AA2" w:rsidRDefault="00C2480D" w:rsidP="00C2480D">
            <w:pPr>
              <w:pStyle w:val="Els-body-text"/>
            </w:pPr>
          </w:p>
        </w:tc>
        <w:tc>
          <w:tcPr>
            <w:tcW w:w="2324" w:type="dxa"/>
            <w:shd w:val="clear" w:color="auto" w:fill="EAF1DD" w:themeFill="accent3" w:themeFillTint="33"/>
            <w:vAlign w:val="center"/>
          </w:tcPr>
          <w:p w14:paraId="101AFBA0" w14:textId="5B7DA64A" w:rsidR="00C2480D" w:rsidRPr="00EB1AA2" w:rsidRDefault="00C2480D" w:rsidP="00C2480D">
            <w:pPr>
              <w:pStyle w:val="Els-body-text"/>
            </w:pPr>
            <w:r w:rsidRPr="00EB1AA2">
              <w:rPr>
                <w:rFonts w:eastAsia="游ゴシック"/>
                <w:b/>
                <w:bCs/>
                <w:color w:val="000000"/>
                <w:lang w:eastAsia="ja-JP"/>
              </w:rPr>
              <w:t xml:space="preserve">Recovery of </w:t>
            </w:r>
            <w:proofErr w:type="spellStart"/>
            <w:r w:rsidRPr="00EB1AA2">
              <w:rPr>
                <w:rFonts w:eastAsia="游ゴシック"/>
                <w:b/>
                <w:bCs/>
                <w:color w:val="000000"/>
                <w:lang w:eastAsia="ja-JP"/>
              </w:rPr>
              <w:t>LiOH</w:t>
            </w:r>
            <w:proofErr w:type="spellEnd"/>
          </w:p>
        </w:tc>
        <w:tc>
          <w:tcPr>
            <w:tcW w:w="595" w:type="dxa"/>
            <w:shd w:val="clear" w:color="auto" w:fill="EAF1DD" w:themeFill="accent3" w:themeFillTint="33"/>
            <w:vAlign w:val="bottom"/>
          </w:tcPr>
          <w:p w14:paraId="7633D960" w14:textId="6A8827EA" w:rsidR="00C2480D" w:rsidRPr="00EB1AA2" w:rsidRDefault="00C2480D" w:rsidP="00C2480D">
            <w:pPr>
              <w:pStyle w:val="Els-body-text"/>
            </w:pPr>
          </w:p>
        </w:tc>
        <w:tc>
          <w:tcPr>
            <w:tcW w:w="595" w:type="dxa"/>
            <w:shd w:val="clear" w:color="auto" w:fill="EAF1DD" w:themeFill="accent3" w:themeFillTint="33"/>
            <w:vAlign w:val="bottom"/>
          </w:tcPr>
          <w:p w14:paraId="3E27372E" w14:textId="047034F2" w:rsidR="00C2480D" w:rsidRPr="00EB1AA2" w:rsidRDefault="00C2480D" w:rsidP="00C2480D">
            <w:pPr>
              <w:pStyle w:val="Els-body-text"/>
            </w:pPr>
          </w:p>
        </w:tc>
        <w:tc>
          <w:tcPr>
            <w:tcW w:w="595" w:type="dxa"/>
            <w:shd w:val="clear" w:color="auto" w:fill="EAF1DD" w:themeFill="accent3" w:themeFillTint="33"/>
            <w:vAlign w:val="center"/>
          </w:tcPr>
          <w:p w14:paraId="017CAA92" w14:textId="5178619D"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26A841C3" w14:textId="12459A35"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1FEF9B74" w14:textId="13399263"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center"/>
          </w:tcPr>
          <w:p w14:paraId="462B664D" w14:textId="22B19D1C"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c>
          <w:tcPr>
            <w:tcW w:w="595" w:type="dxa"/>
            <w:shd w:val="clear" w:color="auto" w:fill="EAF1DD" w:themeFill="accent3" w:themeFillTint="33"/>
            <w:vAlign w:val="bottom"/>
          </w:tcPr>
          <w:p w14:paraId="0A00802A" w14:textId="589B60EA" w:rsidR="00C2480D" w:rsidRPr="00EB1AA2" w:rsidRDefault="00C2480D" w:rsidP="00C2480D">
            <w:pPr>
              <w:pStyle w:val="Els-body-text"/>
            </w:pPr>
          </w:p>
        </w:tc>
      </w:tr>
      <w:tr w:rsidR="00C2480D" w:rsidRPr="00EB1AA2" w14:paraId="56F7F105" w14:textId="77777777" w:rsidTr="00C2480D">
        <w:trPr>
          <w:trHeight w:val="170"/>
        </w:trPr>
        <w:tc>
          <w:tcPr>
            <w:tcW w:w="454" w:type="dxa"/>
            <w:shd w:val="clear" w:color="auto" w:fill="EAF1DD" w:themeFill="accent3" w:themeFillTint="33"/>
          </w:tcPr>
          <w:p w14:paraId="7C121F2E" w14:textId="77777777" w:rsidR="00C2480D" w:rsidRPr="00EB1AA2" w:rsidRDefault="00C2480D" w:rsidP="00C2480D">
            <w:pPr>
              <w:pStyle w:val="Els-body-text"/>
            </w:pPr>
          </w:p>
        </w:tc>
        <w:tc>
          <w:tcPr>
            <w:tcW w:w="2324" w:type="dxa"/>
            <w:shd w:val="clear" w:color="auto" w:fill="EAF1DD" w:themeFill="accent3" w:themeFillTint="33"/>
            <w:vAlign w:val="center"/>
          </w:tcPr>
          <w:p w14:paraId="5E432870" w14:textId="7E6156EC" w:rsidR="00C2480D" w:rsidRPr="00EB1AA2" w:rsidRDefault="00C2480D" w:rsidP="00C2480D">
            <w:pPr>
              <w:pStyle w:val="Els-body-text"/>
            </w:pPr>
            <w:r w:rsidRPr="00EB1AA2">
              <w:rPr>
                <w:rFonts w:eastAsia="游ゴシック"/>
                <w:b/>
                <w:bCs/>
                <w:color w:val="000000"/>
                <w:lang w:eastAsia="ja-JP"/>
              </w:rPr>
              <w:t>Recovery of PE-sheet</w:t>
            </w:r>
          </w:p>
        </w:tc>
        <w:tc>
          <w:tcPr>
            <w:tcW w:w="595" w:type="dxa"/>
            <w:shd w:val="clear" w:color="auto" w:fill="EAF1DD" w:themeFill="accent3" w:themeFillTint="33"/>
            <w:vAlign w:val="bottom"/>
          </w:tcPr>
          <w:p w14:paraId="51732CEC" w14:textId="5FABE1D5" w:rsidR="00C2480D" w:rsidRPr="00EB1AA2" w:rsidRDefault="00C2480D" w:rsidP="00C2480D">
            <w:pPr>
              <w:pStyle w:val="Els-body-text"/>
            </w:pPr>
          </w:p>
        </w:tc>
        <w:tc>
          <w:tcPr>
            <w:tcW w:w="595" w:type="dxa"/>
            <w:shd w:val="clear" w:color="auto" w:fill="EAF1DD" w:themeFill="accent3" w:themeFillTint="33"/>
            <w:vAlign w:val="bottom"/>
          </w:tcPr>
          <w:p w14:paraId="4A8F4A93" w14:textId="600391E0" w:rsidR="00C2480D" w:rsidRPr="00EB1AA2" w:rsidRDefault="00C2480D" w:rsidP="00C2480D">
            <w:pPr>
              <w:pStyle w:val="Els-body-text"/>
            </w:pPr>
          </w:p>
        </w:tc>
        <w:tc>
          <w:tcPr>
            <w:tcW w:w="595" w:type="dxa"/>
            <w:shd w:val="clear" w:color="auto" w:fill="EAF1DD" w:themeFill="accent3" w:themeFillTint="33"/>
            <w:vAlign w:val="bottom"/>
          </w:tcPr>
          <w:p w14:paraId="762CD85E" w14:textId="553CA2A2" w:rsidR="00C2480D" w:rsidRPr="00EB1AA2" w:rsidRDefault="00C2480D" w:rsidP="00C2480D">
            <w:pPr>
              <w:pStyle w:val="Els-body-text"/>
            </w:pPr>
          </w:p>
        </w:tc>
        <w:tc>
          <w:tcPr>
            <w:tcW w:w="595" w:type="dxa"/>
            <w:shd w:val="clear" w:color="auto" w:fill="EAF1DD" w:themeFill="accent3" w:themeFillTint="33"/>
            <w:vAlign w:val="center"/>
          </w:tcPr>
          <w:p w14:paraId="31758EBA" w14:textId="364037E7" w:rsidR="00C2480D" w:rsidRPr="00EB1AA2" w:rsidRDefault="00C2480D" w:rsidP="00C2480D">
            <w:pPr>
              <w:pStyle w:val="Els-body-text"/>
            </w:pPr>
          </w:p>
        </w:tc>
        <w:tc>
          <w:tcPr>
            <w:tcW w:w="595" w:type="dxa"/>
            <w:shd w:val="clear" w:color="auto" w:fill="EAF1DD" w:themeFill="accent3" w:themeFillTint="33"/>
            <w:vAlign w:val="bottom"/>
          </w:tcPr>
          <w:p w14:paraId="05F143B9" w14:textId="149213D4" w:rsidR="00C2480D" w:rsidRPr="00EB1AA2" w:rsidRDefault="00C2480D" w:rsidP="00C2480D">
            <w:pPr>
              <w:pStyle w:val="Els-body-text"/>
            </w:pPr>
          </w:p>
        </w:tc>
        <w:tc>
          <w:tcPr>
            <w:tcW w:w="595" w:type="dxa"/>
            <w:shd w:val="clear" w:color="auto" w:fill="EAF1DD" w:themeFill="accent3" w:themeFillTint="33"/>
            <w:vAlign w:val="center"/>
          </w:tcPr>
          <w:p w14:paraId="13BFD4FF" w14:textId="36B39995" w:rsidR="00C2480D" w:rsidRPr="00EB1AA2" w:rsidRDefault="00C2480D" w:rsidP="00C2480D">
            <w:pPr>
              <w:pStyle w:val="Els-body-text"/>
            </w:pPr>
          </w:p>
        </w:tc>
        <w:tc>
          <w:tcPr>
            <w:tcW w:w="595" w:type="dxa"/>
            <w:vMerge w:val="restart"/>
            <w:shd w:val="clear" w:color="auto" w:fill="EAF1DD" w:themeFill="accent3" w:themeFillTint="33"/>
            <w:vAlign w:val="center"/>
          </w:tcPr>
          <w:p w14:paraId="415AE45F" w14:textId="52D979EE" w:rsidR="00C2480D" w:rsidRPr="00EB1AA2" w:rsidRDefault="00C2480D" w:rsidP="00C2480D">
            <w:pPr>
              <w:pStyle w:val="Els-body-text"/>
            </w:pPr>
            <w:r w:rsidRPr="00EB1AA2">
              <w:rPr>
                <w:rFonts w:ascii="ＭＳ 明朝" w:eastAsia="ＭＳ 明朝" w:hAnsi="ＭＳ 明朝" w:cs="ＭＳ 明朝"/>
                <w:b/>
                <w:bCs/>
                <w:color w:val="000000"/>
                <w:lang w:eastAsia="ja-JP"/>
              </w:rPr>
              <w:t>✓</w:t>
            </w:r>
          </w:p>
        </w:tc>
      </w:tr>
      <w:tr w:rsidR="00C2480D" w:rsidRPr="00EB1AA2" w14:paraId="20CDDF8E" w14:textId="77777777" w:rsidTr="00C2480D">
        <w:trPr>
          <w:trHeight w:val="170"/>
        </w:trPr>
        <w:tc>
          <w:tcPr>
            <w:tcW w:w="454" w:type="dxa"/>
            <w:tcBorders>
              <w:bottom w:val="single" w:sz="4" w:space="0" w:color="auto"/>
            </w:tcBorders>
            <w:shd w:val="clear" w:color="auto" w:fill="EAF1DD" w:themeFill="accent3" w:themeFillTint="33"/>
          </w:tcPr>
          <w:p w14:paraId="00E624DC" w14:textId="77777777" w:rsidR="00C2480D" w:rsidRPr="00EB1AA2" w:rsidRDefault="00C2480D" w:rsidP="00C2480D">
            <w:pPr>
              <w:pStyle w:val="Els-body-text"/>
            </w:pPr>
          </w:p>
        </w:tc>
        <w:tc>
          <w:tcPr>
            <w:tcW w:w="2324" w:type="dxa"/>
            <w:tcBorders>
              <w:bottom w:val="single" w:sz="4" w:space="0" w:color="auto"/>
            </w:tcBorders>
            <w:shd w:val="clear" w:color="auto" w:fill="EAF1DD" w:themeFill="accent3" w:themeFillTint="33"/>
            <w:vAlign w:val="center"/>
          </w:tcPr>
          <w:p w14:paraId="1820CFCF" w14:textId="7750871B" w:rsidR="00C2480D" w:rsidRPr="00EB1AA2" w:rsidRDefault="00C2480D" w:rsidP="00C2480D">
            <w:pPr>
              <w:pStyle w:val="Els-body-text"/>
            </w:pPr>
            <w:r w:rsidRPr="00EB1AA2">
              <w:rPr>
                <w:rFonts w:eastAsia="游ゴシック"/>
                <w:b/>
                <w:bCs/>
                <w:color w:val="000000"/>
                <w:lang w:eastAsia="ja-JP"/>
              </w:rPr>
              <w:t>(NMC111 oxide)</w:t>
            </w:r>
          </w:p>
        </w:tc>
        <w:tc>
          <w:tcPr>
            <w:tcW w:w="595" w:type="dxa"/>
            <w:tcBorders>
              <w:bottom w:val="single" w:sz="4" w:space="0" w:color="auto"/>
            </w:tcBorders>
            <w:shd w:val="clear" w:color="auto" w:fill="EAF1DD" w:themeFill="accent3" w:themeFillTint="33"/>
          </w:tcPr>
          <w:p w14:paraId="3DD10168" w14:textId="77777777" w:rsidR="00C2480D" w:rsidRPr="00EB1AA2" w:rsidRDefault="00C2480D" w:rsidP="00C2480D">
            <w:pPr>
              <w:pStyle w:val="Els-body-text"/>
            </w:pPr>
          </w:p>
        </w:tc>
        <w:tc>
          <w:tcPr>
            <w:tcW w:w="595" w:type="dxa"/>
            <w:tcBorders>
              <w:bottom w:val="single" w:sz="4" w:space="0" w:color="auto"/>
            </w:tcBorders>
            <w:shd w:val="clear" w:color="auto" w:fill="EAF1DD" w:themeFill="accent3" w:themeFillTint="33"/>
          </w:tcPr>
          <w:p w14:paraId="162FC385" w14:textId="77777777" w:rsidR="00C2480D" w:rsidRPr="00EB1AA2" w:rsidRDefault="00C2480D" w:rsidP="00C2480D">
            <w:pPr>
              <w:pStyle w:val="Els-body-text"/>
            </w:pPr>
          </w:p>
        </w:tc>
        <w:tc>
          <w:tcPr>
            <w:tcW w:w="595" w:type="dxa"/>
            <w:tcBorders>
              <w:bottom w:val="single" w:sz="4" w:space="0" w:color="auto"/>
            </w:tcBorders>
            <w:shd w:val="clear" w:color="auto" w:fill="EAF1DD" w:themeFill="accent3" w:themeFillTint="33"/>
          </w:tcPr>
          <w:p w14:paraId="416C811C" w14:textId="77777777" w:rsidR="00C2480D" w:rsidRPr="00EB1AA2" w:rsidRDefault="00C2480D" w:rsidP="00C2480D">
            <w:pPr>
              <w:pStyle w:val="Els-body-text"/>
            </w:pPr>
          </w:p>
        </w:tc>
        <w:tc>
          <w:tcPr>
            <w:tcW w:w="595" w:type="dxa"/>
            <w:tcBorders>
              <w:bottom w:val="single" w:sz="4" w:space="0" w:color="auto"/>
            </w:tcBorders>
            <w:shd w:val="clear" w:color="auto" w:fill="EAF1DD" w:themeFill="accent3" w:themeFillTint="33"/>
          </w:tcPr>
          <w:p w14:paraId="7AA1E70F" w14:textId="77777777" w:rsidR="00C2480D" w:rsidRPr="00EB1AA2" w:rsidRDefault="00C2480D" w:rsidP="00C2480D">
            <w:pPr>
              <w:pStyle w:val="Els-body-text"/>
            </w:pPr>
          </w:p>
        </w:tc>
        <w:tc>
          <w:tcPr>
            <w:tcW w:w="595" w:type="dxa"/>
            <w:tcBorders>
              <w:bottom w:val="single" w:sz="4" w:space="0" w:color="auto"/>
            </w:tcBorders>
            <w:shd w:val="clear" w:color="auto" w:fill="EAF1DD" w:themeFill="accent3" w:themeFillTint="33"/>
          </w:tcPr>
          <w:p w14:paraId="302A2D20" w14:textId="77777777" w:rsidR="00C2480D" w:rsidRPr="00EB1AA2" w:rsidRDefault="00C2480D" w:rsidP="00C2480D">
            <w:pPr>
              <w:pStyle w:val="Els-body-text"/>
            </w:pPr>
          </w:p>
        </w:tc>
        <w:tc>
          <w:tcPr>
            <w:tcW w:w="595" w:type="dxa"/>
            <w:tcBorders>
              <w:bottom w:val="single" w:sz="4" w:space="0" w:color="auto"/>
            </w:tcBorders>
            <w:shd w:val="clear" w:color="auto" w:fill="EAF1DD" w:themeFill="accent3" w:themeFillTint="33"/>
          </w:tcPr>
          <w:p w14:paraId="5D11F612" w14:textId="77777777" w:rsidR="00C2480D" w:rsidRPr="00EB1AA2" w:rsidRDefault="00C2480D" w:rsidP="00C2480D">
            <w:pPr>
              <w:pStyle w:val="Els-body-text"/>
            </w:pPr>
          </w:p>
        </w:tc>
        <w:tc>
          <w:tcPr>
            <w:tcW w:w="595" w:type="dxa"/>
            <w:vMerge/>
            <w:tcBorders>
              <w:bottom w:val="single" w:sz="4" w:space="0" w:color="auto"/>
            </w:tcBorders>
          </w:tcPr>
          <w:p w14:paraId="1519FB64" w14:textId="77777777" w:rsidR="00C2480D" w:rsidRPr="00EB1AA2" w:rsidRDefault="00C2480D" w:rsidP="00C2480D">
            <w:pPr>
              <w:pStyle w:val="Els-body-text"/>
            </w:pPr>
          </w:p>
        </w:tc>
      </w:tr>
    </w:tbl>
    <w:p w14:paraId="1C680E0A" w14:textId="77777777" w:rsidR="005A6CDD" w:rsidRPr="00EB1AA2" w:rsidRDefault="005A6CDD" w:rsidP="00576D25">
      <w:pPr>
        <w:pStyle w:val="Els-body-text"/>
      </w:pPr>
    </w:p>
    <w:p w14:paraId="23FF23FF" w14:textId="0871D4FD" w:rsidR="0006555F" w:rsidRPr="00EB1AA2" w:rsidRDefault="0006555F" w:rsidP="000E2914">
      <w:pPr>
        <w:pStyle w:val="Els-body-text"/>
        <w:spacing w:after="120"/>
        <w:rPr>
          <w:lang w:eastAsia="ja-JP"/>
        </w:rPr>
      </w:pPr>
      <w:r w:rsidRPr="00EB1AA2">
        <w:rPr>
          <w:lang w:eastAsia="ja-JP"/>
        </w:rPr>
        <w:t>Seven cases were set up</w:t>
      </w:r>
      <w:r w:rsidR="00D16506">
        <w:rPr>
          <w:lang w:eastAsia="ja-JP"/>
        </w:rPr>
        <w:t>,</w:t>
      </w:r>
      <w:r w:rsidR="000E2914">
        <w:rPr>
          <w:lang w:eastAsia="ja-JP"/>
        </w:rPr>
        <w:t xml:space="preserve"> </w:t>
      </w:r>
      <w:r w:rsidRPr="00EB1AA2">
        <w:rPr>
          <w:lang w:eastAsia="ja-JP"/>
        </w:rPr>
        <w:t xml:space="preserve">as shown in Table 1. Case A involves incineration and landfill disposal, B, C, and D involve metal recovery through </w:t>
      </w:r>
      <w:bookmarkStart w:id="1" w:name="_Hlk151062599"/>
      <w:r w:rsidRPr="00EB1AA2">
        <w:rPr>
          <w:lang w:eastAsia="ja-JP"/>
        </w:rPr>
        <w:t>hydrometallurgy</w:t>
      </w:r>
      <w:bookmarkEnd w:id="1"/>
      <w:r w:rsidRPr="00EB1AA2">
        <w:rPr>
          <w:lang w:eastAsia="ja-JP"/>
        </w:rPr>
        <w:t xml:space="preserve">, and E is direct recycling via pulsed discharging. </w:t>
      </w:r>
      <w:bookmarkStart w:id="2" w:name="_Hlk152085240"/>
      <w:r w:rsidR="00701BAA" w:rsidRPr="00EB1AA2">
        <w:t xml:space="preserve">The environmental impacts related to the disposal of waste and wastewater generated from each recycling process are attributed to individual processes. Therefore, in the legend, </w:t>
      </w:r>
      <w:r w:rsidR="009937CE">
        <w:t>“</w:t>
      </w:r>
      <w:r w:rsidR="00701BAA" w:rsidRPr="00EB1AA2">
        <w:t>incineration and landfill</w:t>
      </w:r>
      <w:r w:rsidR="009937CE">
        <w:t>”</w:t>
      </w:r>
      <w:r w:rsidR="00701BAA" w:rsidRPr="00EB1AA2">
        <w:t xml:space="preserve"> represents incineration or landfill disposal in the case without recycling (Case A).</w:t>
      </w:r>
      <w:bookmarkEnd w:id="2"/>
      <w:r w:rsidR="00701BAA" w:rsidRPr="00EB1AA2">
        <w:rPr>
          <w:color w:val="374151"/>
        </w:rPr>
        <w:t xml:space="preserve"> </w:t>
      </w:r>
      <w:r w:rsidRPr="00EB1AA2">
        <w:rPr>
          <w:lang w:eastAsia="ja-JP"/>
        </w:rPr>
        <w:t xml:space="preserve">Case B recovers alloys through smelting in pretreatment, and </w:t>
      </w:r>
      <w:r w:rsidR="000E2914">
        <w:rPr>
          <w:lang w:eastAsia="ja-JP"/>
        </w:rPr>
        <w:t>Li</w:t>
      </w:r>
      <w:r w:rsidRPr="00EB1AA2">
        <w:rPr>
          <w:lang w:eastAsia="ja-JP"/>
        </w:rPr>
        <w:t xml:space="preserve"> is assumed to be unrecoverable. Case C </w:t>
      </w:r>
      <w:r w:rsidR="000E2914">
        <w:rPr>
          <w:lang w:eastAsia="ja-JP"/>
        </w:rPr>
        <w:t>use</w:t>
      </w:r>
      <w:r w:rsidRPr="00EB1AA2">
        <w:rPr>
          <w:lang w:eastAsia="ja-JP"/>
        </w:rPr>
        <w:t>s roasting in pretreatment, wh</w:t>
      </w:r>
      <w:r w:rsidR="000E2914">
        <w:rPr>
          <w:lang w:eastAsia="ja-JP"/>
        </w:rPr>
        <w:t>ereas</w:t>
      </w:r>
      <w:r w:rsidRPr="00EB1AA2">
        <w:rPr>
          <w:lang w:eastAsia="ja-JP"/>
        </w:rPr>
        <w:t xml:space="preserve"> D uses pulsed discharging. The numbers 1 and 2 indicate differences in the hydrometallurgical process, with 1 considering individual recovery through electrowinning and 2 considering sulfate recovery through crystallization. The metal recovery rates through recycling, regardless of the process, were set according to the E</w:t>
      </w:r>
      <w:r w:rsidR="000E2914">
        <w:rPr>
          <w:lang w:eastAsia="ja-JP"/>
        </w:rPr>
        <w:t xml:space="preserve">uropean </w:t>
      </w:r>
      <w:r w:rsidRPr="00EB1AA2">
        <w:rPr>
          <w:lang w:eastAsia="ja-JP"/>
        </w:rPr>
        <w:t>U</w:t>
      </w:r>
      <w:r w:rsidR="000E2914">
        <w:rPr>
          <w:lang w:eastAsia="ja-JP"/>
        </w:rPr>
        <w:t>nion (EU)</w:t>
      </w:r>
      <w:r w:rsidRPr="00EB1AA2">
        <w:rPr>
          <w:lang w:eastAsia="ja-JP"/>
        </w:rPr>
        <w:t xml:space="preserve"> Battery Regulation</w:t>
      </w:r>
      <w:r w:rsidR="007B64F1">
        <w:rPr>
          <w:lang w:eastAsia="ja-JP"/>
        </w:rPr>
        <w:t>’</w:t>
      </w:r>
      <w:r w:rsidRPr="00EB1AA2">
        <w:rPr>
          <w:lang w:eastAsia="ja-JP"/>
        </w:rPr>
        <w:t xml:space="preserve">s minimum targets by 2027, which are 90% for </w:t>
      </w:r>
      <w:r w:rsidR="000E2914">
        <w:rPr>
          <w:lang w:eastAsia="ja-JP"/>
        </w:rPr>
        <w:t>Co</w:t>
      </w:r>
      <w:r w:rsidRPr="00EB1AA2">
        <w:rPr>
          <w:lang w:eastAsia="ja-JP"/>
        </w:rPr>
        <w:t xml:space="preserve">, 90% for </w:t>
      </w:r>
      <w:r w:rsidR="000E2914">
        <w:rPr>
          <w:lang w:eastAsia="ja-JP"/>
        </w:rPr>
        <w:t>Ni</w:t>
      </w:r>
      <w:r w:rsidRPr="00EB1AA2">
        <w:rPr>
          <w:lang w:eastAsia="ja-JP"/>
        </w:rPr>
        <w:t xml:space="preserve">, and 50% for </w:t>
      </w:r>
      <w:r w:rsidR="000E2914">
        <w:rPr>
          <w:lang w:eastAsia="ja-JP"/>
        </w:rPr>
        <w:t>Li</w:t>
      </w:r>
      <w:r w:rsidRPr="00EB1AA2">
        <w:rPr>
          <w:lang w:eastAsia="ja-JP"/>
        </w:rPr>
        <w:t xml:space="preserve"> (EU, 2023). In the case of direct recycling (Case E), a recovery rate of 90% was assumed based on experimental results</w:t>
      </w:r>
      <w:r w:rsidRPr="00EB1AA2">
        <w:rPr>
          <w:rFonts w:hint="eastAsia"/>
          <w:lang w:eastAsia="ja-JP"/>
        </w:rPr>
        <w:t xml:space="preserve"> </w:t>
      </w:r>
      <w:r w:rsidRPr="00EB1AA2">
        <w:t>(</w:t>
      </w:r>
      <w:proofErr w:type="spellStart"/>
      <w:r w:rsidRPr="00EB1AA2">
        <w:t>Tokoro</w:t>
      </w:r>
      <w:proofErr w:type="spellEnd"/>
      <w:r w:rsidRPr="00EB1AA2">
        <w:t xml:space="preserve"> et al., 2021)</w:t>
      </w:r>
      <w:r w:rsidRPr="00EB1AA2">
        <w:rPr>
          <w:lang w:eastAsia="ja-JP"/>
        </w:rPr>
        <w:t>.</w:t>
      </w:r>
    </w:p>
    <w:p w14:paraId="4C4E1F16" w14:textId="353975B7" w:rsidR="009F11AB" w:rsidRPr="00EB1AA2" w:rsidRDefault="009F11AB" w:rsidP="00526F76">
      <w:pPr>
        <w:pStyle w:val="Els-2ndorder-head"/>
      </w:pPr>
      <w:r w:rsidRPr="00EB1AA2">
        <w:lastRenderedPageBreak/>
        <w:t xml:space="preserve">Construction of </w:t>
      </w:r>
      <w:r w:rsidR="00372626" w:rsidRPr="00EB1AA2">
        <w:t>s</w:t>
      </w:r>
      <w:r w:rsidRPr="00EB1AA2">
        <w:t>uperstructure</w:t>
      </w:r>
      <w:r w:rsidR="00D53FA0" w:rsidRPr="00EB1AA2">
        <w:t xml:space="preserve"> for </w:t>
      </w:r>
      <w:r w:rsidR="00074868">
        <w:t>life-cycle</w:t>
      </w:r>
      <w:r w:rsidR="00D53FA0" w:rsidRPr="00EB1AA2">
        <w:t xml:space="preserve"> design</w:t>
      </w:r>
    </w:p>
    <w:p w14:paraId="630AB9E5" w14:textId="7865B52F" w:rsidR="00C56C6B" w:rsidRPr="00EB1AA2" w:rsidRDefault="00395B2F" w:rsidP="00097644">
      <w:pPr>
        <w:pStyle w:val="Els-body-text"/>
        <w:spacing w:after="120"/>
      </w:pPr>
      <w:r w:rsidRPr="00EB1AA2">
        <w:t xml:space="preserve">A </w:t>
      </w:r>
      <w:r w:rsidR="009F11AB" w:rsidRPr="00EB1AA2">
        <w:t>superstructure was created to visualize the possible</w:t>
      </w:r>
      <w:r w:rsidR="000E2914">
        <w:t xml:space="preserve"> </w:t>
      </w:r>
      <w:proofErr w:type="spellStart"/>
      <w:r w:rsidR="000E2914">
        <w:t>LiB</w:t>
      </w:r>
      <w:proofErr w:type="spellEnd"/>
      <w:r w:rsidR="009F11AB" w:rsidRPr="00EB1AA2">
        <w:t xml:space="preserve"> life</w:t>
      </w:r>
      <w:r w:rsidR="00074868">
        <w:t xml:space="preserve"> </w:t>
      </w:r>
      <w:r w:rsidR="009F11AB" w:rsidRPr="00EB1AA2">
        <w:t xml:space="preserve">cycle and serve as a tool for </w:t>
      </w:r>
      <w:r w:rsidR="00074868">
        <w:t>life-cycle</w:t>
      </w:r>
      <w:r w:rsidR="009F11AB" w:rsidRPr="00EB1AA2">
        <w:t xml:space="preserve"> design. </w:t>
      </w:r>
      <w:r w:rsidR="00BF72B4" w:rsidRPr="00EB1AA2">
        <w:t>In this study</w:t>
      </w:r>
      <w:r w:rsidR="009A2B7D" w:rsidRPr="00EB1AA2">
        <w:t>,</w:t>
      </w:r>
      <w:r w:rsidR="00BF72B4" w:rsidRPr="00EB1AA2">
        <w:t xml:space="preserve"> the</w:t>
      </w:r>
      <w:r w:rsidR="009F11AB" w:rsidRPr="00EB1AA2">
        <w:t xml:space="preserve"> superstructure </w:t>
      </w:r>
      <w:r w:rsidR="00BF72B4" w:rsidRPr="00EB1AA2">
        <w:t>of</w:t>
      </w:r>
      <w:r w:rsidR="009F11AB" w:rsidRPr="00EB1AA2">
        <w:t xml:space="preserve"> the </w:t>
      </w:r>
      <w:proofErr w:type="spellStart"/>
      <w:r w:rsidR="009F11AB" w:rsidRPr="00EB1AA2">
        <w:t>LiB</w:t>
      </w:r>
      <w:proofErr w:type="spellEnd"/>
      <w:r w:rsidR="009F11AB" w:rsidRPr="00EB1AA2">
        <w:t xml:space="preserve"> </w:t>
      </w:r>
      <w:r w:rsidR="00BF72B4" w:rsidRPr="00EB1AA2">
        <w:t>cathode</w:t>
      </w:r>
      <w:r w:rsidR="009F11AB" w:rsidRPr="00EB1AA2">
        <w:t xml:space="preserve"> recycling </w:t>
      </w:r>
      <w:r w:rsidR="00BF72B4" w:rsidRPr="00EB1AA2">
        <w:t xml:space="preserve">was </w:t>
      </w:r>
      <w:r w:rsidR="009F11AB" w:rsidRPr="00EB1AA2">
        <w:t xml:space="preserve">constructed through </w:t>
      </w:r>
      <w:r w:rsidR="00BF72B4" w:rsidRPr="00EB1AA2">
        <w:t xml:space="preserve">a </w:t>
      </w:r>
      <w:r w:rsidR="009F11AB" w:rsidRPr="00EB1AA2">
        <w:t>literature re</w:t>
      </w:r>
      <w:r w:rsidR="00BF72B4" w:rsidRPr="00EB1AA2">
        <w:t>view</w:t>
      </w:r>
      <w:r w:rsidR="009F11AB" w:rsidRPr="00EB1AA2">
        <w:t>, bibliometric analysis, and</w:t>
      </w:r>
      <w:r w:rsidR="00E5422A" w:rsidRPr="00EB1AA2">
        <w:t xml:space="preserve"> </w:t>
      </w:r>
      <w:r w:rsidR="00CD378A" w:rsidRPr="00EB1AA2">
        <w:t>discussions</w:t>
      </w:r>
      <w:r w:rsidR="00E5422A" w:rsidRPr="00EB1AA2">
        <w:t>.</w:t>
      </w:r>
    </w:p>
    <w:p w14:paraId="50CFBB88" w14:textId="476A114D" w:rsidR="00526F76" w:rsidRPr="00EB1AA2" w:rsidRDefault="009F11AB" w:rsidP="00C56C6B">
      <w:pPr>
        <w:pStyle w:val="Els-body-text"/>
        <w:spacing w:after="120"/>
      </w:pPr>
      <w:r w:rsidRPr="00EB1AA2">
        <w:t>In the literature re</w:t>
      </w:r>
      <w:r w:rsidR="00BF72B4" w:rsidRPr="00EB1AA2">
        <w:t>view</w:t>
      </w:r>
      <w:r w:rsidRPr="00EB1AA2">
        <w:t xml:space="preserve">, we extracted technical options related to </w:t>
      </w:r>
      <w:proofErr w:type="spellStart"/>
      <w:r w:rsidRPr="00EB1AA2">
        <w:t>LiB</w:t>
      </w:r>
      <w:proofErr w:type="spellEnd"/>
      <w:r w:rsidRPr="00EB1AA2">
        <w:t xml:space="preserve"> recycling. At the </w:t>
      </w:r>
      <w:proofErr w:type="spellStart"/>
      <w:r w:rsidRPr="00EB1AA2">
        <w:t>EoL</w:t>
      </w:r>
      <w:proofErr w:type="spellEnd"/>
      <w:r w:rsidRPr="00EB1AA2">
        <w:t xml:space="preserve"> of </w:t>
      </w:r>
      <w:proofErr w:type="spellStart"/>
      <w:r w:rsidRPr="00EB1AA2">
        <w:t>LiB</w:t>
      </w:r>
      <w:proofErr w:type="spellEnd"/>
      <w:r w:rsidRPr="00EB1AA2">
        <w:t xml:space="preserve">, there are options such as incineration/landfill disposal and resource recovery through recycling. The positive electrode recycling process can be categorized into </w:t>
      </w:r>
      <w:r w:rsidR="00760D70" w:rsidRPr="00EB1AA2">
        <w:t>pyrometallurgy</w:t>
      </w:r>
      <w:r w:rsidRPr="00EB1AA2">
        <w:t xml:space="preserve">, </w:t>
      </w:r>
      <w:r w:rsidR="009A2B7D" w:rsidRPr="00EB1AA2">
        <w:t>hydrometallurgy</w:t>
      </w:r>
      <w:r w:rsidRPr="00EB1AA2">
        <w:t xml:space="preserve">, and direct recycling. </w:t>
      </w:r>
      <w:r w:rsidR="009A2B7D" w:rsidRPr="00EB1AA2">
        <w:t>Pyrometallurgy</w:t>
      </w:r>
      <w:r w:rsidRPr="00EB1AA2">
        <w:t xml:space="preserve"> involves</w:t>
      </w:r>
      <w:r w:rsidR="00581C6A">
        <w:t xml:space="preserve"> </w:t>
      </w:r>
      <w:r w:rsidR="009A2B7D" w:rsidRPr="005F349B">
        <w:t>melting,</w:t>
      </w:r>
      <w:r w:rsidR="009A2B7D" w:rsidRPr="00EB1AA2">
        <w:t xml:space="preserve"> pyrolysis,</w:t>
      </w:r>
      <w:r w:rsidRPr="00EB1AA2">
        <w:t xml:space="preserve"> and roasting </w:t>
      </w:r>
      <w:r w:rsidR="001F7867" w:rsidRPr="00EB1AA2">
        <w:t>(Makuza et al., 2021)</w:t>
      </w:r>
      <w:r w:rsidRPr="00EB1AA2">
        <w:t>, wh</w:t>
      </w:r>
      <w:r w:rsidR="00581C6A">
        <w:t>ereas</w:t>
      </w:r>
      <w:r w:rsidRPr="00EB1AA2">
        <w:t xml:space="preserve"> </w:t>
      </w:r>
      <w:r w:rsidR="009A2B7D" w:rsidRPr="00EB1AA2">
        <w:t>hydrometallurgy</w:t>
      </w:r>
      <w:r w:rsidRPr="00EB1AA2">
        <w:t xml:space="preserve"> includes leaching and solvent extraction </w:t>
      </w:r>
      <w:r w:rsidR="001F7867" w:rsidRPr="00EB1AA2">
        <w:t>(Meshram et al., 2014)</w:t>
      </w:r>
      <w:r w:rsidRPr="00EB1AA2">
        <w:t>. Additionally, direct recycling is a technology that regenerates positive electrode material without separating it into metal through methods like sintering</w:t>
      </w:r>
      <w:r w:rsidR="001F7867" w:rsidRPr="00EB1AA2">
        <w:t xml:space="preserve"> (</w:t>
      </w:r>
      <w:r w:rsidR="004C765C" w:rsidRPr="00EB1AA2">
        <w:t>Xu et al., 202</w:t>
      </w:r>
      <w:r w:rsidR="00A7337B" w:rsidRPr="00EB1AA2">
        <w:t>1</w:t>
      </w:r>
      <w:r w:rsidR="001F7867" w:rsidRPr="00EB1AA2">
        <w:t>)</w:t>
      </w:r>
      <w:r w:rsidRPr="00EB1AA2">
        <w:t>.</w:t>
      </w:r>
    </w:p>
    <w:p w14:paraId="0AEA1A44" w14:textId="2C990AB5" w:rsidR="009F11AB" w:rsidRPr="00EB1AA2" w:rsidRDefault="009F11AB" w:rsidP="00526F76">
      <w:pPr>
        <w:pStyle w:val="Els-body-text"/>
        <w:spacing w:after="120"/>
      </w:pPr>
      <w:r w:rsidRPr="00EB1AA2">
        <w:t xml:space="preserve">Bibliometric analysis was used to </w:t>
      </w:r>
      <w:r w:rsidR="00581C6A">
        <w:t>determine</w:t>
      </w:r>
      <w:r w:rsidRPr="00EB1AA2">
        <w:t xml:space="preserve"> the </w:t>
      </w:r>
      <w:r w:rsidR="002551E6" w:rsidRPr="00EB1AA2">
        <w:t>hot topic</w:t>
      </w:r>
      <w:r w:rsidRPr="00EB1AA2">
        <w:t>s in academic</w:t>
      </w:r>
      <w:r w:rsidR="002551E6" w:rsidRPr="00EB1AA2">
        <w:t xml:space="preserve"> papers</w:t>
      </w:r>
      <w:r w:rsidR="00573B31" w:rsidRPr="00EB1AA2">
        <w:t xml:space="preserve"> (Kikuchi</w:t>
      </w:r>
      <w:r w:rsidR="004E2606" w:rsidRPr="00EB1AA2">
        <w:t>,</w:t>
      </w:r>
      <w:r w:rsidR="00573B31" w:rsidRPr="00EB1AA2">
        <w:t xml:space="preserve"> 2017)</w:t>
      </w:r>
      <w:r w:rsidRPr="00EB1AA2">
        <w:t xml:space="preserve"> and to incorporate them into the superstructure. </w:t>
      </w:r>
      <w:r w:rsidR="00573B31" w:rsidRPr="00EB1AA2">
        <w:t xml:space="preserve">The subject of the analysis was academic papers using both the terms </w:t>
      </w:r>
      <w:r w:rsidR="009937CE">
        <w:t>“</w:t>
      </w:r>
      <w:r w:rsidR="00573B31" w:rsidRPr="00EB1AA2">
        <w:t>lithium-ion batteries</w:t>
      </w:r>
      <w:r w:rsidR="009937CE">
        <w:t>”</w:t>
      </w:r>
      <w:r w:rsidR="00573B31" w:rsidRPr="00EB1AA2">
        <w:t xml:space="preserve"> and </w:t>
      </w:r>
      <w:r w:rsidR="009937CE">
        <w:t>“</w:t>
      </w:r>
      <w:r w:rsidR="00573B31" w:rsidRPr="00EB1AA2">
        <w:t>recycle,</w:t>
      </w:r>
      <w:r w:rsidR="009937CE">
        <w:t>”</w:t>
      </w:r>
      <w:r w:rsidR="00573B31" w:rsidRPr="00EB1AA2">
        <w:t xml:space="preserve"> published between the years 2016 and 2023. </w:t>
      </w:r>
      <w:r w:rsidR="009937CE">
        <w:t xml:space="preserve">A total of </w:t>
      </w:r>
      <w:r w:rsidR="00573B31" w:rsidRPr="00EB1AA2">
        <w:t xml:space="preserve">2,403 papers were retrieved from a </w:t>
      </w:r>
      <w:r w:rsidR="00372626" w:rsidRPr="00EB1AA2">
        <w:t>w</w:t>
      </w:r>
      <w:r w:rsidR="00573B31" w:rsidRPr="00EB1AA2">
        <w:t xml:space="preserve">eb-based literature database, </w:t>
      </w:r>
      <w:r w:rsidR="009937CE">
        <w:t>“</w:t>
      </w:r>
      <w:r w:rsidR="00573B31" w:rsidRPr="00EB1AA2">
        <w:t>Web of Science</w:t>
      </w:r>
      <w:r w:rsidR="009937CE">
        <w:t>”</w:t>
      </w:r>
      <w:r w:rsidR="00573B31" w:rsidRPr="00EB1AA2">
        <w:t xml:space="preserve"> (Thomson Reuters, 20</w:t>
      </w:r>
      <w:r w:rsidR="00760D70" w:rsidRPr="00EB1AA2">
        <w:rPr>
          <w:rFonts w:hint="eastAsia"/>
          <w:lang w:eastAsia="ja-JP"/>
        </w:rPr>
        <w:t>2</w:t>
      </w:r>
      <w:r w:rsidR="00760D70" w:rsidRPr="00EB1AA2">
        <w:rPr>
          <w:lang w:eastAsia="ja-JP"/>
        </w:rPr>
        <w:t>3</w:t>
      </w:r>
      <w:r w:rsidR="00573B31" w:rsidRPr="00EB1AA2">
        <w:t>).</w:t>
      </w:r>
      <w:r w:rsidR="00573B31" w:rsidRPr="00EB1AA2">
        <w:rPr>
          <w:rFonts w:hint="eastAsia"/>
          <w:lang w:eastAsia="ja-JP"/>
        </w:rPr>
        <w:t xml:space="preserve"> </w:t>
      </w:r>
      <w:r w:rsidRPr="00EB1AA2">
        <w:t xml:space="preserve">Furthermore, we conducted </w:t>
      </w:r>
      <w:r w:rsidR="00CD378A" w:rsidRPr="00EB1AA2">
        <w:t>discussion</w:t>
      </w:r>
      <w:r w:rsidR="00760D70" w:rsidRPr="00EB1AA2">
        <w:t>s</w:t>
      </w:r>
      <w:r w:rsidRPr="00EB1AA2">
        <w:t xml:space="preserve"> with</w:t>
      </w:r>
      <w:r w:rsidR="00E5422A" w:rsidRPr="00EB1AA2">
        <w:t xml:space="preserve"> </w:t>
      </w:r>
      <w:r w:rsidR="00DB06C3" w:rsidRPr="00EB1AA2">
        <w:rPr>
          <w:szCs w:val="21"/>
        </w:rPr>
        <w:t>process engineers</w:t>
      </w:r>
      <w:r w:rsidRPr="00EB1AA2">
        <w:t xml:space="preserve"> to validate and refine the superstructure.</w:t>
      </w:r>
    </w:p>
    <w:p w14:paraId="44217E01" w14:textId="41DA47B8" w:rsidR="009F11AB" w:rsidRPr="00EB1AA2" w:rsidRDefault="00504EA9" w:rsidP="009F11AB">
      <w:pPr>
        <w:pStyle w:val="Els-1storder-head"/>
        <w:spacing w:after="120"/>
      </w:pPr>
      <w:r w:rsidRPr="00EB1AA2">
        <w:t>Results</w:t>
      </w:r>
      <w:r w:rsidR="008D2649" w:rsidRPr="00EB1AA2">
        <w:t xml:space="preserve"> and </w:t>
      </w:r>
      <w:r w:rsidRPr="00EB1AA2">
        <w:t>discussion</w:t>
      </w:r>
    </w:p>
    <w:p w14:paraId="53EBBE1C" w14:textId="63897630" w:rsidR="009F11AB" w:rsidRPr="00EB1AA2" w:rsidRDefault="009F11AB" w:rsidP="009F11AB">
      <w:pPr>
        <w:pStyle w:val="Els-2ndorder-head"/>
      </w:pPr>
      <w:r w:rsidRPr="00EB1AA2">
        <w:t>Superstructure</w:t>
      </w:r>
      <w:r w:rsidR="00D53FA0" w:rsidRPr="00EB1AA2">
        <w:rPr>
          <w:rFonts w:hint="eastAsia"/>
          <w:lang w:eastAsia="ja-JP"/>
        </w:rPr>
        <w:t xml:space="preserve"> </w:t>
      </w:r>
      <w:r w:rsidR="00D53FA0" w:rsidRPr="00EB1AA2">
        <w:rPr>
          <w:lang w:eastAsia="ja-JP"/>
        </w:rPr>
        <w:t xml:space="preserve">of </w:t>
      </w:r>
      <w:proofErr w:type="spellStart"/>
      <w:r w:rsidR="00D53FA0" w:rsidRPr="00EB1AA2">
        <w:rPr>
          <w:lang w:eastAsia="ja-JP"/>
        </w:rPr>
        <w:t>LiB</w:t>
      </w:r>
      <w:proofErr w:type="spellEnd"/>
      <w:r w:rsidR="00D53FA0" w:rsidRPr="00EB1AA2">
        <w:rPr>
          <w:lang w:eastAsia="ja-JP"/>
        </w:rPr>
        <w:t xml:space="preserve"> cathode recycling</w:t>
      </w:r>
    </w:p>
    <w:p w14:paraId="1A4D6B97" w14:textId="2500CD87" w:rsidR="00687A78" w:rsidRPr="00EB1AA2" w:rsidRDefault="00687A78" w:rsidP="008D2649">
      <w:pPr>
        <w:pStyle w:val="Els-body-text"/>
        <w:spacing w:after="120"/>
        <w:rPr>
          <w:lang w:eastAsia="ja-JP"/>
        </w:rPr>
      </w:pPr>
      <w:r w:rsidRPr="00EB1AA2">
        <w:t xml:space="preserve">Figure 2 represents a superstructure created for the recycling of </w:t>
      </w:r>
      <w:proofErr w:type="spellStart"/>
      <w:r w:rsidRPr="00EB1AA2">
        <w:t>LiB</w:t>
      </w:r>
      <w:proofErr w:type="spellEnd"/>
      <w:r w:rsidRPr="00EB1AA2">
        <w:t xml:space="preserve"> cathodes. Pre</w:t>
      </w:r>
      <w:r w:rsidRPr="00EB1AA2">
        <w:rPr>
          <w:rFonts w:hint="eastAsia"/>
          <w:lang w:eastAsia="ja-JP"/>
        </w:rPr>
        <w:t>t</w:t>
      </w:r>
      <w:r w:rsidRPr="00EB1AA2">
        <w:rPr>
          <w:lang w:eastAsia="ja-JP"/>
        </w:rPr>
        <w:t>reatment</w:t>
      </w:r>
      <w:r w:rsidRPr="00EB1AA2">
        <w:t xml:space="preserve"> </w:t>
      </w:r>
      <w:r w:rsidR="00581C6A">
        <w:t>wa</w:t>
      </w:r>
      <w:r w:rsidRPr="00EB1AA2">
        <w:t>s categorized into thermal pretreatment, mechanical pretreatment, and chemical pretreatment. In the hydrometallurgical process,</w:t>
      </w:r>
      <w:r w:rsidR="00A7337B" w:rsidRPr="00EB1AA2">
        <w:rPr>
          <w:rFonts w:hint="eastAsia"/>
          <w:lang w:eastAsia="ja-JP"/>
        </w:rPr>
        <w:t xml:space="preserve"> </w:t>
      </w:r>
      <w:r w:rsidRPr="00EB1AA2">
        <w:t xml:space="preserve">acid leaching seems </w:t>
      </w:r>
      <w:r w:rsidR="00581C6A">
        <w:t xml:space="preserve">to be </w:t>
      </w:r>
      <w:r w:rsidRPr="00EB1AA2">
        <w:t xml:space="preserve">inevitable, and subsequent solvent extraction and precipitation steps are selective. Following solvent extraction, metal recovery can be achieved through processes </w:t>
      </w:r>
      <w:r w:rsidR="00581C6A">
        <w:t>such as</w:t>
      </w:r>
      <w:r w:rsidRPr="00EB1AA2">
        <w:t xml:space="preserve"> electrowinning or crystallization. </w:t>
      </w:r>
      <w:r w:rsidR="00581C6A">
        <w:t xml:space="preserve">In addition, </w:t>
      </w:r>
      <w:r w:rsidRPr="00EB1AA2">
        <w:t xml:space="preserve">multiple methods </w:t>
      </w:r>
      <w:r w:rsidR="00581C6A">
        <w:t xml:space="preserve">were </w:t>
      </w:r>
      <w:r w:rsidR="00581C6A" w:rsidRPr="00EB1AA2">
        <w:t xml:space="preserve">proposed </w:t>
      </w:r>
      <w:r w:rsidRPr="00EB1AA2">
        <w:t>for direct recycling from battery powder.</w:t>
      </w:r>
      <w:r w:rsidR="00C76E68" w:rsidRPr="00EB1AA2">
        <w:t xml:space="preserve"> </w:t>
      </w:r>
      <w:r w:rsidR="00581C6A">
        <w:t>Moreover</w:t>
      </w:r>
      <w:r w:rsidR="00C76E68" w:rsidRPr="00EB1AA2">
        <w:t>, the results of the bibliometric analysis indicate</w:t>
      </w:r>
      <w:r w:rsidR="00581C6A">
        <w:t>d</w:t>
      </w:r>
      <w:r w:rsidR="00C76E68" w:rsidRPr="00EB1AA2">
        <w:t xml:space="preserve"> </w:t>
      </w:r>
      <w:r w:rsidR="00581C6A">
        <w:t>that the</w:t>
      </w:r>
      <w:r w:rsidR="00C76E68" w:rsidRPr="00EB1AA2">
        <w:t xml:space="preserve"> number of studies on re-lithiation using molten salts</w:t>
      </w:r>
      <w:r w:rsidR="00581C6A">
        <w:t xml:space="preserve"> is increasing</w:t>
      </w:r>
      <w:r w:rsidR="00C76E68" w:rsidRPr="00EB1AA2">
        <w:t>.</w:t>
      </w:r>
    </w:p>
    <w:p w14:paraId="6EA6FA45" w14:textId="0E99A1DE" w:rsidR="00E51857" w:rsidRPr="00EB1AA2" w:rsidRDefault="00AB65B1" w:rsidP="008D2649">
      <w:pPr>
        <w:pStyle w:val="Els-body-text"/>
        <w:spacing w:after="120"/>
      </w:pPr>
      <w:r>
        <w:rPr>
          <w:noProof/>
        </w:rPr>
        <w:drawing>
          <wp:inline distT="0" distB="0" distL="0" distR="0" wp14:anchorId="46C89E79" wp14:editId="3FE40D7D">
            <wp:extent cx="3745065" cy="2550106"/>
            <wp:effectExtent l="0" t="0" r="8255" b="3175"/>
            <wp:docPr id="3346644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998" cy="2560274"/>
                    </a:xfrm>
                    <a:prstGeom prst="rect">
                      <a:avLst/>
                    </a:prstGeom>
                    <a:noFill/>
                    <a:ln>
                      <a:noFill/>
                    </a:ln>
                  </pic:spPr>
                </pic:pic>
              </a:graphicData>
            </a:graphic>
          </wp:inline>
        </w:drawing>
      </w:r>
    </w:p>
    <w:p w14:paraId="24250E10" w14:textId="417767DE" w:rsidR="000E2212" w:rsidRPr="00EB1AA2" w:rsidRDefault="00E51857" w:rsidP="00B4536C">
      <w:pPr>
        <w:pStyle w:val="Els-caption"/>
        <w:rPr>
          <w:lang w:eastAsia="ja-JP"/>
        </w:rPr>
      </w:pPr>
      <w:r w:rsidRPr="00EB1AA2">
        <w:rPr>
          <w:lang w:eastAsia="ja-JP"/>
        </w:rPr>
        <w:t>Figure</w:t>
      </w:r>
      <w:r w:rsidR="00D034D3" w:rsidRPr="00EB1AA2">
        <w:rPr>
          <w:lang w:eastAsia="ja-JP"/>
        </w:rPr>
        <w:t xml:space="preserve"> </w:t>
      </w:r>
      <w:r w:rsidRPr="00EB1AA2">
        <w:rPr>
          <w:lang w:eastAsia="ja-JP"/>
        </w:rPr>
        <w:t xml:space="preserve">2 Superstructure of </w:t>
      </w:r>
      <w:proofErr w:type="spellStart"/>
      <w:r w:rsidRPr="00EB1AA2">
        <w:rPr>
          <w:lang w:eastAsia="ja-JP"/>
        </w:rPr>
        <w:t>LiB</w:t>
      </w:r>
      <w:proofErr w:type="spellEnd"/>
      <w:r w:rsidRPr="00EB1AA2">
        <w:rPr>
          <w:lang w:eastAsia="ja-JP"/>
        </w:rPr>
        <w:t xml:space="preserve"> cathode recycling</w:t>
      </w:r>
    </w:p>
    <w:p w14:paraId="20CB6D69" w14:textId="25163B8A" w:rsidR="00853A60" w:rsidRPr="00EB1AA2" w:rsidRDefault="00E96797" w:rsidP="00853A60">
      <w:pPr>
        <w:pStyle w:val="Els-2ndorder-head"/>
      </w:pPr>
      <w:r w:rsidRPr="00EB1AA2">
        <w:lastRenderedPageBreak/>
        <w:t>LCA</w:t>
      </w:r>
      <w:r w:rsidR="009F11AB" w:rsidRPr="00EB1AA2">
        <w:t xml:space="preserve"> of </w:t>
      </w:r>
      <w:proofErr w:type="spellStart"/>
      <w:r w:rsidR="009F11AB" w:rsidRPr="00EB1AA2">
        <w:t>LiB</w:t>
      </w:r>
      <w:proofErr w:type="spellEnd"/>
      <w:r w:rsidRPr="00EB1AA2">
        <w:t xml:space="preserve"> cathode recycling</w:t>
      </w:r>
    </w:p>
    <w:p w14:paraId="32641024" w14:textId="77777777" w:rsidR="000E2212" w:rsidRPr="00EB1AA2" w:rsidRDefault="000E2212" w:rsidP="000E2212">
      <w:pPr>
        <w:pStyle w:val="Els-body-text"/>
        <w:spacing w:after="120"/>
      </w:pPr>
      <w:r w:rsidRPr="00EB1AA2">
        <w:rPr>
          <w:noProof/>
          <w:lang w:eastAsia="zh-CN"/>
        </w:rPr>
        <w:drawing>
          <wp:inline distT="0" distB="0" distL="0" distR="0" wp14:anchorId="06230205" wp14:editId="504F7F34">
            <wp:extent cx="3721396" cy="3020983"/>
            <wp:effectExtent l="0" t="0" r="0" b="8255"/>
            <wp:docPr id="1306619791" name="図 1" descr="グラフィカル ユーザー インターフェイス, 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19791" name="図 1" descr="グラフィカル ユーザー インターフェイス, 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381" cy="3051819"/>
                    </a:xfrm>
                    <a:prstGeom prst="rect">
                      <a:avLst/>
                    </a:prstGeom>
                    <a:noFill/>
                    <a:ln>
                      <a:noFill/>
                    </a:ln>
                  </pic:spPr>
                </pic:pic>
              </a:graphicData>
            </a:graphic>
          </wp:inline>
        </w:drawing>
      </w:r>
    </w:p>
    <w:p w14:paraId="43CC0D32" w14:textId="63BFE1DE" w:rsidR="000E2212" w:rsidRPr="00EB1AA2" w:rsidRDefault="000E2212" w:rsidP="000E2212">
      <w:pPr>
        <w:pStyle w:val="Els-caption"/>
      </w:pPr>
      <w:r w:rsidRPr="00EB1AA2">
        <w:t xml:space="preserve">Figure 3 </w:t>
      </w:r>
      <w:r w:rsidR="00372626" w:rsidRPr="00EB1AA2">
        <w:t>LCA r</w:t>
      </w:r>
      <w:r w:rsidRPr="00EB1AA2">
        <w:t xml:space="preserve">esults </w:t>
      </w:r>
      <w:r w:rsidR="00372626" w:rsidRPr="00EB1AA2">
        <w:t>on</w:t>
      </w:r>
      <w:r w:rsidRPr="00EB1AA2">
        <w:t xml:space="preserve"> LC-GHG and LC-RCP.</w:t>
      </w:r>
    </w:p>
    <w:p w14:paraId="730D24EC" w14:textId="2173AD09" w:rsidR="00020B98" w:rsidRPr="00EB1AA2" w:rsidRDefault="008B2847" w:rsidP="008D2649">
      <w:pPr>
        <w:pStyle w:val="Els-body-text"/>
        <w:spacing w:after="120"/>
        <w:rPr>
          <w:lang w:eastAsia="ja-JP"/>
        </w:rPr>
      </w:pPr>
      <w:r>
        <w:t>The</w:t>
      </w:r>
      <w:r w:rsidR="009A0B82" w:rsidRPr="00EB1AA2">
        <w:t xml:space="preserve"> environmental impacts were reduced in all cases compared to A</w:t>
      </w:r>
      <w:r>
        <w:t xml:space="preserve"> (Figure 3)</w:t>
      </w:r>
      <w:r w:rsidR="009A0B82" w:rsidRPr="00EB1AA2">
        <w:t xml:space="preserve">. In terms of LC-GHG emissions, impacts from solvent extraction, roasting, and acid leaching were significant, demonstrating varying environmental impacts from each </w:t>
      </w:r>
      <w:r w:rsidR="00D06AA0" w:rsidRPr="00EB1AA2">
        <w:t xml:space="preserve">hydrometallurgical </w:t>
      </w:r>
      <w:r w:rsidR="009A0B82" w:rsidRPr="00EB1AA2">
        <w:t xml:space="preserve">process. </w:t>
      </w:r>
      <w:r>
        <w:t>However</w:t>
      </w:r>
      <w:r w:rsidR="009A0B82" w:rsidRPr="00EB1AA2">
        <w:t xml:space="preserve">, for LC-RCP, the load of the recycling process was small, and the total resource consumption impact was </w:t>
      </w:r>
      <w:r>
        <w:t>lower by more than</w:t>
      </w:r>
      <w:r w:rsidR="009A0B82" w:rsidRPr="00EB1AA2">
        <w:t xml:space="preserve"> 50% compared to A. Furthermore, comparisons between C-1 and C-2, D-1 and D-2 indicated that the effect of recycling became more significant when recovering as sulfates compared to individual metal recovery at the same</w:t>
      </w:r>
      <w:r w:rsidR="004331C7" w:rsidRPr="00EB1AA2">
        <w:t xml:space="preserve"> recovery</w:t>
      </w:r>
      <w:r w:rsidR="009A0B82" w:rsidRPr="00EB1AA2">
        <w:t xml:space="preserve"> rate</w:t>
      </w:r>
      <w:r w:rsidR="00D06AA0" w:rsidRPr="00EB1AA2">
        <w:t xml:space="preserve"> becaus</w:t>
      </w:r>
      <w:r w:rsidR="00B4536C" w:rsidRPr="00EB1AA2">
        <w:t xml:space="preserve">e </w:t>
      </w:r>
      <w:r w:rsidRPr="00EB1AA2">
        <w:t>the production of</w:t>
      </w:r>
      <w:r w:rsidR="006839A3">
        <w:t xml:space="preserve"> metal</w:t>
      </w:r>
      <w:r w:rsidRPr="00EB1AA2">
        <w:t xml:space="preserve"> sulfates </w:t>
      </w:r>
      <w:r w:rsidR="008F4634">
        <w:t xml:space="preserve">has a greater </w:t>
      </w:r>
      <w:r w:rsidR="00B4536C" w:rsidRPr="00EB1AA2">
        <w:t>environmental impact.</w:t>
      </w:r>
      <w:r w:rsidR="009A0B82" w:rsidRPr="00EB1AA2">
        <w:t xml:space="preserve"> </w:t>
      </w:r>
      <w:r w:rsidR="008F4634">
        <w:t>In addition</w:t>
      </w:r>
      <w:r w:rsidR="009A0B82" w:rsidRPr="00EB1AA2">
        <w:t>,</w:t>
      </w:r>
      <w:r w:rsidR="00120288" w:rsidRPr="00EB1AA2">
        <w:t xml:space="preserve"> Case E shows the lowest environmental impact over the entire life</w:t>
      </w:r>
      <w:r w:rsidR="00074868">
        <w:t xml:space="preserve"> </w:t>
      </w:r>
      <w:r w:rsidR="00120288" w:rsidRPr="00EB1AA2">
        <w:t>cycle. This is because thermal pretreatment and hydrometallurgy can be avoided in this direct recycling process.</w:t>
      </w:r>
      <w:r w:rsidR="000E2212" w:rsidRPr="00EB1AA2">
        <w:t xml:space="preserve"> </w:t>
      </w:r>
      <w:r w:rsidR="0006555F" w:rsidRPr="00EB1AA2">
        <w:rPr>
          <w:lang w:eastAsia="ja-JP"/>
        </w:rPr>
        <w:t>Acidification and H</w:t>
      </w:r>
      <w:r w:rsidR="006839A3">
        <w:rPr>
          <w:lang w:eastAsia="ja-JP"/>
        </w:rPr>
        <w:t>uman toxicity potential</w:t>
      </w:r>
      <w:r w:rsidR="0006555F" w:rsidRPr="00EB1AA2">
        <w:rPr>
          <w:lang w:eastAsia="ja-JP"/>
        </w:rPr>
        <w:t xml:space="preserve"> showed trends</w:t>
      </w:r>
      <w:r w:rsidR="008F4634">
        <w:rPr>
          <w:lang w:eastAsia="ja-JP"/>
        </w:rPr>
        <w:t xml:space="preserve"> </w:t>
      </w:r>
      <w:proofErr w:type="gramStart"/>
      <w:r w:rsidR="008F4634">
        <w:rPr>
          <w:lang w:eastAsia="ja-JP"/>
        </w:rPr>
        <w:t>similar</w:t>
      </w:r>
      <w:r w:rsidR="0006555F" w:rsidRPr="00EB1AA2">
        <w:rPr>
          <w:lang w:eastAsia="ja-JP"/>
        </w:rPr>
        <w:t xml:space="preserve"> to</w:t>
      </w:r>
      <w:proofErr w:type="gramEnd"/>
      <w:r w:rsidR="0006555F" w:rsidRPr="00EB1AA2">
        <w:rPr>
          <w:lang w:eastAsia="ja-JP"/>
        </w:rPr>
        <w:t xml:space="preserve"> resource consumption. </w:t>
      </w:r>
      <w:r w:rsidR="00020B98" w:rsidRPr="00EB1AA2">
        <w:rPr>
          <w:lang w:eastAsia="ja-JP"/>
        </w:rPr>
        <w:t>For acidification, the effects of roasting, acid leaching, and solvent extraction were identified. In HTP, the effect of the recycling process was small in both categories, but the effect of equipment manufacturing for pulsed discharging was observed.</w:t>
      </w:r>
      <w:r w:rsidR="005A6CDD" w:rsidRPr="00EB1AA2">
        <w:rPr>
          <w:lang w:eastAsia="ja-JP"/>
        </w:rPr>
        <w:t xml:space="preserve"> </w:t>
      </w:r>
      <w:r w:rsidR="005E347C" w:rsidRPr="00EB1AA2">
        <w:rPr>
          <w:lang w:eastAsia="ja-JP"/>
        </w:rPr>
        <w:t>Overall, recycling reduces the environmental impact of the entire life</w:t>
      </w:r>
      <w:r w:rsidR="00074868">
        <w:rPr>
          <w:lang w:eastAsia="ja-JP"/>
        </w:rPr>
        <w:t xml:space="preserve"> </w:t>
      </w:r>
      <w:r w:rsidR="005E347C" w:rsidRPr="00EB1AA2">
        <w:rPr>
          <w:lang w:eastAsia="ja-JP"/>
        </w:rPr>
        <w:t>cycle in all cases in all categories except global warming potential.</w:t>
      </w:r>
    </w:p>
    <w:p w14:paraId="2E6BC28F" w14:textId="512B815B" w:rsidR="00B75A6A" w:rsidRPr="00EB1AA2" w:rsidRDefault="00504EA9" w:rsidP="00B75A6A">
      <w:pPr>
        <w:pStyle w:val="Els-1storder-head"/>
        <w:spacing w:after="120"/>
      </w:pPr>
      <w:r w:rsidRPr="00EB1AA2">
        <w:t>Conclusions</w:t>
      </w:r>
    </w:p>
    <w:p w14:paraId="0028E36D" w14:textId="7C89A28E" w:rsidR="000076E4" w:rsidRDefault="000076E4" w:rsidP="000076E4">
      <w:pPr>
        <w:pStyle w:val="Els-body-text"/>
        <w:spacing w:after="120"/>
      </w:pPr>
      <w:r>
        <w:t>A</w:t>
      </w:r>
      <w:r w:rsidR="00B75A6A" w:rsidRPr="00EB1AA2">
        <w:t xml:space="preserve"> superstructure </w:t>
      </w:r>
      <w:r>
        <w:t>was constructed</w:t>
      </w:r>
      <w:r w:rsidR="00120288" w:rsidRPr="00EB1AA2">
        <w:t xml:space="preserve"> </w:t>
      </w:r>
      <w:r>
        <w:t>and</w:t>
      </w:r>
      <w:r w:rsidR="00B75A6A" w:rsidRPr="00EB1AA2">
        <w:t xml:space="preserve"> a quantitative evaluation </w:t>
      </w:r>
      <w:r>
        <w:t>was performed u</w:t>
      </w:r>
      <w:r w:rsidR="00B75A6A" w:rsidRPr="00EB1AA2">
        <w:t>sin</w:t>
      </w:r>
      <w:r w:rsidR="00017D41">
        <w:t>g</w:t>
      </w:r>
      <w:r w:rsidR="00B75A6A" w:rsidRPr="00EB1AA2">
        <w:t xml:space="preserve"> LCA</w:t>
      </w:r>
      <w:r w:rsidR="00AD372F" w:rsidRPr="00EB1AA2">
        <w:rPr>
          <w:rFonts w:hint="eastAsia"/>
          <w:lang w:eastAsia="ja-JP"/>
        </w:rPr>
        <w:t xml:space="preserve"> </w:t>
      </w:r>
      <w:r>
        <w:t>with the aim of designing</w:t>
      </w:r>
      <w:r w:rsidR="00B75A6A" w:rsidRPr="00EB1AA2">
        <w:t xml:space="preserve"> environmentally </w:t>
      </w:r>
      <w:r w:rsidR="004331C7" w:rsidRPr="00EB1AA2">
        <w:t>conscious</w:t>
      </w:r>
      <w:r w:rsidR="00B75A6A" w:rsidRPr="00EB1AA2">
        <w:t xml:space="preserve"> recycling process</w:t>
      </w:r>
      <w:r w:rsidR="008F4634">
        <w:t>es</w:t>
      </w:r>
      <w:r w:rsidR="00B75A6A" w:rsidRPr="00EB1AA2">
        <w:t xml:space="preserve"> for </w:t>
      </w:r>
      <w:proofErr w:type="spellStart"/>
      <w:r w:rsidR="00B75A6A" w:rsidRPr="00EB1AA2">
        <w:t>LiB.</w:t>
      </w:r>
      <w:proofErr w:type="spellEnd"/>
      <w:r w:rsidR="00B75A6A" w:rsidRPr="00EB1AA2">
        <w:t xml:space="preserve"> </w:t>
      </w:r>
      <w:r w:rsidR="006839A3">
        <w:t xml:space="preserve">This </w:t>
      </w:r>
      <w:r w:rsidR="00610061">
        <w:t>study systematically</w:t>
      </w:r>
      <w:r w:rsidR="00B75A6A" w:rsidRPr="00EB1AA2">
        <w:t xml:space="preserve"> organized the </w:t>
      </w:r>
      <w:proofErr w:type="spellStart"/>
      <w:r w:rsidR="00B75A6A" w:rsidRPr="00EB1AA2">
        <w:t>LiB</w:t>
      </w:r>
      <w:proofErr w:type="spellEnd"/>
      <w:r w:rsidR="00B75A6A" w:rsidRPr="00EB1AA2">
        <w:t xml:space="preserve"> recycling process</w:t>
      </w:r>
      <w:r>
        <w:t>es</w:t>
      </w:r>
      <w:r w:rsidR="00B75A6A" w:rsidRPr="00EB1AA2">
        <w:t xml:space="preserve"> and </w:t>
      </w:r>
      <w:r>
        <w:t>presented the</w:t>
      </w:r>
      <w:r w:rsidR="00B75A6A" w:rsidRPr="00EB1AA2">
        <w:t xml:space="preserve"> varying environmental impacts </w:t>
      </w:r>
      <w:r>
        <w:t>of</w:t>
      </w:r>
      <w:r w:rsidR="00B75A6A" w:rsidRPr="00EB1AA2">
        <w:t xml:space="preserve"> some processes, including emerging technologies like </w:t>
      </w:r>
      <w:r w:rsidR="004331C7" w:rsidRPr="00EB1AA2">
        <w:t>pulsed discharging</w:t>
      </w:r>
      <w:r w:rsidR="00B75A6A" w:rsidRPr="00EB1AA2">
        <w:t>. These</w:t>
      </w:r>
      <w:r>
        <w:t xml:space="preserve"> LCA</w:t>
      </w:r>
      <w:r w:rsidR="00B75A6A" w:rsidRPr="00EB1AA2">
        <w:t xml:space="preserve"> results provide valuable information for stakeholders involved in decision-making regarding </w:t>
      </w:r>
      <w:proofErr w:type="spellStart"/>
      <w:r w:rsidR="00B75A6A" w:rsidRPr="00EB1AA2">
        <w:t>LiB</w:t>
      </w:r>
      <w:proofErr w:type="spellEnd"/>
      <w:r w:rsidR="00B75A6A" w:rsidRPr="00EB1AA2">
        <w:t xml:space="preserve"> recycling. </w:t>
      </w:r>
      <w:r w:rsidR="00020B98" w:rsidRPr="00EB1AA2">
        <w:t>Future research should include evaluation of other processes depicted in the superstructure and optimization by setting design variables.</w:t>
      </w:r>
      <w:r w:rsidR="00B75A6A" w:rsidRPr="00EB1AA2">
        <w:t xml:space="preserve"> </w:t>
      </w:r>
    </w:p>
    <w:p w14:paraId="570F0BB9" w14:textId="45699FEB" w:rsidR="007F3529" w:rsidRPr="00EB1AA2" w:rsidRDefault="009F11AB" w:rsidP="000076E4">
      <w:pPr>
        <w:pStyle w:val="Els-body-text"/>
        <w:spacing w:after="120"/>
      </w:pPr>
      <w:r w:rsidRPr="00EB1AA2">
        <w:lastRenderedPageBreak/>
        <w:t>Acknowledgment</w:t>
      </w:r>
    </w:p>
    <w:p w14:paraId="1F201D5E" w14:textId="6AB8E0AF" w:rsidR="00673012" w:rsidRPr="00EB1AA2" w:rsidRDefault="00373726" w:rsidP="00B75A6A">
      <w:pPr>
        <w:pStyle w:val="Els-1storder-head"/>
        <w:keepNext w:val="0"/>
        <w:numPr>
          <w:ilvl w:val="0"/>
          <w:numId w:val="0"/>
        </w:numPr>
        <w:spacing w:before="0" w:after="120" w:line="240" w:lineRule="auto"/>
        <w:rPr>
          <w:b w:val="0"/>
          <w:sz w:val="20"/>
        </w:rPr>
      </w:pPr>
      <w:r w:rsidRPr="00EB1AA2">
        <w:rPr>
          <w:b w:val="0"/>
          <w:sz w:val="20"/>
        </w:rPr>
        <w:t xml:space="preserve">This study </w:t>
      </w:r>
      <w:r w:rsidR="000076E4">
        <w:rPr>
          <w:b w:val="0"/>
          <w:sz w:val="20"/>
        </w:rPr>
        <w:t>was</w:t>
      </w:r>
      <w:r w:rsidRPr="00EB1AA2">
        <w:rPr>
          <w:b w:val="0"/>
          <w:sz w:val="20"/>
        </w:rPr>
        <w:t xml:space="preserve"> </w:t>
      </w:r>
      <w:r w:rsidR="00866F70" w:rsidRPr="00EB1AA2">
        <w:rPr>
          <w:b w:val="0"/>
          <w:sz w:val="20"/>
        </w:rPr>
        <w:t xml:space="preserve">financially supported by the New Energy and Industrial Technology Development Organization (NEDO) (Grant number, </w:t>
      </w:r>
      <w:r w:rsidRPr="00EB1AA2">
        <w:rPr>
          <w:b w:val="0"/>
          <w:sz w:val="20"/>
        </w:rPr>
        <w:t>JPNP210</w:t>
      </w:r>
      <w:r w:rsidR="00180A3C" w:rsidRPr="00EB1AA2">
        <w:rPr>
          <w:rFonts w:hint="eastAsia"/>
          <w:b w:val="0"/>
          <w:sz w:val="20"/>
          <w:lang w:eastAsia="ja-JP"/>
        </w:rPr>
        <w:t>2</w:t>
      </w:r>
      <w:r w:rsidR="00180A3C" w:rsidRPr="00EB1AA2">
        <w:rPr>
          <w:b w:val="0"/>
          <w:sz w:val="20"/>
          <w:lang w:eastAsia="ja-JP"/>
        </w:rPr>
        <w:t>6</w:t>
      </w:r>
      <w:r w:rsidR="00866F70" w:rsidRPr="00EB1AA2">
        <w:rPr>
          <w:b w:val="0"/>
          <w:sz w:val="20"/>
          <w:lang w:eastAsia="ja-JP"/>
        </w:rPr>
        <w:t>)</w:t>
      </w:r>
      <w:r w:rsidRPr="00EB1AA2">
        <w:rPr>
          <w:b w:val="0"/>
          <w:sz w:val="20"/>
        </w:rPr>
        <w:t xml:space="preserve">, </w:t>
      </w:r>
      <w:r w:rsidR="00866F70" w:rsidRPr="00EB1AA2">
        <w:rPr>
          <w:b w:val="0"/>
          <w:sz w:val="20"/>
        </w:rPr>
        <w:t>T</w:t>
      </w:r>
      <w:r w:rsidR="007F3529" w:rsidRPr="00EB1AA2">
        <w:rPr>
          <w:b w:val="0"/>
          <w:sz w:val="20"/>
        </w:rPr>
        <w:t xml:space="preserve">his research </w:t>
      </w:r>
      <w:r w:rsidR="002557EB">
        <w:rPr>
          <w:b w:val="0"/>
          <w:sz w:val="20"/>
        </w:rPr>
        <w:t>includ</w:t>
      </w:r>
      <w:r w:rsidR="00866F70" w:rsidRPr="00EB1AA2">
        <w:rPr>
          <w:b w:val="0"/>
          <w:sz w:val="20"/>
        </w:rPr>
        <w:t xml:space="preserve">ed the achievements of </w:t>
      </w:r>
      <w:r w:rsidR="007F3529" w:rsidRPr="00EB1AA2">
        <w:rPr>
          <w:b w:val="0"/>
          <w:sz w:val="20"/>
        </w:rPr>
        <w:t>the JST</w:t>
      </w:r>
      <w:r w:rsidR="00866F70" w:rsidRPr="00EB1AA2">
        <w:rPr>
          <w:b w:val="0"/>
          <w:sz w:val="20"/>
        </w:rPr>
        <w:t>-</w:t>
      </w:r>
      <w:r w:rsidR="007F3529" w:rsidRPr="00EB1AA2">
        <w:rPr>
          <w:b w:val="0"/>
          <w:sz w:val="20"/>
        </w:rPr>
        <w:t>MIRAI</w:t>
      </w:r>
      <w:r w:rsidR="007F3529" w:rsidRPr="00EB1AA2">
        <w:rPr>
          <w:rFonts w:hint="eastAsia"/>
          <w:b w:val="0"/>
          <w:sz w:val="20"/>
          <w:lang w:eastAsia="ja-JP"/>
        </w:rPr>
        <w:t xml:space="preserve"> </w:t>
      </w:r>
      <w:r w:rsidR="007F3529" w:rsidRPr="00EB1AA2">
        <w:rPr>
          <w:b w:val="0"/>
          <w:sz w:val="20"/>
        </w:rPr>
        <w:t>P</w:t>
      </w:r>
      <w:r w:rsidR="00866F70" w:rsidRPr="00EB1AA2">
        <w:rPr>
          <w:b w:val="0"/>
          <w:sz w:val="20"/>
        </w:rPr>
        <w:t>rogram</w:t>
      </w:r>
      <w:r w:rsidR="007F3529" w:rsidRPr="00EB1AA2">
        <w:rPr>
          <w:b w:val="0"/>
          <w:sz w:val="20"/>
        </w:rPr>
        <w:t xml:space="preserve"> Grant Number JPMJMI19C7, </w:t>
      </w:r>
      <w:r w:rsidR="00C4627A" w:rsidRPr="00EB1AA2">
        <w:rPr>
          <w:b w:val="0"/>
          <w:sz w:val="20"/>
        </w:rPr>
        <w:t xml:space="preserve">JST COI-NEXT (JPMJPF2003), </w:t>
      </w:r>
      <w:r w:rsidR="007F3529" w:rsidRPr="00EB1AA2">
        <w:rPr>
          <w:b w:val="0"/>
          <w:sz w:val="20"/>
        </w:rPr>
        <w:t xml:space="preserve">JSPS KAKENHI Grant Number </w:t>
      </w:r>
      <w:r w:rsidR="00866F70" w:rsidRPr="00EB1AA2">
        <w:rPr>
          <w:b w:val="0"/>
          <w:sz w:val="20"/>
        </w:rPr>
        <w:t>JP</w:t>
      </w:r>
      <w:r w:rsidR="007F3529" w:rsidRPr="00EB1AA2">
        <w:rPr>
          <w:b w:val="0"/>
          <w:sz w:val="20"/>
        </w:rPr>
        <w:t xml:space="preserve">21H03660. </w:t>
      </w:r>
      <w:r w:rsidR="002557EB">
        <w:rPr>
          <w:b w:val="0"/>
          <w:sz w:val="20"/>
        </w:rPr>
        <w:t>The a</w:t>
      </w:r>
      <w:r w:rsidR="007F3529" w:rsidRPr="00EB1AA2">
        <w:rPr>
          <w:b w:val="0"/>
          <w:sz w:val="20"/>
        </w:rPr>
        <w:t xml:space="preserve">ctivities of the Presidential Endowed Chair </w:t>
      </w:r>
      <w:r w:rsidR="00020B98" w:rsidRPr="00EB1AA2">
        <w:rPr>
          <w:b w:val="0"/>
          <w:sz w:val="20"/>
        </w:rPr>
        <w:t>for</w:t>
      </w:r>
      <w:r w:rsidR="00020B98" w:rsidRPr="00EB1AA2">
        <w:rPr>
          <w:b w:val="0"/>
          <w:sz w:val="20"/>
          <w:lang w:eastAsia="ja-JP"/>
        </w:rPr>
        <w:t xml:space="preserve"> </w:t>
      </w:r>
      <w:r w:rsidR="009937CE">
        <w:rPr>
          <w:b w:val="0"/>
          <w:sz w:val="20"/>
          <w:lang w:eastAsia="ja-JP"/>
        </w:rPr>
        <w:t>“</w:t>
      </w:r>
      <w:r w:rsidR="007F3529" w:rsidRPr="00EB1AA2">
        <w:rPr>
          <w:b w:val="0"/>
          <w:sz w:val="20"/>
        </w:rPr>
        <w:t>Platinum Society</w:t>
      </w:r>
      <w:r w:rsidR="009937CE">
        <w:rPr>
          <w:b w:val="0"/>
          <w:sz w:val="20"/>
        </w:rPr>
        <w:t>”</w:t>
      </w:r>
      <w:r w:rsidR="007F3529" w:rsidRPr="00EB1AA2">
        <w:rPr>
          <w:b w:val="0"/>
          <w:sz w:val="20"/>
        </w:rPr>
        <w:t xml:space="preserve"> at the University of Tokyo are</w:t>
      </w:r>
      <w:r w:rsidR="007F3529" w:rsidRPr="00EB1AA2">
        <w:rPr>
          <w:rFonts w:hint="eastAsia"/>
          <w:b w:val="0"/>
          <w:sz w:val="20"/>
          <w:lang w:eastAsia="ja-JP"/>
        </w:rPr>
        <w:t xml:space="preserve"> </w:t>
      </w:r>
      <w:r w:rsidR="007F3529" w:rsidRPr="00EB1AA2">
        <w:rPr>
          <w:b w:val="0"/>
          <w:sz w:val="20"/>
        </w:rPr>
        <w:t>supported by Mitsui Fudosan Corporation, Sekisui</w:t>
      </w:r>
      <w:r w:rsidR="007F3529" w:rsidRPr="00EB1AA2">
        <w:rPr>
          <w:rFonts w:hint="eastAsia"/>
          <w:b w:val="0"/>
          <w:sz w:val="20"/>
          <w:lang w:eastAsia="ja-JP"/>
        </w:rPr>
        <w:t xml:space="preserve"> </w:t>
      </w:r>
      <w:r w:rsidR="007F3529" w:rsidRPr="00EB1AA2">
        <w:rPr>
          <w:b w:val="0"/>
          <w:sz w:val="20"/>
        </w:rPr>
        <w:t>House, Ltd., East Japan Railway Company, and</w:t>
      </w:r>
      <w:r w:rsidR="007F3529" w:rsidRPr="00EB1AA2">
        <w:rPr>
          <w:rFonts w:hint="eastAsia"/>
          <w:b w:val="0"/>
          <w:sz w:val="20"/>
          <w:lang w:eastAsia="ja-JP"/>
        </w:rPr>
        <w:t xml:space="preserve"> </w:t>
      </w:r>
      <w:r w:rsidR="007F3529" w:rsidRPr="00EB1AA2">
        <w:rPr>
          <w:b w:val="0"/>
          <w:sz w:val="20"/>
        </w:rPr>
        <w:t>Toyota Tsusho Corporation.</w:t>
      </w:r>
    </w:p>
    <w:p w14:paraId="144DE6BF" w14:textId="5EF2C464" w:rsidR="008D2649" w:rsidRPr="00EB1AA2" w:rsidRDefault="008D2649" w:rsidP="00855A31">
      <w:pPr>
        <w:pStyle w:val="Els-reference-head"/>
      </w:pPr>
      <w:r w:rsidRPr="00EB1AA2">
        <w:t>References</w:t>
      </w:r>
    </w:p>
    <w:p w14:paraId="38F5BE76" w14:textId="0AF7EF53" w:rsidR="00650622" w:rsidRPr="00EB1AA2" w:rsidRDefault="00AD372F" w:rsidP="004B1D9F">
      <w:pPr>
        <w:pStyle w:val="Els-referenceno-number"/>
        <w:rPr>
          <w:noProof w:val="0"/>
          <w:lang w:val="en-US" w:eastAsia="en-GB"/>
        </w:rPr>
      </w:pPr>
      <w:bookmarkStart w:id="3" w:name="_Hlk152245956"/>
      <w:proofErr w:type="spellStart"/>
      <w:r w:rsidRPr="00EB1AA2">
        <w:rPr>
          <w:noProof w:val="0"/>
          <w:lang w:val="en-US" w:eastAsia="en-GB"/>
        </w:rPr>
        <w:t>E</w:t>
      </w:r>
      <w:r w:rsidR="00650622" w:rsidRPr="00EB1AA2">
        <w:rPr>
          <w:noProof w:val="0"/>
          <w:lang w:val="en-US" w:eastAsia="en-GB"/>
        </w:rPr>
        <w:t>coinvent</w:t>
      </w:r>
      <w:proofErr w:type="spellEnd"/>
      <w:r w:rsidR="00650622" w:rsidRPr="00EB1AA2">
        <w:rPr>
          <w:noProof w:val="0"/>
          <w:lang w:val="en-US" w:eastAsia="en-GB"/>
        </w:rPr>
        <w:t xml:space="preserve"> (Swiss Centre for Life Cycle Inventories), 202</w:t>
      </w:r>
      <w:r w:rsidR="00802E77" w:rsidRPr="00EB1AA2">
        <w:rPr>
          <w:noProof w:val="0"/>
          <w:lang w:val="en-US" w:eastAsia="en-GB"/>
        </w:rPr>
        <w:t>1</w:t>
      </w:r>
      <w:r w:rsidR="00650622" w:rsidRPr="00EB1AA2">
        <w:rPr>
          <w:noProof w:val="0"/>
          <w:lang w:val="en-US" w:eastAsia="en-GB"/>
        </w:rPr>
        <w:t xml:space="preserve">. </w:t>
      </w:r>
      <w:proofErr w:type="spellStart"/>
      <w:r w:rsidRPr="00EB1AA2">
        <w:rPr>
          <w:noProof w:val="0"/>
          <w:lang w:val="en-US" w:eastAsia="en-GB"/>
        </w:rPr>
        <w:t>E</w:t>
      </w:r>
      <w:r w:rsidR="00650622" w:rsidRPr="00EB1AA2">
        <w:rPr>
          <w:noProof w:val="0"/>
          <w:lang w:val="en-US" w:eastAsia="en-GB"/>
        </w:rPr>
        <w:t>coinvent</w:t>
      </w:r>
      <w:proofErr w:type="spellEnd"/>
      <w:r w:rsidR="00650622" w:rsidRPr="00EB1AA2">
        <w:rPr>
          <w:noProof w:val="0"/>
          <w:lang w:val="en-US" w:eastAsia="en-GB"/>
        </w:rPr>
        <w:t xml:space="preserve"> version 3.8.</w:t>
      </w:r>
      <w:r w:rsidR="00F73766" w:rsidRPr="00EB1AA2">
        <w:rPr>
          <w:noProof w:val="0"/>
          <w:lang w:val="en-US" w:eastAsia="en-GB"/>
        </w:rPr>
        <w:t xml:space="preserve"> </w:t>
      </w:r>
      <w:bookmarkEnd w:id="3"/>
      <w:r w:rsidRPr="00EB1AA2">
        <w:fldChar w:fldCharType="begin"/>
      </w:r>
      <w:r w:rsidRPr="00EB1AA2">
        <w:rPr>
          <w:noProof w:val="0"/>
          <w:lang w:val="en-US"/>
        </w:rPr>
        <w:instrText>HYPERLINK "https://ecoinvent.org/"</w:instrText>
      </w:r>
      <w:r w:rsidRPr="00EB1AA2">
        <w:fldChar w:fldCharType="separate"/>
      </w:r>
      <w:r w:rsidR="00F73766" w:rsidRPr="00EB1AA2">
        <w:rPr>
          <w:rStyle w:val="a9"/>
          <w:noProof w:val="0"/>
          <w:szCs w:val="18"/>
          <w:lang w:val="en-US" w:eastAsia="en-GB"/>
        </w:rPr>
        <w:t>https://ecoinvent.org/</w:t>
      </w:r>
      <w:r w:rsidRPr="00EB1AA2">
        <w:rPr>
          <w:rStyle w:val="a9"/>
          <w:noProof w:val="0"/>
          <w:szCs w:val="18"/>
          <w:lang w:val="en-US" w:eastAsia="en-GB"/>
        </w:rPr>
        <w:fldChar w:fldCharType="end"/>
      </w:r>
      <w:r w:rsidR="00F73766" w:rsidRPr="00EB1AA2">
        <w:rPr>
          <w:noProof w:val="0"/>
          <w:lang w:val="en-US" w:eastAsia="en-GB"/>
        </w:rPr>
        <w:t xml:space="preserve"> </w:t>
      </w:r>
      <w:r w:rsidR="00F73766" w:rsidRPr="00EB1AA2">
        <w:rPr>
          <w:noProof w:val="0"/>
          <w:lang w:val="en-US" w:eastAsia="ja-JP"/>
        </w:rPr>
        <w:t>(</w:t>
      </w:r>
      <w:r w:rsidR="00C76E68" w:rsidRPr="00EB1AA2">
        <w:rPr>
          <w:noProof w:val="0"/>
          <w:lang w:val="en-US" w:eastAsia="ja-JP"/>
        </w:rPr>
        <w:t xml:space="preserve">accessed </w:t>
      </w:r>
      <w:r w:rsidR="00F73766" w:rsidRPr="00EB1AA2">
        <w:rPr>
          <w:noProof w:val="0"/>
          <w:lang w:val="en-US" w:eastAsia="ja-JP"/>
        </w:rPr>
        <w:t>20 November 2023).</w:t>
      </w:r>
    </w:p>
    <w:p w14:paraId="166FF83F" w14:textId="5E190E76" w:rsidR="003462E0" w:rsidRPr="00EB1AA2" w:rsidRDefault="00802E77" w:rsidP="004B1D9F">
      <w:pPr>
        <w:pStyle w:val="Els-referenceno-number"/>
        <w:rPr>
          <w:noProof w:val="0"/>
          <w:lang w:val="en-US" w:eastAsia="ja-JP"/>
        </w:rPr>
      </w:pPr>
      <w:bookmarkStart w:id="4" w:name="_Hlk152245933"/>
      <w:r w:rsidRPr="00EB1AA2">
        <w:rPr>
          <w:rFonts w:hint="eastAsia"/>
          <w:noProof w:val="0"/>
          <w:lang w:val="en-US" w:eastAsia="ja-JP"/>
        </w:rPr>
        <w:t>E</w:t>
      </w:r>
      <w:r w:rsidRPr="00EB1AA2">
        <w:rPr>
          <w:noProof w:val="0"/>
          <w:lang w:val="en-US" w:eastAsia="ja-JP"/>
        </w:rPr>
        <w:t>uro</w:t>
      </w:r>
      <w:r w:rsidR="00BE7696" w:rsidRPr="00EB1AA2">
        <w:rPr>
          <w:noProof w:val="0"/>
          <w:lang w:val="en-US" w:eastAsia="ja-JP"/>
        </w:rPr>
        <w:t>pean Union, 2023, REGULATION (EU) 2023/1542 OF THE EUROPEAN PARLIAMENT AND OF THE COUNCIL</w:t>
      </w:r>
      <w:r w:rsidR="00BE7696" w:rsidRPr="00EB1AA2">
        <w:rPr>
          <w:rFonts w:hint="eastAsia"/>
          <w:noProof w:val="0"/>
          <w:lang w:val="en-US" w:eastAsia="ja-JP"/>
        </w:rPr>
        <w:t xml:space="preserve"> </w:t>
      </w:r>
      <w:r w:rsidR="00BE7696" w:rsidRPr="00EB1AA2">
        <w:rPr>
          <w:noProof w:val="0"/>
          <w:lang w:val="en-US" w:eastAsia="ja-JP"/>
        </w:rPr>
        <w:t xml:space="preserve">of 12 July 2023 concerning batteries and waste batteries, amending Directive 2008/98/EC and Regulation (EU) 2019/1020 and repealing Directive 2006/66/EC, Official Journal of European Union. </w:t>
      </w:r>
    </w:p>
    <w:p w14:paraId="26379A17" w14:textId="540EFF0A" w:rsidR="00CF5468" w:rsidRPr="00EB1AA2" w:rsidRDefault="00CF5468" w:rsidP="004B1D9F">
      <w:pPr>
        <w:pStyle w:val="Els-referenceno-number"/>
        <w:rPr>
          <w:noProof w:val="0"/>
          <w:lang w:val="en-US" w:eastAsia="en-GB"/>
        </w:rPr>
      </w:pPr>
      <w:r w:rsidRPr="00EB1AA2">
        <w:rPr>
          <w:noProof w:val="0"/>
          <w:lang w:val="en-US" w:eastAsia="en-GB"/>
        </w:rPr>
        <w:t xml:space="preserve">N. </w:t>
      </w:r>
      <w:proofErr w:type="spellStart"/>
      <w:r w:rsidRPr="00EB1AA2">
        <w:rPr>
          <w:noProof w:val="0"/>
          <w:lang w:val="en-US" w:eastAsia="en-GB"/>
        </w:rPr>
        <w:t>Itsubo</w:t>
      </w:r>
      <w:proofErr w:type="spellEnd"/>
      <w:r w:rsidRPr="00EB1AA2">
        <w:rPr>
          <w:noProof w:val="0"/>
          <w:lang w:val="en-US" w:eastAsia="en-GB"/>
        </w:rPr>
        <w:t>, A. Inaba, 2012. LIME2 life-cycle impact assessment method based on endpoint modeling. Life-Cycle Assessment Society of Japan, Tokyo, Japan.</w:t>
      </w:r>
    </w:p>
    <w:p w14:paraId="663FDFC6" w14:textId="6E49A9F4" w:rsidR="004B1D9F" w:rsidRPr="00EB1AA2" w:rsidRDefault="004B1D9F" w:rsidP="004B1D9F">
      <w:pPr>
        <w:pStyle w:val="Els-referenceno-number"/>
        <w:rPr>
          <w:noProof w:val="0"/>
          <w:lang w:val="en-US" w:eastAsia="ja-JP"/>
        </w:rPr>
      </w:pPr>
      <w:r w:rsidRPr="00EB1AA2">
        <w:rPr>
          <w:rFonts w:hint="eastAsia"/>
          <w:noProof w:val="0"/>
          <w:lang w:val="en-US" w:eastAsia="ja-JP"/>
        </w:rPr>
        <w:t>Y</w:t>
      </w:r>
      <w:r w:rsidRPr="00EB1AA2">
        <w:rPr>
          <w:noProof w:val="0"/>
          <w:lang w:val="en-US" w:eastAsia="ja-JP"/>
        </w:rPr>
        <w:t>. Kikuchi, 2017, Simulation-Based Approaches for Design of Smart Energy System: A Review Applying Bibliometric Analysis, J. Chem. Eng. Japan, 50(6) pp. 385</w:t>
      </w:r>
      <w:r w:rsidR="002557EB">
        <w:rPr>
          <w:noProof w:val="0"/>
          <w:lang w:val="en-US" w:eastAsia="ja-JP"/>
        </w:rPr>
        <w:t>–</w:t>
      </w:r>
      <w:r w:rsidRPr="00EB1AA2">
        <w:rPr>
          <w:noProof w:val="0"/>
          <w:lang w:val="en-US" w:eastAsia="ja-JP"/>
        </w:rPr>
        <w:t>396.</w:t>
      </w:r>
    </w:p>
    <w:p w14:paraId="0BFC39BE" w14:textId="634C8949" w:rsidR="004B1D9F" w:rsidRPr="00EB1AA2" w:rsidRDefault="004B1D9F" w:rsidP="004B1D9F">
      <w:pPr>
        <w:pStyle w:val="Els-referenceno-number"/>
        <w:rPr>
          <w:noProof w:val="0"/>
          <w:lang w:val="en-US" w:eastAsia="ja-JP"/>
        </w:rPr>
      </w:pPr>
      <w:r w:rsidRPr="00EB1AA2">
        <w:rPr>
          <w:noProof w:val="0"/>
          <w:lang w:val="en-US" w:eastAsia="ja-JP"/>
        </w:rPr>
        <w:t xml:space="preserve">Y. Kikuchi, I. </w:t>
      </w:r>
      <w:proofErr w:type="spellStart"/>
      <w:r w:rsidRPr="00EB1AA2">
        <w:rPr>
          <w:noProof w:val="0"/>
          <w:lang w:val="en-US" w:eastAsia="ja-JP"/>
        </w:rPr>
        <w:t>Suwa</w:t>
      </w:r>
      <w:proofErr w:type="spellEnd"/>
      <w:r w:rsidRPr="00EB1AA2">
        <w:rPr>
          <w:noProof w:val="0"/>
          <w:lang w:val="en-US" w:eastAsia="ja-JP"/>
        </w:rPr>
        <w:t xml:space="preserve">, A. </w:t>
      </w:r>
      <w:proofErr w:type="spellStart"/>
      <w:r w:rsidRPr="00EB1AA2">
        <w:rPr>
          <w:noProof w:val="0"/>
          <w:lang w:val="en-US" w:eastAsia="ja-JP"/>
        </w:rPr>
        <w:t>Heiho</w:t>
      </w:r>
      <w:proofErr w:type="spellEnd"/>
      <w:r w:rsidRPr="00EB1AA2">
        <w:rPr>
          <w:noProof w:val="0"/>
          <w:lang w:val="en-US" w:eastAsia="ja-JP"/>
        </w:rPr>
        <w:t xml:space="preserve">, Y. Dou, S. Lim, T. Namihira, K. </w:t>
      </w:r>
      <w:proofErr w:type="spellStart"/>
      <w:r w:rsidRPr="00EB1AA2">
        <w:rPr>
          <w:noProof w:val="0"/>
          <w:lang w:val="en-US" w:eastAsia="ja-JP"/>
        </w:rPr>
        <w:t>Mochidzuki</w:t>
      </w:r>
      <w:proofErr w:type="spellEnd"/>
      <w:r w:rsidRPr="00EB1AA2">
        <w:rPr>
          <w:noProof w:val="0"/>
          <w:lang w:val="en-US" w:eastAsia="ja-JP"/>
        </w:rPr>
        <w:t xml:space="preserve">, T. Koita, C. </w:t>
      </w:r>
      <w:proofErr w:type="spellStart"/>
      <w:r w:rsidRPr="00EB1AA2">
        <w:rPr>
          <w:noProof w:val="0"/>
          <w:lang w:val="en-US" w:eastAsia="ja-JP"/>
        </w:rPr>
        <w:t>Tokoro</w:t>
      </w:r>
      <w:proofErr w:type="spellEnd"/>
      <w:r w:rsidRPr="00EB1AA2">
        <w:rPr>
          <w:noProof w:val="0"/>
          <w:lang w:val="en-US" w:eastAsia="ja-JP"/>
        </w:rPr>
        <w:t>, 2021, Separation of cathode particles and aluminum current foil in lithium-ion battery by high-voltage pulsed discharge Part II: Prospective life cycle assessment based on experimental data, Waste Manage., 132, 86</w:t>
      </w:r>
      <w:r w:rsidR="002557EB">
        <w:rPr>
          <w:noProof w:val="0"/>
          <w:lang w:val="en-US" w:eastAsia="ja-JP"/>
        </w:rPr>
        <w:t>–</w:t>
      </w:r>
      <w:r w:rsidRPr="00EB1AA2">
        <w:rPr>
          <w:noProof w:val="0"/>
          <w:lang w:val="en-US" w:eastAsia="ja-JP"/>
        </w:rPr>
        <w:t>95.</w:t>
      </w:r>
    </w:p>
    <w:p w14:paraId="2D3C1689" w14:textId="69360CFA" w:rsidR="00CF5468" w:rsidRPr="00EB1AA2" w:rsidRDefault="00CF5468" w:rsidP="004B1D9F">
      <w:pPr>
        <w:pStyle w:val="Els-referenceno-number"/>
        <w:rPr>
          <w:noProof w:val="0"/>
          <w:lang w:val="en-US" w:eastAsia="ja-JP"/>
        </w:rPr>
      </w:pPr>
      <w:r w:rsidRPr="00EB1AA2">
        <w:rPr>
          <w:noProof w:val="0"/>
          <w:lang w:val="en-US" w:eastAsia="ja-JP"/>
        </w:rPr>
        <w:t xml:space="preserve">B. Makuza, Q. Tian, X. Guo, K. Chattopadhyay, D. Yu, </w:t>
      </w:r>
      <w:r w:rsidR="00343939" w:rsidRPr="00EB1AA2">
        <w:rPr>
          <w:noProof w:val="0"/>
          <w:lang w:val="en-US" w:eastAsia="ja-JP"/>
        </w:rPr>
        <w:t xml:space="preserve">2021, </w:t>
      </w:r>
      <w:r w:rsidRPr="00EB1AA2">
        <w:rPr>
          <w:noProof w:val="0"/>
          <w:lang w:val="en-US" w:eastAsia="ja-JP"/>
        </w:rPr>
        <w:t>Pyrometallurgical options for recycling spent lithium-ion batteries: A comprehensive review, J. Power Sources, 491, 229622.</w:t>
      </w:r>
    </w:p>
    <w:p w14:paraId="4F2354C0" w14:textId="2EF0F4CE" w:rsidR="00CF5468" w:rsidRPr="00EB1AA2" w:rsidRDefault="00CF5468" w:rsidP="004B1D9F">
      <w:pPr>
        <w:pStyle w:val="Els-referenceno-number"/>
        <w:rPr>
          <w:noProof w:val="0"/>
          <w:lang w:val="en-US" w:eastAsia="ja-JP"/>
        </w:rPr>
      </w:pPr>
      <w:r w:rsidRPr="00EB1AA2">
        <w:rPr>
          <w:noProof w:val="0"/>
          <w:lang w:val="en-US" w:eastAsia="ja-JP"/>
        </w:rPr>
        <w:t xml:space="preserve">P. Meshram, B. D. Pandey, T. R. </w:t>
      </w:r>
      <w:proofErr w:type="spellStart"/>
      <w:r w:rsidRPr="00EB1AA2">
        <w:rPr>
          <w:noProof w:val="0"/>
          <w:lang w:val="en-US" w:eastAsia="ja-JP"/>
        </w:rPr>
        <w:t>Mankhand</w:t>
      </w:r>
      <w:proofErr w:type="spellEnd"/>
      <w:r w:rsidRPr="00EB1AA2">
        <w:rPr>
          <w:noProof w:val="0"/>
          <w:lang w:val="en-US" w:eastAsia="ja-JP"/>
        </w:rPr>
        <w:t xml:space="preserve">, </w:t>
      </w:r>
      <w:r w:rsidR="00343939" w:rsidRPr="00EB1AA2">
        <w:rPr>
          <w:noProof w:val="0"/>
          <w:lang w:val="en-US" w:eastAsia="ja-JP"/>
        </w:rPr>
        <w:t xml:space="preserve">2014, </w:t>
      </w:r>
      <w:r w:rsidRPr="00EB1AA2">
        <w:rPr>
          <w:noProof w:val="0"/>
          <w:lang w:val="en-US" w:eastAsia="ja-JP"/>
        </w:rPr>
        <w:t>Extraction of lithium from primary and secondary sources by pre-treatment, leaching and separation: A comprehensive review, Hydrometallurgy, 150, 192</w:t>
      </w:r>
      <w:r w:rsidR="002557EB">
        <w:rPr>
          <w:noProof w:val="0"/>
          <w:lang w:val="en-US" w:eastAsia="ja-JP"/>
        </w:rPr>
        <w:t>–</w:t>
      </w:r>
      <w:r w:rsidRPr="00EB1AA2">
        <w:rPr>
          <w:noProof w:val="0"/>
          <w:lang w:val="en-US" w:eastAsia="ja-JP"/>
        </w:rPr>
        <w:t>208.</w:t>
      </w:r>
    </w:p>
    <w:p w14:paraId="1718619A" w14:textId="46D4DB80" w:rsidR="004B1D9F" w:rsidRPr="00EB1AA2" w:rsidRDefault="004B1D9F" w:rsidP="004B1D9F">
      <w:pPr>
        <w:pStyle w:val="Els-referenceno-number"/>
        <w:rPr>
          <w:noProof w:val="0"/>
          <w:lang w:val="en-US" w:eastAsia="ja-JP"/>
        </w:rPr>
      </w:pPr>
      <w:r w:rsidRPr="00EB1AA2">
        <w:rPr>
          <w:noProof w:val="0"/>
          <w:lang w:val="en-US" w:eastAsia="ja-JP"/>
        </w:rPr>
        <w:t xml:space="preserve">National Institute of Advanced Industrial Science and Technology (AIST), Inventory Database for Environmental Assessment (IDEA) version 3.3 (2023/4/15) (2023) </w:t>
      </w:r>
      <w:hyperlink r:id="rId11" w:history="1">
        <w:r w:rsidRPr="00EB1AA2">
          <w:rPr>
            <w:rStyle w:val="a9"/>
            <w:noProof w:val="0"/>
            <w:szCs w:val="18"/>
            <w:lang w:val="en-US" w:eastAsia="ja-JP"/>
          </w:rPr>
          <w:t>https://idea-lca.com/</w:t>
        </w:r>
      </w:hyperlink>
      <w:r w:rsidRPr="00EB1AA2">
        <w:rPr>
          <w:noProof w:val="0"/>
          <w:lang w:val="en-US" w:eastAsia="ja-JP"/>
        </w:rPr>
        <w:t xml:space="preserve"> (</w:t>
      </w:r>
      <w:r w:rsidRPr="00EB1AA2">
        <w:rPr>
          <w:noProof w:val="0"/>
          <w:lang w:val="en-US"/>
        </w:rPr>
        <w:t>accessed</w:t>
      </w:r>
      <w:r w:rsidRPr="00EB1AA2">
        <w:rPr>
          <w:noProof w:val="0"/>
          <w:lang w:val="en-US" w:eastAsia="ja-JP"/>
        </w:rPr>
        <w:t xml:space="preserve"> 20 November 2023).</w:t>
      </w:r>
    </w:p>
    <w:p w14:paraId="47C0D10E" w14:textId="6E7CA00F" w:rsidR="00CF5468" w:rsidRPr="00EB1AA2" w:rsidRDefault="00CF5468" w:rsidP="004B1D9F">
      <w:pPr>
        <w:pStyle w:val="Els-referenceno-number"/>
        <w:rPr>
          <w:noProof w:val="0"/>
          <w:lang w:val="en-US" w:eastAsia="ja-JP"/>
        </w:rPr>
      </w:pPr>
      <w:r w:rsidRPr="00EB1AA2">
        <w:rPr>
          <w:noProof w:val="0"/>
          <w:lang w:val="en-US" w:eastAsia="ja-JP"/>
        </w:rPr>
        <w:t xml:space="preserve">A. </w:t>
      </w:r>
      <w:proofErr w:type="spellStart"/>
      <w:r w:rsidRPr="00EB1AA2">
        <w:rPr>
          <w:rFonts w:hint="eastAsia"/>
          <w:noProof w:val="0"/>
          <w:lang w:val="en-US" w:eastAsia="ja-JP"/>
        </w:rPr>
        <w:t>N</w:t>
      </w:r>
      <w:r w:rsidRPr="00EB1AA2">
        <w:rPr>
          <w:noProof w:val="0"/>
          <w:lang w:val="en-US" w:eastAsia="ja-JP"/>
        </w:rPr>
        <w:t>ordelof</w:t>
      </w:r>
      <w:proofErr w:type="spellEnd"/>
      <w:r w:rsidRPr="00EB1AA2">
        <w:rPr>
          <w:noProof w:val="0"/>
          <w:lang w:val="en-US" w:eastAsia="ja-JP"/>
        </w:rPr>
        <w:t xml:space="preserve">, S. </w:t>
      </w:r>
      <w:proofErr w:type="spellStart"/>
      <w:r w:rsidRPr="00EB1AA2">
        <w:rPr>
          <w:noProof w:val="0"/>
          <w:lang w:val="en-US" w:eastAsia="ja-JP"/>
        </w:rPr>
        <w:t>Poulikidou</w:t>
      </w:r>
      <w:proofErr w:type="spellEnd"/>
      <w:r w:rsidRPr="00EB1AA2">
        <w:rPr>
          <w:noProof w:val="0"/>
          <w:lang w:val="en-US" w:eastAsia="ja-JP"/>
        </w:rPr>
        <w:t xml:space="preserve">, M. Chordia, F. B. de Oliveira, J. </w:t>
      </w:r>
      <w:proofErr w:type="spellStart"/>
      <w:r w:rsidRPr="00EB1AA2">
        <w:rPr>
          <w:noProof w:val="0"/>
          <w:lang w:val="en-US" w:eastAsia="ja-JP"/>
        </w:rPr>
        <w:t>Tivander</w:t>
      </w:r>
      <w:proofErr w:type="spellEnd"/>
      <w:r w:rsidRPr="00EB1AA2">
        <w:rPr>
          <w:noProof w:val="0"/>
          <w:lang w:val="en-US" w:eastAsia="ja-JP"/>
        </w:rPr>
        <w:t>, R. Arvidsson,</w:t>
      </w:r>
      <w:r w:rsidR="00343939" w:rsidRPr="00EB1AA2">
        <w:rPr>
          <w:noProof w:val="0"/>
          <w:lang w:val="en-US" w:eastAsia="ja-JP"/>
        </w:rPr>
        <w:t xml:space="preserve"> 2019, </w:t>
      </w:r>
      <w:r w:rsidRPr="00EB1AA2">
        <w:rPr>
          <w:noProof w:val="0"/>
          <w:lang w:val="en-US" w:eastAsia="ja-JP"/>
        </w:rPr>
        <w:t>Methodological Approaches to End-Of-Life Modelling in Life Cycle Assessments of</w:t>
      </w:r>
      <w:r w:rsidRPr="00EB1AA2">
        <w:rPr>
          <w:rFonts w:hint="eastAsia"/>
          <w:noProof w:val="0"/>
          <w:lang w:val="en-US" w:eastAsia="ja-JP"/>
        </w:rPr>
        <w:t xml:space="preserve"> </w:t>
      </w:r>
      <w:r w:rsidRPr="00EB1AA2">
        <w:rPr>
          <w:noProof w:val="0"/>
          <w:lang w:val="en-US" w:eastAsia="ja-JP"/>
        </w:rPr>
        <w:t>Lithium-Ion Batteries</w:t>
      </w:r>
      <w:r w:rsidR="00343939" w:rsidRPr="00EB1AA2">
        <w:rPr>
          <w:noProof w:val="0"/>
          <w:lang w:val="en-US" w:eastAsia="ja-JP"/>
        </w:rPr>
        <w:t>, Batteries, 5, 51.</w:t>
      </w:r>
    </w:p>
    <w:p w14:paraId="0CECBA39" w14:textId="1D295E46" w:rsidR="00CF5468" w:rsidRPr="00EB1AA2" w:rsidRDefault="00CF5468" w:rsidP="004B1D9F">
      <w:pPr>
        <w:pStyle w:val="Els-referenceno-number"/>
        <w:rPr>
          <w:noProof w:val="0"/>
          <w:lang w:val="en-US" w:eastAsia="ja-JP"/>
        </w:rPr>
      </w:pPr>
      <w:r w:rsidRPr="00EB1AA2">
        <w:rPr>
          <w:noProof w:val="0"/>
          <w:lang w:val="en-US" w:eastAsia="ja-JP"/>
        </w:rPr>
        <w:t>J.-M. Restrepo-</w:t>
      </w:r>
      <w:proofErr w:type="spellStart"/>
      <w:r w:rsidRPr="00EB1AA2">
        <w:rPr>
          <w:noProof w:val="0"/>
          <w:lang w:val="en-US" w:eastAsia="ja-JP"/>
        </w:rPr>
        <w:t>Flórez</w:t>
      </w:r>
      <w:proofErr w:type="spellEnd"/>
      <w:r w:rsidRPr="00EB1AA2">
        <w:rPr>
          <w:noProof w:val="0"/>
          <w:lang w:val="en-US" w:eastAsia="ja-JP"/>
        </w:rPr>
        <w:t xml:space="preserve"> &amp; C. T. Maravelias, 2021, Advanced fuel from ethanol – a superstructure optimization approach, </w:t>
      </w:r>
      <w:r w:rsidRPr="00EB1AA2">
        <w:rPr>
          <w:noProof w:val="0"/>
          <w:lang w:val="en-US" w:eastAsia="en-GB"/>
        </w:rPr>
        <w:t>Energy Environ. Sci. 14, 493</w:t>
      </w:r>
      <w:r w:rsidR="00AA5096">
        <w:rPr>
          <w:noProof w:val="0"/>
          <w:lang w:val="en-US" w:eastAsia="en-GB"/>
        </w:rPr>
        <w:t>–</w:t>
      </w:r>
      <w:r w:rsidRPr="00EB1AA2">
        <w:rPr>
          <w:noProof w:val="0"/>
          <w:lang w:val="en-US" w:eastAsia="en-GB"/>
        </w:rPr>
        <w:t>506.</w:t>
      </w:r>
    </w:p>
    <w:p w14:paraId="2B6F806F" w14:textId="79E6E28C" w:rsidR="00CF5468" w:rsidRPr="00EB1AA2" w:rsidRDefault="00CF5468" w:rsidP="004B1D9F">
      <w:pPr>
        <w:pStyle w:val="Els-referenceno-number"/>
        <w:rPr>
          <w:noProof w:val="0"/>
          <w:lang w:val="en-US" w:eastAsia="ja-JP"/>
        </w:rPr>
      </w:pPr>
      <w:r w:rsidRPr="00EB1AA2">
        <w:rPr>
          <w:noProof w:val="0"/>
          <w:lang w:val="en-US" w:eastAsia="ja-JP"/>
        </w:rPr>
        <w:t>B. Steubing, D. de Koning,</w:t>
      </w:r>
      <w:r w:rsidR="004B1D9F" w:rsidRPr="00EB1AA2">
        <w:rPr>
          <w:noProof w:val="0"/>
          <w:lang w:val="en-US" w:eastAsia="ja-JP"/>
        </w:rPr>
        <w:t xml:space="preserve"> 2021,</w:t>
      </w:r>
      <w:r w:rsidRPr="00EB1AA2">
        <w:rPr>
          <w:noProof w:val="0"/>
          <w:lang w:val="en-US" w:eastAsia="ja-JP"/>
        </w:rPr>
        <w:t xml:space="preserve"> Making the use of scenarios in LCA easier: the superstructure approach, Int J Life Cycle Assess., 26, 2248</w:t>
      </w:r>
      <w:r w:rsidR="00AA5096">
        <w:rPr>
          <w:noProof w:val="0"/>
          <w:lang w:val="en-US" w:eastAsia="ja-JP"/>
        </w:rPr>
        <w:t>–</w:t>
      </w:r>
      <w:r w:rsidRPr="00EB1AA2">
        <w:rPr>
          <w:noProof w:val="0"/>
          <w:lang w:val="en-US" w:eastAsia="ja-JP"/>
        </w:rPr>
        <w:t xml:space="preserve">2262. </w:t>
      </w:r>
    </w:p>
    <w:p w14:paraId="49F50F05" w14:textId="2681FAA5" w:rsidR="004B1D9F" w:rsidRPr="00EB1AA2" w:rsidRDefault="004B1D9F" w:rsidP="004B1D9F">
      <w:pPr>
        <w:pStyle w:val="Els-referenceno-number"/>
        <w:rPr>
          <w:noProof w:val="0"/>
          <w:lang w:val="en-US" w:eastAsia="ja-JP"/>
        </w:rPr>
      </w:pPr>
      <w:r w:rsidRPr="00EB1AA2">
        <w:rPr>
          <w:rFonts w:hint="eastAsia"/>
          <w:noProof w:val="0"/>
          <w:lang w:val="en-US" w:eastAsia="ja-JP"/>
        </w:rPr>
        <w:t>T</w:t>
      </w:r>
      <w:r w:rsidRPr="00EB1AA2">
        <w:rPr>
          <w:noProof w:val="0"/>
          <w:lang w:val="en-US" w:eastAsia="ja-JP"/>
        </w:rPr>
        <w:t>homson Reuters; Web of Science</w:t>
      </w:r>
      <w:r w:rsidR="003B3F1F" w:rsidRPr="00EB1AA2">
        <w:rPr>
          <w:noProof w:val="0"/>
          <w:lang w:val="en-US" w:eastAsia="ja-JP"/>
        </w:rPr>
        <w:t xml:space="preserve">, 2023, </w:t>
      </w:r>
      <w:r w:rsidR="003B3F1F" w:rsidRPr="00EB1AA2">
        <w:rPr>
          <w:noProof w:val="0"/>
          <w:szCs w:val="18"/>
          <w:lang w:val="en-US" w:eastAsia="ja-JP"/>
        </w:rPr>
        <w:t>http://wokinfo.com/</w:t>
      </w:r>
    </w:p>
    <w:p w14:paraId="655087F4" w14:textId="1A9C338E" w:rsidR="00CF5468" w:rsidRPr="00EB1AA2" w:rsidRDefault="00CF5468" w:rsidP="004B1D9F">
      <w:pPr>
        <w:pStyle w:val="Els-referenceno-number"/>
        <w:rPr>
          <w:noProof w:val="0"/>
          <w:lang w:val="en-US" w:eastAsia="ja-JP"/>
        </w:rPr>
      </w:pPr>
      <w:r w:rsidRPr="00EB1AA2">
        <w:rPr>
          <w:noProof w:val="0"/>
          <w:lang w:val="en-US" w:eastAsia="ja-JP"/>
        </w:rPr>
        <w:t xml:space="preserve">C. </w:t>
      </w:r>
      <w:proofErr w:type="spellStart"/>
      <w:r w:rsidRPr="00EB1AA2">
        <w:rPr>
          <w:noProof w:val="0"/>
          <w:lang w:val="en-US" w:eastAsia="ja-JP"/>
        </w:rPr>
        <w:t>Tokoro</w:t>
      </w:r>
      <w:proofErr w:type="spellEnd"/>
      <w:r w:rsidRPr="00EB1AA2">
        <w:rPr>
          <w:noProof w:val="0"/>
          <w:lang w:val="en-US" w:eastAsia="ja-JP"/>
        </w:rPr>
        <w:t xml:space="preserve">, S. Lim, K. Teruya, M. Kondo, K. </w:t>
      </w:r>
      <w:proofErr w:type="spellStart"/>
      <w:r w:rsidRPr="00EB1AA2">
        <w:rPr>
          <w:noProof w:val="0"/>
          <w:lang w:val="en-US" w:eastAsia="ja-JP"/>
        </w:rPr>
        <w:t>Mochidzuki</w:t>
      </w:r>
      <w:proofErr w:type="spellEnd"/>
      <w:r w:rsidRPr="00EB1AA2">
        <w:rPr>
          <w:noProof w:val="0"/>
          <w:lang w:val="en-US" w:eastAsia="ja-JP"/>
        </w:rPr>
        <w:t>, T. Namihira, Y. Kikuchi, 2021, Separation of cathode particles and aluminum current foil in Lithium-Ion battery by high-voltage pulsed discharge Part I: Experimental investigation. Wast Manage., 125, 58</w:t>
      </w:r>
      <w:r w:rsidR="00294595">
        <w:rPr>
          <w:noProof w:val="0"/>
          <w:lang w:val="en-US" w:eastAsia="ja-JP"/>
        </w:rPr>
        <w:t>–</w:t>
      </w:r>
      <w:r w:rsidRPr="00EB1AA2">
        <w:rPr>
          <w:noProof w:val="0"/>
          <w:lang w:val="en-US" w:eastAsia="ja-JP"/>
        </w:rPr>
        <w:t>66.</w:t>
      </w:r>
    </w:p>
    <w:p w14:paraId="50AF1C5A" w14:textId="61A451C6" w:rsidR="004B1D9F" w:rsidRPr="00EB1AA2" w:rsidRDefault="004B1D9F" w:rsidP="004B1D9F">
      <w:pPr>
        <w:pStyle w:val="Els-referenceno-number"/>
        <w:rPr>
          <w:noProof w:val="0"/>
          <w:lang w:val="en-US" w:eastAsia="ja-JP"/>
        </w:rPr>
      </w:pPr>
      <w:r w:rsidRPr="00EB1AA2">
        <w:rPr>
          <w:noProof w:val="0"/>
          <w:lang w:val="en-US" w:eastAsia="en-GB"/>
        </w:rPr>
        <w:t>Q. Wei, Y.  Wu, S. Li, R. Chen, J. Ding, C. Zhang, 2023, Spent lithium ion battery (LIB) recycle from</w:t>
      </w:r>
      <w:r w:rsidRPr="00EB1AA2">
        <w:rPr>
          <w:noProof w:val="0"/>
          <w:lang w:val="en-US" w:eastAsia="ja-JP"/>
        </w:rPr>
        <w:t xml:space="preserve"> </w:t>
      </w:r>
      <w:r w:rsidRPr="00EB1AA2">
        <w:rPr>
          <w:noProof w:val="0"/>
          <w:lang w:val="en-US" w:eastAsia="en-GB"/>
        </w:rPr>
        <w:t>electric vehicles: A mini-review, Sci. Total Environ. 866, 161380</w:t>
      </w:r>
      <w:r w:rsidRPr="00EB1AA2">
        <w:rPr>
          <w:noProof w:val="0"/>
          <w:lang w:val="en-US" w:eastAsia="ja-JP"/>
        </w:rPr>
        <w:t>.</w:t>
      </w:r>
    </w:p>
    <w:p w14:paraId="3EDB7003" w14:textId="77777777" w:rsidR="00CF5468" w:rsidRPr="00EB1AA2" w:rsidRDefault="00CF5468" w:rsidP="004B1D9F">
      <w:pPr>
        <w:pStyle w:val="Els-referenceno-number"/>
        <w:rPr>
          <w:noProof w:val="0"/>
          <w:lang w:val="en-US" w:eastAsia="en-GB"/>
        </w:rPr>
      </w:pPr>
      <w:r w:rsidRPr="00EB1AA2">
        <w:rPr>
          <w:noProof w:val="0"/>
          <w:lang w:val="en-US" w:eastAsia="en-GB"/>
        </w:rPr>
        <w:t xml:space="preserve">C. Xu, Q. Dai, L. Gaines, M. Hu, A. Tukker, B. Steubing, 2020, Future material demand for automotive lithium-based batteries, </w:t>
      </w:r>
      <w:proofErr w:type="spellStart"/>
      <w:r w:rsidRPr="00EB1AA2">
        <w:rPr>
          <w:noProof w:val="0"/>
          <w:lang w:val="en-US" w:eastAsia="en-GB"/>
        </w:rPr>
        <w:t>Commun</w:t>
      </w:r>
      <w:proofErr w:type="spellEnd"/>
      <w:r w:rsidRPr="00EB1AA2">
        <w:rPr>
          <w:noProof w:val="0"/>
          <w:lang w:val="en-US" w:eastAsia="en-GB"/>
        </w:rPr>
        <w:t>. Mater. 1, 99.</w:t>
      </w:r>
    </w:p>
    <w:p w14:paraId="336551B0" w14:textId="47A35D44" w:rsidR="00CF5468" w:rsidRPr="00EB1AA2" w:rsidRDefault="00CF5468" w:rsidP="004B1D9F">
      <w:pPr>
        <w:pStyle w:val="Els-referenceno-number"/>
        <w:rPr>
          <w:noProof w:val="0"/>
          <w:lang w:val="en-US" w:eastAsia="ja-JP"/>
        </w:rPr>
      </w:pPr>
      <w:r w:rsidRPr="00EB1AA2">
        <w:rPr>
          <w:rFonts w:hint="eastAsia"/>
          <w:noProof w:val="0"/>
          <w:lang w:val="en-US" w:eastAsia="ja-JP"/>
        </w:rPr>
        <w:t>P</w:t>
      </w:r>
      <w:r w:rsidRPr="00EB1AA2">
        <w:rPr>
          <w:noProof w:val="0"/>
          <w:lang w:val="en-US" w:eastAsia="ja-JP"/>
        </w:rPr>
        <w:t>. Xu, D. H. S. Tan, B. Jiao, H. Gao, X. Yu, Z. Chen,</w:t>
      </w:r>
      <w:r w:rsidRPr="00EB1AA2">
        <w:rPr>
          <w:rFonts w:hint="eastAsia"/>
          <w:noProof w:val="0"/>
          <w:lang w:val="en-US" w:eastAsia="ja-JP"/>
        </w:rPr>
        <w:t xml:space="preserve"> </w:t>
      </w:r>
      <w:r w:rsidR="00343939" w:rsidRPr="00EB1AA2">
        <w:rPr>
          <w:noProof w:val="0"/>
          <w:lang w:val="en-US" w:eastAsia="ja-JP"/>
        </w:rPr>
        <w:t xml:space="preserve">2021, </w:t>
      </w:r>
      <w:r w:rsidRPr="00EB1AA2">
        <w:rPr>
          <w:noProof w:val="0"/>
          <w:lang w:val="en-US" w:eastAsia="ja-JP"/>
        </w:rPr>
        <w:t>A Materials Perspective on Direct Recycling of Lithium-Ion</w:t>
      </w:r>
      <w:r w:rsidRPr="00EB1AA2">
        <w:rPr>
          <w:rFonts w:hint="eastAsia"/>
          <w:noProof w:val="0"/>
          <w:lang w:val="en-US" w:eastAsia="ja-JP"/>
        </w:rPr>
        <w:t xml:space="preserve"> </w:t>
      </w:r>
      <w:r w:rsidRPr="00EB1AA2">
        <w:rPr>
          <w:noProof w:val="0"/>
          <w:lang w:val="en-US" w:eastAsia="ja-JP"/>
        </w:rPr>
        <w:t xml:space="preserve">Batteries: Principles, Challenges and Opportunities, Adv. </w:t>
      </w:r>
      <w:proofErr w:type="spellStart"/>
      <w:r w:rsidRPr="00EB1AA2">
        <w:rPr>
          <w:noProof w:val="0"/>
          <w:lang w:val="en-US" w:eastAsia="ja-JP"/>
        </w:rPr>
        <w:t>Funct</w:t>
      </w:r>
      <w:proofErr w:type="spellEnd"/>
      <w:r w:rsidRPr="00EB1AA2">
        <w:rPr>
          <w:noProof w:val="0"/>
          <w:lang w:val="en-US" w:eastAsia="ja-JP"/>
        </w:rPr>
        <w:t>. Mater., 33, 2213168.</w:t>
      </w:r>
      <w:bookmarkEnd w:id="4"/>
    </w:p>
    <w:sectPr w:rsidR="00CF5468" w:rsidRPr="00EB1AA2"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422F" w14:textId="77777777" w:rsidR="00EF1F5C" w:rsidRDefault="00EF1F5C">
      <w:r>
        <w:separator/>
      </w:r>
    </w:p>
  </w:endnote>
  <w:endnote w:type="continuationSeparator" w:id="0">
    <w:p w14:paraId="1FF1D77B" w14:textId="77777777" w:rsidR="00EF1F5C" w:rsidRDefault="00EF1F5C">
      <w:r>
        <w:continuationSeparator/>
      </w:r>
    </w:p>
  </w:endnote>
  <w:endnote w:type="continuationNotice" w:id="1">
    <w:p w14:paraId="2215F103" w14:textId="77777777" w:rsidR="00EF1F5C" w:rsidRDefault="00EF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9748" w14:textId="77777777" w:rsidR="00EF1F5C" w:rsidRDefault="00EF1F5C">
      <w:r>
        <w:separator/>
      </w:r>
    </w:p>
  </w:footnote>
  <w:footnote w:type="continuationSeparator" w:id="0">
    <w:p w14:paraId="6AECE629" w14:textId="77777777" w:rsidR="00EF1F5C" w:rsidRDefault="00EF1F5C">
      <w:r>
        <w:continuationSeparator/>
      </w:r>
    </w:p>
  </w:footnote>
  <w:footnote w:type="continuationNotice" w:id="1">
    <w:p w14:paraId="37D6AB5B" w14:textId="77777777" w:rsidR="00EF1F5C" w:rsidRDefault="00EF1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868150A" w:rsidR="00DD3D9E" w:rsidRDefault="00DD3D9E">
    <w:pPr>
      <w:pStyle w:val="a5"/>
      <w:tabs>
        <w:tab w:val="clear" w:pos="7200"/>
        <w:tab w:val="right" w:pos="7088"/>
      </w:tabs>
    </w:pPr>
    <w:r>
      <w:rPr>
        <w:rStyle w:val="aa"/>
      </w:rPr>
      <w:tab/>
    </w:r>
    <w:r>
      <w:rPr>
        <w:rStyle w:val="aa"/>
        <w:i/>
      </w:rPr>
      <w:tab/>
    </w:r>
    <w:r w:rsidR="00D73D32">
      <w:rPr>
        <w:i/>
      </w:rPr>
      <w:t>T. Yonetsuka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4EFB741" w:rsidR="00DD3D9E" w:rsidRDefault="002D3268" w:rsidP="002D3268">
    <w:pPr>
      <w:pStyle w:val="a5"/>
      <w:tabs>
        <w:tab w:val="clear" w:pos="7200"/>
        <w:tab w:val="right" w:pos="7088"/>
      </w:tabs>
      <w:jc w:val="right"/>
      <w:rPr>
        <w:sz w:val="24"/>
      </w:rPr>
    </w:pPr>
    <w:r>
      <w:rPr>
        <w:i/>
      </w:rPr>
      <w:t xml:space="preserve">Superstructure modeling of </w:t>
    </w:r>
    <w:r w:rsidR="00D16506">
      <w:rPr>
        <w:i/>
      </w:rPr>
      <w:t>LIBs</w:t>
    </w:r>
    <w:r>
      <w:rPr>
        <w:i/>
      </w:rPr>
      <w:t xml:space="preserve"> for environmentally conscious life cycle design</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0931087"/>
    <w:multiLevelType w:val="hybridMultilevel"/>
    <w:tmpl w:val="14926804"/>
    <w:lvl w:ilvl="0" w:tplc="E97E4936">
      <w:start w:val="1"/>
      <w:numFmt w:val="upperLetter"/>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4A1266"/>
    <w:multiLevelType w:val="hybridMultilevel"/>
    <w:tmpl w:val="0238655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B33D7"/>
    <w:multiLevelType w:val="hybridMultilevel"/>
    <w:tmpl w:val="C9A207FE"/>
    <w:lvl w:ilvl="0" w:tplc="FFFFFFFF">
      <w:start w:val="1"/>
      <w:numFmt w:val="upperLetter"/>
      <w:lvlText w:val="%1."/>
      <w:lvlJc w:val="left"/>
      <w:pPr>
        <w:ind w:left="360" w:hanging="360"/>
      </w:pPr>
      <w:rPr>
        <w:rFonts w:ascii="Times New Roman" w:eastAsiaTheme="minorEastAsia" w:hAnsi="Times New Roman"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25497298">
    <w:abstractNumId w:val="14"/>
  </w:num>
  <w:num w:numId="2" w16cid:durableId="379331453">
    <w:abstractNumId w:val="14"/>
  </w:num>
  <w:num w:numId="3" w16cid:durableId="1459445501">
    <w:abstractNumId w:val="14"/>
  </w:num>
  <w:num w:numId="4" w16cid:durableId="1904943874">
    <w:abstractNumId w:val="14"/>
  </w:num>
  <w:num w:numId="5" w16cid:durableId="1733457115">
    <w:abstractNumId w:val="0"/>
  </w:num>
  <w:num w:numId="6" w16cid:durableId="567695447">
    <w:abstractNumId w:val="7"/>
  </w:num>
  <w:num w:numId="7" w16cid:durableId="232980749">
    <w:abstractNumId w:val="15"/>
  </w:num>
  <w:num w:numId="8" w16cid:durableId="403449744">
    <w:abstractNumId w:val="2"/>
  </w:num>
  <w:num w:numId="9" w16cid:durableId="1556697255">
    <w:abstractNumId w:val="13"/>
  </w:num>
  <w:num w:numId="10" w16cid:durableId="1966891259">
    <w:abstractNumId w:val="17"/>
  </w:num>
  <w:num w:numId="11" w16cid:durableId="1517303435">
    <w:abstractNumId w:val="16"/>
  </w:num>
  <w:num w:numId="12" w16cid:durableId="848174097">
    <w:abstractNumId w:val="6"/>
  </w:num>
  <w:num w:numId="13" w16cid:durableId="1375545790">
    <w:abstractNumId w:val="11"/>
  </w:num>
  <w:num w:numId="14" w16cid:durableId="919294989">
    <w:abstractNumId w:val="3"/>
  </w:num>
  <w:num w:numId="15" w16cid:durableId="2103410622">
    <w:abstractNumId w:val="9"/>
  </w:num>
  <w:num w:numId="16" w16cid:durableId="1388869819">
    <w:abstractNumId w:val="4"/>
  </w:num>
  <w:num w:numId="17" w16cid:durableId="2058317365">
    <w:abstractNumId w:val="5"/>
  </w:num>
  <w:num w:numId="18" w16cid:durableId="318458992">
    <w:abstractNumId w:val="12"/>
  </w:num>
  <w:num w:numId="19" w16cid:durableId="2052411091">
    <w:abstractNumId w:val="8"/>
  </w:num>
  <w:num w:numId="20" w16cid:durableId="720520181">
    <w:abstractNumId w:val="1"/>
  </w:num>
  <w:num w:numId="21" w16cid:durableId="176287260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米塚　智也">
    <w15:presenceInfo w15:providerId="AD" w15:userId="S::7924861874@utac.u-tokyo.ac.jp::faac15f1-6779-491d-b3c9-e5dbd58aa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MDG2NDAzNDQ0NjRR0lEKTi0uzszPAykwqgUAbyRk9iwAAAA="/>
  </w:docVars>
  <w:rsids>
    <w:rsidRoot w:val="00B63237"/>
    <w:rsid w:val="00003665"/>
    <w:rsid w:val="000076E4"/>
    <w:rsid w:val="00007DC0"/>
    <w:rsid w:val="00017D41"/>
    <w:rsid w:val="00020B98"/>
    <w:rsid w:val="00025A21"/>
    <w:rsid w:val="00033BE9"/>
    <w:rsid w:val="00033E91"/>
    <w:rsid w:val="00037C06"/>
    <w:rsid w:val="0004333B"/>
    <w:rsid w:val="000433B8"/>
    <w:rsid w:val="0005478D"/>
    <w:rsid w:val="00060BA7"/>
    <w:rsid w:val="00062064"/>
    <w:rsid w:val="0006555F"/>
    <w:rsid w:val="00073D7E"/>
    <w:rsid w:val="00074868"/>
    <w:rsid w:val="000949B3"/>
    <w:rsid w:val="00097644"/>
    <w:rsid w:val="000A6200"/>
    <w:rsid w:val="000B73E1"/>
    <w:rsid w:val="000C4AE9"/>
    <w:rsid w:val="000C59CD"/>
    <w:rsid w:val="000D3D9B"/>
    <w:rsid w:val="000E15E2"/>
    <w:rsid w:val="000E2212"/>
    <w:rsid w:val="000E2914"/>
    <w:rsid w:val="001031C6"/>
    <w:rsid w:val="00112E87"/>
    <w:rsid w:val="00120288"/>
    <w:rsid w:val="00153ED1"/>
    <w:rsid w:val="0016032F"/>
    <w:rsid w:val="001617C5"/>
    <w:rsid w:val="0016366B"/>
    <w:rsid w:val="001761DB"/>
    <w:rsid w:val="00180917"/>
    <w:rsid w:val="00180A3C"/>
    <w:rsid w:val="00184077"/>
    <w:rsid w:val="001879F6"/>
    <w:rsid w:val="00192EC5"/>
    <w:rsid w:val="00194C43"/>
    <w:rsid w:val="001A477E"/>
    <w:rsid w:val="001B02E7"/>
    <w:rsid w:val="001B65EA"/>
    <w:rsid w:val="001C00E1"/>
    <w:rsid w:val="001C0148"/>
    <w:rsid w:val="001C757E"/>
    <w:rsid w:val="001E48E5"/>
    <w:rsid w:val="001E6ACD"/>
    <w:rsid w:val="001F63FF"/>
    <w:rsid w:val="001F7867"/>
    <w:rsid w:val="00201866"/>
    <w:rsid w:val="0020390F"/>
    <w:rsid w:val="00233AAF"/>
    <w:rsid w:val="002354DB"/>
    <w:rsid w:val="0025449B"/>
    <w:rsid w:val="002551E6"/>
    <w:rsid w:val="002557EB"/>
    <w:rsid w:val="0026140A"/>
    <w:rsid w:val="00264926"/>
    <w:rsid w:val="00280FAF"/>
    <w:rsid w:val="00283A91"/>
    <w:rsid w:val="0028753A"/>
    <w:rsid w:val="002929A4"/>
    <w:rsid w:val="00294595"/>
    <w:rsid w:val="002A39B5"/>
    <w:rsid w:val="002A40D4"/>
    <w:rsid w:val="002B3A09"/>
    <w:rsid w:val="002C7EB3"/>
    <w:rsid w:val="002D3268"/>
    <w:rsid w:val="002E72DB"/>
    <w:rsid w:val="002F2185"/>
    <w:rsid w:val="00313C55"/>
    <w:rsid w:val="00322D34"/>
    <w:rsid w:val="0032390D"/>
    <w:rsid w:val="00343708"/>
    <w:rsid w:val="00343939"/>
    <w:rsid w:val="003462E0"/>
    <w:rsid w:val="00347AA0"/>
    <w:rsid w:val="003540AF"/>
    <w:rsid w:val="0035582C"/>
    <w:rsid w:val="003635D6"/>
    <w:rsid w:val="0036531E"/>
    <w:rsid w:val="00372626"/>
    <w:rsid w:val="00373726"/>
    <w:rsid w:val="00395B2F"/>
    <w:rsid w:val="0039709F"/>
    <w:rsid w:val="003A0985"/>
    <w:rsid w:val="003A7A56"/>
    <w:rsid w:val="003B3F1F"/>
    <w:rsid w:val="003B752C"/>
    <w:rsid w:val="003B7A46"/>
    <w:rsid w:val="003C2560"/>
    <w:rsid w:val="003C5B5C"/>
    <w:rsid w:val="003C7753"/>
    <w:rsid w:val="003D1582"/>
    <w:rsid w:val="003D2743"/>
    <w:rsid w:val="003D7E4C"/>
    <w:rsid w:val="003E41C2"/>
    <w:rsid w:val="003F5569"/>
    <w:rsid w:val="003F7D75"/>
    <w:rsid w:val="0040355C"/>
    <w:rsid w:val="00421D3A"/>
    <w:rsid w:val="004228EC"/>
    <w:rsid w:val="004251D1"/>
    <w:rsid w:val="004257A2"/>
    <w:rsid w:val="004331C7"/>
    <w:rsid w:val="00451BA2"/>
    <w:rsid w:val="004705DE"/>
    <w:rsid w:val="0049254D"/>
    <w:rsid w:val="004953F1"/>
    <w:rsid w:val="0049772C"/>
    <w:rsid w:val="004A5FDC"/>
    <w:rsid w:val="004B1010"/>
    <w:rsid w:val="004B1D9F"/>
    <w:rsid w:val="004C765C"/>
    <w:rsid w:val="004D29B0"/>
    <w:rsid w:val="004D3D50"/>
    <w:rsid w:val="004E2606"/>
    <w:rsid w:val="004F17FF"/>
    <w:rsid w:val="00500CE2"/>
    <w:rsid w:val="00502016"/>
    <w:rsid w:val="00504EA9"/>
    <w:rsid w:val="005110F9"/>
    <w:rsid w:val="00515DF5"/>
    <w:rsid w:val="00523727"/>
    <w:rsid w:val="00526F76"/>
    <w:rsid w:val="00535F3A"/>
    <w:rsid w:val="0053672C"/>
    <w:rsid w:val="00544F54"/>
    <w:rsid w:val="00551402"/>
    <w:rsid w:val="00552EEB"/>
    <w:rsid w:val="00556C8C"/>
    <w:rsid w:val="00567E1A"/>
    <w:rsid w:val="005716ED"/>
    <w:rsid w:val="00573B31"/>
    <w:rsid w:val="00573E28"/>
    <w:rsid w:val="00576D25"/>
    <w:rsid w:val="00581C6A"/>
    <w:rsid w:val="00581E5A"/>
    <w:rsid w:val="005A09EF"/>
    <w:rsid w:val="005A6CDD"/>
    <w:rsid w:val="005B1BE7"/>
    <w:rsid w:val="005B2E49"/>
    <w:rsid w:val="005B6632"/>
    <w:rsid w:val="005C0993"/>
    <w:rsid w:val="005C7859"/>
    <w:rsid w:val="005D1FB2"/>
    <w:rsid w:val="005E347C"/>
    <w:rsid w:val="005F349B"/>
    <w:rsid w:val="006008C7"/>
    <w:rsid w:val="0060188F"/>
    <w:rsid w:val="00601CBA"/>
    <w:rsid w:val="00610061"/>
    <w:rsid w:val="00611F47"/>
    <w:rsid w:val="00614367"/>
    <w:rsid w:val="00623AE7"/>
    <w:rsid w:val="00624628"/>
    <w:rsid w:val="006253E7"/>
    <w:rsid w:val="00633E78"/>
    <w:rsid w:val="006371B1"/>
    <w:rsid w:val="00642581"/>
    <w:rsid w:val="00644C1C"/>
    <w:rsid w:val="00650622"/>
    <w:rsid w:val="00651056"/>
    <w:rsid w:val="0065474E"/>
    <w:rsid w:val="006563C6"/>
    <w:rsid w:val="0066009C"/>
    <w:rsid w:val="00662C6E"/>
    <w:rsid w:val="00673012"/>
    <w:rsid w:val="006839A3"/>
    <w:rsid w:val="00687A78"/>
    <w:rsid w:val="00687BE5"/>
    <w:rsid w:val="006A0ED2"/>
    <w:rsid w:val="006A4338"/>
    <w:rsid w:val="006A69BF"/>
    <w:rsid w:val="006A7E9D"/>
    <w:rsid w:val="006B788B"/>
    <w:rsid w:val="006C789D"/>
    <w:rsid w:val="006D1911"/>
    <w:rsid w:val="006E2688"/>
    <w:rsid w:val="006E38A7"/>
    <w:rsid w:val="006E6C61"/>
    <w:rsid w:val="006F3419"/>
    <w:rsid w:val="006F5197"/>
    <w:rsid w:val="00701BAA"/>
    <w:rsid w:val="00711DF4"/>
    <w:rsid w:val="00713C55"/>
    <w:rsid w:val="00737848"/>
    <w:rsid w:val="007551D5"/>
    <w:rsid w:val="00760D70"/>
    <w:rsid w:val="0076285D"/>
    <w:rsid w:val="00767A02"/>
    <w:rsid w:val="0079040E"/>
    <w:rsid w:val="007B1EB9"/>
    <w:rsid w:val="007B64F1"/>
    <w:rsid w:val="007C3965"/>
    <w:rsid w:val="007C5A8B"/>
    <w:rsid w:val="007D70A1"/>
    <w:rsid w:val="007F2C16"/>
    <w:rsid w:val="007F2FC2"/>
    <w:rsid w:val="007F3529"/>
    <w:rsid w:val="0080134F"/>
    <w:rsid w:val="00802E77"/>
    <w:rsid w:val="008132E8"/>
    <w:rsid w:val="00817D5A"/>
    <w:rsid w:val="00823407"/>
    <w:rsid w:val="00832B81"/>
    <w:rsid w:val="00846CB1"/>
    <w:rsid w:val="00847A4B"/>
    <w:rsid w:val="0085111D"/>
    <w:rsid w:val="008528A5"/>
    <w:rsid w:val="00853A60"/>
    <w:rsid w:val="00855A31"/>
    <w:rsid w:val="00866F70"/>
    <w:rsid w:val="00880D40"/>
    <w:rsid w:val="008944FA"/>
    <w:rsid w:val="008A3E5D"/>
    <w:rsid w:val="008A4357"/>
    <w:rsid w:val="008A564F"/>
    <w:rsid w:val="008B0184"/>
    <w:rsid w:val="008B2847"/>
    <w:rsid w:val="008B7491"/>
    <w:rsid w:val="008C0024"/>
    <w:rsid w:val="008C456C"/>
    <w:rsid w:val="008C5D02"/>
    <w:rsid w:val="008D2649"/>
    <w:rsid w:val="008D5575"/>
    <w:rsid w:val="008E4E38"/>
    <w:rsid w:val="008F3801"/>
    <w:rsid w:val="008F397D"/>
    <w:rsid w:val="008F4634"/>
    <w:rsid w:val="008F4D5F"/>
    <w:rsid w:val="008F69C1"/>
    <w:rsid w:val="008F735D"/>
    <w:rsid w:val="0090568D"/>
    <w:rsid w:val="009125C9"/>
    <w:rsid w:val="00913879"/>
    <w:rsid w:val="00915748"/>
    <w:rsid w:val="00917661"/>
    <w:rsid w:val="00925D41"/>
    <w:rsid w:val="00933CBF"/>
    <w:rsid w:val="009349B2"/>
    <w:rsid w:val="00937728"/>
    <w:rsid w:val="00970E5D"/>
    <w:rsid w:val="0097701C"/>
    <w:rsid w:val="00980A65"/>
    <w:rsid w:val="009852BA"/>
    <w:rsid w:val="009937CE"/>
    <w:rsid w:val="009944C7"/>
    <w:rsid w:val="009A0B82"/>
    <w:rsid w:val="009A13E4"/>
    <w:rsid w:val="009A2B7D"/>
    <w:rsid w:val="009A2C5B"/>
    <w:rsid w:val="009A46F7"/>
    <w:rsid w:val="009A63E4"/>
    <w:rsid w:val="009D0FCE"/>
    <w:rsid w:val="009D4253"/>
    <w:rsid w:val="009E2FFD"/>
    <w:rsid w:val="009E6CA2"/>
    <w:rsid w:val="009F11AB"/>
    <w:rsid w:val="009F2263"/>
    <w:rsid w:val="009F6BD1"/>
    <w:rsid w:val="009F7040"/>
    <w:rsid w:val="00A14786"/>
    <w:rsid w:val="00A1795D"/>
    <w:rsid w:val="00A25E70"/>
    <w:rsid w:val="00A33765"/>
    <w:rsid w:val="00A43CBF"/>
    <w:rsid w:val="00A51767"/>
    <w:rsid w:val="00A5499F"/>
    <w:rsid w:val="00A54F1F"/>
    <w:rsid w:val="00A560F7"/>
    <w:rsid w:val="00A63269"/>
    <w:rsid w:val="00A66EA3"/>
    <w:rsid w:val="00A67BB0"/>
    <w:rsid w:val="00A7337B"/>
    <w:rsid w:val="00A844C8"/>
    <w:rsid w:val="00A92377"/>
    <w:rsid w:val="00A95B40"/>
    <w:rsid w:val="00A97E85"/>
    <w:rsid w:val="00AA2C5C"/>
    <w:rsid w:val="00AA5096"/>
    <w:rsid w:val="00AA7DBB"/>
    <w:rsid w:val="00AB1B96"/>
    <w:rsid w:val="00AB29ED"/>
    <w:rsid w:val="00AB65B1"/>
    <w:rsid w:val="00AB6D4E"/>
    <w:rsid w:val="00AC45A0"/>
    <w:rsid w:val="00AD372F"/>
    <w:rsid w:val="00AE4BD8"/>
    <w:rsid w:val="00B037AD"/>
    <w:rsid w:val="00B20361"/>
    <w:rsid w:val="00B27381"/>
    <w:rsid w:val="00B31515"/>
    <w:rsid w:val="00B34F4D"/>
    <w:rsid w:val="00B4388F"/>
    <w:rsid w:val="00B4536C"/>
    <w:rsid w:val="00B52EBF"/>
    <w:rsid w:val="00B57A73"/>
    <w:rsid w:val="00B626ED"/>
    <w:rsid w:val="00B63237"/>
    <w:rsid w:val="00B713F2"/>
    <w:rsid w:val="00B75A6A"/>
    <w:rsid w:val="00B854C9"/>
    <w:rsid w:val="00B9799A"/>
    <w:rsid w:val="00BB15FA"/>
    <w:rsid w:val="00BB29CC"/>
    <w:rsid w:val="00BC7FD3"/>
    <w:rsid w:val="00BD5245"/>
    <w:rsid w:val="00BD7EA4"/>
    <w:rsid w:val="00BE109F"/>
    <w:rsid w:val="00BE2027"/>
    <w:rsid w:val="00BE5EBE"/>
    <w:rsid w:val="00BE72B3"/>
    <w:rsid w:val="00BE7696"/>
    <w:rsid w:val="00BF30D1"/>
    <w:rsid w:val="00BF72B4"/>
    <w:rsid w:val="00C013E2"/>
    <w:rsid w:val="00C2480D"/>
    <w:rsid w:val="00C419A0"/>
    <w:rsid w:val="00C4627A"/>
    <w:rsid w:val="00C50320"/>
    <w:rsid w:val="00C50405"/>
    <w:rsid w:val="00C52354"/>
    <w:rsid w:val="00C56C6B"/>
    <w:rsid w:val="00C57B7F"/>
    <w:rsid w:val="00C611AF"/>
    <w:rsid w:val="00C61262"/>
    <w:rsid w:val="00C63261"/>
    <w:rsid w:val="00C707BB"/>
    <w:rsid w:val="00C76E68"/>
    <w:rsid w:val="00C817F3"/>
    <w:rsid w:val="00C85D38"/>
    <w:rsid w:val="00C87FE2"/>
    <w:rsid w:val="00C960DC"/>
    <w:rsid w:val="00C969C5"/>
    <w:rsid w:val="00CA0C40"/>
    <w:rsid w:val="00CA38EB"/>
    <w:rsid w:val="00CB00AC"/>
    <w:rsid w:val="00CB2BA4"/>
    <w:rsid w:val="00CD0736"/>
    <w:rsid w:val="00CD378A"/>
    <w:rsid w:val="00CF0036"/>
    <w:rsid w:val="00CF37EF"/>
    <w:rsid w:val="00CF5468"/>
    <w:rsid w:val="00D02C75"/>
    <w:rsid w:val="00D034D3"/>
    <w:rsid w:val="00D06AA0"/>
    <w:rsid w:val="00D108E8"/>
    <w:rsid w:val="00D10E22"/>
    <w:rsid w:val="00D13D2C"/>
    <w:rsid w:val="00D15B9A"/>
    <w:rsid w:val="00D16506"/>
    <w:rsid w:val="00D2594A"/>
    <w:rsid w:val="00D35793"/>
    <w:rsid w:val="00D42BBF"/>
    <w:rsid w:val="00D5246D"/>
    <w:rsid w:val="00D53FA0"/>
    <w:rsid w:val="00D5715A"/>
    <w:rsid w:val="00D71E11"/>
    <w:rsid w:val="00D73D32"/>
    <w:rsid w:val="00D90093"/>
    <w:rsid w:val="00D969D8"/>
    <w:rsid w:val="00DB06C3"/>
    <w:rsid w:val="00DB2D47"/>
    <w:rsid w:val="00DB47CD"/>
    <w:rsid w:val="00DC2F94"/>
    <w:rsid w:val="00DD292D"/>
    <w:rsid w:val="00DD3D9E"/>
    <w:rsid w:val="00DD7908"/>
    <w:rsid w:val="00DE0D0C"/>
    <w:rsid w:val="00DE3C4F"/>
    <w:rsid w:val="00DE507F"/>
    <w:rsid w:val="00DE62AB"/>
    <w:rsid w:val="00DF4E75"/>
    <w:rsid w:val="00DF518A"/>
    <w:rsid w:val="00E0585C"/>
    <w:rsid w:val="00E371E6"/>
    <w:rsid w:val="00E37FEC"/>
    <w:rsid w:val="00E46595"/>
    <w:rsid w:val="00E510E4"/>
    <w:rsid w:val="00E51857"/>
    <w:rsid w:val="00E5422A"/>
    <w:rsid w:val="00E55032"/>
    <w:rsid w:val="00E6039A"/>
    <w:rsid w:val="00E65CA3"/>
    <w:rsid w:val="00E665C5"/>
    <w:rsid w:val="00E76842"/>
    <w:rsid w:val="00E82297"/>
    <w:rsid w:val="00E953F0"/>
    <w:rsid w:val="00E96797"/>
    <w:rsid w:val="00E967C2"/>
    <w:rsid w:val="00EA3BF1"/>
    <w:rsid w:val="00EA4A28"/>
    <w:rsid w:val="00EB1AA2"/>
    <w:rsid w:val="00EC30BD"/>
    <w:rsid w:val="00ED5449"/>
    <w:rsid w:val="00ED71CF"/>
    <w:rsid w:val="00EE62AB"/>
    <w:rsid w:val="00EF1F5C"/>
    <w:rsid w:val="00EF39FD"/>
    <w:rsid w:val="00F06842"/>
    <w:rsid w:val="00F06CFD"/>
    <w:rsid w:val="00F107FD"/>
    <w:rsid w:val="00F2364A"/>
    <w:rsid w:val="00F24F51"/>
    <w:rsid w:val="00F3044B"/>
    <w:rsid w:val="00F3310D"/>
    <w:rsid w:val="00F4008C"/>
    <w:rsid w:val="00F55161"/>
    <w:rsid w:val="00F734ED"/>
    <w:rsid w:val="00F73766"/>
    <w:rsid w:val="00F73CA7"/>
    <w:rsid w:val="00F8144A"/>
    <w:rsid w:val="00F96F81"/>
    <w:rsid w:val="00FA167D"/>
    <w:rsid w:val="00FB3702"/>
    <w:rsid w:val="00FB4CB2"/>
    <w:rsid w:val="00FB64A8"/>
    <w:rsid w:val="00FC181C"/>
    <w:rsid w:val="00FC4CD1"/>
    <w:rsid w:val="00FC5692"/>
    <w:rsid w:val="00FC6E7C"/>
    <w:rsid w:val="00FD7418"/>
    <w:rsid w:val="00FE425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4:defaultImageDpi w14:val="3276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BA2"/>
    <w:rPr>
      <w:lang w:val="en-US"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link w:val="ad"/>
    <w:semiHidden/>
    <w:rsid w:val="00451BA2"/>
    <w:pPr>
      <w:snapToGrid w:val="0"/>
    </w:pPr>
    <w:rPr>
      <w:rFonts w:eastAsia="Times New Roman"/>
    </w:rPr>
  </w:style>
  <w:style w:type="paragraph" w:styleId="ae">
    <w:name w:val="annotation subject"/>
    <w:basedOn w:val="ac"/>
    <w:next w:val="ac"/>
    <w:semiHidden/>
    <w:rsid w:val="008B0184"/>
    <w:rPr>
      <w:b/>
      <w:bCs/>
    </w:rPr>
  </w:style>
  <w:style w:type="paragraph" w:styleId="af">
    <w:name w:val="Balloon Text"/>
    <w:basedOn w:val="a"/>
    <w:semiHidden/>
    <w:rsid w:val="00451BA2"/>
    <w:pPr>
      <w:snapToGrid w:val="0"/>
    </w:pPr>
    <w:rPr>
      <w:rFonts w:eastAsia="Times New Roman" w:hAnsi="Tahoma" w:cs="Tahoma"/>
      <w:szCs w:val="16"/>
    </w:rPr>
  </w:style>
  <w:style w:type="paragraph" w:customStyle="1" w:styleId="Els-Abstract">
    <w:name w:val="Els-Abstract"/>
    <w:basedOn w:val="Els-1storder-head"/>
    <w:next w:val="Els-body-text"/>
    <w:autoRedefine/>
    <w:rsid w:val="0004333B"/>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rPr>
  </w:style>
  <w:style w:type="table" w:styleId="af0">
    <w:name w:val="Table Grid"/>
    <w:basedOn w:val="a1"/>
    <w:rsid w:val="00E5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DF4E75"/>
    <w:rPr>
      <w:color w:val="605E5C"/>
      <w:shd w:val="clear" w:color="auto" w:fill="E1DFDD"/>
    </w:rPr>
  </w:style>
  <w:style w:type="paragraph" w:styleId="af1">
    <w:name w:val="List Paragraph"/>
    <w:basedOn w:val="a"/>
    <w:uiPriority w:val="34"/>
    <w:qFormat/>
    <w:rsid w:val="00BE72B3"/>
    <w:pPr>
      <w:ind w:leftChars="400" w:left="840"/>
    </w:pPr>
  </w:style>
  <w:style w:type="paragraph" w:styleId="af2">
    <w:name w:val="Revision"/>
    <w:hidden/>
    <w:uiPriority w:val="99"/>
    <w:semiHidden/>
    <w:rsid w:val="008F4D5F"/>
    <w:rPr>
      <w:lang w:eastAsia="en-US"/>
    </w:rPr>
  </w:style>
  <w:style w:type="character" w:styleId="af3">
    <w:name w:val="FollowedHyperlink"/>
    <w:basedOn w:val="a0"/>
    <w:semiHidden/>
    <w:unhideWhenUsed/>
    <w:rsid w:val="00B713F2"/>
    <w:rPr>
      <w:color w:val="800080" w:themeColor="followedHyperlink"/>
      <w:u w:val="single"/>
    </w:rPr>
  </w:style>
  <w:style w:type="character" w:customStyle="1" w:styleId="ad">
    <w:name w:val="コメント文字列 (文字)"/>
    <w:basedOn w:val="a0"/>
    <w:link w:val="ac"/>
    <w:semiHidden/>
    <w:rsid w:val="00451BA2"/>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9712">
      <w:bodyDiv w:val="1"/>
      <w:marLeft w:val="0"/>
      <w:marRight w:val="0"/>
      <w:marTop w:val="0"/>
      <w:marBottom w:val="0"/>
      <w:divBdr>
        <w:top w:val="none" w:sz="0" w:space="0" w:color="auto"/>
        <w:left w:val="none" w:sz="0" w:space="0" w:color="auto"/>
        <w:bottom w:val="none" w:sz="0" w:space="0" w:color="auto"/>
        <w:right w:val="none" w:sz="0" w:space="0" w:color="auto"/>
      </w:divBdr>
    </w:div>
    <w:div w:id="44448954">
      <w:bodyDiv w:val="1"/>
      <w:marLeft w:val="0"/>
      <w:marRight w:val="0"/>
      <w:marTop w:val="0"/>
      <w:marBottom w:val="0"/>
      <w:divBdr>
        <w:top w:val="none" w:sz="0" w:space="0" w:color="auto"/>
        <w:left w:val="none" w:sz="0" w:space="0" w:color="auto"/>
        <w:bottom w:val="none" w:sz="0" w:space="0" w:color="auto"/>
        <w:right w:val="none" w:sz="0" w:space="0" w:color="auto"/>
      </w:divBdr>
    </w:div>
    <w:div w:id="66222238">
      <w:bodyDiv w:val="1"/>
      <w:marLeft w:val="0"/>
      <w:marRight w:val="0"/>
      <w:marTop w:val="0"/>
      <w:marBottom w:val="0"/>
      <w:divBdr>
        <w:top w:val="none" w:sz="0" w:space="0" w:color="auto"/>
        <w:left w:val="none" w:sz="0" w:space="0" w:color="auto"/>
        <w:bottom w:val="none" w:sz="0" w:space="0" w:color="auto"/>
        <w:right w:val="none" w:sz="0" w:space="0" w:color="auto"/>
      </w:divBdr>
    </w:div>
    <w:div w:id="186872034">
      <w:bodyDiv w:val="1"/>
      <w:marLeft w:val="0"/>
      <w:marRight w:val="0"/>
      <w:marTop w:val="0"/>
      <w:marBottom w:val="0"/>
      <w:divBdr>
        <w:top w:val="none" w:sz="0" w:space="0" w:color="auto"/>
        <w:left w:val="none" w:sz="0" w:space="0" w:color="auto"/>
        <w:bottom w:val="none" w:sz="0" w:space="0" w:color="auto"/>
        <w:right w:val="none" w:sz="0" w:space="0" w:color="auto"/>
      </w:divBdr>
    </w:div>
    <w:div w:id="244729072">
      <w:bodyDiv w:val="1"/>
      <w:marLeft w:val="0"/>
      <w:marRight w:val="0"/>
      <w:marTop w:val="0"/>
      <w:marBottom w:val="0"/>
      <w:divBdr>
        <w:top w:val="none" w:sz="0" w:space="0" w:color="auto"/>
        <w:left w:val="none" w:sz="0" w:space="0" w:color="auto"/>
        <w:bottom w:val="none" w:sz="0" w:space="0" w:color="auto"/>
        <w:right w:val="none" w:sz="0" w:space="0" w:color="auto"/>
      </w:divBdr>
    </w:div>
    <w:div w:id="459493711">
      <w:bodyDiv w:val="1"/>
      <w:marLeft w:val="0"/>
      <w:marRight w:val="0"/>
      <w:marTop w:val="0"/>
      <w:marBottom w:val="0"/>
      <w:divBdr>
        <w:top w:val="none" w:sz="0" w:space="0" w:color="auto"/>
        <w:left w:val="none" w:sz="0" w:space="0" w:color="auto"/>
        <w:bottom w:val="none" w:sz="0" w:space="0" w:color="auto"/>
        <w:right w:val="none" w:sz="0" w:space="0" w:color="auto"/>
      </w:divBdr>
    </w:div>
    <w:div w:id="500194342">
      <w:bodyDiv w:val="1"/>
      <w:marLeft w:val="0"/>
      <w:marRight w:val="0"/>
      <w:marTop w:val="0"/>
      <w:marBottom w:val="0"/>
      <w:divBdr>
        <w:top w:val="none" w:sz="0" w:space="0" w:color="auto"/>
        <w:left w:val="none" w:sz="0" w:space="0" w:color="auto"/>
        <w:bottom w:val="none" w:sz="0" w:space="0" w:color="auto"/>
        <w:right w:val="none" w:sz="0" w:space="0" w:color="auto"/>
      </w:divBdr>
    </w:div>
    <w:div w:id="555893568">
      <w:bodyDiv w:val="1"/>
      <w:marLeft w:val="0"/>
      <w:marRight w:val="0"/>
      <w:marTop w:val="0"/>
      <w:marBottom w:val="0"/>
      <w:divBdr>
        <w:top w:val="none" w:sz="0" w:space="0" w:color="auto"/>
        <w:left w:val="none" w:sz="0" w:space="0" w:color="auto"/>
        <w:bottom w:val="none" w:sz="0" w:space="0" w:color="auto"/>
        <w:right w:val="none" w:sz="0" w:space="0" w:color="auto"/>
      </w:divBdr>
    </w:div>
    <w:div w:id="769815380">
      <w:bodyDiv w:val="1"/>
      <w:marLeft w:val="0"/>
      <w:marRight w:val="0"/>
      <w:marTop w:val="0"/>
      <w:marBottom w:val="0"/>
      <w:divBdr>
        <w:top w:val="none" w:sz="0" w:space="0" w:color="auto"/>
        <w:left w:val="none" w:sz="0" w:space="0" w:color="auto"/>
        <w:bottom w:val="none" w:sz="0" w:space="0" w:color="auto"/>
        <w:right w:val="none" w:sz="0" w:space="0" w:color="auto"/>
      </w:divBdr>
    </w:div>
    <w:div w:id="905996574">
      <w:bodyDiv w:val="1"/>
      <w:marLeft w:val="0"/>
      <w:marRight w:val="0"/>
      <w:marTop w:val="0"/>
      <w:marBottom w:val="0"/>
      <w:divBdr>
        <w:top w:val="none" w:sz="0" w:space="0" w:color="auto"/>
        <w:left w:val="none" w:sz="0" w:space="0" w:color="auto"/>
        <w:bottom w:val="none" w:sz="0" w:space="0" w:color="auto"/>
        <w:right w:val="none" w:sz="0" w:space="0" w:color="auto"/>
      </w:divBdr>
    </w:div>
    <w:div w:id="930165652">
      <w:bodyDiv w:val="1"/>
      <w:marLeft w:val="0"/>
      <w:marRight w:val="0"/>
      <w:marTop w:val="0"/>
      <w:marBottom w:val="0"/>
      <w:divBdr>
        <w:top w:val="none" w:sz="0" w:space="0" w:color="auto"/>
        <w:left w:val="none" w:sz="0" w:space="0" w:color="auto"/>
        <w:bottom w:val="none" w:sz="0" w:space="0" w:color="auto"/>
        <w:right w:val="none" w:sz="0" w:space="0" w:color="auto"/>
      </w:divBdr>
    </w:div>
    <w:div w:id="961810938">
      <w:bodyDiv w:val="1"/>
      <w:marLeft w:val="0"/>
      <w:marRight w:val="0"/>
      <w:marTop w:val="0"/>
      <w:marBottom w:val="0"/>
      <w:divBdr>
        <w:top w:val="none" w:sz="0" w:space="0" w:color="auto"/>
        <w:left w:val="none" w:sz="0" w:space="0" w:color="auto"/>
        <w:bottom w:val="none" w:sz="0" w:space="0" w:color="auto"/>
        <w:right w:val="none" w:sz="0" w:space="0" w:color="auto"/>
      </w:divBdr>
    </w:div>
    <w:div w:id="987586019">
      <w:bodyDiv w:val="1"/>
      <w:marLeft w:val="0"/>
      <w:marRight w:val="0"/>
      <w:marTop w:val="0"/>
      <w:marBottom w:val="0"/>
      <w:divBdr>
        <w:top w:val="none" w:sz="0" w:space="0" w:color="auto"/>
        <w:left w:val="none" w:sz="0" w:space="0" w:color="auto"/>
        <w:bottom w:val="none" w:sz="0" w:space="0" w:color="auto"/>
        <w:right w:val="none" w:sz="0" w:space="0" w:color="auto"/>
      </w:divBdr>
    </w:div>
    <w:div w:id="1294093272">
      <w:bodyDiv w:val="1"/>
      <w:marLeft w:val="0"/>
      <w:marRight w:val="0"/>
      <w:marTop w:val="0"/>
      <w:marBottom w:val="0"/>
      <w:divBdr>
        <w:top w:val="none" w:sz="0" w:space="0" w:color="auto"/>
        <w:left w:val="none" w:sz="0" w:space="0" w:color="auto"/>
        <w:bottom w:val="none" w:sz="0" w:space="0" w:color="auto"/>
        <w:right w:val="none" w:sz="0" w:space="0" w:color="auto"/>
      </w:divBdr>
    </w:div>
    <w:div w:id="1302887582">
      <w:bodyDiv w:val="1"/>
      <w:marLeft w:val="0"/>
      <w:marRight w:val="0"/>
      <w:marTop w:val="0"/>
      <w:marBottom w:val="0"/>
      <w:divBdr>
        <w:top w:val="none" w:sz="0" w:space="0" w:color="auto"/>
        <w:left w:val="none" w:sz="0" w:space="0" w:color="auto"/>
        <w:bottom w:val="none" w:sz="0" w:space="0" w:color="auto"/>
        <w:right w:val="none" w:sz="0" w:space="0" w:color="auto"/>
      </w:divBdr>
    </w:div>
    <w:div w:id="1388987845">
      <w:bodyDiv w:val="1"/>
      <w:marLeft w:val="0"/>
      <w:marRight w:val="0"/>
      <w:marTop w:val="0"/>
      <w:marBottom w:val="0"/>
      <w:divBdr>
        <w:top w:val="none" w:sz="0" w:space="0" w:color="auto"/>
        <w:left w:val="none" w:sz="0" w:space="0" w:color="auto"/>
        <w:bottom w:val="none" w:sz="0" w:space="0" w:color="auto"/>
        <w:right w:val="none" w:sz="0" w:space="0" w:color="auto"/>
      </w:divBdr>
    </w:div>
    <w:div w:id="1402755127">
      <w:bodyDiv w:val="1"/>
      <w:marLeft w:val="0"/>
      <w:marRight w:val="0"/>
      <w:marTop w:val="0"/>
      <w:marBottom w:val="0"/>
      <w:divBdr>
        <w:top w:val="none" w:sz="0" w:space="0" w:color="auto"/>
        <w:left w:val="none" w:sz="0" w:space="0" w:color="auto"/>
        <w:bottom w:val="none" w:sz="0" w:space="0" w:color="auto"/>
        <w:right w:val="none" w:sz="0" w:space="0" w:color="auto"/>
      </w:divBdr>
    </w:div>
    <w:div w:id="1511796811">
      <w:bodyDiv w:val="1"/>
      <w:marLeft w:val="0"/>
      <w:marRight w:val="0"/>
      <w:marTop w:val="0"/>
      <w:marBottom w:val="0"/>
      <w:divBdr>
        <w:top w:val="none" w:sz="0" w:space="0" w:color="auto"/>
        <w:left w:val="none" w:sz="0" w:space="0" w:color="auto"/>
        <w:bottom w:val="none" w:sz="0" w:space="0" w:color="auto"/>
        <w:right w:val="none" w:sz="0" w:space="0" w:color="auto"/>
      </w:divBdr>
    </w:div>
    <w:div w:id="1710883408">
      <w:bodyDiv w:val="1"/>
      <w:marLeft w:val="0"/>
      <w:marRight w:val="0"/>
      <w:marTop w:val="0"/>
      <w:marBottom w:val="0"/>
      <w:divBdr>
        <w:top w:val="none" w:sz="0" w:space="0" w:color="auto"/>
        <w:left w:val="none" w:sz="0" w:space="0" w:color="auto"/>
        <w:bottom w:val="none" w:sz="0" w:space="0" w:color="auto"/>
        <w:right w:val="none" w:sz="0" w:space="0" w:color="auto"/>
      </w:divBdr>
    </w:div>
    <w:div w:id="1883858084">
      <w:bodyDiv w:val="1"/>
      <w:marLeft w:val="0"/>
      <w:marRight w:val="0"/>
      <w:marTop w:val="0"/>
      <w:marBottom w:val="0"/>
      <w:divBdr>
        <w:top w:val="none" w:sz="0" w:space="0" w:color="auto"/>
        <w:left w:val="none" w:sz="0" w:space="0" w:color="auto"/>
        <w:bottom w:val="none" w:sz="0" w:space="0" w:color="auto"/>
        <w:right w:val="none" w:sz="0" w:space="0" w:color="auto"/>
      </w:divBdr>
    </w:div>
    <w:div w:id="1951282395">
      <w:bodyDiv w:val="1"/>
      <w:marLeft w:val="0"/>
      <w:marRight w:val="0"/>
      <w:marTop w:val="0"/>
      <w:marBottom w:val="0"/>
      <w:divBdr>
        <w:top w:val="none" w:sz="0" w:space="0" w:color="auto"/>
        <w:left w:val="none" w:sz="0" w:space="0" w:color="auto"/>
        <w:bottom w:val="none" w:sz="0" w:space="0" w:color="auto"/>
        <w:right w:val="none" w:sz="0" w:space="0" w:color="auto"/>
      </w:divBdr>
    </w:div>
    <w:div w:id="2038313984">
      <w:bodyDiv w:val="1"/>
      <w:marLeft w:val="0"/>
      <w:marRight w:val="0"/>
      <w:marTop w:val="0"/>
      <w:marBottom w:val="0"/>
      <w:divBdr>
        <w:top w:val="none" w:sz="0" w:space="0" w:color="auto"/>
        <w:left w:val="none" w:sz="0" w:space="0" w:color="auto"/>
        <w:bottom w:val="none" w:sz="0" w:space="0" w:color="auto"/>
        <w:right w:val="none" w:sz="0" w:space="0" w:color="auto"/>
      </w:divBdr>
    </w:div>
    <w:div w:id="20596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l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338E-9980-488F-B940-64FB7713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373</TotalTime>
  <Pages>6</Pages>
  <Words>2276</Words>
  <Characters>13523</Characters>
  <Application>Microsoft Office Word</Application>
  <DocSecurity>0</DocSecurity>
  <Lines>374</Lines>
  <Paragraphs>130</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Superstructure modeling of Lithium-ion batteries for environmentally conscious life cycle design</vt:lpstr>
      <vt:lpstr>Chapter</vt:lpstr>
      <vt:lpstr>Chapter</vt:lpstr>
    </vt:vector>
  </TitlesOfParts>
  <Company>OLE</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Superstructure modeling of Lithium-ion batteries for environmentally conscious life cycle design</dc:title>
  <dc:creator>OLE</dc:creator>
  <cp:lastModifiedBy>米塚　智也</cp:lastModifiedBy>
  <cp:revision>30</cp:revision>
  <cp:lastPrinted>2023-11-25T11:28:00Z</cp:lastPrinted>
  <dcterms:created xsi:type="dcterms:W3CDTF">2023-12-27T01:37:00Z</dcterms:created>
  <dcterms:modified xsi:type="dcterms:W3CDTF">2024-01-05T06:20:00Z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