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lang w:eastAsia="zh-CN"/>
        </w:rPr>
      </w:pPr>
      <w:r>
        <w:rPr>
          <w:lang w:eastAsia="zh-CN"/>
        </w:rPr>
        <w:t>A</w:t>
      </w:r>
      <w:r>
        <w:rPr>
          <w:rFonts w:hint="eastAsia"/>
          <w:lang w:eastAsia="zh-CN"/>
        </w:rPr>
        <w:t xml:space="preserve"> Solar and Wind Energy-based Biomass-to-Methanol System</w:t>
      </w:r>
      <w:r>
        <w:rPr>
          <w:lang w:eastAsia="zh-CN"/>
        </w:rPr>
        <w:t xml:space="preserve"> </w:t>
      </w:r>
      <w:r>
        <w:rPr>
          <w:rFonts w:hint="eastAsia"/>
          <w:lang w:eastAsia="zh-CN"/>
        </w:rPr>
        <w:t>with</w:t>
      </w:r>
      <w:r>
        <w:rPr>
          <w:lang w:eastAsia="zh-CN"/>
        </w:rPr>
        <w:t xml:space="preserve"> </w:t>
      </w:r>
      <w:r>
        <w:rPr>
          <w:rFonts w:hint="eastAsia"/>
          <w:lang w:eastAsia="zh-CN"/>
        </w:rPr>
        <w:t>C</w:t>
      </w:r>
      <w:r>
        <w:rPr>
          <w:lang w:eastAsia="zh-CN"/>
        </w:rPr>
        <w:t>oupling</w:t>
      </w:r>
      <w:r>
        <w:rPr>
          <w:rFonts w:hint="eastAsia"/>
          <w:lang w:eastAsia="zh-CN"/>
        </w:rPr>
        <w:t xml:space="preserve"> of D</w:t>
      </w:r>
      <w:r>
        <w:rPr>
          <w:lang w:eastAsia="zh-CN"/>
        </w:rPr>
        <w:t xml:space="preserve">ifferent </w:t>
      </w:r>
      <w:r>
        <w:rPr>
          <w:rFonts w:hint="eastAsia"/>
          <w:lang w:eastAsia="zh-CN"/>
        </w:rPr>
        <w:t>E</w:t>
      </w:r>
      <w:r>
        <w:rPr>
          <w:lang w:eastAsia="zh-CN"/>
        </w:rPr>
        <w:t>lectrolyzer</w:t>
      </w:r>
      <w:r>
        <w:rPr>
          <w:rFonts w:hint="eastAsia"/>
          <w:lang w:eastAsia="zh-CN"/>
        </w:rPr>
        <w:t>s</w:t>
      </w:r>
    </w:p>
    <w:p>
      <w:pPr>
        <w:pStyle w:val="24"/>
      </w:pPr>
      <w:r>
        <w:rPr>
          <w:rFonts w:hint="eastAsia"/>
        </w:rPr>
        <w:t>Guanxin Xu</w:t>
      </w:r>
      <w:r>
        <w:rPr>
          <w:rFonts w:hint="eastAsia" w:eastAsia="宋体"/>
          <w:lang w:val="en-US" w:eastAsia="zh-CN"/>
        </w:rPr>
        <w:t>,</w:t>
      </w:r>
      <w:r>
        <w:rPr>
          <w:rFonts w:hint="eastAsia"/>
          <w:vertAlign w:val="superscript"/>
        </w:rPr>
        <w:t>a</w:t>
      </w:r>
      <w:r>
        <w:rPr>
          <w:rFonts w:hint="eastAsia"/>
        </w:rPr>
        <w:t xml:space="preserve"> Yan Wu</w:t>
      </w:r>
      <w:r>
        <w:rPr>
          <w:rFonts w:hint="eastAsia" w:eastAsia="宋体"/>
          <w:lang w:val="en-US" w:eastAsia="zh-CN"/>
        </w:rPr>
        <w:t>,</w:t>
      </w:r>
      <w:r>
        <w:rPr>
          <w:rFonts w:hint="eastAsia"/>
          <w:vertAlign w:val="superscript"/>
        </w:rPr>
        <w:t>a,b</w:t>
      </w:r>
      <w:r>
        <w:rPr>
          <w:rFonts w:hint="eastAsia"/>
        </w:rPr>
        <w:t xml:space="preserve"> Yufei Wang</w:t>
      </w:r>
      <w:r>
        <w:rPr>
          <w:rFonts w:hint="eastAsia" w:eastAsia="宋体"/>
          <w:lang w:val="en-US" w:eastAsia="zh-CN"/>
        </w:rPr>
        <w:t>,</w:t>
      </w:r>
      <w:r>
        <w:rPr>
          <w:rFonts w:hint="eastAsia"/>
          <w:vertAlign w:val="superscript"/>
        </w:rPr>
        <w:t>a,*</w:t>
      </w:r>
      <w:r>
        <w:rPr>
          <w:rFonts w:hint="eastAsia"/>
        </w:rPr>
        <w:t xml:space="preserve"> Xiao Feng</w:t>
      </w:r>
      <w:r>
        <w:rPr>
          <w:rFonts w:hint="eastAsia" w:eastAsia="宋体"/>
          <w:lang w:val="en-US" w:eastAsia="zh-CN"/>
        </w:rPr>
        <w:t>,</w:t>
      </w:r>
      <w:r>
        <w:rPr>
          <w:rFonts w:hint="eastAsia"/>
          <w:vertAlign w:val="superscript"/>
        </w:rPr>
        <w:t>c</w:t>
      </w:r>
    </w:p>
    <w:p>
      <w:pPr>
        <w:pStyle w:val="23"/>
      </w:pPr>
      <w:r>
        <w:rPr>
          <w:rFonts w:hint="eastAsia"/>
          <w:vertAlign w:val="superscript"/>
        </w:rPr>
        <w:t>a</w:t>
      </w:r>
      <w:r>
        <w:rPr>
          <w:rFonts w:hint="eastAsia"/>
        </w:rPr>
        <w:t>School of Chemical Engineering and Environment, China University of Petroleum (Beijing), 18 Fuxue Road, Changping, Beijing, 102249, China</w:t>
      </w:r>
    </w:p>
    <w:p>
      <w:pPr>
        <w:pStyle w:val="23"/>
      </w:pPr>
      <w:r>
        <w:rPr>
          <w:rFonts w:hint="eastAsia"/>
          <w:vertAlign w:val="superscript"/>
        </w:rPr>
        <w:t>b</w:t>
      </w:r>
      <w:r>
        <w:rPr>
          <w:rFonts w:hint="eastAsia"/>
        </w:rPr>
        <w:t>China Huanqiu Contracting &amp; Engineering CO., LTD, No.1 Chuangda 2nd Road, Laiguangying Hi-tech Industrial Park, Chaoyang District, Beijing, 100012, China</w:t>
      </w:r>
    </w:p>
    <w:p>
      <w:pPr>
        <w:pStyle w:val="23"/>
      </w:pPr>
      <w:r>
        <w:rPr>
          <w:rFonts w:hint="eastAsia"/>
          <w:vertAlign w:val="superscript"/>
        </w:rPr>
        <w:t>c</w:t>
      </w:r>
      <w:r>
        <w:rPr>
          <w:rFonts w:hint="eastAsia"/>
        </w:rPr>
        <w:t>School of Chemical Engineering and Technology, Xi’an Jiaotong University, Xi’an, Shaanxi 710049, China</w:t>
      </w:r>
    </w:p>
    <w:p>
      <w:pPr>
        <w:pStyle w:val="23"/>
        <w:spacing w:after="120"/>
      </w:pPr>
      <w:r>
        <w:rPr>
          <w:rFonts w:hint="eastAsia"/>
        </w:rPr>
        <w:t>wangyufei@cup.edu.cn</w:t>
      </w:r>
    </w:p>
    <w:p>
      <w:pPr>
        <w:pStyle w:val="38"/>
      </w:pPr>
      <w:r>
        <w:t>Abstract</w:t>
      </w:r>
    </w:p>
    <w:p>
      <w:pPr>
        <w:pStyle w:val="20"/>
      </w:pPr>
      <w:r>
        <w:t>T</w:t>
      </w:r>
      <w:r>
        <w:rPr>
          <w:rFonts w:hint="eastAsia"/>
        </w:rPr>
        <w:t>he concepts of renewable energy and low-carbon economy are rapidly emerging. Considering the randomness and volatility of</w:t>
      </w:r>
      <w:r>
        <w:rPr>
          <w:rFonts w:hint="eastAsia"/>
          <w:lang w:eastAsia="zh-CN"/>
        </w:rPr>
        <w:t xml:space="preserve"> </w:t>
      </w:r>
      <w:r>
        <w:rPr>
          <w:lang w:eastAsia="zh-CN"/>
        </w:rPr>
        <w:t>renewable energy sources (RESs)</w:t>
      </w:r>
      <w:r>
        <w:rPr>
          <w:rFonts w:hint="eastAsia"/>
        </w:rPr>
        <w:t>, hydrogen production system</w:t>
      </w:r>
      <w:r>
        <w:t xml:space="preserve"> </w:t>
      </w:r>
      <w:r>
        <w:rPr>
          <w:rFonts w:hint="eastAsia"/>
        </w:rPr>
        <w:t xml:space="preserve">of water electrolysis </w:t>
      </w:r>
      <w:r>
        <w:t>could be</w:t>
      </w:r>
      <w:r>
        <w:rPr>
          <w:rFonts w:hint="eastAsia"/>
        </w:rPr>
        <w:t xml:space="preserve"> used</w:t>
      </w:r>
      <w:r>
        <w:t>.</w:t>
      </w:r>
      <w:r>
        <w:rPr>
          <w:rFonts w:hint="eastAsia"/>
        </w:rPr>
        <w:t xml:space="preserve"> </w:t>
      </w:r>
      <w:r>
        <w:t>Biomass</w:t>
      </w:r>
      <w:r>
        <w:rPr>
          <w:rFonts w:hint="eastAsia"/>
        </w:rPr>
        <w:t>-to-methanol technology</w:t>
      </w:r>
      <w:r>
        <w:rPr>
          <w:rFonts w:hint="eastAsia" w:eastAsia="宋体"/>
          <w:lang w:eastAsia="zh-CN"/>
        </w:rPr>
        <w:t xml:space="preserve"> </w:t>
      </w:r>
      <w:r>
        <w:rPr>
          <w:rFonts w:hint="eastAsia"/>
        </w:rPr>
        <w:t>can be combined with solar and wind energy-based water electrolysis system. Between different kinds of electrolyzers, alkaline</w:t>
      </w:r>
      <w:r>
        <w:rPr>
          <w:rFonts w:hint="eastAsia" w:eastAsia="宋体"/>
          <w:lang w:eastAsia="zh-CN"/>
        </w:rPr>
        <w:t xml:space="preserve"> (ALK)</w:t>
      </w:r>
      <w:r>
        <w:rPr>
          <w:rFonts w:hint="eastAsia"/>
        </w:rPr>
        <w:t xml:space="preserve"> </w:t>
      </w:r>
      <w:r>
        <w:t>electrolysis</w:t>
      </w:r>
      <w:r>
        <w:rPr>
          <w:rFonts w:hint="eastAsia"/>
        </w:rPr>
        <w:t xml:space="preserve"> is the most common and mature technology with the lowest capital cost. Besides</w:t>
      </w:r>
      <w:r>
        <w:t>,</w:t>
      </w:r>
      <w:r>
        <w:rPr>
          <w:rFonts w:hint="eastAsia"/>
        </w:rPr>
        <w:t xml:space="preserve"> </w:t>
      </w:r>
      <w:r>
        <w:rPr>
          <w:rFonts w:eastAsia="宋体"/>
          <w:lang w:eastAsia="zh-CN"/>
        </w:rPr>
        <w:t>proton</w:t>
      </w:r>
      <w:r>
        <w:rPr>
          <w:rFonts w:hint="eastAsia"/>
        </w:rPr>
        <w:t xml:space="preserve"> </w:t>
      </w:r>
      <w:r>
        <w:rPr>
          <w:rFonts w:eastAsia="宋体"/>
          <w:lang w:eastAsia="zh-CN"/>
        </w:rPr>
        <w:t>exchange</w:t>
      </w:r>
      <w:r>
        <w:rPr>
          <w:rFonts w:hint="eastAsia"/>
        </w:rPr>
        <w:t xml:space="preserve"> membrane</w:t>
      </w:r>
      <w:r>
        <w:rPr>
          <w:rFonts w:hint="eastAsia" w:eastAsia="宋体"/>
          <w:lang w:eastAsia="zh-CN"/>
        </w:rPr>
        <w:t xml:space="preserve"> (PEM) </w:t>
      </w:r>
      <w:r>
        <w:rPr>
          <w:rFonts w:hint="eastAsia"/>
        </w:rPr>
        <w:t>electrolyzers have higher sensitivity of response to input power</w:t>
      </w:r>
      <w:r>
        <w:t xml:space="preserve"> and</w:t>
      </w:r>
      <w:r>
        <w:rPr>
          <w:rFonts w:hint="eastAsia"/>
        </w:rPr>
        <w:t xml:space="preserve"> wider power regulation range</w:t>
      </w:r>
      <w:r>
        <w:t>,</w:t>
      </w:r>
      <w:r>
        <w:rPr>
          <w:rFonts w:hint="eastAsia"/>
        </w:rPr>
        <w:t xml:space="preserve"> meaning it could make a fuller use of the electricity. In this paper, </w:t>
      </w:r>
      <w:r>
        <w:rPr>
          <w:rFonts w:hint="eastAsia" w:eastAsia="宋体"/>
          <w:lang w:eastAsia="zh-CN"/>
        </w:rPr>
        <w:t>a</w:t>
      </w:r>
      <w:r>
        <w:rPr>
          <w:rFonts w:hint="eastAsia"/>
        </w:rPr>
        <w:t xml:space="preserve"> method </w:t>
      </w:r>
      <w:r>
        <w:t>is</w:t>
      </w:r>
      <w:r>
        <w:rPr>
          <w:rFonts w:hint="eastAsia"/>
        </w:rPr>
        <w:t xml:space="preserve"> proposed</w:t>
      </w:r>
      <w:r>
        <w:t xml:space="preserve"> to</w:t>
      </w:r>
      <w:r>
        <w:rPr>
          <w:rFonts w:hint="eastAsia"/>
        </w:rPr>
        <w:t xml:space="preserve"> design an optimal water electrolysis and methanol production system, taking into account the hourly solar and wind power generation capacity</w:t>
      </w:r>
      <w:r>
        <w:t>.</w:t>
      </w:r>
      <w:r>
        <w:rPr>
          <w:rFonts w:hint="eastAsia" w:eastAsia="宋体"/>
          <w:lang w:eastAsia="zh-CN"/>
        </w:rPr>
        <w:t xml:space="preserve"> </w:t>
      </w:r>
      <w:r>
        <w:rPr>
          <w:rFonts w:eastAsia="宋体"/>
          <w:lang w:eastAsia="zh-CN"/>
        </w:rPr>
        <w:t>T</w:t>
      </w:r>
      <w:r>
        <w:rPr>
          <w:rFonts w:hint="eastAsia" w:eastAsia="宋体"/>
          <w:lang w:eastAsia="zh-CN"/>
        </w:rPr>
        <w:t>he</w:t>
      </w:r>
      <w:r>
        <w:rPr>
          <w:rFonts w:hint="eastAsia"/>
          <w:lang w:eastAsia="zh-CN"/>
        </w:rPr>
        <w:t xml:space="preserve"> operation</w:t>
      </w:r>
      <w:r>
        <w:rPr>
          <w:rFonts w:hint="eastAsia"/>
        </w:rPr>
        <w:t xml:space="preserve"> state</w:t>
      </w:r>
      <w:r>
        <w:t>s</w:t>
      </w:r>
      <w:r>
        <w:rPr>
          <w:rFonts w:hint="eastAsia"/>
        </w:rPr>
        <w:t xml:space="preserve"> of </w:t>
      </w:r>
      <w:r>
        <w:rPr>
          <w:rFonts w:hint="eastAsia"/>
          <w:lang w:eastAsia="zh-CN"/>
        </w:rPr>
        <w:t>e</w:t>
      </w:r>
      <w:r>
        <w:t>lectrolyzer are also</w:t>
      </w:r>
      <w:r>
        <w:rPr>
          <w:rFonts w:hint="eastAsia"/>
        </w:rPr>
        <w:t xml:space="preserve"> consider</w:t>
      </w:r>
      <w:r>
        <w:t>ed</w:t>
      </w:r>
      <w:r>
        <w:rPr>
          <w:rFonts w:hint="eastAsia"/>
        </w:rPr>
        <w:t xml:space="preserve">. </w:t>
      </w:r>
      <w:r>
        <w:t xml:space="preserve">In the case study </w:t>
      </w:r>
      <w:r>
        <w:rPr>
          <w:rFonts w:hint="eastAsia"/>
        </w:rPr>
        <w:t>part</w:t>
      </w:r>
      <w:r>
        <w:t>, a HPS consisting of 72 ALK electrolyzers and 8 PEM electrolyzers was designed, with an annual methanol production of 30.03×10</w:t>
      </w:r>
      <w:r>
        <w:rPr>
          <w:vertAlign w:val="superscript"/>
        </w:rPr>
        <w:t>4</w:t>
      </w:r>
      <w:r>
        <w:t xml:space="preserve"> t/y. According to the result, </w:t>
      </w:r>
      <w:r>
        <w:rPr>
          <w:rFonts w:hint="eastAsia"/>
        </w:rPr>
        <w:t>the</w:t>
      </w:r>
      <w:r>
        <w:t xml:space="preserve"> annual revenue of the coupling system is 62.6% higher than that of the PEM system. Compared with the ALK system, the scale of hydrogen and energy storage systems decrease significantly.</w:t>
      </w:r>
      <w:r>
        <w:rPr>
          <w:rFonts w:hint="eastAsia"/>
        </w:rPr>
        <w:t xml:space="preserve"> The result shows promise in adapting to the fluctuations in renewable energy generation. Furthermore, the combined environmental and economic performance of the new system indicates its potential for long-term viability and positive impact. </w:t>
      </w:r>
    </w:p>
    <w:p>
      <w:pPr>
        <w:pStyle w:val="20"/>
        <w:spacing w:after="120"/>
        <w:rPr>
          <w:lang w:val="en-GB"/>
        </w:rPr>
      </w:pPr>
      <w:r>
        <w:rPr>
          <w:b/>
          <w:bCs/>
          <w:lang w:val="en-GB"/>
        </w:rPr>
        <w:t>Keywords</w:t>
      </w:r>
      <w:r>
        <w:rPr>
          <w:lang w:val="en-GB"/>
        </w:rPr>
        <w:t xml:space="preserve">: </w:t>
      </w:r>
      <w:r>
        <w:rPr>
          <w:rFonts w:hint="eastAsia"/>
          <w:lang w:val="en-GB"/>
        </w:rPr>
        <w:t>Coupling of Electrolyzers, Biomass-to-Methanol, Water Electrolysis, Renewable Energy</w:t>
      </w:r>
    </w:p>
    <w:p>
      <w:pPr>
        <w:pStyle w:val="19"/>
      </w:pPr>
      <w:r>
        <w:rPr>
          <w:rFonts w:hint="eastAsia"/>
          <w:lang w:eastAsia="zh-CN"/>
        </w:rPr>
        <w:t>Introduction</w:t>
      </w:r>
    </w:p>
    <w:p>
      <w:pPr>
        <w:pStyle w:val="20"/>
        <w:rPr>
          <w:lang w:eastAsia="zh-CN"/>
        </w:rPr>
      </w:pPr>
      <w:r>
        <w:rPr>
          <w:lang w:eastAsia="zh-CN"/>
        </w:rPr>
        <w:t xml:space="preserve">The global air temperature has continuously increased in nearly two centuries. </w:t>
      </w:r>
      <w:r>
        <w:rPr>
          <w:rFonts w:hint="eastAsia"/>
          <w:lang w:eastAsia="zh-CN"/>
        </w:rPr>
        <w:t>C</w:t>
      </w:r>
      <w:r>
        <w:rPr>
          <w:lang w:eastAsia="zh-CN"/>
        </w:rPr>
        <w:t xml:space="preserve">limate change and global warming </w:t>
      </w:r>
      <w:r>
        <w:rPr>
          <w:rFonts w:hint="eastAsia"/>
          <w:lang w:eastAsia="zh-CN"/>
        </w:rPr>
        <w:t>are</w:t>
      </w:r>
      <w:r>
        <w:rPr>
          <w:lang w:eastAsia="zh-CN"/>
        </w:rPr>
        <w:t xml:space="preserve"> considered</w:t>
      </w:r>
      <w:r>
        <w:rPr>
          <w:rFonts w:hint="eastAsia"/>
          <w:lang w:eastAsia="zh-CN"/>
        </w:rPr>
        <w:t xml:space="preserve"> as</w:t>
      </w:r>
      <w:r>
        <w:rPr>
          <w:lang w:eastAsia="zh-CN"/>
        </w:rPr>
        <w:t xml:space="preserve"> the most pressing issues </w:t>
      </w:r>
      <w:r>
        <w:rPr>
          <w:rFonts w:hint="eastAsia"/>
          <w:lang w:eastAsia="zh-CN"/>
        </w:rPr>
        <w:t>(Dogan et al., 2023)</w:t>
      </w:r>
      <w:r>
        <w:rPr>
          <w:lang w:eastAsia="zh-CN"/>
        </w:rPr>
        <w:t>.</w:t>
      </w:r>
      <w:r>
        <w:rPr>
          <w:rFonts w:hint="eastAsia"/>
          <w:lang w:eastAsia="zh-CN"/>
        </w:rPr>
        <w:t xml:space="preserve"> Besides,</w:t>
      </w:r>
      <w:r>
        <w:rPr>
          <w:lang w:eastAsia="zh-CN"/>
        </w:rPr>
        <w:t xml:space="preserve"> the energy crisis also contributed to the concept of</w:t>
      </w:r>
      <w:r>
        <w:rPr>
          <w:rFonts w:hint="eastAsia"/>
          <w:lang w:eastAsia="zh-CN"/>
        </w:rPr>
        <w:t xml:space="preserve"> </w:t>
      </w:r>
      <w:r>
        <w:rPr>
          <w:lang w:eastAsia="zh-CN"/>
        </w:rPr>
        <w:t xml:space="preserve">renewable energy sources </w:t>
      </w:r>
      <w:r>
        <w:rPr>
          <w:rFonts w:hint="eastAsia"/>
          <w:lang w:eastAsia="zh-CN"/>
        </w:rPr>
        <w:t>(RESs)</w:t>
      </w:r>
      <w:r>
        <w:rPr>
          <w:lang w:eastAsia="zh-CN"/>
        </w:rPr>
        <w:t xml:space="preserve"> and a low-carbon economy</w:t>
      </w:r>
      <w:r>
        <w:rPr>
          <w:rFonts w:hint="eastAsia"/>
          <w:lang w:eastAsia="zh-CN"/>
        </w:rPr>
        <w:t xml:space="preserve">. Thus, developing renewable energy technologies to reduce carbon emissions is crucial (Kojima et al., 2023). </w:t>
      </w:r>
      <w:r>
        <w:rPr>
          <w:lang w:eastAsia="zh-CN"/>
        </w:rPr>
        <w:t xml:space="preserve">In recent decades, renewable energy </w:t>
      </w:r>
      <w:r>
        <w:rPr>
          <w:rFonts w:hint="eastAsia"/>
          <w:lang w:eastAsia="zh-CN"/>
        </w:rPr>
        <w:t xml:space="preserve">generation </w:t>
      </w:r>
      <w:r>
        <w:rPr>
          <w:lang w:eastAsia="zh-CN"/>
        </w:rPr>
        <w:t xml:space="preserve">capacity is continually increasing. </w:t>
      </w:r>
      <w:r>
        <w:t>However, compared to fossil energy sources</w:t>
      </w:r>
      <w:r>
        <w:rPr>
          <w:rFonts w:hint="eastAsia"/>
          <w:lang w:eastAsia="zh-CN"/>
        </w:rPr>
        <w:t xml:space="preserve"> </w:t>
      </w:r>
      <w:r>
        <w:t xml:space="preserve">generation, </w:t>
      </w:r>
      <w:r>
        <w:rPr>
          <w:rFonts w:hint="eastAsia"/>
          <w:lang w:eastAsia="zh-CN"/>
        </w:rPr>
        <w:t>RESs</w:t>
      </w:r>
      <w:r>
        <w:t xml:space="preserve"> has the characteristics of randomness, intermittence</w:t>
      </w:r>
      <w:r>
        <w:rPr>
          <w:rFonts w:hint="eastAsia"/>
        </w:rPr>
        <w:t xml:space="preserve"> </w:t>
      </w:r>
      <w:r>
        <w:t>and fluctuation</w:t>
      </w:r>
      <w:r>
        <w:rPr>
          <w:rFonts w:hint="eastAsia"/>
          <w:lang w:eastAsia="zh-CN"/>
        </w:rPr>
        <w:t xml:space="preserve"> (</w:t>
      </w:r>
      <w:r>
        <w:t>Xiong</w:t>
      </w:r>
      <w:r>
        <w:rPr>
          <w:rFonts w:hint="eastAsia" w:eastAsia="宋体"/>
          <w:lang w:eastAsia="zh-CN"/>
        </w:rPr>
        <w:t xml:space="preserve"> et al., 2023)</w:t>
      </w:r>
      <w:r>
        <w:rPr>
          <w:rFonts w:hint="eastAsia"/>
          <w:lang w:eastAsia="zh-CN"/>
        </w:rPr>
        <w:t xml:space="preserve">. Thus, </w:t>
      </w:r>
      <w:r>
        <w:rPr>
          <w:rFonts w:hint="eastAsia"/>
          <w:lang w:val="en-GB"/>
        </w:rPr>
        <w:t>energy abandonment</w:t>
      </w:r>
      <w:r>
        <w:rPr>
          <w:rFonts w:hint="eastAsia" w:eastAsia="宋体"/>
          <w:lang w:eastAsia="zh-CN"/>
        </w:rPr>
        <w:t xml:space="preserve"> generally</w:t>
      </w:r>
      <w:r>
        <w:rPr>
          <w:rFonts w:hint="eastAsia"/>
          <w:lang w:eastAsia="zh-CN"/>
        </w:rPr>
        <w:t xml:space="preserve"> occurs when RESs power generation exceeds the electricity demand or transmission capacity. This problem could lead to energy resources and </w:t>
      </w:r>
      <w:r>
        <w:rPr>
          <w:rFonts w:hint="eastAsia"/>
          <w:lang w:val="en-GB"/>
        </w:rPr>
        <w:t>economic losses</w:t>
      </w:r>
      <w:r>
        <w:rPr>
          <w:rFonts w:hint="eastAsia" w:eastAsia="宋体"/>
          <w:lang w:eastAsia="zh-CN"/>
        </w:rPr>
        <w:t xml:space="preserve">. </w:t>
      </w:r>
      <w:r>
        <w:rPr>
          <w:rFonts w:hint="eastAsia"/>
          <w:lang w:eastAsia="zh-CN"/>
        </w:rPr>
        <w:t>T</w:t>
      </w:r>
      <w:r>
        <w:rPr>
          <w:lang w:eastAsia="zh-CN"/>
        </w:rPr>
        <w:t>herefore</w:t>
      </w:r>
      <w:r>
        <w:rPr>
          <w:rFonts w:hint="eastAsia"/>
          <w:lang w:eastAsia="zh-CN"/>
        </w:rPr>
        <w:t xml:space="preserve">, RESs generation </w:t>
      </w:r>
      <w:r>
        <w:rPr>
          <w:rFonts w:hint="eastAsia"/>
          <w:lang w:val="en-GB"/>
        </w:rPr>
        <w:t xml:space="preserve">is generally </w:t>
      </w:r>
      <w:r>
        <w:rPr>
          <w:rFonts w:eastAsia="宋体"/>
          <w:lang w:eastAsia="zh-CN"/>
        </w:rPr>
        <w:t>combined</w:t>
      </w:r>
      <w:r>
        <w:rPr>
          <w:rFonts w:hint="eastAsia" w:eastAsia="宋体"/>
          <w:lang w:eastAsia="zh-CN"/>
        </w:rPr>
        <w:t xml:space="preserve"> with </w:t>
      </w:r>
      <w:r>
        <w:rPr>
          <w:rFonts w:hint="eastAsia"/>
          <w:lang w:val="en-GB"/>
        </w:rPr>
        <w:t>hydrogen production system</w:t>
      </w:r>
      <w:r>
        <w:rPr>
          <w:lang w:val="en-GB"/>
        </w:rPr>
        <w:t xml:space="preserve"> (HPS)</w:t>
      </w:r>
      <w:r>
        <w:rPr>
          <w:rFonts w:hint="eastAsia"/>
          <w:lang w:val="en-GB"/>
        </w:rPr>
        <w:t xml:space="preserve"> of water electrolysis to prev</w:t>
      </w:r>
      <w:r>
        <w:rPr>
          <w:rFonts w:hint="eastAsia"/>
          <w:lang w:eastAsia="zh-CN"/>
        </w:rPr>
        <w:t xml:space="preserve">ent curtailment. Recently, energy production from biomass has gained interest as a suitable approach for agricultural countries. </w:t>
      </w:r>
      <w:r>
        <w:rPr>
          <w:lang w:eastAsia="zh-CN"/>
        </w:rPr>
        <w:t>Combining biomass-</w:t>
      </w:r>
      <w:r>
        <w:rPr>
          <w:rFonts w:hint="eastAsia"/>
          <w:lang w:eastAsia="zh-CN"/>
        </w:rPr>
        <w:t>to-</w:t>
      </w:r>
      <w:r>
        <w:rPr>
          <w:lang w:eastAsia="zh-CN"/>
        </w:rPr>
        <w:t xml:space="preserve">methanol technology with the </w:t>
      </w:r>
      <w:r>
        <w:t>HPS</w:t>
      </w:r>
      <w:r>
        <w:rPr>
          <w:lang w:eastAsia="zh-CN"/>
        </w:rPr>
        <w:t xml:space="preserve"> of </w:t>
      </w:r>
      <w:r>
        <w:rPr>
          <w:rFonts w:hint="eastAsia"/>
          <w:lang w:eastAsia="zh-CN"/>
        </w:rPr>
        <w:t>wind and solar power</w:t>
      </w:r>
      <w:r>
        <w:rPr>
          <w:lang w:eastAsia="zh-CN"/>
        </w:rPr>
        <w:t xml:space="preserve"> generation can not only</w:t>
      </w:r>
      <w:r>
        <w:rPr>
          <w:rFonts w:hint="eastAsia"/>
          <w:lang w:eastAsia="zh-CN"/>
        </w:rPr>
        <w:t xml:space="preserve"> </w:t>
      </w:r>
      <w:r>
        <w:rPr>
          <w:lang w:eastAsia="zh-CN"/>
        </w:rPr>
        <w:t xml:space="preserve">increase the utilization of the carbon in the biomass, </w:t>
      </w:r>
      <w:r>
        <w:rPr>
          <w:rFonts w:hint="eastAsia"/>
          <w:lang w:eastAsia="zh-CN"/>
        </w:rPr>
        <w:t>but also</w:t>
      </w:r>
      <w:r>
        <w:rPr>
          <w:lang w:eastAsia="zh-CN"/>
        </w:rPr>
        <w:t xml:space="preserve"> deal with</w:t>
      </w:r>
      <w:r>
        <w:rPr>
          <w:rFonts w:hint="eastAsia"/>
          <w:lang w:eastAsia="zh-CN"/>
        </w:rPr>
        <w:t xml:space="preserve"> the </w:t>
      </w:r>
      <w:r>
        <w:t>randomness, intermittence</w:t>
      </w:r>
      <w:r>
        <w:rPr>
          <w:rFonts w:hint="eastAsia"/>
        </w:rPr>
        <w:t xml:space="preserve"> </w:t>
      </w:r>
      <w:r>
        <w:t>and fluctuation</w:t>
      </w:r>
      <w:r>
        <w:rPr>
          <w:rFonts w:hint="eastAsia"/>
          <w:lang w:eastAsia="zh-CN"/>
        </w:rPr>
        <w:t xml:space="preserve"> of RESs (Poluzzi et al., 2022)</w:t>
      </w:r>
      <w:r>
        <w:rPr>
          <w:lang w:eastAsia="zh-CN"/>
        </w:rPr>
        <w:t>.</w:t>
      </w:r>
      <w:r>
        <w:rPr>
          <w:rFonts w:hint="eastAsia"/>
          <w:lang w:eastAsia="zh-CN"/>
        </w:rPr>
        <w:t xml:space="preserve"> </w:t>
      </w:r>
    </w:p>
    <w:p>
      <w:pPr>
        <w:jc w:val="both"/>
      </w:pPr>
      <w:r>
        <w:rPr>
          <w:lang w:val="en-US" w:eastAsia="zh-CN"/>
        </w:rPr>
        <w:t xml:space="preserve">Electrolyzing water could be carried out via several electrolyzer types, </w:t>
      </w:r>
      <w:r>
        <w:rPr>
          <w:rFonts w:hint="eastAsia"/>
          <w:lang w:val="en-US" w:eastAsia="zh-CN"/>
        </w:rPr>
        <w:t>including</w:t>
      </w:r>
      <w:r>
        <w:rPr>
          <w:lang w:val="en-US" w:eastAsia="zh-CN"/>
        </w:rPr>
        <w:t xml:space="preserve"> alkaline</w:t>
      </w:r>
      <w:r>
        <w:rPr>
          <w:rFonts w:hint="eastAsia"/>
          <w:lang w:val="en-US" w:eastAsia="zh-CN"/>
        </w:rPr>
        <w:t xml:space="preserve"> (ALK)</w:t>
      </w:r>
      <w:r>
        <w:rPr>
          <w:lang w:val="en-US" w:eastAsia="zh-CN"/>
        </w:rPr>
        <w:t xml:space="preserve"> electroly</w:t>
      </w:r>
      <w:r>
        <w:rPr>
          <w:rFonts w:hint="eastAsia"/>
          <w:lang w:val="en-US" w:eastAsia="zh-CN"/>
        </w:rPr>
        <w:t>zer</w:t>
      </w:r>
      <w:r>
        <w:rPr>
          <w:lang w:val="en-US" w:eastAsia="zh-CN"/>
        </w:rPr>
        <w:t xml:space="preserve">, </w:t>
      </w:r>
      <w:r>
        <w:rPr>
          <w:rFonts w:eastAsia="宋体"/>
          <w:lang w:val="en-US" w:eastAsia="zh-CN"/>
        </w:rPr>
        <w:t>proton</w:t>
      </w:r>
      <w:r>
        <w:rPr>
          <w:rFonts w:hint="eastAsia"/>
        </w:rPr>
        <w:t xml:space="preserve"> </w:t>
      </w:r>
      <w:r>
        <w:rPr>
          <w:rFonts w:eastAsia="宋体"/>
          <w:lang w:val="en-US" w:eastAsia="zh-CN"/>
        </w:rPr>
        <w:t>exchange</w:t>
      </w:r>
      <w:r>
        <w:rPr>
          <w:rFonts w:hint="eastAsia"/>
        </w:rPr>
        <w:t xml:space="preserve"> membrane</w:t>
      </w:r>
      <w:r>
        <w:rPr>
          <w:rFonts w:hint="eastAsia" w:eastAsia="宋体"/>
          <w:lang w:val="en-US" w:eastAsia="zh-CN"/>
        </w:rPr>
        <w:t xml:space="preserve"> (PEM) </w:t>
      </w:r>
      <w:r>
        <w:rPr>
          <w:rFonts w:hint="eastAsia"/>
        </w:rPr>
        <w:t>electrolyzer</w:t>
      </w:r>
      <w:r>
        <w:rPr>
          <w:lang w:val="en-US" w:eastAsia="zh-CN"/>
        </w:rPr>
        <w:t>, anion exchange membrane</w:t>
      </w:r>
      <w:r>
        <w:rPr>
          <w:rFonts w:hint="eastAsia" w:eastAsia="宋体"/>
          <w:lang w:val="en-US" w:eastAsia="zh-CN"/>
        </w:rPr>
        <w:t xml:space="preserve"> (AEM) </w:t>
      </w:r>
      <w:r>
        <w:rPr>
          <w:rFonts w:hint="eastAsia"/>
        </w:rPr>
        <w:t>electrolyzer</w:t>
      </w:r>
      <w:r>
        <w:rPr>
          <w:lang w:val="en-US" w:eastAsia="zh-CN"/>
        </w:rPr>
        <w:t>, and solid oxide</w:t>
      </w:r>
      <w:r>
        <w:rPr>
          <w:rFonts w:hint="eastAsia"/>
          <w:lang w:val="en-US" w:eastAsia="zh-CN"/>
        </w:rPr>
        <w:t xml:space="preserve"> (SO)</w:t>
      </w:r>
      <w:r>
        <w:rPr>
          <w:lang w:val="en-US" w:eastAsia="zh-CN"/>
        </w:rPr>
        <w:t xml:space="preserve"> electroly</w:t>
      </w:r>
      <w:r>
        <w:rPr>
          <w:rFonts w:hint="eastAsia"/>
          <w:lang w:val="en-US" w:eastAsia="zh-CN"/>
        </w:rPr>
        <w:t>zer (</w:t>
      </w:r>
      <w:r>
        <w:rPr>
          <w:lang w:val="en-US"/>
        </w:rPr>
        <w:t>Gado &amp; Hassan</w:t>
      </w:r>
      <w:r>
        <w:rPr>
          <w:rFonts w:hint="eastAsia" w:eastAsia="宋体"/>
          <w:lang w:val="en-US" w:eastAsia="zh-CN"/>
        </w:rPr>
        <w:t>, 2023). Among them, the ALK and PEM electroly</w:t>
      </w:r>
      <w:r>
        <w:rPr>
          <w:rFonts w:eastAsia="宋体"/>
          <w:lang w:val="en-US" w:eastAsia="zh-CN"/>
        </w:rPr>
        <w:t>zer</w:t>
      </w:r>
      <w:r>
        <w:rPr>
          <w:rFonts w:hint="eastAsia" w:eastAsia="宋体"/>
          <w:lang w:val="en-US" w:eastAsia="zh-CN"/>
        </w:rPr>
        <w:t>s have been applied in industrial production. AL</w:t>
      </w:r>
      <w:r>
        <w:rPr>
          <w:rFonts w:hint="eastAsia"/>
          <w:lang w:val="en-US" w:eastAsia="zh-CN"/>
        </w:rPr>
        <w:t>K</w:t>
      </w:r>
      <w:r>
        <w:rPr>
          <w:rFonts w:hint="eastAsia"/>
        </w:rPr>
        <w:t xml:space="preserve"> </w:t>
      </w:r>
      <w:r>
        <w:t>electrolysis</w:t>
      </w:r>
      <w:r>
        <w:rPr>
          <w:rFonts w:hint="eastAsia" w:eastAsia="宋体"/>
          <w:lang w:val="en-US" w:eastAsia="zh-CN"/>
        </w:rPr>
        <w:t xml:space="preserve"> </w:t>
      </w:r>
      <w:r>
        <w:rPr>
          <w:rFonts w:hint="eastAsia"/>
        </w:rPr>
        <w:t xml:space="preserve">is the most common and mature </w:t>
      </w:r>
      <w:r>
        <w:rPr>
          <w:rFonts w:hint="eastAsia" w:eastAsia="宋体"/>
          <w:lang w:val="en-US" w:eastAsia="zh-CN"/>
        </w:rPr>
        <w:t>technology</w:t>
      </w:r>
      <w:r>
        <w:rPr>
          <w:rFonts w:hint="eastAsia"/>
        </w:rPr>
        <w:t xml:space="preserve"> with the lowest capital cost.</w:t>
      </w:r>
      <w:r>
        <w:rPr>
          <w:rFonts w:hint="eastAsia" w:eastAsia="宋体"/>
          <w:lang w:val="en-US" w:eastAsia="zh-CN"/>
        </w:rPr>
        <w:t xml:space="preserve"> However, ALK electrolyzer</w:t>
      </w:r>
      <w:r>
        <w:rPr>
          <w:rFonts w:eastAsia="宋体"/>
          <w:lang w:val="en-US" w:eastAsia="zh-CN"/>
        </w:rPr>
        <w:t>s</w:t>
      </w:r>
      <w:r>
        <w:rPr>
          <w:rFonts w:hint="eastAsia" w:eastAsia="宋体"/>
          <w:lang w:val="en-US" w:eastAsia="zh-CN"/>
        </w:rPr>
        <w:t xml:space="preserve"> </w:t>
      </w:r>
      <w:r>
        <w:rPr>
          <w:rFonts w:eastAsia="宋体"/>
          <w:lang w:val="en-US" w:eastAsia="zh-CN"/>
        </w:rPr>
        <w:t>can</w:t>
      </w:r>
      <w:r>
        <w:rPr>
          <w:rFonts w:hint="eastAsia" w:eastAsia="宋体"/>
          <w:lang w:val="en-US" w:eastAsia="zh-CN"/>
        </w:rPr>
        <w:t>not operate at low loads</w:t>
      </w:r>
      <w:r>
        <w:rPr>
          <w:rFonts w:hint="eastAsia"/>
        </w:rPr>
        <w:t xml:space="preserve"> </w:t>
      </w:r>
      <w:r>
        <w:rPr>
          <w:rFonts w:hint="eastAsia" w:eastAsia="宋体"/>
          <w:lang w:val="en-US" w:eastAsia="zh-CN"/>
        </w:rPr>
        <w:t>(</w:t>
      </w:r>
      <w:r>
        <w:rPr>
          <w:lang w:val="en-US"/>
        </w:rPr>
        <w:t>Squadrito</w:t>
      </w:r>
      <w:r>
        <w:rPr>
          <w:rFonts w:hint="eastAsia" w:eastAsia="宋体"/>
          <w:lang w:val="en-US" w:eastAsia="zh-CN"/>
        </w:rPr>
        <w:t xml:space="preserve"> et al., 2023). </w:t>
      </w:r>
      <w:r>
        <w:rPr>
          <w:lang w:val="en-US" w:eastAsia="zh-CN"/>
        </w:rPr>
        <w:t>A</w:t>
      </w:r>
      <w:r>
        <w:rPr>
          <w:rFonts w:hint="eastAsia"/>
          <w:lang w:val="en-US" w:eastAsia="zh-CN"/>
        </w:rPr>
        <w:t xml:space="preserve">lthough the cost of </w:t>
      </w:r>
      <w:r>
        <w:rPr>
          <w:lang w:val="en-US" w:eastAsia="zh-CN"/>
        </w:rPr>
        <w:t xml:space="preserve">a </w:t>
      </w:r>
      <w:r>
        <w:rPr>
          <w:rFonts w:hint="eastAsia"/>
          <w:lang w:val="en-US" w:eastAsia="zh-CN"/>
        </w:rPr>
        <w:t xml:space="preserve">PEM electrolyzer is </w:t>
      </w:r>
      <w:r>
        <w:rPr>
          <w:lang w:val="en-US" w:eastAsia="zh-CN"/>
        </w:rPr>
        <w:t>more expensive</w:t>
      </w:r>
      <w:r>
        <w:rPr>
          <w:rFonts w:hint="eastAsia"/>
          <w:lang w:val="en-US" w:eastAsia="zh-CN"/>
        </w:rPr>
        <w:t>, the</w:t>
      </w:r>
      <w:r>
        <w:rPr>
          <w:rFonts w:hint="eastAsia"/>
        </w:rPr>
        <w:t xml:space="preserve"> current density rate</w:t>
      </w:r>
      <w:r>
        <w:rPr>
          <w:rFonts w:hint="eastAsia" w:eastAsia="宋体"/>
          <w:lang w:val="en-US" w:eastAsia="zh-CN"/>
        </w:rPr>
        <w:t xml:space="preserve"> is</w:t>
      </w:r>
      <w:r>
        <w:rPr>
          <w:rFonts w:hint="eastAsia"/>
        </w:rPr>
        <w:t xml:space="preserve"> higher and</w:t>
      </w:r>
      <w:r>
        <w:rPr>
          <w:rFonts w:hint="eastAsia" w:eastAsia="宋体"/>
          <w:lang w:val="en-US" w:eastAsia="zh-CN"/>
        </w:rPr>
        <w:t xml:space="preserve"> the</w:t>
      </w:r>
      <w:r>
        <w:rPr>
          <w:rFonts w:hint="eastAsia"/>
        </w:rPr>
        <w:t xml:space="preserve"> gas crossover rate</w:t>
      </w:r>
      <w:r>
        <w:rPr>
          <w:rFonts w:hint="eastAsia" w:eastAsia="宋体"/>
          <w:lang w:val="en-US" w:eastAsia="zh-CN"/>
        </w:rPr>
        <w:t xml:space="preserve"> is lower</w:t>
      </w:r>
      <w:r>
        <w:rPr>
          <w:rFonts w:hint="eastAsia"/>
        </w:rPr>
        <w:t xml:space="preserve">, leading </w:t>
      </w:r>
      <w:r>
        <w:rPr>
          <w:rFonts w:hint="eastAsia" w:eastAsia="宋体"/>
          <w:lang w:val="en-US" w:eastAsia="zh-CN"/>
        </w:rPr>
        <w:t xml:space="preserve">to </w:t>
      </w:r>
      <w:r>
        <w:rPr>
          <w:rFonts w:hint="eastAsia"/>
        </w:rPr>
        <w:t>higher sensitivity of response to input power.</w:t>
      </w:r>
      <w:r>
        <w:rPr>
          <w:rFonts w:hint="eastAsia" w:eastAsia="宋体"/>
          <w:lang w:val="en-US" w:eastAsia="zh-CN"/>
        </w:rPr>
        <w:t xml:space="preserve"> </w:t>
      </w:r>
      <w:r>
        <w:rPr>
          <w:rFonts w:hint="eastAsia"/>
        </w:rPr>
        <w:t>Besides, the</w:t>
      </w:r>
      <w:r>
        <w:rPr>
          <w:rFonts w:hint="eastAsia" w:eastAsia="宋体"/>
          <w:lang w:val="en-US" w:eastAsia="zh-CN"/>
        </w:rPr>
        <w:t xml:space="preserve"> operating range and capability</w:t>
      </w:r>
      <w:r>
        <w:rPr>
          <w:rFonts w:hint="eastAsia"/>
        </w:rPr>
        <w:t xml:space="preserve"> is wider than that of </w:t>
      </w:r>
      <w:r>
        <w:t>ALK</w:t>
      </w:r>
      <w:r>
        <w:rPr>
          <w:rFonts w:hint="eastAsia"/>
        </w:rPr>
        <w:t xml:space="preserve"> </w:t>
      </w:r>
      <w:r>
        <w:rPr>
          <w:rFonts w:hint="eastAsia"/>
          <w:lang w:val="en-US" w:eastAsia="zh-CN"/>
        </w:rPr>
        <w:t>ones</w:t>
      </w:r>
      <w:r>
        <w:rPr>
          <w:rFonts w:hint="eastAsia"/>
        </w:rPr>
        <w:t xml:space="preserve">, meaning </w:t>
      </w:r>
      <w:r>
        <w:rPr>
          <w:rFonts w:hint="eastAsia" w:eastAsia="宋体"/>
          <w:lang w:val="en-US" w:eastAsia="zh-CN"/>
        </w:rPr>
        <w:t>they</w:t>
      </w:r>
      <w:r>
        <w:rPr>
          <w:rFonts w:hint="eastAsia"/>
        </w:rPr>
        <w:t xml:space="preserve"> could make a fuller use of the electricity</w:t>
      </w:r>
      <w:r>
        <w:rPr>
          <w:rFonts w:hint="eastAsia"/>
          <w:lang w:val="en-US" w:eastAsia="zh-CN"/>
        </w:rPr>
        <w:t xml:space="preserve"> (</w:t>
      </w:r>
      <w:r>
        <w:rPr>
          <w:lang w:val="en-US"/>
        </w:rPr>
        <w:t>Mucci</w:t>
      </w:r>
      <w:r>
        <w:rPr>
          <w:rFonts w:hint="eastAsia"/>
          <w:lang w:val="en-US" w:eastAsia="zh-CN"/>
        </w:rPr>
        <w:t xml:space="preserve"> et al., 2023)</w:t>
      </w:r>
      <w:r>
        <w:rPr>
          <w:rFonts w:hint="eastAsia"/>
        </w:rPr>
        <w:t>.</w:t>
      </w:r>
    </w:p>
    <w:p>
      <w:pPr>
        <w:jc w:val="both"/>
      </w:pPr>
      <w:r>
        <w:rPr>
          <w:rFonts w:hint="eastAsia"/>
          <w:lang w:val="en-US" w:eastAsia="zh-CN"/>
        </w:rPr>
        <w:t>Recently, m</w:t>
      </w:r>
      <w:r>
        <w:rPr>
          <w:lang w:val="en-US" w:eastAsia="zh-CN"/>
        </w:rPr>
        <w:t xml:space="preserve">any </w:t>
      </w:r>
      <w:r>
        <w:rPr>
          <w:rFonts w:hint="eastAsia"/>
          <w:lang w:val="en-US" w:eastAsia="zh-CN"/>
        </w:rPr>
        <w:t>researcher</w:t>
      </w:r>
      <w:r>
        <w:rPr>
          <w:lang w:val="en-US" w:eastAsia="zh-CN"/>
        </w:rPr>
        <w:t xml:space="preserve">s have done many studies on </w:t>
      </w:r>
      <w:r>
        <w:rPr>
          <w:rFonts w:hint="eastAsia"/>
          <w:lang w:val="en-US" w:eastAsia="zh-CN"/>
        </w:rPr>
        <w:t>the</w:t>
      </w:r>
      <w:r>
        <w:rPr>
          <w:rFonts w:hint="eastAsia" w:eastAsia="宋体"/>
          <w:lang w:val="en-US" w:eastAsia="zh-CN"/>
        </w:rPr>
        <w:t xml:space="preserve"> </w:t>
      </w:r>
      <w:r>
        <w:rPr>
          <w:rFonts w:hint="eastAsia"/>
          <w:lang w:val="en-US" w:eastAsia="zh-CN"/>
        </w:rPr>
        <w:t>c</w:t>
      </w:r>
      <w:r>
        <w:rPr>
          <w:lang w:val="en-US" w:eastAsia="zh-CN"/>
        </w:rPr>
        <w:t>ombin</w:t>
      </w:r>
      <w:r>
        <w:rPr>
          <w:rFonts w:hint="eastAsia"/>
          <w:lang w:val="en-US" w:eastAsia="zh-CN"/>
        </w:rPr>
        <w:t>ation of</w:t>
      </w:r>
      <w:r>
        <w:rPr>
          <w:lang w:val="en-US" w:eastAsia="zh-CN"/>
        </w:rPr>
        <w:t xml:space="preserve"> biomass-</w:t>
      </w:r>
      <w:r>
        <w:rPr>
          <w:rFonts w:hint="eastAsia"/>
          <w:lang w:val="en-US" w:eastAsia="zh-CN"/>
        </w:rPr>
        <w:t>to-</w:t>
      </w:r>
      <w:r>
        <w:rPr>
          <w:lang w:val="en-US" w:eastAsia="zh-CN"/>
        </w:rPr>
        <w:t xml:space="preserve">methanol </w:t>
      </w:r>
      <w:r>
        <w:rPr>
          <w:rFonts w:hint="eastAsia"/>
          <w:lang w:val="en-US" w:eastAsia="zh-CN"/>
        </w:rPr>
        <w:t>and</w:t>
      </w:r>
      <w:r>
        <w:rPr>
          <w:lang w:val="en-US" w:eastAsia="zh-CN"/>
        </w:rPr>
        <w:t xml:space="preserve"> hydro</w:t>
      </w:r>
      <w:r>
        <w:rPr>
          <w:rFonts w:hint="eastAsia"/>
          <w:lang w:val="en-US" w:eastAsia="zh-CN"/>
        </w:rPr>
        <w:t>gen production</w:t>
      </w:r>
      <w:r>
        <w:rPr>
          <w:lang w:val="en-US" w:eastAsia="zh-CN"/>
        </w:rPr>
        <w:t xml:space="preserve"> </w:t>
      </w:r>
      <w:r>
        <w:rPr>
          <w:rFonts w:hint="eastAsia"/>
          <w:lang w:val="en-US" w:eastAsia="zh-CN"/>
        </w:rPr>
        <w:t>through</w:t>
      </w:r>
      <w:r>
        <w:rPr>
          <w:lang w:val="en-US" w:eastAsia="zh-CN"/>
        </w:rPr>
        <w:t xml:space="preserve"> </w:t>
      </w:r>
      <w:r>
        <w:rPr>
          <w:rFonts w:hint="eastAsia"/>
          <w:lang w:val="en-US" w:eastAsia="zh-CN"/>
        </w:rPr>
        <w:t>RESs</w:t>
      </w:r>
      <w:r>
        <w:rPr>
          <w:lang w:val="en-US" w:eastAsia="zh-CN"/>
        </w:rPr>
        <w:t xml:space="preserve"> generation. Herdem</w:t>
      </w:r>
      <w:r>
        <w:rPr>
          <w:rFonts w:hint="eastAsia"/>
          <w:lang w:val="en-US" w:eastAsia="zh-CN"/>
        </w:rPr>
        <w:t xml:space="preserve"> et al. (2020)</w:t>
      </w:r>
      <w:r>
        <w:rPr>
          <w:lang w:val="en-US" w:eastAsia="zh-CN"/>
        </w:rPr>
        <w:t xml:space="preserve"> </w:t>
      </w:r>
      <w:r>
        <w:rPr>
          <w:rFonts w:hint="eastAsia"/>
          <w:lang w:val="en-US" w:eastAsia="zh-CN"/>
        </w:rPr>
        <w:t xml:space="preserve">proposed </w:t>
      </w:r>
      <w:r>
        <w:rPr>
          <w:lang w:val="en-US" w:eastAsia="zh-CN"/>
        </w:rPr>
        <w:t>a novel non</w:t>
      </w:r>
      <w:r>
        <w:rPr>
          <w:rFonts w:hint="eastAsia"/>
          <w:lang w:val="en-US" w:eastAsia="zh-CN"/>
        </w:rPr>
        <w:t>-</w:t>
      </w:r>
      <w:r>
        <w:rPr>
          <w:lang w:val="en-US" w:eastAsia="zh-CN"/>
        </w:rPr>
        <w:t>combustion heat-carrier biomass gasifi</w:t>
      </w:r>
      <w:r>
        <w:rPr>
          <w:rFonts w:hint="eastAsia"/>
          <w:lang w:val="en-US" w:eastAsia="zh-CN"/>
        </w:rPr>
        <w:t>cation</w:t>
      </w:r>
      <w:r>
        <w:rPr>
          <w:lang w:val="en-US" w:eastAsia="zh-CN"/>
        </w:rPr>
        <w:t xml:space="preserve"> system, coupled with a solar power plant and</w:t>
      </w:r>
      <w:r>
        <w:rPr>
          <w:rFonts w:hint="eastAsia"/>
          <w:lang w:val="en-US" w:eastAsia="zh-CN"/>
        </w:rPr>
        <w:t xml:space="preserve"> ALK</w:t>
      </w:r>
      <w:r>
        <w:rPr>
          <w:lang w:val="en-US" w:eastAsia="zh-CN"/>
        </w:rPr>
        <w:t xml:space="preserve"> water electrolysis system for </w:t>
      </w:r>
      <w:r>
        <w:rPr>
          <w:rFonts w:hint="eastAsia"/>
          <w:lang w:val="en-US" w:eastAsia="zh-CN"/>
        </w:rPr>
        <w:t>MeOH</w:t>
      </w:r>
      <w:r>
        <w:rPr>
          <w:lang w:val="en-US" w:eastAsia="zh-CN"/>
        </w:rPr>
        <w:t xml:space="preserve"> production.</w:t>
      </w:r>
      <w:r>
        <w:rPr>
          <w:rFonts w:hint="eastAsia"/>
          <w:lang w:val="en-US" w:eastAsia="zh-CN"/>
        </w:rPr>
        <w:t xml:space="preserve"> </w:t>
      </w:r>
      <w:r>
        <w:rPr>
          <w:lang w:val="en-US" w:eastAsia="zh-CN"/>
        </w:rPr>
        <w:t>Fournas</w:t>
      </w:r>
      <w:r>
        <w:rPr>
          <w:rFonts w:hint="eastAsia"/>
          <w:lang w:val="en-US" w:eastAsia="zh-CN"/>
        </w:rPr>
        <w:t xml:space="preserve"> and </w:t>
      </w:r>
      <w:r>
        <w:rPr>
          <w:lang w:val="en-US" w:eastAsia="zh-CN"/>
        </w:rPr>
        <w:t>Wei</w:t>
      </w:r>
      <w:r>
        <w:rPr>
          <w:rFonts w:hint="eastAsia"/>
          <w:lang w:val="en-US" w:eastAsia="zh-CN"/>
        </w:rPr>
        <w:t xml:space="preserve"> (2022) </w:t>
      </w:r>
      <w:r>
        <w:rPr>
          <w:lang w:val="en-US" w:eastAsia="zh-CN"/>
        </w:rPr>
        <w:t xml:space="preserve">demonstrated the economic viability of a </w:t>
      </w:r>
      <w:r>
        <w:rPr>
          <w:rFonts w:hint="eastAsia"/>
          <w:lang w:val="en-US" w:eastAsia="zh-CN"/>
        </w:rPr>
        <w:t>MeOH</w:t>
      </w:r>
      <w:r>
        <w:rPr>
          <w:lang w:val="en-US" w:eastAsia="zh-CN"/>
        </w:rPr>
        <w:t xml:space="preserve"> production technology combin</w:t>
      </w:r>
      <w:r>
        <w:rPr>
          <w:rFonts w:hint="eastAsia"/>
          <w:lang w:val="en-US" w:eastAsia="zh-CN"/>
        </w:rPr>
        <w:t>ing</w:t>
      </w:r>
      <w:r>
        <w:rPr>
          <w:lang w:val="en-US" w:eastAsia="zh-CN"/>
        </w:rPr>
        <w:t xml:space="preserve"> biomass gasification and PEM electrolysis for decarbonization</w:t>
      </w:r>
      <w:r>
        <w:rPr>
          <w:rFonts w:hint="eastAsia"/>
          <w:lang w:val="en-US" w:eastAsia="zh-CN"/>
        </w:rPr>
        <w:t xml:space="preserve">. </w:t>
      </w:r>
      <w:r>
        <w:rPr>
          <w:lang w:val="en-US" w:eastAsia="zh-CN"/>
        </w:rPr>
        <w:t xml:space="preserve">However, these studies only used one </w:t>
      </w:r>
      <w:r>
        <w:rPr>
          <w:rFonts w:hint="eastAsia"/>
          <w:lang w:val="en-US" w:eastAsia="zh-CN"/>
        </w:rPr>
        <w:t xml:space="preserve">kind of </w:t>
      </w:r>
      <w:r>
        <w:rPr>
          <w:lang w:val="en-US" w:eastAsia="zh-CN"/>
        </w:rPr>
        <w:t>electroly</w:t>
      </w:r>
      <w:r>
        <w:rPr>
          <w:rFonts w:hint="eastAsia"/>
          <w:lang w:val="en-US" w:eastAsia="zh-CN"/>
        </w:rPr>
        <w:t>zer</w:t>
      </w:r>
      <w:r>
        <w:rPr>
          <w:lang w:val="en-US" w:eastAsia="zh-CN"/>
        </w:rPr>
        <w:t>.</w:t>
      </w:r>
      <w:r>
        <w:rPr>
          <w:rFonts w:hint="eastAsia"/>
          <w:lang w:val="en-US" w:eastAsia="zh-CN"/>
        </w:rPr>
        <w:t xml:space="preserve"> </w:t>
      </w:r>
      <w:r>
        <w:rPr>
          <w:rFonts w:hint="eastAsia"/>
        </w:rPr>
        <w:t xml:space="preserve">In this paper, a method is proposed for designing an optimal </w:t>
      </w:r>
      <w:r>
        <w:rPr>
          <w:rFonts w:hint="eastAsia" w:eastAsia="宋体"/>
          <w:lang w:val="en-US" w:eastAsia="zh-CN"/>
        </w:rPr>
        <w:t>water electrolysis and MeOH</w:t>
      </w:r>
      <w:r>
        <w:rPr>
          <w:rFonts w:hint="eastAsia"/>
        </w:rPr>
        <w:t xml:space="preserve"> production system. </w:t>
      </w:r>
      <w:r>
        <w:t>A HPS</w:t>
      </w:r>
      <w:r>
        <w:rPr>
          <w:rFonts w:hint="eastAsia"/>
        </w:rPr>
        <w:t xml:space="preserve"> coupling </w:t>
      </w:r>
      <w:r>
        <w:rPr>
          <w:rFonts w:hint="eastAsia" w:eastAsia="宋体"/>
          <w:lang w:val="en-US" w:eastAsia="zh-CN"/>
        </w:rPr>
        <w:t>ALK</w:t>
      </w:r>
      <w:r>
        <w:rPr>
          <w:rFonts w:hint="eastAsia"/>
        </w:rPr>
        <w:t xml:space="preserve"> and </w:t>
      </w:r>
      <w:r>
        <w:rPr>
          <w:rFonts w:hint="eastAsia" w:eastAsia="宋体"/>
          <w:lang w:val="en-US" w:eastAsia="zh-CN"/>
        </w:rPr>
        <w:t>PEM</w:t>
      </w:r>
      <w:r>
        <w:rPr>
          <w:rFonts w:hint="eastAsia"/>
        </w:rPr>
        <w:t xml:space="preserve"> electrolyzers can be developed according to the hourly solar and wind power generation capacity, equipped with the corresponding hydrogen storage and energy storage modules. </w:t>
      </w:r>
      <w:r>
        <w:rPr>
          <w:rFonts w:hint="eastAsia" w:eastAsia="宋体"/>
          <w:lang w:val="en-US" w:eastAsia="zh-CN"/>
        </w:rPr>
        <w:t xml:space="preserve">The model shows the differences between the two electrolyzers from multiple parameters. </w:t>
      </w:r>
      <w:r>
        <w:rPr>
          <w:rFonts w:hint="eastAsia"/>
          <w:lang w:val="en-US" w:eastAsia="zh-CN"/>
        </w:rPr>
        <w:t>The operation</w:t>
      </w:r>
      <w:r>
        <w:rPr>
          <w:rFonts w:hint="eastAsia"/>
        </w:rPr>
        <w:t xml:space="preserve"> state</w:t>
      </w:r>
      <w:r>
        <w:rPr>
          <w:rFonts w:hint="eastAsia" w:eastAsia="宋体"/>
          <w:lang w:val="en-US" w:eastAsia="zh-CN"/>
        </w:rPr>
        <w:t xml:space="preserve"> </w:t>
      </w:r>
      <w:r>
        <w:rPr>
          <w:rFonts w:eastAsia="宋体"/>
          <w:lang w:val="en-US" w:eastAsia="zh-CN"/>
        </w:rPr>
        <w:t>is</w:t>
      </w:r>
      <w:r>
        <w:rPr>
          <w:rFonts w:hint="eastAsia"/>
        </w:rPr>
        <w:t xml:space="preserve"> </w:t>
      </w:r>
      <w:r>
        <w:rPr>
          <w:rFonts w:hint="eastAsia" w:eastAsia="宋体"/>
          <w:lang w:val="en-US" w:eastAsia="zh-CN"/>
        </w:rPr>
        <w:t xml:space="preserve">also </w:t>
      </w:r>
      <w:r>
        <w:rPr>
          <w:rFonts w:hint="eastAsia"/>
        </w:rPr>
        <w:t>considered.</w:t>
      </w:r>
      <w:r>
        <w:rPr>
          <w:rFonts w:hint="eastAsia" w:eastAsia="宋体"/>
          <w:lang w:val="en-US" w:eastAsia="zh-CN"/>
        </w:rPr>
        <w:t xml:space="preserve"> </w:t>
      </w:r>
      <w:r>
        <w:rPr>
          <w:rFonts w:hint="eastAsia"/>
        </w:rPr>
        <w:t>The hydrogen produced by this system is used for biomass-to-methanol production</w:t>
      </w:r>
      <w:r>
        <w:t>.</w:t>
      </w:r>
      <w:r>
        <w:rPr>
          <w:rFonts w:hint="eastAsia"/>
        </w:rPr>
        <w:t xml:space="preserve"> </w:t>
      </w:r>
    </w:p>
    <w:p>
      <w:pPr>
        <w:pStyle w:val="19"/>
      </w:pPr>
      <w:r>
        <w:rPr>
          <w:rFonts w:hint="eastAsia" w:eastAsia="宋体"/>
          <w:lang w:eastAsia="zh-CN"/>
        </w:rPr>
        <w:t>Mathematical model</w:t>
      </w:r>
    </w:p>
    <w:p>
      <w:pPr>
        <w:pStyle w:val="21"/>
      </w:pPr>
      <w:r>
        <w:rPr>
          <w:rFonts w:hint="eastAsia"/>
        </w:rPr>
        <w:t>System structure</w:t>
      </w:r>
    </w:p>
    <w:p>
      <w:pPr>
        <w:pStyle w:val="20"/>
        <w:rPr>
          <w:rFonts w:eastAsia="宋体"/>
          <w:lang w:eastAsia="zh-CN"/>
        </w:rPr>
      </w:pPr>
      <w:r>
        <w:rPr>
          <w:rFonts w:hint="eastAsia"/>
        </w:rPr>
        <w:t xml:space="preserve">In this paper, the </w:t>
      </w:r>
      <w:r>
        <w:t>whole</w:t>
      </w:r>
      <w:r>
        <w:rPr>
          <w:rFonts w:hint="eastAsia"/>
        </w:rPr>
        <w:t xml:space="preserve"> system consists of several components: a wind power generation system (WS), a PV power generation system (PVS), a power grid (PG), an energy storage system (ESS), a hydrogen storage system (HSS), a hydrogen production system (HPS) with two types of electrolyzers, a biomass gasification and purification system (BGPS), and a methanol production system (MPS). The electrolyzers operate in groups, and the operating loads of electrolyzers within the same group are set to be consistent. The overall system structure is depicted in Figure 1.</w:t>
      </w:r>
      <w:r>
        <w:rPr>
          <w:rFonts w:hint="eastAsia" w:eastAsia="宋体"/>
          <w:lang w:eastAsia="zh-CN"/>
        </w:rPr>
        <w:t xml:space="preserve"> </w:t>
      </w:r>
    </w:p>
    <w:p>
      <w:pPr>
        <w:pStyle w:val="20"/>
        <w:rPr>
          <w:rFonts w:eastAsia="宋体"/>
          <w:lang w:eastAsia="zh-CN"/>
        </w:rPr>
      </w:pPr>
      <w:r>
        <w:rPr>
          <w:rFonts w:hint="eastAsia"/>
        </w:rPr>
        <w:t>The electricity power could be obtained from WS</w:t>
      </w:r>
      <w:r>
        <w:rPr>
          <w:rFonts w:hint="eastAsia" w:eastAsia="宋体"/>
          <w:lang w:eastAsia="zh-CN"/>
        </w:rPr>
        <w:t>,</w:t>
      </w:r>
      <w:r>
        <w:rPr>
          <w:rFonts w:hint="eastAsia"/>
        </w:rPr>
        <w:t xml:space="preserve"> PVS and PG. Part of the electricity is able to be stored in the ESS while the electricity price is lower or the renewable energy resources are abundant.</w:t>
      </w:r>
      <w:r>
        <w:rPr>
          <w:rFonts w:hint="eastAsia" w:eastAsia="宋体"/>
          <w:lang w:eastAsia="zh-CN"/>
        </w:rPr>
        <w:t xml:space="preserve"> S</w:t>
      </w:r>
      <w:r>
        <w:rPr>
          <w:rFonts w:hint="eastAsia"/>
        </w:rPr>
        <w:t>imilar</w:t>
      </w:r>
      <w:r>
        <w:rPr>
          <w:rFonts w:hint="eastAsia" w:eastAsia="宋体"/>
          <w:lang w:eastAsia="zh-CN"/>
        </w:rPr>
        <w:t xml:space="preserve">ly, </w:t>
      </w:r>
      <w:r>
        <w:rPr>
          <w:rFonts w:hint="eastAsia"/>
        </w:rPr>
        <w:t>HSS</w:t>
      </w:r>
      <w:r>
        <w:rPr>
          <w:rFonts w:hint="eastAsia" w:eastAsia="宋体"/>
          <w:lang w:eastAsia="zh-CN"/>
        </w:rPr>
        <w:t xml:space="preserve"> is applied </w:t>
      </w:r>
      <w:r>
        <w:rPr>
          <w:rFonts w:hint="eastAsia"/>
        </w:rPr>
        <w:t xml:space="preserve">to ensure the stability of </w:t>
      </w:r>
      <w:r>
        <w:rPr>
          <w:rFonts w:hint="eastAsia" w:eastAsia="宋体"/>
          <w:lang w:eastAsia="zh-CN"/>
        </w:rPr>
        <w:t>MPS</w:t>
      </w:r>
      <w:r>
        <w:rPr>
          <w:rFonts w:hint="eastAsia"/>
        </w:rPr>
        <w:t>.</w:t>
      </w:r>
      <w:r>
        <w:rPr>
          <w:rFonts w:hint="eastAsia" w:eastAsia="宋体"/>
          <w:lang w:eastAsia="zh-CN"/>
        </w:rPr>
        <w:t xml:space="preserve"> </w:t>
      </w:r>
    </w:p>
    <w:p>
      <w:pPr>
        <w:pStyle w:val="21"/>
      </w:pPr>
      <w:r>
        <w:rPr>
          <w:rFonts w:hint="eastAsia" w:eastAsia="宋体"/>
          <w:lang w:eastAsia="zh-CN"/>
        </w:rPr>
        <w:t>Biomass-to-methanol processing</w:t>
      </w:r>
    </w:p>
    <w:p>
      <w:pPr>
        <w:pStyle w:val="20"/>
        <w:rPr>
          <w:lang w:val="en-GB"/>
        </w:rPr>
      </w:pPr>
      <w:r>
        <w:rPr>
          <w:rFonts w:hint="eastAsia" w:eastAsia="宋体"/>
          <w:lang w:eastAsia="zh-CN"/>
        </w:rPr>
        <w:t>Through</w:t>
      </w:r>
      <w:r>
        <w:rPr>
          <w:rFonts w:hint="eastAsia"/>
        </w:rPr>
        <w:t xml:space="preserve"> treatment</w:t>
      </w:r>
      <w:r>
        <w:rPr>
          <w:rFonts w:hint="eastAsia" w:eastAsia="宋体"/>
          <w:lang w:eastAsia="zh-CN"/>
        </w:rPr>
        <w:t>,</w:t>
      </w:r>
      <w:r>
        <w:rPr>
          <w:rFonts w:hint="eastAsia"/>
        </w:rPr>
        <w:t xml:space="preserve"> gasification </w:t>
      </w:r>
      <w:r>
        <w:rPr>
          <w:rFonts w:hint="eastAsia" w:eastAsia="宋体"/>
          <w:lang w:eastAsia="zh-CN"/>
        </w:rPr>
        <w:t xml:space="preserve">and desulfurization </w:t>
      </w:r>
      <w:r>
        <w:rPr>
          <w:rFonts w:hint="eastAsia"/>
        </w:rPr>
        <w:t>of 1</w:t>
      </w:r>
      <w:r>
        <w:rPr>
          <w:rFonts w:hint="eastAsia" w:eastAsia="宋体"/>
          <w:lang w:eastAsia="zh-CN"/>
        </w:rPr>
        <w:t xml:space="preserve"> </w:t>
      </w:r>
      <w:r>
        <w:rPr>
          <w:rFonts w:hint="eastAsia"/>
        </w:rPr>
        <w:t>t biomass</w:t>
      </w:r>
      <w:r>
        <w:rPr>
          <w:rFonts w:hint="eastAsia" w:eastAsia="宋体"/>
          <w:lang w:eastAsia="zh-CN"/>
        </w:rPr>
        <w:t>,</w:t>
      </w:r>
      <w:r>
        <w:rPr>
          <w:rFonts w:hint="eastAsia"/>
        </w:rPr>
        <w:t xml:space="preserve"> 1,020 Nm</w:t>
      </w:r>
      <w:r>
        <w:rPr>
          <w:rFonts w:hint="eastAsia"/>
          <w:vertAlign w:val="superscript"/>
        </w:rPr>
        <w:t>3</w:t>
      </w:r>
      <w:r>
        <w:rPr>
          <w:rFonts w:hint="eastAsia"/>
        </w:rPr>
        <w:t xml:space="preserve"> dry gas</w:t>
      </w:r>
      <w:r>
        <w:rPr>
          <w:rFonts w:hint="eastAsia" w:eastAsia="宋体"/>
          <w:lang w:eastAsia="zh-CN"/>
        </w:rPr>
        <w:t xml:space="preserve"> could be generated. The volume percentages of CO, CO</w:t>
      </w:r>
      <w:r>
        <w:rPr>
          <w:rFonts w:hint="eastAsia" w:eastAsia="宋体"/>
          <w:vertAlign w:val="subscript"/>
          <w:lang w:eastAsia="zh-CN"/>
        </w:rPr>
        <w:t>2</w:t>
      </w:r>
      <w:r>
        <w:rPr>
          <w:rFonts w:hint="eastAsia" w:eastAsia="宋体"/>
          <w:lang w:eastAsia="zh-CN"/>
        </w:rPr>
        <w:t>, H</w:t>
      </w:r>
      <w:r>
        <w:rPr>
          <w:rFonts w:hint="eastAsia" w:eastAsia="宋体"/>
          <w:vertAlign w:val="subscript"/>
          <w:lang w:eastAsia="zh-CN"/>
        </w:rPr>
        <w:t>2</w:t>
      </w:r>
      <w:r>
        <w:rPr>
          <w:rFonts w:hint="eastAsia" w:eastAsia="宋体"/>
          <w:lang w:eastAsia="zh-CN"/>
        </w:rPr>
        <w:t xml:space="preserve"> and CH</w:t>
      </w:r>
      <w:r>
        <w:rPr>
          <w:rFonts w:hint="eastAsia" w:eastAsia="宋体"/>
          <w:vertAlign w:val="subscript"/>
          <w:lang w:eastAsia="zh-CN"/>
        </w:rPr>
        <w:t>4</w:t>
      </w:r>
      <w:r>
        <w:rPr>
          <w:rFonts w:hint="eastAsia" w:eastAsia="宋体"/>
          <w:lang w:eastAsia="zh-CN"/>
        </w:rPr>
        <w:t xml:space="preserve"> are 30.22%, 32.69%, 26.93% and 9.8%. CH</w:t>
      </w:r>
      <w:r>
        <w:rPr>
          <w:rFonts w:hint="eastAsia" w:eastAsia="宋体"/>
          <w:vertAlign w:val="subscript"/>
          <w:lang w:eastAsia="zh-CN"/>
        </w:rPr>
        <w:t>4</w:t>
      </w:r>
      <w:r>
        <w:rPr>
          <w:rFonts w:hint="eastAsia" w:eastAsia="宋体"/>
          <w:lang w:eastAsia="zh-CN"/>
        </w:rPr>
        <w:t xml:space="preserve"> is transported to Partial Oxidation (POX) processing. </w:t>
      </w:r>
      <w:r>
        <w:rPr>
          <w:rFonts w:eastAsia="宋体"/>
          <w:lang w:eastAsia="zh-CN"/>
        </w:rPr>
        <w:t>H</w:t>
      </w:r>
      <w:r>
        <w:rPr>
          <w:rFonts w:hint="eastAsia" w:eastAsia="宋体"/>
          <w:lang w:eastAsia="zh-CN"/>
        </w:rPr>
        <w:t>alf of the CH</w:t>
      </w:r>
      <w:r>
        <w:rPr>
          <w:rFonts w:hint="eastAsia" w:eastAsia="宋体"/>
          <w:vertAlign w:val="subscript"/>
          <w:lang w:eastAsia="zh-CN"/>
        </w:rPr>
        <w:t>4</w:t>
      </w:r>
      <w:r>
        <w:rPr>
          <w:rFonts w:hint="eastAsia" w:eastAsia="宋体"/>
          <w:lang w:eastAsia="zh-CN"/>
        </w:rPr>
        <w:t xml:space="preserve"> is burned and the other half produces CO and H</w:t>
      </w:r>
      <w:r>
        <w:rPr>
          <w:rFonts w:hint="eastAsia" w:eastAsia="宋体"/>
          <w:vertAlign w:val="subscript"/>
          <w:lang w:eastAsia="zh-CN"/>
        </w:rPr>
        <w:t>2</w:t>
      </w:r>
      <w:r>
        <w:rPr>
          <w:rFonts w:hint="eastAsia" w:eastAsia="宋体"/>
          <w:lang w:eastAsia="zh-CN"/>
        </w:rPr>
        <w:t xml:space="preserve"> </w:t>
      </w:r>
      <w:r>
        <w:rPr>
          <w:lang w:val="en-GB"/>
        </w:rPr>
        <w:t>(</w:t>
      </w:r>
      <w:r>
        <w:rPr>
          <w:rFonts w:hint="eastAsia" w:eastAsia="宋体"/>
          <w:lang w:eastAsia="zh-CN"/>
        </w:rPr>
        <w:t>Ugwu et al.</w:t>
      </w:r>
      <w:r>
        <w:rPr>
          <w:lang w:val="en-GB"/>
        </w:rPr>
        <w:t xml:space="preserve">, </w:t>
      </w:r>
      <w:r>
        <w:rPr>
          <w:rFonts w:hint="eastAsia" w:eastAsia="宋体"/>
          <w:lang w:eastAsia="zh-CN"/>
        </w:rPr>
        <w:t>2020</w:t>
      </w:r>
      <w:r>
        <w:rPr>
          <w:lang w:val="en-GB"/>
        </w:rPr>
        <w:t>).</w:t>
      </w:r>
    </w:p>
    <w:p>
      <w:pPr>
        <w:pStyle w:val="20"/>
        <w:rPr>
          <w:lang w:val="en-GB"/>
        </w:rPr>
      </w:pPr>
      <w:r>
        <w:rPr>
          <w:rFonts w:hint="eastAsia"/>
          <w:lang w:eastAsia="zh-CN"/>
        </w:rPr>
        <w:t xml:space="preserve">For treated </w:t>
      </w:r>
      <w:r>
        <w:rPr>
          <w:lang w:eastAsia="zh-CN"/>
        </w:rPr>
        <w:t>gas transported</w:t>
      </w:r>
      <w:r>
        <w:rPr>
          <w:rFonts w:hint="eastAsia"/>
          <w:lang w:eastAsia="zh-CN"/>
        </w:rPr>
        <w:t xml:space="preserve"> back</w:t>
      </w:r>
      <w:r>
        <w:rPr>
          <w:lang w:eastAsia="zh-CN"/>
        </w:rPr>
        <w:t xml:space="preserve"> for </w:t>
      </w:r>
      <w:r>
        <w:rPr>
          <w:rFonts w:hint="eastAsia"/>
          <w:lang w:eastAsia="zh-CN"/>
        </w:rPr>
        <w:t>MeOH</w:t>
      </w:r>
      <w:r>
        <w:rPr>
          <w:lang w:eastAsia="zh-CN"/>
        </w:rPr>
        <w:t xml:space="preserve"> production</w:t>
      </w:r>
      <w:r>
        <w:rPr>
          <w:rFonts w:hint="eastAsia"/>
          <w:lang w:eastAsia="zh-CN"/>
        </w:rPr>
        <w:t xml:space="preserve">, </w:t>
      </w:r>
      <w:r>
        <w:rPr>
          <w:rFonts w:hint="eastAsia" w:eastAsia="宋体"/>
          <w:lang w:eastAsia="zh-CN"/>
        </w:rPr>
        <w:t>the volume percentages of CO, CO</w:t>
      </w:r>
      <w:r>
        <w:rPr>
          <w:rFonts w:hint="eastAsia" w:eastAsia="宋体"/>
          <w:vertAlign w:val="subscript"/>
          <w:lang w:eastAsia="zh-CN"/>
        </w:rPr>
        <w:t>2</w:t>
      </w:r>
      <w:r>
        <w:rPr>
          <w:rFonts w:hint="eastAsia" w:eastAsia="宋体"/>
          <w:lang w:eastAsia="zh-CN"/>
        </w:rPr>
        <w:t xml:space="preserve"> and H</w:t>
      </w:r>
      <w:r>
        <w:rPr>
          <w:rFonts w:hint="eastAsia" w:eastAsia="宋体"/>
          <w:vertAlign w:val="subscript"/>
          <w:lang w:eastAsia="zh-CN"/>
        </w:rPr>
        <w:t>2</w:t>
      </w:r>
      <w:r>
        <w:rPr>
          <w:rFonts w:hint="eastAsia" w:eastAsia="宋体"/>
          <w:lang w:eastAsia="zh-CN"/>
        </w:rPr>
        <w:t xml:space="preserve"> (</w:t>
      </w:r>
      <w:r>
        <w:rPr>
          <w:position w:val="-10"/>
          <w:lang w:val="en-GB"/>
        </w:rPr>
        <w:object>
          <v:shape id="_x0000_i1025" o:spt="75" type="#_x0000_t75" style="height:15pt;width:1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eastAsia="宋体"/>
          <w:lang w:eastAsia="zh-CN"/>
        </w:rPr>
        <w:t xml:space="preserve">, </w:t>
      </w:r>
      <w:r>
        <w:rPr>
          <w:position w:val="-12"/>
          <w:lang w:val="en-GB"/>
        </w:rPr>
        <w:object>
          <v:shape id="_x0000_i1026" o:spt="75" type="#_x0000_t75" style="height:16pt;width:19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eastAsia"/>
          <w:lang w:eastAsia="zh-CN"/>
        </w:rPr>
        <w:t xml:space="preserve"> and </w:t>
      </w:r>
      <w:r>
        <w:rPr>
          <w:position w:val="-14"/>
          <w:lang w:val="en-GB"/>
        </w:rPr>
        <w:object>
          <v:shape id="_x0000_i1027" o:spt="75" type="#_x0000_t75" style="height:17pt;width:1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eastAsia="宋体"/>
          <w:lang w:eastAsia="zh-CN"/>
        </w:rPr>
        <w:t xml:space="preserve">) are </w:t>
      </w:r>
      <w:r>
        <w:rPr>
          <w:lang w:eastAsia="zh-CN"/>
        </w:rPr>
        <w:t xml:space="preserve">33.48%, 31.16% and 35.01%. </w:t>
      </w:r>
      <w:r>
        <w:rPr>
          <w:rFonts w:hint="eastAsia"/>
          <w:lang w:eastAsia="zh-CN"/>
        </w:rPr>
        <w:t>750 Nm</w:t>
      </w:r>
      <w:r>
        <w:rPr>
          <w:rFonts w:hint="eastAsia"/>
          <w:vertAlign w:val="superscript"/>
          <w:lang w:eastAsia="zh-CN"/>
        </w:rPr>
        <w:t>3</w:t>
      </w:r>
      <w:r>
        <w:rPr>
          <w:rFonts w:hint="eastAsia"/>
          <w:lang w:eastAsia="zh-CN"/>
        </w:rPr>
        <w:t xml:space="preserve"> CO or CO</w:t>
      </w:r>
      <w:r>
        <w:rPr>
          <w:rFonts w:hint="eastAsia"/>
          <w:vertAlign w:val="subscript"/>
          <w:lang w:eastAsia="zh-CN"/>
        </w:rPr>
        <w:t>2</w:t>
      </w:r>
      <w:r>
        <w:rPr>
          <w:rFonts w:hint="eastAsia"/>
          <w:lang w:eastAsia="zh-CN"/>
        </w:rPr>
        <w:t xml:space="preserve"> can be used to produce 1 t MeOH. And 2,100 Nm</w:t>
      </w:r>
      <w:r>
        <w:rPr>
          <w:rFonts w:hint="eastAsia"/>
          <w:vertAlign w:val="superscript"/>
          <w:lang w:eastAsia="zh-CN"/>
        </w:rPr>
        <w:t>3</w:t>
      </w:r>
      <w:r>
        <w:rPr>
          <w:rFonts w:hint="eastAsia"/>
          <w:lang w:eastAsia="zh-CN"/>
        </w:rPr>
        <w:t xml:space="preserve"> hydrogen is required to produce 1 t MeOH from pure CO</w:t>
      </w:r>
      <w:r>
        <w:rPr>
          <w:rFonts w:hint="eastAsia"/>
          <w:vertAlign w:val="subscript"/>
          <w:lang w:eastAsia="zh-CN"/>
        </w:rPr>
        <w:t>2</w:t>
      </w:r>
      <w:r>
        <w:rPr>
          <w:rFonts w:hint="eastAsia"/>
          <w:lang w:eastAsia="zh-CN"/>
        </w:rPr>
        <w:t xml:space="preserve"> and 1,400 Nm</w:t>
      </w:r>
      <w:r>
        <w:rPr>
          <w:rFonts w:hint="eastAsia"/>
          <w:vertAlign w:val="superscript"/>
          <w:lang w:eastAsia="zh-CN"/>
        </w:rPr>
        <w:t>3</w:t>
      </w:r>
      <w:r>
        <w:rPr>
          <w:rFonts w:hint="eastAsia"/>
          <w:lang w:eastAsia="zh-CN"/>
        </w:rPr>
        <w:t xml:space="preserve"> is required for pure CO. To ensure sufficient hydrogen supply, 105% of the above data is taken as the calculated value. The relationship between MeOH production and hydrogen supply is as follows: </w:t>
      </w:r>
    </w:p>
    <w:tbl>
      <w:tblPr>
        <w:tblStyle w:val="11"/>
        <w:tblW w:w="0" w:type="auto"/>
        <w:tblInd w:w="0" w:type="dxa"/>
        <w:tblLayout w:type="autofit"/>
        <w:tblCellMar>
          <w:top w:w="0" w:type="dxa"/>
          <w:left w:w="108" w:type="dxa"/>
          <w:bottom w:w="0" w:type="dxa"/>
          <w:right w:w="108" w:type="dxa"/>
        </w:tblCellMar>
      </w:tblPr>
      <w:tblGrid>
        <w:gridCol w:w="6317"/>
        <w:gridCol w:w="985"/>
      </w:tblGrid>
      <w:tr>
        <w:tblPrEx>
          <w:tblCellMar>
            <w:top w:w="0" w:type="dxa"/>
            <w:left w:w="108" w:type="dxa"/>
            <w:bottom w:w="0" w:type="dxa"/>
            <w:right w:w="108" w:type="dxa"/>
          </w:tblCellMar>
        </w:tblPrEx>
        <w:tc>
          <w:tcPr>
            <w:tcW w:w="6317" w:type="dxa"/>
            <w:shd w:val="clear" w:color="auto" w:fill="auto"/>
            <w:vAlign w:val="center"/>
          </w:tcPr>
          <w:p>
            <w:pPr>
              <w:pStyle w:val="27"/>
            </w:pPr>
            <w:r>
              <w:rPr>
                <w:position w:val="-28"/>
              </w:rPr>
              <w:object>
                <v:shape id="_x0000_i1028" o:spt="75" type="#_x0000_t75" style="height:32pt;width:29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tc>
        <w:tc>
          <w:tcPr>
            <w:tcW w:w="985" w:type="dxa"/>
            <w:shd w:val="clear" w:color="auto" w:fill="auto"/>
            <w:vAlign w:val="center"/>
          </w:tcPr>
          <w:p>
            <w:pPr>
              <w:pStyle w:val="20"/>
              <w:spacing w:before="120" w:after="120" w:line="264" w:lineRule="auto"/>
              <w:jc w:val="right"/>
              <w:rPr>
                <w:lang w:val="en-GB"/>
              </w:rPr>
            </w:pPr>
            <w:r>
              <w:rPr>
                <w:lang w:val="en-GB"/>
              </w:rPr>
              <w:t>(</w:t>
            </w:r>
            <w:r>
              <w:rPr>
                <w:rFonts w:eastAsia="宋体"/>
                <w:lang w:eastAsia="zh-CN"/>
              </w:rPr>
              <w:t>1</w:t>
            </w:r>
            <w:r>
              <w:rPr>
                <w:lang w:val="en-GB"/>
              </w:rPr>
              <w:t>)</w:t>
            </w:r>
          </w:p>
        </w:tc>
      </w:tr>
    </w:tbl>
    <w:p>
      <w:pPr>
        <w:pStyle w:val="20"/>
        <w:rPr>
          <w:rFonts w:eastAsia="宋体"/>
          <w:lang w:eastAsia="zh-CN"/>
        </w:rPr>
      </w:pPr>
      <w:r>
        <w:rPr>
          <w:rFonts w:hint="eastAsia"/>
          <w:lang w:eastAsia="zh-CN"/>
        </w:rPr>
        <w:t xml:space="preserve">where, </w:t>
      </w:r>
      <w:r>
        <w:rPr>
          <w:position w:val="-10"/>
        </w:rPr>
        <w:object>
          <v:shape id="_x0000_i1029" o:spt="75" type="#_x0000_t75" style="height:16pt;width:17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lang w:eastAsia="zh-CN"/>
        </w:rPr>
        <w:t xml:space="preserve">is the volume of hydrogen supplied by HPS and HSS at time </w:t>
      </w:r>
      <w:r>
        <w:rPr>
          <w:position w:val="-6"/>
          <w:lang w:val="en-GB"/>
        </w:rPr>
        <w:object>
          <v:shape id="_x0000_i1030" o:spt="75" type="#_x0000_t75" style="height:11pt;width:7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hint="eastAsia"/>
          <w:lang w:eastAsia="zh-CN"/>
        </w:rPr>
        <w:t xml:space="preserve"> (</w:t>
      </w:r>
      <w:r>
        <w:rPr>
          <w:rFonts w:hint="eastAsia"/>
        </w:rPr>
        <w:t>Nm</w:t>
      </w:r>
      <w:r>
        <w:rPr>
          <w:rFonts w:hint="eastAsia"/>
          <w:vertAlign w:val="superscript"/>
        </w:rPr>
        <w:t>3</w:t>
      </w:r>
      <w:r>
        <w:rPr>
          <w:rFonts w:hint="eastAsia"/>
          <w:lang w:eastAsia="zh-CN"/>
        </w:rPr>
        <w:t xml:space="preserve">); </w:t>
      </w:r>
      <w:r>
        <w:rPr>
          <w:position w:val="-10"/>
        </w:rPr>
        <w:object>
          <v:shape id="_x0000_i1031" o:spt="75" type="#_x0000_t75" style="height:15pt;width:19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lang w:eastAsia="zh-CN"/>
        </w:rPr>
        <w:t xml:space="preserve">is the volume of treated </w:t>
      </w:r>
      <w:r>
        <w:rPr>
          <w:lang w:eastAsia="zh-CN"/>
        </w:rPr>
        <w:t>gas used for</w:t>
      </w:r>
      <w:r>
        <w:rPr>
          <w:rFonts w:hint="eastAsia"/>
          <w:lang w:eastAsia="zh-CN"/>
        </w:rPr>
        <w:t xml:space="preserve"> MeOH </w:t>
      </w:r>
      <w:r>
        <w:rPr>
          <w:lang w:eastAsia="zh-CN"/>
        </w:rPr>
        <w:t>production</w:t>
      </w:r>
      <w:r>
        <w:rPr>
          <w:rFonts w:hint="eastAsia"/>
          <w:lang w:eastAsia="zh-CN"/>
        </w:rPr>
        <w:t xml:space="preserve"> at time </w:t>
      </w:r>
      <w:r>
        <w:rPr>
          <w:position w:val="-6"/>
          <w:lang w:val="en-GB"/>
        </w:rPr>
        <w:object>
          <v:shape id="_x0000_i1032" o:spt="75" type="#_x0000_t75" style="height:11pt;width:7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r>
        <w:rPr>
          <w:rFonts w:hint="eastAsia"/>
          <w:lang w:eastAsia="zh-CN"/>
        </w:rPr>
        <w:t xml:space="preserve"> (</w:t>
      </w:r>
      <w:r>
        <w:rPr>
          <w:rFonts w:hint="eastAsia"/>
        </w:rPr>
        <w:t>Nm</w:t>
      </w:r>
      <w:r>
        <w:rPr>
          <w:rFonts w:hint="eastAsia"/>
          <w:vertAlign w:val="superscript"/>
        </w:rPr>
        <w:t>3</w:t>
      </w:r>
      <w:r>
        <w:rPr>
          <w:rFonts w:hint="eastAsia"/>
          <w:lang w:eastAsia="zh-CN"/>
        </w:rPr>
        <w:t xml:space="preserve">); </w:t>
      </w:r>
      <w:r>
        <w:rPr>
          <w:position w:val="-4"/>
          <w:lang w:val="en-GB"/>
        </w:rPr>
        <w:object>
          <v:shape id="_x0000_i1033" o:spt="75" type="#_x0000_t75" style="height:11pt;width:10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lang w:eastAsia="zh-CN"/>
        </w:rPr>
        <w:t xml:space="preserve"> is the total annual operating hours of the system. </w:t>
      </w:r>
    </w:p>
    <w:p>
      <w:pPr>
        <w:pStyle w:val="20"/>
        <w:jc w:val="center"/>
      </w:pPr>
      <w:r>
        <w:drawing>
          <wp:inline distT="0" distB="0" distL="114300" distR="114300">
            <wp:extent cx="4495165" cy="2701290"/>
            <wp:effectExtent l="0" t="0" r="635" b="1143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25"/>
                    <a:stretch>
                      <a:fillRect/>
                    </a:stretch>
                  </pic:blipFill>
                  <pic:spPr>
                    <a:xfrm>
                      <a:off x="0" y="0"/>
                      <a:ext cx="4495165" cy="2701290"/>
                    </a:xfrm>
                    <a:prstGeom prst="rect">
                      <a:avLst/>
                    </a:prstGeom>
                    <a:noFill/>
                    <a:ln>
                      <a:noFill/>
                    </a:ln>
                  </pic:spPr>
                </pic:pic>
              </a:graphicData>
            </a:graphic>
          </wp:inline>
        </w:drawing>
      </w:r>
    </w:p>
    <w:p>
      <w:pPr>
        <w:pStyle w:val="20"/>
        <w:rPr>
          <w:rFonts w:eastAsia="宋体"/>
          <w:b/>
          <w:bCs/>
          <w:lang w:eastAsia="zh-CN"/>
        </w:rPr>
      </w:pPr>
      <w:r>
        <w:rPr>
          <w:rFonts w:hint="eastAsia" w:eastAsia="宋体"/>
          <w:b/>
          <w:bCs/>
          <w:lang w:eastAsia="zh-CN"/>
        </w:rPr>
        <w:t>Figure 1. MeOH production system structure</w:t>
      </w:r>
    </w:p>
    <w:p>
      <w:pPr>
        <w:pStyle w:val="21"/>
      </w:pPr>
      <w:r>
        <w:t>Hydrogen production</w:t>
      </w:r>
      <w:r>
        <w:rPr>
          <w:lang w:eastAsia="zh-CN"/>
        </w:rPr>
        <w:t xml:space="preserve"> </w:t>
      </w:r>
      <w:r>
        <w:rPr>
          <w:rFonts w:hint="eastAsia"/>
          <w:lang w:eastAsia="zh-CN"/>
        </w:rPr>
        <w:t>s</w:t>
      </w:r>
      <w:r>
        <w:t>ystem</w:t>
      </w:r>
      <w:r>
        <w:rPr>
          <w:lang w:eastAsia="zh-CN"/>
        </w:rPr>
        <w:t xml:space="preserve"> with </w:t>
      </w:r>
      <w:r>
        <w:rPr>
          <w:rFonts w:hint="eastAsia"/>
          <w:lang w:eastAsia="zh-CN"/>
        </w:rPr>
        <w:t>c</w:t>
      </w:r>
      <w:r>
        <w:t>oupling</w:t>
      </w:r>
      <w:r>
        <w:rPr>
          <w:lang w:eastAsia="zh-CN"/>
        </w:rPr>
        <w:t xml:space="preserve"> </w:t>
      </w:r>
      <w:r>
        <w:rPr>
          <w:rFonts w:hint="eastAsia"/>
          <w:lang w:eastAsia="zh-CN"/>
        </w:rPr>
        <w:t>e</w:t>
      </w:r>
      <w:r>
        <w:t>lectrolyzers</w:t>
      </w:r>
    </w:p>
    <w:p>
      <w:pPr>
        <w:pStyle w:val="20"/>
        <w:rPr>
          <w:lang w:eastAsia="zh-CN"/>
        </w:rPr>
      </w:pPr>
      <w:r>
        <w:rPr>
          <w:rFonts w:hint="eastAsia"/>
          <w:lang w:eastAsia="zh-CN"/>
        </w:rPr>
        <w:t>The ALK and PEM e</w:t>
      </w:r>
      <w:r>
        <w:rPr>
          <w:lang w:eastAsia="zh-CN"/>
        </w:rPr>
        <w:t>lectrolyzers</w:t>
      </w:r>
      <w:r>
        <w:rPr>
          <w:rFonts w:hint="eastAsia"/>
          <w:lang w:eastAsia="zh-CN"/>
        </w:rPr>
        <w:t xml:space="preserve"> are coupled in the HPS and</w:t>
      </w:r>
      <w:r>
        <w:rPr>
          <w:lang w:eastAsia="zh-CN"/>
        </w:rPr>
        <w:t xml:space="preserve"> operate in groups</w:t>
      </w:r>
      <w:r>
        <w:rPr>
          <w:rFonts w:hint="eastAsia"/>
          <w:lang w:eastAsia="zh-CN"/>
        </w:rPr>
        <w:t>. A b</w:t>
      </w:r>
      <w:r>
        <w:rPr>
          <w:lang w:eastAsia="zh-CN"/>
        </w:rPr>
        <w:t>inary</w:t>
      </w:r>
      <w:r>
        <w:rPr>
          <w:rFonts w:hint="eastAsia"/>
          <w:lang w:eastAsia="zh-CN"/>
        </w:rPr>
        <w:t xml:space="preserve"> variable </w:t>
      </w:r>
      <w:r>
        <w:rPr>
          <w:position w:val="-4"/>
          <w:lang w:val="en-GB"/>
        </w:rPr>
        <w:object>
          <v:shape id="_x0000_i1034" o:spt="75" type="#_x0000_t75" style="height:11pt;width:9pt;" o:ole="t" filled="f" o:preferrelative="t" stroked="f" coordsize="21600,21600">
            <v:path/>
            <v:fill on="f" focussize="0,0"/>
            <v:stroke on="f" joinstyle="miter"/>
            <v:imagedata r:id="rId27" o:title=""/>
            <o:lock v:ext="edit" aspectratio="t"/>
            <w10:wrap type="none"/>
            <w10:anchorlock/>
          </v:shape>
          <o:OLEObject Type="Embed" ProgID="Equation.3" ShapeID="_x0000_i1034" DrawAspect="Content" ObjectID="_1468075734" r:id="rId26">
            <o:LockedField>false</o:LockedField>
          </o:OLEObject>
        </w:object>
      </w:r>
      <w:r>
        <w:rPr>
          <w:rFonts w:hint="eastAsia"/>
          <w:lang w:eastAsia="zh-CN"/>
        </w:rPr>
        <w:t xml:space="preserve"> determined by input load is introduced as state parameters to </w:t>
      </w:r>
      <w:r>
        <w:rPr>
          <w:lang w:eastAsia="zh-CN"/>
        </w:rPr>
        <w:t>describe the operation state</w:t>
      </w:r>
      <w:r>
        <w:rPr>
          <w:rFonts w:hint="eastAsia"/>
          <w:lang w:eastAsia="zh-CN"/>
        </w:rPr>
        <w:t xml:space="preserve">. When the operation load is above the lower limit of the hydrogen production load range, </w:t>
      </w:r>
      <w:r>
        <w:rPr>
          <w:position w:val="-4"/>
          <w:lang w:val="en-GB"/>
        </w:rPr>
        <w:object>
          <v:shape id="_x0000_i1035" o:spt="75" type="#_x0000_t75" style="height:11pt;width:23pt;" o:ole="t" filled="f" o:preferrelative="t" stroked="f" coordsize="21600,21600">
            <v:path/>
            <v:fill on="f" focussize="0,0"/>
            <v:stroke on="f" joinstyle="miter"/>
            <v:imagedata r:id="rId29" o:title=""/>
            <o:lock v:ext="edit" aspectratio="t"/>
            <w10:wrap type="none"/>
            <w10:anchorlock/>
          </v:shape>
          <o:OLEObject Type="Embed" ProgID="Equation.3" ShapeID="_x0000_i1035" DrawAspect="Content" ObjectID="_1468075735" r:id="rId28">
            <o:LockedField>false</o:LockedField>
          </o:OLEObject>
        </w:object>
      </w:r>
      <w:r>
        <w:rPr>
          <w:rFonts w:hint="eastAsia"/>
          <w:lang w:eastAsia="zh-CN"/>
        </w:rPr>
        <w:t xml:space="preserve"> and the electrolyzer could be qualified to produce hydrogen.</w:t>
      </w:r>
    </w:p>
    <w:tbl>
      <w:tblPr>
        <w:tblStyle w:val="12"/>
        <w:tblW w:w="70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05"/>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6405" w:type="dxa"/>
            <w:tcBorders>
              <w:tl2br w:val="nil"/>
              <w:tr2bl w:val="nil"/>
            </w:tcBorders>
            <w:vAlign w:val="center"/>
          </w:tcPr>
          <w:p>
            <w:pPr>
              <w:adjustRightInd w:val="0"/>
              <w:snapToGrid w:val="0"/>
              <w:rPr>
                <w:position w:val="-14"/>
                <w:sz w:val="21"/>
                <w:szCs w:val="21"/>
              </w:rPr>
            </w:pPr>
            <w:r>
              <w:rPr>
                <w:position w:val="-26"/>
                <w:sz w:val="21"/>
                <w:szCs w:val="21"/>
              </w:rPr>
              <w:object>
                <v:shape id="_x0000_i1036" o:spt="75" type="#_x0000_t75" style="height:29pt;width:186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tc>
        <w:tc>
          <w:tcPr>
            <w:tcW w:w="682" w:type="dxa"/>
            <w:tcBorders>
              <w:tl2br w:val="nil"/>
              <w:tr2bl w:val="nil"/>
            </w:tcBorders>
            <w:vAlign w:val="center"/>
          </w:tcPr>
          <w:p>
            <w:pPr>
              <w:adjustRightInd w:val="0"/>
              <w:snapToGrid w:val="0"/>
              <w:jc w:val="right"/>
              <w:rPr>
                <w:sz w:val="21"/>
                <w:szCs w:val="21"/>
              </w:rPr>
            </w:pPr>
            <w:r>
              <w:rPr>
                <w:rFonts w:hint="eastAsia"/>
                <w:sz w:val="21"/>
                <w:szCs w:val="21"/>
              </w:rPr>
              <w:t>(</w:t>
            </w:r>
            <w:r>
              <w:rPr>
                <w:sz w:val="21"/>
                <w:szCs w:val="21"/>
              </w:rPr>
              <w:t>2</w:t>
            </w:r>
            <w:r>
              <w:rPr>
                <w:rFonts w:hint="eastAsia"/>
                <w:sz w:val="21"/>
                <w:szCs w:val="21"/>
              </w:rPr>
              <w:t>)</w:t>
            </w:r>
          </w:p>
        </w:tc>
      </w:tr>
    </w:tbl>
    <w:p>
      <w:pPr>
        <w:pStyle w:val="20"/>
        <w:rPr>
          <w:lang w:eastAsia="zh-CN"/>
        </w:rPr>
      </w:pPr>
      <w:r>
        <w:rPr>
          <w:rFonts w:eastAsiaTheme="minorEastAsia"/>
          <w:lang w:eastAsia="zh-CN"/>
        </w:rPr>
        <w:t xml:space="preserve">where, </w:t>
      </w:r>
      <w:r>
        <w:rPr>
          <w:position w:val="-12"/>
        </w:rPr>
        <w:object>
          <v:shape id="_x0000_i1037" o:spt="75" type="#_x0000_t75" style="height:15pt;width:1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t xml:space="preserve"> </w:t>
      </w:r>
      <w:r>
        <w:rPr>
          <w:rFonts w:eastAsiaTheme="minorEastAsia"/>
          <w:lang w:eastAsia="zh-CN"/>
        </w:rPr>
        <w:t xml:space="preserve">and </w:t>
      </w:r>
      <w:r>
        <w:rPr>
          <w:position w:val="-12"/>
        </w:rPr>
        <w:object>
          <v:shape id="_x0000_i1038" o:spt="75" type="#_x0000_t75" style="height:15pt;width:16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t xml:space="preserve"> </w:t>
      </w:r>
      <w:r>
        <w:rPr>
          <w:lang w:eastAsia="zh-CN"/>
        </w:rPr>
        <w:t xml:space="preserve">are the state parameter and operation loads (kW) of the electrolyzer group </w:t>
      </w:r>
      <w:r>
        <w:rPr>
          <w:position w:val="-6"/>
        </w:rPr>
        <w:object>
          <v:shape id="_x0000_i1039" o:spt="75" type="#_x0000_t75" style="height:10pt;width:9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lang w:eastAsia="zh-CN"/>
        </w:rPr>
        <w:t xml:space="preserve"> at time </w:t>
      </w:r>
      <w:r>
        <w:rPr>
          <w:position w:val="-6"/>
        </w:rPr>
        <w:object>
          <v:shape id="_x0000_i1040" o:spt="75" type="#_x0000_t75" style="height:11pt;width:7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t xml:space="preserve">; </w:t>
      </w:r>
      <w:r>
        <w:rPr>
          <w:position w:val="-12"/>
        </w:rPr>
        <w:object>
          <v:shape id="_x0000_i1041" o:spt="75" type="#_x0000_t75" style="height:15pt;width:23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t xml:space="preserve"> and </w:t>
      </w:r>
      <w:r>
        <w:rPr>
          <w:rFonts w:hint="eastAsia" w:hAnsi="Cambria Math"/>
          <w:position w:val="-12"/>
        </w:rPr>
        <w:object>
          <v:shape id="_x0000_i1042" o:spt="75" type="#_x0000_t75" style="height:15pt;width:22pt;" o:ole="t" filled="f" o:preferrelative="t" stroked="f" coordsize="21600,21600">
            <v:path/>
            <v:fill on="f" focussize="0,0"/>
            <v:stroke on="f" joinstyle="miter"/>
            <v:imagedata r:id="rId43" o:title=""/>
            <o:lock v:ext="edit" aspectratio="f"/>
            <w10:wrap type="none"/>
            <w10:anchorlock/>
          </v:shape>
          <o:OLEObject Type="Embed" ProgID="Equation.DSMT4" ShapeID="_x0000_i1042" DrawAspect="Content" ObjectID="_1468075742" r:id="rId42">
            <o:LockedField>false</o:LockedField>
          </o:OLEObject>
        </w:object>
      </w:r>
      <w:r>
        <w:rPr>
          <w:rFonts w:hint="eastAsia"/>
          <w:lang w:eastAsia="zh-CN"/>
        </w:rPr>
        <w:t xml:space="preserve"> </w:t>
      </w:r>
      <w:r>
        <w:rPr>
          <w:lang w:eastAsia="zh-CN"/>
        </w:rPr>
        <w:t>are respectively the maximum operation loads (kW) and</w:t>
      </w:r>
      <w:r>
        <w:rPr>
          <w:rFonts w:hint="eastAsia"/>
          <w:lang w:eastAsia="zh-CN"/>
        </w:rPr>
        <w:t xml:space="preserve"> the lowest hydrogen-producing workload ratio of </w:t>
      </w:r>
      <w:r>
        <w:rPr>
          <w:lang w:eastAsia="zh-CN"/>
        </w:rPr>
        <w:t xml:space="preserve">the electrolyzer group </w:t>
      </w:r>
      <w:r>
        <w:rPr>
          <w:position w:val="-6"/>
        </w:rPr>
        <w:object>
          <v:shape id="_x0000_i1043" o:spt="75" type="#_x0000_t75" style="height:10pt;width:9pt;" o:ole="t" filled="f" o:preferrelative="t" stroked="f" coordsize="21600,21600">
            <v:path/>
            <v:fill on="f" focussize="0,0"/>
            <v:stroke on="f" joinstyle="miter"/>
            <v:imagedata r:id="rId37" o:title=""/>
            <o:lock v:ext="edit" aspectratio="t"/>
            <w10:wrap type="none"/>
            <w10:anchorlock/>
          </v:shape>
          <o:OLEObject Type="Embed" ProgID="Equation.DSMT4" ShapeID="_x0000_i1043" DrawAspect="Content" ObjectID="_1468075743" r:id="rId44">
            <o:LockedField>false</o:LockedField>
          </o:OLEObject>
        </w:object>
      </w:r>
      <w:r>
        <w:rPr>
          <w:rFonts w:hint="eastAsia"/>
          <w:lang w:eastAsia="zh-CN"/>
        </w:rPr>
        <w:t>;</w:t>
      </w:r>
      <w:r>
        <w:rPr>
          <w:lang w:eastAsia="zh-CN"/>
        </w:rPr>
        <w:t xml:space="preserve"> </w:t>
      </w:r>
      <w:r>
        <w:rPr>
          <w:rFonts w:hint="eastAsia" w:hAnsi="Cambria Math"/>
          <w:position w:val="-6"/>
        </w:rPr>
        <w:object>
          <v:shape id="_x0000_i1044" o:spt="75" type="#_x0000_t75" style="height:12pt;width:11pt;" o:ole="t" filled="f" o:preferrelative="t" stroked="f" coordsize="21600,21600">
            <v:path/>
            <v:fill on="f" focussize="0,0"/>
            <v:stroke on="f" joinstyle="miter"/>
            <v:imagedata r:id="rId46" o:title=""/>
            <o:lock v:ext="edit" aspectratio="f"/>
            <w10:wrap type="none"/>
            <w10:anchorlock/>
          </v:shape>
          <o:OLEObject Type="Embed" ProgID="Equation.DSMT4" ShapeID="_x0000_i1044" DrawAspect="Content" ObjectID="_1468075744" r:id="rId45">
            <o:LockedField>false</o:LockedField>
          </o:OLEObject>
        </w:object>
      </w:r>
      <w:r>
        <w:rPr>
          <w:rFonts w:hAnsi="Cambria Math"/>
        </w:rPr>
        <w:t xml:space="preserve"> is</w:t>
      </w:r>
      <w:r>
        <w:rPr>
          <w:rFonts w:hint="eastAsia" w:hAnsi="Cambria Math"/>
        </w:rPr>
        <w:t xml:space="preserve"> the</w:t>
      </w:r>
      <w:r>
        <w:rPr>
          <w:rFonts w:hAnsi="Cambria Math"/>
        </w:rPr>
        <w:t xml:space="preserve"> </w:t>
      </w:r>
      <w:r>
        <w:rPr>
          <w:rFonts w:hint="eastAsia" w:hAnsi="Cambria Math"/>
        </w:rPr>
        <w:t xml:space="preserve">number of </w:t>
      </w:r>
      <w:r>
        <w:rPr>
          <w:rFonts w:hAnsi="Cambria Math"/>
        </w:rPr>
        <w:t>electrolyzer</w:t>
      </w:r>
      <w:r>
        <w:rPr>
          <w:rFonts w:hint="eastAsia" w:hAnsi="Cambria Math"/>
        </w:rPr>
        <w:t xml:space="preserve"> group</w:t>
      </w:r>
      <w:r>
        <w:rPr>
          <w:rFonts w:hAnsi="Cambria Math"/>
        </w:rPr>
        <w:t>s</w:t>
      </w:r>
      <w:r>
        <w:rPr>
          <w:rFonts w:hint="eastAsia" w:hAnsi="Cambria Math"/>
        </w:rPr>
        <w:t>.</w:t>
      </w:r>
      <w:r>
        <w:rPr>
          <w:lang w:eastAsia="zh-CN"/>
        </w:rPr>
        <w:t xml:space="preserve"> </w:t>
      </w:r>
    </w:p>
    <w:p>
      <w:pPr>
        <w:pStyle w:val="20"/>
        <w:rPr>
          <w:lang w:eastAsia="zh-CN"/>
        </w:rPr>
      </w:pPr>
      <w:r>
        <w:rPr>
          <w:rFonts w:hint="eastAsia"/>
          <w:lang w:eastAsia="zh-CN"/>
        </w:rPr>
        <w:t>ALK</w:t>
      </w:r>
      <w:r>
        <w:rPr>
          <w:lang w:eastAsia="zh-CN"/>
        </w:rPr>
        <w:t xml:space="preserve"> electroly</w:t>
      </w:r>
      <w:r>
        <w:rPr>
          <w:rFonts w:hint="eastAsia"/>
          <w:lang w:eastAsia="zh-CN"/>
        </w:rPr>
        <w:t>zers consume</w:t>
      </w:r>
      <w:r>
        <w:rPr>
          <w:lang w:eastAsia="zh-CN"/>
        </w:rPr>
        <w:t xml:space="preserve"> </w:t>
      </w:r>
      <w:r>
        <w:rPr>
          <w:rFonts w:hint="eastAsia"/>
          <w:lang w:eastAsia="zh-CN"/>
        </w:rPr>
        <w:t>several</w:t>
      </w:r>
      <w:r>
        <w:rPr>
          <w:lang w:eastAsia="zh-CN"/>
        </w:rPr>
        <w:t xml:space="preserve"> minutes as start-up time</w:t>
      </w:r>
      <w:r>
        <w:rPr>
          <w:rFonts w:hint="eastAsia"/>
          <w:lang w:eastAsia="zh-CN"/>
        </w:rPr>
        <w:t xml:space="preserve"> while changing </w:t>
      </w:r>
      <w:r>
        <w:rPr>
          <w:lang w:eastAsia="zh-CN"/>
        </w:rPr>
        <w:t xml:space="preserve">from the </w:t>
      </w:r>
      <w:r>
        <w:rPr>
          <w:rFonts w:hint="eastAsia"/>
          <w:lang w:eastAsia="zh-CN"/>
        </w:rPr>
        <w:t>UPS</w:t>
      </w:r>
      <w:r>
        <w:rPr>
          <w:lang w:eastAsia="zh-CN"/>
        </w:rPr>
        <w:t xml:space="preserve"> to the </w:t>
      </w:r>
      <w:r>
        <w:rPr>
          <w:rFonts w:hint="eastAsia"/>
          <w:lang w:eastAsia="zh-CN"/>
        </w:rPr>
        <w:t>PS (Buttler &amp; Spliethoff, 2018).</w:t>
      </w:r>
      <w:r>
        <w:rPr>
          <w:lang w:eastAsia="zh-CN"/>
        </w:rPr>
        <w:t xml:space="preserve"> </w:t>
      </w:r>
      <w:r>
        <w:rPr>
          <w:rFonts w:hint="eastAsia"/>
          <w:lang w:eastAsia="zh-CN"/>
        </w:rPr>
        <w:t>By contrast</w:t>
      </w:r>
      <w:r>
        <w:rPr>
          <w:lang w:eastAsia="zh-CN"/>
        </w:rPr>
        <w:t>, PEM electroly</w:t>
      </w:r>
      <w:r>
        <w:rPr>
          <w:rFonts w:hint="eastAsia"/>
          <w:lang w:eastAsia="zh-CN"/>
        </w:rPr>
        <w:t>zers</w:t>
      </w:r>
      <w:r>
        <w:rPr>
          <w:lang w:eastAsia="zh-CN"/>
        </w:rPr>
        <w:t xml:space="preserve"> </w:t>
      </w:r>
      <w:r>
        <w:rPr>
          <w:rFonts w:hint="eastAsia"/>
          <w:lang w:eastAsia="zh-CN"/>
        </w:rPr>
        <w:t>have</w:t>
      </w:r>
      <w:r>
        <w:rPr>
          <w:lang w:eastAsia="zh-CN"/>
        </w:rPr>
        <w:t xml:space="preserve"> higher sensitivity of response to input power, and the start</w:t>
      </w:r>
      <w:r>
        <w:rPr>
          <w:rFonts w:hint="eastAsia"/>
          <w:lang w:eastAsia="zh-CN"/>
        </w:rPr>
        <w:t>ing</w:t>
      </w:r>
      <w:r>
        <w:rPr>
          <w:lang w:eastAsia="zh-CN"/>
        </w:rPr>
        <w:t xml:space="preserve"> time</w:t>
      </w:r>
      <w:r>
        <w:rPr>
          <w:rFonts w:hint="eastAsia"/>
          <w:lang w:eastAsia="zh-CN"/>
        </w:rPr>
        <w:t xml:space="preserve"> </w:t>
      </w:r>
      <w:r>
        <w:rPr>
          <w:lang w:eastAsia="zh-CN"/>
        </w:rPr>
        <w:t xml:space="preserve">can be negligible. </w:t>
      </w:r>
      <w:r>
        <w:rPr>
          <w:rFonts w:hint="eastAsia"/>
          <w:lang w:eastAsia="zh-CN"/>
        </w:rPr>
        <w:t>T</w:t>
      </w:r>
      <w:r>
        <w:rPr>
          <w:lang w:eastAsia="zh-CN"/>
        </w:rPr>
        <w:t xml:space="preserve">o </w:t>
      </w:r>
      <w:r>
        <w:rPr>
          <w:rFonts w:hint="eastAsia"/>
          <w:lang w:eastAsia="zh-CN"/>
        </w:rPr>
        <w:t>show</w:t>
      </w:r>
      <w:r>
        <w:rPr>
          <w:lang w:eastAsia="zh-CN"/>
        </w:rPr>
        <w:t xml:space="preserve"> the difference in the start</w:t>
      </w:r>
      <w:r>
        <w:rPr>
          <w:rFonts w:hint="eastAsia"/>
          <w:lang w:eastAsia="zh-CN"/>
        </w:rPr>
        <w:t>ing</w:t>
      </w:r>
      <w:r>
        <w:rPr>
          <w:lang w:eastAsia="zh-CN"/>
        </w:rPr>
        <w:t xml:space="preserve"> speed</w:t>
      </w:r>
      <w:r>
        <w:rPr>
          <w:rFonts w:hint="eastAsia"/>
          <w:lang w:eastAsia="zh-CN"/>
        </w:rPr>
        <w:t>, a</w:t>
      </w:r>
      <w:r>
        <w:rPr>
          <w:lang w:eastAsia="zh-CN"/>
        </w:rPr>
        <w:t xml:space="preserve"> binary variable</w:t>
      </w:r>
      <w:r>
        <w:rPr>
          <w:rFonts w:hint="eastAsia"/>
          <w:lang w:eastAsia="zh-CN"/>
        </w:rPr>
        <w:t xml:space="preserve"> </w:t>
      </w:r>
      <w:r>
        <w:rPr>
          <w:position w:val="-6"/>
          <w:lang w:val="en-GB"/>
        </w:rPr>
        <w:object>
          <v:shape id="_x0000_i1045" o:spt="75" type="#_x0000_t75" style="height:11pt;width:6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47">
            <o:LockedField>false</o:LockedField>
          </o:OLEObject>
        </w:object>
      </w:r>
      <w:r>
        <w:rPr>
          <w:lang w:eastAsia="zh-CN"/>
        </w:rPr>
        <w:t xml:space="preserve"> </w:t>
      </w:r>
      <w:r>
        <w:rPr>
          <w:rFonts w:hint="eastAsia"/>
          <w:lang w:eastAsia="zh-CN"/>
        </w:rPr>
        <w:t>i</w:t>
      </w:r>
      <w:r>
        <w:rPr>
          <w:lang w:eastAsia="zh-CN"/>
        </w:rPr>
        <w:t xml:space="preserve">s </w:t>
      </w:r>
      <w:r>
        <w:rPr>
          <w:rFonts w:hint="eastAsia"/>
          <w:lang w:eastAsia="zh-CN"/>
        </w:rPr>
        <w:t xml:space="preserve">proposed. </w:t>
      </w:r>
      <w:r>
        <w:rPr>
          <w:position w:val="-6"/>
          <w:lang w:val="en-GB"/>
        </w:rPr>
        <w:object>
          <v:shape id="_x0000_i1046" o:spt="75" type="#_x0000_t75" style="height:12pt;width:18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6" r:id="rId49">
            <o:LockedField>false</o:LockedField>
          </o:OLEObject>
        </w:object>
      </w:r>
      <w:r>
        <w:rPr>
          <w:rFonts w:hint="eastAsia"/>
          <w:lang w:eastAsia="zh-CN"/>
        </w:rPr>
        <w:t xml:space="preserve">while the ALK group changing from UPS to PS. Start-up interval takes effect in the model as a penalty on the electrolyzer availability, that is, the </w:t>
      </w:r>
      <w:r>
        <w:rPr>
          <w:lang w:eastAsia="zh-CN"/>
        </w:rPr>
        <w:t>hydrogen production</w:t>
      </w:r>
      <w:r>
        <w:rPr>
          <w:rFonts w:hint="eastAsia"/>
          <w:lang w:eastAsia="zh-CN"/>
        </w:rPr>
        <w:t xml:space="preserve"> capacity. </w:t>
      </w:r>
    </w:p>
    <w:p>
      <w:pPr>
        <w:pStyle w:val="19"/>
        <w:spacing w:after="120"/>
        <w:rPr>
          <w:lang w:val="en-GB"/>
        </w:rPr>
      </w:pPr>
      <w:r>
        <w:rPr>
          <w:rFonts w:hint="eastAsia" w:eastAsia="宋体"/>
          <w:lang w:eastAsia="zh-CN"/>
        </w:rPr>
        <w:t>Case study</w:t>
      </w:r>
    </w:p>
    <w:p>
      <w:pPr>
        <w:pStyle w:val="20"/>
        <w:spacing w:after="120"/>
        <w:rPr>
          <w:rFonts w:eastAsia="宋体"/>
          <w:lang w:eastAsia="zh-CN"/>
        </w:rPr>
      </w:pPr>
      <w:r>
        <w:rPr>
          <w:rFonts w:hint="eastAsia" w:eastAsia="宋体"/>
          <w:lang w:eastAsia="zh-CN"/>
        </w:rPr>
        <w:t xml:space="preserve">In this case, the data of wind and solar generation capability is taken from Changling County, Jilin Province, China. The scales of WS and PVS are 500 MW and 100 MW respectively. And the scale of </w:t>
      </w:r>
      <w:r>
        <w:rPr>
          <w:rFonts w:hint="eastAsia"/>
          <w:lang w:eastAsia="zh-CN"/>
        </w:rPr>
        <w:t>MPS</w:t>
      </w:r>
      <w:r>
        <w:rPr>
          <w:rFonts w:hint="eastAsia" w:eastAsia="宋体"/>
          <w:lang w:eastAsia="zh-CN"/>
        </w:rPr>
        <w:t xml:space="preserve"> is 350,000 t/y. Electricity purchase is allowed, while selling is not allowed. Different parameters of electrolyzers </w:t>
      </w:r>
      <w:r>
        <w:rPr>
          <w:rFonts w:eastAsia="宋体"/>
          <w:lang w:eastAsia="zh-CN"/>
        </w:rPr>
        <w:t xml:space="preserve">provided by </w:t>
      </w:r>
      <w:r>
        <w:rPr>
          <w:rFonts w:hint="eastAsia" w:eastAsia="宋体"/>
          <w:lang w:eastAsia="zh-CN"/>
        </w:rPr>
        <w:t>a</w:t>
      </w:r>
      <w:r>
        <w:rPr>
          <w:rFonts w:eastAsia="宋体"/>
          <w:lang w:eastAsia="zh-CN"/>
        </w:rPr>
        <w:t xml:space="preserve"> </w:t>
      </w:r>
      <w:r>
        <w:rPr>
          <w:rFonts w:hint="eastAsia" w:eastAsia="宋体"/>
          <w:lang w:eastAsia="zh-CN"/>
        </w:rPr>
        <w:t>c</w:t>
      </w:r>
      <w:r>
        <w:rPr>
          <w:rFonts w:eastAsia="宋体"/>
          <w:lang w:eastAsia="zh-CN"/>
        </w:rPr>
        <w:t xml:space="preserve">ommercial electrolyzer supplier </w:t>
      </w:r>
      <w:r>
        <w:rPr>
          <w:rFonts w:hint="eastAsia" w:eastAsia="宋体"/>
          <w:lang w:eastAsia="zh-CN"/>
        </w:rPr>
        <w:t xml:space="preserve">are shown in Table 1. </w:t>
      </w:r>
    </w:p>
    <w:p>
      <w:pPr>
        <w:pStyle w:val="20"/>
        <w:rPr>
          <w:rFonts w:eastAsia="宋体"/>
          <w:b/>
          <w:bCs/>
          <w:lang w:eastAsia="zh-CN"/>
        </w:rPr>
      </w:pPr>
      <w:r>
        <w:rPr>
          <w:rFonts w:hint="eastAsia" w:eastAsia="宋体"/>
          <w:b/>
          <w:bCs/>
          <w:lang w:eastAsia="zh-CN"/>
        </w:rPr>
        <w:t>Table1. Parameters of the two kinds of electroly</w:t>
      </w:r>
      <w:r>
        <w:rPr>
          <w:rFonts w:eastAsia="宋体"/>
          <w:b/>
          <w:bCs/>
          <w:lang w:eastAsia="zh-CN"/>
        </w:rPr>
        <w:t>zer</w:t>
      </w:r>
      <w:r>
        <w:rPr>
          <w:rFonts w:hint="eastAsia" w:eastAsia="宋体"/>
          <w:b/>
          <w:bCs/>
          <w:lang w:eastAsia="zh-CN"/>
        </w:rPr>
        <w:t>s</w:t>
      </w:r>
    </w:p>
    <w:tbl>
      <w:tblPr>
        <w:tblStyle w:val="11"/>
        <w:tblW w:w="6742" w:type="dxa"/>
        <w:jc w:val="center"/>
        <w:tblLayout w:type="autofit"/>
        <w:tblCellMar>
          <w:top w:w="0" w:type="dxa"/>
          <w:left w:w="108" w:type="dxa"/>
          <w:bottom w:w="0" w:type="dxa"/>
          <w:right w:w="108" w:type="dxa"/>
        </w:tblCellMar>
      </w:tblPr>
      <w:tblGrid>
        <w:gridCol w:w="4670"/>
        <w:gridCol w:w="1036"/>
        <w:gridCol w:w="1036"/>
      </w:tblGrid>
      <w:tr>
        <w:tblPrEx>
          <w:tblCellMar>
            <w:top w:w="0" w:type="dxa"/>
            <w:left w:w="108" w:type="dxa"/>
            <w:bottom w:w="0" w:type="dxa"/>
            <w:right w:w="108" w:type="dxa"/>
          </w:tblCellMar>
        </w:tblPrEx>
        <w:trPr>
          <w:trHeight w:val="288" w:hRule="atLeast"/>
          <w:jc w:val="center"/>
        </w:trPr>
        <w:tc>
          <w:tcPr>
            <w:tcW w:w="4670" w:type="dxa"/>
            <w:tcBorders>
              <w:top w:val="single" w:color="auto" w:sz="4" w:space="0"/>
              <w:left w:val="nil"/>
              <w:bottom w:val="single" w:color="auto" w:sz="4" w:space="0"/>
              <w:right w:val="nil"/>
            </w:tcBorders>
            <w:shd w:val="clear" w:color="auto" w:fill="auto"/>
            <w:vAlign w:val="center"/>
          </w:tcPr>
          <w:p>
            <w:pPr>
              <w:pStyle w:val="33"/>
              <w:rPr>
                <w:lang w:eastAsia="zh-CN"/>
              </w:rPr>
            </w:pPr>
            <w:r>
              <w:rPr>
                <w:rFonts w:hint="eastAsia"/>
                <w:lang w:eastAsia="zh-CN"/>
              </w:rPr>
              <w:t>Electrolyzer type</w:t>
            </w:r>
          </w:p>
        </w:tc>
        <w:tc>
          <w:tcPr>
            <w:tcW w:w="1036" w:type="dxa"/>
            <w:tcBorders>
              <w:top w:val="single" w:color="auto" w:sz="4" w:space="0"/>
              <w:left w:val="nil"/>
              <w:bottom w:val="single" w:color="auto" w:sz="4" w:space="0"/>
              <w:right w:val="nil"/>
            </w:tcBorders>
            <w:shd w:val="clear" w:color="auto" w:fill="auto"/>
            <w:vAlign w:val="center"/>
          </w:tcPr>
          <w:p>
            <w:pPr>
              <w:pStyle w:val="33"/>
              <w:rPr>
                <w:lang w:eastAsia="zh-CN"/>
              </w:rPr>
            </w:pPr>
            <w:r>
              <w:rPr>
                <w:lang w:eastAsia="zh-CN"/>
              </w:rPr>
              <w:t>ALK</w:t>
            </w:r>
          </w:p>
        </w:tc>
        <w:tc>
          <w:tcPr>
            <w:tcW w:w="1036" w:type="dxa"/>
            <w:tcBorders>
              <w:top w:val="single" w:color="auto" w:sz="4" w:space="0"/>
              <w:left w:val="nil"/>
              <w:bottom w:val="single" w:color="auto" w:sz="4" w:space="0"/>
              <w:right w:val="nil"/>
            </w:tcBorders>
            <w:shd w:val="clear" w:color="auto" w:fill="auto"/>
            <w:vAlign w:val="center"/>
          </w:tcPr>
          <w:p>
            <w:pPr>
              <w:pStyle w:val="33"/>
              <w:rPr>
                <w:lang w:eastAsia="zh-CN"/>
              </w:rPr>
            </w:pPr>
            <w:r>
              <w:rPr>
                <w:lang w:eastAsia="zh-CN"/>
              </w:rPr>
              <w:t>PEM</w:t>
            </w:r>
          </w:p>
        </w:tc>
      </w:tr>
      <w:tr>
        <w:tblPrEx>
          <w:tblCellMar>
            <w:top w:w="0" w:type="dxa"/>
            <w:left w:w="108" w:type="dxa"/>
            <w:bottom w:w="0" w:type="dxa"/>
            <w:right w:w="108" w:type="dxa"/>
          </w:tblCellMar>
        </w:tblPrEx>
        <w:trPr>
          <w:trHeight w:val="288" w:hRule="atLeast"/>
          <w:jc w:val="center"/>
        </w:trPr>
        <w:tc>
          <w:tcPr>
            <w:tcW w:w="4670" w:type="dxa"/>
            <w:tcBorders>
              <w:top w:val="single" w:color="auto" w:sz="4" w:space="0"/>
              <w:left w:val="nil"/>
              <w:bottom w:val="nil"/>
              <w:right w:val="nil"/>
            </w:tcBorders>
            <w:shd w:val="clear" w:color="auto" w:fill="auto"/>
            <w:vAlign w:val="center"/>
          </w:tcPr>
          <w:p>
            <w:pPr>
              <w:pStyle w:val="33"/>
              <w:rPr>
                <w:lang w:eastAsia="zh-CN"/>
              </w:rPr>
            </w:pPr>
            <w:r>
              <w:rPr>
                <w:rFonts w:hint="eastAsia"/>
                <w:lang w:eastAsia="zh-CN"/>
              </w:rPr>
              <w:t>Maximum operation load (kW)</w:t>
            </w:r>
          </w:p>
        </w:tc>
        <w:tc>
          <w:tcPr>
            <w:tcW w:w="1036" w:type="dxa"/>
            <w:tcBorders>
              <w:top w:val="single" w:color="auto" w:sz="4" w:space="0"/>
              <w:left w:val="nil"/>
              <w:bottom w:val="nil"/>
              <w:right w:val="nil"/>
            </w:tcBorders>
            <w:shd w:val="clear" w:color="auto" w:fill="auto"/>
            <w:vAlign w:val="center"/>
          </w:tcPr>
          <w:p>
            <w:pPr>
              <w:pStyle w:val="33"/>
              <w:rPr>
                <w:lang w:eastAsia="zh-CN"/>
              </w:rPr>
            </w:pPr>
            <w:r>
              <w:rPr>
                <w:lang w:eastAsia="zh-CN"/>
              </w:rPr>
              <w:t>5</w:t>
            </w:r>
          </w:p>
        </w:tc>
        <w:tc>
          <w:tcPr>
            <w:tcW w:w="1036" w:type="dxa"/>
            <w:tcBorders>
              <w:top w:val="single" w:color="auto" w:sz="4" w:space="0"/>
              <w:left w:val="nil"/>
              <w:bottom w:val="nil"/>
              <w:right w:val="nil"/>
            </w:tcBorders>
            <w:shd w:val="clear" w:color="auto" w:fill="auto"/>
            <w:vAlign w:val="center"/>
          </w:tcPr>
          <w:p>
            <w:pPr>
              <w:pStyle w:val="33"/>
              <w:rPr>
                <w:lang w:eastAsia="zh-CN"/>
              </w:rPr>
            </w:pPr>
            <w:r>
              <w:rPr>
                <w:lang w:eastAsia="zh-CN"/>
              </w:rPr>
              <w:t>4.5</w:t>
            </w:r>
          </w:p>
        </w:tc>
      </w:tr>
      <w:tr>
        <w:tblPrEx>
          <w:tblCellMar>
            <w:top w:w="0" w:type="dxa"/>
            <w:left w:w="108" w:type="dxa"/>
            <w:bottom w:w="0" w:type="dxa"/>
            <w:right w:w="108" w:type="dxa"/>
          </w:tblCellMar>
        </w:tblPrEx>
        <w:trPr>
          <w:trHeight w:val="288" w:hRule="atLeast"/>
          <w:jc w:val="center"/>
        </w:trPr>
        <w:tc>
          <w:tcPr>
            <w:tcW w:w="4670" w:type="dxa"/>
            <w:tcBorders>
              <w:top w:val="nil"/>
              <w:left w:val="nil"/>
              <w:bottom w:val="nil"/>
              <w:right w:val="nil"/>
            </w:tcBorders>
            <w:shd w:val="clear" w:color="auto" w:fill="auto"/>
            <w:vAlign w:val="center"/>
          </w:tcPr>
          <w:p>
            <w:pPr>
              <w:pStyle w:val="33"/>
              <w:rPr>
                <w:lang w:eastAsia="zh-CN"/>
              </w:rPr>
            </w:pPr>
            <w:r>
              <w:rPr>
                <w:rFonts w:hint="eastAsia"/>
                <w:lang w:eastAsia="zh-CN"/>
              </w:rPr>
              <w:t>Hydrogen production efficiency (</w:t>
            </w:r>
            <w:r>
              <w:rPr>
                <w:lang w:eastAsia="zh-CN"/>
              </w:rPr>
              <w:t>Nm</w:t>
            </w:r>
            <w:r>
              <w:rPr>
                <w:vertAlign w:val="superscript"/>
                <w:lang w:eastAsia="zh-CN"/>
              </w:rPr>
              <w:t>3</w:t>
            </w:r>
            <w:r>
              <w:rPr>
                <w:lang w:eastAsia="zh-CN"/>
              </w:rPr>
              <w:t>/kW</w:t>
            </w:r>
            <w:r>
              <w:rPr>
                <w:rFonts w:hint="eastAsia"/>
                <w:lang w:eastAsia="zh-CN"/>
              </w:rPr>
              <w:t>)</w:t>
            </w:r>
          </w:p>
        </w:tc>
        <w:tc>
          <w:tcPr>
            <w:tcW w:w="1036" w:type="dxa"/>
            <w:tcBorders>
              <w:top w:val="nil"/>
              <w:left w:val="nil"/>
              <w:bottom w:val="nil"/>
              <w:right w:val="nil"/>
            </w:tcBorders>
            <w:shd w:val="clear" w:color="auto" w:fill="auto"/>
            <w:vAlign w:val="center"/>
          </w:tcPr>
          <w:p>
            <w:pPr>
              <w:pStyle w:val="33"/>
              <w:rPr>
                <w:lang w:eastAsia="zh-CN"/>
              </w:rPr>
            </w:pPr>
            <w:r>
              <w:rPr>
                <w:lang w:eastAsia="zh-CN"/>
              </w:rPr>
              <w:t>0.2</w:t>
            </w:r>
          </w:p>
        </w:tc>
        <w:tc>
          <w:tcPr>
            <w:tcW w:w="1036" w:type="dxa"/>
            <w:tcBorders>
              <w:top w:val="nil"/>
              <w:left w:val="nil"/>
              <w:bottom w:val="nil"/>
              <w:right w:val="nil"/>
            </w:tcBorders>
            <w:shd w:val="clear" w:color="auto" w:fill="auto"/>
            <w:vAlign w:val="center"/>
          </w:tcPr>
          <w:p>
            <w:pPr>
              <w:pStyle w:val="33"/>
              <w:rPr>
                <w:lang w:eastAsia="zh-CN"/>
              </w:rPr>
            </w:pPr>
            <w:r>
              <w:rPr>
                <w:lang w:eastAsia="zh-CN"/>
              </w:rPr>
              <w:t>0.22</w:t>
            </w:r>
          </w:p>
        </w:tc>
      </w:tr>
      <w:tr>
        <w:tblPrEx>
          <w:tblCellMar>
            <w:top w:w="0" w:type="dxa"/>
            <w:left w:w="108" w:type="dxa"/>
            <w:bottom w:w="0" w:type="dxa"/>
            <w:right w:w="108" w:type="dxa"/>
          </w:tblCellMar>
        </w:tblPrEx>
        <w:trPr>
          <w:trHeight w:val="288" w:hRule="atLeast"/>
          <w:jc w:val="center"/>
        </w:trPr>
        <w:tc>
          <w:tcPr>
            <w:tcW w:w="4670" w:type="dxa"/>
            <w:tcBorders>
              <w:top w:val="nil"/>
              <w:left w:val="nil"/>
              <w:bottom w:val="nil"/>
              <w:right w:val="nil"/>
            </w:tcBorders>
            <w:shd w:val="clear" w:color="auto" w:fill="auto"/>
            <w:vAlign w:val="center"/>
          </w:tcPr>
          <w:p>
            <w:pPr>
              <w:pStyle w:val="33"/>
              <w:rPr>
                <w:lang w:eastAsia="zh-CN"/>
              </w:rPr>
            </w:pPr>
            <w:r>
              <w:rPr>
                <w:rFonts w:hint="eastAsia"/>
                <w:lang w:eastAsia="zh-CN"/>
              </w:rPr>
              <w:t>Lowest hydrogen-producing workload ratio</w:t>
            </w:r>
          </w:p>
        </w:tc>
        <w:tc>
          <w:tcPr>
            <w:tcW w:w="1036" w:type="dxa"/>
            <w:tcBorders>
              <w:top w:val="nil"/>
              <w:left w:val="nil"/>
              <w:bottom w:val="nil"/>
              <w:right w:val="nil"/>
            </w:tcBorders>
            <w:shd w:val="clear" w:color="auto" w:fill="auto"/>
            <w:vAlign w:val="center"/>
          </w:tcPr>
          <w:p>
            <w:pPr>
              <w:pStyle w:val="33"/>
              <w:rPr>
                <w:lang w:eastAsia="zh-CN"/>
              </w:rPr>
            </w:pPr>
            <w:r>
              <w:rPr>
                <w:lang w:eastAsia="zh-CN"/>
              </w:rPr>
              <w:t>0.3</w:t>
            </w:r>
          </w:p>
        </w:tc>
        <w:tc>
          <w:tcPr>
            <w:tcW w:w="1036" w:type="dxa"/>
            <w:tcBorders>
              <w:top w:val="nil"/>
              <w:left w:val="nil"/>
              <w:bottom w:val="nil"/>
              <w:right w:val="nil"/>
            </w:tcBorders>
            <w:shd w:val="clear" w:color="auto" w:fill="auto"/>
            <w:vAlign w:val="center"/>
          </w:tcPr>
          <w:p>
            <w:pPr>
              <w:pStyle w:val="33"/>
              <w:rPr>
                <w:lang w:eastAsia="zh-CN"/>
              </w:rPr>
            </w:pPr>
            <w:r>
              <w:rPr>
                <w:lang w:eastAsia="zh-CN"/>
              </w:rPr>
              <w:t>0.05</w:t>
            </w:r>
          </w:p>
        </w:tc>
      </w:tr>
      <w:tr>
        <w:tblPrEx>
          <w:tblCellMar>
            <w:top w:w="0" w:type="dxa"/>
            <w:left w:w="108" w:type="dxa"/>
            <w:bottom w:w="0" w:type="dxa"/>
            <w:right w:w="108" w:type="dxa"/>
          </w:tblCellMar>
        </w:tblPrEx>
        <w:trPr>
          <w:trHeight w:val="288" w:hRule="atLeast"/>
          <w:jc w:val="center"/>
        </w:trPr>
        <w:tc>
          <w:tcPr>
            <w:tcW w:w="4670" w:type="dxa"/>
            <w:tcBorders>
              <w:top w:val="nil"/>
              <w:left w:val="nil"/>
              <w:bottom w:val="nil"/>
              <w:right w:val="nil"/>
            </w:tcBorders>
            <w:shd w:val="clear" w:color="auto" w:fill="auto"/>
            <w:vAlign w:val="center"/>
          </w:tcPr>
          <w:p>
            <w:pPr>
              <w:pStyle w:val="33"/>
              <w:rPr>
                <w:lang w:eastAsia="zh-CN"/>
              </w:rPr>
            </w:pPr>
            <w:r>
              <w:rPr>
                <w:rFonts w:hint="eastAsia"/>
                <w:lang w:eastAsia="zh-CN"/>
              </w:rPr>
              <w:t>Upper load-extended limit</w:t>
            </w:r>
          </w:p>
        </w:tc>
        <w:tc>
          <w:tcPr>
            <w:tcW w:w="1036" w:type="dxa"/>
            <w:tcBorders>
              <w:top w:val="nil"/>
              <w:left w:val="nil"/>
              <w:bottom w:val="nil"/>
              <w:right w:val="nil"/>
            </w:tcBorders>
            <w:shd w:val="clear" w:color="auto" w:fill="auto"/>
            <w:vAlign w:val="center"/>
          </w:tcPr>
          <w:p>
            <w:pPr>
              <w:pStyle w:val="33"/>
              <w:rPr>
                <w:lang w:eastAsia="zh-CN"/>
              </w:rPr>
            </w:pPr>
            <w:r>
              <w:rPr>
                <w:lang w:eastAsia="zh-CN"/>
              </w:rPr>
              <w:t>-</w:t>
            </w:r>
          </w:p>
        </w:tc>
        <w:tc>
          <w:tcPr>
            <w:tcW w:w="1036" w:type="dxa"/>
            <w:tcBorders>
              <w:top w:val="nil"/>
              <w:left w:val="nil"/>
              <w:bottom w:val="nil"/>
              <w:right w:val="nil"/>
            </w:tcBorders>
            <w:shd w:val="clear" w:color="auto" w:fill="auto"/>
            <w:vAlign w:val="center"/>
          </w:tcPr>
          <w:p>
            <w:pPr>
              <w:pStyle w:val="33"/>
              <w:rPr>
                <w:lang w:eastAsia="zh-CN"/>
              </w:rPr>
            </w:pPr>
            <w:r>
              <w:rPr>
                <w:lang w:eastAsia="zh-CN"/>
              </w:rPr>
              <w:t>1.2</w:t>
            </w:r>
          </w:p>
        </w:tc>
      </w:tr>
      <w:tr>
        <w:tblPrEx>
          <w:tblCellMar>
            <w:top w:w="0" w:type="dxa"/>
            <w:left w:w="108" w:type="dxa"/>
            <w:bottom w:w="0" w:type="dxa"/>
            <w:right w:w="108" w:type="dxa"/>
          </w:tblCellMar>
        </w:tblPrEx>
        <w:trPr>
          <w:trHeight w:val="288" w:hRule="atLeast"/>
          <w:jc w:val="center"/>
        </w:trPr>
        <w:tc>
          <w:tcPr>
            <w:tcW w:w="4670" w:type="dxa"/>
            <w:tcBorders>
              <w:top w:val="nil"/>
              <w:left w:val="nil"/>
              <w:bottom w:val="nil"/>
              <w:right w:val="nil"/>
            </w:tcBorders>
            <w:shd w:val="clear" w:color="auto" w:fill="auto"/>
            <w:vAlign w:val="center"/>
          </w:tcPr>
          <w:p>
            <w:pPr>
              <w:pStyle w:val="33"/>
              <w:rPr>
                <w:lang w:eastAsia="zh-CN"/>
              </w:rPr>
            </w:pPr>
            <w:r>
              <w:rPr>
                <w:rFonts w:hint="eastAsia"/>
                <w:lang w:eastAsia="zh-CN"/>
              </w:rPr>
              <w:t>Investment cost of an electrolyzer (</w:t>
            </w:r>
            <w:r>
              <w:rPr>
                <w:lang w:eastAsia="zh-CN"/>
              </w:rPr>
              <w:t>10</w:t>
            </w:r>
            <w:r>
              <w:rPr>
                <w:vertAlign w:val="superscript"/>
                <w:lang w:eastAsia="zh-CN"/>
              </w:rPr>
              <w:t>6</w:t>
            </w:r>
            <w:r>
              <w:rPr>
                <w:lang w:eastAsia="zh-CN"/>
              </w:rPr>
              <w:t xml:space="preserve"> </w:t>
            </w:r>
            <w:r>
              <w:rPr>
                <w:rFonts w:hint="eastAsia"/>
                <w:lang w:eastAsia="zh-CN"/>
              </w:rPr>
              <w:t>CNY)</w:t>
            </w:r>
          </w:p>
        </w:tc>
        <w:tc>
          <w:tcPr>
            <w:tcW w:w="1036" w:type="dxa"/>
            <w:tcBorders>
              <w:top w:val="nil"/>
              <w:left w:val="nil"/>
              <w:bottom w:val="nil"/>
              <w:right w:val="nil"/>
            </w:tcBorders>
            <w:shd w:val="clear" w:color="auto" w:fill="auto"/>
            <w:vAlign w:val="center"/>
          </w:tcPr>
          <w:p>
            <w:pPr>
              <w:pStyle w:val="33"/>
              <w:rPr>
                <w:lang w:eastAsia="zh-CN"/>
              </w:rPr>
            </w:pPr>
            <w:r>
              <w:rPr>
                <w:lang w:eastAsia="zh-CN"/>
              </w:rPr>
              <w:t>7.5</w:t>
            </w:r>
          </w:p>
        </w:tc>
        <w:tc>
          <w:tcPr>
            <w:tcW w:w="1036" w:type="dxa"/>
            <w:tcBorders>
              <w:top w:val="nil"/>
              <w:left w:val="nil"/>
              <w:bottom w:val="nil"/>
              <w:right w:val="nil"/>
            </w:tcBorders>
            <w:shd w:val="clear" w:color="auto" w:fill="auto"/>
            <w:vAlign w:val="center"/>
          </w:tcPr>
          <w:p>
            <w:pPr>
              <w:pStyle w:val="33"/>
              <w:rPr>
                <w:lang w:eastAsia="zh-CN"/>
              </w:rPr>
            </w:pPr>
            <w:r>
              <w:rPr>
                <w:lang w:eastAsia="zh-CN"/>
              </w:rPr>
              <w:t>30</w:t>
            </w:r>
          </w:p>
        </w:tc>
      </w:tr>
      <w:tr>
        <w:tblPrEx>
          <w:tblCellMar>
            <w:top w:w="0" w:type="dxa"/>
            <w:left w:w="108" w:type="dxa"/>
            <w:bottom w:w="0" w:type="dxa"/>
            <w:right w:w="108" w:type="dxa"/>
          </w:tblCellMar>
        </w:tblPrEx>
        <w:trPr>
          <w:trHeight w:val="288" w:hRule="atLeast"/>
          <w:jc w:val="center"/>
        </w:trPr>
        <w:tc>
          <w:tcPr>
            <w:tcW w:w="4670" w:type="dxa"/>
            <w:tcBorders>
              <w:top w:val="nil"/>
              <w:left w:val="nil"/>
              <w:bottom w:val="nil"/>
              <w:right w:val="nil"/>
            </w:tcBorders>
            <w:shd w:val="clear" w:color="auto" w:fill="auto"/>
            <w:vAlign w:val="center"/>
          </w:tcPr>
          <w:p>
            <w:pPr>
              <w:pStyle w:val="33"/>
              <w:rPr>
                <w:lang w:eastAsia="zh-CN"/>
              </w:rPr>
            </w:pPr>
            <w:r>
              <w:rPr>
                <w:rFonts w:hint="eastAsia"/>
                <w:lang w:eastAsia="zh-CN"/>
              </w:rPr>
              <w:t>H</w:t>
            </w:r>
            <w:r>
              <w:rPr>
                <w:lang w:eastAsia="zh-CN"/>
              </w:rPr>
              <w:t>ydrogen production</w:t>
            </w:r>
            <w:r>
              <w:rPr>
                <w:rFonts w:hint="eastAsia"/>
                <w:lang w:eastAsia="zh-CN"/>
              </w:rPr>
              <w:t xml:space="preserve"> capacity penalty (</w:t>
            </w:r>
            <w:r>
              <w:rPr>
                <w:lang w:eastAsia="zh-CN"/>
              </w:rPr>
              <w:t>Nm</w:t>
            </w:r>
            <w:r>
              <w:rPr>
                <w:vertAlign w:val="superscript"/>
                <w:lang w:eastAsia="zh-CN"/>
              </w:rPr>
              <w:t>3</w:t>
            </w:r>
            <w:r>
              <w:rPr>
                <w:rFonts w:hint="eastAsia"/>
                <w:lang w:eastAsia="zh-CN"/>
              </w:rPr>
              <w:t>)</w:t>
            </w:r>
          </w:p>
        </w:tc>
        <w:tc>
          <w:tcPr>
            <w:tcW w:w="1036" w:type="dxa"/>
            <w:tcBorders>
              <w:top w:val="nil"/>
              <w:left w:val="nil"/>
              <w:bottom w:val="nil"/>
              <w:right w:val="nil"/>
            </w:tcBorders>
            <w:shd w:val="clear" w:color="auto" w:fill="auto"/>
            <w:vAlign w:val="center"/>
          </w:tcPr>
          <w:p>
            <w:pPr>
              <w:pStyle w:val="33"/>
              <w:rPr>
                <w:lang w:eastAsia="zh-CN"/>
              </w:rPr>
            </w:pPr>
            <w:r>
              <w:rPr>
                <w:rFonts w:hint="eastAsia"/>
                <w:lang w:eastAsia="zh-CN"/>
              </w:rPr>
              <w:t>640</w:t>
            </w:r>
          </w:p>
        </w:tc>
        <w:tc>
          <w:tcPr>
            <w:tcW w:w="1036" w:type="dxa"/>
            <w:tcBorders>
              <w:top w:val="nil"/>
              <w:left w:val="nil"/>
              <w:bottom w:val="nil"/>
              <w:right w:val="nil"/>
            </w:tcBorders>
            <w:shd w:val="clear" w:color="auto" w:fill="auto"/>
            <w:vAlign w:val="center"/>
          </w:tcPr>
          <w:p>
            <w:pPr>
              <w:pStyle w:val="33"/>
              <w:rPr>
                <w:lang w:eastAsia="zh-CN"/>
              </w:rPr>
            </w:pPr>
            <w:r>
              <w:rPr>
                <w:lang w:eastAsia="zh-CN"/>
              </w:rPr>
              <w:t>-</w:t>
            </w:r>
          </w:p>
        </w:tc>
      </w:tr>
      <w:tr>
        <w:tblPrEx>
          <w:tblCellMar>
            <w:top w:w="0" w:type="dxa"/>
            <w:left w:w="108" w:type="dxa"/>
            <w:bottom w:w="0" w:type="dxa"/>
            <w:right w:w="108" w:type="dxa"/>
          </w:tblCellMar>
        </w:tblPrEx>
        <w:trPr>
          <w:trHeight w:val="288" w:hRule="atLeast"/>
          <w:jc w:val="center"/>
        </w:trPr>
        <w:tc>
          <w:tcPr>
            <w:tcW w:w="4670" w:type="dxa"/>
            <w:tcBorders>
              <w:top w:val="nil"/>
              <w:left w:val="nil"/>
              <w:bottom w:val="single" w:color="auto" w:sz="4" w:space="0"/>
              <w:right w:val="nil"/>
            </w:tcBorders>
            <w:shd w:val="clear" w:color="auto" w:fill="auto"/>
            <w:vAlign w:val="center"/>
          </w:tcPr>
          <w:p>
            <w:pPr>
              <w:pStyle w:val="33"/>
              <w:rPr>
                <w:lang w:eastAsia="zh-CN"/>
              </w:rPr>
            </w:pPr>
            <w:r>
              <w:rPr>
                <w:rFonts w:hint="eastAsia"/>
                <w:lang w:eastAsia="zh-CN"/>
              </w:rPr>
              <w:t>Proportion of the investment cost to the total installment cost</w:t>
            </w:r>
          </w:p>
        </w:tc>
        <w:tc>
          <w:tcPr>
            <w:tcW w:w="1036" w:type="dxa"/>
            <w:tcBorders>
              <w:top w:val="nil"/>
              <w:left w:val="nil"/>
              <w:bottom w:val="single" w:color="auto" w:sz="4" w:space="0"/>
              <w:right w:val="nil"/>
            </w:tcBorders>
            <w:shd w:val="clear" w:color="auto" w:fill="auto"/>
            <w:vAlign w:val="center"/>
          </w:tcPr>
          <w:p>
            <w:pPr>
              <w:pStyle w:val="33"/>
              <w:rPr>
                <w:lang w:eastAsia="zh-CN"/>
              </w:rPr>
            </w:pPr>
            <w:r>
              <w:rPr>
                <w:lang w:eastAsia="zh-CN"/>
              </w:rPr>
              <w:t>0.5</w:t>
            </w:r>
          </w:p>
        </w:tc>
        <w:tc>
          <w:tcPr>
            <w:tcW w:w="1036" w:type="dxa"/>
            <w:tcBorders>
              <w:top w:val="nil"/>
              <w:left w:val="nil"/>
              <w:bottom w:val="single" w:color="auto" w:sz="4" w:space="0"/>
              <w:right w:val="nil"/>
            </w:tcBorders>
            <w:shd w:val="clear" w:color="auto" w:fill="auto"/>
            <w:vAlign w:val="center"/>
          </w:tcPr>
          <w:p>
            <w:pPr>
              <w:pStyle w:val="33"/>
              <w:rPr>
                <w:lang w:eastAsia="zh-CN"/>
              </w:rPr>
            </w:pPr>
            <w:r>
              <w:rPr>
                <w:lang w:eastAsia="zh-CN"/>
              </w:rPr>
              <w:t>0.8</w:t>
            </w:r>
          </w:p>
        </w:tc>
      </w:tr>
    </w:tbl>
    <w:p>
      <w:pPr>
        <w:pStyle w:val="20"/>
        <w:rPr>
          <w:rFonts w:eastAsia="宋体"/>
          <w:b/>
          <w:bCs/>
          <w:lang w:eastAsia="zh-CN"/>
        </w:rPr>
      </w:pPr>
      <w:r>
        <w:rPr>
          <w:rFonts w:hint="eastAsia" w:eastAsia="宋体"/>
          <w:b/>
          <w:bCs/>
          <w:lang w:eastAsia="zh-CN"/>
        </w:rPr>
        <w:t>Table 2. Optimal results for the different systems</w:t>
      </w:r>
    </w:p>
    <w:tbl>
      <w:tblPr>
        <w:tblStyle w:val="11"/>
        <w:tblW w:w="5526" w:type="pct"/>
        <w:tblInd w:w="-176" w:type="dxa"/>
        <w:tblLayout w:type="fixed"/>
        <w:tblCellMar>
          <w:top w:w="0" w:type="dxa"/>
          <w:left w:w="108" w:type="dxa"/>
          <w:bottom w:w="0" w:type="dxa"/>
          <w:right w:w="108" w:type="dxa"/>
        </w:tblCellMar>
      </w:tblPr>
      <w:tblGrid>
        <w:gridCol w:w="5153"/>
        <w:gridCol w:w="1167"/>
        <w:gridCol w:w="876"/>
        <w:gridCol w:w="875"/>
      </w:tblGrid>
      <w:tr>
        <w:tblPrEx>
          <w:tblCellMar>
            <w:top w:w="0" w:type="dxa"/>
            <w:left w:w="108" w:type="dxa"/>
            <w:bottom w:w="0" w:type="dxa"/>
            <w:right w:w="108" w:type="dxa"/>
          </w:tblCellMar>
        </w:tblPrEx>
        <w:trPr>
          <w:trHeight w:val="288" w:hRule="atLeast"/>
        </w:trPr>
        <w:tc>
          <w:tcPr>
            <w:tcW w:w="3192" w:type="pct"/>
            <w:tcBorders>
              <w:top w:val="single" w:color="auto" w:sz="4" w:space="0"/>
              <w:left w:val="nil"/>
              <w:bottom w:val="single" w:color="auto" w:sz="4" w:space="0"/>
              <w:right w:val="nil"/>
            </w:tcBorders>
            <w:shd w:val="clear" w:color="auto" w:fill="auto"/>
            <w:noWrap/>
            <w:vAlign w:val="center"/>
          </w:tcPr>
          <w:p>
            <w:pPr>
              <w:pStyle w:val="33"/>
              <w:rPr>
                <w:lang w:eastAsia="zh-CN"/>
              </w:rPr>
            </w:pPr>
            <w:r>
              <w:rPr>
                <w:rFonts w:hint="eastAsia"/>
                <w:lang w:eastAsia="zh-CN"/>
              </w:rPr>
              <w:t>System type</w:t>
            </w:r>
          </w:p>
        </w:tc>
        <w:tc>
          <w:tcPr>
            <w:tcW w:w="723" w:type="pct"/>
            <w:tcBorders>
              <w:top w:val="single" w:color="auto" w:sz="4" w:space="0"/>
              <w:left w:val="nil"/>
              <w:bottom w:val="single" w:color="auto" w:sz="4" w:space="0"/>
              <w:right w:val="nil"/>
            </w:tcBorders>
            <w:shd w:val="clear" w:color="auto" w:fill="auto"/>
            <w:noWrap/>
            <w:vAlign w:val="center"/>
          </w:tcPr>
          <w:p>
            <w:pPr>
              <w:pStyle w:val="33"/>
            </w:pPr>
            <w:r>
              <w:rPr>
                <w:lang w:eastAsia="zh-CN"/>
              </w:rPr>
              <w:t>ALK+PEM</w:t>
            </w:r>
          </w:p>
        </w:tc>
        <w:tc>
          <w:tcPr>
            <w:tcW w:w="543" w:type="pct"/>
            <w:tcBorders>
              <w:top w:val="single" w:color="auto" w:sz="4" w:space="0"/>
              <w:left w:val="nil"/>
              <w:bottom w:val="single" w:color="auto" w:sz="4" w:space="0"/>
              <w:right w:val="nil"/>
            </w:tcBorders>
            <w:shd w:val="clear" w:color="auto" w:fill="auto"/>
            <w:noWrap/>
            <w:vAlign w:val="center"/>
          </w:tcPr>
          <w:p>
            <w:pPr>
              <w:pStyle w:val="33"/>
            </w:pPr>
            <w:r>
              <w:rPr>
                <w:lang w:eastAsia="zh-CN"/>
              </w:rPr>
              <w:t>ALK</w:t>
            </w:r>
          </w:p>
        </w:tc>
        <w:tc>
          <w:tcPr>
            <w:tcW w:w="543" w:type="pct"/>
            <w:tcBorders>
              <w:top w:val="single" w:color="auto" w:sz="4" w:space="0"/>
              <w:left w:val="nil"/>
              <w:bottom w:val="single" w:color="auto" w:sz="4" w:space="0"/>
              <w:right w:val="nil"/>
            </w:tcBorders>
            <w:shd w:val="clear" w:color="auto" w:fill="auto"/>
            <w:noWrap/>
            <w:vAlign w:val="center"/>
          </w:tcPr>
          <w:p>
            <w:pPr>
              <w:pStyle w:val="33"/>
            </w:pPr>
            <w:r>
              <w:rPr>
                <w:lang w:eastAsia="zh-CN"/>
              </w:rPr>
              <w:t>PEM</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Number of ALK groups</w:t>
            </w:r>
            <w:r>
              <w:rPr>
                <w:rFonts w:hint="eastAsia"/>
                <w:lang w:eastAsia="zh-CN"/>
              </w:rPr>
              <w:t xml:space="preserve"> × </w:t>
            </w:r>
            <w:r>
              <w:rPr>
                <w:lang w:eastAsia="zh-CN"/>
              </w:rPr>
              <w:t>Number of electrolyzers in each group</w:t>
            </w:r>
          </w:p>
        </w:tc>
        <w:tc>
          <w:tcPr>
            <w:tcW w:w="723" w:type="pct"/>
            <w:tcBorders>
              <w:top w:val="nil"/>
              <w:left w:val="nil"/>
              <w:bottom w:val="nil"/>
              <w:right w:val="nil"/>
            </w:tcBorders>
            <w:shd w:val="clear" w:color="auto" w:fill="auto"/>
            <w:noWrap/>
            <w:vAlign w:val="center"/>
          </w:tcPr>
          <w:p>
            <w:pPr>
              <w:pStyle w:val="33"/>
            </w:pPr>
            <w:r>
              <w:rPr>
                <w:lang w:eastAsia="zh-CN"/>
              </w:rPr>
              <w:t>9</w:t>
            </w:r>
            <w:r>
              <w:rPr>
                <w:rFonts w:hint="eastAsia"/>
                <w:lang w:eastAsia="zh-CN"/>
              </w:rPr>
              <w:t>×8</w:t>
            </w:r>
          </w:p>
        </w:tc>
        <w:tc>
          <w:tcPr>
            <w:tcW w:w="543" w:type="pct"/>
            <w:tcBorders>
              <w:top w:val="nil"/>
              <w:left w:val="nil"/>
              <w:bottom w:val="nil"/>
              <w:right w:val="nil"/>
            </w:tcBorders>
            <w:shd w:val="clear" w:color="auto" w:fill="auto"/>
            <w:noWrap/>
            <w:vAlign w:val="center"/>
          </w:tcPr>
          <w:p>
            <w:pPr>
              <w:pStyle w:val="33"/>
            </w:pPr>
            <w:r>
              <w:rPr>
                <w:lang w:eastAsia="zh-CN"/>
              </w:rPr>
              <w:t>11</w:t>
            </w:r>
            <w:r>
              <w:rPr>
                <w:rFonts w:hint="eastAsia"/>
                <w:lang w:eastAsia="zh-CN"/>
              </w:rPr>
              <w:t>×8</w:t>
            </w:r>
          </w:p>
        </w:tc>
        <w:tc>
          <w:tcPr>
            <w:tcW w:w="543" w:type="pct"/>
            <w:tcBorders>
              <w:top w:val="nil"/>
              <w:left w:val="nil"/>
              <w:bottom w:val="nil"/>
              <w:right w:val="nil"/>
            </w:tcBorders>
            <w:shd w:val="clear" w:color="auto" w:fill="auto"/>
            <w:noWrap/>
            <w:vAlign w:val="center"/>
          </w:tcPr>
          <w:p>
            <w:pPr>
              <w:pStyle w:val="33"/>
            </w:pPr>
            <w:r>
              <w:rPr>
                <w:lang w:eastAsia="zh-CN"/>
              </w:rPr>
              <w:t>-</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Number of PEM groups</w:t>
            </w:r>
            <w:r>
              <w:rPr>
                <w:rFonts w:hint="eastAsia"/>
                <w:lang w:eastAsia="zh-CN"/>
              </w:rPr>
              <w:t xml:space="preserve"> × </w:t>
            </w:r>
            <w:r>
              <w:rPr>
                <w:lang w:eastAsia="zh-CN"/>
              </w:rPr>
              <w:t>Number of electrolyzers in each group</w:t>
            </w:r>
          </w:p>
        </w:tc>
        <w:tc>
          <w:tcPr>
            <w:tcW w:w="723" w:type="pct"/>
            <w:tcBorders>
              <w:top w:val="nil"/>
              <w:left w:val="nil"/>
              <w:bottom w:val="nil"/>
              <w:right w:val="nil"/>
            </w:tcBorders>
            <w:shd w:val="clear" w:color="auto" w:fill="auto"/>
            <w:noWrap/>
            <w:vAlign w:val="center"/>
          </w:tcPr>
          <w:p>
            <w:pPr>
              <w:pStyle w:val="33"/>
            </w:pPr>
            <w:r>
              <w:rPr>
                <w:lang w:eastAsia="zh-CN"/>
              </w:rPr>
              <w:t>2</w:t>
            </w:r>
            <w:r>
              <w:rPr>
                <w:rFonts w:hint="eastAsia"/>
                <w:lang w:eastAsia="zh-CN"/>
              </w:rPr>
              <w:t>×4</w:t>
            </w:r>
          </w:p>
        </w:tc>
        <w:tc>
          <w:tcPr>
            <w:tcW w:w="543" w:type="pct"/>
            <w:tcBorders>
              <w:top w:val="nil"/>
              <w:left w:val="nil"/>
              <w:bottom w:val="nil"/>
              <w:right w:val="nil"/>
            </w:tcBorders>
            <w:shd w:val="clear" w:color="auto" w:fill="auto"/>
            <w:noWrap/>
            <w:vAlign w:val="center"/>
          </w:tcPr>
          <w:p>
            <w:pPr>
              <w:pStyle w:val="33"/>
            </w:pPr>
            <w:r>
              <w:rPr>
                <w:lang w:eastAsia="zh-CN"/>
              </w:rPr>
              <w:t>-</w:t>
            </w:r>
          </w:p>
        </w:tc>
        <w:tc>
          <w:tcPr>
            <w:tcW w:w="543" w:type="pct"/>
            <w:tcBorders>
              <w:top w:val="nil"/>
              <w:left w:val="nil"/>
              <w:bottom w:val="nil"/>
              <w:right w:val="nil"/>
            </w:tcBorders>
            <w:shd w:val="clear" w:color="auto" w:fill="auto"/>
            <w:noWrap/>
            <w:vAlign w:val="center"/>
          </w:tcPr>
          <w:p>
            <w:pPr>
              <w:pStyle w:val="33"/>
            </w:pPr>
            <w:r>
              <w:rPr>
                <w:lang w:eastAsia="zh-CN"/>
              </w:rPr>
              <w:t>15</w:t>
            </w:r>
            <w:r>
              <w:rPr>
                <w:rFonts w:hint="eastAsia"/>
                <w:lang w:eastAsia="zh-CN"/>
              </w:rPr>
              <w:t>×4</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Scale of ESS (MW)</w:t>
            </w:r>
          </w:p>
        </w:tc>
        <w:tc>
          <w:tcPr>
            <w:tcW w:w="723" w:type="pct"/>
            <w:tcBorders>
              <w:top w:val="nil"/>
              <w:left w:val="nil"/>
              <w:bottom w:val="nil"/>
              <w:right w:val="nil"/>
            </w:tcBorders>
            <w:shd w:val="clear" w:color="auto" w:fill="auto"/>
            <w:noWrap/>
            <w:vAlign w:val="center"/>
          </w:tcPr>
          <w:p>
            <w:pPr>
              <w:pStyle w:val="33"/>
            </w:pPr>
            <w:r>
              <w:rPr>
                <w:lang w:eastAsia="zh-CN"/>
              </w:rPr>
              <w:t>12.20</w:t>
            </w:r>
          </w:p>
        </w:tc>
        <w:tc>
          <w:tcPr>
            <w:tcW w:w="543" w:type="pct"/>
            <w:tcBorders>
              <w:top w:val="nil"/>
              <w:left w:val="nil"/>
              <w:bottom w:val="nil"/>
              <w:right w:val="nil"/>
            </w:tcBorders>
            <w:shd w:val="clear" w:color="auto" w:fill="auto"/>
            <w:noWrap/>
            <w:vAlign w:val="center"/>
          </w:tcPr>
          <w:p>
            <w:pPr>
              <w:pStyle w:val="33"/>
            </w:pPr>
            <w:r>
              <w:rPr>
                <w:lang w:eastAsia="zh-CN"/>
              </w:rPr>
              <w:t>39.11</w:t>
            </w:r>
          </w:p>
        </w:tc>
        <w:tc>
          <w:tcPr>
            <w:tcW w:w="543" w:type="pct"/>
            <w:tcBorders>
              <w:top w:val="nil"/>
              <w:left w:val="nil"/>
              <w:bottom w:val="nil"/>
              <w:right w:val="nil"/>
            </w:tcBorders>
            <w:shd w:val="clear" w:color="auto" w:fill="auto"/>
            <w:noWrap/>
            <w:vAlign w:val="center"/>
          </w:tcPr>
          <w:p>
            <w:pPr>
              <w:pStyle w:val="33"/>
            </w:pPr>
            <w:r>
              <w:rPr>
                <w:lang w:eastAsia="zh-CN"/>
              </w:rPr>
              <w:t>12.28</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Scale of HSS (10</w:t>
            </w:r>
            <w:r>
              <w:rPr>
                <w:vertAlign w:val="superscript"/>
                <w:lang w:eastAsia="zh-CN"/>
              </w:rPr>
              <w:t>4</w:t>
            </w:r>
            <w:r>
              <w:rPr>
                <w:lang w:eastAsia="zh-CN"/>
              </w:rPr>
              <w:t xml:space="preserve"> Nm3)</w:t>
            </w:r>
          </w:p>
        </w:tc>
        <w:tc>
          <w:tcPr>
            <w:tcW w:w="723" w:type="pct"/>
            <w:tcBorders>
              <w:top w:val="nil"/>
              <w:left w:val="nil"/>
              <w:bottom w:val="nil"/>
              <w:right w:val="nil"/>
            </w:tcBorders>
            <w:shd w:val="clear" w:color="auto" w:fill="auto"/>
            <w:noWrap/>
            <w:vAlign w:val="center"/>
          </w:tcPr>
          <w:p>
            <w:pPr>
              <w:pStyle w:val="33"/>
            </w:pPr>
            <w:r>
              <w:rPr>
                <w:lang w:eastAsia="zh-CN"/>
              </w:rPr>
              <w:t>142.76</w:t>
            </w:r>
          </w:p>
        </w:tc>
        <w:tc>
          <w:tcPr>
            <w:tcW w:w="543" w:type="pct"/>
            <w:tcBorders>
              <w:top w:val="nil"/>
              <w:left w:val="nil"/>
              <w:bottom w:val="nil"/>
              <w:right w:val="nil"/>
            </w:tcBorders>
            <w:shd w:val="clear" w:color="auto" w:fill="auto"/>
            <w:noWrap/>
            <w:vAlign w:val="center"/>
          </w:tcPr>
          <w:p>
            <w:pPr>
              <w:pStyle w:val="33"/>
            </w:pPr>
            <w:r>
              <w:rPr>
                <w:lang w:eastAsia="zh-CN"/>
              </w:rPr>
              <w:t>155.53</w:t>
            </w:r>
          </w:p>
        </w:tc>
        <w:tc>
          <w:tcPr>
            <w:tcW w:w="543" w:type="pct"/>
            <w:tcBorders>
              <w:top w:val="nil"/>
              <w:left w:val="nil"/>
              <w:bottom w:val="nil"/>
              <w:right w:val="nil"/>
            </w:tcBorders>
            <w:shd w:val="clear" w:color="auto" w:fill="auto"/>
            <w:noWrap/>
            <w:vAlign w:val="center"/>
          </w:tcPr>
          <w:p>
            <w:pPr>
              <w:pStyle w:val="33"/>
            </w:pPr>
            <w:r>
              <w:rPr>
                <w:lang w:eastAsia="zh-CN"/>
              </w:rPr>
              <w:t>122.47</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Annual total generation capacity (10</w:t>
            </w:r>
            <w:r>
              <w:rPr>
                <w:vertAlign w:val="superscript"/>
                <w:lang w:eastAsia="zh-CN"/>
              </w:rPr>
              <w:t>8</w:t>
            </w:r>
            <w:r>
              <w:rPr>
                <w:lang w:eastAsia="zh-CN"/>
              </w:rPr>
              <w:t xml:space="preserve"> kW·h)</w:t>
            </w:r>
          </w:p>
        </w:tc>
        <w:tc>
          <w:tcPr>
            <w:tcW w:w="723" w:type="pct"/>
            <w:tcBorders>
              <w:top w:val="nil"/>
              <w:left w:val="nil"/>
              <w:bottom w:val="nil"/>
              <w:right w:val="nil"/>
            </w:tcBorders>
            <w:shd w:val="clear" w:color="auto" w:fill="auto"/>
            <w:noWrap/>
            <w:vAlign w:val="center"/>
          </w:tcPr>
          <w:p>
            <w:pPr>
              <w:pStyle w:val="33"/>
            </w:pPr>
            <w:r>
              <w:rPr>
                <w:lang w:eastAsia="zh-CN"/>
              </w:rPr>
              <w:t>18.16</w:t>
            </w:r>
          </w:p>
        </w:tc>
        <w:tc>
          <w:tcPr>
            <w:tcW w:w="543" w:type="pct"/>
            <w:tcBorders>
              <w:top w:val="nil"/>
              <w:left w:val="nil"/>
              <w:bottom w:val="nil"/>
              <w:right w:val="nil"/>
            </w:tcBorders>
            <w:shd w:val="clear" w:color="auto" w:fill="auto"/>
            <w:noWrap/>
            <w:vAlign w:val="center"/>
          </w:tcPr>
          <w:p>
            <w:pPr>
              <w:pStyle w:val="33"/>
            </w:pPr>
            <w:r>
              <w:rPr>
                <w:lang w:eastAsia="zh-CN"/>
              </w:rPr>
              <w:t>18.16</w:t>
            </w:r>
          </w:p>
        </w:tc>
        <w:tc>
          <w:tcPr>
            <w:tcW w:w="543" w:type="pct"/>
            <w:tcBorders>
              <w:top w:val="nil"/>
              <w:left w:val="nil"/>
              <w:bottom w:val="nil"/>
              <w:right w:val="nil"/>
            </w:tcBorders>
            <w:shd w:val="clear" w:color="auto" w:fill="auto"/>
            <w:noWrap/>
            <w:vAlign w:val="center"/>
          </w:tcPr>
          <w:p>
            <w:pPr>
              <w:pStyle w:val="33"/>
            </w:pPr>
            <w:r>
              <w:rPr>
                <w:lang w:eastAsia="zh-CN"/>
              </w:rPr>
              <w:t>18.16</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Annual total power consumption (10</w:t>
            </w:r>
            <w:r>
              <w:rPr>
                <w:vertAlign w:val="superscript"/>
                <w:lang w:eastAsia="zh-CN"/>
              </w:rPr>
              <w:t>8</w:t>
            </w:r>
            <w:r>
              <w:rPr>
                <w:lang w:eastAsia="zh-CN"/>
              </w:rPr>
              <w:t xml:space="preserve"> kW·h)</w:t>
            </w:r>
          </w:p>
        </w:tc>
        <w:tc>
          <w:tcPr>
            <w:tcW w:w="723" w:type="pct"/>
            <w:tcBorders>
              <w:top w:val="nil"/>
              <w:left w:val="nil"/>
              <w:bottom w:val="nil"/>
              <w:right w:val="nil"/>
            </w:tcBorders>
            <w:shd w:val="clear" w:color="auto" w:fill="auto"/>
            <w:noWrap/>
            <w:vAlign w:val="center"/>
          </w:tcPr>
          <w:p>
            <w:pPr>
              <w:pStyle w:val="33"/>
            </w:pPr>
            <w:r>
              <w:rPr>
                <w:lang w:eastAsia="zh-CN"/>
              </w:rPr>
              <w:t>17.98</w:t>
            </w:r>
          </w:p>
        </w:tc>
        <w:tc>
          <w:tcPr>
            <w:tcW w:w="543" w:type="pct"/>
            <w:tcBorders>
              <w:top w:val="nil"/>
              <w:left w:val="nil"/>
              <w:bottom w:val="nil"/>
              <w:right w:val="nil"/>
            </w:tcBorders>
            <w:shd w:val="clear" w:color="auto" w:fill="auto"/>
            <w:noWrap/>
            <w:vAlign w:val="center"/>
          </w:tcPr>
          <w:p>
            <w:pPr>
              <w:pStyle w:val="33"/>
            </w:pPr>
            <w:r>
              <w:rPr>
                <w:lang w:eastAsia="zh-CN"/>
              </w:rPr>
              <w:t>18.45</w:t>
            </w:r>
          </w:p>
        </w:tc>
        <w:tc>
          <w:tcPr>
            <w:tcW w:w="543" w:type="pct"/>
            <w:tcBorders>
              <w:top w:val="nil"/>
              <w:left w:val="nil"/>
              <w:bottom w:val="nil"/>
              <w:right w:val="nil"/>
            </w:tcBorders>
            <w:shd w:val="clear" w:color="auto" w:fill="auto"/>
            <w:noWrap/>
            <w:vAlign w:val="center"/>
          </w:tcPr>
          <w:p>
            <w:pPr>
              <w:pStyle w:val="33"/>
            </w:pPr>
            <w:r>
              <w:rPr>
                <w:lang w:eastAsia="zh-CN"/>
              </w:rPr>
              <w:t>16.69</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Annual total electricity purchase (10</w:t>
            </w:r>
            <w:r>
              <w:rPr>
                <w:vertAlign w:val="superscript"/>
                <w:lang w:eastAsia="zh-CN"/>
              </w:rPr>
              <w:t>8</w:t>
            </w:r>
            <w:r>
              <w:rPr>
                <w:lang w:eastAsia="zh-CN"/>
              </w:rPr>
              <w:t xml:space="preserve"> kW·h)</w:t>
            </w:r>
          </w:p>
        </w:tc>
        <w:tc>
          <w:tcPr>
            <w:tcW w:w="723" w:type="pct"/>
            <w:tcBorders>
              <w:top w:val="nil"/>
              <w:left w:val="nil"/>
              <w:bottom w:val="nil"/>
              <w:right w:val="nil"/>
            </w:tcBorders>
            <w:shd w:val="clear" w:color="auto" w:fill="auto"/>
            <w:noWrap/>
            <w:vAlign w:val="center"/>
          </w:tcPr>
          <w:p>
            <w:pPr>
              <w:pStyle w:val="33"/>
            </w:pPr>
            <w:r>
              <w:rPr>
                <w:lang w:eastAsia="zh-CN"/>
              </w:rPr>
              <w:t>1.42</w:t>
            </w:r>
          </w:p>
        </w:tc>
        <w:tc>
          <w:tcPr>
            <w:tcW w:w="543" w:type="pct"/>
            <w:tcBorders>
              <w:top w:val="nil"/>
              <w:left w:val="nil"/>
              <w:bottom w:val="nil"/>
              <w:right w:val="nil"/>
            </w:tcBorders>
            <w:shd w:val="clear" w:color="auto" w:fill="auto"/>
            <w:noWrap/>
            <w:vAlign w:val="center"/>
          </w:tcPr>
          <w:p>
            <w:pPr>
              <w:pStyle w:val="33"/>
            </w:pPr>
            <w:r>
              <w:rPr>
                <w:lang w:eastAsia="zh-CN"/>
              </w:rPr>
              <w:t>1.48</w:t>
            </w:r>
          </w:p>
        </w:tc>
        <w:tc>
          <w:tcPr>
            <w:tcW w:w="543" w:type="pct"/>
            <w:tcBorders>
              <w:top w:val="nil"/>
              <w:left w:val="nil"/>
              <w:bottom w:val="nil"/>
              <w:right w:val="nil"/>
            </w:tcBorders>
            <w:shd w:val="clear" w:color="auto" w:fill="auto"/>
            <w:noWrap/>
            <w:vAlign w:val="center"/>
          </w:tcPr>
          <w:p>
            <w:pPr>
              <w:pStyle w:val="33"/>
            </w:pPr>
            <w:r>
              <w:rPr>
                <w:lang w:eastAsia="zh-CN"/>
              </w:rPr>
              <w:t>1.34</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C</w:t>
            </w:r>
            <w:r>
              <w:rPr>
                <w:rFonts w:hint="eastAsia"/>
                <w:lang w:eastAsia="zh-CN"/>
              </w:rPr>
              <w:t>urtailment</w:t>
            </w:r>
            <w:r>
              <w:rPr>
                <w:lang w:eastAsia="zh-CN"/>
              </w:rPr>
              <w:t xml:space="preserve"> rate</w:t>
            </w:r>
            <w:r>
              <w:rPr>
                <w:rFonts w:hint="eastAsia"/>
                <w:lang w:eastAsia="zh-CN"/>
              </w:rPr>
              <w:t xml:space="preserve"> (%)</w:t>
            </w:r>
          </w:p>
        </w:tc>
        <w:tc>
          <w:tcPr>
            <w:tcW w:w="723" w:type="pct"/>
            <w:tcBorders>
              <w:top w:val="nil"/>
              <w:left w:val="nil"/>
              <w:bottom w:val="nil"/>
              <w:right w:val="nil"/>
            </w:tcBorders>
            <w:shd w:val="clear" w:color="auto" w:fill="auto"/>
            <w:noWrap/>
            <w:vAlign w:val="center"/>
          </w:tcPr>
          <w:p>
            <w:pPr>
              <w:pStyle w:val="33"/>
            </w:pPr>
            <w:r>
              <w:rPr>
                <w:lang w:eastAsia="zh-CN"/>
              </w:rPr>
              <w:t>4.32</w:t>
            </w:r>
          </w:p>
        </w:tc>
        <w:tc>
          <w:tcPr>
            <w:tcW w:w="543" w:type="pct"/>
            <w:tcBorders>
              <w:top w:val="nil"/>
              <w:left w:val="nil"/>
              <w:bottom w:val="nil"/>
              <w:right w:val="nil"/>
            </w:tcBorders>
            <w:shd w:val="clear" w:color="auto" w:fill="auto"/>
            <w:noWrap/>
            <w:vAlign w:val="center"/>
          </w:tcPr>
          <w:p>
            <w:pPr>
              <w:pStyle w:val="33"/>
            </w:pPr>
            <w:r>
              <w:rPr>
                <w:lang w:eastAsia="zh-CN"/>
              </w:rPr>
              <w:t>1.83</w:t>
            </w:r>
          </w:p>
        </w:tc>
        <w:tc>
          <w:tcPr>
            <w:tcW w:w="543" w:type="pct"/>
            <w:tcBorders>
              <w:top w:val="nil"/>
              <w:left w:val="nil"/>
              <w:bottom w:val="nil"/>
              <w:right w:val="nil"/>
            </w:tcBorders>
            <w:shd w:val="clear" w:color="auto" w:fill="auto"/>
            <w:noWrap/>
            <w:vAlign w:val="center"/>
          </w:tcPr>
          <w:p>
            <w:pPr>
              <w:pStyle w:val="33"/>
            </w:pPr>
            <w:r>
              <w:rPr>
                <w:lang w:eastAsia="zh-CN"/>
              </w:rPr>
              <w:t>11.23</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Investment cost (10</w:t>
            </w:r>
            <w:r>
              <w:rPr>
                <w:vertAlign w:val="superscript"/>
                <w:lang w:eastAsia="zh-CN"/>
              </w:rPr>
              <w:t>8</w:t>
            </w:r>
            <w:r>
              <w:rPr>
                <w:lang w:eastAsia="zh-CN"/>
              </w:rPr>
              <w:t xml:space="preserve"> </w:t>
            </w:r>
            <w:r>
              <w:rPr>
                <w:rFonts w:hint="eastAsia"/>
                <w:lang w:eastAsia="zh-CN"/>
              </w:rPr>
              <w:t>CNY</w:t>
            </w:r>
            <w:r>
              <w:rPr>
                <w:lang w:eastAsia="zh-CN"/>
              </w:rPr>
              <w:t>)</w:t>
            </w:r>
          </w:p>
        </w:tc>
        <w:tc>
          <w:tcPr>
            <w:tcW w:w="723" w:type="pct"/>
            <w:tcBorders>
              <w:top w:val="nil"/>
              <w:left w:val="nil"/>
              <w:bottom w:val="nil"/>
              <w:right w:val="nil"/>
            </w:tcBorders>
            <w:shd w:val="clear" w:color="auto" w:fill="auto"/>
            <w:noWrap/>
            <w:vAlign w:val="center"/>
          </w:tcPr>
          <w:p>
            <w:pPr>
              <w:pStyle w:val="33"/>
            </w:pPr>
            <w:r>
              <w:rPr>
                <w:lang w:eastAsia="zh-CN"/>
              </w:rPr>
              <w:t>76.28</w:t>
            </w:r>
          </w:p>
        </w:tc>
        <w:tc>
          <w:tcPr>
            <w:tcW w:w="543" w:type="pct"/>
            <w:tcBorders>
              <w:top w:val="nil"/>
              <w:left w:val="nil"/>
              <w:bottom w:val="nil"/>
              <w:right w:val="nil"/>
            </w:tcBorders>
            <w:shd w:val="clear" w:color="auto" w:fill="auto"/>
            <w:noWrap/>
            <w:vAlign w:val="center"/>
          </w:tcPr>
          <w:p>
            <w:pPr>
              <w:pStyle w:val="33"/>
            </w:pPr>
            <w:r>
              <w:rPr>
                <w:lang w:eastAsia="zh-CN"/>
              </w:rPr>
              <w:t>76.49</w:t>
            </w:r>
          </w:p>
        </w:tc>
        <w:tc>
          <w:tcPr>
            <w:tcW w:w="543" w:type="pct"/>
            <w:tcBorders>
              <w:top w:val="nil"/>
              <w:left w:val="nil"/>
              <w:bottom w:val="nil"/>
              <w:right w:val="nil"/>
            </w:tcBorders>
            <w:shd w:val="clear" w:color="auto" w:fill="auto"/>
            <w:noWrap/>
            <w:vAlign w:val="center"/>
          </w:tcPr>
          <w:p>
            <w:pPr>
              <w:pStyle w:val="33"/>
            </w:pPr>
            <w:r>
              <w:rPr>
                <w:lang w:eastAsia="zh-CN"/>
              </w:rPr>
              <w:t>84.37</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 xml:space="preserve">Annual total </w:t>
            </w:r>
            <w:r>
              <w:rPr>
                <w:rFonts w:hint="eastAsia"/>
                <w:lang w:eastAsia="zh-CN"/>
              </w:rPr>
              <w:t>MeOH</w:t>
            </w:r>
            <w:r>
              <w:rPr>
                <w:lang w:eastAsia="zh-CN"/>
              </w:rPr>
              <w:t xml:space="preserve"> production (10</w:t>
            </w:r>
            <w:r>
              <w:rPr>
                <w:vertAlign w:val="superscript"/>
                <w:lang w:eastAsia="zh-CN"/>
              </w:rPr>
              <w:t>4</w:t>
            </w:r>
            <w:r>
              <w:rPr>
                <w:lang w:eastAsia="zh-CN"/>
              </w:rPr>
              <w:t xml:space="preserve"> t/</w:t>
            </w:r>
            <w:r>
              <w:rPr>
                <w:rFonts w:hint="eastAsia"/>
                <w:lang w:eastAsia="zh-CN"/>
              </w:rPr>
              <w:t>y</w:t>
            </w:r>
            <w:r>
              <w:rPr>
                <w:lang w:eastAsia="zh-CN"/>
              </w:rPr>
              <w:t>)</w:t>
            </w:r>
          </w:p>
        </w:tc>
        <w:tc>
          <w:tcPr>
            <w:tcW w:w="723" w:type="pct"/>
            <w:tcBorders>
              <w:top w:val="nil"/>
              <w:left w:val="nil"/>
              <w:bottom w:val="nil"/>
              <w:right w:val="nil"/>
            </w:tcBorders>
            <w:shd w:val="clear" w:color="auto" w:fill="auto"/>
            <w:noWrap/>
            <w:vAlign w:val="center"/>
          </w:tcPr>
          <w:p>
            <w:pPr>
              <w:pStyle w:val="33"/>
            </w:pPr>
            <w:r>
              <w:rPr>
                <w:lang w:eastAsia="zh-CN"/>
              </w:rPr>
              <w:t>30.03</w:t>
            </w:r>
          </w:p>
        </w:tc>
        <w:tc>
          <w:tcPr>
            <w:tcW w:w="543" w:type="pct"/>
            <w:tcBorders>
              <w:top w:val="nil"/>
              <w:left w:val="nil"/>
              <w:bottom w:val="nil"/>
              <w:right w:val="nil"/>
            </w:tcBorders>
            <w:shd w:val="clear" w:color="auto" w:fill="auto"/>
            <w:noWrap/>
            <w:vAlign w:val="center"/>
          </w:tcPr>
          <w:p>
            <w:pPr>
              <w:pStyle w:val="33"/>
            </w:pPr>
            <w:r>
              <w:rPr>
                <w:lang w:eastAsia="zh-CN"/>
              </w:rPr>
              <w:t>30.11</w:t>
            </w:r>
          </w:p>
        </w:tc>
        <w:tc>
          <w:tcPr>
            <w:tcW w:w="543" w:type="pct"/>
            <w:tcBorders>
              <w:top w:val="nil"/>
              <w:left w:val="nil"/>
              <w:bottom w:val="nil"/>
              <w:right w:val="nil"/>
            </w:tcBorders>
            <w:shd w:val="clear" w:color="auto" w:fill="auto"/>
            <w:noWrap/>
            <w:vAlign w:val="center"/>
          </w:tcPr>
          <w:p>
            <w:pPr>
              <w:pStyle w:val="33"/>
            </w:pPr>
            <w:r>
              <w:rPr>
                <w:lang w:eastAsia="zh-CN"/>
              </w:rPr>
              <w:t>30.11</w:t>
            </w:r>
          </w:p>
        </w:tc>
      </w:tr>
      <w:tr>
        <w:tblPrEx>
          <w:tblCellMar>
            <w:top w:w="0" w:type="dxa"/>
            <w:left w:w="108" w:type="dxa"/>
            <w:bottom w:w="0" w:type="dxa"/>
            <w:right w:w="108" w:type="dxa"/>
          </w:tblCellMar>
        </w:tblPrEx>
        <w:trPr>
          <w:trHeight w:val="360" w:hRule="atLeast"/>
        </w:trPr>
        <w:tc>
          <w:tcPr>
            <w:tcW w:w="3192" w:type="pct"/>
            <w:tcBorders>
              <w:top w:val="nil"/>
              <w:left w:val="nil"/>
              <w:bottom w:val="nil"/>
              <w:right w:val="nil"/>
            </w:tcBorders>
            <w:shd w:val="clear" w:color="auto" w:fill="auto"/>
            <w:noWrap/>
            <w:vAlign w:val="center"/>
          </w:tcPr>
          <w:p>
            <w:pPr>
              <w:pStyle w:val="33"/>
            </w:pPr>
            <w:r>
              <w:rPr>
                <w:lang w:eastAsia="zh-CN"/>
              </w:rPr>
              <w:t>Carbon emissions (gCO</w:t>
            </w:r>
            <w:r>
              <w:rPr>
                <w:vertAlign w:val="subscript"/>
                <w:lang w:eastAsia="zh-CN"/>
              </w:rPr>
              <w:t>2</w:t>
            </w:r>
            <w:r>
              <w:rPr>
                <w:lang w:eastAsia="zh-CN"/>
              </w:rPr>
              <w:t xml:space="preserve">/kg </w:t>
            </w:r>
            <w:r>
              <w:rPr>
                <w:rFonts w:hint="eastAsia"/>
                <w:lang w:eastAsia="zh-CN"/>
              </w:rPr>
              <w:t>MeOH</w:t>
            </w:r>
            <w:r>
              <w:rPr>
                <w:lang w:eastAsia="zh-CN"/>
              </w:rPr>
              <w:t>)</w:t>
            </w:r>
          </w:p>
        </w:tc>
        <w:tc>
          <w:tcPr>
            <w:tcW w:w="723" w:type="pct"/>
            <w:tcBorders>
              <w:top w:val="nil"/>
              <w:left w:val="nil"/>
              <w:bottom w:val="nil"/>
              <w:right w:val="nil"/>
            </w:tcBorders>
            <w:shd w:val="clear" w:color="auto" w:fill="auto"/>
            <w:noWrap/>
            <w:vAlign w:val="center"/>
          </w:tcPr>
          <w:p>
            <w:pPr>
              <w:pStyle w:val="33"/>
            </w:pPr>
            <w:r>
              <w:rPr>
                <w:lang w:eastAsia="zh-CN"/>
              </w:rPr>
              <w:t>389.03</w:t>
            </w:r>
          </w:p>
        </w:tc>
        <w:tc>
          <w:tcPr>
            <w:tcW w:w="543" w:type="pct"/>
            <w:tcBorders>
              <w:top w:val="nil"/>
              <w:left w:val="nil"/>
              <w:bottom w:val="nil"/>
              <w:right w:val="nil"/>
            </w:tcBorders>
            <w:shd w:val="clear" w:color="auto" w:fill="auto"/>
            <w:noWrap/>
            <w:vAlign w:val="center"/>
          </w:tcPr>
          <w:p>
            <w:pPr>
              <w:pStyle w:val="33"/>
            </w:pPr>
            <w:r>
              <w:rPr>
                <w:lang w:eastAsia="zh-CN"/>
              </w:rPr>
              <w:t>398.22</w:t>
            </w:r>
          </w:p>
        </w:tc>
        <w:tc>
          <w:tcPr>
            <w:tcW w:w="543" w:type="pct"/>
            <w:tcBorders>
              <w:top w:val="nil"/>
              <w:left w:val="nil"/>
              <w:bottom w:val="nil"/>
              <w:right w:val="nil"/>
            </w:tcBorders>
            <w:shd w:val="clear" w:color="auto" w:fill="auto"/>
            <w:noWrap/>
            <w:vAlign w:val="center"/>
          </w:tcPr>
          <w:p>
            <w:pPr>
              <w:pStyle w:val="33"/>
            </w:pPr>
            <w:r>
              <w:rPr>
                <w:lang w:eastAsia="zh-CN"/>
              </w:rPr>
              <w:t>360.24</w:t>
            </w:r>
          </w:p>
        </w:tc>
      </w:tr>
      <w:tr>
        <w:tblPrEx>
          <w:tblCellMar>
            <w:top w:w="0" w:type="dxa"/>
            <w:left w:w="108" w:type="dxa"/>
            <w:bottom w:w="0" w:type="dxa"/>
            <w:right w:w="108" w:type="dxa"/>
          </w:tblCellMar>
        </w:tblPrEx>
        <w:trPr>
          <w:trHeight w:val="288" w:hRule="atLeast"/>
        </w:trPr>
        <w:tc>
          <w:tcPr>
            <w:tcW w:w="3192" w:type="pct"/>
            <w:tcBorders>
              <w:top w:val="nil"/>
              <w:left w:val="nil"/>
              <w:bottom w:val="nil"/>
              <w:right w:val="nil"/>
            </w:tcBorders>
            <w:shd w:val="clear" w:color="auto" w:fill="auto"/>
            <w:noWrap/>
            <w:vAlign w:val="center"/>
          </w:tcPr>
          <w:p>
            <w:pPr>
              <w:pStyle w:val="33"/>
            </w:pPr>
            <w:r>
              <w:rPr>
                <w:lang w:eastAsia="zh-CN"/>
              </w:rPr>
              <w:t>Annual total hydrogen production (10</w:t>
            </w:r>
            <w:r>
              <w:rPr>
                <w:vertAlign w:val="superscript"/>
                <w:lang w:eastAsia="zh-CN"/>
              </w:rPr>
              <w:t>8</w:t>
            </w:r>
            <w:r>
              <w:rPr>
                <w:lang w:eastAsia="zh-CN"/>
              </w:rPr>
              <w:t xml:space="preserve"> Nm</w:t>
            </w:r>
            <w:r>
              <w:rPr>
                <w:vertAlign w:val="superscript"/>
                <w:lang w:eastAsia="zh-CN"/>
              </w:rPr>
              <w:t>3</w:t>
            </w:r>
            <w:r>
              <w:rPr>
                <w:lang w:eastAsia="zh-CN"/>
              </w:rPr>
              <w:t>/</w:t>
            </w:r>
            <w:r>
              <w:rPr>
                <w:rFonts w:hint="eastAsia"/>
                <w:lang w:eastAsia="zh-CN"/>
              </w:rPr>
              <w:t>y</w:t>
            </w:r>
            <w:r>
              <w:rPr>
                <w:lang w:eastAsia="zh-CN"/>
              </w:rPr>
              <w:t>)</w:t>
            </w:r>
          </w:p>
        </w:tc>
        <w:tc>
          <w:tcPr>
            <w:tcW w:w="723" w:type="pct"/>
            <w:tcBorders>
              <w:top w:val="nil"/>
              <w:left w:val="nil"/>
              <w:bottom w:val="nil"/>
              <w:right w:val="nil"/>
            </w:tcBorders>
            <w:shd w:val="clear" w:color="auto" w:fill="auto"/>
            <w:noWrap/>
            <w:vAlign w:val="center"/>
          </w:tcPr>
          <w:p>
            <w:pPr>
              <w:pStyle w:val="33"/>
            </w:pPr>
            <w:r>
              <w:rPr>
                <w:lang w:eastAsia="zh-CN"/>
              </w:rPr>
              <w:t>2.95</w:t>
            </w:r>
          </w:p>
        </w:tc>
        <w:tc>
          <w:tcPr>
            <w:tcW w:w="543" w:type="pct"/>
            <w:tcBorders>
              <w:top w:val="nil"/>
              <w:left w:val="nil"/>
              <w:bottom w:val="nil"/>
              <w:right w:val="nil"/>
            </w:tcBorders>
            <w:shd w:val="clear" w:color="auto" w:fill="auto"/>
            <w:noWrap/>
            <w:vAlign w:val="center"/>
          </w:tcPr>
          <w:p>
            <w:pPr>
              <w:pStyle w:val="33"/>
            </w:pPr>
            <w:r>
              <w:rPr>
                <w:lang w:eastAsia="zh-CN"/>
              </w:rPr>
              <w:t>2.97</w:t>
            </w:r>
          </w:p>
        </w:tc>
        <w:tc>
          <w:tcPr>
            <w:tcW w:w="543" w:type="pct"/>
            <w:tcBorders>
              <w:top w:val="nil"/>
              <w:left w:val="nil"/>
              <w:bottom w:val="nil"/>
              <w:right w:val="nil"/>
            </w:tcBorders>
            <w:shd w:val="clear" w:color="auto" w:fill="auto"/>
            <w:noWrap/>
            <w:vAlign w:val="center"/>
          </w:tcPr>
          <w:p>
            <w:pPr>
              <w:pStyle w:val="33"/>
            </w:pPr>
            <w:r>
              <w:rPr>
                <w:lang w:eastAsia="zh-CN"/>
              </w:rPr>
              <w:t>2.97</w:t>
            </w:r>
          </w:p>
        </w:tc>
      </w:tr>
      <w:tr>
        <w:tblPrEx>
          <w:tblCellMar>
            <w:top w:w="0" w:type="dxa"/>
            <w:left w:w="108" w:type="dxa"/>
            <w:bottom w:w="0" w:type="dxa"/>
            <w:right w:w="108" w:type="dxa"/>
          </w:tblCellMar>
        </w:tblPrEx>
        <w:trPr>
          <w:trHeight w:val="288" w:hRule="atLeast"/>
        </w:trPr>
        <w:tc>
          <w:tcPr>
            <w:tcW w:w="3192" w:type="pct"/>
            <w:tcBorders>
              <w:top w:val="nil"/>
              <w:left w:val="nil"/>
              <w:bottom w:val="single" w:color="auto" w:sz="4" w:space="0"/>
              <w:right w:val="nil"/>
            </w:tcBorders>
            <w:shd w:val="clear" w:color="auto" w:fill="auto"/>
            <w:noWrap/>
            <w:vAlign w:val="center"/>
          </w:tcPr>
          <w:p>
            <w:pPr>
              <w:pStyle w:val="33"/>
            </w:pPr>
            <w:r>
              <w:rPr>
                <w:lang w:eastAsia="zh-CN"/>
              </w:rPr>
              <w:t>Annual earnings (10</w:t>
            </w:r>
            <w:r>
              <w:rPr>
                <w:vertAlign w:val="superscript"/>
                <w:lang w:eastAsia="zh-CN"/>
              </w:rPr>
              <w:t>8</w:t>
            </w:r>
            <w:r>
              <w:rPr>
                <w:lang w:eastAsia="zh-CN"/>
              </w:rPr>
              <w:t xml:space="preserve"> </w:t>
            </w:r>
            <w:r>
              <w:rPr>
                <w:rFonts w:hint="eastAsia"/>
                <w:lang w:eastAsia="zh-CN"/>
              </w:rPr>
              <w:t>CNY</w:t>
            </w:r>
            <w:r>
              <w:rPr>
                <w:lang w:eastAsia="zh-CN"/>
              </w:rPr>
              <w:t>/y)</w:t>
            </w:r>
          </w:p>
        </w:tc>
        <w:tc>
          <w:tcPr>
            <w:tcW w:w="723" w:type="pct"/>
            <w:tcBorders>
              <w:top w:val="nil"/>
              <w:left w:val="nil"/>
              <w:bottom w:val="single" w:color="auto" w:sz="4" w:space="0"/>
              <w:right w:val="nil"/>
            </w:tcBorders>
            <w:shd w:val="clear" w:color="auto" w:fill="auto"/>
            <w:noWrap/>
            <w:vAlign w:val="center"/>
          </w:tcPr>
          <w:p>
            <w:pPr>
              <w:pStyle w:val="33"/>
            </w:pPr>
            <w:r>
              <w:rPr>
                <w:lang w:eastAsia="zh-CN"/>
              </w:rPr>
              <w:t>1.74</w:t>
            </w:r>
          </w:p>
        </w:tc>
        <w:tc>
          <w:tcPr>
            <w:tcW w:w="543" w:type="pct"/>
            <w:tcBorders>
              <w:top w:val="nil"/>
              <w:left w:val="nil"/>
              <w:bottom w:val="single" w:color="auto" w:sz="4" w:space="0"/>
              <w:right w:val="nil"/>
            </w:tcBorders>
            <w:shd w:val="clear" w:color="auto" w:fill="auto"/>
            <w:noWrap/>
            <w:vAlign w:val="center"/>
          </w:tcPr>
          <w:p>
            <w:pPr>
              <w:pStyle w:val="33"/>
            </w:pPr>
            <w:r>
              <w:rPr>
                <w:lang w:eastAsia="zh-CN"/>
              </w:rPr>
              <w:t>1.75</w:t>
            </w:r>
          </w:p>
        </w:tc>
        <w:tc>
          <w:tcPr>
            <w:tcW w:w="543" w:type="pct"/>
            <w:tcBorders>
              <w:top w:val="nil"/>
              <w:left w:val="nil"/>
              <w:bottom w:val="single" w:color="auto" w:sz="4" w:space="0"/>
              <w:right w:val="nil"/>
            </w:tcBorders>
            <w:shd w:val="clear" w:color="auto" w:fill="auto"/>
            <w:noWrap/>
            <w:vAlign w:val="center"/>
          </w:tcPr>
          <w:p>
            <w:pPr>
              <w:pStyle w:val="33"/>
            </w:pPr>
            <w:r>
              <w:rPr>
                <w:lang w:eastAsia="zh-CN"/>
              </w:rPr>
              <w:t>1.07</w:t>
            </w:r>
          </w:p>
        </w:tc>
      </w:tr>
    </w:tbl>
    <w:p>
      <w:pPr>
        <w:pStyle w:val="20"/>
        <w:spacing w:after="120"/>
        <w:rPr>
          <w:rFonts w:eastAsia="宋体"/>
          <w:lang w:eastAsia="zh-CN"/>
        </w:rPr>
      </w:pPr>
      <w:r>
        <w:t>The system</w:t>
      </w:r>
      <w:r>
        <w:rPr>
          <w:rFonts w:eastAsia="宋体"/>
          <w:lang w:eastAsia="zh-CN"/>
        </w:rPr>
        <w:t>s</w:t>
      </w:r>
      <w:r>
        <w:rPr>
          <w:rFonts w:hint="eastAsia" w:eastAsia="宋体"/>
          <w:lang w:eastAsia="zh-CN"/>
        </w:rPr>
        <w:t xml:space="preserve"> of coupling ALK and PEM electrolyzers, </w:t>
      </w:r>
      <w:r>
        <w:rPr>
          <w:rFonts w:eastAsia="宋体"/>
          <w:lang w:eastAsia="zh-CN"/>
        </w:rPr>
        <w:t>single</w:t>
      </w:r>
      <w:r>
        <w:rPr>
          <w:rFonts w:hint="eastAsia" w:eastAsia="宋体"/>
          <w:lang w:eastAsia="zh-CN"/>
        </w:rPr>
        <w:t xml:space="preserve"> ALK and </w:t>
      </w:r>
      <w:r>
        <w:rPr>
          <w:rFonts w:eastAsia="宋体"/>
          <w:lang w:eastAsia="zh-CN"/>
        </w:rPr>
        <w:t>single</w:t>
      </w:r>
      <w:r>
        <w:rPr>
          <w:rFonts w:hint="eastAsia" w:eastAsia="宋体"/>
          <w:lang w:eastAsia="zh-CN"/>
        </w:rPr>
        <w:t xml:space="preserve"> PEM electrolyzers are designed for comparison. The results are shown in Table 2.</w:t>
      </w:r>
    </w:p>
    <w:p>
      <w:pPr>
        <w:pStyle w:val="20"/>
        <w:spacing w:after="120"/>
        <w:rPr>
          <w:rFonts w:eastAsia="宋体"/>
          <w:lang w:eastAsia="zh-CN"/>
        </w:rPr>
      </w:pPr>
      <w:r>
        <w:rPr>
          <w:rFonts w:hint="eastAsia" w:eastAsia="宋体"/>
          <w:lang w:eastAsia="zh-CN"/>
        </w:rPr>
        <w:t>The optimized results indicate that the annual earnings of the coupling system are slightly lower than those of the pure ALK system but significantly higher than those of the pure PEM system. On the other hand, the carbon emissions of the MeOH product from the coupling system are higher than that of the ALK system but lower than that of the PEM system. These results can be attributed to the different characteristics of the electroly</w:t>
      </w:r>
      <w:r>
        <w:rPr>
          <w:rFonts w:eastAsia="宋体"/>
          <w:lang w:eastAsia="zh-CN"/>
        </w:rPr>
        <w:t>zer</w:t>
      </w:r>
      <w:r>
        <w:rPr>
          <w:rFonts w:hint="eastAsia" w:eastAsia="宋体"/>
          <w:lang w:eastAsia="zh-CN"/>
        </w:rPr>
        <w:t xml:space="preserve">s. The high investment cost of the pure PEM system, due to the expensive PEM electrolyzers, contributes to its lower earnings. The ALK electrolyzer has a lower cost, but its smaller adjustment load range requires a larger scale of hydrogen storage systems HSS and ESS, affecting its profitability. The coupling system takes advantage of both electrolyzers, resulting in favorable environmental and economic performance. Furthermore, the </w:t>
      </w:r>
      <w:r>
        <w:rPr>
          <w:rFonts w:hint="eastAsia"/>
          <w:lang w:eastAsia="zh-CN"/>
        </w:rPr>
        <w:t>curtailment</w:t>
      </w:r>
      <w:r>
        <w:rPr>
          <w:rFonts w:hint="eastAsia" w:eastAsia="宋体"/>
          <w:lang w:eastAsia="zh-CN"/>
        </w:rPr>
        <w:t xml:space="preserve"> rate of the coupling system is within 5%.</w:t>
      </w:r>
      <w:r>
        <w:rPr>
          <w:rFonts w:eastAsia="宋体"/>
          <w:lang w:eastAsia="zh-CN"/>
        </w:rPr>
        <w:t xml:space="preserve"> </w:t>
      </w:r>
      <w:r>
        <w:rPr>
          <w:lang w:eastAsia="zh-CN"/>
        </w:rPr>
        <w:t xml:space="preserve">For the annual </w:t>
      </w:r>
      <w:r>
        <w:rPr>
          <w:rFonts w:hint="eastAsia"/>
          <w:lang w:eastAsia="zh-CN"/>
        </w:rPr>
        <w:t xml:space="preserve">MeOH </w:t>
      </w:r>
      <w:r>
        <w:rPr>
          <w:lang w:eastAsia="zh-CN"/>
        </w:rPr>
        <w:t xml:space="preserve">production, the </w:t>
      </w:r>
      <w:r>
        <w:rPr>
          <w:rFonts w:hint="eastAsia"/>
          <w:lang w:eastAsia="zh-CN"/>
        </w:rPr>
        <w:t>operation</w:t>
      </w:r>
      <w:r>
        <w:rPr>
          <w:lang w:eastAsia="zh-CN"/>
        </w:rPr>
        <w:t xml:space="preserve"> load ratio of the </w:t>
      </w:r>
      <w:r>
        <w:rPr>
          <w:rFonts w:hint="eastAsia"/>
          <w:lang w:eastAsia="zh-CN"/>
        </w:rPr>
        <w:t xml:space="preserve">MPS </w:t>
      </w:r>
      <w:r>
        <w:rPr>
          <w:lang w:eastAsia="zh-CN"/>
        </w:rPr>
        <w:t>is not less than 80%</w:t>
      </w:r>
      <w:r>
        <w:rPr>
          <w:rFonts w:hint="eastAsia"/>
          <w:lang w:eastAsia="zh-CN"/>
        </w:rPr>
        <w:t xml:space="preserve"> in about 2/3 of the whole year with</w:t>
      </w:r>
      <w:r>
        <w:rPr>
          <w:lang w:eastAsia="zh-CN"/>
        </w:rPr>
        <w:t xml:space="preserve"> the minimum </w:t>
      </w:r>
      <w:r>
        <w:rPr>
          <w:rFonts w:hint="eastAsia"/>
          <w:lang w:eastAsia="zh-CN"/>
        </w:rPr>
        <w:t>one of</w:t>
      </w:r>
      <w:r>
        <w:rPr>
          <w:lang w:eastAsia="zh-CN"/>
        </w:rPr>
        <w:t xml:space="preserve"> 69.75%</w:t>
      </w:r>
      <w:r>
        <w:rPr>
          <w:rFonts w:hint="eastAsia"/>
          <w:lang w:eastAsia="zh-CN"/>
        </w:rPr>
        <w:t>.  Thus, the operation of the biomass-to-methanol system is basically stable.</w:t>
      </w:r>
      <w:r>
        <w:rPr>
          <w:rFonts w:hint="eastAsia" w:eastAsia="宋体"/>
          <w:lang w:eastAsia="zh-CN"/>
        </w:rPr>
        <w:t xml:space="preserve"> This demonstrates that the system is capable of adapting to the volatility of RESs.</w:t>
      </w:r>
    </w:p>
    <w:p>
      <w:pPr>
        <w:pStyle w:val="20"/>
        <w:spacing w:after="120"/>
        <w:jc w:val="center"/>
        <w:rPr>
          <w:rFonts w:eastAsia="Segoe UI"/>
          <w:sz w:val="18"/>
          <w:szCs w:val="18"/>
          <w:lang w:eastAsia="zh-CN"/>
        </w:rPr>
      </w:pPr>
      <w:bookmarkStart w:id="0" w:name="_GoBack"/>
      <w:r>
        <w:rPr>
          <w:rFonts w:eastAsia="Segoe UI"/>
          <w:sz w:val="18"/>
          <w:szCs w:val="18"/>
          <w:lang w:eastAsia="zh-CN"/>
        </w:rPr>
        <w:drawing>
          <wp:inline distT="0" distB="0" distL="114300" distR="114300">
            <wp:extent cx="4112260" cy="2303780"/>
            <wp:effectExtent l="0" t="0" r="2540" b="12700"/>
            <wp:docPr id="7" name="图片 7" descr="power schedul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ower schedulingA"/>
                    <pic:cNvPicPr>
                      <a:picLocks noChangeAspect="1"/>
                    </pic:cNvPicPr>
                  </pic:nvPicPr>
                  <pic:blipFill>
                    <a:blip r:embed="rId51"/>
                    <a:srcRect l="9245" t="1401" r="7706" b="2228"/>
                    <a:stretch>
                      <a:fillRect/>
                    </a:stretch>
                  </pic:blipFill>
                  <pic:spPr>
                    <a:xfrm>
                      <a:off x="0" y="0"/>
                      <a:ext cx="4112260" cy="2303780"/>
                    </a:xfrm>
                    <a:prstGeom prst="rect">
                      <a:avLst/>
                    </a:prstGeom>
                  </pic:spPr>
                </pic:pic>
              </a:graphicData>
            </a:graphic>
          </wp:inline>
        </w:drawing>
      </w:r>
      <w:bookmarkEnd w:id="0"/>
    </w:p>
    <w:p>
      <w:pPr>
        <w:pStyle w:val="20"/>
        <w:rPr>
          <w:rFonts w:eastAsia="宋体"/>
          <w:b/>
          <w:bCs/>
          <w:lang w:eastAsia="zh-CN"/>
        </w:rPr>
      </w:pPr>
      <w:r>
        <w:rPr>
          <w:rFonts w:hint="eastAsia" w:eastAsia="宋体"/>
          <w:b/>
          <w:bCs/>
          <w:lang w:eastAsia="zh-CN"/>
        </w:rPr>
        <w:t>Figure 2. Diagram of annual and weekly power scheduling</w:t>
      </w:r>
    </w:p>
    <w:p>
      <w:pPr>
        <w:pStyle w:val="20"/>
        <w:jc w:val="center"/>
        <w:rPr>
          <w:rFonts w:eastAsia="宋体"/>
          <w:b/>
          <w:bCs/>
          <w:lang w:eastAsia="zh-CN"/>
        </w:rPr>
      </w:pPr>
      <w:r>
        <w:rPr>
          <w:rFonts w:hint="eastAsia" w:eastAsia="宋体"/>
          <w:b/>
          <w:bCs/>
          <w:lang w:eastAsia="zh-CN"/>
        </w:rPr>
        <w:drawing>
          <wp:inline distT="0" distB="0" distL="114300" distR="114300">
            <wp:extent cx="4564380" cy="1334135"/>
            <wp:effectExtent l="0" t="0" r="0" b="0"/>
            <wp:docPr id="6" name="图片 6" descr="power scheduling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ower schedulingA_1"/>
                    <pic:cNvPicPr>
                      <a:picLocks noChangeAspect="1"/>
                    </pic:cNvPicPr>
                  </pic:nvPicPr>
                  <pic:blipFill>
                    <a:blip r:embed="rId52"/>
                    <a:srcRect l="9400" r="7930" b="49956"/>
                    <a:stretch>
                      <a:fillRect/>
                    </a:stretch>
                  </pic:blipFill>
                  <pic:spPr>
                    <a:xfrm>
                      <a:off x="0" y="0"/>
                      <a:ext cx="4564380" cy="1334135"/>
                    </a:xfrm>
                    <a:prstGeom prst="rect">
                      <a:avLst/>
                    </a:prstGeom>
                  </pic:spPr>
                </pic:pic>
              </a:graphicData>
            </a:graphic>
          </wp:inline>
        </w:drawing>
      </w:r>
    </w:p>
    <w:p>
      <w:pPr>
        <w:pStyle w:val="20"/>
        <w:jc w:val="center"/>
        <w:rPr>
          <w:rFonts w:hint="eastAsia" w:eastAsia="宋体"/>
          <w:b/>
          <w:bCs/>
          <w:lang w:eastAsia="zh-CN"/>
        </w:rPr>
      </w:pPr>
      <w:r>
        <w:rPr>
          <w:rFonts w:eastAsia="宋体"/>
          <w:b/>
          <w:bCs/>
          <w:lang w:eastAsia="zh-CN"/>
        </w:rPr>
        <w:drawing>
          <wp:inline distT="0" distB="0" distL="0" distR="0">
            <wp:extent cx="4402455" cy="168910"/>
            <wp:effectExtent l="0" t="0" r="0" b="0"/>
            <wp:docPr id="1790695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9580" name="图片 1"/>
                    <pic:cNvPicPr>
                      <a:picLocks noChangeAspect="1"/>
                    </pic:cNvPicPr>
                  </pic:nvPicPr>
                  <pic:blipFill>
                    <a:blip r:embed="rId53">
                      <a:clrChange>
                        <a:clrFrom>
                          <a:srgbClr val="F0F0F0">
                            <a:alpha val="100000"/>
                          </a:srgbClr>
                        </a:clrFrom>
                        <a:clrTo>
                          <a:srgbClr val="F0F0F0">
                            <a:alpha val="100000"/>
                            <a:alpha val="0"/>
                          </a:srgbClr>
                        </a:clrTo>
                      </a:clrChange>
                    </a:blip>
                    <a:srcRect l="1228" t="11381" r="931" b="38993"/>
                    <a:stretch>
                      <a:fillRect/>
                    </a:stretch>
                  </pic:blipFill>
                  <pic:spPr>
                    <a:xfrm>
                      <a:off x="0" y="0"/>
                      <a:ext cx="4402455" cy="168910"/>
                    </a:xfrm>
                    <a:prstGeom prst="rect">
                      <a:avLst/>
                    </a:prstGeom>
                  </pic:spPr>
                </pic:pic>
              </a:graphicData>
            </a:graphic>
          </wp:inline>
        </w:drawing>
      </w:r>
    </w:p>
    <w:p>
      <w:pPr>
        <w:pStyle w:val="20"/>
        <w:rPr>
          <w:rFonts w:eastAsia="宋体"/>
          <w:b/>
          <w:bCs/>
          <w:lang w:eastAsia="zh-CN"/>
        </w:rPr>
      </w:pPr>
      <w:r>
        <w:rPr>
          <w:rFonts w:hint="eastAsia" w:eastAsia="宋体"/>
          <w:b/>
          <w:bCs/>
          <w:lang w:eastAsia="zh-CN"/>
        </w:rPr>
        <w:t>Figure 3. Weekly power sources and abandon</w:t>
      </w:r>
    </w:p>
    <w:p>
      <w:pPr>
        <w:pStyle w:val="20"/>
        <w:spacing w:after="120"/>
        <w:rPr>
          <w:rFonts w:eastAsia="宋体"/>
          <w:lang w:eastAsia="zh-CN"/>
        </w:rPr>
      </w:pPr>
      <w:r>
        <w:rPr>
          <w:rFonts w:hint="eastAsia" w:eastAsia="宋体"/>
          <w:lang w:eastAsia="zh-CN"/>
        </w:rPr>
        <w:t>Figure 2 illustrates that the electricity purchase during the gale season is significantly lower than during other seasons. Figure 3 further explains that electricity purchases are primarily used to maintain system operation at night when there is no PV power generation during the breeze season. On the other hand, during the gale season, when there is sufficient PV power generation during the day, there is a noticeable phenomenon of power abandonment. This is likely due to the high cost of the batteries used in the ESS. Instead of increasing the scale of the ESS to store the excess power generated during the gale season and use it during the breeze season, it is more economical to abandon the excess power and purchase electricity when RESs are insufficient.</w:t>
      </w:r>
    </w:p>
    <w:p>
      <w:pPr>
        <w:pStyle w:val="19"/>
        <w:spacing w:after="120"/>
        <w:rPr>
          <w:lang w:val="en-GB"/>
        </w:rPr>
      </w:pPr>
      <w:r>
        <w:rPr>
          <w:rFonts w:hint="eastAsia" w:eastAsia="宋体"/>
          <w:lang w:eastAsia="zh-CN"/>
        </w:rPr>
        <w:t>Conclusion</w:t>
      </w:r>
    </w:p>
    <w:p>
      <w:pPr>
        <w:pStyle w:val="20"/>
        <w:spacing w:after="120"/>
        <w:rPr>
          <w:rFonts w:eastAsia="宋体"/>
          <w:lang w:eastAsia="zh-CN"/>
        </w:rPr>
      </w:pPr>
      <w:r>
        <w:rPr>
          <w:rFonts w:hint="eastAsia" w:eastAsia="宋体"/>
          <w:lang w:eastAsia="zh-CN"/>
        </w:rPr>
        <w:t>The proposed method for designing an optimal integrated system of biomass-to-methanol and green hydrogen appears to be innovative and promising. The coupling of both ALK and PEM electrolyzers allows for the combination of their respective advantages. In the case study part, the method is applied to design a system, with an annual revenue of 1.738×10</w:t>
      </w:r>
      <w:r>
        <w:rPr>
          <w:rFonts w:hint="eastAsia" w:eastAsia="宋体"/>
          <w:vertAlign w:val="superscript"/>
          <w:lang w:eastAsia="zh-CN"/>
        </w:rPr>
        <w:t>8</w:t>
      </w:r>
      <w:r>
        <w:rPr>
          <w:rFonts w:hint="eastAsia" w:eastAsia="宋体"/>
          <w:lang w:eastAsia="zh-CN"/>
        </w:rPr>
        <w:t xml:space="preserve"> CNY/y and the carbon emission of 398.03 gCO</w:t>
      </w:r>
      <w:r>
        <w:rPr>
          <w:rFonts w:hint="eastAsia" w:eastAsia="宋体"/>
          <w:vertAlign w:val="subscript"/>
          <w:lang w:eastAsia="zh-CN"/>
        </w:rPr>
        <w:t>2</w:t>
      </w:r>
      <w:r>
        <w:rPr>
          <w:rFonts w:hint="eastAsia" w:eastAsia="宋体"/>
          <w:lang w:eastAsia="zh-CN"/>
        </w:rPr>
        <w:t xml:space="preserve">/kg MeOH. The ability of the system to adapt to fluctuations in RESs power generation is also a significant advantage according to the annual operating status of MPS. </w:t>
      </w:r>
    </w:p>
    <w:p>
      <w:pPr>
        <w:pStyle w:val="20"/>
        <w:spacing w:after="120"/>
        <w:rPr>
          <w:rFonts w:eastAsia="宋体"/>
          <w:lang w:eastAsia="zh-CN"/>
        </w:rPr>
      </w:pPr>
      <w:r>
        <w:rPr>
          <w:rFonts w:hint="eastAsia" w:eastAsia="宋体"/>
          <w:lang w:eastAsia="zh-CN"/>
        </w:rPr>
        <w:t>In future studies, it would be interesting to consider other downstream processes of hydrogen production in order to further optimize the system. Additionally, the existing model could be combined with heuristic algorithms for even greater optimization.</w:t>
      </w:r>
    </w:p>
    <w:p>
      <w:pPr>
        <w:pStyle w:val="31"/>
      </w:pPr>
      <w:r>
        <w:t>References</w:t>
      </w:r>
    </w:p>
    <w:p>
      <w:pPr>
        <w:pStyle w:val="32"/>
        <w:numPr>
          <w:ilvl w:val="0"/>
          <w:numId w:val="3"/>
        </w:numPr>
        <w:rPr>
          <w:rFonts w:eastAsia="Segoe UI"/>
          <w:szCs w:val="18"/>
          <w:lang w:val="en-US"/>
        </w:rPr>
      </w:pPr>
      <w:r>
        <w:rPr>
          <w:rFonts w:eastAsia="Segoe UI"/>
          <w:szCs w:val="18"/>
          <w:lang w:val="en-US"/>
        </w:rPr>
        <w:t>Buttler, &amp; H. Spliethoff, 2018</w:t>
      </w:r>
      <w:r>
        <w:rPr>
          <w:rFonts w:hint="eastAsia" w:eastAsia="宋体"/>
          <w:szCs w:val="18"/>
          <w:lang w:val="en-US" w:eastAsia="zh-CN"/>
        </w:rPr>
        <w:t>,</w:t>
      </w:r>
      <w:r>
        <w:rPr>
          <w:rFonts w:eastAsia="Segoe UI"/>
          <w:szCs w:val="18"/>
          <w:lang w:val="en-US"/>
        </w:rPr>
        <w:t xml:space="preserve"> Current status of water electrolysis for energy storage, grid balancing and sector coupling via power-to-gas and power-to-liquids: A review</w:t>
      </w:r>
      <w:r>
        <w:rPr>
          <w:rFonts w:hint="eastAsia" w:eastAsia="宋体"/>
          <w:szCs w:val="18"/>
          <w:lang w:val="en-US" w:eastAsia="zh-CN"/>
        </w:rPr>
        <w:t>,</w:t>
      </w:r>
      <w:r>
        <w:rPr>
          <w:rFonts w:eastAsia="Segoe UI"/>
          <w:szCs w:val="18"/>
          <w:lang w:val="en-US"/>
        </w:rPr>
        <w:t xml:space="preserve"> Renewable and Sustainable Energy Reviews, 82</w:t>
      </w:r>
    </w:p>
    <w:p>
      <w:pPr>
        <w:pStyle w:val="32"/>
        <w:rPr>
          <w:lang w:val="en-US"/>
        </w:rPr>
      </w:pPr>
      <w:r>
        <w:rPr>
          <w:rFonts w:hint="eastAsia" w:eastAsia="宋体"/>
          <w:lang w:val="en-US" w:eastAsia="zh-CN"/>
        </w:rPr>
        <w:t>E.</w:t>
      </w:r>
      <w:r>
        <w:rPr>
          <w:lang w:val="en-US"/>
        </w:rPr>
        <w:t xml:space="preserve"> </w:t>
      </w:r>
      <w:r>
        <w:rPr>
          <w:rFonts w:hint="eastAsia" w:eastAsia="宋体"/>
          <w:lang w:val="en-US" w:eastAsia="zh-CN"/>
        </w:rPr>
        <w:t>Dogan</w:t>
      </w:r>
      <w:r>
        <w:rPr>
          <w:lang w:val="en-US"/>
        </w:rPr>
        <w:t>, T</w:t>
      </w:r>
      <w:r>
        <w:rPr>
          <w:rFonts w:hint="eastAsia" w:eastAsia="宋体"/>
          <w:lang w:val="en-US" w:eastAsia="zh-CN"/>
        </w:rPr>
        <w:t>.</w:t>
      </w:r>
      <w:r>
        <w:rPr>
          <w:lang w:val="en-US"/>
        </w:rPr>
        <w:t xml:space="preserve"> Luni, M</w:t>
      </w:r>
      <w:r>
        <w:rPr>
          <w:rFonts w:hint="eastAsia" w:eastAsia="宋体"/>
          <w:lang w:val="en-US" w:eastAsia="zh-CN"/>
        </w:rPr>
        <w:t>.</w:t>
      </w:r>
      <w:r>
        <w:rPr>
          <w:lang w:val="en-US"/>
        </w:rPr>
        <w:t xml:space="preserve"> T</w:t>
      </w:r>
      <w:r>
        <w:rPr>
          <w:rFonts w:hint="eastAsia" w:eastAsia="宋体"/>
          <w:lang w:val="en-US" w:eastAsia="zh-CN"/>
        </w:rPr>
        <w:t>.</w:t>
      </w:r>
      <w:r>
        <w:rPr>
          <w:lang w:val="en-US"/>
        </w:rPr>
        <w:t xml:space="preserve"> Majeed, and P</w:t>
      </w:r>
      <w:r>
        <w:rPr>
          <w:rFonts w:hint="eastAsia" w:eastAsia="宋体"/>
          <w:lang w:val="en-US" w:eastAsia="zh-CN"/>
        </w:rPr>
        <w:t>.</w:t>
      </w:r>
      <w:r>
        <w:rPr>
          <w:lang w:val="en-US"/>
        </w:rPr>
        <w:t xml:space="preserve"> Tzeremes</w:t>
      </w:r>
      <w:r>
        <w:rPr>
          <w:rFonts w:hint="eastAsia" w:eastAsia="宋体"/>
          <w:lang w:val="en-US" w:eastAsia="zh-CN"/>
        </w:rPr>
        <w:t>,</w:t>
      </w:r>
      <w:r>
        <w:rPr>
          <w:lang w:val="en-US"/>
        </w:rPr>
        <w:t xml:space="preserve"> 2023</w:t>
      </w:r>
      <w:r>
        <w:rPr>
          <w:rFonts w:hint="eastAsia" w:eastAsia="宋体"/>
          <w:lang w:val="en-US" w:eastAsia="zh-CN"/>
        </w:rPr>
        <w:t xml:space="preserve">, </w:t>
      </w:r>
      <w:r>
        <w:rPr>
          <w:lang w:val="en-US"/>
        </w:rPr>
        <w:t>The nexus between global carbon and renewable energy sources: A step towards sustainability, Journal of Cleaner Production, 416</w:t>
      </w:r>
    </w:p>
    <w:p>
      <w:pPr>
        <w:pStyle w:val="32"/>
        <w:rPr>
          <w:lang w:val="en-US"/>
        </w:rPr>
      </w:pPr>
      <w:r>
        <w:rPr>
          <w:lang w:val="en-US"/>
        </w:rPr>
        <w:t>N</w:t>
      </w:r>
      <w:r>
        <w:rPr>
          <w:rFonts w:hint="eastAsia" w:eastAsia="宋体"/>
          <w:lang w:val="en-US" w:eastAsia="zh-CN"/>
        </w:rPr>
        <w:t>. D.</w:t>
      </w:r>
      <w:r>
        <w:rPr>
          <w:lang w:val="en-US"/>
        </w:rPr>
        <w:t xml:space="preserve"> Fournas, </w:t>
      </w:r>
      <w:r>
        <w:rPr>
          <w:rFonts w:hint="eastAsia" w:eastAsia="宋体"/>
          <w:lang w:val="en-US" w:eastAsia="zh-CN"/>
        </w:rPr>
        <w:t>&amp;</w:t>
      </w:r>
      <w:r>
        <w:rPr>
          <w:lang w:val="en-US"/>
        </w:rPr>
        <w:t xml:space="preserve"> M</w:t>
      </w:r>
      <w:r>
        <w:rPr>
          <w:rFonts w:hint="eastAsia" w:eastAsia="宋体"/>
          <w:lang w:val="en-US" w:eastAsia="zh-CN"/>
        </w:rPr>
        <w:t>.</w:t>
      </w:r>
      <w:r>
        <w:rPr>
          <w:lang w:val="en-US"/>
        </w:rPr>
        <w:t xml:space="preserve"> Wei</w:t>
      </w:r>
      <w:r>
        <w:rPr>
          <w:rFonts w:hint="eastAsia" w:eastAsia="宋体"/>
          <w:lang w:val="en-US" w:eastAsia="zh-CN"/>
        </w:rPr>
        <w:t>,</w:t>
      </w:r>
      <w:r>
        <w:rPr>
          <w:lang w:val="en-US"/>
        </w:rPr>
        <w:t xml:space="preserve"> 2022</w:t>
      </w:r>
      <w:r>
        <w:rPr>
          <w:rFonts w:hint="eastAsia" w:eastAsia="宋体"/>
          <w:lang w:val="en-US" w:eastAsia="zh-CN"/>
        </w:rPr>
        <w:t>,</w:t>
      </w:r>
      <w:r>
        <w:rPr>
          <w:lang w:val="en-US"/>
        </w:rPr>
        <w:t xml:space="preserve"> Techno-economic assessment of renewable methanol from biomass gasification and PEM electrolysis for decarbonization of the maritime sector in California, Energy Conversion and Management, 257</w:t>
      </w:r>
    </w:p>
    <w:p>
      <w:pPr>
        <w:pStyle w:val="32"/>
        <w:rPr>
          <w:lang w:val="en-US"/>
        </w:rPr>
      </w:pPr>
      <w:r>
        <w:rPr>
          <w:lang w:val="en-US"/>
        </w:rPr>
        <w:t>M. G.</w:t>
      </w:r>
      <w:r>
        <w:rPr>
          <w:rFonts w:hint="eastAsia" w:eastAsia="宋体"/>
          <w:lang w:val="en-US" w:eastAsia="zh-CN"/>
        </w:rPr>
        <w:t xml:space="preserve"> </w:t>
      </w:r>
      <w:r>
        <w:rPr>
          <w:lang w:val="en-US"/>
        </w:rPr>
        <w:t>Gado, &amp; H. Hassan,</w:t>
      </w:r>
      <w:r>
        <w:rPr>
          <w:rFonts w:hint="eastAsia" w:eastAsia="宋体"/>
          <w:lang w:val="en-US" w:eastAsia="zh-CN"/>
        </w:rPr>
        <w:t xml:space="preserve"> </w:t>
      </w:r>
      <w:r>
        <w:rPr>
          <w:lang w:val="en-US"/>
        </w:rPr>
        <w:t>2023</w:t>
      </w:r>
      <w:r>
        <w:rPr>
          <w:rFonts w:hint="eastAsia" w:eastAsia="宋体"/>
          <w:lang w:val="en-US" w:eastAsia="zh-CN"/>
        </w:rPr>
        <w:t>,</w:t>
      </w:r>
      <w:r>
        <w:rPr>
          <w:lang w:val="en-US"/>
        </w:rPr>
        <w:t xml:space="preserve"> Potential of prospective plans in MENA countries for green hydrogen generation driven by solar and wind power sources</w:t>
      </w:r>
      <w:r>
        <w:rPr>
          <w:rFonts w:hint="eastAsia" w:eastAsia="宋体"/>
          <w:lang w:val="en-US" w:eastAsia="zh-CN"/>
        </w:rPr>
        <w:t>,</w:t>
      </w:r>
      <w:r>
        <w:rPr>
          <w:lang w:val="en-US"/>
        </w:rPr>
        <w:t xml:space="preserve"> Solar Energy, 263</w:t>
      </w:r>
    </w:p>
    <w:p>
      <w:pPr>
        <w:pStyle w:val="32"/>
        <w:rPr>
          <w:lang w:val="en-US"/>
        </w:rPr>
      </w:pPr>
      <w:r>
        <w:rPr>
          <w:lang w:val="en-US"/>
        </w:rPr>
        <w:t>M</w:t>
      </w:r>
      <w:r>
        <w:rPr>
          <w:rFonts w:hint="eastAsia" w:eastAsia="宋体"/>
          <w:lang w:val="en-US" w:eastAsia="zh-CN"/>
        </w:rPr>
        <w:t>.</w:t>
      </w:r>
      <w:r>
        <w:rPr>
          <w:lang w:val="en-US"/>
        </w:rPr>
        <w:t xml:space="preserve"> S</w:t>
      </w:r>
      <w:r>
        <w:rPr>
          <w:rFonts w:hint="eastAsia" w:eastAsia="宋体"/>
          <w:lang w:val="en-US" w:eastAsia="zh-CN"/>
        </w:rPr>
        <w:t xml:space="preserve">. </w:t>
      </w:r>
      <w:r>
        <w:rPr>
          <w:lang w:val="en-US"/>
        </w:rPr>
        <w:t>Herdem, D</w:t>
      </w:r>
      <w:r>
        <w:rPr>
          <w:rFonts w:hint="eastAsia" w:eastAsia="宋体"/>
          <w:lang w:val="en-US" w:eastAsia="zh-CN"/>
        </w:rPr>
        <w:t>.</w:t>
      </w:r>
      <w:r>
        <w:rPr>
          <w:lang w:val="en-US"/>
        </w:rPr>
        <w:t xml:space="preserve"> Mazzeo, N</w:t>
      </w:r>
      <w:r>
        <w:rPr>
          <w:rFonts w:hint="eastAsia" w:eastAsia="宋体"/>
          <w:lang w:val="en-US" w:eastAsia="zh-CN"/>
        </w:rPr>
        <w:t>.</w:t>
      </w:r>
      <w:r>
        <w:rPr>
          <w:lang w:val="en-US"/>
        </w:rPr>
        <w:t xml:space="preserve"> Matera, J</w:t>
      </w:r>
      <w:r>
        <w:rPr>
          <w:rFonts w:hint="eastAsia" w:eastAsia="宋体"/>
          <w:lang w:val="en-US" w:eastAsia="zh-CN"/>
        </w:rPr>
        <w:t>.</w:t>
      </w:r>
      <w:r>
        <w:rPr>
          <w:lang w:val="en-US"/>
        </w:rPr>
        <w:t xml:space="preserve"> Z. Wen, J</w:t>
      </w:r>
      <w:r>
        <w:rPr>
          <w:rFonts w:hint="eastAsia" w:eastAsia="宋体"/>
          <w:lang w:val="en-US" w:eastAsia="zh-CN"/>
        </w:rPr>
        <w:t>.</w:t>
      </w:r>
      <w:r>
        <w:rPr>
          <w:lang w:val="en-US"/>
        </w:rPr>
        <w:t xml:space="preserve"> Nathwani, </w:t>
      </w:r>
      <w:r>
        <w:rPr>
          <w:rFonts w:hint="eastAsia" w:eastAsia="宋体"/>
          <w:lang w:val="en-US" w:eastAsia="zh-CN"/>
        </w:rPr>
        <w:t>&amp;</w:t>
      </w:r>
      <w:r>
        <w:rPr>
          <w:lang w:val="en-US"/>
        </w:rPr>
        <w:t xml:space="preserve"> Z</w:t>
      </w:r>
      <w:r>
        <w:rPr>
          <w:rFonts w:hint="eastAsia" w:eastAsia="宋体"/>
          <w:lang w:val="en-US" w:eastAsia="zh-CN"/>
        </w:rPr>
        <w:t>.</w:t>
      </w:r>
      <w:r>
        <w:rPr>
          <w:lang w:val="en-US"/>
        </w:rPr>
        <w:t xml:space="preserve"> Hong</w:t>
      </w:r>
      <w:r>
        <w:rPr>
          <w:rFonts w:hint="eastAsia" w:eastAsia="宋体"/>
          <w:lang w:val="en-US" w:eastAsia="zh-CN"/>
        </w:rPr>
        <w:t>,</w:t>
      </w:r>
      <w:r>
        <w:rPr>
          <w:lang w:val="en-US"/>
        </w:rPr>
        <w:t xml:space="preserve"> 2020</w:t>
      </w:r>
      <w:r>
        <w:rPr>
          <w:rFonts w:hint="eastAsia" w:eastAsia="宋体"/>
          <w:lang w:val="en-US" w:eastAsia="zh-CN"/>
        </w:rPr>
        <w:t xml:space="preserve">, </w:t>
      </w:r>
      <w:r>
        <w:rPr>
          <w:lang w:val="en-US"/>
        </w:rPr>
        <w:t>Simulation and modeling of a combined biomass gasification-solar photovoltaic hydrogen production system for methanol synthesis via carbon dioxide hydrogenation, Energy Conversion and Management, 219</w:t>
      </w:r>
    </w:p>
    <w:p>
      <w:pPr>
        <w:pStyle w:val="32"/>
        <w:rPr>
          <w:lang w:val="en-US"/>
        </w:rPr>
      </w:pPr>
      <w:r>
        <w:rPr>
          <w:lang w:val="en-US"/>
        </w:rPr>
        <w:t>H</w:t>
      </w:r>
      <w:r>
        <w:rPr>
          <w:rFonts w:hint="eastAsia" w:eastAsia="宋体"/>
          <w:lang w:val="en-US" w:eastAsia="zh-CN"/>
        </w:rPr>
        <w:t>.</w:t>
      </w:r>
      <w:r>
        <w:rPr>
          <w:lang w:val="en-US"/>
        </w:rPr>
        <w:t xml:space="preserve"> Kojima, K</w:t>
      </w:r>
      <w:r>
        <w:rPr>
          <w:rFonts w:hint="eastAsia" w:eastAsia="宋体"/>
          <w:lang w:val="en-US" w:eastAsia="zh-CN"/>
        </w:rPr>
        <w:t>.</w:t>
      </w:r>
      <w:r>
        <w:rPr>
          <w:lang w:val="en-US"/>
        </w:rPr>
        <w:t xml:space="preserve"> Nagasawa, N</w:t>
      </w:r>
      <w:r>
        <w:rPr>
          <w:rFonts w:hint="eastAsia" w:eastAsia="宋体"/>
          <w:lang w:val="en-US" w:eastAsia="zh-CN"/>
        </w:rPr>
        <w:t>.</w:t>
      </w:r>
      <w:r>
        <w:rPr>
          <w:lang w:val="en-US"/>
        </w:rPr>
        <w:t xml:space="preserve"> Todoroki, Y</w:t>
      </w:r>
      <w:r>
        <w:rPr>
          <w:rFonts w:hint="eastAsia" w:eastAsia="宋体"/>
          <w:lang w:val="en-US" w:eastAsia="zh-CN"/>
        </w:rPr>
        <w:t>.</w:t>
      </w:r>
      <w:r>
        <w:rPr>
          <w:lang w:val="en-US"/>
        </w:rPr>
        <w:t xml:space="preserve"> Ito, T</w:t>
      </w:r>
      <w:r>
        <w:rPr>
          <w:rFonts w:hint="eastAsia" w:eastAsia="宋体"/>
          <w:lang w:val="en-US" w:eastAsia="zh-CN"/>
        </w:rPr>
        <w:t>.</w:t>
      </w:r>
      <w:r>
        <w:rPr>
          <w:lang w:val="en-US"/>
        </w:rPr>
        <w:t xml:space="preserve"> Matsui, &amp; R</w:t>
      </w:r>
      <w:r>
        <w:rPr>
          <w:rFonts w:hint="eastAsia" w:eastAsia="宋体"/>
          <w:lang w:val="en-US" w:eastAsia="zh-CN"/>
        </w:rPr>
        <w:t>.</w:t>
      </w:r>
      <w:r>
        <w:rPr>
          <w:lang w:val="en-US"/>
        </w:rPr>
        <w:t xml:space="preserve"> Nakajima</w:t>
      </w:r>
      <w:r>
        <w:rPr>
          <w:rFonts w:hint="eastAsia" w:eastAsia="宋体"/>
          <w:lang w:val="en-US" w:eastAsia="zh-CN"/>
        </w:rPr>
        <w:t>,</w:t>
      </w:r>
      <w:r>
        <w:rPr>
          <w:lang w:val="en-US"/>
        </w:rPr>
        <w:t xml:space="preserve"> 2023</w:t>
      </w:r>
      <w:r>
        <w:rPr>
          <w:rFonts w:hint="eastAsia" w:eastAsia="宋体"/>
          <w:lang w:val="en-US" w:eastAsia="zh-CN"/>
        </w:rPr>
        <w:t>,</w:t>
      </w:r>
      <w:r>
        <w:rPr>
          <w:lang w:val="en-US"/>
        </w:rPr>
        <w:t xml:space="preserve"> Influence of renewable energy power fluctuations on water electrolysis for green hydrogen production, International Journal of Hydrogen Energy, 48</w:t>
      </w:r>
      <w:r>
        <w:rPr>
          <w:rFonts w:hint="eastAsia" w:eastAsia="宋体"/>
          <w:lang w:val="en-US" w:eastAsia="zh-CN"/>
        </w:rPr>
        <w:t>,</w:t>
      </w:r>
      <w:r>
        <w:rPr>
          <w:lang w:val="en-US"/>
        </w:rPr>
        <w:t xml:space="preserve"> 4572-93</w:t>
      </w:r>
    </w:p>
    <w:p>
      <w:pPr>
        <w:pStyle w:val="32"/>
        <w:rPr>
          <w:lang w:val="en-US"/>
        </w:rPr>
      </w:pPr>
      <w:r>
        <w:rPr>
          <w:lang w:val="en-US"/>
        </w:rPr>
        <w:t>S.</w:t>
      </w:r>
      <w:r>
        <w:rPr>
          <w:rFonts w:hint="eastAsia" w:eastAsia="宋体"/>
          <w:lang w:val="en-US" w:eastAsia="zh-CN"/>
        </w:rPr>
        <w:t xml:space="preserve"> </w:t>
      </w:r>
      <w:r>
        <w:rPr>
          <w:lang w:val="en-US"/>
        </w:rPr>
        <w:t>Mucci, A.</w:t>
      </w:r>
      <w:r>
        <w:rPr>
          <w:rFonts w:hint="eastAsia" w:eastAsia="宋体"/>
          <w:lang w:val="en-US" w:eastAsia="zh-CN"/>
        </w:rPr>
        <w:t xml:space="preserve"> </w:t>
      </w:r>
      <w:r>
        <w:rPr>
          <w:lang w:val="en-US"/>
        </w:rPr>
        <w:t>Mitsos, &amp; D. Bongartz, 2023 Power-to-X processes based on PEM water electrolyzers: A review of process integration and flexible operation</w:t>
      </w:r>
      <w:r>
        <w:rPr>
          <w:rFonts w:hint="eastAsia" w:eastAsia="宋体"/>
          <w:lang w:val="en-US" w:eastAsia="zh-CN"/>
        </w:rPr>
        <w:t>,</w:t>
      </w:r>
      <w:r>
        <w:rPr>
          <w:lang w:val="en-US"/>
        </w:rPr>
        <w:t xml:space="preserve"> Computers &amp; Chemical Engineering, 175 </w:t>
      </w:r>
    </w:p>
    <w:p>
      <w:pPr>
        <w:pStyle w:val="32"/>
        <w:rPr>
          <w:lang w:val="en-US"/>
        </w:rPr>
      </w:pPr>
      <w:r>
        <w:rPr>
          <w:lang w:val="en-US"/>
        </w:rPr>
        <w:t>A.</w:t>
      </w:r>
      <w:r>
        <w:rPr>
          <w:rFonts w:hint="eastAsia" w:eastAsia="宋体"/>
          <w:lang w:val="en-US" w:eastAsia="zh-CN"/>
        </w:rPr>
        <w:t xml:space="preserve"> </w:t>
      </w:r>
      <w:r>
        <w:rPr>
          <w:lang w:val="en-US"/>
        </w:rPr>
        <w:t>Poluzzi, G</w:t>
      </w:r>
      <w:r>
        <w:rPr>
          <w:rFonts w:hint="eastAsia" w:eastAsia="宋体"/>
          <w:lang w:val="en-US" w:eastAsia="zh-CN"/>
        </w:rPr>
        <w:t xml:space="preserve">. </w:t>
      </w:r>
      <w:r>
        <w:rPr>
          <w:lang w:val="en-US"/>
        </w:rPr>
        <w:t>Guandalini, S</w:t>
      </w:r>
      <w:r>
        <w:rPr>
          <w:rFonts w:hint="eastAsia" w:eastAsia="宋体"/>
          <w:lang w:val="en-US" w:eastAsia="zh-CN"/>
        </w:rPr>
        <w:t>.</w:t>
      </w:r>
      <w:r>
        <w:rPr>
          <w:lang w:val="en-US"/>
        </w:rPr>
        <w:t xml:space="preserve"> Guffanti, C</w:t>
      </w:r>
      <w:r>
        <w:rPr>
          <w:rFonts w:hint="eastAsia" w:eastAsia="宋体"/>
          <w:lang w:val="en-US" w:eastAsia="zh-CN"/>
        </w:rPr>
        <w:t>.</w:t>
      </w:r>
      <w:r>
        <w:rPr>
          <w:lang w:val="en-US"/>
        </w:rPr>
        <w:t xml:space="preserve"> Elsido, S</w:t>
      </w:r>
      <w:r>
        <w:rPr>
          <w:rFonts w:hint="eastAsia" w:eastAsia="宋体"/>
          <w:lang w:val="en-US" w:eastAsia="zh-CN"/>
        </w:rPr>
        <w:t>.</w:t>
      </w:r>
      <w:r>
        <w:rPr>
          <w:lang w:val="en-US"/>
        </w:rPr>
        <w:t xml:space="preserve"> Moioli, P</w:t>
      </w:r>
      <w:r>
        <w:rPr>
          <w:rFonts w:hint="eastAsia" w:eastAsia="宋体"/>
          <w:lang w:val="en-US" w:eastAsia="zh-CN"/>
        </w:rPr>
        <w:t>.</w:t>
      </w:r>
      <w:r>
        <w:rPr>
          <w:lang w:val="en-US"/>
        </w:rPr>
        <w:t xml:space="preserve"> Huttenhuis, G</w:t>
      </w:r>
      <w:r>
        <w:rPr>
          <w:rFonts w:hint="eastAsia" w:eastAsia="宋体"/>
          <w:lang w:val="en-US" w:eastAsia="zh-CN"/>
        </w:rPr>
        <w:t>.</w:t>
      </w:r>
      <w:r>
        <w:rPr>
          <w:lang w:val="en-US"/>
        </w:rPr>
        <w:t xml:space="preserve"> Rexwinkel, E</w:t>
      </w:r>
      <w:r>
        <w:rPr>
          <w:rFonts w:hint="eastAsia" w:eastAsia="宋体"/>
          <w:lang w:val="en-US" w:eastAsia="zh-CN"/>
        </w:rPr>
        <w:t>.</w:t>
      </w:r>
      <w:r>
        <w:rPr>
          <w:lang w:val="en-US"/>
        </w:rPr>
        <w:t xml:space="preserve"> Martelli, G</w:t>
      </w:r>
      <w:r>
        <w:rPr>
          <w:rFonts w:hint="eastAsia" w:eastAsia="宋体"/>
          <w:lang w:val="en-US" w:eastAsia="zh-CN"/>
        </w:rPr>
        <w:t>.</w:t>
      </w:r>
      <w:r>
        <w:rPr>
          <w:lang w:val="en-US"/>
        </w:rPr>
        <w:t xml:space="preserve"> Groppi, &amp; M</w:t>
      </w:r>
      <w:r>
        <w:rPr>
          <w:rFonts w:hint="eastAsia" w:eastAsia="宋体"/>
          <w:lang w:val="en-US" w:eastAsia="zh-CN"/>
        </w:rPr>
        <w:t>.</w:t>
      </w:r>
      <w:r>
        <w:rPr>
          <w:lang w:val="en-US"/>
        </w:rPr>
        <w:t xml:space="preserve"> C. Romano</w:t>
      </w:r>
      <w:r>
        <w:rPr>
          <w:rFonts w:hint="eastAsia" w:eastAsia="宋体"/>
          <w:lang w:val="en-US" w:eastAsia="zh-CN"/>
        </w:rPr>
        <w:t>,</w:t>
      </w:r>
      <w:r>
        <w:rPr>
          <w:lang w:val="en-US"/>
        </w:rPr>
        <w:t xml:space="preserve"> 2022</w:t>
      </w:r>
      <w:r>
        <w:rPr>
          <w:rFonts w:hint="eastAsia" w:eastAsia="宋体"/>
          <w:lang w:val="en-US" w:eastAsia="zh-CN"/>
        </w:rPr>
        <w:t xml:space="preserve">, </w:t>
      </w:r>
      <w:r>
        <w:rPr>
          <w:lang w:val="en-US"/>
        </w:rPr>
        <w:t>Flexible Power &amp; Biomass-to-Methanol plants: Design optimization and economic viability of the electrolysis integration, Fuel, 310</w:t>
      </w:r>
    </w:p>
    <w:p>
      <w:pPr>
        <w:pStyle w:val="32"/>
        <w:rPr>
          <w:lang w:val="en-US"/>
        </w:rPr>
      </w:pPr>
      <w:r>
        <w:rPr>
          <w:lang w:val="en-US"/>
        </w:rPr>
        <w:t>G.</w:t>
      </w:r>
      <w:r>
        <w:rPr>
          <w:rFonts w:hint="eastAsia"/>
          <w:lang w:val="en-US" w:eastAsia="zh-CN"/>
        </w:rPr>
        <w:t xml:space="preserve"> </w:t>
      </w:r>
      <w:r>
        <w:rPr>
          <w:lang w:val="en-US"/>
        </w:rPr>
        <w:t>Squadrito, G.</w:t>
      </w:r>
      <w:r>
        <w:rPr>
          <w:rFonts w:hint="eastAsia"/>
          <w:lang w:val="en-US" w:eastAsia="zh-CN"/>
        </w:rPr>
        <w:t xml:space="preserve"> </w:t>
      </w:r>
      <w:r>
        <w:rPr>
          <w:lang w:val="en-US"/>
        </w:rPr>
        <w:t>Maggio, &amp; A. Nicita, 202</w:t>
      </w:r>
      <w:r>
        <w:rPr>
          <w:rFonts w:hint="eastAsia"/>
          <w:lang w:val="en-US" w:eastAsia="zh-CN"/>
        </w:rPr>
        <w:t>3,</w:t>
      </w:r>
      <w:r>
        <w:rPr>
          <w:lang w:val="en-US"/>
        </w:rPr>
        <w:t xml:space="preserve"> The green hydrogen revolution</w:t>
      </w:r>
      <w:r>
        <w:rPr>
          <w:rFonts w:hint="eastAsia"/>
          <w:lang w:val="en-US" w:eastAsia="zh-CN"/>
        </w:rPr>
        <w:t xml:space="preserve">, </w:t>
      </w:r>
      <w:r>
        <w:rPr>
          <w:lang w:val="en-US"/>
        </w:rPr>
        <w:t>Renewable Energy, 216</w:t>
      </w:r>
    </w:p>
    <w:p>
      <w:pPr>
        <w:pStyle w:val="32"/>
        <w:rPr>
          <w:lang w:val="en-US"/>
        </w:rPr>
      </w:pPr>
      <w:r>
        <w:rPr>
          <w:rFonts w:hint="eastAsia" w:eastAsia="宋体"/>
          <w:lang w:val="en-US" w:eastAsia="zh-CN"/>
        </w:rPr>
        <w:t>A</w:t>
      </w:r>
      <w:r>
        <w:rPr>
          <w:lang w:val="en-US"/>
        </w:rPr>
        <w:t>.</w:t>
      </w:r>
      <w:r>
        <w:rPr>
          <w:rFonts w:hint="eastAsia" w:eastAsia="宋体"/>
          <w:lang w:val="en-US" w:eastAsia="zh-CN"/>
        </w:rPr>
        <w:t xml:space="preserve"> Ugwu</w:t>
      </w:r>
      <w:r>
        <w:rPr>
          <w:lang w:val="en-US"/>
        </w:rPr>
        <w:t>, A</w:t>
      </w:r>
      <w:r>
        <w:rPr>
          <w:rFonts w:hint="eastAsia" w:eastAsia="宋体"/>
          <w:lang w:val="en-US" w:eastAsia="zh-CN"/>
        </w:rPr>
        <w:t xml:space="preserve">. </w:t>
      </w:r>
      <w:r>
        <w:rPr>
          <w:lang w:val="en-US"/>
        </w:rPr>
        <w:t>Zaabout, J</w:t>
      </w:r>
      <w:r>
        <w:rPr>
          <w:rFonts w:hint="eastAsia" w:eastAsia="宋体"/>
          <w:lang w:val="en-US" w:eastAsia="zh-CN"/>
        </w:rPr>
        <w:t>.</w:t>
      </w:r>
      <w:r>
        <w:rPr>
          <w:lang w:val="en-US"/>
        </w:rPr>
        <w:t xml:space="preserve"> R. Tolchard, P</w:t>
      </w:r>
      <w:r>
        <w:rPr>
          <w:rFonts w:hint="eastAsia" w:eastAsia="宋体"/>
          <w:lang w:val="en-US" w:eastAsia="zh-CN"/>
        </w:rPr>
        <w:t xml:space="preserve">. </w:t>
      </w:r>
      <w:r>
        <w:rPr>
          <w:lang w:val="en-US"/>
        </w:rPr>
        <w:t>I</w:t>
      </w:r>
      <w:r>
        <w:rPr>
          <w:rFonts w:hint="eastAsia" w:eastAsia="宋体"/>
          <w:lang w:val="en-US" w:eastAsia="zh-CN"/>
        </w:rPr>
        <w:t>.</w:t>
      </w:r>
      <w:r>
        <w:rPr>
          <w:lang w:val="en-US"/>
        </w:rPr>
        <w:t xml:space="preserve"> Dahl, &amp; S</w:t>
      </w:r>
      <w:r>
        <w:rPr>
          <w:rFonts w:hint="eastAsia" w:eastAsia="宋体"/>
          <w:lang w:val="en-US" w:eastAsia="zh-CN"/>
        </w:rPr>
        <w:t>.</w:t>
      </w:r>
      <w:r>
        <w:rPr>
          <w:lang w:val="en-US"/>
        </w:rPr>
        <w:t xml:space="preserve"> Amini</w:t>
      </w:r>
      <w:r>
        <w:rPr>
          <w:rFonts w:hint="eastAsia" w:eastAsia="宋体"/>
          <w:lang w:val="en-US" w:eastAsia="zh-CN"/>
        </w:rPr>
        <w:t>,</w:t>
      </w:r>
      <w:r>
        <w:rPr>
          <w:lang w:val="en-US"/>
        </w:rPr>
        <w:t xml:space="preserve"> 2020</w:t>
      </w:r>
      <w:r>
        <w:rPr>
          <w:rFonts w:hint="eastAsia" w:eastAsia="宋体"/>
          <w:lang w:val="en-US" w:eastAsia="zh-CN"/>
        </w:rPr>
        <w:t>,</w:t>
      </w:r>
      <w:r>
        <w:rPr>
          <w:lang w:val="en-US"/>
        </w:rPr>
        <w:t xml:space="preserve"> Gas Switching Reforming for syngas production with iron-based oxygen carrier-the performance under pressurized conditions, International Journal of Hydrogen Energy, 45</w:t>
      </w:r>
      <w:r>
        <w:rPr>
          <w:rFonts w:hint="eastAsia" w:eastAsia="宋体"/>
          <w:lang w:val="en-US" w:eastAsia="zh-CN"/>
        </w:rPr>
        <w:t>,</w:t>
      </w:r>
      <w:r>
        <w:rPr>
          <w:lang w:val="en-US"/>
        </w:rPr>
        <w:t xml:space="preserve"> 1267-82</w:t>
      </w:r>
    </w:p>
    <w:p>
      <w:pPr>
        <w:pStyle w:val="32"/>
        <w:rPr>
          <w:lang w:val="en-US"/>
        </w:rPr>
      </w:pPr>
      <w:r>
        <w:rPr>
          <w:rFonts w:hint="eastAsia" w:eastAsia="宋体"/>
          <w:lang w:val="en-US" w:eastAsia="zh-CN"/>
        </w:rPr>
        <w:t xml:space="preserve">K. </w:t>
      </w:r>
      <w:r>
        <w:rPr>
          <w:lang w:val="en-US"/>
        </w:rPr>
        <w:t>Xiong, W</w:t>
      </w:r>
      <w:r>
        <w:rPr>
          <w:rFonts w:hint="eastAsia" w:eastAsia="宋体"/>
          <w:lang w:val="en-US" w:eastAsia="zh-CN"/>
        </w:rPr>
        <w:t>.</w:t>
      </w:r>
      <w:r>
        <w:rPr>
          <w:lang w:val="en-US"/>
        </w:rPr>
        <w:t xml:space="preserve"> Hu, D</w:t>
      </w:r>
      <w:r>
        <w:rPr>
          <w:rFonts w:hint="eastAsia" w:eastAsia="宋体"/>
          <w:lang w:val="en-US" w:eastAsia="zh-CN"/>
        </w:rPr>
        <w:t>.</w:t>
      </w:r>
      <w:r>
        <w:rPr>
          <w:lang w:val="en-US"/>
        </w:rPr>
        <w:t xml:space="preserve"> Cao, S</w:t>
      </w:r>
      <w:r>
        <w:rPr>
          <w:rFonts w:hint="eastAsia" w:eastAsia="宋体"/>
          <w:lang w:val="en-US" w:eastAsia="zh-CN"/>
        </w:rPr>
        <w:t>.</w:t>
      </w:r>
      <w:r>
        <w:rPr>
          <w:lang w:val="en-US"/>
        </w:rPr>
        <w:t xml:space="preserve"> Li, G</w:t>
      </w:r>
      <w:r>
        <w:rPr>
          <w:rFonts w:hint="eastAsia" w:eastAsia="宋体"/>
          <w:lang w:val="en-US" w:eastAsia="zh-CN"/>
        </w:rPr>
        <w:t>.</w:t>
      </w:r>
      <w:r>
        <w:rPr>
          <w:lang w:val="en-US"/>
        </w:rPr>
        <w:t xml:space="preserve"> Zhang, W</w:t>
      </w:r>
      <w:r>
        <w:rPr>
          <w:rFonts w:hint="eastAsia" w:eastAsia="宋体"/>
          <w:lang w:val="en-US" w:eastAsia="zh-CN"/>
        </w:rPr>
        <w:t>.</w:t>
      </w:r>
      <w:r>
        <w:rPr>
          <w:lang w:val="en-US"/>
        </w:rPr>
        <w:t xml:space="preserve"> Liu, Q</w:t>
      </w:r>
      <w:r>
        <w:rPr>
          <w:rFonts w:hint="eastAsia" w:eastAsia="宋体"/>
          <w:lang w:val="en-US" w:eastAsia="zh-CN"/>
        </w:rPr>
        <w:t>.</w:t>
      </w:r>
      <w:r>
        <w:rPr>
          <w:lang w:val="en-US"/>
        </w:rPr>
        <w:t xml:space="preserve"> Huang</w:t>
      </w:r>
      <w:r>
        <w:rPr>
          <w:rFonts w:hint="eastAsia" w:eastAsia="宋体"/>
          <w:lang w:val="en-US" w:eastAsia="zh-CN"/>
        </w:rPr>
        <w:t>,</w:t>
      </w:r>
      <w:r>
        <w:rPr>
          <w:lang w:val="en-US"/>
        </w:rPr>
        <w:t xml:space="preserve"> &amp; Z</w:t>
      </w:r>
      <w:r>
        <w:rPr>
          <w:rFonts w:hint="eastAsia" w:eastAsia="宋体"/>
          <w:lang w:val="en-US" w:eastAsia="zh-CN"/>
        </w:rPr>
        <w:t>.</w:t>
      </w:r>
      <w:r>
        <w:rPr>
          <w:lang w:val="en-US"/>
        </w:rPr>
        <w:t xml:space="preserve"> Chen</w:t>
      </w:r>
      <w:r>
        <w:rPr>
          <w:rFonts w:hint="eastAsia" w:eastAsia="宋体"/>
          <w:lang w:val="en-US" w:eastAsia="zh-CN"/>
        </w:rPr>
        <w:t>,</w:t>
      </w:r>
      <w:r>
        <w:rPr>
          <w:lang w:val="en-US"/>
        </w:rPr>
        <w:t xml:space="preserve"> 2023</w:t>
      </w:r>
      <w:r>
        <w:rPr>
          <w:rFonts w:hint="eastAsia" w:eastAsia="宋体"/>
          <w:lang w:val="en-US" w:eastAsia="zh-CN"/>
        </w:rPr>
        <w:t xml:space="preserve">, </w:t>
      </w:r>
      <w:r>
        <w:rPr>
          <w:lang w:val="en-US"/>
        </w:rPr>
        <w:t>Coordinated energy management strategy for multi-energy hub with thermo-electrochemical effect based power-to-ammonia: A multi-agent deep reinforcement learning enabled approach, Renewable Energy, 214</w:t>
      </w:r>
      <w:r>
        <w:rPr>
          <w:rFonts w:hint="eastAsia" w:eastAsia="宋体"/>
          <w:lang w:val="en-US" w:eastAsia="zh-CN"/>
        </w:rPr>
        <w:t>1,</w:t>
      </w:r>
      <w:r>
        <w:rPr>
          <w:lang w:val="en-US"/>
        </w:rPr>
        <w:t xml:space="preserve"> 216-32</w:t>
      </w:r>
    </w:p>
    <w:sectPr>
      <w:headerReference r:id="rId5" w:type="first"/>
      <w:headerReference r:id="rId3" w:type="default"/>
      <w:headerReference r:id="rId4" w:type="even"/>
      <w:type w:val="continuous"/>
      <w:pgSz w:w="11906" w:h="16838"/>
      <w:pgMar w:top="2377" w:right="2410" w:bottom="2892" w:left="2410" w:header="1701" w:footer="2892" w:gutter="0"/>
      <w:cols w:equalWidth="0" w:num="1">
        <w:col w:w="7087"/>
      </w:cols>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Univers">
    <w:altName w:val="Arial"/>
    <w:panose1 w:val="00000000000000000000"/>
    <w:charset w:val="00"/>
    <w:family w:val="swiss"/>
    <w:pitch w:val="default"/>
    <w:sig w:usb0="00000000" w:usb1="00000000" w:usb2="00000000" w:usb3="00000000" w:csb0="0000000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088"/>
        <w:tab w:val="clear" w:pos="7200"/>
      </w:tabs>
      <w:jc w:val="both"/>
      <w:rPr>
        <w:sz w:val="24"/>
      </w:rPr>
    </w:pPr>
    <w:r>
      <w:rPr>
        <w:rFonts w:hint="eastAsia"/>
        <w:i/>
      </w:rPr>
      <w:t>A Solar and Wind Energy-based Biomass-to-Methanol System with Coupling of Different Electrolyzers</w:t>
    </w:r>
    <w:r>
      <w:rPr>
        <w:rStyle w:val="15"/>
        <w:i/>
        <w:sz w:val="24"/>
      </w:rPr>
      <w:tab/>
    </w:r>
    <w:r>
      <w:rPr>
        <w:rStyle w:val="15"/>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088"/>
        <w:tab w:val="clear" w:pos="7200"/>
      </w:tabs>
    </w:pPr>
    <w:r>
      <w:rPr>
        <w:rStyle w:val="15"/>
      </w:rPr>
      <w:tab/>
    </w:r>
    <w:r>
      <w:rPr>
        <w:rStyle w:val="15"/>
        <w:i/>
      </w:rPr>
      <w:tab/>
    </w:r>
    <w:r>
      <w:rPr>
        <w:i/>
      </w:rPr>
      <w:fldChar w:fldCharType="begin"/>
    </w:r>
    <w:r>
      <w:rPr>
        <w:i/>
      </w:rPr>
      <w:instrText xml:space="preserve"> MACROBUTTON NoMacro </w:instrText>
    </w:r>
    <w:r>
      <w:rPr>
        <w:rFonts w:hint="eastAsia" w:eastAsia="宋体"/>
        <w:i/>
        <w:lang w:val="en-US" w:eastAsia="zh-CN"/>
      </w:rPr>
      <w:instrText xml:space="preserve">G</w:instrText>
    </w:r>
    <w:r>
      <w:rPr>
        <w:i/>
      </w:rPr>
      <w:instrText xml:space="preserve">. </w:instrText>
    </w:r>
    <w:r>
      <w:rPr>
        <w:rFonts w:hint="eastAsia" w:eastAsia="宋体"/>
        <w:i/>
        <w:lang w:val="en-US" w:eastAsia="zh-CN"/>
      </w:rPr>
      <w:instrText xml:space="preserve">Xu</w:instrText>
    </w:r>
    <w:r>
      <w:rPr>
        <w:i/>
      </w:rPr>
      <w:instrText xml:space="preserve"> et al.</w:instrText>
    </w:r>
    <w:r>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left"/>
      <w:rPr>
        <w:sz w:val="18"/>
        <w:szCs w:val="18"/>
      </w:rPr>
    </w:pPr>
    <w:r>
      <w:rPr>
        <w:color w:val="auto"/>
        <w:sz w:val="18"/>
        <w:szCs w:val="18"/>
      </w:rPr>
      <w:t>Flavio Manenti, Gintaras V. Reklaitis (Eds.),</w:t>
    </w:r>
    <w:r>
      <w:rPr>
        <w:color w:val="auto"/>
      </w:rPr>
      <w:t xml:space="preserve"> </w:t>
    </w:r>
    <w:r>
      <w:rPr>
        <w:sz w:val="18"/>
        <w:szCs w:val="18"/>
      </w:rPr>
      <w:t xml:space="preserve">Proceedings of the </w:t>
    </w:r>
    <w:r>
      <w:rPr>
        <w:rStyle w:val="39"/>
        <w:sz w:val="18"/>
        <w:szCs w:val="18"/>
        <w:u w:val="none"/>
      </w:rPr>
      <w:t>34</w:t>
    </w:r>
    <w:r>
      <w:rPr>
        <w:rStyle w:val="39"/>
        <w:sz w:val="18"/>
        <w:szCs w:val="18"/>
        <w:u w:val="none"/>
        <w:vertAlign w:val="superscript"/>
      </w:rPr>
      <w:t>th</w:t>
    </w:r>
    <w:r>
      <w:rPr>
        <w:rStyle w:val="39"/>
        <w:sz w:val="18"/>
        <w:szCs w:val="18"/>
        <w:u w:val="none"/>
      </w:rPr>
      <w:t xml:space="preserve"> European Symposium on Computer Aided Process Engineering / 15</w:t>
    </w:r>
    <w:r>
      <w:rPr>
        <w:rStyle w:val="39"/>
        <w:sz w:val="18"/>
        <w:szCs w:val="18"/>
        <w:u w:val="none"/>
        <w:vertAlign w:val="superscript"/>
      </w:rPr>
      <w:t>th</w:t>
    </w:r>
    <w:r>
      <w:rPr>
        <w:rStyle w:val="39"/>
        <w:sz w:val="18"/>
        <w:szCs w:val="18"/>
        <w:u w:val="none"/>
      </w:rPr>
      <w:t xml:space="preserve"> International Symposium on Process Systems Engineerin</w:t>
    </w:r>
    <w:r>
      <w:rPr>
        <w:rStyle w:val="39"/>
        <w:sz w:val="18"/>
        <w:szCs w:val="18"/>
      </w:rPr>
      <w:t>g</w:t>
    </w:r>
    <w:r>
      <w:rPr>
        <w:sz w:val="18"/>
        <w:szCs w:val="18"/>
      </w:rPr>
      <w:t xml:space="preserve"> (ESCAPE34/PSE24), June 2-6, 2024, Florence, Italy</w:t>
    </w:r>
  </w:p>
  <w:p>
    <w:pPr>
      <w:tabs>
        <w:tab w:val="right" w:pos="7086"/>
      </w:tabs>
    </w:pPr>
    <w:r>
      <w:rPr>
        <w:sz w:val="18"/>
        <w:szCs w:val="18"/>
      </w:rPr>
      <w:t>© 2024 Elsevier B.V. All rights reserved.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8217E"/>
    <w:multiLevelType w:val="multilevel"/>
    <w:tmpl w:val="2438217E"/>
    <w:lvl w:ilvl="0" w:tentative="0">
      <w:start w:val="1"/>
      <w:numFmt w:val="decimal"/>
      <w:pStyle w:val="36"/>
      <w:suff w:val="space"/>
      <w:lvlText w:val="Chapter %1"/>
      <w:lvlJc w:val="left"/>
      <w:pPr>
        <w:ind w:left="0" w:firstLine="0"/>
      </w:pPr>
      <w:rPr>
        <w:rFonts w:hint="default"/>
      </w:rPr>
    </w:lvl>
    <w:lvl w:ilvl="1" w:tentative="0">
      <w:start w:val="1"/>
      <w:numFmt w:val="decimal"/>
      <w:pStyle w:val="19"/>
      <w:suff w:val="space"/>
      <w:lvlText w:val="%2."/>
      <w:lvlJc w:val="left"/>
      <w:pPr>
        <w:ind w:left="0" w:firstLine="0"/>
      </w:pPr>
      <w:rPr>
        <w:rFonts w:hint="default"/>
      </w:rPr>
    </w:lvl>
    <w:lvl w:ilvl="2" w:tentative="0">
      <w:start w:val="1"/>
      <w:numFmt w:val="decimal"/>
      <w:pStyle w:val="21"/>
      <w:suff w:val="space"/>
      <w:lvlText w:val="%2.%3."/>
      <w:lvlJc w:val="left"/>
      <w:pPr>
        <w:ind w:left="0" w:firstLine="0"/>
      </w:pPr>
      <w:rPr>
        <w:rFonts w:hint="default"/>
      </w:rPr>
    </w:lvl>
    <w:lvl w:ilvl="3" w:tentative="0">
      <w:start w:val="1"/>
      <w:numFmt w:val="decimal"/>
      <w:pStyle w:val="22"/>
      <w:suff w:val="space"/>
      <w:lvlText w:val="%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3.%4.%5.%6.%7.%8.%9."/>
      <w:lvlJc w:val="left"/>
      <w:pPr>
        <w:ind w:left="0" w:firstLine="0"/>
      </w:pPr>
      <w:rPr>
        <w:rFonts w:hint="default"/>
      </w:rPr>
    </w:lvl>
  </w:abstractNum>
  <w:abstractNum w:abstractNumId="1">
    <w:nsid w:val="24683AC9"/>
    <w:multiLevelType w:val="singleLevel"/>
    <w:tmpl w:val="24683AC9"/>
    <w:lvl w:ilvl="0" w:tentative="0">
      <w:start w:val="1"/>
      <w:numFmt w:val="upperLetter"/>
      <w:suff w:val="space"/>
      <w:lvlText w:val="%1."/>
      <w:lvlJc w:val="left"/>
    </w:lvl>
  </w:abstractNum>
  <w:abstractNum w:abstractNumId="2">
    <w:nsid w:val="2AB1025D"/>
    <w:multiLevelType w:val="multilevel"/>
    <w:tmpl w:val="2AB1025D"/>
    <w:lvl w:ilvl="0" w:tentative="0">
      <w:start w:val="1"/>
      <w:numFmt w:val="decimal"/>
      <w:pStyle w:val="30"/>
      <w:lvlText w:val="%1."/>
      <w:lvlJc w:val="right"/>
      <w:pPr>
        <w:tabs>
          <w:tab w:val="left" w:pos="480"/>
        </w:tabs>
        <w:ind w:left="480" w:hanging="9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283"/>
  <w:evenAndOddHeaders w:val="1"/>
  <w:drawingGridHorizontalSpacing w:val="100"/>
  <w:drawingGridVerticalSpacing w:val="13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mMGFmZTQyODcwMWUyYTRkMzE1ZTljYWIyYTQ3ZmEifQ=="/>
  </w:docVars>
  <w:rsids>
    <w:rsidRoot w:val="00172A27"/>
    <w:rsid w:val="00027C13"/>
    <w:rsid w:val="00044BB5"/>
    <w:rsid w:val="0007639A"/>
    <w:rsid w:val="00087D30"/>
    <w:rsid w:val="000D2FF4"/>
    <w:rsid w:val="000D3D9B"/>
    <w:rsid w:val="000D43FE"/>
    <w:rsid w:val="000F7299"/>
    <w:rsid w:val="00120806"/>
    <w:rsid w:val="00125E2D"/>
    <w:rsid w:val="0013360B"/>
    <w:rsid w:val="00152A7C"/>
    <w:rsid w:val="0016032F"/>
    <w:rsid w:val="00162799"/>
    <w:rsid w:val="00165C85"/>
    <w:rsid w:val="00172A27"/>
    <w:rsid w:val="001879F6"/>
    <w:rsid w:val="0019473B"/>
    <w:rsid w:val="001B1393"/>
    <w:rsid w:val="001C0148"/>
    <w:rsid w:val="001C757E"/>
    <w:rsid w:val="001D6286"/>
    <w:rsid w:val="001E219F"/>
    <w:rsid w:val="001E35B8"/>
    <w:rsid w:val="001F4B41"/>
    <w:rsid w:val="001F76C2"/>
    <w:rsid w:val="0020390F"/>
    <w:rsid w:val="00215097"/>
    <w:rsid w:val="00232A6A"/>
    <w:rsid w:val="00237D9E"/>
    <w:rsid w:val="00243986"/>
    <w:rsid w:val="00264926"/>
    <w:rsid w:val="0028347D"/>
    <w:rsid w:val="002922B7"/>
    <w:rsid w:val="002A1BE1"/>
    <w:rsid w:val="002B459E"/>
    <w:rsid w:val="002D573E"/>
    <w:rsid w:val="002D7A3E"/>
    <w:rsid w:val="002E40D5"/>
    <w:rsid w:val="002E5F97"/>
    <w:rsid w:val="003062FD"/>
    <w:rsid w:val="0033165B"/>
    <w:rsid w:val="00373AEC"/>
    <w:rsid w:val="0037581C"/>
    <w:rsid w:val="003A1126"/>
    <w:rsid w:val="003D009A"/>
    <w:rsid w:val="003D1582"/>
    <w:rsid w:val="003D18EE"/>
    <w:rsid w:val="003D7E4C"/>
    <w:rsid w:val="003E41C2"/>
    <w:rsid w:val="003F0728"/>
    <w:rsid w:val="003F7AA6"/>
    <w:rsid w:val="004325BB"/>
    <w:rsid w:val="00435BFC"/>
    <w:rsid w:val="00450053"/>
    <w:rsid w:val="00451DCB"/>
    <w:rsid w:val="0049772C"/>
    <w:rsid w:val="004B3AA9"/>
    <w:rsid w:val="004C4353"/>
    <w:rsid w:val="004D42EC"/>
    <w:rsid w:val="004F1A38"/>
    <w:rsid w:val="00511F6F"/>
    <w:rsid w:val="00521E43"/>
    <w:rsid w:val="00527FC8"/>
    <w:rsid w:val="005319D6"/>
    <w:rsid w:val="005529FA"/>
    <w:rsid w:val="00552EEB"/>
    <w:rsid w:val="00561DAD"/>
    <w:rsid w:val="00575D3D"/>
    <w:rsid w:val="0059554F"/>
    <w:rsid w:val="005A22A0"/>
    <w:rsid w:val="005D485C"/>
    <w:rsid w:val="005E2544"/>
    <w:rsid w:val="005E2A33"/>
    <w:rsid w:val="00603925"/>
    <w:rsid w:val="00642259"/>
    <w:rsid w:val="00660B81"/>
    <w:rsid w:val="00686F75"/>
    <w:rsid w:val="006A2129"/>
    <w:rsid w:val="006A69BF"/>
    <w:rsid w:val="006C12E4"/>
    <w:rsid w:val="006D0DD4"/>
    <w:rsid w:val="006E08FF"/>
    <w:rsid w:val="00710F64"/>
    <w:rsid w:val="00711DF4"/>
    <w:rsid w:val="00724B30"/>
    <w:rsid w:val="00733F46"/>
    <w:rsid w:val="00741E31"/>
    <w:rsid w:val="007677C0"/>
    <w:rsid w:val="007732A7"/>
    <w:rsid w:val="0078377D"/>
    <w:rsid w:val="00792BF4"/>
    <w:rsid w:val="007958E0"/>
    <w:rsid w:val="007A4943"/>
    <w:rsid w:val="007B6AB4"/>
    <w:rsid w:val="007C4532"/>
    <w:rsid w:val="007D0328"/>
    <w:rsid w:val="007D70A1"/>
    <w:rsid w:val="007F366C"/>
    <w:rsid w:val="008132E8"/>
    <w:rsid w:val="0082051E"/>
    <w:rsid w:val="00823407"/>
    <w:rsid w:val="00830F80"/>
    <w:rsid w:val="008336AF"/>
    <w:rsid w:val="00862EBE"/>
    <w:rsid w:val="00864D60"/>
    <w:rsid w:val="00882B60"/>
    <w:rsid w:val="00885291"/>
    <w:rsid w:val="008A099F"/>
    <w:rsid w:val="008A6C91"/>
    <w:rsid w:val="008B0184"/>
    <w:rsid w:val="008C5D02"/>
    <w:rsid w:val="008D2649"/>
    <w:rsid w:val="008D2C31"/>
    <w:rsid w:val="008D40A4"/>
    <w:rsid w:val="0090568D"/>
    <w:rsid w:val="009125C9"/>
    <w:rsid w:val="00913879"/>
    <w:rsid w:val="00916091"/>
    <w:rsid w:val="00917661"/>
    <w:rsid w:val="00937357"/>
    <w:rsid w:val="00937956"/>
    <w:rsid w:val="00945AB9"/>
    <w:rsid w:val="00970E5D"/>
    <w:rsid w:val="00975CB8"/>
    <w:rsid w:val="0097701C"/>
    <w:rsid w:val="00980A65"/>
    <w:rsid w:val="0098418B"/>
    <w:rsid w:val="0098642A"/>
    <w:rsid w:val="00987BC7"/>
    <w:rsid w:val="009A772D"/>
    <w:rsid w:val="009A7D8C"/>
    <w:rsid w:val="009C3D74"/>
    <w:rsid w:val="009E0592"/>
    <w:rsid w:val="00A22F8D"/>
    <w:rsid w:val="00A25E70"/>
    <w:rsid w:val="00A33765"/>
    <w:rsid w:val="00A52C09"/>
    <w:rsid w:val="00A63269"/>
    <w:rsid w:val="00A6443B"/>
    <w:rsid w:val="00A671ED"/>
    <w:rsid w:val="00A74F59"/>
    <w:rsid w:val="00A77521"/>
    <w:rsid w:val="00A851BA"/>
    <w:rsid w:val="00A90EE6"/>
    <w:rsid w:val="00A92377"/>
    <w:rsid w:val="00A97826"/>
    <w:rsid w:val="00AA3D17"/>
    <w:rsid w:val="00AB29ED"/>
    <w:rsid w:val="00AB30CD"/>
    <w:rsid w:val="00AB3D1F"/>
    <w:rsid w:val="00AB445D"/>
    <w:rsid w:val="00AC4EDA"/>
    <w:rsid w:val="00AE4BD8"/>
    <w:rsid w:val="00B03D8F"/>
    <w:rsid w:val="00B063C9"/>
    <w:rsid w:val="00B2525A"/>
    <w:rsid w:val="00B4388F"/>
    <w:rsid w:val="00B63237"/>
    <w:rsid w:val="00B635F4"/>
    <w:rsid w:val="00B648B0"/>
    <w:rsid w:val="00B67572"/>
    <w:rsid w:val="00B71A51"/>
    <w:rsid w:val="00B739F4"/>
    <w:rsid w:val="00BA1FBA"/>
    <w:rsid w:val="00BA2255"/>
    <w:rsid w:val="00BE1F9A"/>
    <w:rsid w:val="00C25D42"/>
    <w:rsid w:val="00C43247"/>
    <w:rsid w:val="00C53276"/>
    <w:rsid w:val="00C9320F"/>
    <w:rsid w:val="00C960DC"/>
    <w:rsid w:val="00CA516A"/>
    <w:rsid w:val="00CB2AB2"/>
    <w:rsid w:val="00CE45A2"/>
    <w:rsid w:val="00D02C75"/>
    <w:rsid w:val="00D042ED"/>
    <w:rsid w:val="00D10E22"/>
    <w:rsid w:val="00D13D2C"/>
    <w:rsid w:val="00D15465"/>
    <w:rsid w:val="00D34E05"/>
    <w:rsid w:val="00D45BE1"/>
    <w:rsid w:val="00D50A9F"/>
    <w:rsid w:val="00D51BAD"/>
    <w:rsid w:val="00D5202F"/>
    <w:rsid w:val="00D55E72"/>
    <w:rsid w:val="00D7311D"/>
    <w:rsid w:val="00D93571"/>
    <w:rsid w:val="00D958F8"/>
    <w:rsid w:val="00DC2F94"/>
    <w:rsid w:val="00DD3D9E"/>
    <w:rsid w:val="00DD7908"/>
    <w:rsid w:val="00DE3EFF"/>
    <w:rsid w:val="00E41141"/>
    <w:rsid w:val="00E46B8F"/>
    <w:rsid w:val="00E54E3D"/>
    <w:rsid w:val="00E82297"/>
    <w:rsid w:val="00E9109D"/>
    <w:rsid w:val="00EA6ECE"/>
    <w:rsid w:val="00EC321B"/>
    <w:rsid w:val="00EF39FD"/>
    <w:rsid w:val="00F01720"/>
    <w:rsid w:val="00F06842"/>
    <w:rsid w:val="00F107FD"/>
    <w:rsid w:val="00F14C55"/>
    <w:rsid w:val="00F21AB0"/>
    <w:rsid w:val="00F34062"/>
    <w:rsid w:val="00F62F37"/>
    <w:rsid w:val="00F7377C"/>
    <w:rsid w:val="00F83269"/>
    <w:rsid w:val="00F934C7"/>
    <w:rsid w:val="00FA2F1A"/>
    <w:rsid w:val="00FB64A8"/>
    <w:rsid w:val="00FC4CBB"/>
    <w:rsid w:val="00FD2543"/>
    <w:rsid w:val="00FE5EE0"/>
    <w:rsid w:val="017257CD"/>
    <w:rsid w:val="018502B5"/>
    <w:rsid w:val="01F42D45"/>
    <w:rsid w:val="020779C8"/>
    <w:rsid w:val="02714437"/>
    <w:rsid w:val="027340D1"/>
    <w:rsid w:val="027F790B"/>
    <w:rsid w:val="02FF273E"/>
    <w:rsid w:val="03CF7089"/>
    <w:rsid w:val="040C1A2D"/>
    <w:rsid w:val="04886557"/>
    <w:rsid w:val="04BD4BCE"/>
    <w:rsid w:val="04EE7490"/>
    <w:rsid w:val="04F16524"/>
    <w:rsid w:val="054E2574"/>
    <w:rsid w:val="05B66323"/>
    <w:rsid w:val="063E0A32"/>
    <w:rsid w:val="063F4ED6"/>
    <w:rsid w:val="06507DE7"/>
    <w:rsid w:val="065955AD"/>
    <w:rsid w:val="065F10D4"/>
    <w:rsid w:val="070F57D6"/>
    <w:rsid w:val="078A2181"/>
    <w:rsid w:val="07D64B88"/>
    <w:rsid w:val="08017F69"/>
    <w:rsid w:val="08CE609D"/>
    <w:rsid w:val="08D75428"/>
    <w:rsid w:val="091266DF"/>
    <w:rsid w:val="099948FD"/>
    <w:rsid w:val="0A0E7914"/>
    <w:rsid w:val="0ABB27D3"/>
    <w:rsid w:val="0AE0030A"/>
    <w:rsid w:val="0B1E1784"/>
    <w:rsid w:val="0B656B3E"/>
    <w:rsid w:val="0B996E37"/>
    <w:rsid w:val="0BDD4B9D"/>
    <w:rsid w:val="0CA912FB"/>
    <w:rsid w:val="0CCE0D62"/>
    <w:rsid w:val="0CDF4D1D"/>
    <w:rsid w:val="0D146A55"/>
    <w:rsid w:val="0D6F21A5"/>
    <w:rsid w:val="0D9834FF"/>
    <w:rsid w:val="0DF91E0E"/>
    <w:rsid w:val="0E3C32D3"/>
    <w:rsid w:val="0EFB63D6"/>
    <w:rsid w:val="0F3A0931"/>
    <w:rsid w:val="0F3F7CF5"/>
    <w:rsid w:val="0F53065C"/>
    <w:rsid w:val="0F6E6EC9"/>
    <w:rsid w:val="0FA457E3"/>
    <w:rsid w:val="0FD95EF3"/>
    <w:rsid w:val="10524DBE"/>
    <w:rsid w:val="110034B4"/>
    <w:rsid w:val="11D30BC8"/>
    <w:rsid w:val="12787FE6"/>
    <w:rsid w:val="12BC7420"/>
    <w:rsid w:val="12D8341A"/>
    <w:rsid w:val="12DA118F"/>
    <w:rsid w:val="14200317"/>
    <w:rsid w:val="147D571F"/>
    <w:rsid w:val="14C52A4A"/>
    <w:rsid w:val="15467FEB"/>
    <w:rsid w:val="15BB51B1"/>
    <w:rsid w:val="15C01464"/>
    <w:rsid w:val="166D339A"/>
    <w:rsid w:val="17375756"/>
    <w:rsid w:val="174B7366"/>
    <w:rsid w:val="174D3905"/>
    <w:rsid w:val="177A2DF1"/>
    <w:rsid w:val="17914E66"/>
    <w:rsid w:val="17D60E0D"/>
    <w:rsid w:val="17FD51E2"/>
    <w:rsid w:val="18716994"/>
    <w:rsid w:val="18BB12B0"/>
    <w:rsid w:val="18C12494"/>
    <w:rsid w:val="18C53608"/>
    <w:rsid w:val="18D71B4A"/>
    <w:rsid w:val="1A815666"/>
    <w:rsid w:val="1AA17072"/>
    <w:rsid w:val="1AB90AF4"/>
    <w:rsid w:val="1AE87493"/>
    <w:rsid w:val="1B4670D0"/>
    <w:rsid w:val="1B4C4952"/>
    <w:rsid w:val="1BDB72CE"/>
    <w:rsid w:val="1C150E11"/>
    <w:rsid w:val="1C3D2660"/>
    <w:rsid w:val="1C44694B"/>
    <w:rsid w:val="1C4D31E4"/>
    <w:rsid w:val="1C73363F"/>
    <w:rsid w:val="1CE15268"/>
    <w:rsid w:val="1D1005CD"/>
    <w:rsid w:val="1D302BCD"/>
    <w:rsid w:val="1D372D2A"/>
    <w:rsid w:val="1DB33ED5"/>
    <w:rsid w:val="1DB976EA"/>
    <w:rsid w:val="1EFB52BB"/>
    <w:rsid w:val="1F536EA5"/>
    <w:rsid w:val="1F686DF4"/>
    <w:rsid w:val="1FB931AC"/>
    <w:rsid w:val="1FBA5176"/>
    <w:rsid w:val="20144886"/>
    <w:rsid w:val="20155A95"/>
    <w:rsid w:val="202239BB"/>
    <w:rsid w:val="2061188A"/>
    <w:rsid w:val="209677A6"/>
    <w:rsid w:val="20EA5982"/>
    <w:rsid w:val="20EC26B9"/>
    <w:rsid w:val="20F0035F"/>
    <w:rsid w:val="2166574D"/>
    <w:rsid w:val="21997739"/>
    <w:rsid w:val="219F63D1"/>
    <w:rsid w:val="228201CD"/>
    <w:rsid w:val="22AA2317"/>
    <w:rsid w:val="22CF090B"/>
    <w:rsid w:val="23333275"/>
    <w:rsid w:val="23A17211"/>
    <w:rsid w:val="2446522A"/>
    <w:rsid w:val="244B0A92"/>
    <w:rsid w:val="24C820E3"/>
    <w:rsid w:val="25034EC9"/>
    <w:rsid w:val="250442E6"/>
    <w:rsid w:val="257C53A7"/>
    <w:rsid w:val="25DC2065"/>
    <w:rsid w:val="26066241"/>
    <w:rsid w:val="267047E0"/>
    <w:rsid w:val="2710535A"/>
    <w:rsid w:val="272F6449"/>
    <w:rsid w:val="27B949B4"/>
    <w:rsid w:val="27C323E5"/>
    <w:rsid w:val="27EE3C0E"/>
    <w:rsid w:val="285A3310"/>
    <w:rsid w:val="28CF3A40"/>
    <w:rsid w:val="28D9041B"/>
    <w:rsid w:val="28FB1E94"/>
    <w:rsid w:val="29551A6B"/>
    <w:rsid w:val="2981277A"/>
    <w:rsid w:val="299407E6"/>
    <w:rsid w:val="29C4731D"/>
    <w:rsid w:val="2A2D44F5"/>
    <w:rsid w:val="2AA35184"/>
    <w:rsid w:val="2B227D8A"/>
    <w:rsid w:val="2B3E30FF"/>
    <w:rsid w:val="2B886128"/>
    <w:rsid w:val="2B9F6C4C"/>
    <w:rsid w:val="2BD001FB"/>
    <w:rsid w:val="2C484235"/>
    <w:rsid w:val="2C7A3CC3"/>
    <w:rsid w:val="2C9E6506"/>
    <w:rsid w:val="2CF950D6"/>
    <w:rsid w:val="2DAB6C27"/>
    <w:rsid w:val="2DC75DF4"/>
    <w:rsid w:val="2E4D1D8D"/>
    <w:rsid w:val="2E8F1B19"/>
    <w:rsid w:val="2ED95618"/>
    <w:rsid w:val="2F2B5748"/>
    <w:rsid w:val="2F3C0777"/>
    <w:rsid w:val="2F5405AC"/>
    <w:rsid w:val="2F8827E3"/>
    <w:rsid w:val="2F8F5CD7"/>
    <w:rsid w:val="2FEB1B4D"/>
    <w:rsid w:val="30901D07"/>
    <w:rsid w:val="30A75796"/>
    <w:rsid w:val="30D676D2"/>
    <w:rsid w:val="310C2E74"/>
    <w:rsid w:val="31771119"/>
    <w:rsid w:val="31B47C77"/>
    <w:rsid w:val="31C83722"/>
    <w:rsid w:val="31E32279"/>
    <w:rsid w:val="320D7387"/>
    <w:rsid w:val="321270E3"/>
    <w:rsid w:val="321F61F1"/>
    <w:rsid w:val="322616B8"/>
    <w:rsid w:val="325B2ED7"/>
    <w:rsid w:val="32701378"/>
    <w:rsid w:val="327131D6"/>
    <w:rsid w:val="32A93554"/>
    <w:rsid w:val="32BA08C4"/>
    <w:rsid w:val="32C14DDC"/>
    <w:rsid w:val="32CA1513"/>
    <w:rsid w:val="32E225C2"/>
    <w:rsid w:val="3307027A"/>
    <w:rsid w:val="3350577D"/>
    <w:rsid w:val="336E3E55"/>
    <w:rsid w:val="33792F26"/>
    <w:rsid w:val="339950EF"/>
    <w:rsid w:val="33E365F1"/>
    <w:rsid w:val="33E74334"/>
    <w:rsid w:val="33FC5BE8"/>
    <w:rsid w:val="340223B2"/>
    <w:rsid w:val="342176A3"/>
    <w:rsid w:val="34BB5A67"/>
    <w:rsid w:val="34CA604E"/>
    <w:rsid w:val="34F07218"/>
    <w:rsid w:val="34F17488"/>
    <w:rsid w:val="352164BA"/>
    <w:rsid w:val="35687150"/>
    <w:rsid w:val="3613758C"/>
    <w:rsid w:val="36566C1F"/>
    <w:rsid w:val="36673031"/>
    <w:rsid w:val="374A03F1"/>
    <w:rsid w:val="37610F7D"/>
    <w:rsid w:val="377E6397"/>
    <w:rsid w:val="37CF580A"/>
    <w:rsid w:val="37D0551B"/>
    <w:rsid w:val="37E64902"/>
    <w:rsid w:val="37FC3853"/>
    <w:rsid w:val="38481119"/>
    <w:rsid w:val="38D8249D"/>
    <w:rsid w:val="395D4EDF"/>
    <w:rsid w:val="397B70F5"/>
    <w:rsid w:val="39884078"/>
    <w:rsid w:val="39F52164"/>
    <w:rsid w:val="39F806C2"/>
    <w:rsid w:val="3A0C518B"/>
    <w:rsid w:val="3A661D2A"/>
    <w:rsid w:val="3A814617"/>
    <w:rsid w:val="3AE27603"/>
    <w:rsid w:val="3B003F2D"/>
    <w:rsid w:val="3B55269D"/>
    <w:rsid w:val="3B750F8B"/>
    <w:rsid w:val="3BC254DC"/>
    <w:rsid w:val="3BE930FE"/>
    <w:rsid w:val="3C516A81"/>
    <w:rsid w:val="3C597F30"/>
    <w:rsid w:val="3CD47902"/>
    <w:rsid w:val="3CDF7907"/>
    <w:rsid w:val="3CE16BC9"/>
    <w:rsid w:val="3D7A6218"/>
    <w:rsid w:val="3E3E6CD1"/>
    <w:rsid w:val="3E823B07"/>
    <w:rsid w:val="3E9E7CE5"/>
    <w:rsid w:val="3EDA6843"/>
    <w:rsid w:val="3F2B67C3"/>
    <w:rsid w:val="3F413AD3"/>
    <w:rsid w:val="3FE57B5E"/>
    <w:rsid w:val="403717F6"/>
    <w:rsid w:val="403C075D"/>
    <w:rsid w:val="40822A7A"/>
    <w:rsid w:val="40B50194"/>
    <w:rsid w:val="412D3659"/>
    <w:rsid w:val="415015F6"/>
    <w:rsid w:val="41C932CA"/>
    <w:rsid w:val="41E27935"/>
    <w:rsid w:val="41EF2605"/>
    <w:rsid w:val="42051E29"/>
    <w:rsid w:val="42343F31"/>
    <w:rsid w:val="42552DB0"/>
    <w:rsid w:val="426E3E72"/>
    <w:rsid w:val="42A45AE6"/>
    <w:rsid w:val="4303280C"/>
    <w:rsid w:val="43053A48"/>
    <w:rsid w:val="430D78DE"/>
    <w:rsid w:val="431B6BDD"/>
    <w:rsid w:val="43C247DE"/>
    <w:rsid w:val="43D606AF"/>
    <w:rsid w:val="442742D8"/>
    <w:rsid w:val="44B00772"/>
    <w:rsid w:val="44EB17AA"/>
    <w:rsid w:val="44F0479E"/>
    <w:rsid w:val="4517259F"/>
    <w:rsid w:val="45344EFF"/>
    <w:rsid w:val="45603F46"/>
    <w:rsid w:val="459C78D2"/>
    <w:rsid w:val="45AC718B"/>
    <w:rsid w:val="45E618D3"/>
    <w:rsid w:val="463364C0"/>
    <w:rsid w:val="46AF3F05"/>
    <w:rsid w:val="471E59EC"/>
    <w:rsid w:val="477548C7"/>
    <w:rsid w:val="47EA03B1"/>
    <w:rsid w:val="48084D06"/>
    <w:rsid w:val="483047A1"/>
    <w:rsid w:val="487972C3"/>
    <w:rsid w:val="488D2CD5"/>
    <w:rsid w:val="48AB53E0"/>
    <w:rsid w:val="48FC7B5E"/>
    <w:rsid w:val="49575660"/>
    <w:rsid w:val="49AB1DC3"/>
    <w:rsid w:val="49AC05F5"/>
    <w:rsid w:val="49B749E7"/>
    <w:rsid w:val="4A201EF6"/>
    <w:rsid w:val="4A445F6B"/>
    <w:rsid w:val="4A64717B"/>
    <w:rsid w:val="4A6C5122"/>
    <w:rsid w:val="4AD06813"/>
    <w:rsid w:val="4AD8632C"/>
    <w:rsid w:val="4ADB406F"/>
    <w:rsid w:val="4B1204D0"/>
    <w:rsid w:val="4B941ED0"/>
    <w:rsid w:val="4BA40904"/>
    <w:rsid w:val="4BB40B47"/>
    <w:rsid w:val="4BC61ED3"/>
    <w:rsid w:val="4BDD7BA7"/>
    <w:rsid w:val="4BFD33A7"/>
    <w:rsid w:val="4C183964"/>
    <w:rsid w:val="4C1F2E2B"/>
    <w:rsid w:val="4C9B7C28"/>
    <w:rsid w:val="4CD00DB3"/>
    <w:rsid w:val="4D1A0F3A"/>
    <w:rsid w:val="4D64659D"/>
    <w:rsid w:val="4DDA685F"/>
    <w:rsid w:val="4DEC52A8"/>
    <w:rsid w:val="4E6600F3"/>
    <w:rsid w:val="4E720846"/>
    <w:rsid w:val="4E8C5DAC"/>
    <w:rsid w:val="4EE5307C"/>
    <w:rsid w:val="4F072754"/>
    <w:rsid w:val="4F0B013B"/>
    <w:rsid w:val="501B5B65"/>
    <w:rsid w:val="501F6D81"/>
    <w:rsid w:val="503E6C32"/>
    <w:rsid w:val="5043249A"/>
    <w:rsid w:val="50852092"/>
    <w:rsid w:val="509F054C"/>
    <w:rsid w:val="51256043"/>
    <w:rsid w:val="51542485"/>
    <w:rsid w:val="51552BC1"/>
    <w:rsid w:val="51867D43"/>
    <w:rsid w:val="5193364D"/>
    <w:rsid w:val="51FA638D"/>
    <w:rsid w:val="526345BA"/>
    <w:rsid w:val="529B480F"/>
    <w:rsid w:val="52C378C2"/>
    <w:rsid w:val="52E147E9"/>
    <w:rsid w:val="53061DFB"/>
    <w:rsid w:val="534704F3"/>
    <w:rsid w:val="539217FC"/>
    <w:rsid w:val="53AE26C3"/>
    <w:rsid w:val="53C74089"/>
    <w:rsid w:val="53F52DB0"/>
    <w:rsid w:val="54104D89"/>
    <w:rsid w:val="54613836"/>
    <w:rsid w:val="54992FD0"/>
    <w:rsid w:val="54B2321D"/>
    <w:rsid w:val="54F36B90"/>
    <w:rsid w:val="54F41600"/>
    <w:rsid w:val="55114594"/>
    <w:rsid w:val="551D2EEF"/>
    <w:rsid w:val="55242C0A"/>
    <w:rsid w:val="558E757F"/>
    <w:rsid w:val="55CF2BD8"/>
    <w:rsid w:val="55D14930"/>
    <w:rsid w:val="56222B52"/>
    <w:rsid w:val="564E70B4"/>
    <w:rsid w:val="56665134"/>
    <w:rsid w:val="56A872AA"/>
    <w:rsid w:val="56CC3C4A"/>
    <w:rsid w:val="56DF0A43"/>
    <w:rsid w:val="573446EB"/>
    <w:rsid w:val="575B27BF"/>
    <w:rsid w:val="58624ECF"/>
    <w:rsid w:val="59016944"/>
    <w:rsid w:val="591433D5"/>
    <w:rsid w:val="59221701"/>
    <w:rsid w:val="593E4146"/>
    <w:rsid w:val="599318CD"/>
    <w:rsid w:val="5A6A4D3D"/>
    <w:rsid w:val="5B351579"/>
    <w:rsid w:val="5B4041A6"/>
    <w:rsid w:val="5BA623FB"/>
    <w:rsid w:val="5C384E7D"/>
    <w:rsid w:val="5C9F314E"/>
    <w:rsid w:val="5CBB36E1"/>
    <w:rsid w:val="5CBF10FA"/>
    <w:rsid w:val="5CC15952"/>
    <w:rsid w:val="5D2673CB"/>
    <w:rsid w:val="5D9407D9"/>
    <w:rsid w:val="5DB9023F"/>
    <w:rsid w:val="5DDB5188"/>
    <w:rsid w:val="5DF35FE0"/>
    <w:rsid w:val="5E706CFF"/>
    <w:rsid w:val="5E9C49F5"/>
    <w:rsid w:val="5E9E2432"/>
    <w:rsid w:val="5EAE21C1"/>
    <w:rsid w:val="5EF774FF"/>
    <w:rsid w:val="5F00590C"/>
    <w:rsid w:val="5F1119B5"/>
    <w:rsid w:val="5FEB2206"/>
    <w:rsid w:val="602F686F"/>
    <w:rsid w:val="60543AEF"/>
    <w:rsid w:val="605F052B"/>
    <w:rsid w:val="60C25428"/>
    <w:rsid w:val="60CE7B5E"/>
    <w:rsid w:val="60E75B86"/>
    <w:rsid w:val="60EA0710"/>
    <w:rsid w:val="61A45DBD"/>
    <w:rsid w:val="61C71E4D"/>
    <w:rsid w:val="623124D7"/>
    <w:rsid w:val="626F35C2"/>
    <w:rsid w:val="62DB47B4"/>
    <w:rsid w:val="62F360A5"/>
    <w:rsid w:val="63153B55"/>
    <w:rsid w:val="63894210"/>
    <w:rsid w:val="63A64DC2"/>
    <w:rsid w:val="64791121"/>
    <w:rsid w:val="64807D34"/>
    <w:rsid w:val="64947D16"/>
    <w:rsid w:val="64BE7D39"/>
    <w:rsid w:val="64DB6DC8"/>
    <w:rsid w:val="654F4FE5"/>
    <w:rsid w:val="66882EA5"/>
    <w:rsid w:val="67626E36"/>
    <w:rsid w:val="67796FA3"/>
    <w:rsid w:val="67940C8C"/>
    <w:rsid w:val="67BC554A"/>
    <w:rsid w:val="67EE4F89"/>
    <w:rsid w:val="68077DF9"/>
    <w:rsid w:val="681A6589"/>
    <w:rsid w:val="683A1F7D"/>
    <w:rsid w:val="689D16F5"/>
    <w:rsid w:val="68D128E1"/>
    <w:rsid w:val="68D66149"/>
    <w:rsid w:val="690D0807"/>
    <w:rsid w:val="695D4175"/>
    <w:rsid w:val="6A1F767C"/>
    <w:rsid w:val="6A2E3D63"/>
    <w:rsid w:val="6A4B1240"/>
    <w:rsid w:val="6AFD1B09"/>
    <w:rsid w:val="6B023705"/>
    <w:rsid w:val="6BD47965"/>
    <w:rsid w:val="6C22066A"/>
    <w:rsid w:val="6CF73FA9"/>
    <w:rsid w:val="6DA34120"/>
    <w:rsid w:val="6DE74955"/>
    <w:rsid w:val="6E001573"/>
    <w:rsid w:val="6E0946A8"/>
    <w:rsid w:val="6E891568"/>
    <w:rsid w:val="6E9B0E2C"/>
    <w:rsid w:val="6EF72E99"/>
    <w:rsid w:val="6EFF733A"/>
    <w:rsid w:val="6FB66DB6"/>
    <w:rsid w:val="6FE31DEC"/>
    <w:rsid w:val="700D50E9"/>
    <w:rsid w:val="70155DCB"/>
    <w:rsid w:val="70C04CC5"/>
    <w:rsid w:val="70D0347E"/>
    <w:rsid w:val="710702C7"/>
    <w:rsid w:val="711E56C5"/>
    <w:rsid w:val="712E4649"/>
    <w:rsid w:val="71344E34"/>
    <w:rsid w:val="713E488C"/>
    <w:rsid w:val="71463BC5"/>
    <w:rsid w:val="71D82559"/>
    <w:rsid w:val="72CF053F"/>
    <w:rsid w:val="72F31304"/>
    <w:rsid w:val="72FF6608"/>
    <w:rsid w:val="73BF0E77"/>
    <w:rsid w:val="73F76F74"/>
    <w:rsid w:val="73FB56B3"/>
    <w:rsid w:val="74406B6D"/>
    <w:rsid w:val="7485266C"/>
    <w:rsid w:val="74DC4AE7"/>
    <w:rsid w:val="75625A1D"/>
    <w:rsid w:val="75FA2D4B"/>
    <w:rsid w:val="7640154B"/>
    <w:rsid w:val="764D5571"/>
    <w:rsid w:val="76513D26"/>
    <w:rsid w:val="765D0A69"/>
    <w:rsid w:val="76766876"/>
    <w:rsid w:val="76CA3830"/>
    <w:rsid w:val="76DB2FAF"/>
    <w:rsid w:val="774424D0"/>
    <w:rsid w:val="774E1824"/>
    <w:rsid w:val="77967BEE"/>
    <w:rsid w:val="77EE068E"/>
    <w:rsid w:val="77F02658"/>
    <w:rsid w:val="780D6D66"/>
    <w:rsid w:val="78580EEC"/>
    <w:rsid w:val="786F5E0A"/>
    <w:rsid w:val="79187CFE"/>
    <w:rsid w:val="79517126"/>
    <w:rsid w:val="79921A5A"/>
    <w:rsid w:val="799C2A97"/>
    <w:rsid w:val="79B91149"/>
    <w:rsid w:val="79D92E8A"/>
    <w:rsid w:val="7A0D1D7E"/>
    <w:rsid w:val="7A3507F6"/>
    <w:rsid w:val="7A4727A5"/>
    <w:rsid w:val="7A5769BE"/>
    <w:rsid w:val="7A5B3344"/>
    <w:rsid w:val="7A910122"/>
    <w:rsid w:val="7AA43575"/>
    <w:rsid w:val="7AC22512"/>
    <w:rsid w:val="7AE75F94"/>
    <w:rsid w:val="7BA40029"/>
    <w:rsid w:val="7BDE6B92"/>
    <w:rsid w:val="7C2823C0"/>
    <w:rsid w:val="7C286864"/>
    <w:rsid w:val="7D027151"/>
    <w:rsid w:val="7D9D6DDE"/>
    <w:rsid w:val="7DAF7E0F"/>
    <w:rsid w:val="7DFC1D56"/>
    <w:rsid w:val="7E573431"/>
    <w:rsid w:val="7E645620"/>
    <w:rsid w:val="7E6F3B0D"/>
    <w:rsid w:val="7E742475"/>
    <w:rsid w:val="7EB268DD"/>
    <w:rsid w:val="7F0D742A"/>
    <w:rsid w:val="7F2B6E39"/>
    <w:rsid w:val="7F6D7153"/>
    <w:rsid w:val="7F830D6B"/>
    <w:rsid w:val="7F951BF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lang w:val="en-GB" w:eastAsia="en-US" w:bidi="ar-SA"/>
    </w:rPr>
  </w:style>
  <w:style w:type="paragraph" w:styleId="2">
    <w:name w:val="heading 3"/>
    <w:basedOn w:val="1"/>
    <w:next w:val="1"/>
    <w:qFormat/>
    <w:uiPriority w:val="0"/>
    <w:pPr>
      <w:keepNext/>
      <w:spacing w:before="240" w:after="60"/>
      <w:outlineLvl w:val="2"/>
    </w:pPr>
    <w:rPr>
      <w:rFonts w:ascii="Arial" w:hAnsi="Arial" w:cs="Arial"/>
      <w:b/>
      <w:bCs/>
      <w:sz w:val="26"/>
      <w:szCs w:val="2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caption"/>
    <w:basedOn w:val="4"/>
    <w:next w:val="4"/>
    <w:autoRedefine/>
    <w:qFormat/>
    <w:uiPriority w:val="0"/>
  </w:style>
  <w:style w:type="paragraph" w:customStyle="1" w:styleId="4">
    <w:name w:val="Els-caption"/>
    <w:autoRedefine/>
    <w:qFormat/>
    <w:uiPriority w:val="0"/>
    <w:pPr>
      <w:keepLines/>
      <w:spacing w:before="100" w:after="120"/>
    </w:pPr>
    <w:rPr>
      <w:rFonts w:ascii="Times New Roman" w:hAnsi="Times New Roman" w:eastAsia="Times New Roman" w:cs="Times New Roman"/>
      <w:sz w:val="18"/>
      <w:lang w:val="en-US" w:eastAsia="en-US" w:bidi="ar-SA"/>
    </w:rPr>
  </w:style>
  <w:style w:type="paragraph" w:styleId="5">
    <w:name w:val="annotation text"/>
    <w:basedOn w:val="1"/>
    <w:semiHidden/>
    <w:qFormat/>
    <w:uiPriority w:val="0"/>
  </w:style>
  <w:style w:type="paragraph" w:styleId="6">
    <w:name w:val="Balloon Text"/>
    <w:basedOn w:val="1"/>
    <w:autoRedefine/>
    <w:semiHidden/>
    <w:qFormat/>
    <w:uiPriority w:val="0"/>
    <w:rPr>
      <w:rFonts w:ascii="Tahoma" w:hAnsi="Tahoma" w:cs="Tahoma"/>
      <w:sz w:val="16"/>
      <w:szCs w:val="16"/>
    </w:rPr>
  </w:style>
  <w:style w:type="paragraph" w:styleId="7">
    <w:name w:val="footer"/>
    <w:basedOn w:val="8"/>
    <w:autoRedefine/>
    <w:qFormat/>
    <w:uiPriority w:val="0"/>
    <w:pPr>
      <w:tabs>
        <w:tab w:val="center" w:pos="3600"/>
        <w:tab w:val="right" w:pos="7200"/>
      </w:tabs>
    </w:pPr>
  </w:style>
  <w:style w:type="paragraph" w:styleId="8">
    <w:name w:val="header"/>
    <w:autoRedefine/>
    <w:qFormat/>
    <w:uiPriority w:val="0"/>
    <w:pPr>
      <w:tabs>
        <w:tab w:val="center" w:pos="3600"/>
        <w:tab w:val="right" w:pos="7200"/>
      </w:tabs>
      <w:spacing w:line="200" w:lineRule="atLeast"/>
    </w:pPr>
    <w:rPr>
      <w:rFonts w:ascii="Times New Roman" w:hAnsi="Times New Roman" w:eastAsia="Times New Roman" w:cs="Times New Roman"/>
      <w:lang w:val="en-GB" w:eastAsia="en-US" w:bidi="ar-SA"/>
    </w:rPr>
  </w:style>
  <w:style w:type="paragraph" w:styleId="9">
    <w:name w:val="footnote text"/>
    <w:basedOn w:val="1"/>
    <w:autoRedefine/>
    <w:semiHidden/>
    <w:qFormat/>
    <w:uiPriority w:val="0"/>
    <w:rPr>
      <w:rFonts w:ascii="Univers" w:hAnsi="Univers"/>
    </w:rPr>
  </w:style>
  <w:style w:type="paragraph" w:styleId="10">
    <w:name w:val="annotation subject"/>
    <w:basedOn w:val="5"/>
    <w:next w:val="5"/>
    <w:autoRedefine/>
    <w:semiHidden/>
    <w:qFormat/>
    <w:uiPriority w:val="0"/>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ndnote reference"/>
    <w:basedOn w:val="13"/>
    <w:autoRedefine/>
    <w:semiHidden/>
    <w:qFormat/>
    <w:uiPriority w:val="0"/>
    <w:rPr>
      <w:vertAlign w:val="superscript"/>
    </w:rPr>
  </w:style>
  <w:style w:type="character" w:styleId="15">
    <w:name w:val="page number"/>
    <w:basedOn w:val="13"/>
    <w:autoRedefine/>
    <w:qFormat/>
    <w:uiPriority w:val="0"/>
    <w:rPr>
      <w:sz w:val="20"/>
      <w:szCs w:val="20"/>
    </w:rPr>
  </w:style>
  <w:style w:type="character" w:styleId="16">
    <w:name w:val="Hyperlink"/>
    <w:basedOn w:val="13"/>
    <w:autoRedefine/>
    <w:qFormat/>
    <w:uiPriority w:val="0"/>
    <w:rPr>
      <w:color w:val="0000FF"/>
      <w:u w:val="single"/>
    </w:rPr>
  </w:style>
  <w:style w:type="character" w:styleId="17">
    <w:name w:val="annotation reference"/>
    <w:basedOn w:val="13"/>
    <w:autoRedefine/>
    <w:semiHidden/>
    <w:qFormat/>
    <w:uiPriority w:val="0"/>
    <w:rPr>
      <w:sz w:val="16"/>
      <w:szCs w:val="16"/>
    </w:rPr>
  </w:style>
  <w:style w:type="character" w:styleId="18">
    <w:name w:val="footnote reference"/>
    <w:autoRedefine/>
    <w:semiHidden/>
    <w:qFormat/>
    <w:uiPriority w:val="0"/>
    <w:rPr>
      <w:vertAlign w:val="superscript"/>
    </w:rPr>
  </w:style>
  <w:style w:type="paragraph" w:customStyle="1" w:styleId="19">
    <w:name w:val="Els-1storder-head"/>
    <w:basedOn w:val="20"/>
    <w:next w:val="20"/>
    <w:autoRedefine/>
    <w:qFormat/>
    <w:uiPriority w:val="0"/>
    <w:pPr>
      <w:keepNext/>
      <w:numPr>
        <w:ilvl w:val="1"/>
        <w:numId w:val="1"/>
      </w:numPr>
      <w:suppressAutoHyphens/>
      <w:spacing w:before="240" w:after="60" w:line="240" w:lineRule="exact"/>
    </w:pPr>
    <w:rPr>
      <w:b/>
      <w:sz w:val="22"/>
    </w:rPr>
  </w:style>
  <w:style w:type="paragraph" w:customStyle="1" w:styleId="20">
    <w:name w:val="Els-body-text"/>
    <w:autoRedefine/>
    <w:qFormat/>
    <w:uiPriority w:val="0"/>
    <w:pPr>
      <w:jc w:val="both"/>
    </w:pPr>
    <w:rPr>
      <w:rFonts w:ascii="Times New Roman" w:hAnsi="Times New Roman" w:eastAsia="Times New Roman" w:cs="Times New Roman"/>
      <w:lang w:val="en-US" w:eastAsia="en-US" w:bidi="ar-SA"/>
    </w:rPr>
  </w:style>
  <w:style w:type="paragraph" w:customStyle="1" w:styleId="21">
    <w:name w:val="Els-2ndorder-head"/>
    <w:basedOn w:val="20"/>
    <w:next w:val="20"/>
    <w:autoRedefine/>
    <w:qFormat/>
    <w:uiPriority w:val="0"/>
    <w:pPr>
      <w:keepNext/>
      <w:numPr>
        <w:ilvl w:val="2"/>
        <w:numId w:val="1"/>
      </w:numPr>
      <w:suppressAutoHyphens/>
      <w:spacing w:before="80"/>
    </w:pPr>
    <w:rPr>
      <w:i/>
    </w:rPr>
  </w:style>
  <w:style w:type="paragraph" w:customStyle="1" w:styleId="22">
    <w:name w:val="Els-3rdorder-head"/>
    <w:basedOn w:val="20"/>
    <w:next w:val="20"/>
    <w:autoRedefine/>
    <w:qFormat/>
    <w:uiPriority w:val="0"/>
    <w:pPr>
      <w:keepNext/>
      <w:numPr>
        <w:ilvl w:val="3"/>
        <w:numId w:val="1"/>
      </w:numPr>
      <w:suppressAutoHyphens/>
      <w:spacing w:before="60"/>
    </w:pPr>
    <w:rPr>
      <w:i/>
    </w:rPr>
  </w:style>
  <w:style w:type="paragraph" w:customStyle="1" w:styleId="23">
    <w:name w:val="Els-Affiliation"/>
    <w:autoRedefine/>
    <w:qFormat/>
    <w:uiPriority w:val="0"/>
    <w:pPr>
      <w:suppressAutoHyphens/>
      <w:spacing w:line="240" w:lineRule="exact"/>
    </w:pPr>
    <w:rPr>
      <w:rFonts w:ascii="Times New Roman" w:hAnsi="Times New Roman" w:eastAsia="Times New Roman" w:cs="Times New Roman"/>
      <w:i/>
      <w:lang w:val="en-GB" w:eastAsia="en-US" w:bidi="ar-SA"/>
    </w:rPr>
  </w:style>
  <w:style w:type="paragraph" w:customStyle="1" w:styleId="24">
    <w:name w:val="Els-Author"/>
    <w:next w:val="23"/>
    <w:autoRedefine/>
    <w:qFormat/>
    <w:uiPriority w:val="0"/>
    <w:pPr>
      <w:keepNext/>
      <w:suppressAutoHyphens/>
      <w:spacing w:after="60" w:line="310" w:lineRule="exact"/>
    </w:pPr>
    <w:rPr>
      <w:rFonts w:ascii="Times New Roman" w:hAnsi="Times New Roman" w:eastAsia="Times New Roman" w:cs="Times New Roman"/>
      <w:sz w:val="22"/>
      <w:lang w:val="en-GB" w:eastAsia="en-US" w:bidi="ar-SA"/>
    </w:rPr>
  </w:style>
  <w:style w:type="paragraph" w:customStyle="1" w:styleId="25">
    <w:name w:val="Els-bulletlist"/>
    <w:basedOn w:val="20"/>
    <w:autoRedefine/>
    <w:qFormat/>
    <w:uiPriority w:val="0"/>
    <w:pPr>
      <w:tabs>
        <w:tab w:val="left" w:pos="240"/>
        <w:tab w:val="left" w:pos="360"/>
      </w:tabs>
      <w:ind w:left="240" w:hanging="240"/>
      <w:jc w:val="left"/>
    </w:pPr>
  </w:style>
  <w:style w:type="paragraph" w:customStyle="1" w:styleId="26">
    <w:name w:val="Els-chem-equation"/>
    <w:basedOn w:val="20"/>
    <w:next w:val="20"/>
    <w:autoRedefine/>
    <w:qFormat/>
    <w:uiPriority w:val="0"/>
    <w:pPr>
      <w:tabs>
        <w:tab w:val="right" w:pos="7088"/>
      </w:tabs>
      <w:spacing w:before="120" w:after="120"/>
    </w:pPr>
    <w:rPr>
      <w:lang w:val="en-GB"/>
    </w:rPr>
  </w:style>
  <w:style w:type="paragraph" w:customStyle="1" w:styleId="27">
    <w:name w:val="Els-equation"/>
    <w:basedOn w:val="20"/>
    <w:next w:val="20"/>
    <w:autoRedefine/>
    <w:qFormat/>
    <w:uiPriority w:val="0"/>
    <w:pPr>
      <w:tabs>
        <w:tab w:val="right" w:pos="7088"/>
      </w:tabs>
      <w:spacing w:before="120" w:after="120"/>
    </w:pPr>
    <w:rPr>
      <w:i/>
      <w:lang w:val="en-GB"/>
    </w:rPr>
  </w:style>
  <w:style w:type="paragraph" w:customStyle="1" w:styleId="28">
    <w:name w:val="Els-footnote"/>
    <w:autoRedefine/>
    <w:qFormat/>
    <w:uiPriority w:val="0"/>
    <w:pPr>
      <w:keepLines/>
      <w:widowControl w:val="0"/>
      <w:ind w:left="120" w:hanging="120"/>
    </w:pPr>
    <w:rPr>
      <w:rFonts w:ascii="Times New Roman" w:hAnsi="Times New Roman" w:eastAsia="Times New Roman" w:cs="Times New Roman"/>
      <w:sz w:val="18"/>
      <w:lang w:val="en-US" w:eastAsia="en-US" w:bidi="ar-SA"/>
    </w:rPr>
  </w:style>
  <w:style w:type="paragraph" w:customStyle="1" w:styleId="29">
    <w:name w:val="Els-numlist"/>
    <w:basedOn w:val="20"/>
    <w:autoRedefine/>
    <w:qFormat/>
    <w:uiPriority w:val="0"/>
    <w:pPr>
      <w:tabs>
        <w:tab w:val="left" w:pos="240"/>
        <w:tab w:val="left" w:pos="360"/>
      </w:tabs>
      <w:ind w:left="240" w:hanging="240"/>
      <w:jc w:val="left"/>
    </w:pPr>
  </w:style>
  <w:style w:type="paragraph" w:customStyle="1" w:styleId="30">
    <w:name w:val="Els-reference"/>
    <w:autoRedefine/>
    <w:qFormat/>
    <w:uiPriority w:val="0"/>
    <w:pPr>
      <w:numPr>
        <w:ilvl w:val="0"/>
        <w:numId w:val="2"/>
      </w:numPr>
      <w:ind w:left="482"/>
    </w:pPr>
    <w:rPr>
      <w:rFonts w:ascii="Times New Roman" w:hAnsi="Times New Roman" w:eastAsia="Times New Roman" w:cs="Times New Roman"/>
      <w:sz w:val="18"/>
      <w:lang w:val="en-GB" w:eastAsia="en-US" w:bidi="ar-SA"/>
    </w:rPr>
  </w:style>
  <w:style w:type="paragraph" w:customStyle="1" w:styleId="31">
    <w:name w:val="Els-reference-head"/>
    <w:basedOn w:val="20"/>
    <w:next w:val="32"/>
    <w:autoRedefine/>
    <w:qFormat/>
    <w:uiPriority w:val="0"/>
    <w:pPr>
      <w:keepNext/>
      <w:spacing w:before="240" w:after="60"/>
    </w:pPr>
    <w:rPr>
      <w:b/>
      <w:sz w:val="22"/>
      <w:szCs w:val="22"/>
    </w:rPr>
  </w:style>
  <w:style w:type="paragraph" w:customStyle="1" w:styleId="32">
    <w:name w:val="Els-reference no-number"/>
    <w:basedOn w:val="30"/>
    <w:autoRedefine/>
    <w:qFormat/>
    <w:uiPriority w:val="0"/>
    <w:pPr>
      <w:numPr>
        <w:numId w:val="0"/>
      </w:numPr>
      <w:ind w:left="240" w:hanging="240"/>
    </w:pPr>
  </w:style>
  <w:style w:type="paragraph" w:customStyle="1" w:styleId="33">
    <w:name w:val="Els-table-text"/>
    <w:autoRedefine/>
    <w:qFormat/>
    <w:uiPriority w:val="0"/>
    <w:pPr>
      <w:keepNext/>
      <w:spacing w:after="80" w:line="240" w:lineRule="exact"/>
    </w:pPr>
    <w:rPr>
      <w:rFonts w:ascii="Times New Roman" w:hAnsi="Times New Roman" w:eastAsia="Times New Roman" w:cs="Times New Roman"/>
      <w:sz w:val="18"/>
      <w:lang w:val="en-US" w:eastAsia="en-US" w:bidi="ar-SA"/>
    </w:rPr>
  </w:style>
  <w:style w:type="paragraph" w:customStyle="1" w:styleId="34">
    <w:name w:val="Els-Title"/>
    <w:next w:val="24"/>
    <w:autoRedefine/>
    <w:qFormat/>
    <w:uiPriority w:val="0"/>
    <w:pPr>
      <w:suppressAutoHyphens/>
      <w:spacing w:before="240" w:after="120" w:line="360" w:lineRule="exact"/>
    </w:pPr>
    <w:rPr>
      <w:rFonts w:ascii="Times New Roman" w:hAnsi="Times New Roman" w:eastAsia="Times New Roman" w:cs="Times New Roman"/>
      <w:b/>
      <w:sz w:val="32"/>
      <w:lang w:val="en-US" w:eastAsia="en-US" w:bidi="ar-SA"/>
    </w:rPr>
  </w:style>
  <w:style w:type="character" w:customStyle="1" w:styleId="35">
    <w:name w:val="MTEquationSection"/>
    <w:basedOn w:val="13"/>
    <w:autoRedefine/>
    <w:qFormat/>
    <w:uiPriority w:val="0"/>
    <w:rPr>
      <w:vanish/>
      <w:color w:val="FF0000"/>
    </w:rPr>
  </w:style>
  <w:style w:type="paragraph" w:customStyle="1" w:styleId="36">
    <w:name w:val="Els-Chapter no"/>
    <w:autoRedefine/>
    <w:qFormat/>
    <w:uiPriority w:val="0"/>
    <w:pPr>
      <w:numPr>
        <w:ilvl w:val="0"/>
        <w:numId w:val="1"/>
      </w:numPr>
      <w:spacing w:before="907" w:line="260" w:lineRule="exact"/>
    </w:pPr>
    <w:rPr>
      <w:rFonts w:ascii="Times New Roman" w:hAnsi="Times New Roman" w:eastAsia="Times New Roman" w:cs="Times New Roman"/>
      <w:sz w:val="24"/>
      <w:szCs w:val="24"/>
      <w:lang w:val="en-US" w:eastAsia="en-US" w:bidi="ar-SA"/>
    </w:rPr>
  </w:style>
  <w:style w:type="character" w:customStyle="1" w:styleId="37">
    <w:name w:val="Els-caption Char"/>
    <w:basedOn w:val="13"/>
    <w:autoRedefine/>
    <w:qFormat/>
    <w:uiPriority w:val="0"/>
    <w:rPr>
      <w:sz w:val="18"/>
      <w:lang w:val="en-US" w:eastAsia="en-US" w:bidi="ar-SA"/>
    </w:rPr>
  </w:style>
  <w:style w:type="paragraph" w:customStyle="1" w:styleId="38">
    <w:name w:val="Els-Abstract"/>
    <w:basedOn w:val="19"/>
    <w:next w:val="20"/>
    <w:autoRedefine/>
    <w:qFormat/>
    <w:uiPriority w:val="0"/>
    <w:pPr>
      <w:numPr>
        <w:ilvl w:val="0"/>
        <w:numId w:val="0"/>
      </w:numPr>
    </w:pPr>
  </w:style>
  <w:style w:type="character" w:customStyle="1" w:styleId="39">
    <w:name w:val="underline1"/>
    <w:basedOn w:val="13"/>
    <w:autoRedefine/>
    <w:qFormat/>
    <w:uiPriority w:val="0"/>
    <w:rPr>
      <w:u w:val="single"/>
    </w:rPr>
  </w:style>
  <w:style w:type="paragraph" w:customStyle="1" w:styleId="40">
    <w:name w:val="Elsevier Body Text Centred No space"/>
    <w:basedOn w:val="1"/>
    <w:autoRedefine/>
    <w:qFormat/>
    <w:uiPriority w:val="0"/>
    <w:pPr>
      <w:jc w:val="center"/>
    </w:pPr>
    <w:rPr>
      <w:bCs/>
      <w:iCs/>
      <w:color w:val="000000" w:themeColor="text1"/>
      <w:sz w:val="22"/>
      <w:szCs w:val="24"/>
      <w:lang w:val="en-US"/>
      <w14:textFill>
        <w14:solidFill>
          <w14:schemeClr w14:val="tx1"/>
        </w14:solidFill>
      </w14:textFill>
    </w:rPr>
  </w:style>
  <w:style w:type="character" w:customStyle="1" w:styleId="41">
    <w:name w:val="font41"/>
    <w:basedOn w:val="13"/>
    <w:autoRedefine/>
    <w:qFormat/>
    <w:uiPriority w:val="0"/>
    <w:rPr>
      <w:rFonts w:hint="default" w:ascii="Times New Roman" w:hAnsi="Times New Roman" w:cs="Times New Roman"/>
      <w:color w:val="000000"/>
      <w:sz w:val="22"/>
      <w:szCs w:val="22"/>
      <w:u w:val="none"/>
      <w:vertAlign w:val="superscript"/>
    </w:rPr>
  </w:style>
  <w:style w:type="character" w:customStyle="1" w:styleId="42">
    <w:name w:val="font21"/>
    <w:basedOn w:val="13"/>
    <w:autoRedefine/>
    <w:qFormat/>
    <w:uiPriority w:val="0"/>
    <w:rPr>
      <w:rFonts w:hint="default" w:ascii="Times New Roman" w:hAnsi="Times New Roman" w:cs="Times New Roman"/>
      <w:color w:val="000000"/>
      <w:sz w:val="22"/>
      <w:szCs w:val="22"/>
      <w:u w:val="none"/>
    </w:rPr>
  </w:style>
  <w:style w:type="character" w:customStyle="1" w:styleId="43">
    <w:name w:val="font51"/>
    <w:basedOn w:val="13"/>
    <w:autoRedefine/>
    <w:qFormat/>
    <w:uiPriority w:val="0"/>
    <w:rPr>
      <w:rFonts w:hint="eastAsia" w:ascii="宋体" w:hAnsi="宋体" w:eastAsia="宋体" w:cs="宋体"/>
      <w:color w:val="000000"/>
      <w:sz w:val="22"/>
      <w:szCs w:val="22"/>
      <w:u w:val="none"/>
    </w:rPr>
  </w:style>
  <w:style w:type="character" w:customStyle="1" w:styleId="44">
    <w:name w:val="font61"/>
    <w:basedOn w:val="13"/>
    <w:autoRedefine/>
    <w:qFormat/>
    <w:uiPriority w:val="0"/>
    <w:rPr>
      <w:rFonts w:hint="default" w:ascii="Times New Roman" w:hAnsi="Times New Roman" w:cs="Times New Roman"/>
      <w:color w:val="000000"/>
      <w:sz w:val="22"/>
      <w:szCs w:val="22"/>
      <w:u w:val="none"/>
      <w:vertAlign w:val="subscript"/>
    </w:rPr>
  </w:style>
  <w:style w:type="character" w:customStyle="1" w:styleId="45">
    <w:name w:val="font11"/>
    <w:basedOn w:val="13"/>
    <w:autoRedefine/>
    <w:qFormat/>
    <w:uiPriority w:val="0"/>
    <w:rPr>
      <w:rFonts w:hint="default" w:ascii="Times New Roman" w:hAnsi="Times New Roman" w:cs="Times New Roman"/>
      <w:color w:val="000000"/>
      <w:sz w:val="22"/>
      <w:szCs w:val="22"/>
      <w:u w:val="none"/>
    </w:rPr>
  </w:style>
  <w:style w:type="character" w:customStyle="1" w:styleId="46">
    <w:name w:val="font31"/>
    <w:basedOn w:val="13"/>
    <w:autoRedefine/>
    <w:qFormat/>
    <w:uiPriority w:val="0"/>
    <w:rPr>
      <w:rFonts w:hint="eastAsia" w:ascii="宋体" w:hAnsi="宋体" w:eastAsia="宋体" w:cs="宋体"/>
      <w:b/>
      <w:bCs/>
      <w:color w:val="000000"/>
      <w:sz w:val="22"/>
      <w:szCs w:val="22"/>
      <w:u w:val="none"/>
    </w:rPr>
  </w:style>
  <w:style w:type="character" w:customStyle="1" w:styleId="47">
    <w:name w:val="font01"/>
    <w:basedOn w:val="1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numbering" Target="numbering.xml"/><Relationship Id="rId53" Type="http://schemas.openxmlformats.org/officeDocument/2006/relationships/image" Target="media/image25.png"/><Relationship Id="rId52" Type="http://schemas.openxmlformats.org/officeDocument/2006/relationships/image" Target="media/image24.png"/><Relationship Id="rId51" Type="http://schemas.openxmlformats.org/officeDocument/2006/relationships/image" Target="media/image23.png"/><Relationship Id="rId50" Type="http://schemas.openxmlformats.org/officeDocument/2006/relationships/image" Target="media/image22.wmf"/><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datastoreItem>
</file>

<file path=docProps/app.xml><?xml version="1.0" encoding="utf-8"?>
<Properties xmlns="http://schemas.openxmlformats.org/officeDocument/2006/extended-properties" xmlns:vt="http://schemas.openxmlformats.org/officeDocument/2006/docPropsVTypes">
  <Template>Normal</Template>
  <Company>Elsevier Science</Company>
  <Pages>6</Pages>
  <Words>2400</Words>
  <Characters>13836</Characters>
  <Lines>115</Lines>
  <Paragraphs>32</Paragraphs>
  <TotalTime>8</TotalTime>
  <ScaleCrop>false</ScaleCrop>
  <LinksUpToDate>false</LinksUpToDate>
  <CharactersWithSpaces>16204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2023-10-02T07:50:00Z</dcterms:created>
  <dc:creator>Kostas</dc:creator>
  <cp:lastModifiedBy>许关欣</cp:lastModifiedBy>
  <cp:lastPrinted>2004-12-17T09:20:00Z</cp:lastPrinted>
  <dcterms:modified xsi:type="dcterms:W3CDTF">2023-12-30T08:15:29Z</dcterms:modified>
  <dc:title>Chapter</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KSOProductBuildVer">
    <vt:lpwstr>2052-12.1.0.16120</vt:lpwstr>
  </property>
  <property fmtid="{D5CDD505-2E9C-101B-9397-08002B2CF9AE}" pid="11" name="ICV">
    <vt:lpwstr>6EF26E707E954A8D87A94E9AFEA8EDA5_13</vt:lpwstr>
  </property>
</Properties>
</file>