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C4B9F1F" w:rsidR="00DD3D9E" w:rsidRPr="00B4388F" w:rsidRDefault="00F55608">
      <w:pPr>
        <w:pStyle w:val="Els-Title"/>
        <w:rPr>
          <w:color w:val="000000" w:themeColor="text1"/>
        </w:rPr>
      </w:pPr>
      <w:r>
        <w:t>Emission oriented scheduling optimization for sustainable processes</w:t>
      </w:r>
    </w:p>
    <w:p w14:paraId="36210081" w14:textId="76B4161B" w:rsidR="00F55608" w:rsidRPr="00D87906" w:rsidRDefault="00F55608" w:rsidP="00F55608">
      <w:pPr>
        <w:pStyle w:val="Els-Author"/>
        <w:rPr>
          <w:lang w:val="it-IT"/>
        </w:rPr>
      </w:pPr>
      <w:r w:rsidRPr="00D87906">
        <w:rPr>
          <w:lang w:val="it-IT"/>
        </w:rPr>
        <w:t>Alessandro Di Pretoro</w:t>
      </w:r>
      <w:r w:rsidRPr="00D87906">
        <w:rPr>
          <w:vertAlign w:val="superscript"/>
          <w:lang w:val="it-IT"/>
        </w:rPr>
        <w:t>a*</w:t>
      </w:r>
      <w:r w:rsidRPr="00D87906">
        <w:rPr>
          <w:lang w:val="it-IT"/>
        </w:rPr>
        <w:t>, Ingy Tageldin</w:t>
      </w:r>
      <w:r w:rsidR="004609C8">
        <w:rPr>
          <w:vertAlign w:val="superscript"/>
          <w:lang w:val="it-IT"/>
        </w:rPr>
        <w:t>a,b</w:t>
      </w:r>
      <w:r w:rsidRPr="00D87906">
        <w:rPr>
          <w:lang w:val="it-IT"/>
        </w:rPr>
        <w:t>, Ludovic Montastruc</w:t>
      </w:r>
      <w:r w:rsidRPr="00D87906">
        <w:rPr>
          <w:vertAlign w:val="superscript"/>
          <w:lang w:val="it-IT"/>
        </w:rPr>
        <w:t>a</w:t>
      </w:r>
    </w:p>
    <w:p w14:paraId="2B1D3107" w14:textId="77777777" w:rsidR="00F55608" w:rsidRDefault="00F55608" w:rsidP="00F55608">
      <w:pPr>
        <w:pStyle w:val="Els-Affiliation"/>
        <w:rPr>
          <w:lang w:val="fr-FR"/>
        </w:rPr>
      </w:pPr>
      <w:r w:rsidRPr="00DA4BA0">
        <w:rPr>
          <w:vertAlign w:val="superscript"/>
          <w:lang w:val="fr-FR"/>
        </w:rPr>
        <w:t>a</w:t>
      </w:r>
      <w:r w:rsidRPr="00DA4BA0">
        <w:rPr>
          <w:lang w:val="fr-FR"/>
        </w:rPr>
        <w:t xml:space="preserve">Laboratoire de Génie Chimique, Université de Toulouse, CNRS/INP, Toulouse, </w:t>
      </w:r>
      <w:r>
        <w:rPr>
          <w:lang w:val="fr-FR"/>
        </w:rPr>
        <w:t>France</w:t>
      </w:r>
    </w:p>
    <w:p w14:paraId="19EE9D0E" w14:textId="77777777" w:rsidR="00F55608" w:rsidRPr="00AE3BBB" w:rsidRDefault="00F55608" w:rsidP="00F55608">
      <w:pPr>
        <w:pStyle w:val="Els-Affiliation"/>
        <w:spacing w:after="60"/>
        <w:rPr>
          <w:lang w:val="de-DE"/>
        </w:rPr>
      </w:pPr>
      <w:r w:rsidRPr="00AE3BBB">
        <w:rPr>
          <w:vertAlign w:val="superscript"/>
          <w:lang w:val="de-DE"/>
        </w:rPr>
        <w:t>b</w:t>
      </w:r>
      <w:r w:rsidRPr="00AE3BBB">
        <w:rPr>
          <w:lang w:val="de-DE"/>
        </w:rPr>
        <w:t>Technische Universität München, Department of Chemistry, Lichtenbergstraße 4, Garching b. München 85748, Germany</w:t>
      </w:r>
    </w:p>
    <w:p w14:paraId="144DE683" w14:textId="448D599A" w:rsidR="008D2649" w:rsidRPr="00F55608" w:rsidRDefault="00000000" w:rsidP="00F55608">
      <w:pPr>
        <w:pStyle w:val="Els-Affiliation"/>
        <w:rPr>
          <w:lang w:val="en-US"/>
        </w:rPr>
      </w:pPr>
      <w:hyperlink r:id="rId8" w:history="1">
        <w:r w:rsidR="00F55608" w:rsidRPr="009B4AD9">
          <w:rPr>
            <w:rStyle w:val="Collegamentoipertestuale"/>
            <w:lang w:val="en-US"/>
          </w:rPr>
          <w:t>alessandro.dipretoro@ensiacet.fr</w:t>
        </w:r>
      </w:hyperlink>
      <w:r w:rsidR="00F55608" w:rsidRPr="009B4AD9">
        <w:rPr>
          <w:lang w:val="en-US"/>
        </w:rPr>
        <w:t xml:space="preserve"> </w:t>
      </w:r>
    </w:p>
    <w:p w14:paraId="144DE684" w14:textId="77777777" w:rsidR="008D2649" w:rsidRDefault="008D2649" w:rsidP="008D2649">
      <w:pPr>
        <w:pStyle w:val="Els-Abstract"/>
      </w:pPr>
      <w:r>
        <w:t>Abstract</w:t>
      </w:r>
    </w:p>
    <w:p w14:paraId="144DE686" w14:textId="6BF937D1" w:rsidR="008D2649" w:rsidRDefault="00F55608" w:rsidP="00630460">
      <w:pPr>
        <w:pStyle w:val="Els-body-text"/>
        <w:spacing w:after="120"/>
        <w:rPr>
          <w:lang w:val="en-GB"/>
        </w:rPr>
      </w:pPr>
      <w:r>
        <w:t>As a consequence of the continuously increasing attention towards the environmental transition, a considerable mutation of the respective roles between energy and chemicals can be detected in the process industry. This aspect is of non-negligible importance when it comes to decide how to manage the plant sections from an operational perspective.</w:t>
      </w:r>
      <w:r w:rsidR="00CE19AC">
        <w:t xml:space="preserve"> </w:t>
      </w:r>
      <w:r>
        <w:t>The conventional design of a chemical production plant is based on a given productivity target to be achieved and the duty consumption is adapted consequently. However, this approach is not suitable whether the main focus of a chemical plant is to keep the emissions as low as possible.</w:t>
      </w:r>
      <w:r w:rsidR="00CE19AC">
        <w:t xml:space="preserve"> </w:t>
      </w:r>
      <w:r>
        <w:t>Whether the purpose of the plant is to use a chemical molecule as energy storage, the usual economic criteria for scheduling optimization could be replaced by new one allowing to take the maximum advantage from renewable energy availability.</w:t>
      </w:r>
      <w:r w:rsidR="001A30AC">
        <w:t xml:space="preserve"> </w:t>
      </w:r>
      <w:r>
        <w:t>In this study</w:t>
      </w:r>
      <w:r w:rsidR="000249A7">
        <w:t>,</w:t>
      </w:r>
      <w:r>
        <w:t xml:space="preserve"> the possibility to operate a </w:t>
      </w:r>
      <w:proofErr w:type="spellStart"/>
      <w:r>
        <w:t>biomethanol</w:t>
      </w:r>
      <w:proofErr w:type="spellEnd"/>
      <w:r>
        <w:t xml:space="preserve"> production plant</w:t>
      </w:r>
      <w:r w:rsidR="00E61D13">
        <w:t xml:space="preserve"> with a sustainable approach</w:t>
      </w:r>
      <w:r>
        <w:t xml:space="preserve"> according to renewable</w:t>
      </w:r>
      <w:r w:rsidR="00E61D13">
        <w:t>s</w:t>
      </w:r>
      <w:r>
        <w:t xml:space="preserve"> availability</w:t>
      </w:r>
      <w:r w:rsidR="00E61D13">
        <w:t xml:space="preserve"> trend</w:t>
      </w:r>
      <w:r>
        <w:t xml:space="preserve"> is investigated from the design and sizing phase till the production scheduling one. The related emissions are assessed in terms of Global Warming Potential in order to verify the net emitted equivalent CO</w:t>
      </w:r>
      <w:r w:rsidRPr="00990D07">
        <w:rPr>
          <w:vertAlign w:val="subscript"/>
        </w:rPr>
        <w:t>2</w:t>
      </w:r>
      <w:r>
        <w:t xml:space="preserve"> and minimize it until negative emissions are achieved by this process. This methodology showed good results and proved not only that negative emissions chemical plants are possible but, more importantly, that the sustainability of a process is mainly a matter of methodology. Beyond this preliminary study, this approach is worth further investigation in order to extend the emission-based operation management to the entire production from raw materials supply to final product delivery</w:t>
      </w:r>
      <w:r w:rsidR="008D2649">
        <w:rPr>
          <w:lang w:val="en-GB"/>
        </w:rPr>
        <w:t>.</w:t>
      </w:r>
    </w:p>
    <w:p w14:paraId="144DE687" w14:textId="56D35EFC" w:rsidR="008D2649" w:rsidRDefault="008D2649" w:rsidP="008D2649">
      <w:pPr>
        <w:pStyle w:val="Els-body-text"/>
        <w:spacing w:after="120"/>
        <w:rPr>
          <w:lang w:val="en-GB"/>
        </w:rPr>
      </w:pPr>
      <w:r>
        <w:rPr>
          <w:b/>
          <w:bCs/>
          <w:lang w:val="en-GB"/>
        </w:rPr>
        <w:t>Keywords</w:t>
      </w:r>
      <w:r>
        <w:rPr>
          <w:lang w:val="en-GB"/>
        </w:rPr>
        <w:t xml:space="preserve">: </w:t>
      </w:r>
      <w:r w:rsidR="00F55608" w:rsidRPr="00F55608">
        <w:rPr>
          <w:lang w:val="en-GB"/>
        </w:rPr>
        <w:t>demand-side management, scheduling, methanol, renewables</w:t>
      </w:r>
      <w:r>
        <w:rPr>
          <w:lang w:val="en-GB"/>
        </w:rPr>
        <w:t>.</w:t>
      </w:r>
    </w:p>
    <w:p w14:paraId="144DE689" w14:textId="64CEED2A" w:rsidR="008D2649" w:rsidRDefault="00F112C4" w:rsidP="008D2649">
      <w:pPr>
        <w:pStyle w:val="Els-1storder-head"/>
      </w:pPr>
      <w:r>
        <w:rPr>
          <w:lang w:val="en-GB"/>
        </w:rPr>
        <w:t>Introduction</w:t>
      </w:r>
    </w:p>
    <w:p w14:paraId="3B9E87B7" w14:textId="3E2395F1" w:rsidR="004F7E72" w:rsidRDefault="008D2649" w:rsidP="008D2649">
      <w:pPr>
        <w:pStyle w:val="Els-body-text"/>
      </w:pPr>
      <w:r>
        <w:t xml:space="preserve">The </w:t>
      </w:r>
      <w:r w:rsidR="008246A8">
        <w:t xml:space="preserve">conventional </w:t>
      </w:r>
      <w:r w:rsidR="00FB3E7F">
        <w:t xml:space="preserve">procedure </w:t>
      </w:r>
      <w:r w:rsidR="008246A8">
        <w:t>for chemical process scheduling has</w:t>
      </w:r>
      <w:r w:rsidR="00FB3E7F">
        <w:t xml:space="preserve"> usually</w:t>
      </w:r>
      <w:r w:rsidR="008246A8">
        <w:t xml:space="preserve"> been based on optimization methods able to maximize the economic income for a given product demand to meet.</w:t>
      </w:r>
      <w:r w:rsidR="00FB3E7F">
        <w:t xml:space="preserve"> This methodology relies on the principle of unconstrained availability of the energy source and prioritize</w:t>
      </w:r>
      <w:r w:rsidR="00E7023C">
        <w:t>s</w:t>
      </w:r>
      <w:r w:rsidR="00FB3E7F">
        <w:t xml:space="preserve"> economics with respect to other aspects of the process system. However, in case sustainability </w:t>
      </w:r>
      <w:r w:rsidR="00E61D13">
        <w:t>results to be</w:t>
      </w:r>
      <w:r w:rsidR="00FB3E7F">
        <w:t xml:space="preserve"> the major concern of the chemical industry, </w:t>
      </w:r>
      <w:r w:rsidR="00EC1A27">
        <w:t xml:space="preserve">this approach does not ensure the lowest possible environmental impact. In fact, in order to be </w:t>
      </w:r>
      <w:r w:rsidR="00C731DD">
        <w:t>certain</w:t>
      </w:r>
      <w:r w:rsidR="00EC1A27">
        <w:t xml:space="preserve"> that the required demand is satisfied, at least one of the </w:t>
      </w:r>
      <w:r w:rsidR="00C731DD">
        <w:t xml:space="preserve">exploited </w:t>
      </w:r>
      <w:r w:rsidR="00EC1A27">
        <w:t>energy sources should be largely available with no interruption in the supply. This is obviously not the case of renewable energy, whose nature is variable both in terms of peak power and overall quantity.</w:t>
      </w:r>
      <w:r w:rsidR="00C731DD">
        <w:t xml:space="preserve"> The consequence of this inconsistency between fixed demand and renewables is the impossibility of ensuring at the same time the most sustainable and the most profitable </w:t>
      </w:r>
      <w:r w:rsidR="00E7023C">
        <w:t xml:space="preserve">and satisfactory </w:t>
      </w:r>
      <w:r w:rsidR="00C731DD">
        <w:t>production system.</w:t>
      </w:r>
    </w:p>
    <w:p w14:paraId="144DE695" w14:textId="3D4A5D8B" w:rsidR="008D2649" w:rsidRDefault="00B82CEA" w:rsidP="008D2649">
      <w:pPr>
        <w:pStyle w:val="Els-body-text"/>
      </w:pPr>
      <w:r>
        <w:lastRenderedPageBreak/>
        <w:t xml:space="preserve">However, since the </w:t>
      </w:r>
      <w:r w:rsidR="00E61D13">
        <w:t>cur</w:t>
      </w:r>
      <w:r>
        <w:t xml:space="preserve">rent major concern of the industrial sector is </w:t>
      </w:r>
      <w:r w:rsidR="00285BCD">
        <w:t xml:space="preserve">to </w:t>
      </w:r>
      <w:r>
        <w:t>meet the emissions target fixed by the European Union for 2050</w:t>
      </w:r>
      <w:r w:rsidR="00A141D5">
        <w:t xml:space="preserve"> (UE, 2019)</w:t>
      </w:r>
      <w:r>
        <w:t>, the study</w:t>
      </w:r>
      <w:r w:rsidR="00285BCD">
        <w:t xml:space="preserve"> of the most sustainable process solutions has seen </w:t>
      </w:r>
      <w:r w:rsidR="00E61D13">
        <w:t>a considerably</w:t>
      </w:r>
      <w:r w:rsidR="00285BCD">
        <w:t xml:space="preserve"> renewed interest in the engineering domain</w:t>
      </w:r>
      <w:r w:rsidR="00E61D13">
        <w:t>,</w:t>
      </w:r>
      <w:r w:rsidR="00285BCD">
        <w:t xml:space="preserve"> even at the cost of a lower income.</w:t>
      </w:r>
      <w:r w:rsidR="004F7E72">
        <w:t xml:space="preserve"> Based on the previous premises, it </w:t>
      </w:r>
      <w:r w:rsidR="00E61D13">
        <w:t>becomes</w:t>
      </w:r>
      <w:r w:rsidR="004F7E72">
        <w:t xml:space="preserve"> evident that scheduling optimization is a fundamental step to achieve the best process operation with respect to renewable energy sources availability. For this reason, Demand-Side Management has become one of the most critical tools in the Process Systems Engineering domain</w:t>
      </w:r>
      <w:r w:rsidR="00977A77">
        <w:t xml:space="preserve"> to make the environmental transition a viable solution from both a qualitative and quantitative point of view</w:t>
      </w:r>
      <w:r w:rsidR="004F7E72">
        <w:t xml:space="preserve"> (</w:t>
      </w:r>
      <w:proofErr w:type="spellStart"/>
      <w:r w:rsidR="004F7E72" w:rsidRPr="004F7E72">
        <w:t>Shariatzadeh</w:t>
      </w:r>
      <w:proofErr w:type="spellEnd"/>
      <w:r w:rsidR="004F7E72">
        <w:t xml:space="preserve"> et al., 2015).</w:t>
      </w:r>
    </w:p>
    <w:p w14:paraId="70E7B2E0" w14:textId="36E90675" w:rsidR="00E7023C" w:rsidRDefault="00E7023C" w:rsidP="008D2649">
      <w:pPr>
        <w:pStyle w:val="Els-body-text"/>
      </w:pPr>
      <w:r>
        <w:t xml:space="preserve">Therefore, in order to reverse the conventional design approach where productivity is targeted as first objective and, for a fixed production layout, emissions are minimized </w:t>
      </w:r>
      <w:r w:rsidR="00E61D13">
        <w:t>at a second stage</w:t>
      </w:r>
      <w:r>
        <w:t>, the ideal case of carbon</w:t>
      </w:r>
      <w:r w:rsidR="00E61D13">
        <w:t>-</w:t>
      </w:r>
      <w:r>
        <w:t xml:space="preserve">free utilities coupled with a negative emission chemical </w:t>
      </w:r>
      <w:r w:rsidR="00E61D13">
        <w:t>plant</w:t>
      </w:r>
      <w:r>
        <w:t xml:space="preserve"> needs to be studied </w:t>
      </w:r>
      <w:r w:rsidR="00E61D13">
        <w:t xml:space="preserve">more </w:t>
      </w:r>
      <w:r>
        <w:t xml:space="preserve">in depth. Moreover, this </w:t>
      </w:r>
      <w:r w:rsidR="00E61D13">
        <w:t>operation layout</w:t>
      </w:r>
      <w:r>
        <w:t xml:space="preserve"> could be also exploited as a potential storage of renewable energy into chemicals and </w:t>
      </w:r>
      <w:r w:rsidR="00E61D13">
        <w:t xml:space="preserve">it </w:t>
      </w:r>
      <w:r>
        <w:t>could be seen as the highest CO</w:t>
      </w:r>
      <w:r w:rsidRPr="00E7023C">
        <w:rPr>
          <w:vertAlign w:val="subscript"/>
        </w:rPr>
        <w:t>2</w:t>
      </w:r>
      <w:r>
        <w:t xml:space="preserve"> removal potential scenario for the specific process.</w:t>
      </w:r>
    </w:p>
    <w:p w14:paraId="5A9A5F11" w14:textId="1B925A77" w:rsidR="00FB3E7F" w:rsidRPr="002D193D" w:rsidRDefault="00E7023C" w:rsidP="008D2649">
      <w:pPr>
        <w:pStyle w:val="Els-body-text"/>
      </w:pPr>
      <w:r>
        <w:t>Based on this premises, i</w:t>
      </w:r>
      <w:r w:rsidR="008F27FD">
        <w:t>n this research work, a preliminary analysis of the renewable-based scheduling is carried out by using solar energy as CO</w:t>
      </w:r>
      <w:r w:rsidR="008F27FD" w:rsidRPr="008F27FD">
        <w:rPr>
          <w:vertAlign w:val="subscript"/>
        </w:rPr>
        <w:t>2</w:t>
      </w:r>
      <w:r w:rsidR="008F27FD">
        <w:t xml:space="preserve"> free source. However, since for safety reason some processes cannot </w:t>
      </w:r>
      <w:r w:rsidR="00E61D13">
        <w:t xml:space="preserve">be </w:t>
      </w:r>
      <w:r w:rsidR="008F27FD">
        <w:t xml:space="preserve">completely switched off when solar energy is not available, a second </w:t>
      </w:r>
      <w:r w:rsidR="00E61D13">
        <w:t>scenario</w:t>
      </w:r>
      <w:r w:rsidR="008F27FD">
        <w:t xml:space="preserve"> exploiting biomass as backup duty is also evaluated and the comparison between the two scenario is performed. The negative emissions case study selected to test this methodology is the biogas-to-methanol process whose details are provided in the next section</w:t>
      </w:r>
      <w:r w:rsidR="000D42C4">
        <w:t>.</w:t>
      </w:r>
    </w:p>
    <w:p w14:paraId="144DE699" w14:textId="34F1A70E" w:rsidR="008D2649" w:rsidRDefault="002F2291" w:rsidP="008D2649">
      <w:pPr>
        <w:pStyle w:val="Els-1storder-head"/>
      </w:pPr>
      <w:r>
        <w:t>Case study</w:t>
      </w:r>
    </w:p>
    <w:p w14:paraId="144DE69A" w14:textId="0963F7D5" w:rsidR="008D2649" w:rsidRDefault="002F2291" w:rsidP="008D2649">
      <w:pPr>
        <w:pStyle w:val="Els-2ndorder-head"/>
      </w:pPr>
      <w:r>
        <w:t>Biogas-to-methanol process</w:t>
      </w:r>
    </w:p>
    <w:p w14:paraId="0AD95676" w14:textId="5C213BF2" w:rsidR="00D253CE" w:rsidRDefault="00D253CE" w:rsidP="008D2649">
      <w:pPr>
        <w:pStyle w:val="Els-body-text"/>
      </w:pPr>
    </w:p>
    <w:p w14:paraId="29AC6980" w14:textId="77777777" w:rsidR="00D253CE" w:rsidRDefault="00D253CE" w:rsidP="00D253CE">
      <w:pPr>
        <w:pStyle w:val="Els-body-text"/>
        <w:keepNext/>
      </w:pPr>
      <w:r>
        <w:rPr>
          <w:noProof/>
        </w:rPr>
        <w:drawing>
          <wp:inline distT="0" distB="0" distL="0" distR="0" wp14:anchorId="575AF119" wp14:editId="3DF39C8B">
            <wp:extent cx="4506346" cy="3240000"/>
            <wp:effectExtent l="0" t="0" r="8890" b="0"/>
            <wp:docPr id="5403099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39" t="882" r="750" b="1374"/>
                    <a:stretch/>
                  </pic:blipFill>
                  <pic:spPr bwMode="auto">
                    <a:xfrm>
                      <a:off x="0" y="0"/>
                      <a:ext cx="4506346" cy="3240000"/>
                    </a:xfrm>
                    <a:prstGeom prst="rect">
                      <a:avLst/>
                    </a:prstGeom>
                    <a:noFill/>
                    <a:ln>
                      <a:noFill/>
                    </a:ln>
                    <a:extLst>
                      <a:ext uri="{53640926-AAD7-44D8-BBD7-CCE9431645EC}">
                        <a14:shadowObscured xmlns:a14="http://schemas.microsoft.com/office/drawing/2010/main"/>
                      </a:ext>
                    </a:extLst>
                  </pic:spPr>
                </pic:pic>
              </a:graphicData>
            </a:graphic>
          </wp:inline>
        </w:drawing>
      </w:r>
    </w:p>
    <w:p w14:paraId="56582D6A" w14:textId="6FB111A1" w:rsidR="00D253CE" w:rsidRDefault="00D253CE" w:rsidP="00D253CE">
      <w:pPr>
        <w:pStyle w:val="Didascalia"/>
        <w:jc w:val="both"/>
      </w:pPr>
      <w:r>
        <w:t xml:space="preserve">Figure </w:t>
      </w:r>
      <w:r>
        <w:fldChar w:fldCharType="begin"/>
      </w:r>
      <w:r>
        <w:instrText xml:space="preserve"> SEQ Figure \* ARABIC </w:instrText>
      </w:r>
      <w:r>
        <w:fldChar w:fldCharType="separate"/>
      </w:r>
      <w:r w:rsidR="00E5310F">
        <w:rPr>
          <w:noProof/>
        </w:rPr>
        <w:t>1</w:t>
      </w:r>
      <w:r>
        <w:fldChar w:fldCharType="end"/>
      </w:r>
      <w:r>
        <w:t xml:space="preserve"> Biogas-to-methanol simulation flowsheet and sections</w:t>
      </w:r>
    </w:p>
    <w:p w14:paraId="144DE69C" w14:textId="3AB3C8D1" w:rsidR="008D2649" w:rsidRDefault="00E8125E" w:rsidP="008D2649">
      <w:pPr>
        <w:pStyle w:val="Els-body-text"/>
      </w:pPr>
      <w:r>
        <w:lastRenderedPageBreak/>
        <w:t>The selected case study for this research work is the biogas-to-methanol process. The reason behind this choice is based on the fact that it both allows to partially convert CO</w:t>
      </w:r>
      <w:r w:rsidRPr="007955C4">
        <w:rPr>
          <w:vertAlign w:val="subscript"/>
        </w:rPr>
        <w:t>2</w:t>
      </w:r>
      <w:r>
        <w:t xml:space="preserve"> into methanol (Fedeli et al., 2022) and serves as a power-to-chemical process able to store renewable energy by exploiting chemicals as ene</w:t>
      </w:r>
      <w:r w:rsidRPr="00D253CE">
        <w:t>rgy vectors. A simplified flow scheme of the process simulation is presented in Figure 1</w:t>
      </w:r>
      <w:r>
        <w:t xml:space="preserve">. </w:t>
      </w:r>
      <w:r w:rsidR="00837FD5">
        <w:t>As it can be noticed</w:t>
      </w:r>
      <w:r w:rsidR="001D2C33">
        <w:t>,</w:t>
      </w:r>
      <w:r w:rsidR="00837FD5">
        <w:t xml:space="preserve"> the plant includes three section as follows: (</w:t>
      </w:r>
      <w:proofErr w:type="spellStart"/>
      <w:r w:rsidR="00837FD5">
        <w:t>i</w:t>
      </w:r>
      <w:proofErr w:type="spellEnd"/>
      <w:r w:rsidR="00837FD5">
        <w:t xml:space="preserve">) a preliminary steam reforming section where the biogas transformation into </w:t>
      </w:r>
      <w:proofErr w:type="spellStart"/>
      <w:r w:rsidR="00837FD5">
        <w:t>biosyngas</w:t>
      </w:r>
      <w:proofErr w:type="spellEnd"/>
      <w:r w:rsidR="00837FD5">
        <w:t xml:space="preserve"> is carried out; (ii) the reaction section and (iii) the purification section to obtain methanol at the grade AA purity (i.e. 0.9985 w/w). </w:t>
      </w:r>
      <w:r w:rsidR="000E6731">
        <w:t xml:space="preserve">In this </w:t>
      </w:r>
      <w:r w:rsidR="00065778">
        <w:t>specific</w:t>
      </w:r>
      <w:r w:rsidR="000E6731">
        <w:t xml:space="preserve"> study, in order to</w:t>
      </w:r>
      <w:r w:rsidR="00065778">
        <w:t xml:space="preserve"> assess the worst case conditions in terms of potential emissions, a layout without any process integration solution is considered.</w:t>
      </w:r>
      <w:r w:rsidR="00837FD5">
        <w:t xml:space="preserve"> </w:t>
      </w:r>
      <w:r w:rsidR="001D2C33">
        <w:t xml:space="preserve">It is finally worth remarking </w:t>
      </w:r>
      <w:r w:rsidR="000E6731">
        <w:t>that</w:t>
      </w:r>
      <w:r w:rsidR="001D2C33" w:rsidRPr="001D2C33">
        <w:t xml:space="preserve"> </w:t>
      </w:r>
      <w:r w:rsidR="001D2C33">
        <w:t>the case study choice is not restrictive since the proposed methodology can be applied to any process whose carbon balance on the process side is negative</w:t>
      </w:r>
      <w:r w:rsidR="008F5749">
        <w:t>.</w:t>
      </w:r>
    </w:p>
    <w:p w14:paraId="610FC751" w14:textId="58499990" w:rsidR="002F2291" w:rsidRDefault="002F2291" w:rsidP="002F2291">
      <w:pPr>
        <w:pStyle w:val="Els-2ndorder-head"/>
      </w:pPr>
      <w:r>
        <w:t>Renewables energy sources</w:t>
      </w:r>
    </w:p>
    <w:p w14:paraId="74DEC77C" w14:textId="5A3DF077" w:rsidR="005B05A6" w:rsidRDefault="00CE19AC" w:rsidP="002F2291">
      <w:pPr>
        <w:pStyle w:val="Els-body-text"/>
      </w:pPr>
      <w:r>
        <w:t xml:space="preserve">As concerns the utility side, the </w:t>
      </w:r>
      <w:r w:rsidR="00B92AAF">
        <w:t xml:space="preserve">selected </w:t>
      </w:r>
      <w:r>
        <w:t xml:space="preserve">renewable and backup energy sources </w:t>
      </w:r>
      <w:r w:rsidR="00C83FD3">
        <w:t>a</w:t>
      </w:r>
      <w:r>
        <w:t>re solar power and biomass respectively. Solar irradiation trend is the leading criteria for the plant operation scheduling</w:t>
      </w:r>
      <w:r w:rsidR="00511952">
        <w:t xml:space="preserve">. For this study, data retrieved from </w:t>
      </w:r>
      <w:r w:rsidR="009B78BA">
        <w:t>Global Solar Atlas</w:t>
      </w:r>
      <w:r w:rsidR="00511952">
        <w:t xml:space="preserve"> concerning Toulouse (</w:t>
      </w:r>
      <w:r w:rsidR="005835C2" w:rsidRPr="005835C2">
        <w:t>43.6047° N, 1.4442° E</w:t>
      </w:r>
      <w:r w:rsidR="00511952">
        <w:t>) were used</w:t>
      </w:r>
      <w:r w:rsidR="009B78BA">
        <w:t xml:space="preserve"> to outline the average direct irradiation availability trend over the day for each </w:t>
      </w:r>
      <w:r w:rsidR="009B78BA" w:rsidRPr="00E8125E">
        <w:t>month (</w:t>
      </w:r>
      <w:proofErr w:type="spellStart"/>
      <w:r w:rsidR="009B78BA" w:rsidRPr="00E8125E">
        <w:t>cf</w:t>
      </w:r>
      <w:proofErr w:type="spellEnd"/>
      <w:r w:rsidR="009B78BA" w:rsidRPr="00E8125E">
        <w:t xml:space="preserve"> Figure</w:t>
      </w:r>
      <w:r w:rsidR="00065778" w:rsidRPr="00E8125E">
        <w:t xml:space="preserve"> 2</w:t>
      </w:r>
      <w:r w:rsidR="009B78BA" w:rsidRPr="00E8125E">
        <w:t>).</w:t>
      </w:r>
      <w:r w:rsidR="005835C2" w:rsidRPr="00E8125E">
        <w:t xml:space="preserve"> </w:t>
      </w:r>
      <w:r w:rsidR="00C83FD3">
        <w:t xml:space="preserve">As a reference for the nominal operating conditions, </w:t>
      </w:r>
      <w:r w:rsidR="005835C2">
        <w:t xml:space="preserve">calculations will be carried out with the trend of August, but the procedure keeps being of general validity independently </w:t>
      </w:r>
      <w:r w:rsidR="00C83FD3">
        <w:t>of</w:t>
      </w:r>
      <w:r w:rsidR="005835C2">
        <w:t xml:space="preserve"> the selected month.</w:t>
      </w:r>
      <w:r w:rsidR="005B05A6">
        <w:t xml:space="preserve"> </w:t>
      </w:r>
      <w:r w:rsidR="00C83FD3">
        <w:t>D</w:t>
      </w:r>
      <w:r w:rsidR="005B05A6">
        <w:t xml:space="preserve">etails concerning the </w:t>
      </w:r>
      <w:r w:rsidR="00C83FD3">
        <w:t xml:space="preserve">operation and the energy efficiency </w:t>
      </w:r>
      <w:r w:rsidR="005B05A6">
        <w:t xml:space="preserve">are </w:t>
      </w:r>
      <w:r w:rsidR="00C83FD3">
        <w:t xml:space="preserve">better </w:t>
      </w:r>
      <w:r w:rsidR="005B05A6">
        <w:t>discussed in the next section.</w:t>
      </w:r>
      <w:r w:rsidR="006420FA">
        <w:t xml:space="preserve"> On the backup energy source side, as already mentioned, biomass is used for power and steam generation. The biomass properties </w:t>
      </w:r>
      <w:r w:rsidR="006420FA" w:rsidRPr="006C1535">
        <w:t>in terms of specific net heating value and specific emissions</w:t>
      </w:r>
      <w:r w:rsidR="006420FA">
        <w:t xml:space="preserve"> (Phyllis) </w:t>
      </w:r>
      <w:r w:rsidR="006420FA" w:rsidRPr="006C1535">
        <w:t>are provided in Table 1</w:t>
      </w:r>
      <w:r w:rsidR="006420FA" w:rsidRPr="0080220E">
        <w:t xml:space="preserve"> </w:t>
      </w:r>
      <w:r w:rsidR="006420FA">
        <w:t>along with those related natural gas, that is used as a reference value.</w:t>
      </w:r>
    </w:p>
    <w:p w14:paraId="271434CA" w14:textId="79041AEF" w:rsidR="00612F11" w:rsidRDefault="005A4768" w:rsidP="00E84982">
      <w:pPr>
        <w:pStyle w:val="Els-body-text"/>
        <w:keepNext/>
        <w:tabs>
          <w:tab w:val="center" w:pos="3543"/>
        </w:tabs>
        <w:spacing w:before="120"/>
        <w:jc w:val="left"/>
      </w:pPr>
      <w:r w:rsidRPr="005A4768">
        <w:rPr>
          <w:noProof/>
          <w:color w:val="000000"/>
          <w:bdr w:val="none" w:sz="0" w:space="0" w:color="auto" w:frame="1"/>
        </w:rPr>
        <w:drawing>
          <wp:inline distT="0" distB="0" distL="0" distR="0" wp14:anchorId="414372B0" wp14:editId="2E8EF016">
            <wp:extent cx="2177588" cy="1980000"/>
            <wp:effectExtent l="0" t="0" r="0" b="1270"/>
            <wp:docPr id="959491024" name="Immagine 3" descr="Immagine che contiene schermata,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91024" name="Immagine 3" descr="Immagine che contiene schermata, linea, Diagramma, diagramma&#10;&#10;Descrizione generat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0" b="3226"/>
                    <a:stretch/>
                  </pic:blipFill>
                  <pic:spPr bwMode="auto">
                    <a:xfrm>
                      <a:off x="0" y="0"/>
                      <a:ext cx="2177588" cy="1980000"/>
                    </a:xfrm>
                    <a:prstGeom prst="rect">
                      <a:avLst/>
                    </a:prstGeom>
                    <a:noFill/>
                    <a:ln>
                      <a:noFill/>
                    </a:ln>
                    <a:extLst>
                      <a:ext uri="{53640926-AAD7-44D8-BBD7-CCE9431645EC}">
                        <a14:shadowObscured xmlns:a14="http://schemas.microsoft.com/office/drawing/2010/main"/>
                      </a:ext>
                    </a:extLst>
                  </pic:spPr>
                </pic:pic>
              </a:graphicData>
            </a:graphic>
          </wp:inline>
        </w:drawing>
      </w:r>
      <w:r w:rsidR="00E84982">
        <w:rPr>
          <w:color w:val="000000"/>
          <w:bdr w:val="none" w:sz="0" w:space="0" w:color="auto" w:frame="1"/>
        </w:rPr>
        <w:tab/>
      </w:r>
      <w:r w:rsidR="00612F11" w:rsidRPr="00720E1B">
        <w:rPr>
          <w:color w:val="000000"/>
          <w:bdr w:val="none" w:sz="0" w:space="0" w:color="auto" w:frame="1"/>
        </w:rPr>
        <w:t xml:space="preserve"> </w:t>
      </w:r>
      <w:r w:rsidR="00F27C30">
        <w:rPr>
          <w:color w:val="000000"/>
          <w:bdr w:val="none" w:sz="0" w:space="0" w:color="auto" w:frame="1"/>
        </w:rPr>
        <w:t xml:space="preserve"> </w:t>
      </w:r>
      <w:r w:rsidR="0067340C">
        <w:rPr>
          <w:color w:val="000000"/>
          <w:bdr w:val="none" w:sz="0" w:space="0" w:color="auto" w:frame="1"/>
        </w:rPr>
        <w:t xml:space="preserve">   </w:t>
      </w:r>
      <w:r w:rsidR="00612F11" w:rsidRPr="00612F11">
        <w:rPr>
          <w:noProof/>
          <w:color w:val="000000"/>
          <w:bdr w:val="none" w:sz="0" w:space="0" w:color="auto" w:frame="1"/>
          <w:lang w:val="en-GB"/>
        </w:rPr>
        <w:drawing>
          <wp:inline distT="0" distB="0" distL="0" distR="0" wp14:anchorId="566D1FFC" wp14:editId="0B1A9B9E">
            <wp:extent cx="2131013" cy="1980000"/>
            <wp:effectExtent l="0" t="0" r="3175" b="1270"/>
            <wp:docPr id="5" name="Immagine 4" descr="Immagine che contiene testo, schermata, diagramma, Carattere&#10;&#10;Descrizione generata automaticamente">
              <a:extLst xmlns:a="http://schemas.openxmlformats.org/drawingml/2006/main">
                <a:ext uri="{FF2B5EF4-FFF2-40B4-BE49-F238E27FC236}">
                  <a16:creationId xmlns:a16="http://schemas.microsoft.com/office/drawing/2014/main" id="{029EC83C-DE54-110C-8766-FC5353312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Immagine che contiene testo, schermata, diagramma, Carattere&#10;&#10;Descrizione generata automaticamente">
                      <a:extLst>
                        <a:ext uri="{FF2B5EF4-FFF2-40B4-BE49-F238E27FC236}">
                          <a16:creationId xmlns:a16="http://schemas.microsoft.com/office/drawing/2014/main" id="{029EC83C-DE54-110C-8766-FC535331282B}"/>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51941" t="19957" r="7331" b="53303"/>
                    <a:stretch/>
                  </pic:blipFill>
                  <pic:spPr bwMode="auto">
                    <a:xfrm>
                      <a:off x="0" y="0"/>
                      <a:ext cx="2131013" cy="1980000"/>
                    </a:xfrm>
                    <a:prstGeom prst="rect">
                      <a:avLst/>
                    </a:prstGeom>
                    <a:ln>
                      <a:noFill/>
                    </a:ln>
                    <a:extLst>
                      <a:ext uri="{53640926-AAD7-44D8-BBD7-CCE9431645EC}">
                        <a14:shadowObscured xmlns:a14="http://schemas.microsoft.com/office/drawing/2010/main"/>
                      </a:ext>
                    </a:extLst>
                  </pic:spPr>
                </pic:pic>
              </a:graphicData>
            </a:graphic>
          </wp:inline>
        </w:drawing>
      </w:r>
    </w:p>
    <w:p w14:paraId="4D39FE5A" w14:textId="570D0DC3" w:rsidR="00612F11" w:rsidRDefault="00612F11" w:rsidP="00B02A56">
      <w:pPr>
        <w:pStyle w:val="Didascalia"/>
      </w:pPr>
      <w:r>
        <w:t xml:space="preserve">Figure </w:t>
      </w:r>
      <w:r>
        <w:fldChar w:fldCharType="begin"/>
      </w:r>
      <w:r>
        <w:instrText xml:space="preserve"> SEQ Figure \* ARABIC </w:instrText>
      </w:r>
      <w:r>
        <w:fldChar w:fldCharType="separate"/>
      </w:r>
      <w:r w:rsidR="00E5310F">
        <w:rPr>
          <w:noProof/>
        </w:rPr>
        <w:t>2</w:t>
      </w:r>
      <w:r>
        <w:fldChar w:fldCharType="end"/>
      </w:r>
      <w:r>
        <w:t xml:space="preserve"> </w:t>
      </w:r>
      <w:r>
        <w:rPr>
          <w:lang w:val="en-GB"/>
        </w:rPr>
        <w:t>–</w:t>
      </w:r>
      <w:r w:rsidRPr="009A7C68">
        <w:rPr>
          <w:lang w:val="en-GB"/>
        </w:rPr>
        <w:t xml:space="preserve"> </w:t>
      </w:r>
      <w:r>
        <w:rPr>
          <w:lang w:val="en-GB"/>
        </w:rPr>
        <w:t>Average hourly profiles for all months (left) and details for August (right)</w:t>
      </w:r>
    </w:p>
    <w:p w14:paraId="49BD7A15" w14:textId="2E87AC87" w:rsidR="00B02A56" w:rsidRPr="00CD4EF4" w:rsidRDefault="00B02A56" w:rsidP="00B02A56">
      <w:pPr>
        <w:pStyle w:val="Didascalia"/>
        <w:keepNext/>
      </w:pPr>
      <w:r w:rsidRPr="00CD4EF4">
        <w:t xml:space="preserve">Table </w:t>
      </w:r>
      <w:r w:rsidRPr="00CD4EF4">
        <w:fldChar w:fldCharType="begin"/>
      </w:r>
      <w:r w:rsidRPr="00CD4EF4">
        <w:instrText xml:space="preserve"> SEQ Table \* ARABIC </w:instrText>
      </w:r>
      <w:r w:rsidRPr="00CD4EF4">
        <w:fldChar w:fldCharType="separate"/>
      </w:r>
      <w:r w:rsidR="00E5310F">
        <w:rPr>
          <w:noProof/>
        </w:rPr>
        <w:t>1</w:t>
      </w:r>
      <w:r w:rsidRPr="00CD4EF4">
        <w:fldChar w:fldCharType="end"/>
      </w:r>
      <w:r w:rsidRPr="00CD4EF4">
        <w:t xml:space="preserve"> </w:t>
      </w:r>
      <w:r>
        <w:t xml:space="preserve">– </w:t>
      </w:r>
      <w:r w:rsidR="006271F4">
        <w:t>Energy sources physical p</w:t>
      </w:r>
      <w:r>
        <w:t>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323"/>
        <w:gridCol w:w="1005"/>
        <w:gridCol w:w="1113"/>
        <w:gridCol w:w="1142"/>
      </w:tblGrid>
      <w:tr w:rsidR="000F5FC6" w:rsidRPr="00CD4EF4" w14:paraId="439E0676" w14:textId="52EB915F" w:rsidTr="000F5FC6">
        <w:trPr>
          <w:jc w:val="center"/>
        </w:trPr>
        <w:tc>
          <w:tcPr>
            <w:tcW w:w="2216" w:type="dxa"/>
          </w:tcPr>
          <w:p w14:paraId="050166C0" w14:textId="76A374DC" w:rsidR="000F5FC6" w:rsidRPr="00CD4EF4" w:rsidRDefault="000F5FC6" w:rsidP="00335734">
            <w:pPr>
              <w:pStyle w:val="Els-body-text"/>
              <w:spacing w:after="120"/>
              <w:jc w:val="center"/>
              <w:rPr>
                <w:b/>
                <w:bCs/>
                <w:lang w:val="en-GB"/>
              </w:rPr>
            </w:pPr>
            <w:r>
              <w:rPr>
                <w:b/>
                <w:bCs/>
                <w:lang w:val="en-GB"/>
              </w:rPr>
              <w:t>Backup energy nature</w:t>
            </w:r>
          </w:p>
        </w:tc>
        <w:tc>
          <w:tcPr>
            <w:tcW w:w="1323" w:type="dxa"/>
            <w:shd w:val="clear" w:color="auto" w:fill="auto"/>
          </w:tcPr>
          <w:p w14:paraId="21CF958A" w14:textId="316B84CF" w:rsidR="000F5FC6" w:rsidRPr="00CD4EF4" w:rsidRDefault="000F5FC6" w:rsidP="00335734">
            <w:pPr>
              <w:pStyle w:val="Els-body-text"/>
              <w:spacing w:after="120"/>
              <w:jc w:val="center"/>
              <w:rPr>
                <w:b/>
                <w:bCs/>
                <w:lang w:val="en-GB"/>
              </w:rPr>
            </w:pPr>
            <w:r>
              <w:rPr>
                <w:b/>
                <w:bCs/>
                <w:lang w:val="en-GB"/>
              </w:rPr>
              <w:t>Net Heating Value</w:t>
            </w:r>
          </w:p>
        </w:tc>
        <w:tc>
          <w:tcPr>
            <w:tcW w:w="1005" w:type="dxa"/>
          </w:tcPr>
          <w:p w14:paraId="33A8950B" w14:textId="79A4267A" w:rsidR="000F5FC6" w:rsidRPr="00CD4EF4" w:rsidRDefault="000F5FC6" w:rsidP="00335734">
            <w:pPr>
              <w:pStyle w:val="Els-body-text"/>
              <w:spacing w:after="120"/>
              <w:jc w:val="center"/>
              <w:rPr>
                <w:b/>
                <w:bCs/>
                <w:lang w:val="en-GB"/>
              </w:rPr>
            </w:pPr>
            <w:r>
              <w:rPr>
                <w:b/>
                <w:bCs/>
                <w:lang w:val="en-GB"/>
              </w:rPr>
              <w:t>Unit</w:t>
            </w:r>
          </w:p>
        </w:tc>
        <w:tc>
          <w:tcPr>
            <w:tcW w:w="1113" w:type="dxa"/>
            <w:shd w:val="clear" w:color="auto" w:fill="auto"/>
          </w:tcPr>
          <w:p w14:paraId="656A8C87" w14:textId="03843B5A" w:rsidR="000F5FC6" w:rsidRPr="00CD4EF4" w:rsidRDefault="000F5FC6" w:rsidP="00335734">
            <w:pPr>
              <w:pStyle w:val="Els-body-text"/>
              <w:spacing w:after="120"/>
              <w:jc w:val="center"/>
              <w:rPr>
                <w:b/>
                <w:bCs/>
                <w:lang w:val="en-GB"/>
              </w:rPr>
            </w:pPr>
            <w:r>
              <w:rPr>
                <w:b/>
                <w:bCs/>
                <w:lang w:val="en-GB"/>
              </w:rPr>
              <w:t>Specific emissions</w:t>
            </w:r>
          </w:p>
        </w:tc>
        <w:tc>
          <w:tcPr>
            <w:tcW w:w="1142" w:type="dxa"/>
          </w:tcPr>
          <w:p w14:paraId="3234C7FF" w14:textId="5986AACF" w:rsidR="000F5FC6" w:rsidRDefault="000F5FC6" w:rsidP="00335734">
            <w:pPr>
              <w:pStyle w:val="Els-body-text"/>
              <w:spacing w:after="120"/>
              <w:jc w:val="center"/>
              <w:rPr>
                <w:b/>
                <w:bCs/>
                <w:lang w:val="en-GB"/>
              </w:rPr>
            </w:pPr>
            <w:r>
              <w:rPr>
                <w:b/>
                <w:bCs/>
                <w:lang w:val="en-GB"/>
              </w:rPr>
              <w:t>Unit</w:t>
            </w:r>
          </w:p>
        </w:tc>
      </w:tr>
      <w:tr w:rsidR="000F5FC6" w:rsidRPr="00CD4EF4" w14:paraId="0221334A" w14:textId="2DE95D5A" w:rsidTr="000F5FC6">
        <w:trPr>
          <w:jc w:val="center"/>
        </w:trPr>
        <w:tc>
          <w:tcPr>
            <w:tcW w:w="2216" w:type="dxa"/>
          </w:tcPr>
          <w:p w14:paraId="206ABA88" w14:textId="24BEE827" w:rsidR="000F5FC6" w:rsidRPr="00CD4EF4" w:rsidRDefault="000F5FC6" w:rsidP="00335734">
            <w:pPr>
              <w:pStyle w:val="Els-body-text"/>
              <w:spacing w:after="120"/>
              <w:jc w:val="center"/>
              <w:rPr>
                <w:lang w:val="en-GB"/>
              </w:rPr>
            </w:pPr>
            <w:r>
              <w:rPr>
                <w:lang w:val="en-GB"/>
              </w:rPr>
              <w:t>Photovoltaic</w:t>
            </w:r>
          </w:p>
        </w:tc>
        <w:tc>
          <w:tcPr>
            <w:tcW w:w="1323" w:type="dxa"/>
            <w:shd w:val="clear" w:color="auto" w:fill="auto"/>
          </w:tcPr>
          <w:p w14:paraId="3982A8D5" w14:textId="64F81FA2" w:rsidR="000F5FC6" w:rsidRPr="00CD4EF4" w:rsidRDefault="000F5FC6" w:rsidP="00335734">
            <w:pPr>
              <w:pStyle w:val="Els-body-text"/>
              <w:spacing w:after="120"/>
              <w:jc w:val="center"/>
              <w:rPr>
                <w:lang w:val="en-GB"/>
              </w:rPr>
            </w:pPr>
            <w:r>
              <w:rPr>
                <w:lang w:val="en-GB"/>
              </w:rPr>
              <w:t>400</w:t>
            </w:r>
          </w:p>
        </w:tc>
        <w:tc>
          <w:tcPr>
            <w:tcW w:w="1005" w:type="dxa"/>
          </w:tcPr>
          <w:p w14:paraId="6493BA69" w14:textId="3CF896AE" w:rsidR="000F5FC6" w:rsidRPr="00CD4EF4" w:rsidRDefault="000F5FC6" w:rsidP="00335734">
            <w:pPr>
              <w:pStyle w:val="Els-body-text"/>
              <w:spacing w:after="120"/>
              <w:jc w:val="center"/>
              <w:rPr>
                <w:color w:val="000000"/>
              </w:rPr>
            </w:pPr>
            <w:r>
              <w:rPr>
                <w:color w:val="000000"/>
              </w:rPr>
              <w:t>W/panel</w:t>
            </w:r>
          </w:p>
        </w:tc>
        <w:tc>
          <w:tcPr>
            <w:tcW w:w="1113" w:type="dxa"/>
            <w:shd w:val="clear" w:color="auto" w:fill="auto"/>
          </w:tcPr>
          <w:p w14:paraId="12632F7B" w14:textId="4ADCDA50" w:rsidR="000F5FC6" w:rsidRPr="00CD4EF4" w:rsidRDefault="000F5FC6" w:rsidP="00335734">
            <w:pPr>
              <w:pStyle w:val="Els-body-text"/>
              <w:spacing w:after="120"/>
              <w:jc w:val="center"/>
              <w:rPr>
                <w:lang w:val="en-GB"/>
              </w:rPr>
            </w:pPr>
            <w:r>
              <w:rPr>
                <w:lang w:val="en-GB"/>
              </w:rPr>
              <w:t>/</w:t>
            </w:r>
          </w:p>
        </w:tc>
        <w:tc>
          <w:tcPr>
            <w:tcW w:w="1142" w:type="dxa"/>
          </w:tcPr>
          <w:p w14:paraId="6CAF05C2" w14:textId="5910A588" w:rsidR="000F5FC6" w:rsidRDefault="000F5FC6" w:rsidP="00335734">
            <w:pPr>
              <w:pStyle w:val="Els-body-text"/>
              <w:spacing w:after="120"/>
              <w:jc w:val="center"/>
              <w:rPr>
                <w:lang w:val="en-GB"/>
              </w:rPr>
            </w:pPr>
            <w:r>
              <w:rPr>
                <w:lang w:val="en-GB"/>
              </w:rPr>
              <w:t>kg</w:t>
            </w:r>
            <w:r w:rsidRPr="000F5FC6">
              <w:rPr>
                <w:vertAlign w:val="subscript"/>
                <w:lang w:val="en-GB"/>
              </w:rPr>
              <w:t>CO2</w:t>
            </w:r>
            <w:r>
              <w:rPr>
                <w:lang w:val="en-GB"/>
              </w:rPr>
              <w:t>/kg</w:t>
            </w:r>
          </w:p>
        </w:tc>
      </w:tr>
      <w:tr w:rsidR="000F5FC6" w:rsidRPr="00CD4EF4" w14:paraId="7076BBBB" w14:textId="117CC8EF" w:rsidTr="000F5FC6">
        <w:trPr>
          <w:jc w:val="center"/>
        </w:trPr>
        <w:tc>
          <w:tcPr>
            <w:tcW w:w="2216" w:type="dxa"/>
          </w:tcPr>
          <w:p w14:paraId="4EB95ACD" w14:textId="7A3C897F" w:rsidR="000F5FC6" w:rsidRPr="00CD4EF4" w:rsidRDefault="000F5FC6" w:rsidP="00335734">
            <w:pPr>
              <w:pStyle w:val="Els-body-text"/>
              <w:spacing w:after="120"/>
              <w:jc w:val="center"/>
              <w:rPr>
                <w:lang w:val="en-GB"/>
              </w:rPr>
            </w:pPr>
            <w:r>
              <w:rPr>
                <w:lang w:val="en-GB"/>
              </w:rPr>
              <w:t>Natural gas</w:t>
            </w:r>
          </w:p>
        </w:tc>
        <w:tc>
          <w:tcPr>
            <w:tcW w:w="1323" w:type="dxa"/>
            <w:shd w:val="clear" w:color="auto" w:fill="auto"/>
          </w:tcPr>
          <w:p w14:paraId="37DD37CD" w14:textId="6227207D" w:rsidR="000F5FC6" w:rsidRPr="00CD4EF4" w:rsidRDefault="000F5FC6" w:rsidP="00335734">
            <w:pPr>
              <w:pStyle w:val="Els-body-text"/>
              <w:spacing w:after="120"/>
              <w:jc w:val="center"/>
              <w:rPr>
                <w:lang w:val="en-GB"/>
              </w:rPr>
            </w:pPr>
            <w:r>
              <w:rPr>
                <w:lang w:val="en-GB"/>
              </w:rPr>
              <w:t>51 600</w:t>
            </w:r>
          </w:p>
        </w:tc>
        <w:tc>
          <w:tcPr>
            <w:tcW w:w="1005" w:type="dxa"/>
          </w:tcPr>
          <w:p w14:paraId="3CB28F56" w14:textId="5B771336" w:rsidR="000F5FC6" w:rsidRPr="00CD4EF4" w:rsidRDefault="000F5FC6" w:rsidP="00335734">
            <w:pPr>
              <w:pStyle w:val="Els-body-text"/>
              <w:spacing w:after="120"/>
              <w:jc w:val="center"/>
              <w:rPr>
                <w:color w:val="000000"/>
              </w:rPr>
            </w:pPr>
            <w:r>
              <w:rPr>
                <w:color w:val="000000"/>
              </w:rPr>
              <w:t>kJ/kg</w:t>
            </w:r>
          </w:p>
        </w:tc>
        <w:tc>
          <w:tcPr>
            <w:tcW w:w="1113" w:type="dxa"/>
            <w:shd w:val="clear" w:color="auto" w:fill="auto"/>
          </w:tcPr>
          <w:p w14:paraId="2931A43F" w14:textId="755078C6" w:rsidR="000F5FC6" w:rsidRPr="00CD4EF4" w:rsidRDefault="000F5FC6" w:rsidP="00335734">
            <w:pPr>
              <w:pStyle w:val="Els-body-text"/>
              <w:spacing w:after="120"/>
              <w:jc w:val="center"/>
              <w:rPr>
                <w:lang w:val="en-GB"/>
              </w:rPr>
            </w:pPr>
            <w:r>
              <w:rPr>
                <w:lang w:val="en-GB"/>
              </w:rPr>
              <w:t>2.75</w:t>
            </w:r>
          </w:p>
        </w:tc>
        <w:tc>
          <w:tcPr>
            <w:tcW w:w="1142" w:type="dxa"/>
          </w:tcPr>
          <w:p w14:paraId="7B352A33" w14:textId="396B2BF0" w:rsidR="000F5FC6" w:rsidRPr="00CD4EF4" w:rsidRDefault="000F5FC6" w:rsidP="00335734">
            <w:pPr>
              <w:pStyle w:val="Els-body-text"/>
              <w:spacing w:after="120"/>
              <w:jc w:val="center"/>
              <w:rPr>
                <w:lang w:val="en-GB"/>
              </w:rPr>
            </w:pPr>
            <w:r>
              <w:rPr>
                <w:lang w:val="en-GB"/>
              </w:rPr>
              <w:t>kg</w:t>
            </w:r>
            <w:r w:rsidRPr="000F5FC6">
              <w:rPr>
                <w:vertAlign w:val="subscript"/>
                <w:lang w:val="en-GB"/>
              </w:rPr>
              <w:t>CO2</w:t>
            </w:r>
            <w:r>
              <w:rPr>
                <w:lang w:val="en-GB"/>
              </w:rPr>
              <w:t>/kg</w:t>
            </w:r>
          </w:p>
        </w:tc>
      </w:tr>
      <w:tr w:rsidR="000F5FC6" w:rsidRPr="00CD4EF4" w14:paraId="54250218" w14:textId="41A0DB44" w:rsidTr="000F5FC6">
        <w:trPr>
          <w:jc w:val="center"/>
        </w:trPr>
        <w:tc>
          <w:tcPr>
            <w:tcW w:w="2216" w:type="dxa"/>
          </w:tcPr>
          <w:p w14:paraId="160CF3A4" w14:textId="623A5865" w:rsidR="000F5FC6" w:rsidRPr="00CD4EF4" w:rsidRDefault="000F5FC6" w:rsidP="00335734">
            <w:pPr>
              <w:pStyle w:val="Els-body-text"/>
              <w:spacing w:after="120"/>
              <w:jc w:val="center"/>
              <w:rPr>
                <w:lang w:val="en-GB"/>
              </w:rPr>
            </w:pPr>
            <w:r>
              <w:rPr>
                <w:lang w:val="en-GB"/>
              </w:rPr>
              <w:t>Biomass</w:t>
            </w:r>
          </w:p>
        </w:tc>
        <w:tc>
          <w:tcPr>
            <w:tcW w:w="1323" w:type="dxa"/>
            <w:shd w:val="clear" w:color="auto" w:fill="auto"/>
          </w:tcPr>
          <w:p w14:paraId="09EB940D" w14:textId="34454F54" w:rsidR="000F5FC6" w:rsidRPr="00CD4EF4" w:rsidRDefault="00777251" w:rsidP="00335734">
            <w:pPr>
              <w:pStyle w:val="Els-body-text"/>
              <w:spacing w:after="120"/>
              <w:jc w:val="center"/>
              <w:rPr>
                <w:lang w:val="en-GB"/>
              </w:rPr>
            </w:pPr>
            <w:r w:rsidRPr="00777251">
              <w:rPr>
                <w:lang w:val="en-GB"/>
              </w:rPr>
              <w:t>13</w:t>
            </w:r>
            <w:r>
              <w:rPr>
                <w:lang w:val="en-GB"/>
              </w:rPr>
              <w:t xml:space="preserve"> 000</w:t>
            </w:r>
          </w:p>
        </w:tc>
        <w:tc>
          <w:tcPr>
            <w:tcW w:w="1005" w:type="dxa"/>
          </w:tcPr>
          <w:p w14:paraId="2D9B766A" w14:textId="03273507" w:rsidR="000F5FC6" w:rsidRPr="00CD4EF4" w:rsidRDefault="000F5FC6" w:rsidP="00335734">
            <w:pPr>
              <w:pStyle w:val="Els-body-text"/>
              <w:spacing w:after="120"/>
              <w:jc w:val="center"/>
              <w:rPr>
                <w:color w:val="000000"/>
              </w:rPr>
            </w:pPr>
            <w:r>
              <w:rPr>
                <w:color w:val="000000"/>
              </w:rPr>
              <w:t>kJ/kg</w:t>
            </w:r>
          </w:p>
        </w:tc>
        <w:tc>
          <w:tcPr>
            <w:tcW w:w="1113" w:type="dxa"/>
            <w:shd w:val="clear" w:color="auto" w:fill="auto"/>
          </w:tcPr>
          <w:p w14:paraId="401A831F" w14:textId="02CE0423" w:rsidR="000F5FC6" w:rsidRPr="00CD4EF4" w:rsidRDefault="00777251" w:rsidP="00335734">
            <w:pPr>
              <w:pStyle w:val="Els-body-text"/>
              <w:spacing w:after="120"/>
              <w:jc w:val="center"/>
              <w:rPr>
                <w:lang w:val="en-GB"/>
              </w:rPr>
            </w:pPr>
            <w:r>
              <w:rPr>
                <w:lang w:val="en-GB"/>
              </w:rPr>
              <w:t>0,0055</w:t>
            </w:r>
          </w:p>
        </w:tc>
        <w:tc>
          <w:tcPr>
            <w:tcW w:w="1142" w:type="dxa"/>
          </w:tcPr>
          <w:p w14:paraId="5308998B" w14:textId="5F815DBE" w:rsidR="000F5FC6" w:rsidRPr="00CD4EF4" w:rsidRDefault="000F5FC6" w:rsidP="00335734">
            <w:pPr>
              <w:pStyle w:val="Els-body-text"/>
              <w:spacing w:after="120"/>
              <w:jc w:val="center"/>
              <w:rPr>
                <w:lang w:val="en-GB"/>
              </w:rPr>
            </w:pPr>
            <w:r>
              <w:rPr>
                <w:lang w:val="en-GB"/>
              </w:rPr>
              <w:t>kg</w:t>
            </w:r>
            <w:r w:rsidRPr="000F5FC6">
              <w:rPr>
                <w:vertAlign w:val="subscript"/>
                <w:lang w:val="en-GB"/>
              </w:rPr>
              <w:t>CO2</w:t>
            </w:r>
            <w:r>
              <w:rPr>
                <w:lang w:val="en-GB"/>
              </w:rPr>
              <w:t>/kg</w:t>
            </w:r>
          </w:p>
        </w:tc>
      </w:tr>
    </w:tbl>
    <w:p w14:paraId="7E8CAFCC" w14:textId="0CD5D750" w:rsidR="006420FA" w:rsidRDefault="006420FA" w:rsidP="006420FA">
      <w:pPr>
        <w:pStyle w:val="Els-body-text"/>
        <w:spacing w:before="120"/>
      </w:pPr>
      <w:r>
        <w:lastRenderedPageBreak/>
        <w:t>In the ideal case, the process should be running only when solar power is available according to its intensity but, for safety and operational reasons (Mbatha et al., 2021), this is not always possible. However, the overall process could result in overall negative emissions even if part of the energy comes from non-renewable sources according to a proper scheduling. The methodology to evaluate the environmental indicator known as Global Warming Potential and the details concerning the emission-oriented optimal scheduling strategy are provided in the following section.</w:t>
      </w:r>
    </w:p>
    <w:p w14:paraId="144DE6A1" w14:textId="7641242F" w:rsidR="008D2649" w:rsidRPr="00A94774" w:rsidRDefault="006420FA" w:rsidP="008D2649">
      <w:pPr>
        <w:pStyle w:val="Els-1storder-head"/>
        <w:spacing w:after="120"/>
        <w:rPr>
          <w:lang w:val="en-GB"/>
        </w:rPr>
      </w:pPr>
      <w:r>
        <w:rPr>
          <w:lang w:val="en-GB"/>
        </w:rPr>
        <w:t>M</w:t>
      </w:r>
      <w:r w:rsidR="002F2291">
        <w:rPr>
          <w:lang w:val="en-GB"/>
        </w:rPr>
        <w:t>ethodology</w:t>
      </w:r>
    </w:p>
    <w:p w14:paraId="4BD65F4E" w14:textId="6453FF83" w:rsidR="007955C4" w:rsidRDefault="007955C4" w:rsidP="007955C4">
      <w:pPr>
        <w:pStyle w:val="Els-2ndorder-head"/>
      </w:pPr>
      <w:r>
        <w:t>Scheduling</w:t>
      </w:r>
    </w:p>
    <w:p w14:paraId="43FC963A" w14:textId="4312495B" w:rsidR="008A155E" w:rsidRDefault="0080220E" w:rsidP="008A155E">
      <w:pPr>
        <w:pStyle w:val="Els-body-text"/>
      </w:pPr>
      <w:r>
        <w:t xml:space="preserve">With regards to </w:t>
      </w:r>
      <w:r w:rsidR="007955C4">
        <w:t xml:space="preserve">the solar energy </w:t>
      </w:r>
      <w:r>
        <w:t xml:space="preserve">availability for scheduling, </w:t>
      </w:r>
      <w:r w:rsidR="007955C4">
        <w:t xml:space="preserve">an overall panel efficiency equal to 15% </w:t>
      </w:r>
      <w:r w:rsidR="0053198C">
        <w:t>i</w:t>
      </w:r>
      <w:r w:rsidR="007955C4">
        <w:t xml:space="preserve">s considered to </w:t>
      </w:r>
      <w:r>
        <w:t>assess</w:t>
      </w:r>
      <w:r w:rsidR="007955C4">
        <w:t xml:space="preserve"> the </w:t>
      </w:r>
      <w:r w:rsidR="0053198C">
        <w:t xml:space="preserve">effective </w:t>
      </w:r>
      <w:r w:rsidR="007955C4">
        <w:t>available solar power per panel unit surface</w:t>
      </w:r>
      <w:r w:rsidR="00861C12">
        <w:t xml:space="preserve"> (</w:t>
      </w:r>
      <w:proofErr w:type="spellStart"/>
      <w:r w:rsidR="00861C12">
        <w:t>cf</w:t>
      </w:r>
      <w:proofErr w:type="spellEnd"/>
      <w:r w:rsidR="00E84982">
        <w:t xml:space="preserve"> yellow </w:t>
      </w:r>
      <w:r w:rsidR="00861C12">
        <w:t>trend in Figure 2 – left)</w:t>
      </w:r>
      <w:r w:rsidR="007955C4">
        <w:t xml:space="preserve">. On the process side, in case the reactor </w:t>
      </w:r>
      <w:r w:rsidR="0053198C">
        <w:t xml:space="preserve">cannot be </w:t>
      </w:r>
      <w:r w:rsidR="007955C4">
        <w:t>switched off due to the safety and operational constraints, biomass is burnt for steam generation in order to ensure the process functioning at the 1</w:t>
      </w:r>
      <w:r w:rsidR="00861C12">
        <w:t>0</w:t>
      </w:r>
      <w:r w:rsidR="007955C4">
        <w:t>% of its design capacity</w:t>
      </w:r>
      <w:r w:rsidR="002E3C38">
        <w:t xml:space="preserve"> (Mbatha et al., 2021)</w:t>
      </w:r>
      <w:r w:rsidR="007955C4">
        <w:t xml:space="preserve">. However, if the reactor is seized according to the peak energy availability, every time </w:t>
      </w:r>
      <w:r w:rsidR="008A155E">
        <w:t xml:space="preserve">that </w:t>
      </w:r>
      <w:r w:rsidR="007955C4">
        <w:t xml:space="preserve">the solar power </w:t>
      </w:r>
      <w:r w:rsidR="008A155E">
        <w:t>falls</w:t>
      </w:r>
      <w:r w:rsidR="007955C4">
        <w:t xml:space="preserve"> below this minimum </w:t>
      </w:r>
      <w:r w:rsidR="0053198C">
        <w:t>threshold</w:t>
      </w:r>
      <w:r w:rsidR="007955C4">
        <w:t xml:space="preserve">, the biomass source </w:t>
      </w:r>
      <w:r w:rsidR="0053198C">
        <w:t>needs to</w:t>
      </w:r>
      <w:r w:rsidR="007955C4">
        <w:t xml:space="preserve"> be used </w:t>
      </w:r>
      <w:r w:rsidR="0053198C">
        <w:t>to provide the backup duty</w:t>
      </w:r>
      <w:r w:rsidR="007955C4">
        <w:t>.</w:t>
      </w:r>
      <w:r w:rsidR="008A155E">
        <w:t xml:space="preserve"> As a consequence, the normalized daily energy consumption of the process can be calculated as:</w:t>
      </w:r>
    </w:p>
    <w:tbl>
      <w:tblPr>
        <w:tblW w:w="7087" w:type="dxa"/>
        <w:tblLook w:val="04A0" w:firstRow="1" w:lastRow="0" w:firstColumn="1" w:lastColumn="0" w:noHBand="0" w:noVBand="1"/>
      </w:tblPr>
      <w:tblGrid>
        <w:gridCol w:w="6122"/>
        <w:gridCol w:w="965"/>
      </w:tblGrid>
      <w:tr w:rsidR="008A155E" w:rsidRPr="00A94774" w14:paraId="7F2974E0" w14:textId="77777777" w:rsidTr="00F11736">
        <w:tc>
          <w:tcPr>
            <w:tcW w:w="6122" w:type="dxa"/>
            <w:shd w:val="clear" w:color="auto" w:fill="auto"/>
            <w:vAlign w:val="center"/>
          </w:tcPr>
          <w:p w14:paraId="4C1C0B9B" w14:textId="506799BF" w:rsidR="008A155E" w:rsidRPr="00A94774" w:rsidRDefault="00000000" w:rsidP="00F11736">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tot</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peak</m:t>
                        </m:r>
                      </m:sub>
                    </m:sSub>
                    <m:r>
                      <w:rPr>
                        <w:rFonts w:ascii="Cambria Math" w:hAnsi="Cambria Math"/>
                        <w:lang w:val="en-GB"/>
                      </w:rPr>
                      <m:t>⋅24</m:t>
                    </m:r>
                  </m:den>
                </m:f>
                <m:r>
                  <w:rPr>
                    <w:rFonts w:ascii="Cambria Math" w:hAnsi="Cambria Math"/>
                    <w:lang w:val="en-GB"/>
                  </w:rPr>
                  <m:t>⋅</m:t>
                </m:r>
                <m:nary>
                  <m:naryPr>
                    <m:limLoc m:val="undOvr"/>
                    <m:ctrlPr>
                      <w:rPr>
                        <w:rFonts w:ascii="Cambria Math" w:hAnsi="Cambria Math"/>
                        <w:i/>
                        <w:lang w:val="en-GB"/>
                      </w:rPr>
                    </m:ctrlPr>
                  </m:naryPr>
                  <m:sub>
                    <m:r>
                      <w:rPr>
                        <w:rFonts w:ascii="Cambria Math" w:hAnsi="Cambria Math"/>
                        <w:lang w:val="en-GB"/>
                      </w:rPr>
                      <m:t>0</m:t>
                    </m:r>
                  </m:sub>
                  <m:sup>
                    <m:r>
                      <w:rPr>
                        <w:rFonts w:ascii="Cambria Math" w:hAnsi="Cambria Math"/>
                        <w:lang w:val="en-GB"/>
                      </w:rPr>
                      <m:t>24</m:t>
                    </m:r>
                  </m:sup>
                  <m:e>
                    <m:r>
                      <w:rPr>
                        <w:rFonts w:ascii="Cambria Math" w:hAnsi="Cambria Math"/>
                        <w:lang w:val="en-GB"/>
                      </w:rPr>
                      <m:t>W</m:t>
                    </m:r>
                    <m:d>
                      <m:dPr>
                        <m:ctrlPr>
                          <w:rPr>
                            <w:rFonts w:ascii="Cambria Math" w:hAnsi="Cambria Math"/>
                            <w:i/>
                            <w:lang w:val="en-GB"/>
                          </w:rPr>
                        </m:ctrlPr>
                      </m:dPr>
                      <m:e>
                        <m:r>
                          <w:rPr>
                            <w:rFonts w:ascii="Cambria Math" w:hAnsi="Cambria Math"/>
                            <w:lang w:val="en-GB"/>
                          </w:rPr>
                          <m:t>t</m:t>
                        </m:r>
                      </m:e>
                    </m:d>
                    <m:r>
                      <w:rPr>
                        <w:rFonts w:ascii="Cambria Math" w:hAnsi="Cambria Math"/>
                        <w:lang w:val="en-GB"/>
                      </w:rPr>
                      <m:t>⋅dt</m:t>
                    </m:r>
                  </m:e>
                </m:nary>
              </m:oMath>
            </m:oMathPara>
          </w:p>
        </w:tc>
        <w:tc>
          <w:tcPr>
            <w:tcW w:w="965" w:type="dxa"/>
            <w:shd w:val="clear" w:color="auto" w:fill="auto"/>
            <w:vAlign w:val="center"/>
          </w:tcPr>
          <w:p w14:paraId="6AF61FA9" w14:textId="77777777" w:rsidR="008A155E" w:rsidRPr="00A94774" w:rsidRDefault="008A155E" w:rsidP="00F11736">
            <w:pPr>
              <w:pStyle w:val="Els-body-text"/>
              <w:spacing w:before="120" w:after="120" w:line="264" w:lineRule="auto"/>
              <w:jc w:val="right"/>
              <w:rPr>
                <w:lang w:val="en-GB"/>
              </w:rPr>
            </w:pPr>
            <w:r w:rsidRPr="00A94774">
              <w:rPr>
                <w:lang w:val="en-GB"/>
              </w:rPr>
              <w:t>(1)</w:t>
            </w:r>
          </w:p>
        </w:tc>
      </w:tr>
    </w:tbl>
    <w:p w14:paraId="466A2CAA" w14:textId="46A96F90" w:rsidR="00594ED1" w:rsidRDefault="008A155E" w:rsidP="007955C4">
      <w:pPr>
        <w:pStyle w:val="Els-body-text"/>
      </w:pPr>
      <w:r>
        <w:t xml:space="preserve">where </w:t>
      </w:r>
      <w:proofErr w:type="spellStart"/>
      <w:r w:rsidRPr="008A155E">
        <w:rPr>
          <w:i/>
          <w:iCs/>
        </w:rPr>
        <w:t>W</w:t>
      </w:r>
      <w:r w:rsidRPr="008A155E">
        <w:rPr>
          <w:i/>
          <w:iCs/>
          <w:vertAlign w:val="subscript"/>
        </w:rPr>
        <w:t>peak</w:t>
      </w:r>
      <w:proofErr w:type="spellEnd"/>
      <w:r>
        <w:t xml:space="preserve"> is </w:t>
      </w:r>
      <w:r w:rsidR="002D5C3D">
        <w:t>ir</w:t>
      </w:r>
      <w:r>
        <w:t>radiation value corresponding to the process design operating conditions</w:t>
      </w:r>
      <w:r w:rsidR="00594ED1">
        <w:t>,</w:t>
      </w:r>
      <w:r>
        <w:t xml:space="preserve"> </w:t>
      </w:r>
      <w:r w:rsidRPr="002D5C3D">
        <w:rPr>
          <w:i/>
          <w:iCs/>
        </w:rPr>
        <w:t>W</w:t>
      </w:r>
      <w:r w:rsidR="002D5C3D">
        <w:t xml:space="preserve"> is the maximum between the available irradiation power and the 10%</w:t>
      </w:r>
      <w:r w:rsidR="007955C4">
        <w:t xml:space="preserve"> </w:t>
      </w:r>
      <w:r w:rsidR="002D5C3D">
        <w:t xml:space="preserve">backup </w:t>
      </w:r>
      <w:r w:rsidR="00594ED1">
        <w:t>energy threshold and</w:t>
      </w:r>
      <w:r w:rsidR="00AB263D">
        <w:t>, finally,</w:t>
      </w:r>
      <w:r w:rsidR="00594ED1">
        <w:t xml:space="preserve"> 24 </w:t>
      </w:r>
      <w:r w:rsidR="0053198C">
        <w:t>is the conversion coefficient between day and</w:t>
      </w:r>
      <w:r w:rsidR="00594ED1">
        <w:t xml:space="preserve"> hours</w:t>
      </w:r>
      <w:r w:rsidR="002D5C3D">
        <w:t>.</w:t>
      </w:r>
    </w:p>
    <w:p w14:paraId="495778B9" w14:textId="43BA7074" w:rsidR="007955C4" w:rsidRDefault="002074F9" w:rsidP="007955C4">
      <w:pPr>
        <w:pStyle w:val="Els-body-text"/>
      </w:pPr>
      <w:r>
        <w:t>However, since photovoltaics ha</w:t>
      </w:r>
      <w:r w:rsidR="00AB263D">
        <w:t>ve</w:t>
      </w:r>
      <w:r>
        <w:t xml:space="preserve"> zero specific emissions while backup energy sources </w:t>
      </w:r>
      <w:r w:rsidR="00AB263D">
        <w:t>correspond to</w:t>
      </w:r>
      <w:r>
        <w:t xml:space="preserve"> a positive value, the backup energy fraction </w:t>
      </w:r>
      <w:proofErr w:type="spellStart"/>
      <w:r w:rsidRPr="002074F9">
        <w:rPr>
          <w:i/>
          <w:iCs/>
        </w:rPr>
        <w:t>E</w:t>
      </w:r>
      <w:r w:rsidRPr="002074F9">
        <w:rPr>
          <w:i/>
          <w:iCs/>
          <w:vertAlign w:val="superscript"/>
        </w:rPr>
        <w:t>backup</w:t>
      </w:r>
      <w:proofErr w:type="spellEnd"/>
      <w:r>
        <w:t xml:space="preserve"> should be </w:t>
      </w:r>
      <w:r w:rsidR="00AB263D">
        <w:t>evaluate</w:t>
      </w:r>
      <w:r>
        <w:t xml:space="preserve">d </w:t>
      </w:r>
      <w:r w:rsidR="00AB263D">
        <w:t xml:space="preserve">separately </w:t>
      </w:r>
      <w:r>
        <w:t>in order to</w:t>
      </w:r>
      <w:r w:rsidR="00AB263D">
        <w:t xml:space="preserve"> assess</w:t>
      </w:r>
      <w:r>
        <w:t xml:space="preserve"> the overall </w:t>
      </w:r>
      <w:r w:rsidR="00AB263D">
        <w:t>balance</w:t>
      </w:r>
      <w:r>
        <w:t xml:space="preserve"> as better explained in the next section.</w:t>
      </w:r>
    </w:p>
    <w:p w14:paraId="3BBF3C6E" w14:textId="39AC6D9B" w:rsidR="007955C4" w:rsidRDefault="007955C4" w:rsidP="007955C4">
      <w:pPr>
        <w:pStyle w:val="Els-2ndorder-head"/>
      </w:pPr>
      <w:r>
        <w:t>Emissions calculation</w:t>
      </w:r>
    </w:p>
    <w:p w14:paraId="11FC1DBB" w14:textId="43375AA8" w:rsidR="007955C4" w:rsidRDefault="00485AAE" w:rsidP="007955C4">
      <w:pPr>
        <w:pStyle w:val="Els-body-text"/>
      </w:pPr>
      <w:r>
        <w:t>T</w:t>
      </w:r>
      <w:r w:rsidR="007955C4">
        <w:t xml:space="preserve">he </w:t>
      </w:r>
      <w:r w:rsidR="00C12CE7">
        <w:t xml:space="preserve">calculation of the overall </w:t>
      </w:r>
      <w:r w:rsidR="007955C4">
        <w:t xml:space="preserve">environmental impact </w:t>
      </w:r>
      <w:r w:rsidR="00C12CE7">
        <w:t>is</w:t>
      </w:r>
      <w:r w:rsidR="007955C4">
        <w:t xml:space="preserve"> </w:t>
      </w:r>
      <w:r w:rsidR="00C12CE7">
        <w:t xml:space="preserve">carried out </w:t>
      </w:r>
      <w:r>
        <w:t>by accounting for both process and utility side. To be more precise, the equivalent CO</w:t>
      </w:r>
      <w:r w:rsidRPr="00485AAE">
        <w:rPr>
          <w:vertAlign w:val="subscript"/>
        </w:rPr>
        <w:t>2</w:t>
      </w:r>
      <w:r>
        <w:t xml:space="preserve"> balance is calculated as:</w:t>
      </w:r>
    </w:p>
    <w:tbl>
      <w:tblPr>
        <w:tblW w:w="7087" w:type="dxa"/>
        <w:tblLook w:val="04A0" w:firstRow="1" w:lastRow="0" w:firstColumn="1" w:lastColumn="0" w:noHBand="0" w:noVBand="1"/>
      </w:tblPr>
      <w:tblGrid>
        <w:gridCol w:w="6122"/>
        <w:gridCol w:w="965"/>
      </w:tblGrid>
      <w:tr w:rsidR="00485AAE" w:rsidRPr="00A94774" w14:paraId="0D4F979E" w14:textId="77777777" w:rsidTr="00485AAE">
        <w:tc>
          <w:tcPr>
            <w:tcW w:w="6122" w:type="dxa"/>
            <w:shd w:val="clear" w:color="auto" w:fill="auto"/>
            <w:vAlign w:val="center"/>
          </w:tcPr>
          <w:p w14:paraId="55CDD341" w14:textId="21FAFDBF" w:rsidR="00485AAE" w:rsidRPr="00A94774" w:rsidRDefault="00000000" w:rsidP="00805474">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hAnsi="Cambria Math"/>
                        <w:lang w:val="en-GB"/>
                      </w:rPr>
                      <m:t>GWP</m:t>
                    </m:r>
                  </m:e>
                  <m:sub>
                    <m:r>
                      <w:rPr>
                        <w:rFonts w:ascii="Cambria Math" w:hAnsi="Cambria Math"/>
                        <w:lang w:val="en-GB"/>
                      </w:rPr>
                      <m:t>tot</m:t>
                    </m:r>
                  </m:sub>
                </m:sSub>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backup</m:t>
                        </m:r>
                      </m:sup>
                    </m:sSup>
                  </m:num>
                  <m:den>
                    <m:sSup>
                      <m:sSupPr>
                        <m:ctrlPr>
                          <w:rPr>
                            <w:rFonts w:ascii="Cambria Math" w:hAnsi="Cambria Math"/>
                            <w:i/>
                            <w:lang w:val="en-GB"/>
                          </w:rPr>
                        </m:ctrlPr>
                      </m:sSupPr>
                      <m:e>
                        <m:acc>
                          <m:accPr>
                            <m:ctrlPr>
                              <w:rPr>
                                <w:rFonts w:ascii="Cambria Math" w:hAnsi="Cambria Math"/>
                                <w:i/>
                                <w:lang w:val="en-GB"/>
                              </w:rPr>
                            </m:ctrlPr>
                          </m:accPr>
                          <m:e>
                            <m:r>
                              <w:rPr>
                                <w:rFonts w:ascii="Cambria Math" w:hAnsi="Cambria Math"/>
                                <w:lang w:val="en-GB"/>
                              </w:rPr>
                              <m:t>E</m:t>
                            </m:r>
                          </m:e>
                        </m:acc>
                      </m:e>
                      <m:sup>
                        <m:r>
                          <w:rPr>
                            <w:rFonts w:ascii="Cambria Math" w:hAnsi="Cambria Math"/>
                            <w:lang w:val="en-GB"/>
                          </w:rPr>
                          <m:t>biomass</m:t>
                        </m:r>
                      </m:sup>
                    </m:sSup>
                  </m:den>
                </m:f>
                <m:r>
                  <w:rPr>
                    <w:rFonts w:ascii="Cambria Math" w:hAnsi="Cambria Math"/>
                    <w:lang w:val="en-GB"/>
                  </w:rPr>
                  <m:t>⋅</m:t>
                </m:r>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CO</m:t>
                        </m:r>
                      </m:e>
                    </m:acc>
                  </m:e>
                  <m:sub>
                    <m:r>
                      <w:rPr>
                        <w:rFonts w:ascii="Cambria Math" w:hAnsi="Cambria Math"/>
                        <w:lang w:val="en-GB"/>
                      </w:rPr>
                      <m:t>2,eq</m:t>
                    </m:r>
                  </m:sub>
                  <m:sup>
                    <m:r>
                      <w:rPr>
                        <w:rFonts w:ascii="Cambria Math" w:hAnsi="Cambria Math"/>
                        <w:lang w:val="en-GB"/>
                      </w:rPr>
                      <m:t>biomass</m:t>
                    </m:r>
                  </m:sup>
                </m:sSubSup>
                <m:r>
                  <w:rPr>
                    <w:rFonts w:ascii="Cambria Math" w:hAnsi="Cambria Math"/>
                    <w:lang w:val="en-GB"/>
                  </w:rPr>
                  <m:t>+C</m:t>
                </m:r>
                <m:sSubSup>
                  <m:sSubSupPr>
                    <m:ctrlPr>
                      <w:rPr>
                        <w:rFonts w:ascii="Cambria Math" w:hAnsi="Cambria Math"/>
                        <w:i/>
                        <w:lang w:val="en-GB"/>
                      </w:rPr>
                    </m:ctrlPr>
                  </m:sSubSupPr>
                  <m:e>
                    <m:r>
                      <w:rPr>
                        <w:rFonts w:ascii="Cambria Math" w:hAnsi="Cambria Math"/>
                        <w:lang w:val="en-GB"/>
                      </w:rPr>
                      <m:t>O</m:t>
                    </m:r>
                  </m:e>
                  <m:sub>
                    <m:r>
                      <w:rPr>
                        <w:rFonts w:ascii="Cambria Math" w:hAnsi="Cambria Math"/>
                        <w:lang w:val="en-GB"/>
                      </w:rPr>
                      <m:t>2</m:t>
                    </m:r>
                  </m:sub>
                  <m:sup>
                    <m:r>
                      <w:rPr>
                        <w:rFonts w:ascii="Cambria Math" w:hAnsi="Cambria Math"/>
                        <w:lang w:val="en-GB"/>
                      </w:rPr>
                      <m:t>products</m:t>
                    </m:r>
                  </m:sup>
                </m:sSubSup>
                <m:r>
                  <w:rPr>
                    <w:rFonts w:ascii="Cambria Math" w:hAnsi="Cambria Math"/>
                    <w:lang w:val="en-GB"/>
                  </w:rPr>
                  <m:t>-C</m:t>
                </m:r>
                <m:sSubSup>
                  <m:sSubSupPr>
                    <m:ctrlPr>
                      <w:rPr>
                        <w:rFonts w:ascii="Cambria Math" w:hAnsi="Cambria Math"/>
                        <w:i/>
                        <w:lang w:val="en-GB"/>
                      </w:rPr>
                    </m:ctrlPr>
                  </m:sSubSupPr>
                  <m:e>
                    <m:r>
                      <w:rPr>
                        <w:rFonts w:ascii="Cambria Math" w:hAnsi="Cambria Math"/>
                        <w:lang w:val="en-GB"/>
                      </w:rPr>
                      <m:t>O</m:t>
                    </m:r>
                  </m:e>
                  <m:sub>
                    <m:r>
                      <w:rPr>
                        <w:rFonts w:ascii="Cambria Math" w:hAnsi="Cambria Math"/>
                        <w:lang w:val="en-GB"/>
                      </w:rPr>
                      <m:t>2</m:t>
                    </m:r>
                  </m:sub>
                  <m:sup>
                    <m:r>
                      <w:rPr>
                        <w:rFonts w:ascii="Cambria Math" w:hAnsi="Cambria Math"/>
                        <w:lang w:val="en-GB"/>
                      </w:rPr>
                      <m:t>feed</m:t>
                    </m:r>
                  </m:sup>
                </m:sSubSup>
              </m:oMath>
            </m:oMathPara>
          </w:p>
        </w:tc>
        <w:tc>
          <w:tcPr>
            <w:tcW w:w="965" w:type="dxa"/>
            <w:shd w:val="clear" w:color="auto" w:fill="auto"/>
            <w:vAlign w:val="center"/>
          </w:tcPr>
          <w:p w14:paraId="542E3FBA" w14:textId="3DE4032E" w:rsidR="00485AAE" w:rsidRPr="00A94774" w:rsidRDefault="00485AAE" w:rsidP="00805474">
            <w:pPr>
              <w:pStyle w:val="Els-body-text"/>
              <w:spacing w:before="120" w:after="120" w:line="264" w:lineRule="auto"/>
              <w:jc w:val="right"/>
              <w:rPr>
                <w:lang w:val="en-GB"/>
              </w:rPr>
            </w:pPr>
            <w:r w:rsidRPr="00A94774">
              <w:rPr>
                <w:lang w:val="en-GB"/>
              </w:rPr>
              <w:t>(</w:t>
            </w:r>
            <w:r w:rsidR="008A155E">
              <w:rPr>
                <w:lang w:val="en-GB"/>
              </w:rPr>
              <w:t>2</w:t>
            </w:r>
            <w:r w:rsidRPr="00A94774">
              <w:rPr>
                <w:lang w:val="en-GB"/>
              </w:rPr>
              <w:t>)</w:t>
            </w:r>
          </w:p>
        </w:tc>
      </w:tr>
    </w:tbl>
    <w:p w14:paraId="7C415D73" w14:textId="0F882F42" w:rsidR="006F018B" w:rsidRDefault="00065778" w:rsidP="007955C4">
      <w:pPr>
        <w:pStyle w:val="Els-body-text"/>
      </w:pPr>
      <w:r>
        <w:t xml:space="preserve">where the </w:t>
      </w:r>
      <m:oMath>
        <m:sSubSup>
          <m:sSubSupPr>
            <m:ctrlPr>
              <w:rPr>
                <w:rFonts w:ascii="Cambria Math" w:hAnsi="Cambria Math"/>
                <w:i/>
                <w:lang w:val="en-GB"/>
              </w:rPr>
            </m:ctrlPr>
          </m:sSubSupPr>
          <m:e>
            <m:r>
              <w:rPr>
                <w:rFonts w:ascii="Cambria Math" w:hAnsi="Cambria Math"/>
                <w:lang w:val="en-GB"/>
              </w:rPr>
              <m:t>CO</m:t>
            </m:r>
          </m:e>
          <m:sub>
            <m:r>
              <w:rPr>
                <w:rFonts w:ascii="Cambria Math" w:hAnsi="Cambria Math"/>
                <w:lang w:val="en-GB"/>
              </w:rPr>
              <m:t>2</m:t>
            </m:r>
          </m:sub>
          <m:sup>
            <m:r>
              <w:rPr>
                <w:rFonts w:ascii="Cambria Math" w:hAnsi="Cambria Math"/>
                <w:lang w:val="en-GB"/>
              </w:rPr>
              <m:t>products</m:t>
            </m:r>
          </m:sup>
        </m:sSubSup>
      </m:oMath>
      <w:r>
        <w:t xml:space="preserve"> </w:t>
      </w:r>
      <w:r w:rsidR="00AF3E8A">
        <w:t xml:space="preserve">term </w:t>
      </w:r>
      <w:r>
        <w:t>accounts for the carbon dioxide content in all process streams leaving the system</w:t>
      </w:r>
      <w:r w:rsidR="00C12CE7">
        <w:t xml:space="preserve"> while</w:t>
      </w:r>
      <w:r>
        <w:t xml:space="preserve"> </w:t>
      </w:r>
      <m:oMath>
        <m:sSup>
          <m:sSupPr>
            <m:ctrlPr>
              <w:rPr>
                <w:rFonts w:ascii="Cambria Math" w:hAnsi="Cambria Math"/>
                <w:i/>
                <w:lang w:val="en-GB"/>
              </w:rPr>
            </m:ctrlPr>
          </m:sSupPr>
          <m:e>
            <m:acc>
              <m:accPr>
                <m:ctrlPr>
                  <w:rPr>
                    <w:rFonts w:ascii="Cambria Math" w:hAnsi="Cambria Math"/>
                    <w:i/>
                    <w:lang w:val="en-GB"/>
                  </w:rPr>
                </m:ctrlPr>
              </m:accPr>
              <m:e>
                <m:r>
                  <w:rPr>
                    <w:rFonts w:ascii="Cambria Math" w:hAnsi="Cambria Math"/>
                    <w:lang w:val="en-GB"/>
                  </w:rPr>
                  <m:t>E</m:t>
                </m:r>
              </m:e>
            </m:acc>
          </m:e>
          <m:sup>
            <m:r>
              <w:rPr>
                <w:rFonts w:ascii="Cambria Math" w:hAnsi="Cambria Math"/>
                <w:lang w:val="en-GB"/>
              </w:rPr>
              <m:t>biomass</m:t>
            </m:r>
          </m:sup>
        </m:sSup>
      </m:oMath>
      <w:r w:rsidR="00AF3E8A">
        <w:rPr>
          <w:lang w:val="en-GB"/>
        </w:rPr>
        <w:t xml:space="preserve"> and </w:t>
      </w:r>
      <m:oMath>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CO</m:t>
                </m:r>
              </m:e>
            </m:acc>
          </m:e>
          <m:sub>
            <m:r>
              <w:rPr>
                <w:rFonts w:ascii="Cambria Math" w:hAnsi="Cambria Math"/>
                <w:lang w:val="en-GB"/>
              </w:rPr>
              <m:t>2,eq</m:t>
            </m:r>
          </m:sub>
          <m:sup>
            <m:r>
              <w:rPr>
                <w:rFonts w:ascii="Cambria Math" w:hAnsi="Cambria Math"/>
                <w:lang w:val="en-GB"/>
              </w:rPr>
              <m:t>biomass</m:t>
            </m:r>
          </m:sup>
        </m:sSubSup>
      </m:oMath>
      <w:r w:rsidR="00AF3E8A">
        <w:rPr>
          <w:lang w:val="en-GB"/>
        </w:rPr>
        <w:t xml:space="preserve"> are respectively the </w:t>
      </w:r>
      <w:r w:rsidR="00C12CE7">
        <w:rPr>
          <w:lang w:val="en-GB"/>
        </w:rPr>
        <w:t xml:space="preserve">biomass </w:t>
      </w:r>
      <w:r w:rsidR="00AF3E8A">
        <w:rPr>
          <w:lang w:val="en-GB"/>
        </w:rPr>
        <w:t>specific net heating value and emissions</w:t>
      </w:r>
      <w:r w:rsidR="00C12CE7">
        <w:rPr>
          <w:lang w:val="en-GB"/>
        </w:rPr>
        <w:t>. As concerns the</w:t>
      </w:r>
      <w:r w:rsidR="00AF3E8A">
        <w:rPr>
          <w:lang w:val="en-GB"/>
        </w:rPr>
        <w:t xml:space="preserve"> backup energy term </w:t>
      </w:r>
      <w:r w:rsidR="00C12CE7">
        <w:t xml:space="preserve"> </w:t>
      </w:r>
      <m:oMath>
        <m:sSup>
          <m:sSupPr>
            <m:ctrlPr>
              <w:rPr>
                <w:rFonts w:ascii="Cambria Math" w:hAnsi="Cambria Math"/>
                <w:i/>
                <w:lang w:val="en-GB"/>
              </w:rPr>
            </m:ctrlPr>
          </m:sSupPr>
          <m:e>
            <m:acc>
              <m:accPr>
                <m:ctrlPr>
                  <w:rPr>
                    <w:rFonts w:ascii="Cambria Math" w:hAnsi="Cambria Math"/>
                    <w:i/>
                    <w:lang w:val="en-GB"/>
                  </w:rPr>
                </m:ctrlPr>
              </m:accPr>
              <m:e>
                <m:r>
                  <w:rPr>
                    <w:rFonts w:ascii="Cambria Math" w:hAnsi="Cambria Math"/>
                    <w:lang w:val="en-GB"/>
                  </w:rPr>
                  <m:t>E</m:t>
                </m:r>
              </m:e>
            </m:acc>
          </m:e>
          <m:sup>
            <m:r>
              <w:rPr>
                <w:rFonts w:ascii="Cambria Math" w:hAnsi="Cambria Math"/>
                <w:lang w:val="en-GB"/>
              </w:rPr>
              <m:t>backup</m:t>
            </m:r>
          </m:sup>
        </m:sSup>
      </m:oMath>
      <w:r w:rsidR="00C12CE7">
        <w:rPr>
          <w:lang w:val="en-GB"/>
        </w:rPr>
        <w:t xml:space="preserve">, it </w:t>
      </w:r>
      <w:r w:rsidR="00AF3E8A">
        <w:t>is different from zero</w:t>
      </w:r>
      <w:r>
        <w:t xml:space="preserve"> only </w:t>
      </w:r>
      <w:r w:rsidR="00AF3E8A">
        <w:t>in case the 10% of the operating conditions should be maintained.</w:t>
      </w:r>
    </w:p>
    <w:p w14:paraId="24911B18" w14:textId="5D65130B" w:rsidR="003E7B17" w:rsidRDefault="00F100AF" w:rsidP="003E7B17">
      <w:pPr>
        <w:pStyle w:val="Els-body-text"/>
      </w:pPr>
      <w:r>
        <w:t>As a final step</w:t>
      </w:r>
      <w:r w:rsidR="006F018B">
        <w:t xml:space="preserve">, </w:t>
      </w:r>
      <w:r w:rsidR="00FA1C9B">
        <w:t>the value obtained by eq</w:t>
      </w:r>
      <w:r>
        <w:t xml:space="preserve">uation </w:t>
      </w:r>
      <w:r w:rsidR="00FA1C9B">
        <w:t>(2) is normalized with respect to the CO</w:t>
      </w:r>
      <w:r w:rsidR="00FA1C9B" w:rsidRPr="00FA1C9B">
        <w:rPr>
          <w:vertAlign w:val="subscript"/>
        </w:rPr>
        <w:t>2</w:t>
      </w:r>
      <w:r w:rsidR="00FA1C9B">
        <w:t xml:space="preserve"> </w:t>
      </w:r>
      <w:r w:rsidR="006F018B">
        <w:t>fed to the process</w:t>
      </w:r>
      <w:r>
        <w:t xml:space="preserve"> side</w:t>
      </w:r>
      <w:r w:rsidR="00FA1C9B">
        <w:t xml:space="preserve"> in order to assess the percentage of net converted CO</w:t>
      </w:r>
      <w:r w:rsidR="00FA1C9B" w:rsidRPr="00FA1C9B">
        <w:rPr>
          <w:vertAlign w:val="subscript"/>
        </w:rPr>
        <w:t>2</w:t>
      </w:r>
      <w:r w:rsidR="00FA1C9B">
        <w:t xml:space="preserve"> </w:t>
      </w:r>
      <w:r w:rsidR="003E7B17">
        <w:t xml:space="preserve">of the process </w:t>
      </w:r>
      <w:r>
        <w:t>a</w:t>
      </w:r>
      <w:r w:rsidR="00176748">
        <w:t>ccording to the equation</w:t>
      </w:r>
      <w:r w:rsidR="003E7B17">
        <w:t>:</w:t>
      </w:r>
    </w:p>
    <w:tbl>
      <w:tblPr>
        <w:tblW w:w="7087" w:type="dxa"/>
        <w:tblLook w:val="04A0" w:firstRow="1" w:lastRow="0" w:firstColumn="1" w:lastColumn="0" w:noHBand="0" w:noVBand="1"/>
      </w:tblPr>
      <w:tblGrid>
        <w:gridCol w:w="6122"/>
        <w:gridCol w:w="965"/>
      </w:tblGrid>
      <w:tr w:rsidR="003E7B17" w:rsidRPr="00A94774" w14:paraId="45A05CDB" w14:textId="77777777" w:rsidTr="00650CC2">
        <w:tc>
          <w:tcPr>
            <w:tcW w:w="6122" w:type="dxa"/>
            <w:shd w:val="clear" w:color="auto" w:fill="auto"/>
            <w:vAlign w:val="center"/>
          </w:tcPr>
          <w:p w14:paraId="6DC92EAC" w14:textId="541ADB30" w:rsidR="003E7B17" w:rsidRPr="00A94774" w:rsidRDefault="00176748" w:rsidP="00650CC2">
            <w:pPr>
              <w:pStyle w:val="Els-body-text"/>
              <w:spacing w:before="120" w:after="120" w:line="264" w:lineRule="auto"/>
              <w:rPr>
                <w:lang w:val="en-GB"/>
              </w:rPr>
            </w:pPr>
            <m:oMathPara>
              <m:oMath>
                <m:acc>
                  <m:accPr>
                    <m:ctrlPr>
                      <w:rPr>
                        <w:rFonts w:ascii="Cambria Math" w:hAnsi="Cambria Math"/>
                        <w:i/>
                        <w:lang w:val="en-GB"/>
                      </w:rPr>
                    </m:ctrlPr>
                  </m:accPr>
                  <m:e>
                    <m:r>
                      <w:rPr>
                        <w:rFonts w:ascii="Cambria Math" w:hAnsi="Cambria Math"/>
                        <w:lang w:val="en-GB"/>
                      </w:rPr>
                      <m:t>GWP</m:t>
                    </m:r>
                  </m:e>
                </m:acc>
                <m:r>
                  <w:rPr>
                    <w:rFonts w:ascii="Cambria Math" w:hAnsi="Cambria Math"/>
                    <w:lang w:val="en-GB"/>
                  </w:rPr>
                  <m:t>=</m:t>
                </m:r>
                <m:f>
                  <m:fPr>
                    <m:ctrlPr>
                      <w:rPr>
                        <w:rFonts w:ascii="Cambria Math" w:hAnsi="Cambria Math"/>
                        <w:i/>
                        <w:lang w:val="en-GB"/>
                      </w:rPr>
                    </m:ctrlPr>
                  </m:fPr>
                  <m:num>
                    <m:r>
                      <w:rPr>
                        <w:rFonts w:ascii="Cambria Math" w:hAnsi="Cambria Math"/>
                        <w:lang w:val="en-GB"/>
                      </w:rPr>
                      <m:t>GW</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tot</m:t>
                        </m:r>
                      </m:sub>
                    </m:sSub>
                  </m:num>
                  <m:den>
                    <m:r>
                      <w:rPr>
                        <w:rFonts w:ascii="Cambria Math" w:hAnsi="Cambria Math"/>
                        <w:lang w:val="en-GB"/>
                      </w:rPr>
                      <m:t>C</m:t>
                    </m:r>
                    <m:sSubSup>
                      <m:sSubSupPr>
                        <m:ctrlPr>
                          <w:rPr>
                            <w:rFonts w:ascii="Cambria Math" w:hAnsi="Cambria Math"/>
                            <w:i/>
                            <w:lang w:val="en-GB"/>
                          </w:rPr>
                        </m:ctrlPr>
                      </m:sSubSupPr>
                      <m:e>
                        <m:r>
                          <w:rPr>
                            <w:rFonts w:ascii="Cambria Math" w:hAnsi="Cambria Math"/>
                            <w:lang w:val="en-GB"/>
                          </w:rPr>
                          <m:t>O</m:t>
                        </m:r>
                      </m:e>
                      <m:sub>
                        <m:r>
                          <w:rPr>
                            <w:rFonts w:ascii="Cambria Math" w:hAnsi="Cambria Math"/>
                            <w:lang w:val="en-GB"/>
                          </w:rPr>
                          <m:t>2</m:t>
                        </m:r>
                      </m:sub>
                      <m:sup>
                        <m:r>
                          <w:rPr>
                            <w:rFonts w:ascii="Cambria Math" w:hAnsi="Cambria Math"/>
                            <w:lang w:val="en-GB"/>
                          </w:rPr>
                          <m:t>feed</m:t>
                        </m:r>
                      </m:sup>
                    </m:sSubSup>
                  </m:den>
                </m:f>
              </m:oMath>
            </m:oMathPara>
          </w:p>
        </w:tc>
        <w:tc>
          <w:tcPr>
            <w:tcW w:w="965" w:type="dxa"/>
            <w:shd w:val="clear" w:color="auto" w:fill="auto"/>
            <w:vAlign w:val="center"/>
          </w:tcPr>
          <w:p w14:paraId="5A107D36" w14:textId="5F5ED27C" w:rsidR="003E7B17" w:rsidRPr="00A94774" w:rsidRDefault="003E7B17" w:rsidP="00650CC2">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4D0AA7DE" w14:textId="660FE6EA" w:rsidR="00F100AF" w:rsidRDefault="003E7B17" w:rsidP="007955C4">
      <w:pPr>
        <w:pStyle w:val="Els-body-text"/>
      </w:pPr>
      <w:r>
        <w:t xml:space="preserve">where the </w:t>
      </w:r>
      <w:r w:rsidR="00176748">
        <w:t xml:space="preserve">specific </w:t>
      </w:r>
      <m:oMath>
        <m:acc>
          <m:accPr>
            <m:ctrlPr>
              <w:rPr>
                <w:rFonts w:ascii="Cambria Math" w:hAnsi="Cambria Math"/>
                <w:i/>
              </w:rPr>
            </m:ctrlPr>
          </m:accPr>
          <m:e>
            <m:r>
              <w:rPr>
                <w:rFonts w:ascii="Cambria Math" w:hAnsi="Cambria Math"/>
              </w:rPr>
              <m:t>GWP</m:t>
            </m:r>
          </m:e>
        </m:acc>
      </m:oMath>
      <w:r>
        <w:t xml:space="preserve"> value</w:t>
      </w:r>
      <w:r w:rsidR="00176748">
        <w:t>, whether negative</w:t>
      </w:r>
      <w:r>
        <w:t xml:space="preserve"> can be </w:t>
      </w:r>
      <w:r w:rsidR="00176748">
        <w:t>considered</w:t>
      </w:r>
      <w:r>
        <w:t xml:space="preserve"> as carbon dioxide removal potential. The detailed calculation </w:t>
      </w:r>
      <w:r w:rsidR="00176748">
        <w:t xml:space="preserve">result </w:t>
      </w:r>
      <w:r>
        <w:t>is presented in the following section.</w:t>
      </w:r>
    </w:p>
    <w:p w14:paraId="144DE6A5" w14:textId="0A3F3AB9" w:rsidR="008D2649" w:rsidRPr="00A94774" w:rsidRDefault="002F2291" w:rsidP="008D2649">
      <w:pPr>
        <w:pStyle w:val="Els-1storder-head"/>
        <w:spacing w:after="120"/>
        <w:rPr>
          <w:lang w:val="en-GB"/>
        </w:rPr>
      </w:pPr>
      <w:r>
        <w:rPr>
          <w:lang w:val="en-GB"/>
        </w:rPr>
        <w:lastRenderedPageBreak/>
        <w:t>Result</w:t>
      </w:r>
      <w:r w:rsidR="008D2649" w:rsidRPr="00A94774">
        <w:rPr>
          <w:lang w:val="en-GB"/>
        </w:rPr>
        <w:t>s</w:t>
      </w:r>
    </w:p>
    <w:p w14:paraId="04D8064D" w14:textId="2FE97149" w:rsidR="00DF7DA0" w:rsidRPr="00B92AAF" w:rsidRDefault="002F475D" w:rsidP="00DF7DA0">
      <w:pPr>
        <w:jc w:val="both"/>
      </w:pPr>
      <w:r>
        <w:t xml:space="preserve">As a first result, the relative fraction of renewable and backup sources </w:t>
      </w:r>
      <w:r w:rsidR="00DF7DA0">
        <w:t xml:space="preserve">that are </w:t>
      </w:r>
      <w:r w:rsidR="00E25258">
        <w:t>used</w:t>
      </w:r>
      <w:r>
        <w:t xml:space="preserve"> </w:t>
      </w:r>
      <w:r w:rsidR="00E25258">
        <w:t xml:space="preserve">as process </w:t>
      </w:r>
      <w:r>
        <w:t>duty</w:t>
      </w:r>
      <w:r w:rsidR="00B92AAF">
        <w:t xml:space="preserve"> </w:t>
      </w:r>
      <w:r w:rsidR="00E677B0">
        <w:t xml:space="preserve">can be </w:t>
      </w:r>
      <w:r>
        <w:t>assessed</w:t>
      </w:r>
      <w:r w:rsidR="00B92AAF">
        <w:t xml:space="preserve"> </w:t>
      </w:r>
      <w:r w:rsidR="00DF7DA0">
        <w:t>(</w:t>
      </w:r>
      <w:proofErr w:type="spellStart"/>
      <w:r w:rsidR="00DF7DA0">
        <w:t>cf</w:t>
      </w:r>
      <w:proofErr w:type="spellEnd"/>
      <w:r w:rsidR="00B92AAF">
        <w:t xml:space="preserve"> Figure 3</w:t>
      </w:r>
      <w:r w:rsidR="00DF7DA0">
        <w:t>)</w:t>
      </w:r>
      <w:r>
        <w:t>.</w:t>
      </w:r>
      <w:r w:rsidR="00B92AAF">
        <w:t xml:space="preserve"> </w:t>
      </w:r>
      <w:r w:rsidR="00E25258">
        <w:t xml:space="preserve">In particular, the yellow curve represents the part of the total solar radiation (i.e. 15%) that is converted </w:t>
      </w:r>
      <w:r w:rsidR="00DF7DA0">
        <w:t xml:space="preserve">into energy </w:t>
      </w:r>
      <w:r w:rsidR="00E25258">
        <w:t>by the photovoltaic panels while the green line corresponds to safety threshold, i.e. 10% of nominal operating conditions. In this case, the</w:t>
      </w:r>
      <w:r w:rsidR="00E677B0">
        <w:t xml:space="preserve"> optimal scheduling trajectory </w:t>
      </w:r>
      <w:r w:rsidR="00E25258">
        <w:t>follows the solar power availability</w:t>
      </w:r>
      <w:r w:rsidR="00E677B0">
        <w:t xml:space="preserve"> </w:t>
      </w:r>
      <w:r w:rsidR="00DF7DA0">
        <w:t xml:space="preserve">curve </w:t>
      </w:r>
      <w:r w:rsidR="00E25258">
        <w:t xml:space="preserve">with the exception of the </w:t>
      </w:r>
      <w:r w:rsidR="00DF7DA0">
        <w:t xml:space="preserve">part </w:t>
      </w:r>
      <w:r w:rsidR="00E25258">
        <w:t>where</w:t>
      </w:r>
      <w:r w:rsidR="00E677B0">
        <w:t xml:space="preserve"> </w:t>
      </w:r>
      <w:r w:rsidR="00E25258">
        <w:t>the yellow trend</w:t>
      </w:r>
      <w:r w:rsidR="00DF7DA0">
        <w:t xml:space="preserve"> falls</w:t>
      </w:r>
      <w:r w:rsidR="00E677B0">
        <w:t xml:space="preserve"> </w:t>
      </w:r>
      <w:r w:rsidR="00DF7DA0">
        <w:t>below</w:t>
      </w:r>
      <w:r w:rsidR="00E677B0">
        <w:t xml:space="preserve"> </w:t>
      </w:r>
      <w:r w:rsidR="00DF7DA0">
        <w:t xml:space="preserve">the </w:t>
      </w:r>
      <w:r w:rsidR="00E677B0">
        <w:t xml:space="preserve">minimum operating conditions </w:t>
      </w:r>
      <w:r w:rsidR="00E25258">
        <w:t>threshold</w:t>
      </w:r>
      <w:r w:rsidR="00DF7DA0">
        <w:t>, in this case</w:t>
      </w:r>
      <w:r w:rsidR="00E25258">
        <w:t xml:space="preserve"> the backup energy </w:t>
      </w:r>
      <w:r w:rsidR="00DF7DA0">
        <w:t xml:space="preserve">source </w:t>
      </w:r>
      <w:r w:rsidR="00E25258">
        <w:t>is used</w:t>
      </w:r>
      <w:r w:rsidR="00E677B0">
        <w:t>.</w:t>
      </w:r>
      <w:r w:rsidR="00DF7DA0">
        <w:t xml:space="preserve"> </w:t>
      </w:r>
      <w:r w:rsidR="00926081">
        <w:t>In particular, three regions can be identified: (</w:t>
      </w:r>
      <w:proofErr w:type="spellStart"/>
      <w:r w:rsidR="00926081">
        <w:t>i</w:t>
      </w:r>
      <w:proofErr w:type="spellEnd"/>
      <w:r w:rsidR="00926081">
        <w:t xml:space="preserve">) the yellow region where only photovoltaic power is used, (ii) a hybrid region where both solar </w:t>
      </w:r>
      <w:r w:rsidR="003B65DE">
        <w:t>irradiation</w:t>
      </w:r>
      <w:r w:rsidR="00926081">
        <w:t xml:space="preserve"> and biomass are employed as energy sources and (iii) a green region </w:t>
      </w:r>
      <w:r w:rsidR="00834606">
        <w:t>where no solar power is available and only</w:t>
      </w:r>
      <w:r w:rsidR="00926081">
        <w:t xml:space="preserve"> </w:t>
      </w:r>
      <w:r w:rsidR="00834606">
        <w:t>biomass is used to ensure the 10% of the operation capacity</w:t>
      </w:r>
      <w:r w:rsidR="00926081">
        <w:t>.</w:t>
      </w:r>
      <w:r w:rsidR="003B65DE">
        <w:t xml:space="preserve"> From a graphical point of view, the total amount of energy is represented by the integral of the power over the operating time, </w:t>
      </w:r>
      <w:r w:rsidR="00DF7DA0">
        <w:t>i</w:t>
      </w:r>
      <w:r w:rsidR="003B65DE">
        <w:t>.e. the area below the operating curves. The relative weight of the three different utility sources is then quantified as 89% solar only, 1% hybrid and 10% biomass.</w:t>
      </w:r>
    </w:p>
    <w:p w14:paraId="52186473" w14:textId="759E7948" w:rsidR="002F475D" w:rsidRDefault="005A4768" w:rsidP="00A803BB">
      <w:pPr>
        <w:pStyle w:val="Els-body-text"/>
        <w:keepNext/>
        <w:spacing w:before="120"/>
        <w:jc w:val="center"/>
      </w:pPr>
      <w:r>
        <w:rPr>
          <w:noProof/>
        </w:rPr>
        <w:drawing>
          <wp:inline distT="0" distB="0" distL="0" distR="0" wp14:anchorId="22EA2BD8" wp14:editId="2CA77060">
            <wp:extent cx="3068633" cy="1836000"/>
            <wp:effectExtent l="0" t="0" r="0" b="0"/>
            <wp:docPr id="356643763" name="Immagine 2" descr="Immagine che contiene schermata, diagramma, astron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43763" name="Immagine 2" descr="Immagine che contiene schermata, diagramma, astronomia&#10;&#10;Descrizione generat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26" r="1" b="2690"/>
                    <a:stretch/>
                  </pic:blipFill>
                  <pic:spPr bwMode="auto">
                    <a:xfrm>
                      <a:off x="0" y="0"/>
                      <a:ext cx="3068633" cy="1836000"/>
                    </a:xfrm>
                    <a:prstGeom prst="rect">
                      <a:avLst/>
                    </a:prstGeom>
                    <a:noFill/>
                    <a:ln>
                      <a:noFill/>
                    </a:ln>
                    <a:extLst>
                      <a:ext uri="{53640926-AAD7-44D8-BBD7-CCE9431645EC}">
                        <a14:shadowObscured xmlns:a14="http://schemas.microsoft.com/office/drawing/2010/main"/>
                      </a:ext>
                    </a:extLst>
                  </pic:spPr>
                </pic:pic>
              </a:graphicData>
            </a:graphic>
          </wp:inline>
        </w:drawing>
      </w:r>
    </w:p>
    <w:p w14:paraId="7B5F38F6" w14:textId="41F6EC12" w:rsidR="002F475D" w:rsidRDefault="002F475D" w:rsidP="002F475D">
      <w:pPr>
        <w:pStyle w:val="Didascalia"/>
        <w:jc w:val="both"/>
      </w:pPr>
      <w:r>
        <w:t xml:space="preserve">Figure </w:t>
      </w:r>
      <w:r>
        <w:fldChar w:fldCharType="begin"/>
      </w:r>
      <w:r>
        <w:instrText xml:space="preserve"> SEQ Figure \* ARABIC </w:instrText>
      </w:r>
      <w:r>
        <w:fldChar w:fldCharType="separate"/>
      </w:r>
      <w:r w:rsidR="00E5310F">
        <w:rPr>
          <w:noProof/>
        </w:rPr>
        <w:t>3</w:t>
      </w:r>
      <w:r>
        <w:fldChar w:fldCharType="end"/>
      </w:r>
      <w:r>
        <w:t xml:space="preserve"> – Daily distribution of different energy sources (yellow-solar, green-biomass)</w:t>
      </w:r>
    </w:p>
    <w:p w14:paraId="54AF89AD" w14:textId="77777777" w:rsidR="00411B57" w:rsidRPr="00055F8D" w:rsidRDefault="00411B57" w:rsidP="00411B57">
      <w:pPr>
        <w:pStyle w:val="Els-body-text"/>
        <w:spacing w:before="120"/>
      </w:pPr>
      <w:r w:rsidRPr="00594E92">
        <w:t>Given the relative weight of each region, the CO</w:t>
      </w:r>
      <w:r w:rsidRPr="00594E92">
        <w:rPr>
          <w:vertAlign w:val="subscript"/>
        </w:rPr>
        <w:t>2</w:t>
      </w:r>
      <w:r w:rsidRPr="00594E92">
        <w:t xml:space="preserve"> removal potential </w:t>
      </w:r>
      <w:r>
        <w:t>for t</w:t>
      </w:r>
      <w:r w:rsidRPr="00594E92">
        <w:t xml:space="preserve">he different scenarios can be </w:t>
      </w:r>
      <w:r>
        <w:t xml:space="preserve">easily quantified </w:t>
      </w:r>
      <w:r w:rsidRPr="00594E92">
        <w:t xml:space="preserve">according to the values provided in Table 2. If the process can be thoroughly scheduled according to the availability trend of solar irradiation, </w:t>
      </w:r>
      <w:r>
        <w:t xml:space="preserve">the </w:t>
      </w:r>
      <w:r w:rsidRPr="00594E92">
        <w:t>80% of the CO</w:t>
      </w:r>
      <w:r w:rsidRPr="00594E92">
        <w:rPr>
          <w:vertAlign w:val="subscript"/>
        </w:rPr>
        <w:t>2</w:t>
      </w:r>
      <w:r w:rsidRPr="00594E92">
        <w:t xml:space="preserve"> in the feed is converted into methanol with no carbon dioxide production on the utility side. For this specific process, the </w:t>
      </w:r>
      <w:r>
        <w:t xml:space="preserve">-80% </w:t>
      </w:r>
      <w:r w:rsidRPr="00594E92">
        <w:t xml:space="preserve">value also </w:t>
      </w:r>
      <w:r w:rsidRPr="00055F8D">
        <w:t>represents the minimum boundary that cannot be overcome without adjusting the operating conditions. For instance, even in case of an energy integrated configuration, the result would still be the same since the emissions related to the duty are equal to zero.</w:t>
      </w:r>
    </w:p>
    <w:p w14:paraId="723C04CD" w14:textId="77777777" w:rsidR="00411B57" w:rsidRPr="00411B57" w:rsidRDefault="00411B57" w:rsidP="00411B57">
      <w:pPr>
        <w:pStyle w:val="Didascalia"/>
        <w:keepNext/>
        <w:spacing w:before="0" w:after="0"/>
        <w:rPr>
          <w:sz w:val="20"/>
        </w:rPr>
      </w:pPr>
      <w:r w:rsidRPr="00411B57">
        <w:rPr>
          <w:sz w:val="20"/>
        </w:rPr>
        <w:t>On the other hand, the worst case scenario (i.e. 100% natural gas as energy source) would generate 4231% of the amount of CO2 fed to the methanol reactor.</w:t>
      </w:r>
    </w:p>
    <w:p w14:paraId="662A79CA" w14:textId="43F03C09" w:rsidR="007C1D9C" w:rsidRPr="00411B57" w:rsidRDefault="007C1D9C" w:rsidP="00411B57">
      <w:pPr>
        <w:pStyle w:val="Didascalia"/>
        <w:keepNext/>
      </w:pPr>
      <w:r w:rsidRPr="00411B57">
        <w:t xml:space="preserve">Table </w:t>
      </w:r>
      <w:r w:rsidR="002F475D" w:rsidRPr="00411B57">
        <w:t>2</w:t>
      </w:r>
      <w:r w:rsidRPr="00411B57">
        <w:t xml:space="preserve"> – </w:t>
      </w:r>
      <w:r w:rsidR="00002F9B" w:rsidRPr="00411B57">
        <w:t>Relative emissions vs. energy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089"/>
        <w:gridCol w:w="2089"/>
      </w:tblGrid>
      <w:tr w:rsidR="00002F9B" w:rsidRPr="00CD4EF4" w14:paraId="31C0B9F6" w14:textId="12FE219F" w:rsidTr="00CA14EE">
        <w:trPr>
          <w:jc w:val="center"/>
        </w:trPr>
        <w:tc>
          <w:tcPr>
            <w:tcW w:w="2216" w:type="dxa"/>
          </w:tcPr>
          <w:p w14:paraId="068F381E" w14:textId="77777777" w:rsidR="00002F9B" w:rsidRPr="00CD4EF4" w:rsidRDefault="00002F9B" w:rsidP="0022711B">
            <w:pPr>
              <w:pStyle w:val="Els-body-text"/>
              <w:spacing w:after="120"/>
              <w:jc w:val="center"/>
              <w:rPr>
                <w:b/>
                <w:bCs/>
                <w:lang w:val="en-GB"/>
              </w:rPr>
            </w:pPr>
            <w:r>
              <w:rPr>
                <w:b/>
                <w:bCs/>
                <w:lang w:val="en-GB"/>
              </w:rPr>
              <w:t>Backup energy nature</w:t>
            </w:r>
          </w:p>
        </w:tc>
        <w:tc>
          <w:tcPr>
            <w:tcW w:w="2089" w:type="dxa"/>
            <w:shd w:val="clear" w:color="auto" w:fill="auto"/>
          </w:tcPr>
          <w:p w14:paraId="3F68826F" w14:textId="2C016891" w:rsidR="00002F9B" w:rsidRPr="00002F9B" w:rsidRDefault="00002F9B" w:rsidP="003C76E4">
            <w:pPr>
              <w:pStyle w:val="Els-body-text"/>
              <w:spacing w:after="120"/>
              <w:jc w:val="center"/>
              <w:rPr>
                <w:b/>
                <w:bCs/>
                <w:lang w:val="en-GB"/>
              </w:rPr>
            </w:pPr>
            <w:r>
              <w:rPr>
                <w:b/>
                <w:bCs/>
                <w:lang w:val="en-GB"/>
              </w:rPr>
              <w:t>CO</w:t>
            </w:r>
            <w:r w:rsidRPr="00002F9B">
              <w:rPr>
                <w:b/>
                <w:bCs/>
                <w:vertAlign w:val="subscript"/>
                <w:lang w:val="en-GB"/>
              </w:rPr>
              <w:t>2</w:t>
            </w:r>
            <w:r>
              <w:rPr>
                <w:b/>
                <w:bCs/>
                <w:lang w:val="en-GB"/>
              </w:rPr>
              <w:t xml:space="preserve"> </w:t>
            </w:r>
            <w:r w:rsidR="003C76E4">
              <w:rPr>
                <w:b/>
                <w:bCs/>
                <w:lang w:val="en-GB"/>
              </w:rPr>
              <w:t>removal</w:t>
            </w:r>
            <w:r w:rsidR="003C76E4">
              <w:rPr>
                <w:b/>
                <w:bCs/>
                <w:lang w:val="en-GB"/>
              </w:rPr>
              <w:br/>
              <w:t>[kg/kg</w:t>
            </w:r>
            <w:r>
              <w:rPr>
                <w:b/>
                <w:bCs/>
                <w:lang w:val="en-GB"/>
              </w:rPr>
              <w:t xml:space="preserve"> </w:t>
            </w:r>
            <w:r w:rsidR="003C76E4">
              <w:rPr>
                <w:b/>
                <w:bCs/>
                <w:lang w:val="en-GB"/>
              </w:rPr>
              <w:t>in the feed]</w:t>
            </w:r>
          </w:p>
        </w:tc>
        <w:tc>
          <w:tcPr>
            <w:tcW w:w="2089" w:type="dxa"/>
          </w:tcPr>
          <w:p w14:paraId="3A5C854A" w14:textId="001753F1" w:rsidR="00002F9B" w:rsidRDefault="00002F9B" w:rsidP="0022711B">
            <w:pPr>
              <w:pStyle w:val="Els-body-text"/>
              <w:spacing w:after="120"/>
              <w:jc w:val="center"/>
              <w:rPr>
                <w:b/>
                <w:bCs/>
                <w:lang w:val="en-GB"/>
              </w:rPr>
            </w:pPr>
            <w:r>
              <w:rPr>
                <w:b/>
                <w:bCs/>
                <w:lang w:val="en-GB"/>
              </w:rPr>
              <w:t>Percentage of use</w:t>
            </w:r>
          </w:p>
        </w:tc>
      </w:tr>
      <w:tr w:rsidR="00002F9B" w:rsidRPr="00CD4EF4" w14:paraId="70009477" w14:textId="0A722806" w:rsidTr="00CA14EE">
        <w:trPr>
          <w:jc w:val="center"/>
        </w:trPr>
        <w:tc>
          <w:tcPr>
            <w:tcW w:w="2216" w:type="dxa"/>
          </w:tcPr>
          <w:p w14:paraId="49AADBDF" w14:textId="77777777" w:rsidR="00002F9B" w:rsidRPr="00CD4EF4" w:rsidRDefault="00002F9B" w:rsidP="0022711B">
            <w:pPr>
              <w:pStyle w:val="Els-body-text"/>
              <w:spacing w:after="120"/>
              <w:jc w:val="center"/>
              <w:rPr>
                <w:lang w:val="en-GB"/>
              </w:rPr>
            </w:pPr>
            <w:r>
              <w:rPr>
                <w:lang w:val="en-GB"/>
              </w:rPr>
              <w:t>Photovoltaic</w:t>
            </w:r>
          </w:p>
        </w:tc>
        <w:tc>
          <w:tcPr>
            <w:tcW w:w="2089" w:type="dxa"/>
            <w:shd w:val="clear" w:color="auto" w:fill="auto"/>
          </w:tcPr>
          <w:p w14:paraId="3AC1DB1F" w14:textId="50364419" w:rsidR="00002F9B" w:rsidRPr="00CD4EF4" w:rsidRDefault="00002F9B" w:rsidP="00002F9B">
            <w:pPr>
              <w:pStyle w:val="Els-body-text"/>
              <w:spacing w:after="120"/>
              <w:jc w:val="center"/>
              <w:rPr>
                <w:lang w:val="en-GB"/>
              </w:rPr>
            </w:pPr>
            <w:r>
              <w:rPr>
                <w:lang w:val="en-GB"/>
              </w:rPr>
              <w:t>-80%</w:t>
            </w:r>
          </w:p>
        </w:tc>
        <w:tc>
          <w:tcPr>
            <w:tcW w:w="2089" w:type="dxa"/>
          </w:tcPr>
          <w:p w14:paraId="5876343D" w14:textId="01A47EF5" w:rsidR="00002F9B" w:rsidRDefault="00002F9B" w:rsidP="00002F9B">
            <w:pPr>
              <w:pStyle w:val="Els-body-text"/>
              <w:spacing w:after="120"/>
              <w:jc w:val="center"/>
              <w:rPr>
                <w:lang w:val="en-GB"/>
              </w:rPr>
            </w:pPr>
            <w:r>
              <w:rPr>
                <w:lang w:val="en-GB"/>
              </w:rPr>
              <w:t>100%</w:t>
            </w:r>
          </w:p>
        </w:tc>
      </w:tr>
      <w:tr w:rsidR="00002F9B" w:rsidRPr="00CD4EF4" w14:paraId="72C0AE36" w14:textId="49BEDBA1" w:rsidTr="00CA14EE">
        <w:trPr>
          <w:jc w:val="center"/>
        </w:trPr>
        <w:tc>
          <w:tcPr>
            <w:tcW w:w="2216" w:type="dxa"/>
          </w:tcPr>
          <w:p w14:paraId="614C87BF" w14:textId="20134E86" w:rsidR="00002F9B" w:rsidRPr="00CD4EF4" w:rsidRDefault="00002F9B" w:rsidP="0022711B">
            <w:pPr>
              <w:pStyle w:val="Els-body-text"/>
              <w:spacing w:after="120"/>
              <w:jc w:val="center"/>
              <w:rPr>
                <w:lang w:val="en-GB"/>
              </w:rPr>
            </w:pPr>
            <w:r>
              <w:rPr>
                <w:lang w:val="en-GB"/>
              </w:rPr>
              <w:t>Biomass</w:t>
            </w:r>
          </w:p>
        </w:tc>
        <w:tc>
          <w:tcPr>
            <w:tcW w:w="2089" w:type="dxa"/>
            <w:shd w:val="clear" w:color="auto" w:fill="auto"/>
          </w:tcPr>
          <w:p w14:paraId="5000A797" w14:textId="4E51A926" w:rsidR="00002F9B" w:rsidRPr="00CD4EF4" w:rsidRDefault="00594E92" w:rsidP="0022711B">
            <w:pPr>
              <w:pStyle w:val="Els-body-text"/>
              <w:spacing w:after="120"/>
              <w:jc w:val="center"/>
              <w:rPr>
                <w:lang w:val="en-GB"/>
              </w:rPr>
            </w:pPr>
            <w:r>
              <w:rPr>
                <w:lang w:val="en-GB"/>
              </w:rPr>
              <w:t>290</w:t>
            </w:r>
            <w:r w:rsidR="00B875C5">
              <w:rPr>
                <w:lang w:val="en-GB"/>
              </w:rPr>
              <w:t>%</w:t>
            </w:r>
          </w:p>
        </w:tc>
        <w:tc>
          <w:tcPr>
            <w:tcW w:w="2089" w:type="dxa"/>
          </w:tcPr>
          <w:p w14:paraId="39FC96AA" w14:textId="5D3542C2" w:rsidR="00002F9B" w:rsidRDefault="00002F9B" w:rsidP="0022711B">
            <w:pPr>
              <w:pStyle w:val="Els-body-text"/>
              <w:spacing w:after="120"/>
              <w:jc w:val="center"/>
              <w:rPr>
                <w:lang w:val="en-GB"/>
              </w:rPr>
            </w:pPr>
            <w:r>
              <w:rPr>
                <w:lang w:val="en-GB"/>
              </w:rPr>
              <w:t>10</w:t>
            </w:r>
            <w:r w:rsidR="00B875C5">
              <w:rPr>
                <w:lang w:val="en-GB"/>
              </w:rPr>
              <w:t>.5</w:t>
            </w:r>
            <w:r>
              <w:rPr>
                <w:lang w:val="en-GB"/>
              </w:rPr>
              <w:t>%</w:t>
            </w:r>
          </w:p>
        </w:tc>
      </w:tr>
      <w:tr w:rsidR="00002F9B" w:rsidRPr="00594E92" w14:paraId="76BA5E42" w14:textId="2A2CD62B" w:rsidTr="00CA14EE">
        <w:trPr>
          <w:jc w:val="center"/>
        </w:trPr>
        <w:tc>
          <w:tcPr>
            <w:tcW w:w="2216" w:type="dxa"/>
          </w:tcPr>
          <w:p w14:paraId="64E8528A" w14:textId="06E6FC50" w:rsidR="00002F9B" w:rsidRPr="00594E92" w:rsidRDefault="00002F9B" w:rsidP="0022711B">
            <w:pPr>
              <w:pStyle w:val="Els-body-text"/>
              <w:spacing w:after="120"/>
              <w:jc w:val="center"/>
              <w:rPr>
                <w:lang w:val="en-GB"/>
              </w:rPr>
            </w:pPr>
            <w:r w:rsidRPr="00594E92">
              <w:rPr>
                <w:lang w:val="en-GB"/>
              </w:rPr>
              <w:t>Natural gas</w:t>
            </w:r>
          </w:p>
        </w:tc>
        <w:tc>
          <w:tcPr>
            <w:tcW w:w="2089" w:type="dxa"/>
            <w:shd w:val="clear" w:color="auto" w:fill="auto"/>
          </w:tcPr>
          <w:p w14:paraId="3FB35AF7" w14:textId="239BF89F" w:rsidR="00002F9B" w:rsidRPr="00594E92" w:rsidRDefault="00B875C5" w:rsidP="0022711B">
            <w:pPr>
              <w:pStyle w:val="Els-body-text"/>
              <w:spacing w:after="120"/>
              <w:jc w:val="center"/>
              <w:rPr>
                <w:lang w:val="en-GB"/>
              </w:rPr>
            </w:pPr>
            <w:r w:rsidRPr="00594E92">
              <w:rPr>
                <w:lang w:val="en-GB"/>
              </w:rPr>
              <w:t>4231%</w:t>
            </w:r>
          </w:p>
        </w:tc>
        <w:tc>
          <w:tcPr>
            <w:tcW w:w="2089" w:type="dxa"/>
          </w:tcPr>
          <w:p w14:paraId="1521045E" w14:textId="7475907F" w:rsidR="00002F9B" w:rsidRPr="00594E92" w:rsidRDefault="00002F9B" w:rsidP="0022711B">
            <w:pPr>
              <w:pStyle w:val="Els-body-text"/>
              <w:spacing w:after="120"/>
              <w:jc w:val="center"/>
              <w:rPr>
                <w:lang w:val="en-GB"/>
              </w:rPr>
            </w:pPr>
            <w:r w:rsidRPr="00594E92">
              <w:rPr>
                <w:lang w:val="en-GB"/>
              </w:rPr>
              <w:t>10</w:t>
            </w:r>
            <w:r w:rsidR="00B875C5" w:rsidRPr="00594E92">
              <w:rPr>
                <w:lang w:val="en-GB"/>
              </w:rPr>
              <w:t>.5</w:t>
            </w:r>
            <w:r w:rsidRPr="00594E92">
              <w:rPr>
                <w:lang w:val="en-GB"/>
              </w:rPr>
              <w:t>%</w:t>
            </w:r>
          </w:p>
        </w:tc>
      </w:tr>
    </w:tbl>
    <w:p w14:paraId="144DE6AA" w14:textId="7D44D515" w:rsidR="008D2649" w:rsidRPr="006420FA" w:rsidRDefault="00055F8D" w:rsidP="00594E92">
      <w:pPr>
        <w:pStyle w:val="Els-body-text"/>
      </w:pPr>
      <w:r w:rsidRPr="00055F8D">
        <w:lastRenderedPageBreak/>
        <w:t xml:space="preserve">When weighing this value with the renewable energy one </w:t>
      </w:r>
      <w:r w:rsidR="00B875C5" w:rsidRPr="00055F8D">
        <w:t>according to the percentage of use,</w:t>
      </w:r>
      <w:r w:rsidR="00594E92" w:rsidRPr="00055F8D">
        <w:t xml:space="preserve"> the </w:t>
      </w:r>
      <w:r w:rsidRPr="00055F8D">
        <w:t xml:space="preserve">overall </w:t>
      </w:r>
      <w:r w:rsidR="00594E92" w:rsidRPr="00055F8D">
        <w:t>process</w:t>
      </w:r>
      <w:r w:rsidR="00B875C5" w:rsidRPr="00055F8D">
        <w:t xml:space="preserve"> </w:t>
      </w:r>
      <w:r w:rsidRPr="00055F8D">
        <w:t xml:space="preserve">emissions </w:t>
      </w:r>
      <w:r w:rsidR="00B875C5" w:rsidRPr="00055F8D">
        <w:t xml:space="preserve">would </w:t>
      </w:r>
      <w:r w:rsidRPr="00055F8D">
        <w:t>be</w:t>
      </w:r>
      <w:r w:rsidR="00B875C5" w:rsidRPr="00055F8D">
        <w:t xml:space="preserve"> 340% in case of natural gas used </w:t>
      </w:r>
      <w:r w:rsidR="00B875C5" w:rsidRPr="006420FA">
        <w:t>as backup</w:t>
      </w:r>
      <w:r w:rsidRPr="006420FA">
        <w:t xml:space="preserve"> </w:t>
      </w:r>
      <w:r w:rsidR="00B875C5" w:rsidRPr="006420FA">
        <w:t xml:space="preserve">energy source. Finally, when using biomass as backup </w:t>
      </w:r>
      <w:r w:rsidR="006420FA" w:rsidRPr="006420FA">
        <w:t>utility</w:t>
      </w:r>
      <w:r w:rsidR="00B875C5" w:rsidRPr="006420FA">
        <w:t xml:space="preserve">, an intermediate value equal to </w:t>
      </w:r>
      <w:r w:rsidR="00594E92" w:rsidRPr="006420FA">
        <w:t>-41</w:t>
      </w:r>
      <w:r w:rsidR="00B875C5" w:rsidRPr="006420FA">
        <w:t>% is obtained</w:t>
      </w:r>
      <w:r w:rsidR="006420FA" w:rsidRPr="006420FA">
        <w:t>. This value comes from the combination of 290%</w:t>
      </w:r>
      <w:r w:rsidR="00B875C5" w:rsidRPr="006420FA">
        <w:t xml:space="preserve"> biomass </w:t>
      </w:r>
      <w:r w:rsidR="00594E92" w:rsidRPr="006420FA">
        <w:t xml:space="preserve">emissions </w:t>
      </w:r>
      <w:r w:rsidR="006420FA" w:rsidRPr="006420FA">
        <w:t>and -80% of solar power weighed with respect to their percentage of use</w:t>
      </w:r>
      <w:r w:rsidR="00B875C5" w:rsidRPr="006420FA">
        <w:t>.</w:t>
      </w:r>
      <w:r w:rsidR="006420FA">
        <w:t xml:space="preserve"> As a final remark, although the obtained value in the latter case could considerably vary according to the selected biomass, it should always stay within the renewable and natural gas interval [-80, 340]%.</w:t>
      </w:r>
    </w:p>
    <w:p w14:paraId="144DE6BA" w14:textId="77777777" w:rsidR="008D2649" w:rsidRPr="006420FA" w:rsidRDefault="008D2649" w:rsidP="008D2649">
      <w:pPr>
        <w:pStyle w:val="Els-1storder-head"/>
        <w:spacing w:after="120"/>
        <w:rPr>
          <w:lang w:val="en-GB"/>
        </w:rPr>
      </w:pPr>
      <w:r w:rsidRPr="006420FA">
        <w:rPr>
          <w:lang w:val="en-GB"/>
        </w:rPr>
        <w:t>Conclusions</w:t>
      </w:r>
    </w:p>
    <w:p w14:paraId="011BE14F" w14:textId="59A64FA2" w:rsidR="009705C9" w:rsidRDefault="00F112C4" w:rsidP="002641AD">
      <w:pPr>
        <w:pStyle w:val="Els-body-text"/>
        <w:rPr>
          <w:lang w:val="en-GB"/>
        </w:rPr>
      </w:pPr>
      <w:r>
        <w:rPr>
          <w:lang w:val="en-GB"/>
        </w:rPr>
        <w:t xml:space="preserve">The </w:t>
      </w:r>
      <w:r w:rsidR="009705C9">
        <w:rPr>
          <w:lang w:val="en-GB"/>
        </w:rPr>
        <w:t xml:space="preserve">main scope </w:t>
      </w:r>
      <w:r w:rsidR="004D4E94">
        <w:rPr>
          <w:lang w:val="en-GB"/>
        </w:rPr>
        <w:t xml:space="preserve">of the </w:t>
      </w:r>
      <w:r>
        <w:rPr>
          <w:lang w:val="en-GB"/>
        </w:rPr>
        <w:t>presented research work</w:t>
      </w:r>
      <w:r w:rsidR="004D4E94">
        <w:rPr>
          <w:lang w:val="en-GB"/>
        </w:rPr>
        <w:t xml:space="preserve"> is t</w:t>
      </w:r>
      <w:r w:rsidR="009705C9">
        <w:rPr>
          <w:lang w:val="en-GB"/>
        </w:rPr>
        <w:t xml:space="preserve">o evaluate, in terms of sustainability, </w:t>
      </w:r>
      <w:r>
        <w:rPr>
          <w:lang w:val="en-GB"/>
        </w:rPr>
        <w:t>the effectiveness</w:t>
      </w:r>
      <w:r w:rsidR="009705C9">
        <w:rPr>
          <w:lang w:val="en-GB"/>
        </w:rPr>
        <w:t xml:space="preserve"> of</w:t>
      </w:r>
      <w:r>
        <w:rPr>
          <w:lang w:val="en-GB"/>
        </w:rPr>
        <w:t xml:space="preserve"> </w:t>
      </w:r>
      <w:r w:rsidR="009705C9">
        <w:rPr>
          <w:lang w:val="en-GB"/>
        </w:rPr>
        <w:t>an ideal emission-oriented</w:t>
      </w:r>
      <w:r>
        <w:rPr>
          <w:lang w:val="en-GB"/>
        </w:rPr>
        <w:t xml:space="preserve"> operation scheduling</w:t>
      </w:r>
      <w:r w:rsidR="009705C9">
        <w:rPr>
          <w:lang w:val="en-GB"/>
        </w:rPr>
        <w:t xml:space="preserve"> where</w:t>
      </w:r>
      <w:r>
        <w:rPr>
          <w:lang w:val="en-GB"/>
        </w:rPr>
        <w:t xml:space="preserve"> only renewable energy sources are employed for</w:t>
      </w:r>
      <w:r w:rsidR="009705C9">
        <w:rPr>
          <w:lang w:val="en-GB"/>
        </w:rPr>
        <w:t xml:space="preserve"> the</w:t>
      </w:r>
      <w:r>
        <w:rPr>
          <w:lang w:val="en-GB"/>
        </w:rPr>
        <w:t xml:space="preserve"> production</w:t>
      </w:r>
      <w:r w:rsidR="009705C9">
        <w:rPr>
          <w:lang w:val="en-GB"/>
        </w:rPr>
        <w:t xml:space="preserve"> of methanol</w:t>
      </w:r>
      <w:r>
        <w:rPr>
          <w:lang w:val="en-GB"/>
        </w:rPr>
        <w:t>.</w:t>
      </w:r>
    </w:p>
    <w:p w14:paraId="144DE6BE" w14:textId="32F9823D" w:rsidR="008D2649" w:rsidRDefault="00F112C4" w:rsidP="002641AD">
      <w:pPr>
        <w:pStyle w:val="Els-body-text"/>
        <w:rPr>
          <w:lang w:val="en-GB"/>
        </w:rPr>
      </w:pPr>
      <w:r>
        <w:rPr>
          <w:lang w:val="en-GB"/>
        </w:rPr>
        <w:t>Based on the obtained results,</w:t>
      </w:r>
      <w:r w:rsidR="001A30AC">
        <w:rPr>
          <w:lang w:val="en-GB"/>
        </w:rPr>
        <w:t xml:space="preserve"> some relevant conclusions can be drawn</w:t>
      </w:r>
      <w:r w:rsidR="00B36561">
        <w:rPr>
          <w:lang w:val="en-GB"/>
        </w:rPr>
        <w:t xml:space="preserve">. First, the maximum </w:t>
      </w:r>
      <w:r w:rsidR="002641AD">
        <w:rPr>
          <w:lang w:val="en-GB"/>
        </w:rPr>
        <w:t xml:space="preserve">carbon removal </w:t>
      </w:r>
      <w:r w:rsidR="00B36561">
        <w:rPr>
          <w:lang w:val="en-GB"/>
        </w:rPr>
        <w:t xml:space="preserve">potential of negative emission processes, </w:t>
      </w:r>
      <w:r w:rsidR="002641AD">
        <w:rPr>
          <w:lang w:val="en-GB"/>
        </w:rPr>
        <w:t xml:space="preserve">obtained by its </w:t>
      </w:r>
      <w:r w:rsidR="00B36561">
        <w:rPr>
          <w:lang w:val="en-GB"/>
        </w:rPr>
        <w:t>conversion into chemicals, can be quantitatively assessed</w:t>
      </w:r>
      <w:r w:rsidR="002641AD">
        <w:rPr>
          <w:lang w:val="en-GB"/>
        </w:rPr>
        <w:t xml:space="preserve"> with respect to the capacity of the plant.</w:t>
      </w:r>
      <w:r w:rsidR="00B36561">
        <w:rPr>
          <w:lang w:val="en-GB"/>
        </w:rPr>
        <w:t xml:space="preserve"> </w:t>
      </w:r>
      <w:r w:rsidR="002641AD">
        <w:rPr>
          <w:lang w:val="en-GB"/>
        </w:rPr>
        <w:t>To be more precise, i</w:t>
      </w:r>
      <w:r w:rsidR="00B36561">
        <w:rPr>
          <w:lang w:val="en-GB"/>
        </w:rPr>
        <w:t xml:space="preserve">t is achieved for a process scheduling </w:t>
      </w:r>
      <w:r w:rsidR="002641AD">
        <w:rPr>
          <w:lang w:val="en-GB"/>
        </w:rPr>
        <w:t xml:space="preserve">that thoroughly </w:t>
      </w:r>
      <w:r w:rsidR="00B36561">
        <w:rPr>
          <w:lang w:val="en-GB"/>
        </w:rPr>
        <w:t>follow</w:t>
      </w:r>
      <w:r w:rsidR="002641AD">
        <w:rPr>
          <w:lang w:val="en-GB"/>
        </w:rPr>
        <w:t>s</w:t>
      </w:r>
      <w:r w:rsidR="00B36561">
        <w:rPr>
          <w:lang w:val="en-GB"/>
        </w:rPr>
        <w:t xml:space="preserve"> the availability of the renewable energy source that is </w:t>
      </w:r>
      <w:r w:rsidR="009705C9">
        <w:rPr>
          <w:lang w:val="en-GB"/>
        </w:rPr>
        <w:t>use</w:t>
      </w:r>
      <w:r w:rsidR="00B36561">
        <w:rPr>
          <w:lang w:val="en-GB"/>
        </w:rPr>
        <w:t xml:space="preserve">d. </w:t>
      </w:r>
      <w:r w:rsidR="002641AD">
        <w:rPr>
          <w:lang w:val="en-GB"/>
        </w:rPr>
        <w:t>Second, whether the system could not be continuously switched on and off for safety or process control reasons, the integration of a backup energy source, such as biomass, can be accounted for by applying</w:t>
      </w:r>
      <w:r w:rsidR="009705C9">
        <w:rPr>
          <w:lang w:val="en-GB"/>
        </w:rPr>
        <w:t xml:space="preserve"> analogous</w:t>
      </w:r>
      <w:r w:rsidR="002641AD">
        <w:rPr>
          <w:lang w:val="en-GB"/>
        </w:rPr>
        <w:t xml:space="preserve"> calculation.</w:t>
      </w:r>
      <w:r w:rsidR="00511952">
        <w:rPr>
          <w:lang w:val="en-GB"/>
        </w:rPr>
        <w:t xml:space="preserve"> Finally, the proposed procedure can be used to detect the most suitable locations that maximize the CO</w:t>
      </w:r>
      <w:r w:rsidR="00511952" w:rsidRPr="00511952">
        <w:rPr>
          <w:vertAlign w:val="subscript"/>
          <w:lang w:val="en-GB"/>
        </w:rPr>
        <w:t>2</w:t>
      </w:r>
      <w:r w:rsidR="00511952">
        <w:rPr>
          <w:lang w:val="en-GB"/>
        </w:rPr>
        <w:t xml:space="preserve"> removal potential for </w:t>
      </w:r>
      <w:r w:rsidR="00DA38C7">
        <w:rPr>
          <w:lang w:val="en-GB"/>
        </w:rPr>
        <w:t>the</w:t>
      </w:r>
      <w:r w:rsidR="00511952">
        <w:rPr>
          <w:lang w:val="en-GB"/>
        </w:rPr>
        <w:t xml:space="preserve"> given process according to the </w:t>
      </w:r>
      <w:r w:rsidR="00DA38C7">
        <w:rPr>
          <w:lang w:val="en-GB"/>
        </w:rPr>
        <w:t xml:space="preserve">geographical availability of the </w:t>
      </w:r>
      <w:r w:rsidR="00511952">
        <w:rPr>
          <w:lang w:val="en-GB"/>
        </w:rPr>
        <w:t>selected renewable energy source.</w:t>
      </w:r>
    </w:p>
    <w:p w14:paraId="518F9B34" w14:textId="030B1C58" w:rsidR="002641AD" w:rsidRPr="00A94774" w:rsidRDefault="002641AD" w:rsidP="008D2649">
      <w:pPr>
        <w:pStyle w:val="Els-body-text"/>
        <w:spacing w:after="120"/>
        <w:rPr>
          <w:lang w:val="en-GB"/>
        </w:rPr>
      </w:pPr>
      <w:r>
        <w:rPr>
          <w:lang w:val="en-GB"/>
        </w:rPr>
        <w:t xml:space="preserve">Given the positive outcome of this approach, in terms of future perspectives, </w:t>
      </w:r>
      <w:r w:rsidR="00DA38C7">
        <w:rPr>
          <w:lang w:val="en-GB"/>
        </w:rPr>
        <w:t xml:space="preserve">utilities of different nature as backup option could be compared on an environmental impact basis and systems with different behaviour could be </w:t>
      </w:r>
      <w:proofErr w:type="spellStart"/>
      <w:r w:rsidR="00DA38C7">
        <w:rPr>
          <w:lang w:val="en-GB"/>
        </w:rPr>
        <w:t>analyzed</w:t>
      </w:r>
      <w:proofErr w:type="spellEnd"/>
      <w:r w:rsidR="00DA38C7">
        <w:rPr>
          <w:lang w:val="en-GB"/>
        </w:rPr>
        <w:t xml:space="preserve"> in order to a</w:t>
      </w:r>
      <w:r w:rsidR="009705C9">
        <w:rPr>
          <w:lang w:val="en-GB"/>
        </w:rPr>
        <w:t>ssess</w:t>
      </w:r>
      <w:r w:rsidR="00DA38C7">
        <w:rPr>
          <w:lang w:val="en-GB"/>
        </w:rPr>
        <w:t xml:space="preserve"> their response.</w:t>
      </w:r>
    </w:p>
    <w:p w14:paraId="144DE6BF" w14:textId="608D0AD6" w:rsidR="008D2649" w:rsidRDefault="008D2649" w:rsidP="008D2649">
      <w:pPr>
        <w:pStyle w:val="Els-reference-head"/>
      </w:pPr>
      <w:r>
        <w:t>References</w:t>
      </w:r>
    </w:p>
    <w:p w14:paraId="3A034276" w14:textId="27A265B4" w:rsidR="00920A5A" w:rsidRDefault="00920A5A" w:rsidP="00990D07">
      <w:pPr>
        <w:pStyle w:val="Els-referenceno-number"/>
        <w:rPr>
          <w:lang w:val="en-US"/>
        </w:rPr>
      </w:pPr>
      <w:r w:rsidRPr="0035392A">
        <w:rPr>
          <w:lang w:val="en-US"/>
        </w:rPr>
        <w:t>B</w:t>
      </w:r>
      <w:r>
        <w:rPr>
          <w:lang w:val="en-US"/>
        </w:rPr>
        <w:t>.</w:t>
      </w:r>
      <w:r w:rsidRPr="0035392A">
        <w:rPr>
          <w:lang w:val="en-US"/>
        </w:rPr>
        <w:t xml:space="preserve"> Bruns, A</w:t>
      </w:r>
      <w:r>
        <w:rPr>
          <w:lang w:val="en-US"/>
        </w:rPr>
        <w:t>.</w:t>
      </w:r>
      <w:r w:rsidRPr="0035392A">
        <w:rPr>
          <w:lang w:val="en-US"/>
        </w:rPr>
        <w:t xml:space="preserve"> Di Pretoro, M</w:t>
      </w:r>
      <w:r>
        <w:rPr>
          <w:lang w:val="en-US"/>
        </w:rPr>
        <w:t>,</w:t>
      </w:r>
      <w:r w:rsidRPr="0035392A">
        <w:rPr>
          <w:lang w:val="en-US"/>
        </w:rPr>
        <w:t xml:space="preserve"> Grünewald, J</w:t>
      </w:r>
      <w:r>
        <w:rPr>
          <w:lang w:val="en-US"/>
        </w:rPr>
        <w:t>.</w:t>
      </w:r>
      <w:r w:rsidRPr="0035392A">
        <w:rPr>
          <w:lang w:val="en-US"/>
        </w:rPr>
        <w:t xml:space="preserve"> Riese</w:t>
      </w:r>
      <w:r>
        <w:rPr>
          <w:lang w:val="en-US"/>
        </w:rPr>
        <w:t xml:space="preserve">, 2021. </w:t>
      </w:r>
      <w:r w:rsidRPr="0035392A">
        <w:rPr>
          <w:lang w:val="en-US"/>
        </w:rPr>
        <w:t>Indirect demand response potential of large-scale chemical processes</w:t>
      </w:r>
      <w:r>
        <w:rPr>
          <w:lang w:val="en-US"/>
        </w:rPr>
        <w:t xml:space="preserve">. </w:t>
      </w:r>
      <w:r w:rsidRPr="0035392A">
        <w:rPr>
          <w:lang w:val="en-US"/>
        </w:rPr>
        <w:t xml:space="preserve">Industrial &amp; Engineering Chemistry Research, </w:t>
      </w:r>
      <w:r>
        <w:rPr>
          <w:lang w:val="en-US"/>
        </w:rPr>
        <w:t>61(1), 605-620</w:t>
      </w:r>
      <w:r w:rsidRPr="00130A73">
        <w:rPr>
          <w:lang w:val="en-US"/>
        </w:rPr>
        <w:t>.</w:t>
      </w:r>
    </w:p>
    <w:p w14:paraId="341674C7" w14:textId="218F0E0B" w:rsidR="00A141D5" w:rsidRPr="00A141D5" w:rsidRDefault="00A141D5" w:rsidP="00920A5A">
      <w:pPr>
        <w:pStyle w:val="Els-referenceno-number"/>
        <w:rPr>
          <w:lang w:val="it-IT"/>
        </w:rPr>
      </w:pPr>
      <w:r>
        <w:rPr>
          <w:lang w:val="en-US"/>
        </w:rPr>
        <w:t>T</w:t>
      </w:r>
      <w:r w:rsidRPr="00A141D5">
        <w:rPr>
          <w:lang w:val="en-US"/>
        </w:rPr>
        <w:t>he Commission to the European Parliament, the European Council, the Council, the European Economic and Social Committee and the Committee of the Regions</w:t>
      </w:r>
      <w:r>
        <w:rPr>
          <w:lang w:val="en-US"/>
        </w:rPr>
        <w:t xml:space="preserve">, </w:t>
      </w:r>
      <w:r w:rsidRPr="00A141D5">
        <w:rPr>
          <w:lang w:val="en-US"/>
        </w:rPr>
        <w:t>The European Green Deal; 2019.</w:t>
      </w:r>
      <w:r w:rsidR="005E1691">
        <w:rPr>
          <w:lang w:val="en-US"/>
        </w:rPr>
        <w:t xml:space="preserve"> </w:t>
      </w:r>
      <w:r w:rsidR="005E1691" w:rsidRPr="00F57CDA">
        <w:rPr>
          <w:rFonts w:ascii="Cambria Math" w:hAnsi="Cambria Math" w:cs="Cambria Math"/>
          <w:lang w:val="en-US"/>
        </w:rPr>
        <w:t>⟨</w:t>
      </w:r>
      <w:r w:rsidRPr="00B02A56">
        <w:rPr>
          <w:lang w:val="it-IT"/>
        </w:rPr>
        <w:t xml:space="preserve"> </w:t>
      </w:r>
      <w:hyperlink r:id="rId13" w:history="1">
        <w:r w:rsidR="005E1691" w:rsidRPr="00B54539">
          <w:rPr>
            <w:rStyle w:val="Collegamentoipertestuale"/>
            <w:lang w:val="it-IT"/>
          </w:rPr>
          <w:t>https://eur-lex.europa.eu/homepage.html</w:t>
        </w:r>
      </w:hyperlink>
      <w:r w:rsidRPr="00A141D5">
        <w:rPr>
          <w:lang w:val="it-IT"/>
        </w:rPr>
        <w:t xml:space="preserve"> </w:t>
      </w:r>
      <w:r w:rsidR="005E1691" w:rsidRPr="00B02A56">
        <w:rPr>
          <w:lang w:val="it-IT"/>
        </w:rPr>
        <w:t xml:space="preserve"> </w:t>
      </w:r>
      <w:r w:rsidR="005E1691" w:rsidRPr="00F57CDA">
        <w:rPr>
          <w:rFonts w:ascii="Cambria Math" w:hAnsi="Cambria Math" w:cs="Cambria Math"/>
          <w:lang w:val="en-US"/>
        </w:rPr>
        <w:t>⟩</w:t>
      </w:r>
      <w:r w:rsidR="005E1691" w:rsidRPr="00A141D5">
        <w:rPr>
          <w:lang w:val="it-IT"/>
        </w:rPr>
        <w:t xml:space="preserve"> </w:t>
      </w:r>
      <w:r w:rsidRPr="00A141D5">
        <w:rPr>
          <w:lang w:val="it-IT"/>
        </w:rPr>
        <w:t>(accessed 2023-11-19)</w:t>
      </w:r>
    </w:p>
    <w:p w14:paraId="2A19742C" w14:textId="39740CA9" w:rsidR="00920A5A" w:rsidRDefault="00920A5A" w:rsidP="00920A5A">
      <w:pPr>
        <w:pStyle w:val="Els-referenceno-number"/>
        <w:rPr>
          <w:lang w:val="en-US"/>
        </w:rPr>
      </w:pPr>
      <w:r w:rsidRPr="00A141D5">
        <w:rPr>
          <w:lang w:val="it-IT"/>
        </w:rPr>
        <w:t xml:space="preserve">M. Fedeli, F., Manenti, 2022. </w:t>
      </w:r>
      <w:r w:rsidRPr="00ED631C">
        <w:rPr>
          <w:lang w:val="en-US"/>
        </w:rPr>
        <w:t>Assessing process effectiveness with specific environmental and economic impact of heat, power &amp; chemicals (HPC) option as future perspective in biogas. Cleaner Chemical Engineering 2, 100016.</w:t>
      </w:r>
    </w:p>
    <w:p w14:paraId="3E41E6CD" w14:textId="630D3E27" w:rsidR="00630460" w:rsidRDefault="00630460" w:rsidP="008D2649">
      <w:pPr>
        <w:pStyle w:val="Els-referenceno-number"/>
        <w:rPr>
          <w:lang w:val="en-US"/>
        </w:rPr>
      </w:pPr>
      <w:r>
        <w:rPr>
          <w:lang w:val="en-US"/>
        </w:rPr>
        <w:t>Global Solar Atlas</w:t>
      </w:r>
      <w:r w:rsidR="00F57CDA">
        <w:rPr>
          <w:lang w:val="en-US"/>
        </w:rPr>
        <w:t>,</w:t>
      </w:r>
      <w:r>
        <w:rPr>
          <w:lang w:val="en-US"/>
        </w:rPr>
        <w:t xml:space="preserve"> a</w:t>
      </w:r>
      <w:r w:rsidR="00F57CDA">
        <w:rPr>
          <w:lang w:val="en-US"/>
        </w:rPr>
        <w:t xml:space="preserve">ccessed 02/11/2023 </w:t>
      </w:r>
      <w:r w:rsidR="00F57CDA" w:rsidRPr="00F57CDA">
        <w:rPr>
          <w:rFonts w:ascii="Cambria Math" w:hAnsi="Cambria Math" w:cs="Cambria Math"/>
          <w:lang w:val="en-US"/>
        </w:rPr>
        <w:t>⟨</w:t>
      </w:r>
      <w:r w:rsidR="00F57CDA" w:rsidRPr="00F57CDA">
        <w:rPr>
          <w:lang w:val="en-US"/>
        </w:rPr>
        <w:t xml:space="preserve"> </w:t>
      </w:r>
      <w:hyperlink r:id="rId14" w:history="1">
        <w:r w:rsidR="00F57CDA" w:rsidRPr="00E14A39">
          <w:rPr>
            <w:rStyle w:val="Collegamentoipertestuale"/>
            <w:lang w:val="en-US"/>
          </w:rPr>
          <w:t>https://globalsolaratlas.info/map</w:t>
        </w:r>
      </w:hyperlink>
      <w:r w:rsidR="00F57CDA" w:rsidRPr="00F57CDA">
        <w:rPr>
          <w:lang w:val="en-US"/>
        </w:rPr>
        <w:t xml:space="preserve"> </w:t>
      </w:r>
      <w:r w:rsidR="00F57CDA" w:rsidRPr="00F57CDA">
        <w:rPr>
          <w:rFonts w:ascii="Cambria Math" w:hAnsi="Cambria Math" w:cs="Cambria Math"/>
          <w:lang w:val="en-US"/>
        </w:rPr>
        <w:t>⟩</w:t>
      </w:r>
    </w:p>
    <w:p w14:paraId="30F1DF86" w14:textId="0CCF8AB0" w:rsidR="00990D07" w:rsidRDefault="00990D07" w:rsidP="00990D07">
      <w:pPr>
        <w:pStyle w:val="Els-referenceno-number"/>
        <w:rPr>
          <w:lang w:val="en-US"/>
        </w:rPr>
      </w:pPr>
      <w:r>
        <w:rPr>
          <w:lang w:val="en-US"/>
        </w:rPr>
        <w:t xml:space="preserve">S. </w:t>
      </w:r>
      <w:r w:rsidRPr="00990D07">
        <w:rPr>
          <w:lang w:val="en-US"/>
        </w:rPr>
        <w:t xml:space="preserve">Mbatha, </w:t>
      </w:r>
      <w:r>
        <w:rPr>
          <w:lang w:val="en-US"/>
        </w:rPr>
        <w:t xml:space="preserve">R.C. </w:t>
      </w:r>
      <w:r w:rsidRPr="00990D07">
        <w:rPr>
          <w:lang w:val="en-US"/>
        </w:rPr>
        <w:t xml:space="preserve">Everson, </w:t>
      </w:r>
      <w:r>
        <w:rPr>
          <w:lang w:val="en-US"/>
        </w:rPr>
        <w:t xml:space="preserve">N.M. </w:t>
      </w:r>
      <w:r w:rsidRPr="00990D07">
        <w:rPr>
          <w:lang w:val="en-US"/>
        </w:rPr>
        <w:t>Musyoka</w:t>
      </w:r>
      <w:r>
        <w:rPr>
          <w:lang w:val="en-US"/>
        </w:rPr>
        <w:t>, H.W.</w:t>
      </w:r>
      <w:r w:rsidRPr="00990D07">
        <w:rPr>
          <w:lang w:val="en-US"/>
        </w:rPr>
        <w:t xml:space="preserve"> Langmi, </w:t>
      </w:r>
      <w:r>
        <w:rPr>
          <w:lang w:val="en-US"/>
        </w:rPr>
        <w:t xml:space="preserve">A. </w:t>
      </w:r>
      <w:r w:rsidRPr="00990D07">
        <w:rPr>
          <w:lang w:val="en-US"/>
        </w:rPr>
        <w:t>Lanzini,</w:t>
      </w:r>
      <w:r>
        <w:rPr>
          <w:lang w:val="en-US"/>
        </w:rPr>
        <w:t xml:space="preserve"> W.</w:t>
      </w:r>
      <w:r w:rsidRPr="00990D07">
        <w:rPr>
          <w:lang w:val="en-US"/>
        </w:rPr>
        <w:t xml:space="preserve"> Brilman</w:t>
      </w:r>
      <w:r>
        <w:rPr>
          <w:lang w:val="en-US"/>
        </w:rPr>
        <w:t xml:space="preserve">, 2021. </w:t>
      </w:r>
      <w:r w:rsidRPr="00990D07">
        <w:rPr>
          <w:lang w:val="en-US"/>
        </w:rPr>
        <w:t>Power-to-methanol process: a review of electrolysis, methanol catalysts, kinetics,</w:t>
      </w:r>
      <w:r>
        <w:rPr>
          <w:lang w:val="en-US"/>
        </w:rPr>
        <w:t xml:space="preserve"> </w:t>
      </w:r>
      <w:r w:rsidRPr="00990D07">
        <w:rPr>
          <w:lang w:val="en-US"/>
        </w:rPr>
        <w:t>reactor designs and modelling, process integration, optimisation, and technoeconomics.</w:t>
      </w:r>
      <w:r>
        <w:rPr>
          <w:lang w:val="en-US"/>
        </w:rPr>
        <w:t xml:space="preserve"> </w:t>
      </w:r>
      <w:r w:rsidRPr="00990D07">
        <w:rPr>
          <w:lang w:val="en-US"/>
        </w:rPr>
        <w:t>Sustain</w:t>
      </w:r>
      <w:r>
        <w:rPr>
          <w:lang w:val="en-US"/>
        </w:rPr>
        <w:t>able</w:t>
      </w:r>
      <w:r w:rsidRPr="00990D07">
        <w:rPr>
          <w:lang w:val="en-US"/>
        </w:rPr>
        <w:t xml:space="preserve"> Energy</w:t>
      </w:r>
      <w:r w:rsidR="0066423A">
        <w:rPr>
          <w:lang w:val="en-US"/>
        </w:rPr>
        <w:t xml:space="preserve"> &amp;</w:t>
      </w:r>
      <w:r w:rsidRPr="00990D07">
        <w:rPr>
          <w:lang w:val="en-US"/>
        </w:rPr>
        <w:t xml:space="preserve"> Fuels</w:t>
      </w:r>
      <w:r>
        <w:rPr>
          <w:lang w:val="en-US"/>
        </w:rPr>
        <w:t xml:space="preserve">, </w:t>
      </w:r>
      <w:r w:rsidRPr="00990D07">
        <w:rPr>
          <w:lang w:val="en-US"/>
        </w:rPr>
        <w:t>5(14)</w:t>
      </w:r>
      <w:r>
        <w:rPr>
          <w:lang w:val="en-US"/>
        </w:rPr>
        <w:t xml:space="preserve">, </w:t>
      </w:r>
      <w:r w:rsidRPr="00990D07">
        <w:rPr>
          <w:lang w:val="en-US"/>
        </w:rPr>
        <w:t>3490–569.</w:t>
      </w:r>
    </w:p>
    <w:p w14:paraId="33E80751" w14:textId="6B8F97EC" w:rsidR="00777251" w:rsidRDefault="00777251" w:rsidP="004F7E72">
      <w:pPr>
        <w:pStyle w:val="Els-referenceno-number"/>
        <w:rPr>
          <w:lang w:val="en-US"/>
        </w:rPr>
      </w:pPr>
      <w:r w:rsidRPr="00777251">
        <w:rPr>
          <w:lang w:val="en-US"/>
        </w:rPr>
        <w:t>Phyllis Database,</w:t>
      </w:r>
      <w:r>
        <w:rPr>
          <w:lang w:val="en-US"/>
        </w:rPr>
        <w:t xml:space="preserve"> </w:t>
      </w:r>
      <w:r w:rsidRPr="00F57CDA">
        <w:rPr>
          <w:rFonts w:ascii="Cambria Math" w:hAnsi="Cambria Math" w:cs="Cambria Math"/>
          <w:lang w:val="en-US"/>
        </w:rPr>
        <w:t>⟨</w:t>
      </w:r>
      <w:r w:rsidRPr="00777251">
        <w:rPr>
          <w:lang w:val="en-US"/>
        </w:rPr>
        <w:t xml:space="preserve"> </w:t>
      </w:r>
      <w:hyperlink r:id="rId15" w:history="1">
        <w:r w:rsidRPr="0066760F">
          <w:rPr>
            <w:rStyle w:val="Collegamentoipertestuale"/>
            <w:lang w:val="en-US"/>
          </w:rPr>
          <w:t>https://phyllis.nl/</w:t>
        </w:r>
      </w:hyperlink>
      <w:r>
        <w:rPr>
          <w:lang w:val="en-US"/>
        </w:rPr>
        <w:t xml:space="preserve"> </w:t>
      </w:r>
      <w:r w:rsidRPr="00F57CDA">
        <w:rPr>
          <w:rFonts w:ascii="Cambria Math" w:hAnsi="Cambria Math" w:cs="Cambria Math"/>
          <w:lang w:val="en-US"/>
        </w:rPr>
        <w:t>⟩</w:t>
      </w:r>
      <w:r w:rsidRPr="00777251">
        <w:rPr>
          <w:lang w:val="en-US"/>
        </w:rPr>
        <w:t xml:space="preserve">, </w:t>
      </w:r>
      <w:r>
        <w:rPr>
          <w:lang w:val="en-US"/>
        </w:rPr>
        <w:t>(</w:t>
      </w:r>
      <w:r w:rsidRPr="00777251">
        <w:rPr>
          <w:lang w:val="en-US"/>
        </w:rPr>
        <w:t>accessed 2023</w:t>
      </w:r>
      <w:r>
        <w:rPr>
          <w:lang w:val="en-US"/>
        </w:rPr>
        <w:t>-11-05)</w:t>
      </w:r>
      <w:r w:rsidRPr="00777251">
        <w:rPr>
          <w:lang w:val="en-US"/>
        </w:rPr>
        <w:t>.</w:t>
      </w:r>
    </w:p>
    <w:p w14:paraId="144DE6C3" w14:textId="48244E98" w:rsidR="008D2649" w:rsidRDefault="004F7E72" w:rsidP="004F7E72">
      <w:pPr>
        <w:pStyle w:val="Els-referenceno-number"/>
        <w:rPr>
          <w:lang w:val="en-US"/>
        </w:rPr>
      </w:pPr>
      <w:r w:rsidRPr="0067340C">
        <w:rPr>
          <w:lang w:val="en-US"/>
        </w:rPr>
        <w:t xml:space="preserve">F. Shariatzadeh, P. Mandal, A. K. Srivastava, 2015. </w:t>
      </w:r>
      <w:r w:rsidRPr="004F7E72">
        <w:rPr>
          <w:lang w:val="en-US"/>
        </w:rPr>
        <w:t>Demand response for sustainable energy systems: A review, application and implementation strategy,</w:t>
      </w:r>
      <w:r>
        <w:rPr>
          <w:lang w:val="en-US"/>
        </w:rPr>
        <w:t xml:space="preserve"> </w:t>
      </w:r>
      <w:r w:rsidRPr="004F7E72">
        <w:rPr>
          <w:lang w:val="en-US"/>
        </w:rPr>
        <w:t>Renewable and Sustainable Energy Reviews 45</w:t>
      </w:r>
      <w:r>
        <w:rPr>
          <w:lang w:val="en-US"/>
        </w:rPr>
        <w:t xml:space="preserve">, </w:t>
      </w:r>
      <w:r w:rsidRPr="004F7E72">
        <w:rPr>
          <w:lang w:val="en-US"/>
        </w:rPr>
        <w:t>343-350</w:t>
      </w:r>
      <w:r>
        <w:rPr>
          <w:lang w:val="en-US"/>
        </w:rPr>
        <w:t>.</w:t>
      </w:r>
    </w:p>
    <w:sectPr w:rsidR="008D2649"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A89C" w14:textId="77777777" w:rsidR="00D03FA2" w:rsidRDefault="00D03FA2">
      <w:r>
        <w:separator/>
      </w:r>
    </w:p>
  </w:endnote>
  <w:endnote w:type="continuationSeparator" w:id="0">
    <w:p w14:paraId="09598A4A" w14:textId="77777777" w:rsidR="00D03FA2" w:rsidRDefault="00D0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14E0" w14:textId="77777777" w:rsidR="00D03FA2" w:rsidRDefault="00D03FA2">
      <w:r>
        <w:separator/>
      </w:r>
    </w:p>
  </w:footnote>
  <w:footnote w:type="continuationSeparator" w:id="0">
    <w:p w14:paraId="7E2CE633" w14:textId="77777777" w:rsidR="00D03FA2" w:rsidRDefault="00D0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5041CCF" w:rsidR="00DD3D9E" w:rsidRPr="001E2696" w:rsidRDefault="00DD3D9E">
    <w:pPr>
      <w:pStyle w:val="Intestazione"/>
      <w:tabs>
        <w:tab w:val="clear" w:pos="7200"/>
        <w:tab w:val="right" w:pos="7088"/>
      </w:tabs>
      <w:rPr>
        <w:lang w:val="it-IT"/>
      </w:rPr>
    </w:pPr>
    <w:r>
      <w:rPr>
        <w:rStyle w:val="Numeropagina"/>
      </w:rPr>
      <w:tab/>
    </w:r>
    <w:r>
      <w:rPr>
        <w:rStyle w:val="Numeropagina"/>
        <w:i/>
      </w:rPr>
      <w:tab/>
    </w:r>
    <w:r w:rsidR="001E2696" w:rsidRPr="001E2696">
      <w:rPr>
        <w:i/>
        <w:lang w:val="it-IT"/>
      </w:rPr>
      <w:t>A. Di Pretoro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A2BD2" w:rsidR="00DD3D9E" w:rsidRDefault="001E2696" w:rsidP="001E2696">
    <w:pPr>
      <w:pStyle w:val="Intestazione"/>
      <w:tabs>
        <w:tab w:val="clear" w:pos="7200"/>
        <w:tab w:val="right" w:pos="7088"/>
      </w:tabs>
      <w:rPr>
        <w:sz w:val="24"/>
      </w:rPr>
    </w:pPr>
    <w:r w:rsidRPr="001E2696">
      <w:rPr>
        <w:i/>
      </w:rPr>
      <w:t>Emission oriented scheduling optimization for sustainable processes</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CDF0BD2"/>
    <w:multiLevelType w:val="hybridMultilevel"/>
    <w:tmpl w:val="F02A34A2"/>
    <w:lvl w:ilvl="0" w:tplc="037C23A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047EAC04"/>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203503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F9B"/>
    <w:rsid w:val="000249A7"/>
    <w:rsid w:val="00037650"/>
    <w:rsid w:val="00037790"/>
    <w:rsid w:val="00055F8D"/>
    <w:rsid w:val="00065778"/>
    <w:rsid w:val="000D3D9B"/>
    <w:rsid w:val="000D42C4"/>
    <w:rsid w:val="000E6731"/>
    <w:rsid w:val="000F5FC6"/>
    <w:rsid w:val="0016032F"/>
    <w:rsid w:val="00167087"/>
    <w:rsid w:val="00176748"/>
    <w:rsid w:val="001879F6"/>
    <w:rsid w:val="001A30AC"/>
    <w:rsid w:val="001C0148"/>
    <w:rsid w:val="001C757E"/>
    <w:rsid w:val="001D2C33"/>
    <w:rsid w:val="001E2696"/>
    <w:rsid w:val="0020390F"/>
    <w:rsid w:val="002074F9"/>
    <w:rsid w:val="002641AD"/>
    <w:rsid w:val="00264926"/>
    <w:rsid w:val="00277956"/>
    <w:rsid w:val="00285BCD"/>
    <w:rsid w:val="002B27D7"/>
    <w:rsid w:val="002D04BE"/>
    <w:rsid w:val="002D5C3D"/>
    <w:rsid w:val="002E3C38"/>
    <w:rsid w:val="002F2291"/>
    <w:rsid w:val="002F475D"/>
    <w:rsid w:val="003127BA"/>
    <w:rsid w:val="003302AD"/>
    <w:rsid w:val="003516E3"/>
    <w:rsid w:val="00374937"/>
    <w:rsid w:val="003B65DE"/>
    <w:rsid w:val="003C76E4"/>
    <w:rsid w:val="003D1582"/>
    <w:rsid w:val="003D7E4C"/>
    <w:rsid w:val="003E41C2"/>
    <w:rsid w:val="003E7B17"/>
    <w:rsid w:val="00411B57"/>
    <w:rsid w:val="004609C8"/>
    <w:rsid w:val="00485AAE"/>
    <w:rsid w:val="0049772C"/>
    <w:rsid w:val="004D4E94"/>
    <w:rsid w:val="004D6F12"/>
    <w:rsid w:val="004F7E72"/>
    <w:rsid w:val="00503EC1"/>
    <w:rsid w:val="00511952"/>
    <w:rsid w:val="0053198C"/>
    <w:rsid w:val="00536875"/>
    <w:rsid w:val="00552EEB"/>
    <w:rsid w:val="00574A21"/>
    <w:rsid w:val="005835C2"/>
    <w:rsid w:val="00594E92"/>
    <w:rsid w:val="00594ED1"/>
    <w:rsid w:val="005A4768"/>
    <w:rsid w:val="005B05A6"/>
    <w:rsid w:val="005E1691"/>
    <w:rsid w:val="005E1BB7"/>
    <w:rsid w:val="00612F11"/>
    <w:rsid w:val="00622B74"/>
    <w:rsid w:val="006271F4"/>
    <w:rsid w:val="00630460"/>
    <w:rsid w:val="006420FA"/>
    <w:rsid w:val="0066423A"/>
    <w:rsid w:val="0067340C"/>
    <w:rsid w:val="006973D4"/>
    <w:rsid w:val="006A69BF"/>
    <w:rsid w:val="006C1535"/>
    <w:rsid w:val="006C4B1B"/>
    <w:rsid w:val="006F018B"/>
    <w:rsid w:val="00711DF4"/>
    <w:rsid w:val="00777251"/>
    <w:rsid w:val="007955C4"/>
    <w:rsid w:val="007C1D9C"/>
    <w:rsid w:val="007D70A1"/>
    <w:rsid w:val="0080220E"/>
    <w:rsid w:val="008132E8"/>
    <w:rsid w:val="00823407"/>
    <w:rsid w:val="008246A8"/>
    <w:rsid w:val="00834606"/>
    <w:rsid w:val="00837FD5"/>
    <w:rsid w:val="00861C12"/>
    <w:rsid w:val="00884990"/>
    <w:rsid w:val="008A155E"/>
    <w:rsid w:val="008B0184"/>
    <w:rsid w:val="008C5D02"/>
    <w:rsid w:val="008D2649"/>
    <w:rsid w:val="008F27FD"/>
    <w:rsid w:val="008F5749"/>
    <w:rsid w:val="0090568D"/>
    <w:rsid w:val="00906204"/>
    <w:rsid w:val="009125C9"/>
    <w:rsid w:val="00912E18"/>
    <w:rsid w:val="00913879"/>
    <w:rsid w:val="00917661"/>
    <w:rsid w:val="00920A5A"/>
    <w:rsid w:val="00926081"/>
    <w:rsid w:val="009705C9"/>
    <w:rsid w:val="00970E5D"/>
    <w:rsid w:val="0097701C"/>
    <w:rsid w:val="00977A77"/>
    <w:rsid w:val="00980A65"/>
    <w:rsid w:val="00990D07"/>
    <w:rsid w:val="009B78BA"/>
    <w:rsid w:val="00A06EE9"/>
    <w:rsid w:val="00A141D5"/>
    <w:rsid w:val="00A25E70"/>
    <w:rsid w:val="00A33765"/>
    <w:rsid w:val="00A63269"/>
    <w:rsid w:val="00A66C4A"/>
    <w:rsid w:val="00A803BB"/>
    <w:rsid w:val="00A92377"/>
    <w:rsid w:val="00AB263D"/>
    <w:rsid w:val="00AB29ED"/>
    <w:rsid w:val="00AE4BD8"/>
    <w:rsid w:val="00AF3E8A"/>
    <w:rsid w:val="00B02A56"/>
    <w:rsid w:val="00B063BA"/>
    <w:rsid w:val="00B27FC5"/>
    <w:rsid w:val="00B36561"/>
    <w:rsid w:val="00B4388F"/>
    <w:rsid w:val="00B63237"/>
    <w:rsid w:val="00B82CEA"/>
    <w:rsid w:val="00B875C5"/>
    <w:rsid w:val="00B92AAF"/>
    <w:rsid w:val="00C060B8"/>
    <w:rsid w:val="00C12CE7"/>
    <w:rsid w:val="00C605A6"/>
    <w:rsid w:val="00C731DD"/>
    <w:rsid w:val="00C83FD3"/>
    <w:rsid w:val="00C95387"/>
    <w:rsid w:val="00C960DC"/>
    <w:rsid w:val="00CE19AC"/>
    <w:rsid w:val="00D02C75"/>
    <w:rsid w:val="00D03FA2"/>
    <w:rsid w:val="00D10E22"/>
    <w:rsid w:val="00D13D2C"/>
    <w:rsid w:val="00D15A7B"/>
    <w:rsid w:val="00D22563"/>
    <w:rsid w:val="00D253CE"/>
    <w:rsid w:val="00D56E34"/>
    <w:rsid w:val="00D63745"/>
    <w:rsid w:val="00DA38C7"/>
    <w:rsid w:val="00DC2F94"/>
    <w:rsid w:val="00DD3D9E"/>
    <w:rsid w:val="00DD7908"/>
    <w:rsid w:val="00DF7DA0"/>
    <w:rsid w:val="00E25258"/>
    <w:rsid w:val="00E5310F"/>
    <w:rsid w:val="00E61D13"/>
    <w:rsid w:val="00E677B0"/>
    <w:rsid w:val="00E7023C"/>
    <w:rsid w:val="00E76804"/>
    <w:rsid w:val="00E8125E"/>
    <w:rsid w:val="00E82297"/>
    <w:rsid w:val="00E84982"/>
    <w:rsid w:val="00EC1A27"/>
    <w:rsid w:val="00EE17FF"/>
    <w:rsid w:val="00EF39FD"/>
    <w:rsid w:val="00F06842"/>
    <w:rsid w:val="00F100AF"/>
    <w:rsid w:val="00F107FD"/>
    <w:rsid w:val="00F112C4"/>
    <w:rsid w:val="00F13CC4"/>
    <w:rsid w:val="00F27C30"/>
    <w:rsid w:val="00F55608"/>
    <w:rsid w:val="00F57CDA"/>
    <w:rsid w:val="00F73B20"/>
    <w:rsid w:val="00F76BB4"/>
    <w:rsid w:val="00F95801"/>
    <w:rsid w:val="00FA1C9B"/>
    <w:rsid w:val="00FB3E7F"/>
    <w:rsid w:val="00FB64A8"/>
    <w:rsid w:val="00FF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F5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dipretoro@ensiacet.fr" TargetMode="External"/><Relationship Id="rId13" Type="http://schemas.openxmlformats.org/officeDocument/2006/relationships/hyperlink" Target="https://eur-lex.europa.eu/homepage.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phyllis.n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lobalsolaratlas.info/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2493</Words>
  <Characters>14214</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Alessandro Di Pretoro</cp:lastModifiedBy>
  <cp:revision>101</cp:revision>
  <cp:lastPrinted>2023-11-30T21:50:00Z</cp:lastPrinted>
  <dcterms:created xsi:type="dcterms:W3CDTF">2023-10-02T07:50:00Z</dcterms:created>
  <dcterms:modified xsi:type="dcterms:W3CDTF">2023-12-30T21:43:00Z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