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6CFEA835" w:rsidR="00DD3D9E" w:rsidRPr="00B4388F" w:rsidRDefault="007F26E9">
      <w:pPr>
        <w:pStyle w:val="Els-Title"/>
        <w:rPr>
          <w:color w:val="000000" w:themeColor="text1"/>
        </w:rPr>
      </w:pPr>
      <w:r>
        <w:rPr>
          <w:color w:val="000000" w:themeColor="text1"/>
        </w:rPr>
        <w:t>Economic Analysis of Liquid Air Energy Storage Systems</w:t>
      </w:r>
    </w:p>
    <w:p w14:paraId="144DE680" w14:textId="4283A226" w:rsidR="00DD3D9E" w:rsidRPr="007F26E9" w:rsidRDefault="007F26E9">
      <w:pPr>
        <w:pStyle w:val="Els-Author"/>
        <w:rPr>
          <w:vertAlign w:val="superscript"/>
        </w:rPr>
      </w:pPr>
      <w:r>
        <w:t>Shaylin A. Cetegen</w:t>
      </w:r>
      <w:r>
        <w:rPr>
          <w:vertAlign w:val="superscript"/>
        </w:rPr>
        <w:t>a</w:t>
      </w:r>
      <w:r>
        <w:t>, Truls Gundersen</w:t>
      </w:r>
      <w:r>
        <w:rPr>
          <w:vertAlign w:val="superscript"/>
        </w:rPr>
        <w:t>b</w:t>
      </w:r>
      <w:r>
        <w:t>, Paul I. Barton</w:t>
      </w:r>
      <w:r>
        <w:rPr>
          <w:vertAlign w:val="superscript"/>
        </w:rPr>
        <w:t>a</w:t>
      </w:r>
    </w:p>
    <w:p w14:paraId="144DE681" w14:textId="6C62ABBD" w:rsidR="00DD3D9E" w:rsidRDefault="007F26E9">
      <w:pPr>
        <w:pStyle w:val="Els-Affiliation"/>
      </w:pPr>
      <w:r>
        <w:rPr>
          <w:vertAlign w:val="superscript"/>
        </w:rPr>
        <w:t>a</w:t>
      </w:r>
      <w:r>
        <w:t>Process Systems Engineering Laboratory, Dept. of Chemical Engineering, Massachusetts Institute of Technology, Cambridge, MA 02139, United States</w:t>
      </w:r>
    </w:p>
    <w:p w14:paraId="5FDB924A" w14:textId="0F08270F" w:rsidR="007F26E9" w:rsidRDefault="007F26E9" w:rsidP="007F26E9">
      <w:pPr>
        <w:pStyle w:val="Els-Affiliation"/>
      </w:pPr>
      <w:r>
        <w:rPr>
          <w:vertAlign w:val="superscript"/>
        </w:rPr>
        <w:t>b</w:t>
      </w:r>
      <w:r>
        <w:t xml:space="preserve">Department of Energy and Process Engineering, Norwegian </w:t>
      </w:r>
      <w:r w:rsidR="00AE0303">
        <w:t>University</w:t>
      </w:r>
      <w:r>
        <w:t xml:space="preserve"> of Science and Technology (NTNU), Kolbj</w:t>
      </w:r>
      <w:r w:rsidR="00EE7BF7">
        <w:t>ø</w:t>
      </w:r>
      <w:r>
        <w:t>rn Hejes Vei 1B, NO-7491, Trondheim, Norway</w:t>
      </w:r>
    </w:p>
    <w:p w14:paraId="144DE683" w14:textId="4EF05768" w:rsidR="008D2649" w:rsidRPr="00A94774" w:rsidRDefault="007F26E9" w:rsidP="007F26E9">
      <w:pPr>
        <w:pStyle w:val="Els-Affiliation"/>
      </w:pPr>
      <w:r>
        <w:t>pib@mit.edu</w:t>
      </w:r>
    </w:p>
    <w:p w14:paraId="56323585" w14:textId="3BCAABBD" w:rsidR="00996DDC" w:rsidRDefault="008D2649" w:rsidP="00996DDC">
      <w:pPr>
        <w:pStyle w:val="Els-Abstract"/>
      </w:pPr>
      <w:r>
        <w:t>Abstract</w:t>
      </w:r>
    </w:p>
    <w:p w14:paraId="2C93E13A" w14:textId="3B668EDB" w:rsidR="00996DDC" w:rsidRDefault="00996DDC" w:rsidP="00996DDC">
      <w:pPr>
        <w:pStyle w:val="Els-body-text"/>
        <w:rPr>
          <w:b/>
          <w:bCs/>
        </w:rPr>
      </w:pPr>
      <w:r w:rsidRPr="00996DDC">
        <w:t>Liquid air energy storage (LAES) is a clean and scalable long</w:t>
      </w:r>
      <w:r>
        <w:t>-</w:t>
      </w:r>
      <w:r w:rsidRPr="00996DDC">
        <w:t>duration energy storage technology capable of delivering multiple GWh of energy storage. The inherent locatability of LAES systems unlocks nearly universal siting opportunities for grid-scale energy storage, which were previously unavailable with traditional technologies such as pumped hydro energy storage (PHES) and compressed air energy storage (CAES). While the technical viability of LAES systems has been demonstrated [</w:t>
      </w:r>
      <w:r w:rsidR="00881234">
        <w:t>1</w:t>
      </w:r>
      <w:r w:rsidRPr="00996DDC">
        <w:t xml:space="preserve">], its economic viability has </w:t>
      </w:r>
      <w:r>
        <w:t>not yet</w:t>
      </w:r>
      <w:r w:rsidRPr="00996DDC">
        <w:t xml:space="preserve"> been established across a broad range of electricity markets</w:t>
      </w:r>
      <w:r w:rsidRPr="007F26E9">
        <w:rPr>
          <w:shd w:val="clear" w:color="auto" w:fill="FFFFFF"/>
        </w:rPr>
        <w:t>. In this work, we perform a high-level economic analysis of LAES systems</w:t>
      </w:r>
      <w:r w:rsidR="005B7605">
        <w:t xml:space="preserve"> </w:t>
      </w:r>
      <w:r w:rsidR="005B7605">
        <w:rPr>
          <w:shd w:val="clear" w:color="auto" w:fill="FFFFFF"/>
        </w:rPr>
        <w:t>across</w:t>
      </w:r>
      <w:r w:rsidRPr="007F26E9">
        <w:rPr>
          <w:shd w:val="clear" w:color="auto" w:fill="FFFFFF"/>
        </w:rPr>
        <w:t xml:space="preserve"> various U</w:t>
      </w:r>
      <w:r w:rsidR="00AD5B2C">
        <w:rPr>
          <w:shd w:val="clear" w:color="auto" w:fill="FFFFFF"/>
        </w:rPr>
        <w:t>nited States</w:t>
      </w:r>
      <w:r w:rsidRPr="007F26E9">
        <w:rPr>
          <w:shd w:val="clear" w:color="auto" w:fill="FFFFFF"/>
        </w:rPr>
        <w:t xml:space="preserve"> domestic and international markets under current levels of renewable</w:t>
      </w:r>
      <w:r w:rsidR="005B7605">
        <w:t xml:space="preserve"> </w:t>
      </w:r>
      <w:r w:rsidRPr="007F26E9">
        <w:rPr>
          <w:shd w:val="clear" w:color="auto" w:fill="FFFFFF"/>
        </w:rPr>
        <w:t>energy penetration to provide</w:t>
      </w:r>
      <w:r w:rsidR="005B7605">
        <w:rPr>
          <w:shd w:val="clear" w:color="auto" w:fill="FFFFFF"/>
        </w:rPr>
        <w:t xml:space="preserve"> </w:t>
      </w:r>
      <w:r w:rsidRPr="007F26E9">
        <w:rPr>
          <w:shd w:val="clear" w:color="auto" w:fill="FFFFFF"/>
        </w:rPr>
        <w:t>baseline estimates of LAES economic viability. By simultaneously optimizing the design and operation of LAES systems to maximize their</w:t>
      </w:r>
      <w:r w:rsidR="005B7605">
        <w:t xml:space="preserve"> </w:t>
      </w:r>
      <w:r w:rsidRPr="007F26E9">
        <w:rPr>
          <w:shd w:val="clear" w:color="auto" w:fill="FFFFFF"/>
        </w:rPr>
        <w:t>net</w:t>
      </w:r>
      <w:r w:rsidR="005B7605">
        <w:rPr>
          <w:shd w:val="clear" w:color="auto" w:fill="FFFFFF"/>
        </w:rPr>
        <w:t xml:space="preserve"> </w:t>
      </w:r>
      <w:r w:rsidRPr="007F26E9">
        <w:rPr>
          <w:shd w:val="clear" w:color="auto" w:fill="FFFFFF"/>
        </w:rPr>
        <w:t>present value over the project lifespan, we can deliver a yes/no indication of the economic viability of these systems. Our results enable comparison of the economic viability</w:t>
      </w:r>
      <w:r w:rsidR="005B7605">
        <w:t xml:space="preserve"> </w:t>
      </w:r>
      <w:r w:rsidRPr="007F26E9">
        <w:rPr>
          <w:shd w:val="clear" w:color="auto" w:fill="FFFFFF"/>
        </w:rPr>
        <w:t>of LAES systems operating in different regions and provide detailed insights into the</w:t>
      </w:r>
      <w:r>
        <w:rPr>
          <w:shd w:val="clear" w:color="auto" w:fill="FFFFFF"/>
        </w:rPr>
        <w:t>ir</w:t>
      </w:r>
      <w:r w:rsidRPr="007F26E9">
        <w:rPr>
          <w:shd w:val="clear" w:color="auto" w:fill="FFFFFF"/>
        </w:rPr>
        <w:t xml:space="preserve"> economic dynamics that can aid</w:t>
      </w:r>
      <w:r w:rsidR="005B7605">
        <w:rPr>
          <w:shd w:val="clear" w:color="auto" w:fill="FFFFFF"/>
        </w:rPr>
        <w:t xml:space="preserve"> </w:t>
      </w:r>
      <w:r w:rsidRPr="007F26E9">
        <w:rPr>
          <w:shd w:val="clear" w:color="auto" w:fill="FFFFFF"/>
        </w:rPr>
        <w:t>in the development of supportive policy</w:t>
      </w:r>
      <w:r w:rsidR="005B7605">
        <w:t xml:space="preserve"> </w:t>
      </w:r>
      <w:r w:rsidRPr="007F26E9">
        <w:rPr>
          <w:shd w:val="clear" w:color="auto" w:fill="FFFFFF"/>
        </w:rPr>
        <w:t>and economic incentives to encourage further adoption of LAE</w:t>
      </w:r>
      <w:r>
        <w:rPr>
          <w:shd w:val="clear" w:color="auto" w:fill="FFFFFF"/>
        </w:rPr>
        <w:t xml:space="preserve">S. </w:t>
      </w:r>
      <w:r w:rsidR="00FC3C74">
        <w:rPr>
          <w:shd w:val="clear" w:color="auto" w:fill="FFFFFF"/>
        </w:rPr>
        <w:t>A s</w:t>
      </w:r>
      <w:r>
        <w:rPr>
          <w:shd w:val="clear" w:color="auto" w:fill="FFFFFF"/>
        </w:rPr>
        <w:t>ensitivity analys</w:t>
      </w:r>
      <w:r w:rsidR="00FC3C74">
        <w:rPr>
          <w:shd w:val="clear" w:color="auto" w:fill="FFFFFF"/>
        </w:rPr>
        <w:t>i</w:t>
      </w:r>
      <w:r>
        <w:rPr>
          <w:shd w:val="clear" w:color="auto" w:fill="FFFFFF"/>
        </w:rPr>
        <w:t xml:space="preserve">s </w:t>
      </w:r>
      <w:r w:rsidR="00FC3C74">
        <w:rPr>
          <w:shd w:val="clear" w:color="auto" w:fill="FFFFFF"/>
        </w:rPr>
        <w:t>is</w:t>
      </w:r>
      <w:r>
        <w:rPr>
          <w:shd w:val="clear" w:color="auto" w:fill="FFFFFF"/>
        </w:rPr>
        <w:t xml:space="preserve"> also performed to provide a better understanding of the potential economic benefit of co-locating LAES systems with other processes to boost LAES</w:t>
      </w:r>
      <w:r w:rsidR="005B7605">
        <w:rPr>
          <w:shd w:val="clear" w:color="auto" w:fill="FFFFFF"/>
        </w:rPr>
        <w:t xml:space="preserve"> round-trip efficiencie</w:t>
      </w:r>
      <w:r>
        <w:rPr>
          <w:shd w:val="clear" w:color="auto" w:fill="FFFFFF"/>
        </w:rPr>
        <w:t>s by making efficient use of otherwise wasted heating/cooling resources.</w:t>
      </w:r>
      <w:r>
        <w:rPr>
          <w:b/>
          <w:bCs/>
        </w:rPr>
        <w:t xml:space="preserve"> </w:t>
      </w:r>
    </w:p>
    <w:p w14:paraId="2EBD9E14" w14:textId="77777777" w:rsidR="00996DDC" w:rsidRDefault="00996DDC" w:rsidP="00996DDC">
      <w:pPr>
        <w:pStyle w:val="Els-body-text"/>
        <w:rPr>
          <w:b/>
          <w:bCs/>
        </w:rPr>
      </w:pPr>
    </w:p>
    <w:p w14:paraId="452B060C" w14:textId="40343AB9" w:rsidR="00AB29ED" w:rsidRPr="007F26E9" w:rsidRDefault="008D2649" w:rsidP="00996DDC">
      <w:pPr>
        <w:pStyle w:val="Els-body-text"/>
        <w:rPr>
          <w:rFonts w:ascii="Arial" w:hAnsi="Arial" w:cs="Arial"/>
          <w:sz w:val="19"/>
          <w:szCs w:val="19"/>
        </w:rPr>
      </w:pPr>
      <w:r>
        <w:rPr>
          <w:b/>
          <w:bCs/>
        </w:rPr>
        <w:t>Keywords</w:t>
      </w:r>
      <w:r>
        <w:t xml:space="preserve">: </w:t>
      </w:r>
      <w:r w:rsidR="007F26E9" w:rsidRPr="007F26E9">
        <w:t>energy storage, grid-scale energy storage, liquid air energy storage, mixed-</w:t>
      </w:r>
      <w:r w:rsidR="007F26E9" w:rsidRPr="007F26E9">
        <w:br/>
        <w:t>integer linear programming, optimization</w:t>
      </w:r>
    </w:p>
    <w:p w14:paraId="0E0A2E72" w14:textId="5ADF1233" w:rsidR="00C60CB0" w:rsidRDefault="007F26E9" w:rsidP="00C60CB0">
      <w:pPr>
        <w:pStyle w:val="Els-1storder-head"/>
      </w:pPr>
      <w:r>
        <w:t>Introduction</w:t>
      </w:r>
    </w:p>
    <w:p w14:paraId="3ACA06A5" w14:textId="0E3F9869" w:rsidR="00C60CB0" w:rsidRPr="00C60CB0" w:rsidRDefault="00C60CB0" w:rsidP="00C60CB0">
      <w:pPr>
        <w:pStyle w:val="Els-body-text"/>
      </w:pPr>
      <w:r w:rsidRPr="00C60CB0">
        <w:t>Grid-scale energy storage demand is increasing due to the growing adoption of renew-</w:t>
      </w:r>
      <w:r w:rsidRPr="00C60CB0">
        <w:br/>
        <w:t>able energy sources, which are intermittent and require reliable storage solutions to en-</w:t>
      </w:r>
      <w:r w:rsidRPr="00C60CB0">
        <w:br/>
        <w:t>sure a continuous and stable power supply</w:t>
      </w:r>
      <w:r w:rsidR="005E596D">
        <w:t xml:space="preserve"> [</w:t>
      </w:r>
      <w:r w:rsidR="006124F2">
        <w:t>2</w:t>
      </w:r>
      <w:r w:rsidR="005E596D">
        <w:t>]</w:t>
      </w:r>
      <w:r w:rsidRPr="00C60CB0">
        <w:t>. PHES and CAES currently supply over 96%</w:t>
      </w:r>
      <w:r w:rsidR="005E596D">
        <w:t xml:space="preserve"> </w:t>
      </w:r>
      <w:r w:rsidRPr="00C60CB0">
        <w:t>of global grid-scale energy storage capacity; however, due to their location constrained</w:t>
      </w:r>
      <w:r w:rsidR="005E596D">
        <w:t xml:space="preserve"> </w:t>
      </w:r>
      <w:r w:rsidRPr="00C60CB0">
        <w:t xml:space="preserve">nature, both </w:t>
      </w:r>
      <w:r w:rsidR="005B7605">
        <w:t xml:space="preserve">PHES and CAES </w:t>
      </w:r>
      <w:r w:rsidRPr="00C60CB0">
        <w:t>face severely limited expansion opportunities</w:t>
      </w:r>
      <w:r w:rsidR="00881234">
        <w:t xml:space="preserve"> moving forward</w:t>
      </w:r>
      <w:r w:rsidRPr="00C60CB0">
        <w:t>. Thus, alternative grid-scale</w:t>
      </w:r>
      <w:r w:rsidR="005B7605">
        <w:t xml:space="preserve"> </w:t>
      </w:r>
      <w:r w:rsidRPr="00C60CB0">
        <w:t>energy storage solutions, such as LAES, are sought to meet growing demand.</w:t>
      </w:r>
    </w:p>
    <w:p w14:paraId="3BCA4C54" w14:textId="22760AA2" w:rsidR="00C60CB0" w:rsidRDefault="00C60CB0" w:rsidP="00C60CB0">
      <w:pPr>
        <w:pStyle w:val="Els-1storder-head"/>
      </w:pPr>
      <w:r>
        <w:t>Background</w:t>
      </w:r>
    </w:p>
    <w:p w14:paraId="6F01FDDF" w14:textId="26B745E2" w:rsidR="00FF07C2" w:rsidRDefault="00C03598" w:rsidP="00C03598">
      <w:pPr>
        <w:pStyle w:val="Els-body-text"/>
      </w:pPr>
      <w:r>
        <w:t>LAES is a thermo-mechanical grid-scale energy storage technology that serves to balance</w:t>
      </w:r>
      <w:r w:rsidR="00177A03">
        <w:t xml:space="preserve"> </w:t>
      </w:r>
      <w:r>
        <w:t xml:space="preserve">supply and demand </w:t>
      </w:r>
      <w:r w:rsidR="00177A03">
        <w:t>of the electric</w:t>
      </w:r>
      <w:r>
        <w:t xml:space="preserve"> grid while generating revenue via arbitrage</w:t>
      </w:r>
      <w:r w:rsidR="00177A03">
        <w:t>. LAES</w:t>
      </w:r>
      <w:r w:rsidR="00881234">
        <w:t xml:space="preserve"> </w:t>
      </w:r>
      <w:r w:rsidR="00177A03">
        <w:lastRenderedPageBreak/>
        <w:t xml:space="preserve">systems charge when the energy supplied to the grid exceeds demand </w:t>
      </w:r>
      <w:r w:rsidR="005B7605">
        <w:t xml:space="preserve">(i.e., when electricity prices are low) </w:t>
      </w:r>
      <w:r w:rsidR="00177A03">
        <w:t>and discharge when demand exceeds supply</w:t>
      </w:r>
      <w:r w:rsidR="005B7605">
        <w:t xml:space="preserve"> (i.e., when electricity prices are high)</w:t>
      </w:r>
      <w:r w:rsidR="00177A03">
        <w:t xml:space="preserve">. LAES systems </w:t>
      </w:r>
      <w:r w:rsidR="005B7605">
        <w:t xml:space="preserve">operate by </w:t>
      </w:r>
      <w:r>
        <w:t>intak</w:t>
      </w:r>
      <w:r w:rsidR="005B7605">
        <w:t>ing</w:t>
      </w:r>
      <w:r>
        <w:t xml:space="preserve"> ambient air</w:t>
      </w:r>
      <w:r w:rsidR="00FF07C2">
        <w:t xml:space="preserve"> from the atmosphere,</w:t>
      </w:r>
      <w:r>
        <w:t xml:space="preserve"> </w:t>
      </w:r>
      <w:r w:rsidR="006B727D">
        <w:t>clean</w:t>
      </w:r>
      <w:r w:rsidR="005B7605">
        <w:t>ing</w:t>
      </w:r>
      <w:r w:rsidR="006B727D">
        <w:t xml:space="preserve"> an</w:t>
      </w:r>
      <w:r w:rsidR="00603555">
        <w:t>d dry</w:t>
      </w:r>
      <w:r w:rsidR="005B7605">
        <w:t>ing</w:t>
      </w:r>
      <w:r w:rsidR="00603555">
        <w:t xml:space="preserve"> it, </w:t>
      </w:r>
      <w:r>
        <w:t>compress</w:t>
      </w:r>
      <w:r w:rsidR="005B7605">
        <w:t>ing</w:t>
      </w:r>
      <w:r>
        <w:t xml:space="preserve"> it to high pressure through a multi-stage compression train, </w:t>
      </w:r>
      <w:r w:rsidR="00FF07C2">
        <w:t xml:space="preserve">and </w:t>
      </w:r>
      <w:r>
        <w:t>cool</w:t>
      </w:r>
      <w:r w:rsidR="005B7605">
        <w:t>ing</w:t>
      </w:r>
      <w:r>
        <w:t xml:space="preserve"> it to a liquid state using one or more multi-stream heat exchangers. The liquid air is then stored in insulated tanks at atmospheric pressure and very low temperature (~ 90 K), typically for </w:t>
      </w:r>
      <w:r w:rsidR="00151B02">
        <w:t>durations</w:t>
      </w:r>
      <w:r>
        <w:t xml:space="preserve"> of several hours to days</w:t>
      </w:r>
      <w:r w:rsidR="00177A03">
        <w:t xml:space="preserve"> with </w:t>
      </w:r>
      <w:r w:rsidR="00FF07C2">
        <w:t>negligible</w:t>
      </w:r>
      <w:r w:rsidR="00177A03">
        <w:t xml:space="preserve"> losses</w:t>
      </w:r>
      <w:r w:rsidR="00FF07C2">
        <w:t xml:space="preserve"> over these periods</w:t>
      </w:r>
      <w:r w:rsidR="00177A03">
        <w:t xml:space="preserve">. </w:t>
      </w:r>
      <w:r w:rsidR="00C40E88">
        <w:t>Later</w:t>
      </w:r>
      <w:r w:rsidR="00881234">
        <w:t>, w</w:t>
      </w:r>
      <w:r w:rsidR="00177A03">
        <w:t xml:space="preserve">hen energy demand exceeds supply, the liquid air is pumped </w:t>
      </w:r>
      <w:r w:rsidR="00FF07C2">
        <w:t>out of storage</w:t>
      </w:r>
      <w:r w:rsidR="00177A03">
        <w:t>,</w:t>
      </w:r>
      <w:r w:rsidR="00FF07C2">
        <w:t xml:space="preserve"> </w:t>
      </w:r>
      <w:r w:rsidR="00CC1185">
        <w:t>evaporated/</w:t>
      </w:r>
      <w:r w:rsidR="00177A03">
        <w:t xml:space="preserve">heated, and </w:t>
      </w:r>
      <w:r w:rsidR="001029F4">
        <w:t>passed</w:t>
      </w:r>
      <w:r w:rsidR="00177A03">
        <w:t xml:space="preserve"> through a multi-stage expansion train</w:t>
      </w:r>
      <w:r w:rsidR="00831DFF">
        <w:t xml:space="preserve"> with reheating</w:t>
      </w:r>
      <w:r w:rsidR="005B7605">
        <w:t>, which drives a generator</w:t>
      </w:r>
      <w:r w:rsidR="00177A03">
        <w:t xml:space="preserve"> to recover power. </w:t>
      </w:r>
      <w:r w:rsidR="00FF07C2">
        <w:t xml:space="preserve">The round-trip efficiency (RTE) of standalone LAES systems currently stands </w:t>
      </w:r>
      <w:r w:rsidR="00A97044">
        <w:t xml:space="preserve">at </w:t>
      </w:r>
      <w:r w:rsidR="00FF07C2">
        <w:t xml:space="preserve">around 60 %. Hot and cold thermal </w:t>
      </w:r>
      <w:r w:rsidR="00151B02">
        <w:t>stor</w:t>
      </w:r>
      <w:r w:rsidR="00765D38">
        <w:t>ag</w:t>
      </w:r>
      <w:r w:rsidR="00831DFF">
        <w:t>es</w:t>
      </w:r>
      <w:r w:rsidR="00151B02">
        <w:t xml:space="preserve">, which recycle </w:t>
      </w:r>
      <w:r w:rsidR="00FF07C2">
        <w:t xml:space="preserve">compression heat </w:t>
      </w:r>
      <w:r w:rsidR="00DC66E7">
        <w:t xml:space="preserve">released </w:t>
      </w:r>
      <w:r w:rsidR="00FF07C2">
        <w:t xml:space="preserve">during charging and </w:t>
      </w:r>
      <w:r w:rsidR="00DC66E7">
        <w:t xml:space="preserve">high-grade </w:t>
      </w:r>
      <w:r w:rsidR="00FF07C2">
        <w:t>cold</w:t>
      </w:r>
      <w:r w:rsidR="00DC66E7">
        <w:t xml:space="preserve"> generated </w:t>
      </w:r>
      <w:r w:rsidR="00881234">
        <w:t>from</w:t>
      </w:r>
      <w:r w:rsidR="00DC66E7">
        <w:t xml:space="preserve"> </w:t>
      </w:r>
      <w:r w:rsidR="00831DFF">
        <w:t>exchange with cold air</w:t>
      </w:r>
      <w:r w:rsidR="00881234">
        <w:t xml:space="preserve"> during </w:t>
      </w:r>
      <w:r w:rsidR="00DC66E7">
        <w:t>discharging</w:t>
      </w:r>
      <w:r w:rsidR="00151B02">
        <w:t>,</w:t>
      </w:r>
      <w:r w:rsidR="00DC66E7">
        <w:t xml:space="preserve"> are critical to achieving LAES efficiencies over 50 %</w:t>
      </w:r>
      <w:r w:rsidR="00A97044">
        <w:t xml:space="preserve"> and </w:t>
      </w:r>
      <w:r w:rsidR="00151B02">
        <w:t>thus, are an essential feature of all</w:t>
      </w:r>
      <w:r w:rsidR="00A97044">
        <w:t xml:space="preserve"> practical LAES system designs.</w:t>
      </w:r>
      <w:r w:rsidR="00DC66E7">
        <w:t xml:space="preserve"> </w:t>
      </w:r>
      <w:r w:rsidR="00CC1185">
        <w:t>A high-level flowsheet of the LAES process is shown in Figure 1.</w:t>
      </w:r>
    </w:p>
    <w:p w14:paraId="3FD98E6C" w14:textId="7F7BF908" w:rsidR="00FF07C2" w:rsidRDefault="00FF07C2" w:rsidP="00C03598">
      <w:pPr>
        <w:pStyle w:val="Els-body-text"/>
      </w:pPr>
    </w:p>
    <w:p w14:paraId="6D2E40B0" w14:textId="62368E2F" w:rsidR="00CC1185" w:rsidRDefault="00DC66E7" w:rsidP="00C03598">
      <w:pPr>
        <w:pStyle w:val="Els-body-text"/>
      </w:pPr>
      <w:r>
        <w:t xml:space="preserve">Several key features of LAES make it an attractive grid-scale </w:t>
      </w:r>
      <w:r w:rsidR="008014A0">
        <w:t xml:space="preserve">energy </w:t>
      </w:r>
      <w:r>
        <w:t>storage solution. First, u</w:t>
      </w:r>
      <w:r w:rsidR="00177A03">
        <w:t>nlike other energy storage technologies, such as Li-ion batteries and CAES, no rare-earth minerals or carbon emissions are</w:t>
      </w:r>
      <w:r w:rsidR="00FF07C2">
        <w:t xml:space="preserve"> required by or</w:t>
      </w:r>
      <w:r w:rsidR="00177A03">
        <w:t xml:space="preserve"> produced through the operation of LAES</w:t>
      </w:r>
      <w:r w:rsidR="00FF07C2">
        <w:t xml:space="preserve"> systems</w:t>
      </w:r>
      <w:r w:rsidR="00177A03">
        <w:t xml:space="preserve">. </w:t>
      </w:r>
      <w:r>
        <w:t>Second</w:t>
      </w:r>
      <w:r w:rsidR="00FF07C2">
        <w:t>,</w:t>
      </w:r>
      <w:r w:rsidR="00177A03">
        <w:t xml:space="preserve"> </w:t>
      </w:r>
      <w:r w:rsidR="00FF07C2">
        <w:t>the</w:t>
      </w:r>
      <w:r w:rsidR="00177A03">
        <w:t xml:space="preserve"> unique locatability </w:t>
      </w:r>
      <w:r w:rsidR="00FF07C2">
        <w:t xml:space="preserve">of LAES </w:t>
      </w:r>
      <w:r w:rsidR="00177A03">
        <w:t>unlocks</w:t>
      </w:r>
      <w:r w:rsidR="00FF07C2">
        <w:t>, for the first time,</w:t>
      </w:r>
      <w:r w:rsidR="00177A03">
        <w:t xml:space="preserve"> nearly universal siting opportunities for </w:t>
      </w:r>
      <w:r w:rsidR="00FF07C2">
        <w:t>grid-scale energy storage</w:t>
      </w:r>
      <w:r w:rsidR="00177A03">
        <w:t xml:space="preserve">. </w:t>
      </w:r>
      <w:r>
        <w:t xml:space="preserve">Third, there exist </w:t>
      </w:r>
      <w:r w:rsidR="00F04718">
        <w:t xml:space="preserve">significant </w:t>
      </w:r>
      <w:r>
        <w:t>opportunities to co-locate LAES systems with other processes</w:t>
      </w:r>
      <w:r w:rsidR="00151B02">
        <w:t xml:space="preserve"> (e.g., </w:t>
      </w:r>
      <w:r w:rsidR="00831DFF">
        <w:t xml:space="preserve">waste industrial heat and </w:t>
      </w:r>
      <w:r w:rsidR="007E089C">
        <w:t>LNG</w:t>
      </w:r>
      <w:r w:rsidR="00151B02">
        <w:t xml:space="preserve"> regasification)</w:t>
      </w:r>
      <w:r>
        <w:t xml:space="preserve"> to make efficient use of otherwise wasted h</w:t>
      </w:r>
      <w:r w:rsidR="005B7605">
        <w:t>eating/cooling resources</w:t>
      </w:r>
      <w:r>
        <w:t xml:space="preserve">, which </w:t>
      </w:r>
      <w:r w:rsidR="00F04718">
        <w:t>can</w:t>
      </w:r>
      <w:r w:rsidR="00151B02">
        <w:t xml:space="preserve"> significantly</w:t>
      </w:r>
      <w:r w:rsidR="00F04718">
        <w:t xml:space="preserve"> boost</w:t>
      </w:r>
      <w:r>
        <w:t xml:space="preserve"> LAES RTEs</w:t>
      </w:r>
      <w:r w:rsidR="00F04718">
        <w:t xml:space="preserve">. </w:t>
      </w:r>
      <w:r w:rsidR="00177A03">
        <w:t>While the technical viability of LAES has been established in the literature, with reported RTEs of up to 6</w:t>
      </w:r>
      <w:r w:rsidR="00395F0B">
        <w:t>8.2</w:t>
      </w:r>
      <w:r w:rsidR="00177A03">
        <w:t xml:space="preserve"> %, the economic viability of LAES systems </w:t>
      </w:r>
      <w:r w:rsidR="00FF07C2">
        <w:t xml:space="preserve">has yet to be </w:t>
      </w:r>
      <w:r w:rsidR="00A97044">
        <w:t xml:space="preserve">rigorously </w:t>
      </w:r>
      <w:r w:rsidR="00FF07C2">
        <w:t>established across the broad range of markets in which it could theoretically be implemented</w:t>
      </w:r>
      <w:r w:rsidR="00881234">
        <w:t xml:space="preserve"> [</w:t>
      </w:r>
      <w:r w:rsidR="009952CF">
        <w:t>1,</w:t>
      </w:r>
      <w:r w:rsidR="00542B4B">
        <w:t xml:space="preserve"> </w:t>
      </w:r>
      <w:r w:rsidR="009952CF">
        <w:t>3</w:t>
      </w:r>
      <w:r w:rsidR="00881234">
        <w:t>]</w:t>
      </w:r>
      <w:r w:rsidR="00FF07C2">
        <w:t xml:space="preserve">. To </w:t>
      </w:r>
      <w:r w:rsidR="00F04718">
        <w:t>this end</w:t>
      </w:r>
      <w:r w:rsidR="00FF07C2">
        <w:t>, we</w:t>
      </w:r>
      <w:r w:rsidR="00F04718">
        <w:t xml:space="preserve"> </w:t>
      </w:r>
      <w:r w:rsidR="00FF07C2">
        <w:t xml:space="preserve">perform an economic assessment of LAES systems </w:t>
      </w:r>
      <w:r>
        <w:t xml:space="preserve">in several </w:t>
      </w:r>
      <w:r w:rsidR="00AD5B2C">
        <w:t>United States (</w:t>
      </w:r>
      <w:r>
        <w:t>US</w:t>
      </w:r>
      <w:r w:rsidR="00AD5B2C">
        <w:t>)</w:t>
      </w:r>
      <w:r w:rsidR="00151B02">
        <w:t xml:space="preserve"> domestic</w:t>
      </w:r>
      <w:r>
        <w:t xml:space="preserve"> and </w:t>
      </w:r>
      <w:r w:rsidR="00151B02">
        <w:t>international</w:t>
      </w:r>
      <w:r>
        <w:t xml:space="preserve"> markets</w:t>
      </w:r>
      <w:r w:rsidR="00F04718">
        <w:t xml:space="preserve">. </w:t>
      </w:r>
      <w:r w:rsidR="00A97044">
        <w:t>T</w:t>
      </w:r>
      <w:r w:rsidR="005B7605">
        <w:t xml:space="preserve">he sensitivity </w:t>
      </w:r>
      <w:r w:rsidR="00F04718">
        <w:t xml:space="preserve">of </w:t>
      </w:r>
      <w:r w:rsidR="005B7605">
        <w:t xml:space="preserve">LAES </w:t>
      </w:r>
      <w:r w:rsidR="00F04718">
        <w:t>economic performance to</w:t>
      </w:r>
      <w:r w:rsidR="005B7605">
        <w:t xml:space="preserve"> improvements in</w:t>
      </w:r>
      <w:r w:rsidR="00F04718">
        <w:t xml:space="preserve"> RTE</w:t>
      </w:r>
      <w:r w:rsidR="00151B02">
        <w:t xml:space="preserve"> resulting from co-location with </w:t>
      </w:r>
      <w:r w:rsidR="007E089C">
        <w:t>liquefied natural gas (</w:t>
      </w:r>
      <w:r w:rsidR="00151B02">
        <w:t>LNG</w:t>
      </w:r>
      <w:r w:rsidR="007E089C">
        <w:t>)</w:t>
      </w:r>
      <w:r w:rsidR="00151B02">
        <w:t xml:space="preserve"> regasification</w:t>
      </w:r>
      <w:r w:rsidR="005B7605">
        <w:t xml:space="preserve"> </w:t>
      </w:r>
      <w:r w:rsidR="00A97044">
        <w:t xml:space="preserve">is also explored </w:t>
      </w:r>
      <w:r w:rsidR="00F04718">
        <w:t xml:space="preserve">to </w:t>
      </w:r>
      <w:r w:rsidR="00A97044">
        <w:t xml:space="preserve">elucidate </w:t>
      </w:r>
      <w:r w:rsidR="00F04718">
        <w:t xml:space="preserve">the potential value of </w:t>
      </w:r>
      <w:r w:rsidR="00151B02">
        <w:t>LAES-LNG co-location</w:t>
      </w:r>
      <w:r w:rsidR="00F04718">
        <w:t>.</w:t>
      </w:r>
    </w:p>
    <w:p w14:paraId="1AD30830" w14:textId="77777777" w:rsidR="00F07F43" w:rsidRPr="00F07F43" w:rsidRDefault="00F07F43" w:rsidP="00C03598">
      <w:pPr>
        <w:pStyle w:val="Els-body-text"/>
      </w:pPr>
    </w:p>
    <w:p w14:paraId="1C18F448" w14:textId="01AA90C9" w:rsidR="00937CFB" w:rsidRPr="00CC1185" w:rsidRDefault="00CC1185" w:rsidP="00C03598">
      <w:pPr>
        <w:pStyle w:val="Els-body-text"/>
      </w:pPr>
      <w:r>
        <w:rPr>
          <w:noProof/>
        </w:rPr>
        <w:drawing>
          <wp:inline distT="0" distB="0" distL="0" distR="0" wp14:anchorId="244323A3" wp14:editId="19BEAAC5">
            <wp:extent cx="4495800" cy="2419350"/>
            <wp:effectExtent l="0" t="0" r="0" b="0"/>
            <wp:docPr id="664614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59"/>
                    <a:stretch/>
                  </pic:blipFill>
                  <pic:spPr bwMode="auto">
                    <a:xfrm>
                      <a:off x="0" y="0"/>
                      <a:ext cx="4495800" cy="2419350"/>
                    </a:xfrm>
                    <a:prstGeom prst="rect">
                      <a:avLst/>
                    </a:prstGeom>
                    <a:noFill/>
                    <a:ln>
                      <a:noFill/>
                    </a:ln>
                    <a:extLst>
                      <a:ext uri="{53640926-AAD7-44D8-BBD7-CCE9431645EC}">
                        <a14:shadowObscured xmlns:a14="http://schemas.microsoft.com/office/drawing/2010/main"/>
                      </a:ext>
                    </a:extLst>
                  </pic:spPr>
                </pic:pic>
              </a:graphicData>
            </a:graphic>
          </wp:inline>
        </w:drawing>
      </w:r>
    </w:p>
    <w:p w14:paraId="22C4C727" w14:textId="3C68B417" w:rsidR="001029F4" w:rsidRPr="00C03598" w:rsidRDefault="008014A0" w:rsidP="00C03598">
      <w:pPr>
        <w:pStyle w:val="Els-body-text"/>
      </w:pPr>
      <w:r>
        <w:t>Figure 1: A standalone liquid air energy storage system with hot and cold thermal recycle.</w:t>
      </w:r>
    </w:p>
    <w:p w14:paraId="42B17667" w14:textId="1D4334EE" w:rsidR="00C03598" w:rsidRDefault="00C60CB0" w:rsidP="00C03598">
      <w:pPr>
        <w:pStyle w:val="Els-1storder-head"/>
        <w:rPr>
          <w:szCs w:val="22"/>
        </w:rPr>
      </w:pPr>
      <w:r w:rsidRPr="00C60CB0">
        <w:rPr>
          <w:szCs w:val="22"/>
        </w:rPr>
        <w:lastRenderedPageBreak/>
        <w:t>Methods</w:t>
      </w:r>
    </w:p>
    <w:p w14:paraId="1A7B75B7" w14:textId="57C0077F" w:rsidR="00C03598" w:rsidRDefault="00C03598" w:rsidP="00C03598">
      <w:pPr>
        <w:pStyle w:val="Els-body-text"/>
      </w:pPr>
      <w:r>
        <w:t>To perform long-term economic optimization of LAES systems in several</w:t>
      </w:r>
      <w:r w:rsidR="00AD5B2C">
        <w:t xml:space="preserve"> </w:t>
      </w:r>
      <w:r>
        <w:t xml:space="preserve">US </w:t>
      </w:r>
      <w:r w:rsidR="00AD5B2C">
        <w:t xml:space="preserve">domestic </w:t>
      </w:r>
      <w:r>
        <w:t xml:space="preserve">and </w:t>
      </w:r>
      <w:r w:rsidR="00151B02">
        <w:t>international</w:t>
      </w:r>
      <w:r>
        <w:t xml:space="preserve"> electricity markets, a mixed-integer linear program (MILP) was formulated to maximize the net present value (NPV) of a</w:t>
      </w:r>
      <w:r w:rsidR="00831DFF">
        <w:t>n</w:t>
      </w:r>
      <w:r>
        <w:t xml:space="preserve"> LAES system over its expected lifespan. Hourly locational marginal price (LMP) profiles were derived from historical data</w:t>
      </w:r>
      <w:r w:rsidR="006124F2">
        <w:t xml:space="preserve"> obtained from the official source</w:t>
      </w:r>
      <w:r>
        <w:t xml:space="preserve"> for each considered load zone of all US independent system operators (ISO</w:t>
      </w:r>
      <w:r w:rsidR="00803685">
        <w:t>s</w:t>
      </w:r>
      <w:r>
        <w:t>) or European</w:t>
      </w:r>
      <w:r w:rsidR="00151B02">
        <w:t>/Asian</w:t>
      </w:r>
      <w:r>
        <w:t xml:space="preserve"> transmission system operator</w:t>
      </w:r>
      <w:r w:rsidR="00803685">
        <w:t>s</w:t>
      </w:r>
      <w:r>
        <w:t xml:space="preserve"> (TSO</w:t>
      </w:r>
      <w:r w:rsidR="00803685">
        <w:t>s</w:t>
      </w:r>
      <w:r>
        <w:t>) and supplied to the optimizer to calculate revenue generation from arbitrage</w:t>
      </w:r>
      <w:r w:rsidR="00803685">
        <w:t xml:space="preserve"> -</w:t>
      </w:r>
      <w:r>
        <w:t xml:space="preserve"> the strategic buying and selling of electricity over time </w:t>
      </w:r>
      <w:r w:rsidR="00151B02">
        <w:t>for</w:t>
      </w:r>
      <w:r>
        <w:t xml:space="preserve"> profit. The generated</w:t>
      </w:r>
      <w:r w:rsidR="00803685">
        <w:t xml:space="preserve"> electricity price</w:t>
      </w:r>
      <w:r>
        <w:t xml:space="preserve"> profiles, which contain hourly LMPs for a representative day of each month of the year, are repeated annually over the project horizon. This is likely to yield a conservative estimate of the economic viability of LAES systems because it does not </w:t>
      </w:r>
      <w:r w:rsidR="00072120">
        <w:t>consider</w:t>
      </w:r>
      <w:r>
        <w:t xml:space="preserve"> an increasing supply of renewables over time, which is expected to result in increased opportunities for arbitrage profitabilit</w:t>
      </w:r>
      <w:r w:rsidR="00803685">
        <w:t>y</w:t>
      </w:r>
      <w:r>
        <w:t>.</w:t>
      </w:r>
    </w:p>
    <w:p w14:paraId="0D5FB03F" w14:textId="77777777" w:rsidR="00C03598" w:rsidRDefault="00C03598" w:rsidP="00C03598">
      <w:pPr>
        <w:pStyle w:val="Els-body-text"/>
      </w:pPr>
    </w:p>
    <w:p w14:paraId="740D6234" w14:textId="072A0CE8" w:rsidR="00B6550B" w:rsidRDefault="00C03598" w:rsidP="00B6550B">
      <w:pPr>
        <w:pStyle w:val="Els-body-text"/>
      </w:pPr>
      <w:r>
        <w:t xml:space="preserve">In the optimization formulation, the design and operation of LAES systems are simultaneously optimized to maximize the NPV of the LAES system. The decision variables for this problem were the power rating of the system and the operating schedule of the system over its expected lifespan. </w:t>
      </w:r>
      <w:r w:rsidR="008A3F6F">
        <w:t>A</w:t>
      </w:r>
      <w:r>
        <w:t xml:space="preserve"> </w:t>
      </w:r>
      <w:r w:rsidR="008A3F6F">
        <w:t>RTE</w:t>
      </w:r>
      <w:r>
        <w:t xml:space="preserve"> of 60</w:t>
      </w:r>
      <w:r w:rsidR="00803685">
        <w:t xml:space="preserve"> </w:t>
      </w:r>
      <w:r>
        <w:t xml:space="preserve">% was assumed for all systems considered herein, unless otherwise noted, as this efficiency is </w:t>
      </w:r>
      <w:r w:rsidR="00803685">
        <w:t>presently</w:t>
      </w:r>
      <w:r>
        <w:t xml:space="preserve"> achievable for LAES. A storage capacity of 8 hours (i.e., 800 MWh of storage for a 100 MW system) was used for all systems in this study; however, this can be changed easily by manipulating a parameter in the optimization model. Th</w:t>
      </w:r>
      <w:r w:rsidR="00803685">
        <w:t>e</w:t>
      </w:r>
      <w:r>
        <w:t xml:space="preserve"> capital expense</w:t>
      </w:r>
      <w:r w:rsidR="00B6550B">
        <w:t xml:space="preserve"> (CAPEX) model used for all systems is given by</w:t>
      </w:r>
      <w:r>
        <w:t xml:space="preserve"> </w:t>
      </w:r>
      <w:r w:rsidR="00B6550B">
        <w:t>Eq.</w:t>
      </w:r>
      <w:r w:rsidR="00803685">
        <w:t xml:space="preserve"> (1)</w:t>
      </w:r>
      <w:r>
        <w:t xml:space="preserve">, </w:t>
      </w:r>
      <w:r w:rsidR="00B6550B">
        <w:t xml:space="preserve">where </w:t>
      </w: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001029F4">
        <w:t xml:space="preserve"> </w:t>
      </w:r>
      <w:r w:rsidR="00B6550B">
        <w:t xml:space="preserve">is the </w:t>
      </w:r>
      <m:oMath>
        <m:sSup>
          <m:sSupPr>
            <m:ctrlPr>
              <w:rPr>
                <w:rFonts w:ascii="Cambria Math" w:hAnsi="Cambria Math"/>
                <w:i/>
              </w:rPr>
            </m:ctrlPr>
          </m:sSupPr>
          <m:e>
            <m:r>
              <w:rPr>
                <w:rFonts w:ascii="Cambria Math" w:hAnsi="Cambria Math"/>
              </w:rPr>
              <m:t>l</m:t>
            </m:r>
          </m:e>
          <m:sup>
            <m:r>
              <m:rPr>
                <m:sty m:val="p"/>
              </m:rPr>
              <w:rPr>
                <w:rFonts w:ascii="Cambria Math" w:hAnsi="Cambria Math"/>
              </w:rPr>
              <m:t>th</m:t>
            </m:r>
          </m:sup>
        </m:sSup>
      </m:oMath>
      <w:r w:rsidR="00B6550B">
        <w:t xml:space="preserve"> element of a user-defined vector of feasible system power ratings and </w:t>
      </w:r>
      <m:oMath>
        <m:sSub>
          <m:sSubPr>
            <m:ctrlPr>
              <w:rPr>
                <w:rFonts w:ascii="Cambria Math" w:hAnsi="Cambria Math"/>
                <w:i/>
              </w:rPr>
            </m:ctrlPr>
          </m:sSubPr>
          <m:e>
            <m:r>
              <w:rPr>
                <w:rFonts w:ascii="Cambria Math" w:hAnsi="Cambria Math"/>
              </w:rPr>
              <m:t>y</m:t>
            </m:r>
          </m:e>
          <m:sub>
            <m:r>
              <w:rPr>
                <w:rFonts w:ascii="Cambria Math" w:hAnsi="Cambria Math"/>
              </w:rPr>
              <m:t>l</m:t>
            </m:r>
          </m:sub>
        </m:sSub>
      </m:oMath>
      <w:r w:rsidR="00B6550B">
        <w:t xml:space="preserve"> is a binary variable used for capacity selection. </w:t>
      </w:r>
    </w:p>
    <w:p w14:paraId="662C31DC" w14:textId="77777777" w:rsidR="00B6550B" w:rsidRPr="005A2DE7" w:rsidRDefault="00B6550B" w:rsidP="00B6550B">
      <w:pPr>
        <w:pStyle w:val="Els-body-text"/>
        <w:rPr>
          <w:sz w:val="12"/>
          <w:szCs w:val="12"/>
        </w:rPr>
      </w:pPr>
    </w:p>
    <w:p w14:paraId="204B86CA" w14:textId="0B1CB3BF" w:rsidR="00803685" w:rsidRPr="00B6550B" w:rsidRDefault="00803685" w:rsidP="00B6550B">
      <w:pPr>
        <w:pStyle w:val="Els-body-text"/>
      </w:pPr>
      <m:oMath>
        <m:r>
          <w:rPr>
            <w:rFonts w:ascii="Cambria Math" w:hAnsi="Cambria Math"/>
          </w:rPr>
          <m:t>CAPEX</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l</m:t>
                </m:r>
              </m:sub>
            </m:sSub>
          </m:e>
        </m:d>
        <m:r>
          <w:rPr>
            <w:rFonts w:ascii="Cambria Math" w:hAnsi="Cambria Math"/>
          </w:rPr>
          <m:t>=5.2307</m:t>
        </m:r>
        <m:sSup>
          <m:sSupPr>
            <m:ctrlPr>
              <w:rPr>
                <w:rFonts w:ascii="Cambria Math" w:hAnsi="Cambria Math"/>
                <w:i/>
              </w:rPr>
            </m:ctrlPr>
          </m:sSupP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l=1</m:t>
                    </m:r>
                  </m:sub>
                  <m:sup>
                    <m:sSub>
                      <m:sSubPr>
                        <m:ctrlPr>
                          <w:rPr>
                            <w:rFonts w:ascii="Cambria Math" w:hAnsi="Cambria Math"/>
                            <w:i/>
                          </w:rPr>
                        </m:ctrlPr>
                      </m:sSubPr>
                      <m:e>
                        <m:r>
                          <w:rPr>
                            <w:rFonts w:ascii="Cambria Math" w:hAnsi="Cambria Math"/>
                          </w:rPr>
                          <m:t>n</m:t>
                        </m:r>
                      </m:e>
                      <m:sub>
                        <m:r>
                          <w:rPr>
                            <w:rFonts w:ascii="Cambria Math" w:hAnsi="Cambria Math"/>
                          </w:rPr>
                          <m:t>l</m:t>
                        </m:r>
                      </m:sub>
                    </m:sSub>
                  </m:sup>
                  <m:e>
                    <m:sSub>
                      <m:sSubPr>
                        <m:ctrlPr>
                          <w:rPr>
                            <w:rFonts w:ascii="Cambria Math" w:hAnsi="Cambria Math"/>
                            <w:i/>
                          </w:rPr>
                        </m:ctrlPr>
                      </m:sSubPr>
                      <m:e>
                        <m:r>
                          <w:rPr>
                            <w:rFonts w:ascii="Cambria Math" w:hAnsi="Cambria Math"/>
                          </w:rPr>
                          <m:t>v</m:t>
                        </m:r>
                      </m:e>
                      <m:sub>
                        <m:r>
                          <w:rPr>
                            <w:rFonts w:ascii="Cambria Math" w:hAnsi="Cambria Math"/>
                          </w:rPr>
                          <m:t>l</m:t>
                        </m:r>
                      </m:sub>
                    </m:sSub>
                    <m:sSub>
                      <m:sSubPr>
                        <m:ctrlPr>
                          <w:rPr>
                            <w:rFonts w:ascii="Cambria Math" w:hAnsi="Cambria Math"/>
                            <w:i/>
                          </w:rPr>
                        </m:ctrlPr>
                      </m:sSubPr>
                      <m:e>
                        <m:r>
                          <w:rPr>
                            <w:rFonts w:ascii="Cambria Math" w:hAnsi="Cambria Math"/>
                          </w:rPr>
                          <m:t>y</m:t>
                        </m:r>
                      </m:e>
                      <m:sub>
                        <m:r>
                          <w:rPr>
                            <w:rFonts w:ascii="Cambria Math" w:hAnsi="Cambria Math"/>
                          </w:rPr>
                          <m:t>l</m:t>
                        </m:r>
                      </m:sub>
                    </m:sSub>
                  </m:e>
                </m:nary>
              </m:e>
            </m:d>
          </m:e>
          <m:sup>
            <m:r>
              <w:rPr>
                <w:rFonts w:ascii="Cambria Math" w:hAnsi="Cambria Math"/>
              </w:rPr>
              <m:t>0.76532</m:t>
            </m:r>
          </m:sup>
        </m:sSup>
      </m:oMath>
      <w:r w:rsidR="00B6550B">
        <w:tab/>
      </w:r>
      <w:r w:rsidR="00B6550B">
        <w:tab/>
      </w:r>
      <w:r w:rsidR="00B6550B">
        <w:tab/>
      </w:r>
      <w:r w:rsidR="00B6550B">
        <w:tab/>
      </w:r>
      <w:r w:rsidR="00B6550B">
        <w:tab/>
        <w:t xml:space="preserve">       (1)</w:t>
      </w:r>
    </w:p>
    <w:p w14:paraId="47A9F40C" w14:textId="77777777" w:rsidR="00B6550B" w:rsidRPr="005A2DE7" w:rsidRDefault="00B6550B" w:rsidP="00C03598">
      <w:pPr>
        <w:pStyle w:val="Els-body-text"/>
        <w:rPr>
          <w:sz w:val="12"/>
          <w:szCs w:val="12"/>
        </w:rPr>
      </w:pPr>
    </w:p>
    <w:p w14:paraId="7CFC7D65" w14:textId="00A42550" w:rsidR="005A2DE7" w:rsidRDefault="00B6550B" w:rsidP="00F04718">
      <w:pPr>
        <w:pStyle w:val="Els-body-text"/>
      </w:pPr>
      <w:r>
        <w:t>This model, which delivers reasonable CAPEX values of 30 - 178 million US</w:t>
      </w:r>
      <w:r w:rsidR="009C04FA">
        <w:t xml:space="preserve"> dollars</w:t>
      </w:r>
      <w:r>
        <w:t xml:space="preserve"> </w:t>
      </w:r>
      <w:r w:rsidR="00A35F3E">
        <w:t xml:space="preserve">(USD) </w:t>
      </w:r>
      <w:r>
        <w:t>for 10 - 100 MW LAES systems, respectively, was derived from CAPEX estimates available in the literature and was linearized for use in the MILP</w:t>
      </w:r>
      <w:r w:rsidR="00881234">
        <w:t xml:space="preserve"> [</w:t>
      </w:r>
      <w:r w:rsidR="00F53BBC">
        <w:t>1</w:t>
      </w:r>
      <w:r w:rsidR="00881234">
        <w:t>]</w:t>
      </w:r>
      <w:r>
        <w:t xml:space="preserve">. </w:t>
      </w:r>
      <w:r w:rsidR="00C03598">
        <w:t xml:space="preserve">Annual operating expenses (OPEX) were </w:t>
      </w:r>
      <w:r w:rsidR="00F53BBC">
        <w:t>set, based on literature estimates,</w:t>
      </w:r>
      <w:r w:rsidR="00C03598">
        <w:t xml:space="preserve"> to equal 3</w:t>
      </w:r>
      <w:r w:rsidR="00884D87">
        <w:t xml:space="preserve"> </w:t>
      </w:r>
      <w:r w:rsidR="00C03598">
        <w:t>% of the CAPEX for all systems</w:t>
      </w:r>
      <w:r w:rsidR="00F07743">
        <w:t xml:space="preserve"> [4]</w:t>
      </w:r>
      <w:r w:rsidR="00C03598">
        <w:t>. The MILP formulation contains constraints en</w:t>
      </w:r>
      <w:r w:rsidR="00151B02">
        <w:t>forcin</w:t>
      </w:r>
      <w:r w:rsidR="00C03598">
        <w:t>g single-mode operation, over</w:t>
      </w:r>
      <w:r w:rsidR="000D337C">
        <w:t>-</w:t>
      </w:r>
      <w:r w:rsidR="00C03598">
        <w:t>cycling prevention, and feasible operation at all times.</w:t>
      </w:r>
      <w:r w:rsidR="001029F4">
        <w:t xml:space="preserve"> The objective function is the </w:t>
      </w:r>
      <w:r w:rsidR="00DB5387">
        <w:t>NPV</w:t>
      </w:r>
      <w:r w:rsidR="001029F4">
        <w:t xml:space="preserve"> of the project. </w:t>
      </w:r>
      <w:r w:rsidR="00A75BDF">
        <w:t>Th</w:t>
      </w:r>
      <w:r w:rsidR="003704EE">
        <w:t>is</w:t>
      </w:r>
      <w:r w:rsidR="00A75BDF">
        <w:t xml:space="preserve"> function </w:t>
      </w:r>
      <w:r w:rsidR="00C03598">
        <w:t xml:space="preserve">accounts for CAPEX and OPEX, revenue generation via arbitrage, corporate taxes, </w:t>
      </w:r>
      <w:r w:rsidR="00A75BDF">
        <w:t xml:space="preserve">tax credits (assumed 30% investment tax credit on all systems) </w:t>
      </w:r>
      <w:r w:rsidR="00C03598">
        <w:t>depreciation</w:t>
      </w:r>
      <w:r w:rsidR="00A75BDF">
        <w:t xml:space="preserve"> (5-year </w:t>
      </w:r>
      <w:r w:rsidR="00AD5B2C">
        <w:t>modified accelerated cost recovery system</w:t>
      </w:r>
      <w:r w:rsidR="00A75BDF">
        <w:t xml:space="preserve"> depreciation schedule)</w:t>
      </w:r>
      <w:r w:rsidR="00C03598">
        <w:t>, and cashflow discounting. In order to compare systems of equivalent size across markets, in cases when the optimal NPV was</w:t>
      </w:r>
      <w:r w:rsidR="00A75BDF">
        <w:t xml:space="preserve"> initially</w:t>
      </w:r>
      <w:r w:rsidR="00C03598">
        <w:t xml:space="preserve"> </w:t>
      </w:r>
      <w:r w:rsidR="00A75BDF">
        <w:t xml:space="preserve">found to be </w:t>
      </w:r>
      <w:r w:rsidR="00C03598">
        <w:t xml:space="preserve">nonpositive, the design was fixed at </w:t>
      </w:r>
      <w:r w:rsidR="00403674">
        <w:t xml:space="preserve">a power rating of </w:t>
      </w:r>
      <w:r w:rsidR="00C03598">
        <w:t>100 MW</w:t>
      </w:r>
      <w:r w:rsidR="00403674">
        <w:t xml:space="preserve"> for the power recovery unit (PRU)</w:t>
      </w:r>
      <w:r w:rsidR="00C03598">
        <w:t xml:space="preserve"> and the operating schedule was optimized to obtain the highest possible NPV.</w:t>
      </w:r>
    </w:p>
    <w:p w14:paraId="2AFBEFFA" w14:textId="77777777" w:rsidR="001029F4" w:rsidRDefault="001029F4" w:rsidP="001029F4">
      <w:pPr>
        <w:pStyle w:val="Els-1storder-head"/>
        <w:rPr>
          <w:szCs w:val="22"/>
        </w:rPr>
      </w:pPr>
      <w:r w:rsidRPr="00C60CB0">
        <w:rPr>
          <w:szCs w:val="22"/>
        </w:rPr>
        <w:t>Results</w:t>
      </w:r>
    </w:p>
    <w:p w14:paraId="3665F080" w14:textId="77777777" w:rsidR="00AD5B2C" w:rsidRDefault="001029F4" w:rsidP="00F04718">
      <w:pPr>
        <w:pStyle w:val="Els-body-text"/>
      </w:pPr>
      <w:r w:rsidRPr="00C60CB0">
        <w:t xml:space="preserve">The optimization results for </w:t>
      </w:r>
      <w:r>
        <w:t xml:space="preserve">LAES systems in 19 load zones across </w:t>
      </w:r>
      <w:r w:rsidRPr="00C60CB0">
        <w:t>three US ISOs</w:t>
      </w:r>
      <w:r>
        <w:t>,</w:t>
      </w:r>
      <w:r w:rsidRPr="00C60CB0">
        <w:t xml:space="preserve"> 27 European TSOs</w:t>
      </w:r>
      <w:r>
        <w:t>, and two load zones of the Korean TSO</w:t>
      </w:r>
      <w:r w:rsidRPr="00C60CB0">
        <w:t xml:space="preserve"> are summarized in Figure</w:t>
      </w:r>
      <w:r>
        <w:t xml:space="preserve"> 2. </w:t>
      </w:r>
      <w:r w:rsidR="008A3F6F">
        <w:t xml:space="preserve">All NPVs are reported in </w:t>
      </w:r>
      <w:r w:rsidR="00AD5B2C">
        <w:t xml:space="preserve">2023 </w:t>
      </w:r>
      <w:r w:rsidR="008A3F6F">
        <w:t xml:space="preserve">US dollars. </w:t>
      </w:r>
      <w:r w:rsidRPr="00C60CB0">
        <w:t xml:space="preserve">The best-performing system identified in this study was </w:t>
      </w:r>
      <w:r>
        <w:t xml:space="preserve">the </w:t>
      </w:r>
      <w:r w:rsidRPr="00C60CB0">
        <w:t xml:space="preserve">system </w:t>
      </w:r>
      <w:r>
        <w:t>in the WEST load zone of</w:t>
      </w:r>
      <w:r w:rsidR="008A3F6F">
        <w:rPr>
          <w:noProof/>
        </w:rPr>
        <w:t xml:space="preserve"> </w:t>
      </w:r>
      <w:r w:rsidR="00DB5387">
        <w:t xml:space="preserve">the ERCOT market, </w:t>
      </w:r>
      <w:r w:rsidR="00DB5387" w:rsidRPr="00C60CB0">
        <w:t xml:space="preserve">located in Texas, which had an NPV of </w:t>
      </w:r>
      <w:r w:rsidR="00DB5387">
        <w:t>$10.4</w:t>
      </w:r>
      <w:r w:rsidR="00DB5387" w:rsidRPr="00C60CB0">
        <w:t xml:space="preserve"> million. </w:t>
      </w:r>
      <w:r w:rsidR="00CB2CFB">
        <w:t xml:space="preserve">The positive NPV for this system is likely due to the </w:t>
      </w:r>
    </w:p>
    <w:p w14:paraId="0D01CB81" w14:textId="7FC82C0C" w:rsidR="00335479" w:rsidRDefault="00335479" w:rsidP="00F04718">
      <w:pPr>
        <w:pStyle w:val="Els-body-text"/>
      </w:pPr>
      <w:r>
        <w:rPr>
          <w:noProof/>
        </w:rPr>
        <w:lastRenderedPageBreak/>
        <w:t xml:space="preserve">Table 1: Optimal solution of LAES system in </w:t>
      </w:r>
      <w:r w:rsidR="0059181D">
        <w:rPr>
          <w:noProof/>
        </w:rPr>
        <w:t xml:space="preserve">the </w:t>
      </w:r>
      <w:r>
        <w:rPr>
          <w:noProof/>
        </w:rPr>
        <w:t>WEST load zone of the ERCOT market.</w:t>
      </w:r>
    </w:p>
    <w:tbl>
      <w:tblPr>
        <w:tblStyle w:val="PlainTable2"/>
        <w:tblW w:w="0" w:type="auto"/>
        <w:jc w:val="center"/>
        <w:tblLook w:val="0620" w:firstRow="1" w:lastRow="0" w:firstColumn="0" w:lastColumn="0" w:noHBand="1" w:noVBand="1"/>
      </w:tblPr>
      <w:tblGrid>
        <w:gridCol w:w="3538"/>
        <w:gridCol w:w="1502"/>
      </w:tblGrid>
      <w:tr w:rsidR="00F04718" w14:paraId="21BD5762" w14:textId="77777777" w:rsidTr="006B727D">
        <w:trPr>
          <w:cnfStyle w:val="100000000000" w:firstRow="1" w:lastRow="0" w:firstColumn="0" w:lastColumn="0" w:oddVBand="0" w:evenVBand="0" w:oddHBand="0" w:evenHBand="0" w:firstRowFirstColumn="0" w:firstRowLastColumn="0" w:lastRowFirstColumn="0" w:lastRowLastColumn="0"/>
          <w:jc w:val="center"/>
        </w:trPr>
        <w:tc>
          <w:tcPr>
            <w:tcW w:w="3538" w:type="dxa"/>
          </w:tcPr>
          <w:p w14:paraId="7CFAD5B4" w14:textId="0A587312" w:rsidR="00F04718" w:rsidRDefault="00F04718" w:rsidP="00F04718">
            <w:pPr>
              <w:pStyle w:val="Els-body-text"/>
            </w:pPr>
            <w:r>
              <w:t>Parameter</w:t>
            </w:r>
          </w:p>
        </w:tc>
        <w:tc>
          <w:tcPr>
            <w:tcW w:w="1502" w:type="dxa"/>
          </w:tcPr>
          <w:p w14:paraId="3DE55366" w14:textId="3423977F" w:rsidR="00F04718" w:rsidRDefault="00F04718" w:rsidP="00F04718">
            <w:pPr>
              <w:pStyle w:val="Els-body-text"/>
            </w:pPr>
            <w:r>
              <w:t>Value</w:t>
            </w:r>
          </w:p>
        </w:tc>
      </w:tr>
      <w:tr w:rsidR="00F04718" w14:paraId="5601F9A5" w14:textId="77777777" w:rsidTr="006B727D">
        <w:trPr>
          <w:jc w:val="center"/>
        </w:trPr>
        <w:tc>
          <w:tcPr>
            <w:tcW w:w="3538" w:type="dxa"/>
          </w:tcPr>
          <w:p w14:paraId="77CE1095" w14:textId="424E81C4" w:rsidR="00F04718" w:rsidRDefault="006B727D" w:rsidP="00F04718">
            <w:pPr>
              <w:pStyle w:val="Els-body-text"/>
            </w:pPr>
            <w:r>
              <w:t>Optimal NPV</w:t>
            </w:r>
          </w:p>
        </w:tc>
        <w:tc>
          <w:tcPr>
            <w:tcW w:w="1502" w:type="dxa"/>
          </w:tcPr>
          <w:p w14:paraId="375F16FF" w14:textId="4269BE8F" w:rsidR="00F04718" w:rsidRDefault="006B727D" w:rsidP="00F04718">
            <w:pPr>
              <w:pStyle w:val="Els-body-text"/>
            </w:pPr>
            <w:r>
              <w:t>$10,429,900</w:t>
            </w:r>
          </w:p>
        </w:tc>
      </w:tr>
      <w:tr w:rsidR="00F04718" w14:paraId="3135BB9D" w14:textId="77777777" w:rsidTr="006B727D">
        <w:trPr>
          <w:jc w:val="center"/>
        </w:trPr>
        <w:tc>
          <w:tcPr>
            <w:tcW w:w="3538" w:type="dxa"/>
          </w:tcPr>
          <w:p w14:paraId="24D313F2" w14:textId="5C3E76DF" w:rsidR="00F04718" w:rsidRDefault="006B727D" w:rsidP="00F04718">
            <w:pPr>
              <w:pStyle w:val="Els-body-text"/>
            </w:pPr>
            <w:r>
              <w:t>PRU Power Capacity</w:t>
            </w:r>
          </w:p>
        </w:tc>
        <w:tc>
          <w:tcPr>
            <w:tcW w:w="1502" w:type="dxa"/>
          </w:tcPr>
          <w:p w14:paraId="50B0FF0F" w14:textId="4913D3DA" w:rsidR="00DB5387" w:rsidRDefault="006B727D" w:rsidP="00F04718">
            <w:pPr>
              <w:pStyle w:val="Els-body-text"/>
            </w:pPr>
            <w:r>
              <w:t>100 MW</w:t>
            </w:r>
          </w:p>
        </w:tc>
      </w:tr>
      <w:tr w:rsidR="00DB5387" w14:paraId="0618F480" w14:textId="77777777" w:rsidTr="006B727D">
        <w:trPr>
          <w:jc w:val="center"/>
        </w:trPr>
        <w:tc>
          <w:tcPr>
            <w:tcW w:w="3538" w:type="dxa"/>
          </w:tcPr>
          <w:p w14:paraId="56F25B1A" w14:textId="00F3FA79" w:rsidR="00DB5387" w:rsidRDefault="00DB5387" w:rsidP="00F04718">
            <w:pPr>
              <w:pStyle w:val="Els-body-text"/>
            </w:pPr>
            <w:r>
              <w:t>ALU Power Capacity</w:t>
            </w:r>
          </w:p>
        </w:tc>
        <w:tc>
          <w:tcPr>
            <w:tcW w:w="1502" w:type="dxa"/>
          </w:tcPr>
          <w:p w14:paraId="2A9DE2F7" w14:textId="4333556D" w:rsidR="00DB5387" w:rsidRDefault="00DB5387" w:rsidP="00F04718">
            <w:pPr>
              <w:pStyle w:val="Els-body-text"/>
            </w:pPr>
            <w:r>
              <w:t>50 MW</w:t>
            </w:r>
          </w:p>
        </w:tc>
      </w:tr>
      <w:tr w:rsidR="001029F4" w14:paraId="52A2E738" w14:textId="77777777" w:rsidTr="006B727D">
        <w:trPr>
          <w:jc w:val="center"/>
        </w:trPr>
        <w:tc>
          <w:tcPr>
            <w:tcW w:w="3538" w:type="dxa"/>
          </w:tcPr>
          <w:p w14:paraId="756B55B7" w14:textId="720946E0" w:rsidR="001029F4" w:rsidRDefault="001029F4" w:rsidP="00F04718">
            <w:pPr>
              <w:pStyle w:val="Els-body-text"/>
            </w:pPr>
            <w:r>
              <w:t>Storage Capacity</w:t>
            </w:r>
          </w:p>
        </w:tc>
        <w:tc>
          <w:tcPr>
            <w:tcW w:w="1502" w:type="dxa"/>
          </w:tcPr>
          <w:p w14:paraId="31C44BF6" w14:textId="7FA96C99" w:rsidR="001029F4" w:rsidRDefault="001029F4" w:rsidP="00F04718">
            <w:pPr>
              <w:pStyle w:val="Els-body-text"/>
            </w:pPr>
            <w:r>
              <w:t>800 MWh</w:t>
            </w:r>
          </w:p>
        </w:tc>
      </w:tr>
      <w:tr w:rsidR="001029F4" w14:paraId="19C5CA16" w14:textId="77777777" w:rsidTr="006B727D">
        <w:trPr>
          <w:jc w:val="center"/>
        </w:trPr>
        <w:tc>
          <w:tcPr>
            <w:tcW w:w="3538" w:type="dxa"/>
          </w:tcPr>
          <w:p w14:paraId="4E8D3ACA" w14:textId="2E8FD391" w:rsidR="001029F4" w:rsidRDefault="001029F4" w:rsidP="00F04718">
            <w:pPr>
              <w:pStyle w:val="Els-body-text"/>
            </w:pPr>
            <w:r>
              <w:t>CAPEX</w:t>
            </w:r>
          </w:p>
        </w:tc>
        <w:tc>
          <w:tcPr>
            <w:tcW w:w="1502" w:type="dxa"/>
          </w:tcPr>
          <w:p w14:paraId="1B15435B" w14:textId="4239B5B0" w:rsidR="001029F4" w:rsidRDefault="001029F4" w:rsidP="00F04718">
            <w:pPr>
              <w:pStyle w:val="Els-body-text"/>
            </w:pPr>
            <w:r>
              <w:t>$177,498,800</w:t>
            </w:r>
          </w:p>
        </w:tc>
      </w:tr>
      <w:tr w:rsidR="001029F4" w14:paraId="1EB5C5C4" w14:textId="77777777" w:rsidTr="006B727D">
        <w:trPr>
          <w:jc w:val="center"/>
        </w:trPr>
        <w:tc>
          <w:tcPr>
            <w:tcW w:w="3538" w:type="dxa"/>
          </w:tcPr>
          <w:p w14:paraId="5346DD78" w14:textId="6EE1E0B2" w:rsidR="001029F4" w:rsidRDefault="001029F4" w:rsidP="00F04718">
            <w:pPr>
              <w:pStyle w:val="Els-body-text"/>
            </w:pPr>
            <w:r>
              <w:t>Annual OPEX</w:t>
            </w:r>
          </w:p>
        </w:tc>
        <w:tc>
          <w:tcPr>
            <w:tcW w:w="1502" w:type="dxa"/>
          </w:tcPr>
          <w:p w14:paraId="60AB179D" w14:textId="4D4B98CE" w:rsidR="001029F4" w:rsidRDefault="001029F4" w:rsidP="00F04718">
            <w:pPr>
              <w:pStyle w:val="Els-body-text"/>
            </w:pPr>
            <w:r>
              <w:t>$5,325,000</w:t>
            </w:r>
          </w:p>
        </w:tc>
      </w:tr>
      <w:tr w:rsidR="001029F4" w14:paraId="288DE31B" w14:textId="77777777" w:rsidTr="006B727D">
        <w:trPr>
          <w:jc w:val="center"/>
        </w:trPr>
        <w:tc>
          <w:tcPr>
            <w:tcW w:w="3538" w:type="dxa"/>
          </w:tcPr>
          <w:p w14:paraId="777A41BD" w14:textId="627465C8" w:rsidR="001029F4" w:rsidRDefault="001029F4" w:rsidP="00F04718">
            <w:pPr>
              <w:pStyle w:val="Els-body-text"/>
            </w:pPr>
            <w:r>
              <w:t>Annual Revenue</w:t>
            </w:r>
          </w:p>
        </w:tc>
        <w:tc>
          <w:tcPr>
            <w:tcW w:w="1502" w:type="dxa"/>
          </w:tcPr>
          <w:p w14:paraId="2838DD48" w14:textId="6CABC6D9" w:rsidR="001029F4" w:rsidRDefault="001029F4" w:rsidP="00F04718">
            <w:pPr>
              <w:pStyle w:val="Els-body-text"/>
            </w:pPr>
            <w:r>
              <w:t>$20,325,400</w:t>
            </w:r>
          </w:p>
        </w:tc>
      </w:tr>
      <w:tr w:rsidR="001029F4" w14:paraId="2263216E" w14:textId="77777777" w:rsidTr="006B727D">
        <w:trPr>
          <w:jc w:val="center"/>
        </w:trPr>
        <w:tc>
          <w:tcPr>
            <w:tcW w:w="3538" w:type="dxa"/>
          </w:tcPr>
          <w:p w14:paraId="18EDB9D1" w14:textId="18C124D9" w:rsidR="001029F4" w:rsidRDefault="001029F4" w:rsidP="00F04718">
            <w:pPr>
              <w:pStyle w:val="Els-body-text"/>
            </w:pPr>
            <w:r>
              <w:t>Installed Cost</w:t>
            </w:r>
          </w:p>
        </w:tc>
        <w:tc>
          <w:tcPr>
            <w:tcW w:w="1502" w:type="dxa"/>
          </w:tcPr>
          <w:p w14:paraId="72FE572C" w14:textId="13A4E929" w:rsidR="001029F4" w:rsidRDefault="001029F4" w:rsidP="00F04718">
            <w:pPr>
              <w:pStyle w:val="Els-body-text"/>
            </w:pPr>
            <w:r>
              <w:t>$222/kWh</w:t>
            </w:r>
          </w:p>
        </w:tc>
      </w:tr>
      <w:tr w:rsidR="001029F4" w14:paraId="0DFF565B" w14:textId="77777777" w:rsidTr="006B727D">
        <w:trPr>
          <w:jc w:val="center"/>
        </w:trPr>
        <w:tc>
          <w:tcPr>
            <w:tcW w:w="3538" w:type="dxa"/>
          </w:tcPr>
          <w:p w14:paraId="41914F43" w14:textId="404CD9A4" w:rsidR="001029F4" w:rsidRDefault="001029F4" w:rsidP="00F04718">
            <w:pPr>
              <w:pStyle w:val="Els-body-text"/>
            </w:pPr>
            <w:r>
              <w:t>Levelized Cost of Storage (LCOS)</w:t>
            </w:r>
          </w:p>
        </w:tc>
        <w:tc>
          <w:tcPr>
            <w:tcW w:w="1502" w:type="dxa"/>
          </w:tcPr>
          <w:p w14:paraId="7E9AA6D6" w14:textId="2599F29B" w:rsidR="001029F4" w:rsidRDefault="001029F4" w:rsidP="00F04718">
            <w:pPr>
              <w:pStyle w:val="Els-body-text"/>
            </w:pPr>
            <w:r>
              <w:t>$119/MWh</w:t>
            </w:r>
          </w:p>
        </w:tc>
      </w:tr>
    </w:tbl>
    <w:p w14:paraId="7EAC1D83" w14:textId="77777777" w:rsidR="003853F5" w:rsidRDefault="003853F5" w:rsidP="008E6FEA">
      <w:pPr>
        <w:pStyle w:val="Els-body-text"/>
        <w:rPr>
          <w:noProof/>
        </w:rPr>
      </w:pPr>
    </w:p>
    <w:p w14:paraId="77D93B18" w14:textId="3BE60BDB" w:rsidR="003853F5" w:rsidRDefault="006D706B" w:rsidP="00884D87">
      <w:pPr>
        <w:pStyle w:val="Els-body-text"/>
        <w:jc w:val="center"/>
      </w:pPr>
      <w:r>
        <w:rPr>
          <w:noProof/>
        </w:rPr>
        <w:drawing>
          <wp:inline distT="0" distB="0" distL="0" distR="0" wp14:anchorId="66095EBE" wp14:editId="222765EA">
            <wp:extent cx="3638550" cy="5171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480" b="9412"/>
                    <a:stretch/>
                  </pic:blipFill>
                  <pic:spPr bwMode="auto">
                    <a:xfrm>
                      <a:off x="0" y="0"/>
                      <a:ext cx="3669566" cy="5215109"/>
                    </a:xfrm>
                    <a:prstGeom prst="rect">
                      <a:avLst/>
                    </a:prstGeom>
                    <a:noFill/>
                    <a:ln>
                      <a:noFill/>
                    </a:ln>
                    <a:extLst>
                      <a:ext uri="{53640926-AAD7-44D8-BBD7-CCE9431645EC}">
                        <a14:shadowObscured xmlns:a14="http://schemas.microsoft.com/office/drawing/2010/main"/>
                      </a:ext>
                    </a:extLst>
                  </pic:spPr>
                </pic:pic>
              </a:graphicData>
            </a:graphic>
          </wp:inline>
        </w:drawing>
      </w:r>
    </w:p>
    <w:p w14:paraId="384E58FF" w14:textId="77777777" w:rsidR="00D16E7F" w:rsidRPr="00D16E7F" w:rsidRDefault="00D16E7F" w:rsidP="00884D87">
      <w:pPr>
        <w:pStyle w:val="Els-body-text"/>
        <w:jc w:val="center"/>
        <w:rPr>
          <w:sz w:val="12"/>
          <w:szCs w:val="12"/>
        </w:rPr>
      </w:pPr>
    </w:p>
    <w:p w14:paraId="218C65BA" w14:textId="77777777" w:rsidR="00D16E7F" w:rsidRDefault="006B727D" w:rsidP="00C668F3">
      <w:pPr>
        <w:pStyle w:val="Els-body-text"/>
      </w:pPr>
      <w:r>
        <w:t xml:space="preserve">Figure 2: Optimal NPVs of 100MW/800MWh LAES systems in multiple load zones </w:t>
      </w:r>
      <w:r w:rsidR="001029F4">
        <w:t>of</w:t>
      </w:r>
      <w:r>
        <w:t xml:space="preserve"> t</w:t>
      </w:r>
      <w:r w:rsidR="001029F4">
        <w:t xml:space="preserve">hree </w:t>
      </w:r>
      <w:r>
        <w:t>US ISOs</w:t>
      </w:r>
      <w:r w:rsidR="001029F4">
        <w:t xml:space="preserve">, </w:t>
      </w:r>
      <w:r w:rsidR="00295C20">
        <w:t xml:space="preserve">two load zones of </w:t>
      </w:r>
      <w:r w:rsidR="001029F4">
        <w:t xml:space="preserve">the Korean TSO, and </w:t>
      </w:r>
      <w:r w:rsidR="00884D87">
        <w:t>27 European TSOs.</w:t>
      </w:r>
    </w:p>
    <w:p w14:paraId="36BA8AF4" w14:textId="09CE2529" w:rsidR="00A75BDF" w:rsidRDefault="00AD5B2C" w:rsidP="0034777C">
      <w:pPr>
        <w:pStyle w:val="Els-body-text"/>
      </w:pPr>
      <w:r>
        <w:lastRenderedPageBreak/>
        <w:t xml:space="preserve">combined </w:t>
      </w:r>
      <w:r w:rsidR="00CB2CFB">
        <w:t>effects of a deregulated</w:t>
      </w:r>
      <w:r w:rsidR="0098102F">
        <w:t xml:space="preserve"> </w:t>
      </w:r>
      <w:r w:rsidR="00CB2CFB">
        <w:t>market and high penetration of wind energy in the ERCOT-WEST load zone.</w:t>
      </w:r>
      <w:r w:rsidR="00CB2CFB" w:rsidRPr="00C60CB0">
        <w:t xml:space="preserve"> T</w:t>
      </w:r>
      <w:r w:rsidR="00CB2CFB">
        <w:t>he</w:t>
      </w:r>
      <w:r w:rsidR="00CB2CFB">
        <w:rPr>
          <w:noProof/>
        </w:rPr>
        <w:t xml:space="preserve"> </w:t>
      </w:r>
      <w:r w:rsidR="00CB2CFB" w:rsidRPr="00C60CB0">
        <w:t>positive NPV indicate</w:t>
      </w:r>
      <w:r w:rsidR="00CB2CFB">
        <w:t>s</w:t>
      </w:r>
      <w:r w:rsidR="00CB2CFB" w:rsidRPr="00C60CB0">
        <w:t xml:space="preserve"> that LAES is presently economically </w:t>
      </w:r>
      <w:r w:rsidR="00C668F3" w:rsidRPr="00C60CB0">
        <w:t xml:space="preserve">viable in this </w:t>
      </w:r>
      <w:r w:rsidR="00CB2CFB">
        <w:t>location</w:t>
      </w:r>
      <w:r w:rsidR="00C668F3" w:rsidRPr="00C60CB0">
        <w:t>.</w:t>
      </w:r>
      <w:r w:rsidR="006F55FD">
        <w:t xml:space="preserve"> </w:t>
      </w:r>
      <w:r w:rsidR="00C668F3" w:rsidRPr="00C60CB0">
        <w:t xml:space="preserve">The optimal solution for this system is </w:t>
      </w:r>
      <w:r w:rsidR="008A3F6F" w:rsidRPr="00C60CB0">
        <w:t>summarized in</w:t>
      </w:r>
      <w:r w:rsidR="008A3F6F">
        <w:t xml:space="preserve"> </w:t>
      </w:r>
      <w:r w:rsidR="008A3F6F" w:rsidRPr="00C60CB0">
        <w:t xml:space="preserve">Table </w:t>
      </w:r>
      <w:r w:rsidR="008A3F6F">
        <w:t>1 and</w:t>
      </w:r>
      <w:r w:rsidR="008A3F6F">
        <w:rPr>
          <w:noProof/>
        </w:rPr>
        <w:t xml:space="preserve"> </w:t>
      </w:r>
      <w:r w:rsidR="00295C20">
        <w:t xml:space="preserve">the levelized cost of storage (LCOS) for this system </w:t>
      </w:r>
      <w:r w:rsidR="00AC1003">
        <w:t>is</w:t>
      </w:r>
      <w:r w:rsidR="00295C20">
        <w:t xml:space="preserve"> $119/MWh, which is within</w:t>
      </w:r>
      <w:r w:rsidR="00295C20">
        <w:rPr>
          <w:noProof/>
        </w:rPr>
        <w:t xml:space="preserve"> </w:t>
      </w:r>
      <w:r w:rsidR="00DB5387">
        <w:t xml:space="preserve">range </w:t>
      </w:r>
      <w:r w:rsidR="00B6519D">
        <w:t>of the 100 – 150 $/MWh estimates reported by Highview Power</w:t>
      </w:r>
      <w:r w:rsidR="008A483F">
        <w:t>, a UK-based company</w:t>
      </w:r>
      <w:r w:rsidR="0098102F">
        <w:t xml:space="preserve"> leading LAES implementation efforts</w:t>
      </w:r>
      <w:r w:rsidR="00B6519D">
        <w:t xml:space="preserve">. It is interesting to note that the LCOS of the ERCOT-WEST system </w:t>
      </w:r>
      <w:r w:rsidR="00A75BDF">
        <w:t>is lower than the $150/MWh LCOS of Li-ion batteries</w:t>
      </w:r>
      <w:r w:rsidR="00B6519D">
        <w:t xml:space="preserve">, which agrees with the recent findings of Vecchi </w:t>
      </w:r>
      <w:r w:rsidR="002306E0">
        <w:t>and Sciacovelli</w:t>
      </w:r>
      <w:r w:rsidR="00B6519D">
        <w:t xml:space="preserve"> (</w:t>
      </w:r>
      <w:r w:rsidR="002306E0">
        <w:t>2023</w:t>
      </w:r>
      <w:r w:rsidR="00B6519D">
        <w:t>).</w:t>
      </w:r>
    </w:p>
    <w:p w14:paraId="2D7180F1" w14:textId="77777777" w:rsidR="00A75BDF" w:rsidRDefault="00A75BDF" w:rsidP="00A75BDF">
      <w:pPr>
        <w:pStyle w:val="Els-body-text"/>
      </w:pPr>
    </w:p>
    <w:p w14:paraId="777FAF37" w14:textId="63B25132" w:rsidR="0043342E" w:rsidRDefault="00A75BDF" w:rsidP="006B727D">
      <w:pPr>
        <w:pStyle w:val="Els-body-text"/>
      </w:pPr>
      <w:r>
        <w:t xml:space="preserve">While the optimal NPVs </w:t>
      </w:r>
      <w:r w:rsidR="0059181D">
        <w:t>of</w:t>
      </w:r>
      <w:r>
        <w:t xml:space="preserve"> a 100 MW / 800 MWh LAES system w</w:t>
      </w:r>
      <w:r w:rsidR="0059181D">
        <w:t>ere</w:t>
      </w:r>
      <w:r>
        <w:t xml:space="preserve"> negative in all but one of the studied locations, it is important to note that significant increases in NPV are expected to result when an increasing supply of renewables over time is considered in such an analysis. Nevertheless, useful insights can still be g</w:t>
      </w:r>
      <w:r w:rsidR="0059181D">
        <w:t>ained</w:t>
      </w:r>
      <w:r>
        <w:t xml:space="preserve"> from these results. For </w:t>
      </w:r>
      <w:r w:rsidR="0059181D">
        <w:t>instance</w:t>
      </w:r>
      <w:r>
        <w:t>, the large range of optimal NPVs</w:t>
      </w:r>
      <w:r w:rsidR="005A579C">
        <w:t xml:space="preserve"> identified</w:t>
      </w:r>
      <w:r>
        <w:t xml:space="preserve"> in the ERCOT, CAISO,</w:t>
      </w:r>
      <w:r w:rsidR="0059181D">
        <w:t xml:space="preserve"> KOREA,</w:t>
      </w:r>
      <w:r>
        <w:t xml:space="preserve"> and EUROPE markets highlight the importance of informed load zone selection. </w:t>
      </w:r>
      <w:r w:rsidR="0059181D">
        <w:t>Based on our results, i</w:t>
      </w:r>
      <w:r>
        <w:t>f a US ISO wanted to build a</w:t>
      </w:r>
      <w:r w:rsidR="00831DFF">
        <w:t>n</w:t>
      </w:r>
      <w:r>
        <w:t xml:space="preserve"> </w:t>
      </w:r>
      <w:r w:rsidR="0043342E">
        <w:t xml:space="preserve">LAES system within their network, informed load-zone selection could result in </w:t>
      </w:r>
      <w:r w:rsidR="0059181D">
        <w:t>up to a 39</w:t>
      </w:r>
      <w:r w:rsidR="005A579C">
        <w:t xml:space="preserve"> </w:t>
      </w:r>
      <w:r w:rsidR="0059181D">
        <w:t>%</w:t>
      </w:r>
      <w:r w:rsidR="0043342E">
        <w:t xml:space="preserve"> </w:t>
      </w:r>
      <w:r w:rsidR="0059181D">
        <w:t xml:space="preserve">or </w:t>
      </w:r>
      <w:r w:rsidR="0043342E">
        <w:t>113 % increase in NPV in the</w:t>
      </w:r>
      <w:r w:rsidR="0059181D">
        <w:t xml:space="preserve"> CAISO and</w:t>
      </w:r>
      <w:r w:rsidR="0043342E">
        <w:t xml:space="preserve"> ERCOT markets, respectively</w:t>
      </w:r>
      <w:r w:rsidR="00B42785">
        <w:t>, compared to a system operating in the worst performing load zone of that market</w:t>
      </w:r>
      <w:r w:rsidR="0043342E">
        <w:t>. Each of the markets considered herein ha</w:t>
      </w:r>
      <w:r w:rsidR="0059181D">
        <w:t>s</w:t>
      </w:r>
      <w:r w:rsidR="0043342E">
        <w:t xml:space="preserve"> a unique mix of renewables</w:t>
      </w:r>
      <w:r w:rsidR="0059181D">
        <w:t xml:space="preserve"> with different levels of renewable penetration at the market and load-zone levels. However, overall, throughout this study, it was observed that</w:t>
      </w:r>
      <w:r w:rsidR="00B42785">
        <w:t xml:space="preserve"> locations with</w:t>
      </w:r>
      <w:r w:rsidR="0059181D">
        <w:t xml:space="preserve"> high level</w:t>
      </w:r>
      <w:r w:rsidR="00B42785">
        <w:t xml:space="preserve">s of </w:t>
      </w:r>
      <w:r w:rsidR="0059181D">
        <w:t>renewable supply</w:t>
      </w:r>
      <w:r w:rsidR="00B42785">
        <w:t xml:space="preserve"> are generally best-suited for LAES implementation and that the positive economic influence of any improvements in RTE or potential economic incentives such as CAPEX subsidies are amplified in these regions. </w:t>
      </w:r>
    </w:p>
    <w:p w14:paraId="4043428B" w14:textId="6F5CA124" w:rsidR="00937CFB" w:rsidRDefault="00937CFB" w:rsidP="006B727D">
      <w:pPr>
        <w:pStyle w:val="Els-body-text"/>
      </w:pPr>
    </w:p>
    <w:p w14:paraId="4F9EC954" w14:textId="68E3FD2F" w:rsidR="00937CFB" w:rsidRDefault="00937CFB" w:rsidP="006B727D">
      <w:pPr>
        <w:pStyle w:val="Els-body-text"/>
      </w:pPr>
      <w:r>
        <w:t>While RTEs above 60 % may be challenging to achieve for standalone LAES systems presently, RTEs of over 100% are theoretically achievable for this technology through co-location with other processes. A unique feature of the Korean market considered in this study is that Korea currently has seven LNG regasification terminals – six on the mainland and one on Jeju Island. The concept of utilizing high-grade cold exergy that is released during LNG regasification to reduce the energy requirement of air liquefaction</w:t>
      </w:r>
      <w:r w:rsidR="00D402F0">
        <w:t xml:space="preserve"> for LAES</w:t>
      </w:r>
      <w:r w:rsidR="004C7105">
        <w:t xml:space="preserve"> </w:t>
      </w:r>
      <w:r>
        <w:t>has been studied in the literature. Several studies of proposed co-located LAES-LNG systems report RTEs of roughly 70 - 190 % [</w:t>
      </w:r>
      <w:r w:rsidR="00F53BBC">
        <w:t>1</w:t>
      </w:r>
      <w:r>
        <w:t xml:space="preserve">, </w:t>
      </w:r>
      <w:r w:rsidR="00F07743">
        <w:t>5</w:t>
      </w:r>
      <w:r>
        <w:t xml:space="preserve">]. </w:t>
      </w:r>
    </w:p>
    <w:p w14:paraId="36FD7D64" w14:textId="77777777" w:rsidR="00937CFB" w:rsidRDefault="00937CFB" w:rsidP="006B727D">
      <w:pPr>
        <w:pStyle w:val="Els-body-text"/>
      </w:pPr>
    </w:p>
    <w:p w14:paraId="14E5F3DC" w14:textId="470B10C5" w:rsidR="00A836ED" w:rsidRDefault="007872F1" w:rsidP="009421E7">
      <w:pPr>
        <w:pStyle w:val="Els-body-text"/>
        <w:jc w:val="center"/>
      </w:pPr>
      <w:r>
        <w:rPr>
          <w:noProof/>
        </w:rPr>
        <w:drawing>
          <wp:inline distT="0" distB="0" distL="0" distR="0" wp14:anchorId="01958D2C" wp14:editId="5A0B203D">
            <wp:extent cx="4432300" cy="2075292"/>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7215" cy="2105687"/>
                    </a:xfrm>
                    <a:prstGeom prst="rect">
                      <a:avLst/>
                    </a:prstGeom>
                    <a:noFill/>
                    <a:ln>
                      <a:noFill/>
                    </a:ln>
                  </pic:spPr>
                </pic:pic>
              </a:graphicData>
            </a:graphic>
          </wp:inline>
        </w:drawing>
      </w:r>
    </w:p>
    <w:p w14:paraId="7EA11602" w14:textId="4045F186" w:rsidR="001D5EC6" w:rsidRDefault="00A1306D" w:rsidP="00F04718">
      <w:pPr>
        <w:pStyle w:val="Els-body-text"/>
      </w:pPr>
      <w:r>
        <w:t>Figure 3: A study of the effect of RTE on NPV for co-located LAES-LNG systems in South Korea’s Jeju</w:t>
      </w:r>
      <w:r w:rsidR="00ED2938">
        <w:t xml:space="preserve"> Island</w:t>
      </w:r>
      <w:r>
        <w:t xml:space="preserve"> load zone</w:t>
      </w:r>
      <w:r w:rsidR="002306E0">
        <w:t>.</w:t>
      </w:r>
    </w:p>
    <w:p w14:paraId="6E53BF36" w14:textId="4990B9B7" w:rsidR="008014A0" w:rsidRPr="00C60CB0" w:rsidRDefault="00A1306D" w:rsidP="00F04718">
      <w:pPr>
        <w:pStyle w:val="Els-body-text"/>
      </w:pPr>
      <w:r>
        <w:lastRenderedPageBreak/>
        <w:t xml:space="preserve">A sensitivity analysis on co-located LAES-LNG systems located in Korea was performed to gain a better understanding of the economic benefits of LAES-LNG </w:t>
      </w:r>
      <w:r w:rsidR="001479BB">
        <w:t>co-location</w:t>
      </w:r>
      <w:r>
        <w:t xml:space="preserve">. Optimization was performed for 100 MW / </w:t>
      </w:r>
      <w:r w:rsidR="005A579C">
        <w:t>8</w:t>
      </w:r>
      <w:r>
        <w:t xml:space="preserve">00 MWh LAES-LNG systems with RTEs ranging from 70 - 200 %, as shown in Figure 3. A 10 % increase in CAPEX was included for these systems to account for the added cost of </w:t>
      </w:r>
      <w:r w:rsidR="005A2DE7">
        <w:t xml:space="preserve">LAES-LNG system </w:t>
      </w:r>
      <w:r>
        <w:t>interconnecti</w:t>
      </w:r>
      <w:r w:rsidR="005A2DE7">
        <w:t>ons</w:t>
      </w:r>
      <w:r>
        <w:t>.</w:t>
      </w:r>
      <w:r w:rsidR="002306E0">
        <w:t xml:space="preserve"> </w:t>
      </w:r>
      <w:r w:rsidR="001D5EC6">
        <w:t xml:space="preserve">The </w:t>
      </w:r>
      <w:r w:rsidR="00831DFF">
        <w:t>air liquefaction unit (</w:t>
      </w:r>
      <w:r w:rsidR="001D5EC6">
        <w:t>ALU</w:t>
      </w:r>
      <w:r w:rsidR="00831DFF">
        <w:t>)</w:t>
      </w:r>
      <w:r w:rsidR="001D5EC6">
        <w:t xml:space="preserve"> power rating was also adjusted to satisfy a charging time to discharging time ratio of 2:1, as there are typically twice as many hours per day available for charging. A $1</w:t>
      </w:r>
      <w:r w:rsidR="008D0B12">
        <w:t>25</w:t>
      </w:r>
      <w:r w:rsidR="001D5EC6">
        <w:t xml:space="preserve">0/kW increase/decrease in CAPEX was made based on the deviation of the ALU power rating from the 50 MW ALU for which the original CAPEX function was formulated. </w:t>
      </w:r>
      <w:r>
        <w:t>As expected, the increased RTEs of co-located LAES-LNG systems results in higher NPVs. Interestingly, while a 60 % RTE standalone LAES system is not presently economically viable in Korea based on our results, a 110+ % RTE co-located LAES-LNG system is. Since achieving these efficiencies is viable today, further investigation into LAES-LNG co-location, including an updated analysis accounting for an increased supply of renewable</w:t>
      </w:r>
      <w:r w:rsidR="00BF0405">
        <w:t>s</w:t>
      </w:r>
      <w:r>
        <w:t xml:space="preserve"> over time should be explored.</w:t>
      </w:r>
    </w:p>
    <w:p w14:paraId="19E05D4A" w14:textId="77DD13E8" w:rsidR="00C60CB0" w:rsidRDefault="00C60CB0" w:rsidP="00C60CB0">
      <w:pPr>
        <w:pStyle w:val="Els-1storder-head"/>
      </w:pPr>
      <w:r>
        <w:t>Conclusions</w:t>
      </w:r>
    </w:p>
    <w:p w14:paraId="5E74E8FE" w14:textId="03E286F0" w:rsidR="00C03598" w:rsidRDefault="00C60CB0" w:rsidP="00C60CB0">
      <w:pPr>
        <w:pStyle w:val="Els-body-text"/>
      </w:pPr>
      <w:r w:rsidRPr="00C60CB0">
        <w:t>In this study,</w:t>
      </w:r>
      <w:r w:rsidR="00DC5D6B">
        <w:t xml:space="preserve"> economic optimization of LAES systems was performed across a broad range of US domestic and international markets to gain insights in</w:t>
      </w:r>
      <w:r w:rsidR="005A2DE7">
        <w:t>to LAES</w:t>
      </w:r>
      <w:r w:rsidR="00DC5D6B">
        <w:t xml:space="preserve"> on both the global (i.e., market) and local (i.e., load zone) levels.</w:t>
      </w:r>
      <w:r w:rsidRPr="00C60CB0">
        <w:t xml:space="preserve"> </w:t>
      </w:r>
      <w:r w:rsidR="00DC5D6B">
        <w:t xml:space="preserve">Through this study, </w:t>
      </w:r>
      <w:r w:rsidRPr="00C60CB0">
        <w:t>the economic viability of LAES was established for the WEST load zone of the ERCOT market</w:t>
      </w:r>
      <w:r w:rsidR="00CC1E09">
        <w:t xml:space="preserve"> in Texas</w:t>
      </w:r>
      <w:r w:rsidRPr="00C60CB0">
        <w:t xml:space="preserve">. </w:t>
      </w:r>
      <w:r w:rsidR="00DC5D6B">
        <w:t>The ability of o</w:t>
      </w:r>
      <w:r w:rsidR="00A1306D">
        <w:t xml:space="preserve">ur approach </w:t>
      </w:r>
      <w:r w:rsidR="00DC5D6B">
        <w:t>to</w:t>
      </w:r>
      <w:r w:rsidR="00A1306D">
        <w:t xml:space="preserve"> serve as a </w:t>
      </w:r>
      <w:r w:rsidR="00DC5D6B">
        <w:t>useful</w:t>
      </w:r>
      <w:r w:rsidR="00A1306D">
        <w:t xml:space="preserve"> planning tool to </w:t>
      </w:r>
      <w:r w:rsidR="00DC5D6B">
        <w:t>inform</w:t>
      </w:r>
      <w:r w:rsidR="00A1306D">
        <w:t xml:space="preserve"> LAES </w:t>
      </w:r>
      <w:r w:rsidR="00DC5D6B">
        <w:t xml:space="preserve">siting was also demonstrated </w:t>
      </w:r>
      <w:r w:rsidR="005A2DE7">
        <w:t>by</w:t>
      </w:r>
      <w:r w:rsidR="00DC5D6B">
        <w:t xml:space="preserve"> up to 113 % improvements in NPV achieved through informed load-zone selection</w:t>
      </w:r>
      <w:r w:rsidRPr="00C60CB0">
        <w:t xml:space="preserve">. </w:t>
      </w:r>
      <w:r w:rsidR="00DC5D6B">
        <w:t>Our results also showed that while standalone LAES systems may not presently be economically viable in Korea, co-located LAES-LNG systems with RTEs above 110 % are, indicating that s</w:t>
      </w:r>
      <w:r w:rsidRPr="00C60CB0">
        <w:t xml:space="preserve">ignificant RTE increases attributable to efficient use of </w:t>
      </w:r>
      <w:r w:rsidR="005A2DE7">
        <w:t xml:space="preserve">otherwise wasted heating/cooling resources </w:t>
      </w:r>
      <w:r w:rsidRPr="00C60CB0">
        <w:t xml:space="preserve">from </w:t>
      </w:r>
      <w:r w:rsidR="00DC5D6B">
        <w:t>a variety</w:t>
      </w:r>
      <w:r w:rsidR="00FA3ED1">
        <w:t xml:space="preserve"> of</w:t>
      </w:r>
      <w:r w:rsidR="00DC5D6B">
        <w:t xml:space="preserve"> </w:t>
      </w:r>
      <w:r w:rsidRPr="00C60CB0">
        <w:t>process</w:t>
      </w:r>
      <w:r w:rsidR="005A2DE7">
        <w:t>es</w:t>
      </w:r>
      <w:r w:rsidRPr="00C60CB0">
        <w:t xml:space="preserve"> </w:t>
      </w:r>
      <w:r w:rsidR="00DB5387">
        <w:t>are</w:t>
      </w:r>
      <w:r w:rsidRPr="00C60CB0">
        <w:t xml:space="preserve"> likely to </w:t>
      </w:r>
      <w:r w:rsidR="00D71B4C">
        <w:t>merit</w:t>
      </w:r>
      <w:r w:rsidRPr="00C60CB0">
        <w:t xml:space="preserve"> further inquiry</w:t>
      </w:r>
      <w:r w:rsidR="00DC5D6B">
        <w:t>.</w:t>
      </w:r>
    </w:p>
    <w:p w14:paraId="060C8031" w14:textId="2DD50074" w:rsidR="007E089C" w:rsidRDefault="00C03598" w:rsidP="00FA3ED1">
      <w:pPr>
        <w:pStyle w:val="Els-body-text"/>
        <w:spacing w:before="240" w:after="60"/>
        <w:rPr>
          <w:b/>
          <w:sz w:val="22"/>
          <w:szCs w:val="22"/>
        </w:rPr>
      </w:pPr>
      <w:r w:rsidRPr="00C03598">
        <w:rPr>
          <w:b/>
          <w:sz w:val="22"/>
          <w:szCs w:val="22"/>
        </w:rPr>
        <w:t>References</w:t>
      </w:r>
    </w:p>
    <w:p w14:paraId="1DEECF6E" w14:textId="0D74E42C" w:rsidR="00937CFB" w:rsidRPr="001D5EC6" w:rsidRDefault="007E089C" w:rsidP="008014A0">
      <w:pPr>
        <w:pStyle w:val="Els-body-text"/>
      </w:pPr>
      <w:r w:rsidRPr="00DB5387">
        <w:t>[</w:t>
      </w:r>
      <w:r w:rsidR="00A30907" w:rsidRPr="00DB5387">
        <w:t>1</w:t>
      </w:r>
      <w:r w:rsidRPr="00DB5387">
        <w:t xml:space="preserve">] </w:t>
      </w:r>
      <w:r w:rsidR="005A2DE7" w:rsidRPr="00DB5387">
        <w:t xml:space="preserve">A. </w:t>
      </w:r>
      <w:r w:rsidR="006124F2" w:rsidRPr="00DB5387">
        <w:rPr>
          <w:color w:val="222222"/>
          <w:shd w:val="clear" w:color="auto" w:fill="FFFFFF"/>
        </w:rPr>
        <w:t xml:space="preserve">Vecchi, </w:t>
      </w:r>
      <w:r w:rsidR="005A2DE7" w:rsidRPr="00DB5387">
        <w:rPr>
          <w:color w:val="222222"/>
          <w:shd w:val="clear" w:color="auto" w:fill="FFFFFF"/>
        </w:rPr>
        <w:t xml:space="preserve">Y. </w:t>
      </w:r>
      <w:r w:rsidR="006124F2" w:rsidRPr="00DB5387">
        <w:rPr>
          <w:color w:val="222222"/>
          <w:shd w:val="clear" w:color="auto" w:fill="FFFFFF"/>
        </w:rPr>
        <w:t xml:space="preserve">Li, </w:t>
      </w:r>
      <w:r w:rsidR="005A2DE7" w:rsidRPr="00DB5387">
        <w:rPr>
          <w:color w:val="222222"/>
          <w:shd w:val="clear" w:color="auto" w:fill="FFFFFF"/>
        </w:rPr>
        <w:t xml:space="preserve">Y. </w:t>
      </w:r>
      <w:r w:rsidR="006124F2" w:rsidRPr="00DB5387">
        <w:rPr>
          <w:color w:val="222222"/>
          <w:shd w:val="clear" w:color="auto" w:fill="FFFFFF"/>
        </w:rPr>
        <w:t xml:space="preserve">Ding, </w:t>
      </w:r>
      <w:r w:rsidR="005A2DE7" w:rsidRPr="00DB5387">
        <w:rPr>
          <w:color w:val="222222"/>
          <w:shd w:val="clear" w:color="auto" w:fill="FFFFFF"/>
        </w:rPr>
        <w:t xml:space="preserve">P. </w:t>
      </w:r>
      <w:r w:rsidR="006124F2" w:rsidRPr="00DB5387">
        <w:rPr>
          <w:color w:val="222222"/>
          <w:shd w:val="clear" w:color="auto" w:fill="FFFFFF"/>
        </w:rPr>
        <w:t xml:space="preserve">Mancarella, &amp; </w:t>
      </w:r>
      <w:r w:rsidR="005A2DE7" w:rsidRPr="00DB5387">
        <w:rPr>
          <w:color w:val="222222"/>
          <w:shd w:val="clear" w:color="auto" w:fill="FFFFFF"/>
        </w:rPr>
        <w:t xml:space="preserve">A. </w:t>
      </w:r>
      <w:r w:rsidR="006124F2" w:rsidRPr="00DB5387">
        <w:rPr>
          <w:color w:val="222222"/>
          <w:shd w:val="clear" w:color="auto" w:fill="FFFFFF"/>
        </w:rPr>
        <w:t>Sciacovelli, (2021). Liquid air energy storage (LAES): A review on technology state-of-the-art, integration pathways and future perspectives. </w:t>
      </w:r>
      <w:r w:rsidR="006124F2" w:rsidRPr="00DB5387">
        <w:rPr>
          <w:i/>
          <w:iCs/>
          <w:color w:val="222222"/>
          <w:shd w:val="clear" w:color="auto" w:fill="FFFFFF"/>
        </w:rPr>
        <w:t>Advances in Applied Energy</w:t>
      </w:r>
      <w:r w:rsidR="006124F2" w:rsidRPr="00DB5387">
        <w:rPr>
          <w:color w:val="222222"/>
          <w:shd w:val="clear" w:color="auto" w:fill="FFFFFF"/>
        </w:rPr>
        <w:t>, </w:t>
      </w:r>
      <w:r w:rsidR="006124F2" w:rsidRPr="00DB5387">
        <w:rPr>
          <w:i/>
          <w:iCs/>
          <w:color w:val="222222"/>
          <w:shd w:val="clear" w:color="auto" w:fill="FFFFFF"/>
        </w:rPr>
        <w:t>3</w:t>
      </w:r>
      <w:r w:rsidR="006124F2" w:rsidRPr="00DB5387">
        <w:rPr>
          <w:color w:val="222222"/>
          <w:shd w:val="clear" w:color="auto" w:fill="FFFFFF"/>
        </w:rPr>
        <w:t>, 100047.</w:t>
      </w:r>
      <w:r w:rsidR="006124F2" w:rsidRPr="00DB5387">
        <w:t xml:space="preserve"> </w:t>
      </w:r>
    </w:p>
    <w:p w14:paraId="09AEF83E" w14:textId="40656274" w:rsidR="00937CFB" w:rsidRPr="001D5EC6" w:rsidRDefault="00A30907" w:rsidP="008014A0">
      <w:pPr>
        <w:pStyle w:val="Els-body-text"/>
      </w:pPr>
      <w:r w:rsidRPr="00DB5387">
        <w:t xml:space="preserve">[2] O. </w:t>
      </w:r>
      <w:r w:rsidRPr="00DB5387">
        <w:rPr>
          <w:color w:val="222222"/>
          <w:shd w:val="clear" w:color="auto" w:fill="FFFFFF"/>
        </w:rPr>
        <w:t>Edenhofer, R. Pichs-Madruga, Y. Sokona, K. Seyboth, S. Kadner, T. Zwickel, … &amp; P. Matschoss, (Eds.). (2011). </w:t>
      </w:r>
      <w:r w:rsidRPr="00DB5387">
        <w:rPr>
          <w:i/>
          <w:iCs/>
          <w:color w:val="222222"/>
          <w:shd w:val="clear" w:color="auto" w:fill="FFFFFF"/>
        </w:rPr>
        <w:t>Renewable energy sources and climate change mitigation: Special report of the intergovernmental panel on climate change</w:t>
      </w:r>
      <w:r w:rsidRPr="00DB5387">
        <w:rPr>
          <w:color w:val="222222"/>
          <w:shd w:val="clear" w:color="auto" w:fill="FFFFFF"/>
        </w:rPr>
        <w:t>. Cambridge University Press.</w:t>
      </w:r>
      <w:r w:rsidRPr="00DB5387">
        <w:t xml:space="preserve"> </w:t>
      </w:r>
    </w:p>
    <w:p w14:paraId="066D41B5" w14:textId="1AA6A60C" w:rsidR="00937CFB" w:rsidRPr="001D5EC6" w:rsidRDefault="006124F2" w:rsidP="008014A0">
      <w:pPr>
        <w:pStyle w:val="Els-body-text"/>
        <w:rPr>
          <w:color w:val="222222"/>
          <w:shd w:val="clear" w:color="auto" w:fill="FFFFFF"/>
        </w:rPr>
      </w:pPr>
      <w:r w:rsidRPr="00DB5387">
        <w:t xml:space="preserve">[3] </w:t>
      </w:r>
      <w:r w:rsidR="003842EF">
        <w:t>Z. Liu</w:t>
      </w:r>
      <w:r w:rsidR="006131BE">
        <w:t xml:space="preserve"> &amp; T. Gundersen. (2022</w:t>
      </w:r>
      <w:r w:rsidR="00683162">
        <w:t>, November 18</w:t>
      </w:r>
      <w:r w:rsidR="006131BE">
        <w:t>). Liquid Air Energy Storage – Optimization Oppo</w:t>
      </w:r>
      <w:r w:rsidR="00702619">
        <w:t xml:space="preserve">rtunities. Presentation presented at </w:t>
      </w:r>
      <w:r w:rsidR="00A92A93">
        <w:t xml:space="preserve">2022 </w:t>
      </w:r>
      <w:r w:rsidR="00906006">
        <w:t>American Institute of Chemical Engineers Annual Meeting,</w:t>
      </w:r>
      <w:r w:rsidR="00683162">
        <w:t xml:space="preserve"> Phoenix, AZ.</w:t>
      </w:r>
      <w:r w:rsidR="00906006">
        <w:t xml:space="preserve"> </w:t>
      </w:r>
    </w:p>
    <w:p w14:paraId="3109E4D6" w14:textId="0B77DE0F" w:rsidR="00F07743" w:rsidRPr="001D5EC6" w:rsidRDefault="005E596D" w:rsidP="00F07743">
      <w:pPr>
        <w:pStyle w:val="Els-referenceno-number"/>
        <w:ind w:left="0" w:firstLine="0"/>
        <w:rPr>
          <w:color w:val="222222"/>
          <w:sz w:val="20"/>
          <w:shd w:val="clear" w:color="auto" w:fill="FFFFFF"/>
        </w:rPr>
      </w:pPr>
      <w:r w:rsidRPr="004C7105">
        <w:rPr>
          <w:sz w:val="20"/>
        </w:rPr>
        <w:t>[</w:t>
      </w:r>
      <w:r w:rsidR="006124F2" w:rsidRPr="004C7105">
        <w:rPr>
          <w:sz w:val="20"/>
        </w:rPr>
        <w:t>4</w:t>
      </w:r>
      <w:r w:rsidRPr="004C7105">
        <w:rPr>
          <w:sz w:val="20"/>
        </w:rPr>
        <w:t>]</w:t>
      </w:r>
      <w:r w:rsidR="006124F2" w:rsidRPr="00DB5387">
        <w:rPr>
          <w:color w:val="222222"/>
          <w:shd w:val="clear" w:color="auto" w:fill="FFFFFF"/>
        </w:rPr>
        <w:t xml:space="preserve"> </w:t>
      </w:r>
      <w:r w:rsidR="00F07743">
        <w:rPr>
          <w:sz w:val="20"/>
          <w:lang w:val="en-US"/>
        </w:rPr>
        <w:t xml:space="preserve">T. </w:t>
      </w:r>
      <w:r w:rsidR="00F07743" w:rsidRPr="00ED7AA0">
        <w:rPr>
          <w:color w:val="222222"/>
          <w:sz w:val="20"/>
          <w:shd w:val="clear" w:color="auto" w:fill="FFFFFF"/>
        </w:rPr>
        <w:t xml:space="preserve">Liang, </w:t>
      </w:r>
      <w:r w:rsidR="00F07743">
        <w:rPr>
          <w:color w:val="222222"/>
          <w:sz w:val="20"/>
          <w:shd w:val="clear" w:color="auto" w:fill="FFFFFF"/>
        </w:rPr>
        <w:t xml:space="preserve">T. </w:t>
      </w:r>
      <w:r w:rsidR="00F07743" w:rsidRPr="00ED7AA0">
        <w:rPr>
          <w:color w:val="222222"/>
          <w:sz w:val="20"/>
          <w:shd w:val="clear" w:color="auto" w:fill="FFFFFF"/>
        </w:rPr>
        <w:t xml:space="preserve">Zhang, </w:t>
      </w:r>
      <w:r w:rsidR="00F07743">
        <w:rPr>
          <w:color w:val="222222"/>
          <w:sz w:val="20"/>
          <w:shd w:val="clear" w:color="auto" w:fill="FFFFFF"/>
        </w:rPr>
        <w:t xml:space="preserve">X. </w:t>
      </w:r>
      <w:r w:rsidR="00F07743" w:rsidRPr="00ED7AA0">
        <w:rPr>
          <w:color w:val="222222"/>
          <w:sz w:val="20"/>
          <w:shd w:val="clear" w:color="auto" w:fill="FFFFFF"/>
        </w:rPr>
        <w:t xml:space="preserve">Lin, </w:t>
      </w:r>
      <w:r w:rsidR="00F07743">
        <w:rPr>
          <w:color w:val="222222"/>
          <w:sz w:val="20"/>
          <w:shd w:val="clear" w:color="auto" w:fill="FFFFFF"/>
        </w:rPr>
        <w:t xml:space="preserve">A. </w:t>
      </w:r>
      <w:r w:rsidR="00F07743" w:rsidRPr="00ED7AA0">
        <w:rPr>
          <w:color w:val="222222"/>
          <w:sz w:val="20"/>
          <w:shd w:val="clear" w:color="auto" w:fill="FFFFFF"/>
        </w:rPr>
        <w:t xml:space="preserve">Tafone, </w:t>
      </w:r>
      <w:r w:rsidR="00F07743">
        <w:rPr>
          <w:color w:val="222222"/>
          <w:sz w:val="20"/>
          <w:shd w:val="clear" w:color="auto" w:fill="FFFFFF"/>
        </w:rPr>
        <w:t xml:space="preserve">M. </w:t>
      </w:r>
      <w:r w:rsidR="00F07743" w:rsidRPr="00ED7AA0">
        <w:rPr>
          <w:color w:val="222222"/>
          <w:sz w:val="20"/>
          <w:shd w:val="clear" w:color="auto" w:fill="FFFFFF"/>
        </w:rPr>
        <w:t xml:space="preserve">Legrand, </w:t>
      </w:r>
      <w:r w:rsidR="00F07743">
        <w:rPr>
          <w:color w:val="222222"/>
          <w:sz w:val="20"/>
          <w:shd w:val="clear" w:color="auto" w:fill="FFFFFF"/>
        </w:rPr>
        <w:t xml:space="preserve">X. </w:t>
      </w:r>
      <w:r w:rsidR="00F07743" w:rsidRPr="00ED7AA0">
        <w:rPr>
          <w:color w:val="222222"/>
          <w:sz w:val="20"/>
          <w:shd w:val="clear" w:color="auto" w:fill="FFFFFF"/>
        </w:rPr>
        <w:t xml:space="preserve">He, ... &amp; </w:t>
      </w:r>
      <w:r w:rsidR="00F07743">
        <w:rPr>
          <w:color w:val="222222"/>
          <w:sz w:val="20"/>
          <w:shd w:val="clear" w:color="auto" w:fill="FFFFFF"/>
        </w:rPr>
        <w:t xml:space="preserve">Y. </w:t>
      </w:r>
      <w:r w:rsidR="00F07743" w:rsidRPr="00ED7AA0">
        <w:rPr>
          <w:color w:val="222222"/>
          <w:sz w:val="20"/>
          <w:shd w:val="clear" w:color="auto" w:fill="FFFFFF"/>
        </w:rPr>
        <w:t>Ding. (2022). Liquid air energy storage technology: a comprehensive review of research, development and deployment. </w:t>
      </w:r>
      <w:r w:rsidR="00F07743" w:rsidRPr="00ED7AA0">
        <w:rPr>
          <w:i/>
          <w:iCs/>
          <w:color w:val="222222"/>
          <w:sz w:val="20"/>
          <w:shd w:val="clear" w:color="auto" w:fill="FFFFFF"/>
        </w:rPr>
        <w:t>Progress in Energy</w:t>
      </w:r>
      <w:r w:rsidR="00F07743" w:rsidRPr="00ED7AA0">
        <w:rPr>
          <w:color w:val="222222"/>
          <w:sz w:val="20"/>
          <w:shd w:val="clear" w:color="auto" w:fill="FFFFFF"/>
        </w:rPr>
        <w:t>.</w:t>
      </w:r>
    </w:p>
    <w:p w14:paraId="051A19B8" w14:textId="77777777" w:rsidR="00D16E7F" w:rsidRDefault="00F07743" w:rsidP="001D5EC6">
      <w:pPr>
        <w:pStyle w:val="Els-body-text"/>
        <w:rPr>
          <w:color w:val="222222"/>
          <w:shd w:val="clear" w:color="auto" w:fill="FFFFFF"/>
        </w:rPr>
      </w:pPr>
      <w:r>
        <w:rPr>
          <w:color w:val="222222"/>
          <w:shd w:val="clear" w:color="auto" w:fill="FFFFFF"/>
        </w:rPr>
        <w:t xml:space="preserve">[5] </w:t>
      </w:r>
      <w:r w:rsidR="005A2DE7" w:rsidRPr="00DB5387">
        <w:rPr>
          <w:color w:val="222222"/>
          <w:shd w:val="clear" w:color="auto" w:fill="FFFFFF"/>
        </w:rPr>
        <w:t xml:space="preserve">J. </w:t>
      </w:r>
      <w:r w:rsidR="006124F2" w:rsidRPr="00DB5387">
        <w:rPr>
          <w:color w:val="222222"/>
          <w:shd w:val="clear" w:color="auto" w:fill="FFFFFF"/>
        </w:rPr>
        <w:t xml:space="preserve">Park, </w:t>
      </w:r>
      <w:r w:rsidR="005A2DE7" w:rsidRPr="00DB5387">
        <w:rPr>
          <w:color w:val="222222"/>
          <w:shd w:val="clear" w:color="auto" w:fill="FFFFFF"/>
        </w:rPr>
        <w:t xml:space="preserve">S. </w:t>
      </w:r>
      <w:r w:rsidR="006124F2" w:rsidRPr="00DB5387">
        <w:rPr>
          <w:color w:val="222222"/>
          <w:shd w:val="clear" w:color="auto" w:fill="FFFFFF"/>
        </w:rPr>
        <w:t xml:space="preserve">Cho, </w:t>
      </w:r>
      <w:r w:rsidR="005A2DE7" w:rsidRPr="00DB5387">
        <w:rPr>
          <w:color w:val="222222"/>
          <w:shd w:val="clear" w:color="auto" w:fill="FFFFFF"/>
        </w:rPr>
        <w:t xml:space="preserve">M. </w:t>
      </w:r>
      <w:r w:rsidR="006124F2" w:rsidRPr="00DB5387">
        <w:rPr>
          <w:color w:val="222222"/>
          <w:shd w:val="clear" w:color="auto" w:fill="FFFFFF"/>
        </w:rPr>
        <w:t xml:space="preserve">Qi, </w:t>
      </w:r>
      <w:r w:rsidR="005A2DE7" w:rsidRPr="00DB5387">
        <w:rPr>
          <w:color w:val="222222"/>
          <w:shd w:val="clear" w:color="auto" w:fill="FFFFFF"/>
        </w:rPr>
        <w:t xml:space="preserve">W. </w:t>
      </w:r>
      <w:r w:rsidR="006124F2" w:rsidRPr="00DB5387">
        <w:rPr>
          <w:color w:val="222222"/>
          <w:shd w:val="clear" w:color="auto" w:fill="FFFFFF"/>
        </w:rPr>
        <w:t xml:space="preserve">Noh, </w:t>
      </w:r>
      <w:r w:rsidR="005A2DE7" w:rsidRPr="00DB5387">
        <w:rPr>
          <w:color w:val="222222"/>
          <w:shd w:val="clear" w:color="auto" w:fill="FFFFFF"/>
        </w:rPr>
        <w:t xml:space="preserve">I. </w:t>
      </w:r>
      <w:r w:rsidR="006124F2" w:rsidRPr="00DB5387">
        <w:rPr>
          <w:color w:val="222222"/>
          <w:shd w:val="clear" w:color="auto" w:fill="FFFFFF"/>
        </w:rPr>
        <w:t xml:space="preserve">Lee, &amp; </w:t>
      </w:r>
      <w:r w:rsidR="005A2DE7" w:rsidRPr="00DB5387">
        <w:rPr>
          <w:color w:val="222222"/>
          <w:shd w:val="clear" w:color="auto" w:fill="FFFFFF"/>
        </w:rPr>
        <w:t xml:space="preserve">I. </w:t>
      </w:r>
      <w:r w:rsidR="006124F2" w:rsidRPr="00DB5387">
        <w:rPr>
          <w:color w:val="222222"/>
          <w:shd w:val="clear" w:color="auto" w:fill="FFFFFF"/>
        </w:rPr>
        <w:t>Moon (2021). Liquid air energy storage coupled with liquefied natural gas cold energy: Focus on efficiency, energy capacity, and flexibility. </w:t>
      </w:r>
      <w:r w:rsidR="006124F2" w:rsidRPr="00DB5387">
        <w:rPr>
          <w:i/>
          <w:iCs/>
          <w:color w:val="222222"/>
          <w:shd w:val="clear" w:color="auto" w:fill="FFFFFF"/>
        </w:rPr>
        <w:t>Energy</w:t>
      </w:r>
      <w:r w:rsidR="006124F2" w:rsidRPr="00DB5387">
        <w:rPr>
          <w:color w:val="222222"/>
          <w:shd w:val="clear" w:color="auto" w:fill="FFFFFF"/>
        </w:rPr>
        <w:t>, </w:t>
      </w:r>
      <w:r w:rsidR="006124F2" w:rsidRPr="00DB5387">
        <w:rPr>
          <w:i/>
          <w:iCs/>
          <w:color w:val="222222"/>
          <w:shd w:val="clear" w:color="auto" w:fill="FFFFFF"/>
        </w:rPr>
        <w:t>216</w:t>
      </w:r>
      <w:r w:rsidR="006124F2" w:rsidRPr="00DB5387">
        <w:rPr>
          <w:color w:val="222222"/>
          <w:shd w:val="clear" w:color="auto" w:fill="FFFFFF"/>
        </w:rPr>
        <w:t>, 119308.</w:t>
      </w:r>
    </w:p>
    <w:p w14:paraId="63D10975" w14:textId="16383370" w:rsidR="009421E7" w:rsidRPr="001D5EC6" w:rsidRDefault="006124F2" w:rsidP="001D5EC6">
      <w:pPr>
        <w:pStyle w:val="Els-body-text"/>
        <w:rPr>
          <w:color w:val="222222"/>
          <w:shd w:val="clear" w:color="auto" w:fill="FFFFFF"/>
        </w:rPr>
      </w:pPr>
      <w:r w:rsidRPr="00DB5387">
        <w:rPr>
          <w:color w:val="222222"/>
          <w:shd w:val="clear" w:color="auto" w:fill="FFFFFF"/>
        </w:rPr>
        <w:t>[</w:t>
      </w:r>
      <w:r w:rsidR="00F07743">
        <w:rPr>
          <w:color w:val="222222"/>
          <w:shd w:val="clear" w:color="auto" w:fill="FFFFFF"/>
        </w:rPr>
        <w:t>6</w:t>
      </w:r>
      <w:r w:rsidRPr="00DB5387">
        <w:rPr>
          <w:color w:val="222222"/>
          <w:shd w:val="clear" w:color="auto" w:fill="FFFFFF"/>
        </w:rPr>
        <w:t xml:space="preserve">] </w:t>
      </w:r>
      <w:r w:rsidR="005A2DE7" w:rsidRPr="00DB5387">
        <w:rPr>
          <w:color w:val="222222"/>
          <w:shd w:val="clear" w:color="auto" w:fill="FFFFFF"/>
        </w:rPr>
        <w:t xml:space="preserve">A. </w:t>
      </w:r>
      <w:r w:rsidRPr="00DB5387">
        <w:rPr>
          <w:color w:val="222222"/>
          <w:shd w:val="clear" w:color="auto" w:fill="FFFFFF"/>
        </w:rPr>
        <w:t xml:space="preserve">Vecchi, &amp; </w:t>
      </w:r>
      <w:r w:rsidR="005A2DE7" w:rsidRPr="00DB5387">
        <w:rPr>
          <w:color w:val="222222"/>
          <w:shd w:val="clear" w:color="auto" w:fill="FFFFFF"/>
        </w:rPr>
        <w:t xml:space="preserve">A. </w:t>
      </w:r>
      <w:r w:rsidRPr="00DB5387">
        <w:rPr>
          <w:color w:val="222222"/>
          <w:shd w:val="clear" w:color="auto" w:fill="FFFFFF"/>
        </w:rPr>
        <w:t>Sciacovelli, (2023). Long-duration thermo-mechanical energy storage–Present and future techno-economic competitiveness. </w:t>
      </w:r>
      <w:r w:rsidRPr="00DB5387">
        <w:rPr>
          <w:i/>
          <w:iCs/>
          <w:color w:val="222222"/>
          <w:shd w:val="clear" w:color="auto" w:fill="FFFFFF"/>
        </w:rPr>
        <w:t>Applied Energy</w:t>
      </w:r>
      <w:r w:rsidRPr="00DB5387">
        <w:rPr>
          <w:color w:val="222222"/>
          <w:shd w:val="clear" w:color="auto" w:fill="FFFFFF"/>
        </w:rPr>
        <w:t>, </w:t>
      </w:r>
      <w:r w:rsidRPr="00DB5387">
        <w:rPr>
          <w:i/>
          <w:iCs/>
          <w:color w:val="222222"/>
          <w:shd w:val="clear" w:color="auto" w:fill="FFFFFF"/>
        </w:rPr>
        <w:t>334</w:t>
      </w:r>
      <w:r w:rsidRPr="00DB5387">
        <w:rPr>
          <w:color w:val="222222"/>
          <w:shd w:val="clear" w:color="auto" w:fill="FFFFFF"/>
        </w:rPr>
        <w:t>, 120628.</w:t>
      </w:r>
      <w:bookmarkStart w:id="0" w:name="_GoBack"/>
      <w:bookmarkEnd w:id="0"/>
    </w:p>
    <w:sectPr w:rsidR="009421E7" w:rsidRPr="001D5EC6"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5FD72" w14:textId="77777777" w:rsidR="00DE6A60" w:rsidRDefault="00DE6A60">
      <w:r>
        <w:separator/>
      </w:r>
    </w:p>
  </w:endnote>
  <w:endnote w:type="continuationSeparator" w:id="0">
    <w:p w14:paraId="2EE53940" w14:textId="77777777" w:rsidR="00DE6A60" w:rsidRDefault="00DE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5F0B7" w14:textId="77777777" w:rsidR="00DE6A60" w:rsidRDefault="00DE6A60">
      <w:r>
        <w:separator/>
      </w:r>
    </w:p>
  </w:footnote>
  <w:footnote w:type="continuationSeparator" w:id="0">
    <w:p w14:paraId="28513690" w14:textId="77777777" w:rsidR="00DE6A60" w:rsidRDefault="00DE6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1928E218" w:rsidR="00881234" w:rsidRPr="00C60CB0" w:rsidRDefault="00881234" w:rsidP="00C60CB0">
    <w:pPr>
      <w:pStyle w:val="Header"/>
      <w:tabs>
        <w:tab w:val="clear" w:pos="7200"/>
        <w:tab w:val="right" w:pos="7088"/>
      </w:tabs>
      <w:jc w:val="right"/>
      <w:rPr>
        <w:i/>
      </w:rPr>
    </w:pPr>
    <w:r w:rsidRPr="00C60CB0">
      <w:rPr>
        <w:rStyle w:val="PageNumber"/>
        <w:i/>
      </w:rPr>
      <w:t>S. Cetegen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57A026D" w:rsidR="00881234" w:rsidRDefault="00881234" w:rsidP="007F26E9">
    <w:pPr>
      <w:pStyle w:val="Header"/>
      <w:tabs>
        <w:tab w:val="clear" w:pos="7200"/>
        <w:tab w:val="right" w:pos="7088"/>
      </w:tabs>
      <w:rPr>
        <w:sz w:val="24"/>
      </w:rPr>
    </w:pPr>
    <w:r>
      <w:rPr>
        <w:i/>
      </w:rPr>
      <w:t>Economic Analysis of Liquid Air Energy Storage Systems</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881234" w:rsidRPr="003B50B5" w:rsidRDefault="00881234"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881234" w:rsidRDefault="00881234"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1E794A92"/>
    <w:multiLevelType w:val="hybridMultilevel"/>
    <w:tmpl w:val="19B20508"/>
    <w:lvl w:ilvl="0" w:tplc="94F034E2">
      <w:start w:val="1"/>
      <w:numFmt w:val="decimal"/>
      <w:lvlText w:val="%1."/>
      <w:lvlJc w:val="left"/>
      <w:pPr>
        <w:ind w:left="720" w:hanging="360"/>
      </w:pPr>
      <w:rPr>
        <w:rFonts w:ascii="Times New Roman" w:hAnsi="Times New Roman"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3B34A8"/>
    <w:multiLevelType w:val="hybridMultilevel"/>
    <w:tmpl w:val="9BA8F432"/>
    <w:lvl w:ilvl="0" w:tplc="DFCE9AD6">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7"/>
  </w:num>
  <w:num w:numId="7">
    <w:abstractNumId w:val="14"/>
  </w:num>
  <w:num w:numId="8">
    <w:abstractNumId w:val="1"/>
  </w:num>
  <w:num w:numId="9">
    <w:abstractNumId w:val="12"/>
  </w:num>
  <w:num w:numId="10">
    <w:abstractNumId w:val="16"/>
  </w:num>
  <w:num w:numId="11">
    <w:abstractNumId w:val="15"/>
  </w:num>
  <w:num w:numId="12">
    <w:abstractNumId w:val="6"/>
  </w:num>
  <w:num w:numId="13">
    <w:abstractNumId w:val="10"/>
  </w:num>
  <w:num w:numId="14">
    <w:abstractNumId w:val="2"/>
  </w:num>
  <w:num w:numId="15">
    <w:abstractNumId w:val="8"/>
  </w:num>
  <w:num w:numId="16">
    <w:abstractNumId w:val="4"/>
  </w:num>
  <w:num w:numId="17">
    <w:abstractNumId w:val="5"/>
  </w:num>
  <w:num w:numId="18">
    <w:abstractNumId w:val="11"/>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72120"/>
    <w:rsid w:val="000D337C"/>
    <w:rsid w:val="000D3D9B"/>
    <w:rsid w:val="001029F4"/>
    <w:rsid w:val="00144B0A"/>
    <w:rsid w:val="001479BB"/>
    <w:rsid w:val="00151B02"/>
    <w:rsid w:val="0016032F"/>
    <w:rsid w:val="00177A03"/>
    <w:rsid w:val="001879F6"/>
    <w:rsid w:val="001B5BF1"/>
    <w:rsid w:val="001C0148"/>
    <w:rsid w:val="001C757E"/>
    <w:rsid w:val="001D5EC6"/>
    <w:rsid w:val="0020390F"/>
    <w:rsid w:val="002306E0"/>
    <w:rsid w:val="00264926"/>
    <w:rsid w:val="002664E1"/>
    <w:rsid w:val="00295C20"/>
    <w:rsid w:val="002B23C7"/>
    <w:rsid w:val="003110A4"/>
    <w:rsid w:val="00335479"/>
    <w:rsid w:val="00342EDD"/>
    <w:rsid w:val="0034777C"/>
    <w:rsid w:val="003704EE"/>
    <w:rsid w:val="00381C55"/>
    <w:rsid w:val="003842EF"/>
    <w:rsid w:val="003853F5"/>
    <w:rsid w:val="00395F0B"/>
    <w:rsid w:val="003C5278"/>
    <w:rsid w:val="003D1582"/>
    <w:rsid w:val="003D7E4C"/>
    <w:rsid w:val="003E41C2"/>
    <w:rsid w:val="003F1B7C"/>
    <w:rsid w:val="00403674"/>
    <w:rsid w:val="004141C4"/>
    <w:rsid w:val="0043342E"/>
    <w:rsid w:val="0045693F"/>
    <w:rsid w:val="0049772C"/>
    <w:rsid w:val="004C7105"/>
    <w:rsid w:val="00500035"/>
    <w:rsid w:val="00542B4B"/>
    <w:rsid w:val="00552EEB"/>
    <w:rsid w:val="0059181D"/>
    <w:rsid w:val="005A2DE7"/>
    <w:rsid w:val="005A579C"/>
    <w:rsid w:val="005B7605"/>
    <w:rsid w:val="005E596D"/>
    <w:rsid w:val="00603555"/>
    <w:rsid w:val="00611A2F"/>
    <w:rsid w:val="006124F2"/>
    <w:rsid w:val="006131BE"/>
    <w:rsid w:val="00683162"/>
    <w:rsid w:val="006A69BF"/>
    <w:rsid w:val="006B1994"/>
    <w:rsid w:val="006B727D"/>
    <w:rsid w:val="006D3785"/>
    <w:rsid w:val="006D706B"/>
    <w:rsid w:val="006F55FD"/>
    <w:rsid w:val="00702619"/>
    <w:rsid w:val="00711DF4"/>
    <w:rsid w:val="007350A7"/>
    <w:rsid w:val="00765D38"/>
    <w:rsid w:val="007872F1"/>
    <w:rsid w:val="007D70A1"/>
    <w:rsid w:val="007E089C"/>
    <w:rsid w:val="007F26E9"/>
    <w:rsid w:val="008014A0"/>
    <w:rsid w:val="00803685"/>
    <w:rsid w:val="008132E8"/>
    <w:rsid w:val="00823407"/>
    <w:rsid w:val="00831DFF"/>
    <w:rsid w:val="00881234"/>
    <w:rsid w:val="00884D87"/>
    <w:rsid w:val="008A3F6F"/>
    <w:rsid w:val="008A483F"/>
    <w:rsid w:val="008B0184"/>
    <w:rsid w:val="008B6D6D"/>
    <w:rsid w:val="008C5D02"/>
    <w:rsid w:val="008D0B12"/>
    <w:rsid w:val="008D2649"/>
    <w:rsid w:val="008E6FEA"/>
    <w:rsid w:val="0090568D"/>
    <w:rsid w:val="00906006"/>
    <w:rsid w:val="009125C9"/>
    <w:rsid w:val="00913879"/>
    <w:rsid w:val="00917661"/>
    <w:rsid w:val="00937CFB"/>
    <w:rsid w:val="009421E7"/>
    <w:rsid w:val="00944A43"/>
    <w:rsid w:val="00970E5D"/>
    <w:rsid w:val="0097701C"/>
    <w:rsid w:val="00980A65"/>
    <w:rsid w:val="0098102F"/>
    <w:rsid w:val="009952CF"/>
    <w:rsid w:val="00996DDC"/>
    <w:rsid w:val="009C04FA"/>
    <w:rsid w:val="00A1306D"/>
    <w:rsid w:val="00A22659"/>
    <w:rsid w:val="00A25E70"/>
    <w:rsid w:val="00A30907"/>
    <w:rsid w:val="00A32285"/>
    <w:rsid w:val="00A33765"/>
    <w:rsid w:val="00A35F3E"/>
    <w:rsid w:val="00A63269"/>
    <w:rsid w:val="00A75BDF"/>
    <w:rsid w:val="00A836ED"/>
    <w:rsid w:val="00A92377"/>
    <w:rsid w:val="00A92A93"/>
    <w:rsid w:val="00A97044"/>
    <w:rsid w:val="00AB29ED"/>
    <w:rsid w:val="00AC1003"/>
    <w:rsid w:val="00AD5B2C"/>
    <w:rsid w:val="00AE0303"/>
    <w:rsid w:val="00AE0C95"/>
    <w:rsid w:val="00AE4BD8"/>
    <w:rsid w:val="00B0231F"/>
    <w:rsid w:val="00B20797"/>
    <w:rsid w:val="00B42785"/>
    <w:rsid w:val="00B4388F"/>
    <w:rsid w:val="00B63237"/>
    <w:rsid w:val="00B6519D"/>
    <w:rsid w:val="00B6550B"/>
    <w:rsid w:val="00BC6A64"/>
    <w:rsid w:val="00BF0405"/>
    <w:rsid w:val="00C03598"/>
    <w:rsid w:val="00C33DDF"/>
    <w:rsid w:val="00C40E88"/>
    <w:rsid w:val="00C60CB0"/>
    <w:rsid w:val="00C668F3"/>
    <w:rsid w:val="00C7309E"/>
    <w:rsid w:val="00C960DC"/>
    <w:rsid w:val="00CB0B20"/>
    <w:rsid w:val="00CB2CFB"/>
    <w:rsid w:val="00CC1185"/>
    <w:rsid w:val="00CC1E09"/>
    <w:rsid w:val="00CE56A4"/>
    <w:rsid w:val="00D02C75"/>
    <w:rsid w:val="00D10E22"/>
    <w:rsid w:val="00D13D2C"/>
    <w:rsid w:val="00D16E7F"/>
    <w:rsid w:val="00D25A70"/>
    <w:rsid w:val="00D402F0"/>
    <w:rsid w:val="00D41657"/>
    <w:rsid w:val="00D71B4C"/>
    <w:rsid w:val="00DB5387"/>
    <w:rsid w:val="00DC2F94"/>
    <w:rsid w:val="00DC5D6B"/>
    <w:rsid w:val="00DC66E7"/>
    <w:rsid w:val="00DD3D9E"/>
    <w:rsid w:val="00DD7908"/>
    <w:rsid w:val="00DE6A60"/>
    <w:rsid w:val="00E725D4"/>
    <w:rsid w:val="00E82297"/>
    <w:rsid w:val="00ED2938"/>
    <w:rsid w:val="00ED7AA0"/>
    <w:rsid w:val="00EE7BF7"/>
    <w:rsid w:val="00EF39FD"/>
    <w:rsid w:val="00F04718"/>
    <w:rsid w:val="00F06842"/>
    <w:rsid w:val="00F07743"/>
    <w:rsid w:val="00F07F43"/>
    <w:rsid w:val="00F107FD"/>
    <w:rsid w:val="00F12D24"/>
    <w:rsid w:val="00F53BBC"/>
    <w:rsid w:val="00F8669A"/>
    <w:rsid w:val="00FA3ED1"/>
    <w:rsid w:val="00FB64A8"/>
    <w:rsid w:val="00FC3C74"/>
    <w:rsid w:val="00FE18A7"/>
    <w:rsid w:val="00FF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ListParagraph">
    <w:name w:val="List Paragraph"/>
    <w:basedOn w:val="Normal"/>
    <w:uiPriority w:val="34"/>
    <w:qFormat/>
    <w:rsid w:val="007F26E9"/>
    <w:pPr>
      <w:ind w:left="720"/>
      <w:contextualSpacing/>
    </w:pPr>
  </w:style>
  <w:style w:type="table" w:styleId="TableGrid">
    <w:name w:val="Table Grid"/>
    <w:basedOn w:val="TableNormal"/>
    <w:rsid w:val="00F04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047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996DDC"/>
    <w:pPr>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uiPriority w:val="99"/>
    <w:semiHidden/>
    <w:rsid w:val="008036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273961">
      <w:bodyDiv w:val="1"/>
      <w:marLeft w:val="0"/>
      <w:marRight w:val="0"/>
      <w:marTop w:val="0"/>
      <w:marBottom w:val="0"/>
      <w:divBdr>
        <w:top w:val="none" w:sz="0" w:space="0" w:color="auto"/>
        <w:left w:val="none" w:sz="0" w:space="0" w:color="auto"/>
        <w:bottom w:val="none" w:sz="0" w:space="0" w:color="auto"/>
        <w:right w:val="none" w:sz="0" w:space="0" w:color="auto"/>
      </w:divBdr>
      <w:divsChild>
        <w:div w:id="1408183428">
          <w:marLeft w:val="0"/>
          <w:marRight w:val="0"/>
          <w:marTop w:val="150"/>
          <w:marBottom w:val="150"/>
          <w:divBdr>
            <w:top w:val="none" w:sz="0" w:space="0" w:color="auto"/>
            <w:left w:val="none" w:sz="0" w:space="0" w:color="auto"/>
            <w:bottom w:val="none" w:sz="0" w:space="0" w:color="auto"/>
            <w:right w:val="none" w:sz="0" w:space="0" w:color="auto"/>
          </w:divBdr>
          <w:divsChild>
            <w:div w:id="1365791438">
              <w:marLeft w:val="0"/>
              <w:marRight w:val="0"/>
              <w:marTop w:val="0"/>
              <w:marBottom w:val="0"/>
              <w:divBdr>
                <w:top w:val="none" w:sz="0" w:space="0" w:color="auto"/>
                <w:left w:val="none" w:sz="0" w:space="0" w:color="auto"/>
                <w:bottom w:val="none" w:sz="0" w:space="0" w:color="auto"/>
                <w:right w:val="none" w:sz="0" w:space="0" w:color="auto"/>
              </w:divBdr>
            </w:div>
          </w:divsChild>
        </w:div>
        <w:div w:id="1119028572">
          <w:marLeft w:val="0"/>
          <w:marRight w:val="0"/>
          <w:marTop w:val="150"/>
          <w:marBottom w:val="150"/>
          <w:divBdr>
            <w:top w:val="none" w:sz="0" w:space="0" w:color="auto"/>
            <w:left w:val="none" w:sz="0" w:space="0" w:color="auto"/>
            <w:bottom w:val="none" w:sz="0" w:space="0" w:color="auto"/>
            <w:right w:val="none" w:sz="0" w:space="0" w:color="auto"/>
          </w:divBdr>
          <w:divsChild>
            <w:div w:id="13979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9611">
      <w:bodyDiv w:val="1"/>
      <w:marLeft w:val="0"/>
      <w:marRight w:val="0"/>
      <w:marTop w:val="0"/>
      <w:marBottom w:val="0"/>
      <w:divBdr>
        <w:top w:val="none" w:sz="0" w:space="0" w:color="auto"/>
        <w:left w:val="none" w:sz="0" w:space="0" w:color="auto"/>
        <w:bottom w:val="none" w:sz="0" w:space="0" w:color="auto"/>
        <w:right w:val="none" w:sz="0" w:space="0" w:color="auto"/>
      </w:divBdr>
      <w:divsChild>
        <w:div w:id="2007705825">
          <w:marLeft w:val="0"/>
          <w:marRight w:val="0"/>
          <w:marTop w:val="0"/>
          <w:marBottom w:val="0"/>
          <w:divBdr>
            <w:top w:val="none" w:sz="0" w:space="0" w:color="auto"/>
            <w:left w:val="none" w:sz="0" w:space="0" w:color="auto"/>
            <w:bottom w:val="none" w:sz="0" w:space="0" w:color="auto"/>
            <w:right w:val="none" w:sz="0" w:space="0" w:color="auto"/>
          </w:divBdr>
          <w:divsChild>
            <w:div w:id="2958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3106">
      <w:bodyDiv w:val="1"/>
      <w:marLeft w:val="0"/>
      <w:marRight w:val="0"/>
      <w:marTop w:val="0"/>
      <w:marBottom w:val="0"/>
      <w:divBdr>
        <w:top w:val="none" w:sz="0" w:space="0" w:color="auto"/>
        <w:left w:val="none" w:sz="0" w:space="0" w:color="auto"/>
        <w:bottom w:val="none" w:sz="0" w:space="0" w:color="auto"/>
        <w:right w:val="none" w:sz="0" w:space="0" w:color="auto"/>
      </w:divBdr>
      <w:divsChild>
        <w:div w:id="426852732">
          <w:marLeft w:val="0"/>
          <w:marRight w:val="0"/>
          <w:marTop w:val="150"/>
          <w:marBottom w:val="150"/>
          <w:divBdr>
            <w:top w:val="none" w:sz="0" w:space="0" w:color="auto"/>
            <w:left w:val="none" w:sz="0" w:space="0" w:color="auto"/>
            <w:bottom w:val="none" w:sz="0" w:space="0" w:color="auto"/>
            <w:right w:val="none" w:sz="0" w:space="0" w:color="auto"/>
          </w:divBdr>
          <w:divsChild>
            <w:div w:id="2246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3FBDF6E4C924EBDB2F512AF38CE21" ma:contentTypeVersion="14" ma:contentTypeDescription="Create a new document." ma:contentTypeScope="" ma:versionID="ec140e880ec03484b19f006c83dc9786">
  <xsd:schema xmlns:xsd="http://www.w3.org/2001/XMLSchema" xmlns:xs="http://www.w3.org/2001/XMLSchema" xmlns:p="http://schemas.microsoft.com/office/2006/metadata/properties" xmlns:ns3="4984db38-1c9e-4021-a3fe-176b0bd2678e" targetNamespace="http://schemas.microsoft.com/office/2006/metadata/properties" ma:root="true" ma:fieldsID="ca77b5e7186fd32d360870bf4aaef6d5" ns3:_="">
    <xsd:import namespace="4984db38-1c9e-4021-a3fe-176b0bd267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4db38-1c9e-4021-a3fe-176b0bd26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F5D0E-E90E-4C75-9FA8-76A3F21F3FE8}">
  <ds:schemaRefs>
    <ds:schemaRef ds:uri="http://schemas.microsoft.com/sharepoint/v3/contenttype/forms"/>
  </ds:schemaRefs>
</ds:datastoreItem>
</file>

<file path=customXml/itemProps2.xml><?xml version="1.0" encoding="utf-8"?>
<ds:datastoreItem xmlns:ds="http://schemas.openxmlformats.org/officeDocument/2006/customXml" ds:itemID="{CF37BF91-5D38-4106-995B-96161D25D234}">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4984db38-1c9e-4021-a3fe-176b0bd2678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3F36A8B-F0E3-4823-905A-1B0D4ACAF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4db38-1c9e-4021-a3fe-176b0bd26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D5309E-4601-4DBC-A6A8-D6EE8425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2436</Words>
  <Characters>13370</Characters>
  <Application>Microsoft Office Word</Application>
  <DocSecurity>0</DocSecurity>
  <Lines>111</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Shaylin Cetegen</dc:creator>
  <cp:lastModifiedBy>Shaylin Ashley Cetegen</cp:lastModifiedBy>
  <cp:revision>2</cp:revision>
  <cp:lastPrinted>2023-11-28T18:20:00Z</cp:lastPrinted>
  <dcterms:created xsi:type="dcterms:W3CDTF">2024-01-13T07:19:00Z</dcterms:created>
  <dcterms:modified xsi:type="dcterms:W3CDTF">2024-01-13T07:19:00Z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0x010100CCA3FBDF6E4C924EBDB2F512AF38CE21</vt:lpwstr>
  </property>
</Properties>
</file>