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37F53B9" w:rsidR="00DD3D9E" w:rsidRPr="00B4388F" w:rsidRDefault="00E7192E">
      <w:pPr>
        <w:pStyle w:val="Els-Title"/>
        <w:rPr>
          <w:color w:val="000000" w:themeColor="text1"/>
        </w:rPr>
      </w:pPr>
      <w:r w:rsidRPr="00E7192E">
        <w:rPr>
          <w:color w:val="000000" w:themeColor="text1"/>
        </w:rPr>
        <w:t>Heterogenous electrolysis plants as enabler of efficient and flexible Power-to-X value chains</w:t>
      </w:r>
    </w:p>
    <w:p w14:paraId="144DE680" w14:textId="735231EB" w:rsidR="00DD3D9E" w:rsidRDefault="00E7192E">
      <w:pPr>
        <w:pStyle w:val="Els-Author"/>
      </w:pPr>
      <w:r w:rsidRPr="00E7192E">
        <w:t>Michael Mock</w:t>
      </w:r>
      <w:r w:rsidRPr="00E7192E">
        <w:rPr>
          <w:vertAlign w:val="superscript"/>
        </w:rPr>
        <w:t>a</w:t>
      </w:r>
      <w:r>
        <w:t>*</w:t>
      </w:r>
      <w:r w:rsidRPr="00E7192E">
        <w:t>, Isabell Viedt</w:t>
      </w:r>
      <w:r w:rsidRPr="00E7192E">
        <w:rPr>
          <w:vertAlign w:val="superscript"/>
        </w:rPr>
        <w:t>a</w:t>
      </w:r>
      <w:r w:rsidRPr="00E7192E">
        <w:t>,</w:t>
      </w:r>
      <w:r w:rsidR="00EC047A">
        <w:t xml:space="preserve"> </w:t>
      </w:r>
      <w:r w:rsidR="006B02A3">
        <w:t>Hannes Lange</w:t>
      </w:r>
      <w:r w:rsidR="006B02A3">
        <w:rPr>
          <w:vertAlign w:val="superscript"/>
        </w:rPr>
        <w:t>a</w:t>
      </w:r>
      <w:r w:rsidR="006B02A3">
        <w:t>,</w:t>
      </w:r>
      <w:r w:rsidRPr="00E7192E">
        <w:t xml:space="preserve"> Leon Urbas</w:t>
      </w:r>
      <w:r w:rsidRPr="00E7192E">
        <w:rPr>
          <w:vertAlign w:val="superscript"/>
        </w:rPr>
        <w:t>a</w:t>
      </w:r>
    </w:p>
    <w:p w14:paraId="3F5F327A" w14:textId="77777777" w:rsidR="00E7192E" w:rsidRDefault="00E7192E" w:rsidP="00E7192E">
      <w:pPr>
        <w:pStyle w:val="Els-Affiliation"/>
      </w:pPr>
      <w:r w:rsidRPr="00E7192E">
        <w:rPr>
          <w:vertAlign w:val="superscript"/>
        </w:rPr>
        <w:t>a</w:t>
      </w:r>
      <w:r w:rsidRPr="00E7192E">
        <w:t>TU Dresden, Chair of Process Control System and Process Systems Engineering Group, Helmholtzstr. 14, 01069 Dresden, Germany</w:t>
      </w:r>
    </w:p>
    <w:p w14:paraId="144DE684" w14:textId="4B70BF14" w:rsidR="008D2649" w:rsidRDefault="00E7192E" w:rsidP="00E7192E">
      <w:pPr>
        <w:pStyle w:val="Els-Affiliation"/>
      </w:pPr>
      <w:r w:rsidRPr="00E7192E">
        <w:t xml:space="preserve">E-Mail: michael.mock@tu-dresden.de </w:t>
      </w:r>
      <w:r w:rsidR="008D2649">
        <w:t>Abstract</w:t>
      </w:r>
    </w:p>
    <w:p w14:paraId="6BC8F60E" w14:textId="42238828" w:rsidR="00E7192E" w:rsidRDefault="00EC3274" w:rsidP="00EC3274">
      <w:pPr>
        <w:pStyle w:val="Els-1storder-head"/>
        <w:numPr>
          <w:ilvl w:val="0"/>
          <w:numId w:val="0"/>
        </w:numPr>
      </w:pPr>
      <w:r>
        <w:t>Abstract</w:t>
      </w:r>
    </w:p>
    <w:p w14:paraId="3D13C952" w14:textId="1278140B" w:rsidR="00E7192E" w:rsidRDefault="00E7192E" w:rsidP="00E7192E">
      <w:pPr>
        <w:pStyle w:val="Els-body-text"/>
        <w:spacing w:after="120"/>
        <w:rPr>
          <w:lang w:val="en-GB"/>
        </w:rPr>
      </w:pPr>
      <w:r w:rsidRPr="00E7192E">
        <w:rPr>
          <w:lang w:val="en-GB"/>
        </w:rPr>
        <w:t>The Power-to-Ammonia (</w:t>
      </w:r>
      <w:proofErr w:type="spellStart"/>
      <w:r w:rsidRPr="00E7192E">
        <w:rPr>
          <w:lang w:val="en-GB"/>
        </w:rPr>
        <w:t>PtA</w:t>
      </w:r>
      <w:proofErr w:type="spellEnd"/>
      <w:r w:rsidRPr="00E7192E">
        <w:rPr>
          <w:lang w:val="en-GB"/>
        </w:rPr>
        <w:t>) value chain is an important enabler of sector coupling and integration of renewable energy in the process industry</w:t>
      </w:r>
      <w:r w:rsidR="002F1FB0">
        <w:rPr>
          <w:lang w:val="en-GB"/>
        </w:rPr>
        <w:t xml:space="preserve">. The </w:t>
      </w:r>
      <w:proofErr w:type="spellStart"/>
      <w:r w:rsidRPr="00E7192E">
        <w:rPr>
          <w:lang w:val="en-GB"/>
        </w:rPr>
        <w:t>PtA</w:t>
      </w:r>
      <w:proofErr w:type="spellEnd"/>
      <w:r w:rsidRPr="00E7192E">
        <w:rPr>
          <w:lang w:val="en-GB"/>
        </w:rPr>
        <w:t xml:space="preserve"> pathway</w:t>
      </w:r>
      <w:r w:rsidR="002F1FB0">
        <w:rPr>
          <w:lang w:val="en-GB"/>
        </w:rPr>
        <w:t xml:space="preserve"> typically </w:t>
      </w:r>
      <w:r w:rsidRPr="00E7192E">
        <w:rPr>
          <w:lang w:val="en-GB"/>
        </w:rPr>
        <w:t>uses</w:t>
      </w:r>
      <w:r>
        <w:rPr>
          <w:lang w:val="en-GB"/>
        </w:rPr>
        <w:t xml:space="preserve"> </w:t>
      </w:r>
      <w:r>
        <w:rPr>
          <w:lang w:val="en-GB"/>
        </w:rPr>
        <w:br/>
      </w:r>
      <w:r w:rsidRPr="00E7192E">
        <w:rPr>
          <w:lang w:val="en-GB"/>
        </w:rPr>
        <w:t xml:space="preserve">90-96 % of the incoming fluctuating energy to produce green hydrogen using </w:t>
      </w:r>
      <w:proofErr w:type="spellStart"/>
      <w:r w:rsidRPr="00E7192E">
        <w:rPr>
          <w:lang w:val="en-GB"/>
        </w:rPr>
        <w:t>electrolyzer</w:t>
      </w:r>
      <w:proofErr w:type="spellEnd"/>
      <w:r w:rsidRPr="00E7192E">
        <w:rPr>
          <w:lang w:val="en-GB"/>
        </w:rPr>
        <w:t xml:space="preserve"> systems </w:t>
      </w:r>
      <w:r w:rsidR="00A03A47">
        <w:fldChar w:fldCharType="begin"/>
      </w:r>
      <w:r w:rsidR="00A03A47">
        <w:instrText xml:space="preserve"> ADDIN ZOTERO_ITEM CSL_CITATION {"citationID":"0V2BIKEP","properties":{"formattedCitation":"[1]","plainCitation":"[1]","noteIndex":0},"citationItems":[{"id":5905,"uris":["http://zotero.org/users/10316845/items/7WP8EBHU"],"itemData":{"id":5905,"type":"article-journal","container-title":"Renewable and Sustainable Energy Reviews","note":"publisher: Elsevier","page":"109339","title":"Islanded ammonia power systems: Technology review &amp; conceptual process design","volume":"114","author":[{"family":"Rouwenhorst","given":"Kevin HR"},{"family":"Van der Ham","given":"Aloijsius GJ"},{"family":"Mul","given":"Guido"},{"family":"Kersten","given":"Sascha RA"}],"issued":{"date-parts":[["2019"]]}}}],"schema":"https://github.com/citation-style-language/schema/raw/master/csl-citation.json"} </w:instrText>
      </w:r>
      <w:r w:rsidR="00A03A47">
        <w:fldChar w:fldCharType="separate"/>
      </w:r>
      <w:r w:rsidR="00A03A47" w:rsidRPr="00A03A47">
        <w:t>[1]</w:t>
      </w:r>
      <w:r w:rsidR="00A03A47">
        <w:fldChar w:fldCharType="end"/>
      </w:r>
      <w:r w:rsidRPr="00E7192E">
        <w:rPr>
          <w:lang w:val="en-GB"/>
        </w:rPr>
        <w:t xml:space="preserve">. Hence to optimize the energy efficiency, flexibility, adaptability to fluctuating energy and cost of the </w:t>
      </w:r>
      <w:proofErr w:type="spellStart"/>
      <w:r w:rsidRPr="00E7192E">
        <w:rPr>
          <w:lang w:val="en-GB"/>
        </w:rPr>
        <w:t>PtA</w:t>
      </w:r>
      <w:proofErr w:type="spellEnd"/>
      <w:r w:rsidRPr="00E7192E">
        <w:rPr>
          <w:lang w:val="en-GB"/>
        </w:rPr>
        <w:t xml:space="preserve"> process, the correct choice of electrolysis technology is important. Each electrolysis technology has certain advantages and disadvantages in handling a fluctuating energy input </w:t>
      </w:r>
      <w:r w:rsidR="00A03A47">
        <w:fldChar w:fldCharType="begin"/>
      </w:r>
      <w:r w:rsidR="00A03A47">
        <w:instrText xml:space="preserve"> ADDIN ZOTERO_ITEM CSL_CITATION {"citationID":"dtpZxl74","properties":{"formattedCitation":"[2]","plainCitation":"[2]","noteIndex":0},"citationItems":[{"id":10723,"uris":["http://zotero.org/users/10316845/items/QMJEIWRS"],"itemData":{"id":10723,"type":"article-journal","container-title":"International Journal of Hydrogen Energy","DOI":"10.1016/j.ijhydene.2023.01.044","ISSN":"03603199","issue":"42","journalAbbreviation":"International Journal of Hydrogen Energy","language":"en","page":"15771-15783","source":"DOI.org (Crossref)","title":"Technical evaluation of the flexibility of water electrolysis systems to increase energy flexibility: A review","title-short":"Technical evaluation of the flexibility of water electrolysis systems to increase energy flexibility","volume":"48","author":[{"family":"Lange","given":"Hannes"},{"family":"Klose","given":"Anselm"},{"family":"Lippmann","given":"Wolfgang"},{"family":"Urbas","given":"Leon"}],"issued":{"date-parts":[["2023",5]]}}}],"schema":"https://github.com/citation-style-language/schema/raw/master/csl-citation.json"} </w:instrText>
      </w:r>
      <w:r w:rsidR="00A03A47">
        <w:fldChar w:fldCharType="separate"/>
      </w:r>
      <w:r w:rsidR="00A03A47" w:rsidRPr="00A03A47">
        <w:t>[2]</w:t>
      </w:r>
      <w:r w:rsidR="00A03A47">
        <w:fldChar w:fldCharType="end"/>
      </w:r>
      <w:r w:rsidRPr="00E7192E">
        <w:rPr>
          <w:lang w:val="en-GB"/>
        </w:rPr>
        <w:t xml:space="preserve">. The use of modular and heterogenous electrolysis systems, consisting of different types and sizes of </w:t>
      </w:r>
      <w:proofErr w:type="spellStart"/>
      <w:r w:rsidRPr="00E7192E">
        <w:rPr>
          <w:lang w:val="en-GB"/>
        </w:rPr>
        <w:t>electrolyzers</w:t>
      </w:r>
      <w:proofErr w:type="spellEnd"/>
      <w:r w:rsidRPr="00E7192E">
        <w:rPr>
          <w:lang w:val="en-GB"/>
        </w:rPr>
        <w:t xml:space="preserve">, can utilize these advantages while counteracting the disadvantages. The project </w:t>
      </w:r>
      <w:proofErr w:type="spellStart"/>
      <w:r w:rsidRPr="00E7192E">
        <w:rPr>
          <w:lang w:val="en-GB"/>
        </w:rPr>
        <w:t>eModule</w:t>
      </w:r>
      <w:proofErr w:type="spellEnd"/>
      <w:r w:rsidRPr="00E7192E">
        <w:rPr>
          <w:lang w:val="en-GB"/>
        </w:rPr>
        <w:t xml:space="preserve"> researches a possible transfer of modular plant concepts, defined in the VDI/VDE/NAMUR 2776 standard for the process industry, to enable a fast, efficient, and flexible scale-up of </w:t>
      </w:r>
      <w:proofErr w:type="spellStart"/>
      <w:r w:rsidRPr="00E7192E">
        <w:rPr>
          <w:lang w:val="en-GB"/>
        </w:rPr>
        <w:t>electrolyzer</w:t>
      </w:r>
      <w:proofErr w:type="spellEnd"/>
      <w:r w:rsidRPr="00E7192E">
        <w:rPr>
          <w:lang w:val="en-GB"/>
        </w:rPr>
        <w:t xml:space="preserve"> systems. </w:t>
      </w:r>
    </w:p>
    <w:p w14:paraId="144DE686" w14:textId="49A799B8" w:rsidR="008D2649" w:rsidRDefault="00E7192E" w:rsidP="00E7192E">
      <w:pPr>
        <w:pStyle w:val="Els-body-text"/>
        <w:spacing w:after="120"/>
        <w:rPr>
          <w:lang w:val="en-GB"/>
        </w:rPr>
      </w:pPr>
      <w:r w:rsidRPr="00E7192E">
        <w:rPr>
          <w:lang w:val="en-GB"/>
        </w:rPr>
        <w:t xml:space="preserve">For that purpose, this paper evaluates different modular </w:t>
      </w:r>
      <w:proofErr w:type="spellStart"/>
      <w:r w:rsidRPr="00E7192E">
        <w:rPr>
          <w:lang w:val="en-GB"/>
        </w:rPr>
        <w:t>electrolyzer</w:t>
      </w:r>
      <w:proofErr w:type="spellEnd"/>
      <w:r w:rsidRPr="00E7192E">
        <w:rPr>
          <w:lang w:val="en-GB"/>
        </w:rPr>
        <w:t xml:space="preserve"> configurations in a flexible </w:t>
      </w:r>
      <w:proofErr w:type="spellStart"/>
      <w:r w:rsidRPr="00E7192E">
        <w:rPr>
          <w:lang w:val="en-GB"/>
        </w:rPr>
        <w:t>PtA</w:t>
      </w:r>
      <w:proofErr w:type="spellEnd"/>
      <w:r w:rsidRPr="00E7192E">
        <w:rPr>
          <w:lang w:val="en-GB"/>
        </w:rPr>
        <w:t xml:space="preserve"> value chain. A monolithic </w:t>
      </w:r>
      <w:proofErr w:type="spellStart"/>
      <w:r w:rsidRPr="00E7192E">
        <w:rPr>
          <w:lang w:val="en-GB"/>
        </w:rPr>
        <w:t>electrolyzer</w:t>
      </w:r>
      <w:proofErr w:type="spellEnd"/>
      <w:r w:rsidRPr="00E7192E">
        <w:rPr>
          <w:lang w:val="en-GB"/>
        </w:rPr>
        <w:t xml:space="preserve"> configuration, consisting of </w:t>
      </w:r>
      <w:proofErr w:type="spellStart"/>
      <w:r w:rsidRPr="00E7192E">
        <w:rPr>
          <w:lang w:val="en-GB"/>
        </w:rPr>
        <w:t>electrolyzers</w:t>
      </w:r>
      <w:proofErr w:type="spellEnd"/>
      <w:r w:rsidRPr="00E7192E">
        <w:rPr>
          <w:lang w:val="en-GB"/>
        </w:rPr>
        <w:t xml:space="preserve"> of same size and technology, is simulated and used as a benchmark. Different heterogenous plant configurations and corresponding process control strategies for energy integration are created and simulated in M</w:t>
      </w:r>
      <w:r w:rsidR="004A5A6D">
        <w:rPr>
          <w:lang w:val="en-GB"/>
        </w:rPr>
        <w:t>ATLAB</w:t>
      </w:r>
      <w:r w:rsidRPr="00E7192E">
        <w:rPr>
          <w:lang w:val="en-GB"/>
        </w:rPr>
        <w:t xml:space="preserve">/Simulink. Metrics for energy efficiency, flexibility, and adaptability to fluctuating energy input are defined and compared. It is shown that the use of modular heterogenous </w:t>
      </w:r>
      <w:proofErr w:type="spellStart"/>
      <w:r w:rsidRPr="00E7192E">
        <w:rPr>
          <w:lang w:val="en-GB"/>
        </w:rPr>
        <w:t>electrolyzer</w:t>
      </w:r>
      <w:proofErr w:type="spellEnd"/>
      <w:r w:rsidRPr="00E7192E">
        <w:rPr>
          <w:lang w:val="en-GB"/>
        </w:rPr>
        <w:t xml:space="preserve"> systems enable a more efficient green hydrogen and ammonia production, while making the system more flexible and adaptable to a fluctuating energy input. The advantages of using modular heterogenous </w:t>
      </w:r>
      <w:proofErr w:type="spellStart"/>
      <w:r w:rsidRPr="00E7192E">
        <w:rPr>
          <w:lang w:val="en-GB"/>
        </w:rPr>
        <w:t>electrolyzer</w:t>
      </w:r>
      <w:proofErr w:type="spellEnd"/>
      <w:r w:rsidRPr="00E7192E">
        <w:rPr>
          <w:lang w:val="en-GB"/>
        </w:rPr>
        <w:t xml:space="preserve"> configurations in the </w:t>
      </w:r>
      <w:proofErr w:type="spellStart"/>
      <w:r w:rsidRPr="00E7192E">
        <w:rPr>
          <w:lang w:val="en-GB"/>
        </w:rPr>
        <w:t>PtA</w:t>
      </w:r>
      <w:proofErr w:type="spellEnd"/>
      <w:r w:rsidRPr="00E7192E">
        <w:rPr>
          <w:lang w:val="en-GB"/>
        </w:rPr>
        <w:t xml:space="preserve"> value chain are quantified, and upcoming techno-economic evaluations can show the economic potential of such plants.</w:t>
      </w:r>
    </w:p>
    <w:p w14:paraId="144DE687" w14:textId="4B7042B8" w:rsidR="008D2649" w:rsidRDefault="008D2649" w:rsidP="008D2649">
      <w:pPr>
        <w:pStyle w:val="Els-body-text"/>
        <w:spacing w:after="120"/>
        <w:rPr>
          <w:lang w:val="en-GB"/>
        </w:rPr>
      </w:pPr>
      <w:r>
        <w:rPr>
          <w:b/>
          <w:bCs/>
          <w:lang w:val="en-GB"/>
        </w:rPr>
        <w:t>Keywords</w:t>
      </w:r>
      <w:r w:rsidR="00E7192E">
        <w:rPr>
          <w:lang w:val="en-GB"/>
        </w:rPr>
        <w:t xml:space="preserve">: </w:t>
      </w:r>
      <w:r w:rsidR="00E7192E" w:rsidRPr="00E7192E">
        <w:rPr>
          <w:lang w:val="en-GB"/>
        </w:rPr>
        <w:t>Power-to-X (</w:t>
      </w:r>
      <w:proofErr w:type="spellStart"/>
      <w:r w:rsidR="00E7192E" w:rsidRPr="00E7192E">
        <w:rPr>
          <w:lang w:val="en-GB"/>
        </w:rPr>
        <w:t>PtX</w:t>
      </w:r>
      <w:proofErr w:type="spellEnd"/>
      <w:r w:rsidR="00E7192E" w:rsidRPr="00E7192E">
        <w:rPr>
          <w:lang w:val="en-GB"/>
        </w:rPr>
        <w:t>),</w:t>
      </w:r>
      <w:r w:rsidR="00E7192E">
        <w:rPr>
          <w:lang w:val="en-GB"/>
        </w:rPr>
        <w:t xml:space="preserve"> </w:t>
      </w:r>
      <w:r w:rsidR="002F1FB0">
        <w:rPr>
          <w:lang w:val="en-GB"/>
        </w:rPr>
        <w:t>Power-to-Ammonia (</w:t>
      </w:r>
      <w:proofErr w:type="spellStart"/>
      <w:r w:rsidR="002F1FB0">
        <w:rPr>
          <w:lang w:val="en-GB"/>
        </w:rPr>
        <w:t>PtA</w:t>
      </w:r>
      <w:proofErr w:type="spellEnd"/>
      <w:r w:rsidR="002F1FB0">
        <w:rPr>
          <w:lang w:val="en-GB"/>
        </w:rPr>
        <w:t xml:space="preserve">), </w:t>
      </w:r>
      <w:r w:rsidR="00E7192E" w:rsidRPr="00E7192E">
        <w:rPr>
          <w:lang w:val="en-GB"/>
        </w:rPr>
        <w:t>Heterogenous electrolysis, Co-simulation, Modular plants</w:t>
      </w:r>
    </w:p>
    <w:p w14:paraId="144DE689" w14:textId="3934FC89" w:rsidR="008D2649" w:rsidRPr="00530A8A" w:rsidRDefault="00E7192E" w:rsidP="00530A8A">
      <w:pPr>
        <w:pStyle w:val="Els-1storder-head"/>
        <w:spacing w:before="180" w:after="120"/>
        <w:rPr>
          <w:lang w:val="en-GB"/>
        </w:rPr>
      </w:pPr>
      <w:r w:rsidRPr="00530A8A">
        <w:rPr>
          <w:lang w:val="en-GB"/>
        </w:rPr>
        <w:t>Motivation</w:t>
      </w:r>
    </w:p>
    <w:p w14:paraId="00DE5A3F" w14:textId="7D875849" w:rsidR="00E7192E" w:rsidRDefault="00E7192E" w:rsidP="00E7192E">
      <w:pPr>
        <w:pStyle w:val="Els-body-text"/>
      </w:pPr>
      <w:r>
        <w:t xml:space="preserve">In the efforts to counteract climate change, the production of low-emission hydrogen has emerged as a key technology. This can enable sector coupling, increase energy security, and support the decarbonization of process chains that cannot be electrified. For the chemical process industry, the production of green hydrogen by coupling renewable energy with water electrolysis systems enables the direct integration of fluctuating energy into value chains, currently depending on fossil fuels. One example of such a value chain is the global ammonia production, having used around 60 % of the 53 Mt of industrial hydrogen in 2022, based mostly on fossil fuels </w:t>
      </w:r>
      <w:r w:rsidR="00A03A47">
        <w:fldChar w:fldCharType="begin"/>
      </w:r>
      <w:r w:rsidR="00A03A47">
        <w:instrText xml:space="preserve"> ADDIN ZOTERO_ITEM CSL_CITATION {"citationID":"DV7Epu3K","properties":{"formattedCitation":"[3]","plainCitation":"[3]","noteIndex":0},"citationItems":[{"id":12548,"uris":["http://zotero.org/users/10316845/items/9HU9CGZZ"],"itemData":{"id":12548,"type":"article-journal","DOI":"https://www.iea.org/reports/global-hydrogen-review-2023","language":"en","source":"Zotero","title":"Global Hydrogen Review 2023","author":[{"family":"International Energy Agency","given":"IEA"}],"issued":{"date-parts":[["2023"]]}}}],"schema":"https://github.com/citation-style-language/schema/raw/master/csl-citation.json"} </w:instrText>
      </w:r>
      <w:r w:rsidR="00A03A47">
        <w:fldChar w:fldCharType="separate"/>
      </w:r>
      <w:r w:rsidR="00A03A47" w:rsidRPr="00A03A47">
        <w:t>[3]</w:t>
      </w:r>
      <w:r w:rsidR="00A03A47">
        <w:fldChar w:fldCharType="end"/>
      </w:r>
      <w:r>
        <w:t>.</w:t>
      </w:r>
    </w:p>
    <w:p w14:paraId="144DE68A" w14:textId="152E0891" w:rsidR="008D2649" w:rsidRDefault="00E7192E" w:rsidP="00E7192E">
      <w:pPr>
        <w:pStyle w:val="Els-body-text"/>
      </w:pPr>
      <w:r>
        <w:lastRenderedPageBreak/>
        <w:t>To improve the alternative production route of the Power-to-Ammonia (</w:t>
      </w:r>
      <w:proofErr w:type="spellStart"/>
      <w:r>
        <w:t>PtA</w:t>
      </w:r>
      <w:proofErr w:type="spellEnd"/>
      <w:r>
        <w:t xml:space="preserve">) value chain, electrolysis systems for green hydrogen production must become more efficient and flexible. Around 90 – 96 % of incoming fluctuating energy in the </w:t>
      </w:r>
      <w:proofErr w:type="spellStart"/>
      <w:r>
        <w:t>PtA</w:t>
      </w:r>
      <w:proofErr w:type="spellEnd"/>
      <w:r>
        <w:t xml:space="preserve"> process are typically consumed </w:t>
      </w:r>
      <w:r w:rsidR="00C64AFC">
        <w:t>during</w:t>
      </w:r>
      <w:r>
        <w:t xml:space="preserve"> the production of green hydrogen </w:t>
      </w:r>
      <w:r w:rsidR="00A03A47">
        <w:fldChar w:fldCharType="begin"/>
      </w:r>
      <w:r w:rsidR="00A03A47">
        <w:instrText xml:space="preserve"> ADDIN ZOTERO_ITEM CSL_CITATION {"citationID":"QTMa8qcz","properties":{"formattedCitation":"[1]","plainCitation":"[1]","noteIndex":0},"citationItems":[{"id":5905,"uris":["http://zotero.org/users/10316845/items/7WP8EBHU"],"itemData":{"id":5905,"type":"article-journal","container-title":"Renewable and Sustainable Energy Reviews","note":"publisher: Elsevier","page":"109339","title":"Islanded ammonia power systems: Technology review &amp; conceptual process design","volume":"114","author":[{"family":"Rouwenhorst","given":"Kevin HR"},{"family":"Van der Ham","given":"Aloijsius GJ"},{"family":"Mul","given":"Guido"},{"family":"Kersten","given":"Sascha RA"}],"issued":{"date-parts":[["2019"]]}}}],"schema":"https://github.com/citation-style-language/schema/raw/master/csl-citation.json"} </w:instrText>
      </w:r>
      <w:r w:rsidR="00A03A47">
        <w:fldChar w:fldCharType="separate"/>
      </w:r>
      <w:r w:rsidR="00A03A47" w:rsidRPr="00A03A47">
        <w:t>[1]</w:t>
      </w:r>
      <w:r w:rsidR="00A03A47">
        <w:fldChar w:fldCharType="end"/>
      </w:r>
      <w:r>
        <w:t>. Improvements to the electrolysis systems therefore have a major impact on the overall consumption of the process chain. The use of the modular plant concepts, defined in the VDI</w:t>
      </w:r>
      <w:r w:rsidR="00BF1F6E">
        <w:t xml:space="preserve"> 2776 and VDI</w:t>
      </w:r>
      <w:r>
        <w:t>/VDE/NAMUR 2</w:t>
      </w:r>
      <w:r w:rsidR="00BF1F6E">
        <w:t>658</w:t>
      </w:r>
      <w:r>
        <w:t xml:space="preserve"> standard for the process industry, might offer advantages for efficiency, flexibility, and adaptability to fluctuating energy. Project </w:t>
      </w:r>
      <w:proofErr w:type="spellStart"/>
      <w:r>
        <w:t>eModule</w:t>
      </w:r>
      <w:proofErr w:type="spellEnd"/>
      <w:r>
        <w:t xml:space="preserve"> researches the transfer of this concept for electrolysis systems. The different electrolysis technolog</w:t>
      </w:r>
      <w:r w:rsidR="00F56B66">
        <w:t>ies</w:t>
      </w:r>
      <w:r>
        <w:t xml:space="preserve"> have certain advantages and disadvantages in handling a fluctuating energy input, which might be combined through use of modularization </w:t>
      </w:r>
      <w:r w:rsidR="00A03A47">
        <w:fldChar w:fldCharType="begin"/>
      </w:r>
      <w:r w:rsidR="00A03A47">
        <w:instrText xml:space="preserve"> ADDIN ZOTERO_ITEM CSL_CITATION {"citationID":"Av4B24XT","properties":{"formattedCitation":"[2]","plainCitation":"[2]","noteIndex":0},"citationItems":[{"id":10723,"uris":["http://zotero.org/users/10316845/items/QMJEIWRS"],"itemData":{"id":10723,"type":"article-journal","container-title":"International Journal of Hydrogen Energy","DOI":"10.1016/j.ijhydene.2023.01.044","ISSN":"03603199","issue":"42","journalAbbreviation":"International Journal of Hydrogen Energy","language":"en","page":"15771-15783","source":"DOI.org (Crossref)","title":"Technical evaluation of the flexibility of water electrolysis systems to increase energy flexibility: A review","title-short":"Technical evaluation of the flexibility of water electrolysis systems to increase energy flexibility","volume":"48","author":[{"family":"Lange","given":"Hannes"},{"family":"Klose","given":"Anselm"},{"family":"Lippmann","given":"Wolfgang"},{"family":"Urbas","given":"Leon"}],"issued":{"date-parts":[["2023",5]]}}}],"schema":"https://github.com/citation-style-language/schema/raw/master/csl-citation.json"} </w:instrText>
      </w:r>
      <w:r w:rsidR="00A03A47">
        <w:fldChar w:fldCharType="separate"/>
      </w:r>
      <w:r w:rsidR="00A03A47" w:rsidRPr="00A03A47">
        <w:t>[2]</w:t>
      </w:r>
      <w:r w:rsidR="00A03A47">
        <w:fldChar w:fldCharType="end"/>
      </w:r>
      <w:r>
        <w:t>.</w:t>
      </w:r>
    </w:p>
    <w:p w14:paraId="144DE699" w14:textId="2AE6D738" w:rsidR="008D2649" w:rsidRPr="00530A8A" w:rsidRDefault="00E7192E" w:rsidP="00530A8A">
      <w:pPr>
        <w:pStyle w:val="Els-1storder-head"/>
        <w:spacing w:before="180" w:after="120"/>
        <w:rPr>
          <w:lang w:val="en-GB"/>
        </w:rPr>
      </w:pPr>
      <w:r w:rsidRPr="00530A8A">
        <w:rPr>
          <w:lang w:val="en-GB"/>
        </w:rPr>
        <w:t>Methods</w:t>
      </w:r>
    </w:p>
    <w:p w14:paraId="5122B34A" w14:textId="357F6A22" w:rsidR="00A6194D" w:rsidRPr="00A6194D" w:rsidRDefault="00A6194D" w:rsidP="00A6194D">
      <w:pPr>
        <w:pStyle w:val="Els-body-text"/>
      </w:pPr>
      <w:r w:rsidRPr="00A6194D">
        <w:t>This paper researches the potential use of modular, heterogeneous electrolysis plants.</w:t>
      </w:r>
      <w:r w:rsidR="00EE0577">
        <w:t xml:space="preserve"> D</w:t>
      </w:r>
      <w:r w:rsidRPr="00A6194D">
        <w:t xml:space="preserve">ifferent </w:t>
      </w:r>
      <w:proofErr w:type="spellStart"/>
      <w:r w:rsidRPr="00A6194D">
        <w:t>electrolyzer</w:t>
      </w:r>
      <w:proofErr w:type="spellEnd"/>
      <w:r w:rsidRPr="00A6194D">
        <w:t xml:space="preserve"> configurations with </w:t>
      </w:r>
      <w:r w:rsidR="00B71C94">
        <w:t xml:space="preserve">identical </w:t>
      </w:r>
      <w:r w:rsidRPr="00A6194D">
        <w:t xml:space="preserve">nominal power input </w:t>
      </w:r>
      <w:r w:rsidR="00B71C94">
        <w:t>and varying</w:t>
      </w:r>
      <w:r w:rsidRPr="00A6194D">
        <w:t xml:space="preserve"> technology combinations are proposed.</w:t>
      </w:r>
      <w:r w:rsidR="0053286D">
        <w:t xml:space="preserve"> The</w:t>
      </w:r>
      <w:r w:rsidR="0017349A">
        <w:t xml:space="preserve"> </w:t>
      </w:r>
      <w:r w:rsidR="0053286D">
        <w:t xml:space="preserve">technologies </w:t>
      </w:r>
      <w:r w:rsidR="0017349A">
        <w:t xml:space="preserve">under consideration </w:t>
      </w:r>
      <w:r w:rsidR="0053286D">
        <w:t xml:space="preserve">are the alkaline </w:t>
      </w:r>
      <w:r w:rsidR="0017349A">
        <w:t>e</w:t>
      </w:r>
      <w:r w:rsidR="0053286D">
        <w:t>lectrolysis (AEL), the proton exchange membrane electrolysis (PEM</w:t>
      </w:r>
      <w:r w:rsidR="006D23E7">
        <w:t>EL</w:t>
      </w:r>
      <w:r w:rsidR="0053286D">
        <w:t xml:space="preserve">) and the </w:t>
      </w:r>
      <w:r w:rsidR="006D23E7">
        <w:t>high temperature electrolysis</w:t>
      </w:r>
      <w:r w:rsidR="0053286D">
        <w:t xml:space="preserve"> (</w:t>
      </w:r>
      <w:r w:rsidR="006D23E7">
        <w:t>HTEL</w:t>
      </w:r>
      <w:r w:rsidR="0053286D">
        <w:t>).</w:t>
      </w:r>
      <w:r w:rsidRPr="00A6194D">
        <w:t xml:space="preserve"> Metrics for specific energy consumption, system efficiency and flexibility are defined to compare the </w:t>
      </w:r>
      <w:r w:rsidR="00A215D9">
        <w:t xml:space="preserve">heterogenous </w:t>
      </w:r>
      <w:r w:rsidRPr="00A6194D">
        <w:t>configurations</w:t>
      </w:r>
      <w:r w:rsidR="00EE0577">
        <w:t xml:space="preserve"> and a benchmark configuration with a </w:t>
      </w:r>
      <w:r w:rsidR="00EE0577" w:rsidRPr="00B6286C">
        <w:rPr>
          <w:szCs w:val="18"/>
        </w:rPr>
        <w:t>single</w:t>
      </w:r>
      <w:r w:rsidR="00EE0577">
        <w:t xml:space="preserve"> </w:t>
      </w:r>
      <w:proofErr w:type="spellStart"/>
      <w:r w:rsidR="00EE0577">
        <w:t>electrolyzer</w:t>
      </w:r>
      <w:proofErr w:type="spellEnd"/>
      <w:r w:rsidR="00EE0577">
        <w:t xml:space="preserve"> </w:t>
      </w:r>
      <w:r w:rsidR="00B71C94">
        <w:t>technology</w:t>
      </w:r>
      <w:r w:rsidRPr="00A6194D">
        <w:t>.</w:t>
      </w:r>
      <w:r w:rsidR="007674FC">
        <w:t xml:space="preserve"> </w:t>
      </w:r>
      <w:r w:rsidRPr="00A6194D">
        <w:t xml:space="preserve">The resulting metrics are </w:t>
      </w:r>
      <w:r w:rsidR="007674FC">
        <w:t xml:space="preserve">calculated </w:t>
      </w:r>
      <w:r w:rsidR="005E4710">
        <w:t xml:space="preserve">and compared </w:t>
      </w:r>
      <w:r w:rsidR="007674FC">
        <w:t xml:space="preserve">for </w:t>
      </w:r>
      <w:r w:rsidR="00A215D9">
        <w:t>two</w:t>
      </w:r>
      <w:r w:rsidR="005E4710">
        <w:t xml:space="preserve"> energy input </w:t>
      </w:r>
      <w:r w:rsidR="00A215D9">
        <w:t>scenarios</w:t>
      </w:r>
      <w:r w:rsidR="005E4710">
        <w:t>. T</w:t>
      </w:r>
      <w:r w:rsidRPr="00A6194D">
        <w:t xml:space="preserve">he potential of each heterogenous </w:t>
      </w:r>
      <w:proofErr w:type="spellStart"/>
      <w:r w:rsidRPr="00A6194D">
        <w:t>electrolyzer</w:t>
      </w:r>
      <w:proofErr w:type="spellEnd"/>
      <w:r w:rsidRPr="00A6194D">
        <w:t xml:space="preserve"> configuration for the use in a flexible </w:t>
      </w:r>
      <w:proofErr w:type="spellStart"/>
      <w:r w:rsidRPr="00A6194D">
        <w:t>PtA</w:t>
      </w:r>
      <w:proofErr w:type="spellEnd"/>
      <w:r w:rsidRPr="00A6194D">
        <w:t xml:space="preserve"> value chain is evaluated</w:t>
      </w:r>
      <w:r>
        <w:t>.</w:t>
      </w:r>
      <w:r w:rsidR="00785AF3">
        <w:t xml:space="preserve"> </w:t>
      </w:r>
      <w:r w:rsidR="002B27AD">
        <w:t>Furthermore,</w:t>
      </w:r>
      <w:r w:rsidR="00785AF3">
        <w:t xml:space="preserve"> the ability to follow the incoming energy fluctuations and the ability to provide the necessary hydrogen for a flexible ammonia synthesis loop is examined.</w:t>
      </w:r>
    </w:p>
    <w:p w14:paraId="144DE69A" w14:textId="2C0B7F32" w:rsidR="008D2649" w:rsidRDefault="00A6194D" w:rsidP="008D2649">
      <w:pPr>
        <w:pStyle w:val="Els-2ndorder-head"/>
      </w:pPr>
      <w:r>
        <w:t xml:space="preserve">Heterogenous </w:t>
      </w:r>
      <w:proofErr w:type="spellStart"/>
      <w:r>
        <w:t>electrolyzer</w:t>
      </w:r>
      <w:proofErr w:type="spellEnd"/>
      <w:r>
        <w:t xml:space="preserve"> configurations</w:t>
      </w:r>
      <w:r w:rsidR="00522672">
        <w:t xml:space="preserve"> in </w:t>
      </w:r>
      <w:proofErr w:type="spellStart"/>
      <w:r w:rsidR="00522672">
        <w:t>PtA</w:t>
      </w:r>
      <w:proofErr w:type="spellEnd"/>
      <w:r w:rsidR="00522672">
        <w:t xml:space="preserve"> value chains</w:t>
      </w:r>
    </w:p>
    <w:p w14:paraId="2ABAC176" w14:textId="72813288" w:rsidR="00785AF3" w:rsidRDefault="001C25DC" w:rsidP="00090296">
      <w:pPr>
        <w:pStyle w:val="Els-body-text"/>
      </w:pPr>
      <w:r>
        <w:t>The Power-to-Ammonia value chain is represented by a Haber-Bosch synthesis loo</w:t>
      </w:r>
      <w:r w:rsidR="005D0C29">
        <w:t>p</w:t>
      </w:r>
      <w:r>
        <w:t xml:space="preserve">, connected to the </w:t>
      </w:r>
      <w:proofErr w:type="spellStart"/>
      <w:r>
        <w:t>electrolyzer</w:t>
      </w:r>
      <w:proofErr w:type="spellEnd"/>
      <w:r>
        <w:t xml:space="preserve"> configurations.</w:t>
      </w:r>
      <w:r w:rsidR="005D0C29">
        <w:t xml:space="preserve"> An ammonia production of 5000 </w:t>
      </w:r>
      <m:oMath>
        <m:f>
          <m:fPr>
            <m:type m:val="lin"/>
            <m:ctrlPr>
              <w:rPr>
                <w:rFonts w:ascii="Cambria Math" w:hAnsi="Cambria Math"/>
                <w:i/>
              </w:rPr>
            </m:ctrlPr>
          </m:fPr>
          <m:num>
            <m:r>
              <w:rPr>
                <w:rFonts w:ascii="Cambria Math" w:hAnsi="Cambria Math"/>
              </w:rPr>
              <m:t>kg</m:t>
            </m:r>
          </m:num>
          <m:den>
            <m:r>
              <w:rPr>
                <w:rFonts w:ascii="Cambria Math" w:hAnsi="Cambria Math"/>
              </w:rPr>
              <m:t>h</m:t>
            </m:r>
          </m:den>
        </m:f>
      </m:oMath>
      <w:r w:rsidR="005D0C29">
        <w:t xml:space="preserve"> is set as a nominal production, which amounts to a necessary hydrogen feed of around 980 </w:t>
      </w:r>
      <m:oMath>
        <m:f>
          <m:fPr>
            <m:type m:val="lin"/>
            <m:ctrlPr>
              <w:rPr>
                <w:rFonts w:ascii="Cambria Math" w:hAnsi="Cambria Math"/>
                <w:i/>
              </w:rPr>
            </m:ctrlPr>
          </m:fPr>
          <m:num>
            <m:r>
              <w:rPr>
                <w:rFonts w:ascii="Cambria Math" w:hAnsi="Cambria Math"/>
              </w:rPr>
              <m:t>kg</m:t>
            </m:r>
          </m:num>
          <m:den>
            <m:r>
              <w:rPr>
                <w:rFonts w:ascii="Cambria Math" w:hAnsi="Cambria Math"/>
              </w:rPr>
              <m:t>h</m:t>
            </m:r>
          </m:den>
        </m:f>
      </m:oMath>
      <w:r w:rsidR="005D0C29">
        <w:t xml:space="preserve"> at nominal load. Furthermore the ammonia synthesis loop can be operated flexibly</w:t>
      </w:r>
      <w:r w:rsidR="000D4BA4">
        <w:t xml:space="preserve"> down</w:t>
      </w:r>
      <w:r w:rsidR="005D0C29">
        <w:t xml:space="preserve"> to 20 % of </w:t>
      </w:r>
      <w:r w:rsidR="005D0C29" w:rsidRPr="00B6286C">
        <w:rPr>
          <w:szCs w:val="18"/>
        </w:rPr>
        <w:t>nominal</w:t>
      </w:r>
      <w:r w:rsidR="005D0C29">
        <w:t xml:space="preserve"> </w:t>
      </w:r>
      <w:r w:rsidR="000D4BA4">
        <w:t xml:space="preserve">production </w:t>
      </w:r>
      <w:r w:rsidR="005D0C29">
        <w:t>capacity with a load change rate of 20</w:t>
      </w:r>
      <w:r w:rsidR="00F56B66">
        <w:t> </w:t>
      </w:r>
      <m:oMath>
        <m:f>
          <m:fPr>
            <m:type m:val="lin"/>
            <m:ctrlPr>
              <w:rPr>
                <w:rFonts w:ascii="Cambria Math" w:hAnsi="Cambria Math"/>
                <w:i/>
              </w:rPr>
            </m:ctrlPr>
          </m:fPr>
          <m:num>
            <m:r>
              <w:rPr>
                <w:rFonts w:ascii="Cambria Math" w:hAnsi="Cambria Math"/>
              </w:rPr>
              <m:t>%</m:t>
            </m:r>
          </m:num>
          <m:den>
            <m:r>
              <w:rPr>
                <w:rFonts w:ascii="Cambria Math" w:hAnsi="Cambria Math"/>
              </w:rPr>
              <m:t>h</m:t>
            </m:r>
          </m:den>
        </m:f>
      </m:oMath>
      <w:r w:rsidR="00F56B66">
        <w:t> </w:t>
      </w:r>
      <w:r w:rsidR="00A03A47">
        <w:fldChar w:fldCharType="begin"/>
      </w:r>
      <w:r w:rsidR="007005F9">
        <w:instrText xml:space="preserve"> ADDIN ZOTERO_ITEM CSL_CITATION {"citationID":"NxDtjv0E","properties":{"formattedCitation":"[4]","plainCitation":"[4]","noteIndex":0},"citationItems":[{"id":11587,"uris":["http://zotero.org/users/10316845/items/VY3EL2N4"],"itemData":{"id":11587,"type":"chapter","abstract":"In the upcoming decades, the integration of renewable energies into our continuous process routes, by producing and processing green hydrogen, is of paramount importance to combat climate change. To include green hydrogen in conventional process routes large hydrogen storages or dynamic process control strategies for hydrogen processing are needed. In this work a dynamic process control strategy for a Power-to-Ammonia (PtA) value chain is studied. A PtA process plant and respective process control strategies to adjust the plant load are conceptualized. To study the feasibility, a Haber-Bosch reactor system is modeled and implemented in MATLAB 2022b. Simulation case studies are carried out to emulate load changes. The simulation shows that the conceptualized process enables an intermittent production of ammonia based on green hydrogen. Further studies with more detailed models and refined process control strategies are planned for a detailed analysis to optimize the efficiency and flexibility of the production.","collection-title":"Computer Aided Chemical Engineering","container-title":"33rd European Symposium on Computer Aided Process Engineering","note":"ISSN: 1570-7946\nDOI: https://doi.org/10.1016/B978-0-443-15274-0.50202-X","page":"1267-1272","publisher":"Elsevier","title":"Dynamic operation for the effective use of green hydrogen in Power-to-X value chains","URL":"https://www.sciencedirect.com/science/article/pii/B978044315274050202X","volume":"52","editor":[{"family":"Kokossis","given":"Antonios C."},{"family":"Georgiadis","given":"Michael C."},{"family":"Pistikopoulos","given":"Efstratios"}],"author":[{"family":"Mock","given":"Michael"},{"family":"Lange","given":"Hannes"},{"family":"Viedt","given":"Isabell"},{"family":"Gopa","given":"Kumar Rajan"},{"family":"Mädler","given":"Jonathan"},{"family":"Urbas","given":"Leon"}],"issued":{"date-parts":[["2023"]]}}}],"schema":"https://github.com/citation-style-language/schema/raw/master/csl-citation.json"} </w:instrText>
      </w:r>
      <w:r w:rsidR="00A03A47">
        <w:fldChar w:fldCharType="separate"/>
      </w:r>
      <w:r w:rsidR="007005F9" w:rsidRPr="007005F9">
        <w:t>[4]</w:t>
      </w:r>
      <w:r w:rsidR="00A03A47">
        <w:fldChar w:fldCharType="end"/>
      </w:r>
      <w:r w:rsidR="005D0C29">
        <w:t>.</w:t>
      </w:r>
      <w:r w:rsidR="008D2649">
        <w:t xml:space="preserve"> </w:t>
      </w:r>
      <w:r w:rsidR="00661CB0">
        <w:t xml:space="preserve">To </w:t>
      </w:r>
      <w:r w:rsidR="0015566D">
        <w:t>reach the</w:t>
      </w:r>
      <w:r w:rsidR="00661CB0">
        <w:t xml:space="preserve"> necessary hydrogen production the </w:t>
      </w:r>
      <w:proofErr w:type="spellStart"/>
      <w:r w:rsidR="00661CB0">
        <w:t>electrolyzer</w:t>
      </w:r>
      <w:proofErr w:type="spellEnd"/>
      <w:r w:rsidR="00661CB0">
        <w:t xml:space="preserve"> configurations are set to an estimated necessary power of 55 MW. </w:t>
      </w:r>
      <w:r w:rsidR="00D71DBA">
        <w:t>The distribution of this power</w:t>
      </w:r>
      <w:r w:rsidR="00EE4ACC">
        <w:t xml:space="preserve"> </w:t>
      </w:r>
      <w:r w:rsidR="00287682">
        <w:t xml:space="preserve">to </w:t>
      </w:r>
      <w:r w:rsidR="00F56B66">
        <w:t>different technologies</w:t>
      </w:r>
      <w:r w:rsidR="00D71DBA">
        <w:t xml:space="preserve"> is approximated from work on hybrid electrolysis for green steel productio</w:t>
      </w:r>
      <w:r w:rsidR="00F56B66">
        <w:t>n</w:t>
      </w:r>
      <w:r w:rsidR="00287682">
        <w:t xml:space="preserve"> and the resulting configurations are collected in Table 1 </w:t>
      </w:r>
      <w:r w:rsidR="00287682">
        <w:fldChar w:fldCharType="begin"/>
      </w:r>
      <w:r w:rsidR="00287682">
        <w:instrText xml:space="preserve"> ADDIN ZOTERO_ITEM CSL_CITATION {"citationID":"hJII84HP","properties":{"formattedCitation":"[5]","plainCitation":"[5]","noteIndex":0},"citationItems":[{"id":12612,"uris":["http://zotero.org/users/10316845/items/8XEUFNUX"],"itemData":{"id":12612,"type":"document","title":"Hybrid Electrolysis for green steel production: Increasing efficiency in integrated steel works.","URL":"https://dwv-info.de/them enbroschueren/hybrid-electrolysis-for-green-steel-production/","author":[{"family":"Sunfire GmbH","given":""}],"issued":{"date-parts":[["2022",3]]}}}],"schema":"https://github.com/citation-style-language/schema/raw/master/csl-citation.json"} </w:instrText>
      </w:r>
      <w:r w:rsidR="00287682">
        <w:fldChar w:fldCharType="separate"/>
      </w:r>
      <w:r w:rsidR="00287682" w:rsidRPr="007005F9">
        <w:t>[5]</w:t>
      </w:r>
      <w:r w:rsidR="00287682">
        <w:fldChar w:fldCharType="end"/>
      </w:r>
      <w:r w:rsidR="00287682">
        <w:t>.</w:t>
      </w:r>
    </w:p>
    <w:p w14:paraId="01E61BFD" w14:textId="464AB42C" w:rsidR="00090296" w:rsidRDefault="00090296" w:rsidP="00090296">
      <w:pPr>
        <w:pStyle w:val="Beschriftung"/>
        <w:keepNext/>
        <w:spacing w:after="40"/>
      </w:pPr>
      <w:r>
        <w:t xml:space="preserve">Table </w:t>
      </w:r>
      <w:r>
        <w:fldChar w:fldCharType="begin"/>
      </w:r>
      <w:r>
        <w:instrText xml:space="preserve"> SEQ Table \* ARABIC </w:instrText>
      </w:r>
      <w:r>
        <w:fldChar w:fldCharType="separate"/>
      </w:r>
      <w:r>
        <w:rPr>
          <w:noProof/>
        </w:rPr>
        <w:t>1</w:t>
      </w:r>
      <w:r>
        <w:fldChar w:fldCharType="end"/>
      </w:r>
      <w:r>
        <w:t xml:space="preserve">: </w:t>
      </w:r>
      <w:proofErr w:type="spellStart"/>
      <w:r>
        <w:t>Electrolyzer</w:t>
      </w:r>
      <w:proofErr w:type="spellEnd"/>
      <w:r>
        <w:t xml:space="preserve"> configurations with respective power per </w:t>
      </w:r>
      <w:proofErr w:type="spellStart"/>
      <w:r>
        <w:t>electrolyzer</w:t>
      </w:r>
      <w:proofErr w:type="spellEnd"/>
      <w:r>
        <w:t xml:space="preserve"> technology</w:t>
      </w:r>
    </w:p>
    <w:tbl>
      <w:tblPr>
        <w:tblStyle w:val="Gitternetztabelle7farbig"/>
        <w:tblW w:w="7082" w:type="dxa"/>
        <w:tblLayout w:type="fixed"/>
        <w:tblLook w:val="04A0" w:firstRow="1" w:lastRow="0" w:firstColumn="1" w:lastColumn="0" w:noHBand="0" w:noVBand="1"/>
      </w:tblPr>
      <w:tblGrid>
        <w:gridCol w:w="2552"/>
        <w:gridCol w:w="850"/>
        <w:gridCol w:w="1226"/>
        <w:gridCol w:w="1227"/>
        <w:gridCol w:w="1227"/>
      </w:tblGrid>
      <w:tr w:rsidR="002F1FB0" w:rsidRPr="00D66E02" w14:paraId="55FCEF31" w14:textId="77777777" w:rsidTr="006B35B3">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2552" w:type="dxa"/>
            <w:tcBorders>
              <w:bottom w:val="single" w:sz="12" w:space="0" w:color="auto"/>
            </w:tcBorders>
          </w:tcPr>
          <w:p w14:paraId="24A63C43" w14:textId="77777777" w:rsidR="002F1FB0" w:rsidRPr="00D66E02" w:rsidRDefault="002F1FB0" w:rsidP="00090296">
            <w:pPr>
              <w:pStyle w:val="Els-body-text"/>
              <w:jc w:val="center"/>
              <w:rPr>
                <w:b w:val="0"/>
                <w:bCs w:val="0"/>
                <w:lang w:val="en-GB"/>
              </w:rPr>
            </w:pPr>
          </w:p>
        </w:tc>
        <w:tc>
          <w:tcPr>
            <w:tcW w:w="850" w:type="dxa"/>
            <w:tcBorders>
              <w:bottom w:val="single" w:sz="12" w:space="0" w:color="auto"/>
            </w:tcBorders>
          </w:tcPr>
          <w:p w14:paraId="1862A970" w14:textId="77777777" w:rsidR="002F1FB0" w:rsidRPr="00A73A34" w:rsidRDefault="002F1FB0" w:rsidP="00090296">
            <w:pPr>
              <w:pStyle w:val="Els-body-text"/>
              <w:jc w:val="left"/>
              <w:cnfStyle w:val="100000000000" w:firstRow="1" w:lastRow="0" w:firstColumn="0" w:lastColumn="0" w:oddVBand="0" w:evenVBand="0" w:oddHBand="0" w:evenHBand="0" w:firstRowFirstColumn="0" w:firstRowLastColumn="0" w:lastRowFirstColumn="0" w:lastRowLastColumn="0"/>
              <w:rPr>
                <w:b w:val="0"/>
                <w:bCs w:val="0"/>
                <w:i/>
                <w:iCs/>
                <w:lang w:val="en-GB"/>
              </w:rPr>
            </w:pPr>
            <w:r w:rsidRPr="00A73A34">
              <w:rPr>
                <w:b w:val="0"/>
                <w:bCs w:val="0"/>
                <w:i/>
                <w:iCs/>
                <w:lang w:val="en-GB"/>
              </w:rPr>
              <w:t>Unit</w:t>
            </w:r>
          </w:p>
        </w:tc>
        <w:tc>
          <w:tcPr>
            <w:tcW w:w="1226" w:type="dxa"/>
            <w:tcBorders>
              <w:bottom w:val="single" w:sz="12" w:space="0" w:color="auto"/>
            </w:tcBorders>
          </w:tcPr>
          <w:p w14:paraId="1C0AF206" w14:textId="77777777" w:rsidR="002F1FB0" w:rsidRPr="006B35B3" w:rsidRDefault="002F1FB0" w:rsidP="00090296">
            <w:pPr>
              <w:pStyle w:val="Els-body-text"/>
              <w:jc w:val="center"/>
              <w:cnfStyle w:val="100000000000" w:firstRow="1" w:lastRow="0" w:firstColumn="0" w:lastColumn="0" w:oddVBand="0" w:evenVBand="0" w:oddHBand="0" w:evenHBand="0" w:firstRowFirstColumn="0" w:firstRowLastColumn="0" w:lastRowFirstColumn="0" w:lastRowLastColumn="0"/>
              <w:rPr>
                <w:lang w:val="en-GB"/>
              </w:rPr>
            </w:pPr>
            <w:r w:rsidRPr="006B35B3">
              <w:rPr>
                <w:lang w:val="en-GB"/>
              </w:rPr>
              <w:t>AEL</w:t>
            </w:r>
          </w:p>
        </w:tc>
        <w:tc>
          <w:tcPr>
            <w:tcW w:w="1227" w:type="dxa"/>
            <w:tcBorders>
              <w:bottom w:val="single" w:sz="12" w:space="0" w:color="auto"/>
            </w:tcBorders>
          </w:tcPr>
          <w:p w14:paraId="6AF39CD4" w14:textId="4252D32A" w:rsidR="002F1FB0" w:rsidRPr="006B35B3" w:rsidRDefault="002F1FB0" w:rsidP="00090296">
            <w:pPr>
              <w:pStyle w:val="Els-body-text"/>
              <w:jc w:val="center"/>
              <w:cnfStyle w:val="100000000000" w:firstRow="1" w:lastRow="0" w:firstColumn="0" w:lastColumn="0" w:oddVBand="0" w:evenVBand="0" w:oddHBand="0" w:evenHBand="0" w:firstRowFirstColumn="0" w:firstRowLastColumn="0" w:lastRowFirstColumn="0" w:lastRowLastColumn="0"/>
              <w:rPr>
                <w:lang w:val="en-GB"/>
              </w:rPr>
            </w:pPr>
            <w:r w:rsidRPr="006B35B3">
              <w:rPr>
                <w:lang w:val="en-GB"/>
              </w:rPr>
              <w:t>PEM</w:t>
            </w:r>
            <w:r w:rsidR="006D23E7">
              <w:rPr>
                <w:lang w:val="en-GB"/>
              </w:rPr>
              <w:t>EL</w:t>
            </w:r>
          </w:p>
        </w:tc>
        <w:tc>
          <w:tcPr>
            <w:tcW w:w="1227" w:type="dxa"/>
            <w:tcBorders>
              <w:bottom w:val="single" w:sz="12" w:space="0" w:color="auto"/>
            </w:tcBorders>
          </w:tcPr>
          <w:p w14:paraId="1ED46A41" w14:textId="3C1C569D" w:rsidR="002F1FB0" w:rsidRPr="006B35B3" w:rsidRDefault="006D23E7" w:rsidP="00090296">
            <w:pPr>
              <w:pStyle w:val="Els-body-text"/>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HTEL</w:t>
            </w:r>
          </w:p>
        </w:tc>
      </w:tr>
      <w:tr w:rsidR="002F1FB0" w14:paraId="35C56D76" w14:textId="77777777" w:rsidTr="006B35B3">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552" w:type="dxa"/>
            <w:tcBorders>
              <w:top w:val="single" w:sz="12" w:space="0" w:color="auto"/>
              <w:right w:val="nil"/>
            </w:tcBorders>
          </w:tcPr>
          <w:p w14:paraId="637111C0" w14:textId="0101C430" w:rsidR="002F1FB0" w:rsidRPr="006B35B3" w:rsidRDefault="002F1FB0" w:rsidP="00090296">
            <w:pPr>
              <w:pStyle w:val="Els-body-text"/>
              <w:spacing w:before="80"/>
              <w:jc w:val="left"/>
              <w:rPr>
                <w:lang w:val="en-GB"/>
              </w:rPr>
            </w:pPr>
            <w:r w:rsidRPr="006B35B3">
              <w:rPr>
                <w:lang w:val="en-GB"/>
              </w:rPr>
              <w:t xml:space="preserve">Benchmark Configuration </w:t>
            </w:r>
          </w:p>
        </w:tc>
        <w:tc>
          <w:tcPr>
            <w:tcW w:w="850" w:type="dxa"/>
            <w:tcBorders>
              <w:top w:val="single" w:sz="12" w:space="0" w:color="auto"/>
              <w:left w:val="nil"/>
              <w:bottom w:val="nil"/>
              <w:right w:val="single" w:sz="6" w:space="0" w:color="auto"/>
            </w:tcBorders>
          </w:tcPr>
          <w:p w14:paraId="03C2E29F" w14:textId="0DCF92DB" w:rsidR="002F1FB0" w:rsidRPr="00D66E02" w:rsidRDefault="002F1FB0" w:rsidP="00090296">
            <w:pPr>
              <w:pStyle w:val="Els-body-text"/>
              <w:spacing w:before="80"/>
              <w:jc w:val="left"/>
              <w:cnfStyle w:val="000000100000" w:firstRow="0" w:lastRow="0" w:firstColumn="0" w:lastColumn="0" w:oddVBand="0" w:evenVBand="0" w:oddHBand="1" w:evenHBand="0" w:firstRowFirstColumn="0" w:firstRowLastColumn="0" w:lastRowFirstColumn="0" w:lastRowLastColumn="0"/>
              <w:rPr>
                <w:rFonts w:ascii="Cambria Math" w:hAnsi="Cambria Math"/>
                <w:i/>
                <w:szCs w:val="18"/>
              </w:rPr>
            </w:pPr>
            <w:r>
              <w:rPr>
                <w:rFonts w:ascii="Cambria Math" w:hAnsi="Cambria Math"/>
                <w:i/>
                <w:szCs w:val="18"/>
              </w:rPr>
              <w:t>MW</w:t>
            </w:r>
          </w:p>
        </w:tc>
        <w:tc>
          <w:tcPr>
            <w:tcW w:w="1226" w:type="dxa"/>
            <w:tcBorders>
              <w:top w:val="single" w:sz="12" w:space="0" w:color="auto"/>
              <w:left w:val="single" w:sz="6" w:space="0" w:color="auto"/>
              <w:bottom w:val="nil"/>
              <w:right w:val="nil"/>
            </w:tcBorders>
          </w:tcPr>
          <w:p w14:paraId="667CA881" w14:textId="36BC2EED" w:rsidR="002F1FB0" w:rsidRDefault="006B35B3" w:rsidP="00090296">
            <w:pPr>
              <w:pStyle w:val="Els-body-text"/>
              <w:spacing w:before="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55</w:t>
            </w:r>
          </w:p>
        </w:tc>
        <w:tc>
          <w:tcPr>
            <w:tcW w:w="1227" w:type="dxa"/>
            <w:tcBorders>
              <w:top w:val="single" w:sz="12" w:space="0" w:color="auto"/>
              <w:left w:val="nil"/>
              <w:bottom w:val="nil"/>
              <w:right w:val="nil"/>
            </w:tcBorders>
          </w:tcPr>
          <w:p w14:paraId="57594649" w14:textId="3AD220D2" w:rsidR="002F1FB0" w:rsidRDefault="002F1FB0" w:rsidP="00090296">
            <w:pPr>
              <w:pStyle w:val="Els-body-text"/>
              <w:spacing w:before="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1227" w:type="dxa"/>
            <w:tcBorders>
              <w:top w:val="single" w:sz="12" w:space="0" w:color="auto"/>
              <w:left w:val="nil"/>
              <w:bottom w:val="nil"/>
              <w:right w:val="nil"/>
            </w:tcBorders>
          </w:tcPr>
          <w:p w14:paraId="16EA4E2A" w14:textId="3E6E739C" w:rsidR="002F1FB0" w:rsidRDefault="006B35B3" w:rsidP="00090296">
            <w:pPr>
              <w:pStyle w:val="Els-body-text"/>
              <w:spacing w:before="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r>
      <w:tr w:rsidR="002F1FB0" w14:paraId="42AED185" w14:textId="77777777" w:rsidTr="006B35B3">
        <w:trPr>
          <w:trHeight w:val="230"/>
        </w:trPr>
        <w:tc>
          <w:tcPr>
            <w:cnfStyle w:val="001000000000" w:firstRow="0" w:lastRow="0" w:firstColumn="1" w:lastColumn="0" w:oddVBand="0" w:evenVBand="0" w:oddHBand="0" w:evenHBand="0" w:firstRowFirstColumn="0" w:firstRowLastColumn="0" w:lastRowFirstColumn="0" w:lastRowLastColumn="0"/>
            <w:tcW w:w="2552" w:type="dxa"/>
            <w:tcBorders>
              <w:right w:val="nil"/>
            </w:tcBorders>
          </w:tcPr>
          <w:p w14:paraId="7205174A" w14:textId="2D2B16C0" w:rsidR="002F1FB0" w:rsidRPr="006B35B3" w:rsidRDefault="002F1FB0" w:rsidP="00090296">
            <w:pPr>
              <w:pStyle w:val="Els-body-text"/>
              <w:spacing w:before="80"/>
              <w:jc w:val="left"/>
              <w:rPr>
                <w:lang w:val="en-GB"/>
              </w:rPr>
            </w:pPr>
            <w:r w:rsidRPr="006B35B3">
              <w:rPr>
                <w:lang w:val="en-GB"/>
              </w:rPr>
              <w:t>Configuration 1</w:t>
            </w:r>
          </w:p>
        </w:tc>
        <w:tc>
          <w:tcPr>
            <w:tcW w:w="850" w:type="dxa"/>
            <w:tcBorders>
              <w:top w:val="nil"/>
              <w:left w:val="nil"/>
              <w:bottom w:val="nil"/>
              <w:right w:val="single" w:sz="6" w:space="0" w:color="auto"/>
            </w:tcBorders>
          </w:tcPr>
          <w:p w14:paraId="485B6067" w14:textId="2A6B4720" w:rsidR="002F1FB0" w:rsidRPr="00D66E02" w:rsidRDefault="006B35B3" w:rsidP="00090296">
            <w:pPr>
              <w:pStyle w:val="Els-body-text"/>
              <w:spacing w:before="80"/>
              <w:jc w:val="left"/>
              <w:cnfStyle w:val="000000000000" w:firstRow="0" w:lastRow="0" w:firstColumn="0" w:lastColumn="0" w:oddVBand="0" w:evenVBand="0" w:oddHBand="0" w:evenHBand="0" w:firstRowFirstColumn="0" w:firstRowLastColumn="0" w:lastRowFirstColumn="0" w:lastRowLastColumn="0"/>
              <w:rPr>
                <w:rFonts w:ascii="Cambria Math" w:hAnsi="Cambria Math"/>
                <w:i/>
                <w:szCs w:val="18"/>
              </w:rPr>
            </w:pPr>
            <w:r>
              <w:rPr>
                <w:rFonts w:ascii="Cambria Math" w:hAnsi="Cambria Math"/>
                <w:i/>
                <w:szCs w:val="18"/>
              </w:rPr>
              <w:t>MW</w:t>
            </w:r>
          </w:p>
        </w:tc>
        <w:tc>
          <w:tcPr>
            <w:tcW w:w="1226" w:type="dxa"/>
            <w:tcBorders>
              <w:top w:val="nil"/>
              <w:left w:val="single" w:sz="6" w:space="0" w:color="auto"/>
              <w:bottom w:val="nil"/>
              <w:right w:val="nil"/>
            </w:tcBorders>
          </w:tcPr>
          <w:p w14:paraId="748E2642" w14:textId="644F8FAA" w:rsidR="002F1FB0" w:rsidRDefault="006B35B3" w:rsidP="00090296">
            <w:pPr>
              <w:pStyle w:val="Els-body-text"/>
              <w:spacing w:before="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22</w:t>
            </w:r>
          </w:p>
        </w:tc>
        <w:tc>
          <w:tcPr>
            <w:tcW w:w="1227" w:type="dxa"/>
            <w:tcBorders>
              <w:top w:val="nil"/>
              <w:left w:val="nil"/>
              <w:bottom w:val="nil"/>
              <w:right w:val="nil"/>
            </w:tcBorders>
          </w:tcPr>
          <w:p w14:paraId="0C5E9FD3" w14:textId="07C026A7" w:rsidR="002F1FB0" w:rsidRDefault="006B35B3" w:rsidP="00090296">
            <w:pPr>
              <w:pStyle w:val="Els-body-text"/>
              <w:spacing w:before="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33</w:t>
            </w:r>
          </w:p>
        </w:tc>
        <w:tc>
          <w:tcPr>
            <w:tcW w:w="1227" w:type="dxa"/>
            <w:tcBorders>
              <w:top w:val="nil"/>
              <w:left w:val="nil"/>
              <w:bottom w:val="nil"/>
              <w:right w:val="nil"/>
            </w:tcBorders>
          </w:tcPr>
          <w:p w14:paraId="25262038" w14:textId="5FC168EB" w:rsidR="002F1FB0" w:rsidRDefault="006B35B3" w:rsidP="00090296">
            <w:pPr>
              <w:pStyle w:val="Els-body-text"/>
              <w:spacing w:before="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r>
      <w:tr w:rsidR="002F1FB0" w14:paraId="0A2C3D68" w14:textId="77777777" w:rsidTr="006B35B3">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552" w:type="dxa"/>
            <w:tcBorders>
              <w:right w:val="nil"/>
            </w:tcBorders>
          </w:tcPr>
          <w:p w14:paraId="6DBC8A10" w14:textId="5FD06F91" w:rsidR="002F1FB0" w:rsidRPr="006B35B3" w:rsidRDefault="002F1FB0" w:rsidP="00090296">
            <w:pPr>
              <w:pStyle w:val="Els-body-text"/>
              <w:spacing w:before="80"/>
              <w:jc w:val="left"/>
              <w:rPr>
                <w:lang w:val="en-GB"/>
              </w:rPr>
            </w:pPr>
            <w:r w:rsidRPr="006B35B3">
              <w:rPr>
                <w:lang w:val="en-GB"/>
              </w:rPr>
              <w:t>Configuration 2</w:t>
            </w:r>
          </w:p>
        </w:tc>
        <w:tc>
          <w:tcPr>
            <w:tcW w:w="850" w:type="dxa"/>
            <w:tcBorders>
              <w:top w:val="nil"/>
              <w:left w:val="nil"/>
              <w:bottom w:val="nil"/>
              <w:right w:val="single" w:sz="6" w:space="0" w:color="auto"/>
            </w:tcBorders>
          </w:tcPr>
          <w:p w14:paraId="7509773A" w14:textId="055B8891" w:rsidR="002F1FB0" w:rsidRPr="00D66E02" w:rsidRDefault="006B35B3" w:rsidP="00090296">
            <w:pPr>
              <w:pStyle w:val="Els-body-text"/>
              <w:spacing w:before="80"/>
              <w:jc w:val="left"/>
              <w:cnfStyle w:val="000000100000" w:firstRow="0" w:lastRow="0" w:firstColumn="0" w:lastColumn="0" w:oddVBand="0" w:evenVBand="0" w:oddHBand="1" w:evenHBand="0" w:firstRowFirstColumn="0" w:firstRowLastColumn="0" w:lastRowFirstColumn="0" w:lastRowLastColumn="0"/>
              <w:rPr>
                <w:rFonts w:ascii="Cambria Math" w:hAnsi="Cambria Math"/>
                <w:i/>
                <w:szCs w:val="18"/>
              </w:rPr>
            </w:pPr>
            <w:r>
              <w:rPr>
                <w:rFonts w:ascii="Cambria Math" w:hAnsi="Cambria Math"/>
                <w:i/>
                <w:szCs w:val="18"/>
              </w:rPr>
              <w:t>MW</w:t>
            </w:r>
          </w:p>
        </w:tc>
        <w:tc>
          <w:tcPr>
            <w:tcW w:w="1226" w:type="dxa"/>
            <w:tcBorders>
              <w:top w:val="nil"/>
              <w:left w:val="single" w:sz="6" w:space="0" w:color="auto"/>
              <w:bottom w:val="nil"/>
              <w:right w:val="nil"/>
            </w:tcBorders>
          </w:tcPr>
          <w:p w14:paraId="072FF02C" w14:textId="31FB1887" w:rsidR="002F1FB0" w:rsidRDefault="006B35B3" w:rsidP="00090296">
            <w:pPr>
              <w:pStyle w:val="Els-body-text"/>
              <w:spacing w:before="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33</w:t>
            </w:r>
          </w:p>
        </w:tc>
        <w:tc>
          <w:tcPr>
            <w:tcW w:w="1227" w:type="dxa"/>
            <w:tcBorders>
              <w:top w:val="nil"/>
              <w:left w:val="nil"/>
              <w:bottom w:val="nil"/>
              <w:right w:val="nil"/>
            </w:tcBorders>
          </w:tcPr>
          <w:p w14:paraId="551D8473" w14:textId="08E8BE59" w:rsidR="002F1FB0" w:rsidRDefault="006B35B3" w:rsidP="00090296">
            <w:pPr>
              <w:pStyle w:val="Els-body-text"/>
              <w:spacing w:before="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0</w:t>
            </w:r>
          </w:p>
        </w:tc>
        <w:tc>
          <w:tcPr>
            <w:tcW w:w="1227" w:type="dxa"/>
            <w:tcBorders>
              <w:top w:val="nil"/>
              <w:left w:val="nil"/>
              <w:bottom w:val="nil"/>
              <w:right w:val="nil"/>
            </w:tcBorders>
          </w:tcPr>
          <w:p w14:paraId="686F2005" w14:textId="69220587" w:rsidR="002F1FB0" w:rsidRDefault="006B35B3" w:rsidP="00090296">
            <w:pPr>
              <w:pStyle w:val="Els-body-text"/>
              <w:spacing w:before="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22</w:t>
            </w:r>
          </w:p>
        </w:tc>
      </w:tr>
      <w:tr w:rsidR="002F1FB0" w14:paraId="652510BB" w14:textId="77777777" w:rsidTr="006B35B3">
        <w:trPr>
          <w:trHeight w:val="230"/>
        </w:trPr>
        <w:tc>
          <w:tcPr>
            <w:cnfStyle w:val="001000000000" w:firstRow="0" w:lastRow="0" w:firstColumn="1" w:lastColumn="0" w:oddVBand="0" w:evenVBand="0" w:oddHBand="0" w:evenHBand="0" w:firstRowFirstColumn="0" w:firstRowLastColumn="0" w:lastRowFirstColumn="0" w:lastRowLastColumn="0"/>
            <w:tcW w:w="2552" w:type="dxa"/>
            <w:tcBorders>
              <w:bottom w:val="single" w:sz="12" w:space="0" w:color="auto"/>
              <w:right w:val="nil"/>
            </w:tcBorders>
          </w:tcPr>
          <w:p w14:paraId="47A8B89A" w14:textId="5739671D" w:rsidR="002F1FB0" w:rsidRPr="006B35B3" w:rsidRDefault="002F1FB0" w:rsidP="00090296">
            <w:pPr>
              <w:pStyle w:val="Els-body-text"/>
              <w:spacing w:before="80"/>
              <w:jc w:val="left"/>
              <w:rPr>
                <w:lang w:val="en-GB"/>
              </w:rPr>
            </w:pPr>
            <w:r w:rsidRPr="006B35B3">
              <w:rPr>
                <w:lang w:val="en-GB"/>
              </w:rPr>
              <w:t>Configuration 3</w:t>
            </w:r>
          </w:p>
        </w:tc>
        <w:tc>
          <w:tcPr>
            <w:tcW w:w="850" w:type="dxa"/>
            <w:tcBorders>
              <w:top w:val="nil"/>
              <w:left w:val="nil"/>
              <w:bottom w:val="single" w:sz="12" w:space="0" w:color="auto"/>
              <w:right w:val="single" w:sz="6" w:space="0" w:color="auto"/>
            </w:tcBorders>
          </w:tcPr>
          <w:p w14:paraId="2EBECB41" w14:textId="75A7274A" w:rsidR="002F1FB0" w:rsidRPr="00D66E02" w:rsidRDefault="006B35B3" w:rsidP="00090296">
            <w:pPr>
              <w:pStyle w:val="Els-body-text"/>
              <w:spacing w:before="80"/>
              <w:jc w:val="left"/>
              <w:cnfStyle w:val="000000000000" w:firstRow="0" w:lastRow="0" w:firstColumn="0" w:lastColumn="0" w:oddVBand="0" w:evenVBand="0" w:oddHBand="0" w:evenHBand="0" w:firstRowFirstColumn="0" w:firstRowLastColumn="0" w:lastRowFirstColumn="0" w:lastRowLastColumn="0"/>
              <w:rPr>
                <w:rFonts w:ascii="Cambria Math" w:hAnsi="Cambria Math"/>
                <w:i/>
                <w:szCs w:val="18"/>
              </w:rPr>
            </w:pPr>
            <w:r>
              <w:rPr>
                <w:rFonts w:ascii="Cambria Math" w:hAnsi="Cambria Math"/>
                <w:i/>
                <w:szCs w:val="18"/>
              </w:rPr>
              <w:t>MW</w:t>
            </w:r>
          </w:p>
        </w:tc>
        <w:tc>
          <w:tcPr>
            <w:tcW w:w="1226" w:type="dxa"/>
            <w:tcBorders>
              <w:top w:val="nil"/>
              <w:left w:val="single" w:sz="6" w:space="0" w:color="auto"/>
              <w:bottom w:val="single" w:sz="12" w:space="0" w:color="auto"/>
              <w:right w:val="nil"/>
            </w:tcBorders>
          </w:tcPr>
          <w:p w14:paraId="68885840" w14:textId="482F4B9F" w:rsidR="002F1FB0" w:rsidRDefault="006B35B3" w:rsidP="00090296">
            <w:pPr>
              <w:pStyle w:val="Els-body-text"/>
              <w:spacing w:before="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w:t>
            </w:r>
          </w:p>
        </w:tc>
        <w:tc>
          <w:tcPr>
            <w:tcW w:w="1227" w:type="dxa"/>
            <w:tcBorders>
              <w:top w:val="nil"/>
              <w:left w:val="nil"/>
              <w:bottom w:val="single" w:sz="12" w:space="0" w:color="auto"/>
              <w:right w:val="nil"/>
            </w:tcBorders>
          </w:tcPr>
          <w:p w14:paraId="51AE6EB5" w14:textId="5E1B5A8A" w:rsidR="002F1FB0" w:rsidRDefault="006B35B3" w:rsidP="00090296">
            <w:pPr>
              <w:pStyle w:val="Els-body-text"/>
              <w:spacing w:before="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33</w:t>
            </w:r>
          </w:p>
        </w:tc>
        <w:tc>
          <w:tcPr>
            <w:tcW w:w="1227" w:type="dxa"/>
            <w:tcBorders>
              <w:top w:val="nil"/>
              <w:left w:val="nil"/>
              <w:bottom w:val="single" w:sz="12" w:space="0" w:color="auto"/>
              <w:right w:val="nil"/>
            </w:tcBorders>
          </w:tcPr>
          <w:p w14:paraId="2BD9FF54" w14:textId="73B7BA28" w:rsidR="002F1FB0" w:rsidRDefault="006B35B3" w:rsidP="00090296">
            <w:pPr>
              <w:pStyle w:val="Els-body-text"/>
              <w:spacing w:before="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22</w:t>
            </w:r>
          </w:p>
        </w:tc>
      </w:tr>
    </w:tbl>
    <w:p w14:paraId="144DE69D" w14:textId="43FB52AB" w:rsidR="008D2649" w:rsidRDefault="00A6194D" w:rsidP="008D2649">
      <w:pPr>
        <w:pStyle w:val="Els-2ndorder-head"/>
      </w:pPr>
      <w:r>
        <w:t>Definition of metrics</w:t>
      </w:r>
    </w:p>
    <w:p w14:paraId="1019D6ED" w14:textId="4B003124" w:rsidR="00A6194D" w:rsidRDefault="00E54027" w:rsidP="00A6194D">
      <w:pPr>
        <w:pStyle w:val="Els-body-text"/>
      </w:pPr>
      <w:r>
        <w:t>The energy efficiency of the different</w:t>
      </w:r>
      <w:r w:rsidR="005B1897">
        <w:t xml:space="preserve"> configurations</w:t>
      </w:r>
      <w:r w:rsidR="00F21DFB">
        <w:t xml:space="preserve"> for the simulated scenario</w:t>
      </w:r>
      <w:r>
        <w:t xml:space="preserve"> </w:t>
      </w:r>
      <w:r w:rsidR="004711F6">
        <w:t>can be</w:t>
      </w:r>
      <w:r w:rsidR="005B1897">
        <w:t xml:space="preserve"> defined by the specific </w:t>
      </w:r>
      <w:r w:rsidR="005B1897" w:rsidRPr="00B6286C">
        <w:rPr>
          <w:szCs w:val="18"/>
        </w:rPr>
        <w:t>energy</w:t>
      </w:r>
      <w:r w:rsidR="005B1897">
        <w:t xml:space="preserve"> consumption of the system in </w:t>
      </w:r>
      <m:oMath>
        <m:f>
          <m:fPr>
            <m:type m:val="lin"/>
            <m:ctrlPr>
              <w:rPr>
                <w:rFonts w:ascii="Cambria Math" w:hAnsi="Cambria Math"/>
                <w:i/>
                <w:szCs w:val="18"/>
              </w:rPr>
            </m:ctrlPr>
          </m:fPr>
          <m:num>
            <m:r>
              <w:rPr>
                <w:rFonts w:ascii="Cambria Math" w:hAnsi="Cambria Math"/>
                <w:szCs w:val="18"/>
              </w:rPr>
              <m:t>kWh</m:t>
            </m:r>
          </m:num>
          <m:den>
            <m:sSubSup>
              <m:sSubSupPr>
                <m:ctrlPr>
                  <w:rPr>
                    <w:rFonts w:ascii="Cambria Math" w:hAnsi="Cambria Math"/>
                    <w:i/>
                    <w:szCs w:val="18"/>
                  </w:rPr>
                </m:ctrlPr>
              </m:sSubSupPr>
              <m:e>
                <m:r>
                  <w:rPr>
                    <w:rFonts w:ascii="Cambria Math" w:hAnsi="Cambria Math"/>
                    <w:szCs w:val="18"/>
                  </w:rPr>
                  <m:t>Nm</m:t>
                </m:r>
              </m:e>
              <m:sub>
                <m:sSub>
                  <m:sSubPr>
                    <m:ctrlPr>
                      <w:rPr>
                        <w:rFonts w:ascii="Cambria Math" w:hAnsi="Cambria Math"/>
                        <w:i/>
                        <w:szCs w:val="18"/>
                      </w:rPr>
                    </m:ctrlPr>
                  </m:sSubPr>
                  <m:e>
                    <m:r>
                      <w:rPr>
                        <w:rFonts w:ascii="Cambria Math" w:hAnsi="Cambria Math"/>
                        <w:szCs w:val="18"/>
                      </w:rPr>
                      <m:t>H</m:t>
                    </m:r>
                  </m:e>
                  <m:sub>
                    <m:r>
                      <w:rPr>
                        <w:rFonts w:ascii="Cambria Math" w:hAnsi="Cambria Math"/>
                        <w:szCs w:val="18"/>
                      </w:rPr>
                      <m:t>2</m:t>
                    </m:r>
                  </m:sub>
                </m:sSub>
              </m:sub>
              <m:sup>
                <m:r>
                  <w:rPr>
                    <w:rFonts w:ascii="Cambria Math" w:hAnsi="Cambria Math"/>
                    <w:szCs w:val="18"/>
                  </w:rPr>
                  <m:t>3</m:t>
                </m:r>
              </m:sup>
            </m:sSubSup>
          </m:den>
        </m:f>
      </m:oMath>
      <w:r w:rsidR="005B1897">
        <w:t xml:space="preserve">, </w:t>
      </w:r>
      <w:r w:rsidR="00D66E02">
        <w:t>in</w:t>
      </w:r>
      <w:r w:rsidR="005B1897">
        <w:t xml:space="preserve"> </w:t>
      </w:r>
      <w:r w:rsidR="005B1897" w:rsidRPr="00A94774">
        <w:rPr>
          <w:lang w:val="en-GB"/>
        </w:rPr>
        <w:t>Eq.</w:t>
      </w:r>
      <w:r w:rsidR="005B1897">
        <w:rPr>
          <w:lang w:val="en-GB"/>
        </w:rPr>
        <w:t xml:space="preserve"> </w:t>
      </w:r>
      <w:r w:rsidR="005B1897" w:rsidRPr="00A94774">
        <w:rPr>
          <w:lang w:val="en-GB"/>
        </w:rPr>
        <w:t>(1)</w:t>
      </w:r>
      <w:r w:rsidR="004711F6">
        <w:rPr>
          <w:lang w:val="en-GB"/>
        </w:rPr>
        <w:t>:</w:t>
      </w:r>
    </w:p>
    <w:tbl>
      <w:tblPr>
        <w:tblW w:w="0" w:type="auto"/>
        <w:tblLook w:val="04A0" w:firstRow="1" w:lastRow="0" w:firstColumn="1" w:lastColumn="0" w:noHBand="0" w:noVBand="1"/>
      </w:tblPr>
      <w:tblGrid>
        <w:gridCol w:w="6121"/>
        <w:gridCol w:w="965"/>
      </w:tblGrid>
      <w:tr w:rsidR="00C034E2" w:rsidRPr="00A94774" w14:paraId="36375392" w14:textId="77777777" w:rsidTr="00B04002">
        <w:tc>
          <w:tcPr>
            <w:tcW w:w="6317" w:type="dxa"/>
            <w:shd w:val="clear" w:color="auto" w:fill="auto"/>
            <w:vAlign w:val="center"/>
          </w:tcPr>
          <w:bookmarkStart w:id="0" w:name="_Hlk151040408"/>
          <w:p w14:paraId="02C6501C" w14:textId="4B003124" w:rsidR="00C034E2" w:rsidRPr="005B1897" w:rsidRDefault="00000000" w:rsidP="00B40884">
            <w:pPr>
              <w:pStyle w:val="Els-caption"/>
              <w:spacing w:before="60" w:after="60"/>
              <w:rPr>
                <w:sz w:val="20"/>
              </w:rPr>
            </w:pPr>
            <m:oMathPara>
              <m:oMathParaPr>
                <m:jc m:val="left"/>
              </m:oMathParaPr>
              <m:oMath>
                <m:sSub>
                  <m:sSubPr>
                    <m:ctrlPr>
                      <w:rPr>
                        <w:rFonts w:ascii="Cambria Math" w:hAnsi="Cambria Math"/>
                        <w:i/>
                        <w:sz w:val="20"/>
                      </w:rPr>
                    </m:ctrlPr>
                  </m:sSubPr>
                  <m:e>
                    <m:r>
                      <w:rPr>
                        <w:rFonts w:ascii="Cambria Math" w:hAnsi="Cambria Math"/>
                        <w:sz w:val="20"/>
                      </w:rPr>
                      <m:t>E</m:t>
                    </m:r>
                  </m:e>
                  <m:sub>
                    <m:r>
                      <w:rPr>
                        <w:rFonts w:ascii="Cambria Math" w:hAnsi="Cambria Math"/>
                        <w:sz w:val="20"/>
                      </w:rPr>
                      <m:t>spec,sys</m:t>
                    </m:r>
                  </m:sub>
                </m:sSub>
                <m:r>
                  <w:rPr>
                    <w:rFonts w:ascii="Cambria Math" w:hAnsi="Cambria Math"/>
                    <w:sz w:val="20"/>
                  </w:rPr>
                  <m:t xml:space="preserve"> =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P</m:t>
                        </m:r>
                      </m:e>
                      <m:sub>
                        <m:r>
                          <w:rPr>
                            <w:rFonts w:ascii="Cambria Math" w:hAnsi="Cambria Math"/>
                            <w:sz w:val="20"/>
                          </w:rPr>
                          <m:t>cons</m:t>
                        </m:r>
                      </m:sub>
                    </m:sSub>
                  </m:num>
                  <m:den>
                    <m:sSub>
                      <m:sSubPr>
                        <m:ctrlPr>
                          <w:rPr>
                            <w:rFonts w:ascii="Cambria Math" w:hAnsi="Cambria Math"/>
                            <w:i/>
                            <w:sz w:val="20"/>
                          </w:rPr>
                        </m:ctrlPr>
                      </m:sSubPr>
                      <m:e>
                        <m:r>
                          <w:rPr>
                            <w:rFonts w:ascii="Cambria Math" w:hAnsi="Cambria Math"/>
                            <w:sz w:val="20"/>
                          </w:rPr>
                          <m:t>V</m:t>
                        </m:r>
                      </m:e>
                      <m:sub>
                        <m:sSub>
                          <m:sSubPr>
                            <m:ctrlPr>
                              <w:rPr>
                                <w:rFonts w:ascii="Cambria Math" w:hAnsi="Cambria Math"/>
                                <w:i/>
                                <w:sz w:val="20"/>
                              </w:rPr>
                            </m:ctrlPr>
                          </m:sSubPr>
                          <m:e>
                            <m:r>
                              <w:rPr>
                                <w:rFonts w:ascii="Cambria Math" w:hAnsi="Cambria Math"/>
                                <w:sz w:val="20"/>
                              </w:rPr>
                              <m:t>H</m:t>
                            </m:r>
                          </m:e>
                          <m:sub>
                            <m:r>
                              <w:rPr>
                                <w:rFonts w:ascii="Cambria Math" w:hAnsi="Cambria Math"/>
                                <w:sz w:val="20"/>
                              </w:rPr>
                              <m:t>2</m:t>
                            </m:r>
                          </m:sub>
                        </m:sSub>
                        <m:r>
                          <w:rPr>
                            <w:rFonts w:ascii="Cambria Math" w:hAnsi="Cambria Math"/>
                            <w:sz w:val="20"/>
                          </w:rPr>
                          <m:t>,prod</m:t>
                        </m:r>
                      </m:sub>
                    </m:sSub>
                  </m:den>
                </m:f>
              </m:oMath>
            </m:oMathPara>
            <w:bookmarkEnd w:id="0"/>
          </w:p>
        </w:tc>
        <w:tc>
          <w:tcPr>
            <w:tcW w:w="985" w:type="dxa"/>
            <w:shd w:val="clear" w:color="auto" w:fill="auto"/>
            <w:vAlign w:val="center"/>
          </w:tcPr>
          <w:p w14:paraId="0CFBE2C5" w14:textId="77777777" w:rsidR="00C034E2" w:rsidRPr="00A94774" w:rsidRDefault="00C034E2" w:rsidP="00B04002">
            <w:pPr>
              <w:pStyle w:val="Els-body-text"/>
              <w:spacing w:before="120" w:after="120" w:line="264" w:lineRule="auto"/>
              <w:jc w:val="right"/>
              <w:rPr>
                <w:lang w:val="en-GB"/>
              </w:rPr>
            </w:pPr>
            <w:r w:rsidRPr="00A94774">
              <w:rPr>
                <w:lang w:val="en-GB"/>
              </w:rPr>
              <w:t>(1)</w:t>
            </w:r>
          </w:p>
        </w:tc>
      </w:tr>
    </w:tbl>
    <w:p w14:paraId="53CA4D17" w14:textId="77777777" w:rsidR="002F1FB0" w:rsidRDefault="005B1897" w:rsidP="00A6194D">
      <w:pPr>
        <w:pStyle w:val="Els-body-text"/>
        <w:rPr>
          <w:szCs w:val="18"/>
        </w:rPr>
      </w:pPr>
      <w:r>
        <w:lastRenderedPageBreak/>
        <w:t xml:space="preserve">with </w:t>
      </w: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cons</m:t>
            </m:r>
          </m:sub>
        </m:sSub>
      </m:oMath>
      <w:r>
        <w:rPr>
          <w:szCs w:val="18"/>
        </w:rPr>
        <w:t xml:space="preserve"> as the electrical </w:t>
      </w:r>
      <w:r w:rsidR="00873BB5">
        <w:rPr>
          <w:szCs w:val="18"/>
        </w:rPr>
        <w:t>power</w:t>
      </w:r>
      <w:r>
        <w:rPr>
          <w:szCs w:val="18"/>
        </w:rPr>
        <w:t xml:space="preserve"> </w:t>
      </w:r>
      <w:r w:rsidR="00873BB5">
        <w:rPr>
          <w:szCs w:val="18"/>
        </w:rPr>
        <w:t>consumption</w:t>
      </w:r>
      <w:r>
        <w:rPr>
          <w:szCs w:val="18"/>
        </w:rPr>
        <w:t xml:space="preserve"> in </w:t>
      </w:r>
      <m:oMath>
        <m:r>
          <w:rPr>
            <w:rFonts w:ascii="Cambria Math" w:hAnsi="Cambria Math"/>
            <w:szCs w:val="18"/>
          </w:rPr>
          <m:t>kWh</m:t>
        </m:r>
      </m:oMath>
      <w:r>
        <w:rPr>
          <w:szCs w:val="18"/>
        </w:rPr>
        <w:t xml:space="preserve"> and </w:t>
      </w:r>
      <m:oMath>
        <m:sSub>
          <m:sSubPr>
            <m:ctrlPr>
              <w:rPr>
                <w:rFonts w:ascii="Cambria Math" w:hAnsi="Cambria Math"/>
                <w:i/>
                <w:szCs w:val="18"/>
              </w:rPr>
            </m:ctrlPr>
          </m:sSubPr>
          <m:e>
            <m:r>
              <w:rPr>
                <w:rFonts w:ascii="Cambria Math" w:hAnsi="Cambria Math"/>
                <w:szCs w:val="18"/>
              </w:rPr>
              <m:t>V</m:t>
            </m:r>
          </m:e>
          <m:sub>
            <m:sSub>
              <m:sSubPr>
                <m:ctrlPr>
                  <w:rPr>
                    <w:rFonts w:ascii="Cambria Math" w:hAnsi="Cambria Math"/>
                    <w:i/>
                    <w:szCs w:val="18"/>
                  </w:rPr>
                </m:ctrlPr>
              </m:sSubPr>
              <m:e>
                <m:r>
                  <w:rPr>
                    <w:rFonts w:ascii="Cambria Math" w:hAnsi="Cambria Math"/>
                    <w:szCs w:val="18"/>
                  </w:rPr>
                  <m:t>H</m:t>
                </m:r>
              </m:e>
              <m:sub>
                <m:r>
                  <w:rPr>
                    <w:rFonts w:ascii="Cambria Math" w:hAnsi="Cambria Math"/>
                    <w:szCs w:val="18"/>
                  </w:rPr>
                  <m:t>2</m:t>
                </m:r>
              </m:sub>
            </m:sSub>
            <m:r>
              <w:rPr>
                <w:rFonts w:ascii="Cambria Math" w:hAnsi="Cambria Math"/>
                <w:szCs w:val="18"/>
              </w:rPr>
              <m:t>,prod</m:t>
            </m:r>
          </m:sub>
        </m:sSub>
      </m:oMath>
      <w:r>
        <w:rPr>
          <w:szCs w:val="18"/>
        </w:rPr>
        <w:t xml:space="preserve"> as the produced hydrogen flow in </w:t>
      </w:r>
      <m:oMath>
        <m:sSup>
          <m:sSupPr>
            <m:ctrlPr>
              <w:rPr>
                <w:rFonts w:ascii="Cambria Math" w:hAnsi="Cambria Math"/>
                <w:i/>
                <w:szCs w:val="18"/>
              </w:rPr>
            </m:ctrlPr>
          </m:sSupPr>
          <m:e>
            <m:r>
              <w:rPr>
                <w:rFonts w:ascii="Cambria Math" w:hAnsi="Cambria Math"/>
                <w:szCs w:val="18"/>
              </w:rPr>
              <m:t>Nm</m:t>
            </m:r>
          </m:e>
          <m:sup>
            <m:r>
              <w:rPr>
                <w:rFonts w:ascii="Cambria Math" w:hAnsi="Cambria Math"/>
                <w:szCs w:val="18"/>
              </w:rPr>
              <m:t>3</m:t>
            </m:r>
          </m:sup>
        </m:sSup>
      </m:oMath>
      <w:r w:rsidR="008F18CE">
        <w:rPr>
          <w:szCs w:val="18"/>
        </w:rPr>
        <w:t xml:space="preserve"> over the simulated time</w:t>
      </w:r>
      <w:r>
        <w:rPr>
          <w:szCs w:val="18"/>
        </w:rPr>
        <w:t>.</w:t>
      </w:r>
      <w:r w:rsidR="00F21DFB">
        <w:rPr>
          <w:szCs w:val="18"/>
        </w:rPr>
        <w:t xml:space="preserve"> </w:t>
      </w:r>
    </w:p>
    <w:p w14:paraId="027DA70E" w14:textId="2CBC6DBA" w:rsidR="005B1897" w:rsidRPr="00F21DFB" w:rsidRDefault="004711F6" w:rsidP="00A6194D">
      <w:pPr>
        <w:pStyle w:val="Els-body-text"/>
        <w:rPr>
          <w:szCs w:val="18"/>
        </w:rPr>
      </w:pPr>
      <w:r>
        <w:t>Using the specific energy consumption, the system energy efficiency in % can be calculated in relation to the lower heating value of H</w:t>
      </w:r>
      <w:r w:rsidRPr="004711F6">
        <w:rPr>
          <w:vertAlign w:val="subscript"/>
        </w:rPr>
        <w:t>2</w:t>
      </w:r>
      <w:r w:rsidR="00873BB5">
        <w:t xml:space="preserve"> (</w:t>
      </w:r>
      <m:oMath>
        <m:sSub>
          <m:sSubPr>
            <m:ctrlPr>
              <w:rPr>
                <w:rFonts w:ascii="Cambria Math" w:hAnsi="Cambria Math"/>
                <w:i/>
              </w:rPr>
            </m:ctrlPr>
          </m:sSubPr>
          <m:e>
            <m:r>
              <w:rPr>
                <w:rFonts w:ascii="Cambria Math" w:hAnsi="Cambria Math"/>
              </w:rPr>
              <m:t>LHV</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 xml:space="preserve">= 3 </m:t>
        </m:r>
        <m:f>
          <m:fPr>
            <m:type m:val="lin"/>
            <m:ctrlPr>
              <w:rPr>
                <w:rFonts w:ascii="Cambria Math" w:hAnsi="Cambria Math"/>
                <w:i/>
              </w:rPr>
            </m:ctrlPr>
          </m:fPr>
          <m:num>
            <m:r>
              <w:rPr>
                <w:rFonts w:ascii="Cambria Math" w:hAnsi="Cambria Math"/>
              </w:rPr>
              <m:t>kWh</m:t>
            </m:r>
          </m:num>
          <m:den>
            <m:sSup>
              <m:sSupPr>
                <m:ctrlPr>
                  <w:rPr>
                    <w:rFonts w:ascii="Cambria Math" w:hAnsi="Cambria Math"/>
                    <w:i/>
                  </w:rPr>
                </m:ctrlPr>
              </m:sSupPr>
              <m:e>
                <m:r>
                  <w:rPr>
                    <w:rFonts w:ascii="Cambria Math" w:hAnsi="Cambria Math"/>
                  </w:rPr>
                  <m:t>Nm</m:t>
                </m:r>
              </m:e>
              <m:sup>
                <m:r>
                  <w:rPr>
                    <w:rFonts w:ascii="Cambria Math" w:hAnsi="Cambria Math"/>
                  </w:rPr>
                  <m:t>3</m:t>
                </m:r>
              </m:sup>
            </m:sSup>
          </m:den>
        </m:f>
      </m:oMath>
      <w:r w:rsidR="00873BB5">
        <w:t>.)</w:t>
      </w:r>
      <w:r w:rsidRPr="00873BB5">
        <w:t>,</w:t>
      </w:r>
      <w:r>
        <w:t xml:space="preserve"> according to Eq. (2):</w:t>
      </w:r>
    </w:p>
    <w:tbl>
      <w:tblPr>
        <w:tblW w:w="7087" w:type="dxa"/>
        <w:tblLook w:val="04A0" w:firstRow="1" w:lastRow="0" w:firstColumn="1" w:lastColumn="0" w:noHBand="0" w:noVBand="1"/>
      </w:tblPr>
      <w:tblGrid>
        <w:gridCol w:w="6125"/>
        <w:gridCol w:w="962"/>
      </w:tblGrid>
      <w:tr w:rsidR="00C034E2" w:rsidRPr="00A94774" w14:paraId="14A14C56" w14:textId="77777777" w:rsidTr="00C034E2">
        <w:tc>
          <w:tcPr>
            <w:tcW w:w="6125" w:type="dxa"/>
            <w:shd w:val="clear" w:color="auto" w:fill="auto"/>
            <w:vAlign w:val="center"/>
          </w:tcPr>
          <w:p w14:paraId="3DEEA7ED" w14:textId="6529A2A3" w:rsidR="00C034E2" w:rsidRPr="005B1897" w:rsidRDefault="00000000" w:rsidP="00B40884">
            <w:pPr>
              <w:pStyle w:val="Els-caption"/>
              <w:spacing w:before="60" w:after="60"/>
              <w:rPr>
                <w:sz w:val="20"/>
              </w:rPr>
            </w:pPr>
            <m:oMathPara>
              <m:oMathParaPr>
                <m:jc m:val="left"/>
              </m:oMathParaPr>
              <m:oMath>
                <m:sSub>
                  <m:sSubPr>
                    <m:ctrlPr>
                      <w:rPr>
                        <w:rFonts w:ascii="Cambria Math" w:hAnsi="Cambria Math"/>
                        <w:i/>
                        <w:sz w:val="20"/>
                      </w:rPr>
                    </m:ctrlPr>
                  </m:sSubPr>
                  <m:e>
                    <m:r>
                      <w:rPr>
                        <w:rFonts w:ascii="Cambria Math" w:hAnsi="Cambria Math"/>
                        <w:sz w:val="20"/>
                      </w:rPr>
                      <m:t>η</m:t>
                    </m:r>
                  </m:e>
                  <m:sub>
                    <m:r>
                      <w:rPr>
                        <w:rFonts w:ascii="Cambria Math" w:hAnsi="Cambria Math"/>
                        <w:sz w:val="20"/>
                      </w:rPr>
                      <m:t>sys</m:t>
                    </m:r>
                  </m:sub>
                </m:sSub>
                <m:r>
                  <w:rPr>
                    <w:rFonts w:ascii="Cambria Math" w:hAnsi="Cambria Math"/>
                    <w:sz w:val="20"/>
                  </w:rPr>
                  <m:t xml:space="preserve"> = 100 % ∙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LHV</m:t>
                        </m:r>
                      </m:e>
                      <m:sub>
                        <m:sSub>
                          <m:sSubPr>
                            <m:ctrlPr>
                              <w:rPr>
                                <w:rFonts w:ascii="Cambria Math" w:hAnsi="Cambria Math"/>
                                <w:i/>
                                <w:sz w:val="20"/>
                              </w:rPr>
                            </m:ctrlPr>
                          </m:sSubPr>
                          <m:e>
                            <m:r>
                              <w:rPr>
                                <w:rFonts w:ascii="Cambria Math" w:hAnsi="Cambria Math"/>
                                <w:sz w:val="20"/>
                              </w:rPr>
                              <m:t>H</m:t>
                            </m:r>
                          </m:e>
                          <m:sub>
                            <m:r>
                              <w:rPr>
                                <w:rFonts w:ascii="Cambria Math" w:hAnsi="Cambria Math"/>
                                <w:sz w:val="20"/>
                              </w:rPr>
                              <m:t>2</m:t>
                            </m:r>
                          </m:sub>
                        </m:sSub>
                      </m:sub>
                    </m:sSub>
                  </m:num>
                  <m:den>
                    <m:sSub>
                      <m:sSubPr>
                        <m:ctrlPr>
                          <w:rPr>
                            <w:rFonts w:ascii="Cambria Math" w:hAnsi="Cambria Math"/>
                            <w:i/>
                            <w:sz w:val="20"/>
                          </w:rPr>
                        </m:ctrlPr>
                      </m:sSubPr>
                      <m:e>
                        <m:r>
                          <w:rPr>
                            <w:rFonts w:ascii="Cambria Math" w:hAnsi="Cambria Math"/>
                            <w:sz w:val="20"/>
                          </w:rPr>
                          <m:t>E</m:t>
                        </m:r>
                      </m:e>
                      <m:sub>
                        <m:r>
                          <w:rPr>
                            <w:rFonts w:ascii="Cambria Math" w:hAnsi="Cambria Math"/>
                            <w:sz w:val="20"/>
                          </w:rPr>
                          <m:t>spec,sys</m:t>
                        </m:r>
                      </m:sub>
                    </m:sSub>
                  </m:den>
                </m:f>
              </m:oMath>
            </m:oMathPara>
          </w:p>
        </w:tc>
        <w:tc>
          <w:tcPr>
            <w:tcW w:w="962" w:type="dxa"/>
            <w:shd w:val="clear" w:color="auto" w:fill="auto"/>
            <w:vAlign w:val="center"/>
          </w:tcPr>
          <w:p w14:paraId="07AD0B90" w14:textId="48A75734" w:rsidR="00C034E2" w:rsidRPr="00A94774" w:rsidRDefault="00C034E2" w:rsidP="00B04002">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5DEDFD65" w14:textId="03F5E038" w:rsidR="001F39DA" w:rsidRDefault="0015566D" w:rsidP="00A6194D">
      <w:pPr>
        <w:pStyle w:val="Els-body-text"/>
      </w:pPr>
      <w:r>
        <w:t>F</w:t>
      </w:r>
      <w:r w:rsidR="00C034E2" w:rsidRPr="00C034E2">
        <w:t xml:space="preserve">lexibility parameters of </w:t>
      </w:r>
      <w:proofErr w:type="spellStart"/>
      <w:r w:rsidR="00C034E2" w:rsidRPr="00C034E2">
        <w:t>electrolyzer</w:t>
      </w:r>
      <w:proofErr w:type="spellEnd"/>
      <w:r>
        <w:t xml:space="preserve"> technologies</w:t>
      </w:r>
      <w:r w:rsidR="00F21DFB">
        <w:t>,</w:t>
      </w:r>
      <w:r>
        <w:t xml:space="preserve"> identified and collected</w:t>
      </w:r>
      <w:r w:rsidR="00C034E2" w:rsidRPr="00C034E2">
        <w:t xml:space="preserve"> </w:t>
      </w:r>
      <w:r>
        <w:t>by L</w:t>
      </w:r>
      <w:r w:rsidR="00C034E2" w:rsidRPr="00C034E2">
        <w:t>ange</w:t>
      </w:r>
      <w:r w:rsidR="00F56B66">
        <w:t> </w:t>
      </w:r>
      <w:r w:rsidR="00C034E2" w:rsidRPr="00C034E2">
        <w:t>et</w:t>
      </w:r>
      <w:r w:rsidR="00F56B66">
        <w:t> </w:t>
      </w:r>
      <w:r w:rsidR="00C034E2" w:rsidRPr="00C034E2">
        <w:t>al.</w:t>
      </w:r>
      <w:r w:rsidR="00F21DFB">
        <w:t>,</w:t>
      </w:r>
      <w:r w:rsidR="00C034E2" w:rsidRPr="00C034E2">
        <w:t xml:space="preserve"> </w:t>
      </w:r>
      <w:r>
        <w:t xml:space="preserve">are used </w:t>
      </w:r>
      <w:r w:rsidR="00C034E2" w:rsidRPr="00C034E2">
        <w:t xml:space="preserve">to calculate </w:t>
      </w:r>
      <w:r w:rsidR="00CA7734">
        <w:t>the Expected Unserved Flexible Energy (</w:t>
      </w:r>
      <m:oMath>
        <m:r>
          <w:rPr>
            <w:rFonts w:ascii="Cambria Math" w:hAnsi="Cambria Math"/>
          </w:rPr>
          <m:t>EUFE</m:t>
        </m:r>
      </m:oMath>
      <w:r w:rsidR="00CA7734">
        <w:t>)</w:t>
      </w:r>
      <w:r w:rsidR="00C034E2" w:rsidRPr="00C034E2">
        <w:t xml:space="preserve"> of a portfolio of flexible energy resources, a</w:t>
      </w:r>
      <w:r w:rsidR="00F56B66">
        <w:t>dapted from</w:t>
      </w:r>
      <w:r w:rsidR="00C034E2" w:rsidRPr="00C034E2">
        <w:t xml:space="preserve"> </w:t>
      </w:r>
      <w:proofErr w:type="spellStart"/>
      <w:r w:rsidR="00C034E2" w:rsidRPr="00C034E2">
        <w:t>Gussain</w:t>
      </w:r>
      <w:proofErr w:type="spellEnd"/>
      <w:r w:rsidR="00C034E2" w:rsidRPr="00C034E2">
        <w:t xml:space="preserve"> et al.</w:t>
      </w:r>
      <w:r w:rsidR="00C034E2">
        <w:t xml:space="preserve"> </w:t>
      </w:r>
      <w:r w:rsidR="00A03A47">
        <w:fldChar w:fldCharType="begin"/>
      </w:r>
      <w:r w:rsidR="00BF1F6E">
        <w:instrText xml:space="preserve"> ADDIN ZOTERO_ITEM CSL_CITATION {"citationID":"qeD4fl0o","properties":{"formattedCitation":"[2], [6]","plainCitation":"[2], [6]","dontUpdate":true,"noteIndex":0},"citationItems":[{"id":12607,"uris":["http://zotero.org/users/10316845/items/WATP3TSR"],"itemData":{"id":12607,"type":"article-journal","abstract":"Flexibility will be required as more renewable generation is integrated in the power system. Therefore, entities such as Flexibility Service Providers (FSPs) have emerged who can control a diverse set of resources in their portfolio to provide requested flexibility. An accurate and reliable assessment of the amount of dispatchable flexibility in FSP’s portfolio considering demand response activation, ramp rate, and post-activation rebound effects, etc. is important. In case FSP portfolio cannot fulfill the flexibility request, it must be known beforehand to avoid imbalance penalties. In this paper, we propose three flexibility quantification metrics: Expected Unserved Flexible Energy (EUFE), Expected Duration of Insufficient Flexibility (EDIF), and Expected Flexibility Index (EFI). These metrics are calculated using scenario-based simulations. The three metrics provide the FSP with quantifiable as well as graphical information on the magnitude and the duration of insufficient flexibility well ahead of gate closure time. This helps the FSP to design appropriate demand response programs (DRPs) and formulate their operational policy. These metrics account for uncertainty in forecasts of flexibility requests by evaluating multiple scenarios by conducting an operational simulation. With a representative case study, it is shown how an FSP can use the metrics to design DRPs, and when needed, schedule intraday market participation.","container-title":"International Journal of Electrical Power &amp; Energy Systems","DOI":"10.1016/j.ijepes.2021.107466","ISSN":"01420615","journalAbbreviation":"International Journal of Electrical Power &amp; Energy Systems","language":"en","page":"107466","source":"DOI.org (Crossref)","title":"Quantification of operational flexibility from a portfolio of flexible energy resources","volume":"141","author":[{"family":"Gusain","given":"Digvijay"},{"family":"Cvetković","given":"Milos̆"},{"family":"Palensky","given":"Peter"}],"issued":{"date-parts":[["2022",10]]}}},{"id":10723,"uris":["http://zotero.org/users/10316845/items/QMJEIWRS"],"itemData":{"id":10723,"type":"article-journal","container-title":"International Journal of Hydrogen Energy","DOI":"10.1016/j.ijhydene.2023.01.044","ISSN":"03603199","issue":"42","journalAbbreviation":"International Journal of Hydrogen Energy","language":"en","page":"15771-15783","source":"DOI.org (Crossref)","title":"Technical evaluation of the flexibility of water electrolysis systems to increase energy flexibility: A review","title-short":"Technical evaluation of the flexibility of water electrolysis systems to increase energy flexibility","volume":"48","author":[{"family":"Lange","given":"Hannes"},{"family":"Klose","given":"Anselm"},{"family":"Lippmann","given":"Wolfgang"},{"family":"Urbas","given":"Leon"}],"issued":{"date-parts":[["2023",5]]}}}],"schema":"https://github.com/citation-style-language/schema/raw/master/csl-citation.json"} </w:instrText>
      </w:r>
      <w:r w:rsidR="00A03A47">
        <w:fldChar w:fldCharType="separate"/>
      </w:r>
      <w:r w:rsidR="00A03A47" w:rsidRPr="00A03A47">
        <w:t>[2</w:t>
      </w:r>
      <w:r w:rsidR="00A03A47">
        <w:t xml:space="preserve">, </w:t>
      </w:r>
      <w:r w:rsidR="00A03A47" w:rsidRPr="00A03A47">
        <w:t>6]</w:t>
      </w:r>
      <w:r w:rsidR="00A03A47">
        <w:fldChar w:fldCharType="end"/>
      </w:r>
      <w:r w:rsidR="00C034E2">
        <w:t>.</w:t>
      </w:r>
      <w:r w:rsidR="00B27CC7">
        <w:t xml:space="preserve"> Further parameters for high temperature electrolysis have been adapted from Posdziech et al. </w:t>
      </w:r>
      <w:r w:rsidR="00B27CC7">
        <w:fldChar w:fldCharType="begin"/>
      </w:r>
      <w:r w:rsidR="00B27CC7">
        <w:instrText xml:space="preserve"> ADDIN ZOTERO_ITEM CSL_CITATION {"citationID":"nkLJgDH9","properties":{"formattedCitation":"[7]","plainCitation":"[7]","noteIndex":0},"citationItems":[{"id":12626,"uris":["http://zotero.org/users/10316845/items/GSFWRQFG"],"itemData":{"id":12626,"type":"article-journal","abstract":"The paper describes the development status of Sunﬁre's reversible solid oxide cell (RSOC) technology. Here, Sunﬁre is a pioneer in the ﬁeld of high-temperature electrolysers (HTE) for renewable hydrogen production which can be operated as a fuel cell for power generation in a reverse mode. The maturity of the technology is improved stepwise so that ﬁrst applications in the ﬁeld of hydrogen production for industry and electricity storage can be tackled. Three application examples where larger scale prototype has been installed will be discussed: 1) A power-to-power electricity storage based on hydrogen, 2) a RSOC unit that is installed in an iron and steel works, and 3) a pressurized SOEC prototype which will be integrated with a methanation unit. Results show the potentials of the technology in connection with ﬂuctuating renewable energy sources.","container-title":"International Journal of Hydrogen Energy","DOI":"10.1016/j.ijhydene.2018.05.169","ISSN":"03603199","issue":"35","journalAbbreviation":"International Journal of Hydrogen Energy","language":"en","page":"19089-19101","source":"DOI.org (Crossref)","title":"Efficient hydrogen production for industry and electricity storage via high-temperature electrolysis","volume":"44","author":[{"family":"Posdziech","given":"Oliver"},{"family":"Schwarze","given":"Konstantin"},{"family":"Brabandt","given":"Jörg"}],"issued":{"date-parts":[["2019",7]]}}}],"schema":"https://github.com/citation-style-language/schema/raw/master/csl-citation.json"} </w:instrText>
      </w:r>
      <w:r w:rsidR="00B27CC7">
        <w:fldChar w:fldCharType="separate"/>
      </w:r>
      <w:r w:rsidR="00B27CC7" w:rsidRPr="00B27CC7">
        <w:t>[7]</w:t>
      </w:r>
      <w:r w:rsidR="00B27CC7">
        <w:fldChar w:fldCharType="end"/>
      </w:r>
      <w:r w:rsidR="00B27CC7">
        <w:t>.</w:t>
      </w:r>
    </w:p>
    <w:p w14:paraId="76CD51FB" w14:textId="5AAFEC27" w:rsidR="00EC3274" w:rsidRPr="007674FC" w:rsidRDefault="00824302" w:rsidP="00A6194D">
      <w:pPr>
        <w:pStyle w:val="Els-body-text"/>
      </w:pPr>
      <w:r>
        <w:t>The EUFE sums up t</w:t>
      </w:r>
      <w:r w:rsidR="007674FC">
        <w:t xml:space="preserve">he </w:t>
      </w:r>
      <w:r w:rsidR="007674FC" w:rsidRPr="00B6286C">
        <w:rPr>
          <w:szCs w:val="18"/>
        </w:rPr>
        <w:t>absolute</w:t>
      </w:r>
      <w:r w:rsidR="007674FC">
        <w:t xml:space="preserve"> difference between the wanted power input and the realizable power consumption </w:t>
      </w:r>
      <w:r>
        <w:t>of</w:t>
      </w:r>
      <w:r w:rsidR="007674FC">
        <w:t xml:space="preserve"> the system</w:t>
      </w:r>
      <w:r w:rsidR="0017349A">
        <w:t xml:space="preserve"> </w:t>
      </w:r>
      <w:r w:rsidR="0017349A">
        <w:rPr>
          <w:szCs w:val="18"/>
        </w:rPr>
        <w:t xml:space="preserve">in </w:t>
      </w:r>
      <m:oMath>
        <m:r>
          <w:rPr>
            <w:rFonts w:ascii="Cambria Math" w:hAnsi="Cambria Math"/>
            <w:szCs w:val="18"/>
          </w:rPr>
          <m:t>kWh</m:t>
        </m:r>
      </m:oMath>
      <w:r w:rsidR="007674FC">
        <w:t>, according to Eq. (3).</w:t>
      </w:r>
    </w:p>
    <w:tbl>
      <w:tblPr>
        <w:tblW w:w="0" w:type="auto"/>
        <w:tblLook w:val="04A0" w:firstRow="1" w:lastRow="0" w:firstColumn="1" w:lastColumn="0" w:noHBand="0" w:noVBand="1"/>
      </w:tblPr>
      <w:tblGrid>
        <w:gridCol w:w="6121"/>
        <w:gridCol w:w="965"/>
      </w:tblGrid>
      <w:tr w:rsidR="00C034E2" w:rsidRPr="00A94774" w14:paraId="0C08A8F2" w14:textId="77777777" w:rsidTr="00B04002">
        <w:tc>
          <w:tcPr>
            <w:tcW w:w="6317" w:type="dxa"/>
            <w:shd w:val="clear" w:color="auto" w:fill="auto"/>
            <w:vAlign w:val="center"/>
          </w:tcPr>
          <w:p w14:paraId="7438A0EA" w14:textId="59D7E36B" w:rsidR="00C034E2" w:rsidRPr="00C034E2" w:rsidRDefault="00C034E2" w:rsidP="00B40884">
            <w:pPr>
              <w:pStyle w:val="Els-body-text"/>
              <w:spacing w:before="60" w:after="60" w:line="264" w:lineRule="auto"/>
              <w:rPr>
                <w:lang w:val="en-GB"/>
              </w:rPr>
            </w:pPr>
            <m:oMathPara>
              <m:oMathParaPr>
                <m:jc m:val="left"/>
              </m:oMathParaPr>
              <m:oMath>
                <m:r>
                  <w:rPr>
                    <w:rFonts w:ascii="Cambria Math" w:hAnsi="Cambria Math"/>
                    <w:sz w:val="18"/>
                    <w:szCs w:val="18"/>
                  </w:rPr>
                  <m:t xml:space="preserve">EUFE = </m:t>
                </m:r>
                <m:nary>
                  <m:naryPr>
                    <m:limLoc m:val="subSup"/>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start</m:t>
                        </m:r>
                      </m:sub>
                    </m:sSub>
                  </m:sub>
                  <m:sup>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end</m:t>
                        </m:r>
                      </m:sub>
                    </m:sSub>
                  </m:sup>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in</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sys</m:t>
                        </m:r>
                      </m:sub>
                    </m:sSub>
                    <m:r>
                      <w:rPr>
                        <w:rFonts w:ascii="Cambria Math" w:hAnsi="Cambria Math"/>
                        <w:sz w:val="18"/>
                        <w:szCs w:val="18"/>
                      </w:rPr>
                      <m:t>|</m:t>
                    </m:r>
                  </m:e>
                </m:nary>
              </m:oMath>
            </m:oMathPara>
          </w:p>
        </w:tc>
        <w:tc>
          <w:tcPr>
            <w:tcW w:w="985" w:type="dxa"/>
            <w:shd w:val="clear" w:color="auto" w:fill="auto"/>
            <w:vAlign w:val="center"/>
          </w:tcPr>
          <w:p w14:paraId="3B822D17" w14:textId="00C7244F" w:rsidR="00C034E2" w:rsidRPr="00A94774" w:rsidRDefault="00C034E2" w:rsidP="00B04002">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144DE6A1" w14:textId="48B22538" w:rsidR="008D2649" w:rsidRPr="00A94774" w:rsidRDefault="00530A8A" w:rsidP="00530A8A">
      <w:pPr>
        <w:pStyle w:val="Els-1storder-head"/>
        <w:spacing w:before="180" w:after="120"/>
        <w:rPr>
          <w:lang w:val="en-GB"/>
        </w:rPr>
      </w:pPr>
      <w:r>
        <w:rPr>
          <w:lang w:val="en-GB"/>
        </w:rPr>
        <w:t>I</w:t>
      </w:r>
      <w:r w:rsidR="00E7192E">
        <w:rPr>
          <w:lang w:val="en-GB"/>
        </w:rPr>
        <w:t>mplementation</w:t>
      </w:r>
    </w:p>
    <w:p w14:paraId="66E54117" w14:textId="34426139" w:rsidR="00E74A39" w:rsidRPr="00E61F5B" w:rsidRDefault="00C034E2" w:rsidP="008D2649">
      <w:pPr>
        <w:pStyle w:val="Els-body-text"/>
        <w:rPr>
          <w:szCs w:val="18"/>
        </w:rPr>
      </w:pPr>
      <w:r w:rsidRPr="00C034E2">
        <w:rPr>
          <w:lang w:val="en-GB"/>
        </w:rPr>
        <w:t>The defined configurations are simulated in M</w:t>
      </w:r>
      <w:r w:rsidR="00C64AFC">
        <w:rPr>
          <w:lang w:val="en-GB"/>
        </w:rPr>
        <w:t>ATLAB</w:t>
      </w:r>
      <w:r w:rsidRPr="00C034E2">
        <w:rPr>
          <w:lang w:val="en-GB"/>
        </w:rPr>
        <w:t>/Simulink using existing dynamic models</w:t>
      </w:r>
      <w:r w:rsidR="006B35B3">
        <w:rPr>
          <w:lang w:val="en-GB"/>
        </w:rPr>
        <w:t xml:space="preserve">. </w:t>
      </w:r>
      <w:r w:rsidRPr="00C034E2">
        <w:rPr>
          <w:lang w:val="en-GB"/>
        </w:rPr>
        <w:t>The models are based on available literature and evaluated by comparing the simulated output with given information on manufacturer data sheets</w:t>
      </w:r>
      <w:r>
        <w:rPr>
          <w:lang w:val="en-GB"/>
        </w:rPr>
        <w:t>.</w:t>
      </w:r>
      <w:r w:rsidR="00FC06E6">
        <w:rPr>
          <w:lang w:val="en-GB"/>
        </w:rPr>
        <w:t xml:space="preserve"> The </w:t>
      </w:r>
      <w:r w:rsidR="001F39DA">
        <w:rPr>
          <w:lang w:val="en-GB"/>
        </w:rPr>
        <w:t>efficiency</w:t>
      </w:r>
      <w:r w:rsidR="00FC06E6">
        <w:rPr>
          <w:lang w:val="en-GB"/>
        </w:rPr>
        <w:t xml:space="preserve"> metrics are calculated in M</w:t>
      </w:r>
      <w:r w:rsidR="00C64AFC">
        <w:rPr>
          <w:lang w:val="en-GB"/>
        </w:rPr>
        <w:t>ATLAB</w:t>
      </w:r>
      <w:r w:rsidR="003634BD">
        <w:rPr>
          <w:lang w:val="en-GB"/>
        </w:rPr>
        <w:t>/Simulink</w:t>
      </w:r>
      <w:r w:rsidR="00FC06E6">
        <w:rPr>
          <w:lang w:val="en-GB"/>
        </w:rPr>
        <w:t xml:space="preserve">, using the </w:t>
      </w:r>
      <w:r w:rsidR="00E74A39">
        <w:rPr>
          <w:lang w:val="en-GB"/>
        </w:rPr>
        <w:t>simulated energy consumption and hydrogen production</w:t>
      </w:r>
      <w:r w:rsidR="007D4814">
        <w:rPr>
          <w:lang w:val="en-GB"/>
        </w:rPr>
        <w:t>.</w:t>
      </w:r>
      <w:r w:rsidR="001F39DA">
        <w:rPr>
          <w:lang w:val="en-GB"/>
        </w:rPr>
        <w:t xml:space="preserve"> The implemented parameters used for the flexibility calculation are collected in Table </w:t>
      </w:r>
      <w:r w:rsidR="00287682">
        <w:rPr>
          <w:lang w:val="en-GB"/>
        </w:rPr>
        <w:t>2</w:t>
      </w:r>
      <w:r w:rsidR="001F39DA">
        <w:rPr>
          <w:lang w:val="en-GB"/>
        </w:rPr>
        <w:t>.</w:t>
      </w:r>
      <w:r w:rsidR="007674FC" w:rsidRPr="007674FC">
        <w:rPr>
          <w:szCs w:val="18"/>
        </w:rPr>
        <w:t xml:space="preserve"> </w:t>
      </w:r>
      <w:r w:rsidR="007674FC">
        <w:rPr>
          <w:szCs w:val="18"/>
        </w:rPr>
        <w:t>It is assumed, that the system is already heated and producing, so heat ramp-up and start</w:t>
      </w:r>
      <w:r w:rsidR="007674FC">
        <w:rPr>
          <w:szCs w:val="18"/>
        </w:rPr>
        <w:noBreakHyphen/>
        <w:t xml:space="preserve">up times can be neglected. </w:t>
      </w:r>
    </w:p>
    <w:p w14:paraId="6473ECCF" w14:textId="01E8E55B" w:rsidR="00EA5174" w:rsidRDefault="00EA5174" w:rsidP="00B6286C">
      <w:pPr>
        <w:pStyle w:val="Beschriftung"/>
        <w:spacing w:after="0"/>
        <w:rPr>
          <w:lang w:val="en-GB"/>
        </w:rPr>
      </w:pPr>
      <w:r>
        <w:t xml:space="preserve">Table </w:t>
      </w:r>
      <w:r>
        <w:fldChar w:fldCharType="begin"/>
      </w:r>
      <w:r>
        <w:instrText xml:space="preserve"> SEQ Table \* ARABIC </w:instrText>
      </w:r>
      <w:r>
        <w:fldChar w:fldCharType="separate"/>
      </w:r>
      <w:r w:rsidR="00090296">
        <w:rPr>
          <w:noProof/>
        </w:rPr>
        <w:t>2</w:t>
      </w:r>
      <w:r>
        <w:fldChar w:fldCharType="end"/>
      </w:r>
      <w:r>
        <w:t xml:space="preserve">: Flexibility parameters of electrolysis technologies adapted from </w:t>
      </w:r>
      <w:r w:rsidR="00BF1F6E">
        <w:fldChar w:fldCharType="begin"/>
      </w:r>
      <w:r w:rsidR="00601863">
        <w:instrText xml:space="preserve"> ADDIN ZOTERO_ITEM CSL_CITATION {"citationID":"JV9Scaft","properties":{"formattedCitation":"[2], [7]","plainCitation":"[2], [7]","dontUpdate":true,"noteIndex":0},"citationItems":[{"id":10723,"uris":["http://zotero.org/users/10316845/items/QMJEIWRS"],"itemData":{"id":10723,"type":"article-journal","container-title":"International Journal of Hydrogen Energy","DOI":"10.1016/j.ijhydene.2023.01.044","ISSN":"03603199","issue":"42","journalAbbreviation":"International Journal of Hydrogen Energy","language":"en","page":"15771-15783","source":"DOI.org (Crossref)","title":"Technical evaluation of the flexibility of water electrolysis systems to increase energy flexibility: A review","title-short":"Technical evaluation of the flexibility of water electrolysis systems to increase energy flexibility","volume":"48","author":[{"family":"Lange","given":"Hannes"},{"family":"Klose","given":"Anselm"},{"family":"Lippmann","given":"Wolfgang"},{"family":"Urbas","given":"Leon"}],"issued":{"date-parts":[["2023",5]]}}},{"id":12626,"uris":["http://zotero.org/users/10316845/items/GSFWRQFG"],"itemData":{"id":12626,"type":"article-journal","abstract":"The paper describes the development status of Sunﬁre's reversible solid oxide cell (RSOC) technology. Here, Sunﬁre is a pioneer in the ﬁeld of high-temperature electrolysers (HTE) for renewable hydrogen production which can be operated as a fuel cell for power generation in a reverse mode. The maturity of the technology is improved stepwise so that ﬁrst applications in the ﬁeld of hydrogen production for industry and electricity storage can be tackled. Three application examples where larger scale prototype has been installed will be discussed: 1) A power-to-power electricity storage based on hydrogen, 2) a RSOC unit that is installed in an iron and steel works, and 3) a pressurized SOEC prototype which will be integrated with a methanation unit. Results show the potentials of the technology in connection with ﬂuctuating renewable energy sources.","container-title":"International Journal of Hydrogen Energy","DOI":"10.1016/j.ijhydene.2018.05.169","ISSN":"03603199","issue":"35","journalAbbreviation":"International Journal of Hydrogen Energy","language":"en","page":"19089-19101","source":"DOI.org (Crossref)","title":"Efficient hydrogen production for industry and electricity storage via high-temperature electrolysis","volume":"44","author":[{"family":"Posdziech","given":"Oliver"},{"family":"Schwarze","given":"Konstantin"},{"family":"Brabandt","given":"Jörg"}],"issued":{"date-parts":[["2019",7]]}}}],"schema":"https://github.com/citation-style-language/schema/raw/master/csl-citation.json"} </w:instrText>
      </w:r>
      <w:r w:rsidR="00BF1F6E">
        <w:fldChar w:fldCharType="separate"/>
      </w:r>
      <w:r w:rsidR="00B27CC7" w:rsidRPr="00B27CC7">
        <w:t>[2</w:t>
      </w:r>
      <w:r w:rsidR="00B27CC7">
        <w:t xml:space="preserve">, </w:t>
      </w:r>
      <w:r w:rsidR="00B27CC7" w:rsidRPr="00B27CC7">
        <w:t>7]</w:t>
      </w:r>
      <w:r w:rsidR="00BF1F6E">
        <w:fldChar w:fldCharType="end"/>
      </w:r>
    </w:p>
    <w:tbl>
      <w:tblPr>
        <w:tblStyle w:val="Gitternetztabelle7farbig"/>
        <w:tblW w:w="7082" w:type="dxa"/>
        <w:tblLayout w:type="fixed"/>
        <w:tblLook w:val="04A0" w:firstRow="1" w:lastRow="0" w:firstColumn="1" w:lastColumn="0" w:noHBand="0" w:noVBand="1"/>
      </w:tblPr>
      <w:tblGrid>
        <w:gridCol w:w="2689"/>
        <w:gridCol w:w="850"/>
        <w:gridCol w:w="1181"/>
        <w:gridCol w:w="1181"/>
        <w:gridCol w:w="1181"/>
      </w:tblGrid>
      <w:tr w:rsidR="00970D70" w14:paraId="5976F4D9" w14:textId="77777777" w:rsidTr="002F1FB0">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2689" w:type="dxa"/>
            <w:tcBorders>
              <w:bottom w:val="single" w:sz="12" w:space="0" w:color="auto"/>
            </w:tcBorders>
          </w:tcPr>
          <w:p w14:paraId="1656BB2F" w14:textId="77777777" w:rsidR="004205FE" w:rsidRPr="00D66E02" w:rsidRDefault="004205FE" w:rsidP="002F1FB0">
            <w:pPr>
              <w:pStyle w:val="Els-body-text"/>
              <w:spacing w:before="80" w:after="80"/>
              <w:jc w:val="center"/>
              <w:rPr>
                <w:b w:val="0"/>
                <w:bCs w:val="0"/>
                <w:lang w:val="en-GB"/>
              </w:rPr>
            </w:pPr>
          </w:p>
        </w:tc>
        <w:tc>
          <w:tcPr>
            <w:tcW w:w="850" w:type="dxa"/>
            <w:tcBorders>
              <w:bottom w:val="single" w:sz="12" w:space="0" w:color="auto"/>
            </w:tcBorders>
          </w:tcPr>
          <w:p w14:paraId="66F7F4EA" w14:textId="1AF149B7" w:rsidR="004205FE" w:rsidRPr="00A73A34" w:rsidRDefault="004205FE" w:rsidP="002F1FB0">
            <w:pPr>
              <w:pStyle w:val="Els-body-text"/>
              <w:spacing w:before="80" w:after="80"/>
              <w:jc w:val="left"/>
              <w:cnfStyle w:val="100000000000" w:firstRow="1" w:lastRow="0" w:firstColumn="0" w:lastColumn="0" w:oddVBand="0" w:evenVBand="0" w:oddHBand="0" w:evenHBand="0" w:firstRowFirstColumn="0" w:firstRowLastColumn="0" w:lastRowFirstColumn="0" w:lastRowLastColumn="0"/>
              <w:rPr>
                <w:b w:val="0"/>
                <w:bCs w:val="0"/>
                <w:i/>
                <w:iCs/>
                <w:lang w:val="en-GB"/>
              </w:rPr>
            </w:pPr>
            <w:r w:rsidRPr="00A73A34">
              <w:rPr>
                <w:b w:val="0"/>
                <w:bCs w:val="0"/>
                <w:i/>
                <w:iCs/>
                <w:lang w:val="en-GB"/>
              </w:rPr>
              <w:t>Unit</w:t>
            </w:r>
          </w:p>
        </w:tc>
        <w:tc>
          <w:tcPr>
            <w:tcW w:w="1181" w:type="dxa"/>
            <w:tcBorders>
              <w:bottom w:val="single" w:sz="12" w:space="0" w:color="auto"/>
            </w:tcBorders>
          </w:tcPr>
          <w:p w14:paraId="1857BE56" w14:textId="50D06D25" w:rsidR="004205FE" w:rsidRPr="00D66E02" w:rsidRDefault="004205FE" w:rsidP="002F1FB0">
            <w:pPr>
              <w:pStyle w:val="Els-body-text"/>
              <w:spacing w:before="80" w:after="80"/>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D66E02">
              <w:rPr>
                <w:b w:val="0"/>
                <w:bCs w:val="0"/>
                <w:lang w:val="en-GB"/>
              </w:rPr>
              <w:t>AEL</w:t>
            </w:r>
          </w:p>
        </w:tc>
        <w:tc>
          <w:tcPr>
            <w:tcW w:w="1181" w:type="dxa"/>
            <w:tcBorders>
              <w:bottom w:val="single" w:sz="12" w:space="0" w:color="auto"/>
            </w:tcBorders>
          </w:tcPr>
          <w:p w14:paraId="792DAEEC" w14:textId="22046FD9" w:rsidR="004205FE" w:rsidRPr="00D66E02" w:rsidRDefault="004205FE" w:rsidP="002F1FB0">
            <w:pPr>
              <w:pStyle w:val="Els-body-text"/>
              <w:spacing w:before="80" w:after="80"/>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D66E02">
              <w:rPr>
                <w:b w:val="0"/>
                <w:bCs w:val="0"/>
                <w:lang w:val="en-GB"/>
              </w:rPr>
              <w:t>PEM</w:t>
            </w:r>
            <w:r w:rsidR="006D23E7">
              <w:rPr>
                <w:b w:val="0"/>
                <w:bCs w:val="0"/>
                <w:lang w:val="en-GB"/>
              </w:rPr>
              <w:t>EL</w:t>
            </w:r>
          </w:p>
        </w:tc>
        <w:tc>
          <w:tcPr>
            <w:tcW w:w="1181" w:type="dxa"/>
            <w:tcBorders>
              <w:bottom w:val="single" w:sz="12" w:space="0" w:color="auto"/>
            </w:tcBorders>
          </w:tcPr>
          <w:p w14:paraId="689C9116" w14:textId="50F9FBBD" w:rsidR="004205FE" w:rsidRPr="00D66E02" w:rsidRDefault="006D23E7" w:rsidP="002F1FB0">
            <w:pPr>
              <w:pStyle w:val="Els-body-text"/>
              <w:spacing w:before="80" w:after="80"/>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b w:val="0"/>
                <w:bCs w:val="0"/>
                <w:lang w:val="en-GB"/>
              </w:rPr>
              <w:t>HTEL</w:t>
            </w:r>
          </w:p>
        </w:tc>
      </w:tr>
      <w:tr w:rsidR="00970D70" w14:paraId="3A5237B9" w14:textId="77777777" w:rsidTr="00B15A4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auto"/>
              <w:right w:val="nil"/>
            </w:tcBorders>
          </w:tcPr>
          <w:p w14:paraId="439C0C56" w14:textId="26872B17" w:rsidR="004205FE" w:rsidRPr="00D66E02" w:rsidRDefault="004205FE" w:rsidP="002F1FB0">
            <w:pPr>
              <w:pStyle w:val="Els-body-text"/>
              <w:spacing w:before="80" w:after="80"/>
              <w:jc w:val="left"/>
              <w:rPr>
                <w:lang w:val="en-GB"/>
              </w:rPr>
            </w:pPr>
            <w:r>
              <w:rPr>
                <w:lang w:val="en-GB"/>
              </w:rPr>
              <w:t xml:space="preserve">Load Flexibility </w:t>
            </w:r>
          </w:p>
        </w:tc>
        <w:tc>
          <w:tcPr>
            <w:tcW w:w="850" w:type="dxa"/>
            <w:tcBorders>
              <w:top w:val="single" w:sz="12" w:space="0" w:color="auto"/>
              <w:left w:val="nil"/>
              <w:bottom w:val="nil"/>
              <w:right w:val="single" w:sz="6" w:space="0" w:color="auto"/>
            </w:tcBorders>
          </w:tcPr>
          <w:p w14:paraId="0C9CA713" w14:textId="7A882A68" w:rsidR="004205FE" w:rsidRPr="00D66E02" w:rsidRDefault="004205FE" w:rsidP="002F1FB0">
            <w:pPr>
              <w:pStyle w:val="Els-body-text"/>
              <w:spacing w:before="80" w:after="80"/>
              <w:jc w:val="left"/>
              <w:cnfStyle w:val="000000100000" w:firstRow="0" w:lastRow="0" w:firstColumn="0" w:lastColumn="0" w:oddVBand="0" w:evenVBand="0" w:oddHBand="1" w:evenHBand="0" w:firstRowFirstColumn="0" w:firstRowLastColumn="0" w:lastRowFirstColumn="0" w:lastRowLastColumn="0"/>
              <w:rPr>
                <w:rFonts w:ascii="Cambria Math" w:hAnsi="Cambria Math"/>
                <w:i/>
                <w:szCs w:val="18"/>
              </w:rPr>
            </w:pPr>
            <w:r w:rsidRPr="00D66E02">
              <w:rPr>
                <w:rFonts w:ascii="Cambria Math" w:hAnsi="Cambria Math"/>
                <w:i/>
                <w:szCs w:val="18"/>
              </w:rPr>
              <w:t>%</w:t>
            </w:r>
          </w:p>
        </w:tc>
        <w:tc>
          <w:tcPr>
            <w:tcW w:w="1181" w:type="dxa"/>
            <w:tcBorders>
              <w:top w:val="single" w:sz="12" w:space="0" w:color="auto"/>
              <w:left w:val="single" w:sz="6" w:space="0" w:color="auto"/>
              <w:bottom w:val="nil"/>
              <w:right w:val="nil"/>
            </w:tcBorders>
          </w:tcPr>
          <w:p w14:paraId="54922179" w14:textId="23713C70" w:rsidR="004205FE" w:rsidRDefault="004205FE"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20 – 100</w:t>
            </w:r>
          </w:p>
        </w:tc>
        <w:tc>
          <w:tcPr>
            <w:tcW w:w="1181" w:type="dxa"/>
            <w:tcBorders>
              <w:top w:val="single" w:sz="12" w:space="0" w:color="auto"/>
              <w:left w:val="nil"/>
              <w:bottom w:val="nil"/>
              <w:right w:val="nil"/>
            </w:tcBorders>
          </w:tcPr>
          <w:p w14:paraId="051AFDD2" w14:textId="6155D84E" w:rsidR="004205FE" w:rsidRDefault="004205FE"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0 – 160</w:t>
            </w:r>
          </w:p>
        </w:tc>
        <w:tc>
          <w:tcPr>
            <w:tcW w:w="1181" w:type="dxa"/>
            <w:tcBorders>
              <w:top w:val="single" w:sz="12" w:space="0" w:color="auto"/>
              <w:left w:val="nil"/>
              <w:bottom w:val="nil"/>
              <w:right w:val="nil"/>
            </w:tcBorders>
          </w:tcPr>
          <w:p w14:paraId="7788131D" w14:textId="4E1C3B72" w:rsidR="004205FE" w:rsidRDefault="00B27CC7"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5</w:t>
            </w:r>
            <w:r w:rsidR="0085474E">
              <w:rPr>
                <w:lang w:val="en-GB"/>
              </w:rPr>
              <w:t>0 – 1</w:t>
            </w:r>
            <w:r>
              <w:rPr>
                <w:lang w:val="en-GB"/>
              </w:rPr>
              <w:t>25</w:t>
            </w:r>
          </w:p>
        </w:tc>
      </w:tr>
      <w:tr w:rsidR="004205FE" w14:paraId="0D2603E2" w14:textId="77777777" w:rsidTr="00B15A45">
        <w:trPr>
          <w:trHeight w:val="230"/>
        </w:trPr>
        <w:tc>
          <w:tcPr>
            <w:cnfStyle w:val="001000000000" w:firstRow="0" w:lastRow="0" w:firstColumn="1" w:lastColumn="0" w:oddVBand="0" w:evenVBand="0" w:oddHBand="0" w:evenHBand="0" w:firstRowFirstColumn="0" w:firstRowLastColumn="0" w:lastRowFirstColumn="0" w:lastRowLastColumn="0"/>
            <w:tcW w:w="2689" w:type="dxa"/>
            <w:tcBorders>
              <w:right w:val="nil"/>
            </w:tcBorders>
          </w:tcPr>
          <w:p w14:paraId="5BBC6D0C" w14:textId="7F983930" w:rsidR="004205FE" w:rsidRDefault="004205FE" w:rsidP="002F1FB0">
            <w:pPr>
              <w:pStyle w:val="Els-body-text"/>
              <w:spacing w:before="80" w:after="80"/>
              <w:jc w:val="left"/>
              <w:rPr>
                <w:lang w:val="en-GB"/>
              </w:rPr>
            </w:pPr>
            <w:r>
              <w:rPr>
                <w:lang w:val="en-GB"/>
              </w:rPr>
              <w:t>Load gradient, start-up</w:t>
            </w:r>
          </w:p>
        </w:tc>
        <w:tc>
          <w:tcPr>
            <w:tcW w:w="850" w:type="dxa"/>
            <w:tcBorders>
              <w:top w:val="nil"/>
              <w:left w:val="nil"/>
              <w:bottom w:val="nil"/>
              <w:right w:val="single" w:sz="6" w:space="0" w:color="auto"/>
            </w:tcBorders>
          </w:tcPr>
          <w:p w14:paraId="66B0560D" w14:textId="3C84E9BF" w:rsidR="004205FE" w:rsidRPr="00D66E02" w:rsidRDefault="004205FE" w:rsidP="002F1FB0">
            <w:pPr>
              <w:pStyle w:val="Els-body-text"/>
              <w:spacing w:before="80" w:after="80"/>
              <w:jc w:val="left"/>
              <w:cnfStyle w:val="000000000000" w:firstRow="0" w:lastRow="0" w:firstColumn="0" w:lastColumn="0" w:oddVBand="0" w:evenVBand="0" w:oddHBand="0" w:evenHBand="0" w:firstRowFirstColumn="0" w:firstRowLastColumn="0" w:lastRowFirstColumn="0" w:lastRowLastColumn="0"/>
              <w:rPr>
                <w:rFonts w:ascii="Cambria Math" w:hAnsi="Cambria Math"/>
                <w:i/>
                <w:szCs w:val="18"/>
              </w:rPr>
            </w:pPr>
            <w:r w:rsidRPr="00D66E02">
              <w:rPr>
                <w:rFonts w:ascii="Cambria Math" w:hAnsi="Cambria Math"/>
                <w:i/>
                <w:szCs w:val="18"/>
              </w:rPr>
              <w:t>%/s</w:t>
            </w:r>
          </w:p>
        </w:tc>
        <w:tc>
          <w:tcPr>
            <w:tcW w:w="1181" w:type="dxa"/>
            <w:tcBorders>
              <w:top w:val="nil"/>
              <w:left w:val="single" w:sz="6" w:space="0" w:color="auto"/>
              <w:bottom w:val="nil"/>
              <w:right w:val="nil"/>
            </w:tcBorders>
          </w:tcPr>
          <w:p w14:paraId="15E211C2" w14:textId="25354EB6" w:rsidR="004205FE" w:rsidRDefault="00970D70" w:rsidP="002F1FB0">
            <w:pPr>
              <w:pStyle w:val="Els-body-text"/>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w:t>
            </w:r>
          </w:p>
        </w:tc>
        <w:tc>
          <w:tcPr>
            <w:tcW w:w="1181" w:type="dxa"/>
            <w:tcBorders>
              <w:top w:val="nil"/>
              <w:left w:val="nil"/>
              <w:bottom w:val="nil"/>
              <w:right w:val="nil"/>
            </w:tcBorders>
          </w:tcPr>
          <w:p w14:paraId="1CCFFB92" w14:textId="2C935A6F" w:rsidR="004205FE" w:rsidRDefault="00970D70" w:rsidP="002F1FB0">
            <w:pPr>
              <w:pStyle w:val="Els-body-text"/>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w:t>
            </w:r>
          </w:p>
        </w:tc>
        <w:tc>
          <w:tcPr>
            <w:tcW w:w="1181" w:type="dxa"/>
            <w:tcBorders>
              <w:top w:val="nil"/>
              <w:left w:val="nil"/>
              <w:bottom w:val="nil"/>
              <w:right w:val="nil"/>
            </w:tcBorders>
          </w:tcPr>
          <w:p w14:paraId="71F2DD70" w14:textId="3AD6049B" w:rsidR="004205FE" w:rsidRDefault="00970D70" w:rsidP="002F1FB0">
            <w:pPr>
              <w:pStyle w:val="Els-body-text"/>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0,1</w:t>
            </w:r>
          </w:p>
        </w:tc>
      </w:tr>
      <w:tr w:rsidR="004205FE" w14:paraId="4E2C3F40" w14:textId="77777777" w:rsidTr="00B15A4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689" w:type="dxa"/>
            <w:tcBorders>
              <w:bottom w:val="single" w:sz="12" w:space="0" w:color="auto"/>
              <w:right w:val="nil"/>
            </w:tcBorders>
          </w:tcPr>
          <w:p w14:paraId="765FAAA0" w14:textId="7876A30C" w:rsidR="004205FE" w:rsidRDefault="004205FE" w:rsidP="002F1FB0">
            <w:pPr>
              <w:pStyle w:val="Els-body-text"/>
              <w:spacing w:before="80" w:after="80"/>
              <w:jc w:val="left"/>
              <w:rPr>
                <w:lang w:val="en-GB"/>
              </w:rPr>
            </w:pPr>
            <w:r>
              <w:rPr>
                <w:lang w:val="en-GB"/>
              </w:rPr>
              <w:t xml:space="preserve">Load gradient </w:t>
            </w:r>
            <w:proofErr w:type="gramStart"/>
            <w:r w:rsidR="00530A8A">
              <w:rPr>
                <w:lang w:val="en-GB"/>
              </w:rPr>
              <w:t>shut-down</w:t>
            </w:r>
            <w:proofErr w:type="gramEnd"/>
          </w:p>
        </w:tc>
        <w:tc>
          <w:tcPr>
            <w:tcW w:w="850" w:type="dxa"/>
            <w:tcBorders>
              <w:top w:val="nil"/>
              <w:left w:val="nil"/>
              <w:bottom w:val="single" w:sz="12" w:space="0" w:color="auto"/>
              <w:right w:val="single" w:sz="6" w:space="0" w:color="auto"/>
            </w:tcBorders>
          </w:tcPr>
          <w:p w14:paraId="4F21B07D" w14:textId="5A6EDB9F" w:rsidR="004205FE" w:rsidRPr="00D66E02" w:rsidRDefault="004205FE" w:rsidP="002F1FB0">
            <w:pPr>
              <w:pStyle w:val="Els-body-text"/>
              <w:spacing w:before="80" w:after="80"/>
              <w:jc w:val="left"/>
              <w:cnfStyle w:val="000000100000" w:firstRow="0" w:lastRow="0" w:firstColumn="0" w:lastColumn="0" w:oddVBand="0" w:evenVBand="0" w:oddHBand="1" w:evenHBand="0" w:firstRowFirstColumn="0" w:firstRowLastColumn="0" w:lastRowFirstColumn="0" w:lastRowLastColumn="0"/>
              <w:rPr>
                <w:rFonts w:ascii="Cambria Math" w:hAnsi="Cambria Math"/>
                <w:i/>
                <w:szCs w:val="18"/>
              </w:rPr>
            </w:pPr>
            <w:r w:rsidRPr="00D66E02">
              <w:rPr>
                <w:rFonts w:ascii="Cambria Math" w:hAnsi="Cambria Math"/>
                <w:i/>
                <w:szCs w:val="18"/>
              </w:rPr>
              <w:t>%/s</w:t>
            </w:r>
          </w:p>
        </w:tc>
        <w:tc>
          <w:tcPr>
            <w:tcW w:w="1181" w:type="dxa"/>
            <w:tcBorders>
              <w:top w:val="nil"/>
              <w:left w:val="single" w:sz="6" w:space="0" w:color="auto"/>
              <w:bottom w:val="single" w:sz="12" w:space="0" w:color="auto"/>
              <w:right w:val="nil"/>
            </w:tcBorders>
          </w:tcPr>
          <w:p w14:paraId="5A7C88B2" w14:textId="01E0A2F2" w:rsidR="004205FE" w:rsidRDefault="00970D70"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10</w:t>
            </w:r>
          </w:p>
        </w:tc>
        <w:tc>
          <w:tcPr>
            <w:tcW w:w="1181" w:type="dxa"/>
            <w:tcBorders>
              <w:top w:val="nil"/>
              <w:left w:val="nil"/>
              <w:bottom w:val="single" w:sz="12" w:space="0" w:color="auto"/>
              <w:right w:val="nil"/>
            </w:tcBorders>
          </w:tcPr>
          <w:p w14:paraId="7694F3F8" w14:textId="3858A04F" w:rsidR="004205FE" w:rsidRDefault="00970D70"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40,6</w:t>
            </w:r>
          </w:p>
        </w:tc>
        <w:tc>
          <w:tcPr>
            <w:tcW w:w="1181" w:type="dxa"/>
            <w:tcBorders>
              <w:top w:val="nil"/>
              <w:left w:val="nil"/>
              <w:bottom w:val="single" w:sz="12" w:space="0" w:color="auto"/>
              <w:right w:val="nil"/>
            </w:tcBorders>
          </w:tcPr>
          <w:p w14:paraId="4B607318" w14:textId="3B0ABA96" w:rsidR="004205FE" w:rsidRDefault="00970D70"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3</w:t>
            </w:r>
          </w:p>
        </w:tc>
      </w:tr>
    </w:tbl>
    <w:p w14:paraId="0865B97D" w14:textId="0E26FC86" w:rsidR="00B6286C" w:rsidRPr="00415F98" w:rsidRDefault="00E61F5B" w:rsidP="00B6286C">
      <w:pPr>
        <w:pStyle w:val="Els-body-text"/>
        <w:spacing w:before="120"/>
        <w:rPr>
          <w:szCs w:val="18"/>
        </w:rPr>
      </w:pPr>
      <w:r>
        <w:rPr>
          <w:szCs w:val="18"/>
        </w:rPr>
        <w:t xml:space="preserve">Within the technologies, all </w:t>
      </w:r>
      <w:proofErr w:type="spellStart"/>
      <w:r>
        <w:rPr>
          <w:szCs w:val="18"/>
        </w:rPr>
        <w:t>electrolyzers</w:t>
      </w:r>
      <w:proofErr w:type="spellEnd"/>
      <w:r>
        <w:rPr>
          <w:szCs w:val="18"/>
        </w:rPr>
        <w:t xml:space="preserve"> are operated at the same load, to prevent feed maldistribution. When a load change occurs, all available </w:t>
      </w:r>
      <w:proofErr w:type="spellStart"/>
      <w:r>
        <w:rPr>
          <w:szCs w:val="18"/>
        </w:rPr>
        <w:t>electrolyzers</w:t>
      </w:r>
      <w:proofErr w:type="spellEnd"/>
      <w:r>
        <w:rPr>
          <w:szCs w:val="18"/>
        </w:rPr>
        <w:t xml:space="preserve"> start-up with their respective load gradient. </w:t>
      </w:r>
      <w:r w:rsidR="004A4642">
        <w:rPr>
          <w:szCs w:val="18"/>
        </w:rPr>
        <w:t>A</w:t>
      </w:r>
      <w:r>
        <w:rPr>
          <w:szCs w:val="18"/>
        </w:rPr>
        <w:t xml:space="preserve"> hierarch</w:t>
      </w:r>
      <w:r w:rsidR="004A4642">
        <w:rPr>
          <w:szCs w:val="18"/>
        </w:rPr>
        <w:t>ical system has been</w:t>
      </w:r>
      <w:r>
        <w:rPr>
          <w:szCs w:val="18"/>
        </w:rPr>
        <w:t xml:space="preserve"> implemented, </w:t>
      </w:r>
      <w:r w:rsidR="004A4642">
        <w:rPr>
          <w:szCs w:val="18"/>
        </w:rPr>
        <w:t xml:space="preserve">designating </w:t>
      </w:r>
      <w:r>
        <w:rPr>
          <w:szCs w:val="18"/>
        </w:rPr>
        <w:t xml:space="preserve">which technology shall </w:t>
      </w:r>
      <w:r w:rsidR="004A4642">
        <w:rPr>
          <w:szCs w:val="18"/>
        </w:rPr>
        <w:t>preferentially receive</w:t>
      </w:r>
      <w:r>
        <w:rPr>
          <w:szCs w:val="18"/>
        </w:rPr>
        <w:t xml:space="preserve"> the power in case of partial load. </w:t>
      </w:r>
      <w:r w:rsidR="006D23E7">
        <w:rPr>
          <w:szCs w:val="18"/>
        </w:rPr>
        <w:t>HTEL</w:t>
      </w:r>
      <w:r>
        <w:rPr>
          <w:szCs w:val="18"/>
        </w:rPr>
        <w:t xml:space="preserve"> is preferred to take most of the wanted load and to run as a base load. AEL is secondly favored, while PEM</w:t>
      </w:r>
      <w:r w:rsidR="006D23E7">
        <w:rPr>
          <w:szCs w:val="18"/>
        </w:rPr>
        <w:t>EL</w:t>
      </w:r>
      <w:r>
        <w:rPr>
          <w:szCs w:val="18"/>
        </w:rPr>
        <w:t xml:space="preserve"> will be shut</w:t>
      </w:r>
      <w:r w:rsidR="00DD661C">
        <w:rPr>
          <w:szCs w:val="18"/>
        </w:rPr>
        <w:t xml:space="preserve"> </w:t>
      </w:r>
      <w:r>
        <w:rPr>
          <w:szCs w:val="18"/>
        </w:rPr>
        <w:t>down first, if the entire capacity is</w:t>
      </w:r>
      <w:r w:rsidR="004A4642">
        <w:rPr>
          <w:szCs w:val="18"/>
        </w:rPr>
        <w:t xml:space="preserve"> not</w:t>
      </w:r>
      <w:r>
        <w:rPr>
          <w:szCs w:val="18"/>
        </w:rPr>
        <w:t xml:space="preserve"> needed. Furthermore, if overcapacity is used, the system will automatically lower the load to nominal capacity, while other technologies ramp-up. </w:t>
      </w:r>
      <w:r w:rsidR="004A4642">
        <w:rPr>
          <w:szCs w:val="18"/>
        </w:rPr>
        <w:t>This approach ensures</w:t>
      </w:r>
      <w:r w:rsidR="00374DD5">
        <w:rPr>
          <w:szCs w:val="18"/>
        </w:rPr>
        <w:t xml:space="preserve"> that </w:t>
      </w:r>
      <w:r>
        <w:rPr>
          <w:szCs w:val="18"/>
        </w:rPr>
        <w:t xml:space="preserve">no </w:t>
      </w:r>
      <w:proofErr w:type="spellStart"/>
      <w:r>
        <w:rPr>
          <w:szCs w:val="18"/>
        </w:rPr>
        <w:t>electrolyzer</w:t>
      </w:r>
      <w:proofErr w:type="spellEnd"/>
      <w:r>
        <w:rPr>
          <w:szCs w:val="18"/>
        </w:rPr>
        <w:t xml:space="preserve"> remains in overcapacity for </w:t>
      </w:r>
      <w:r w:rsidR="00374DD5">
        <w:rPr>
          <w:szCs w:val="18"/>
        </w:rPr>
        <w:t>extended periods, contributing to a reduction in</w:t>
      </w:r>
      <w:r w:rsidR="00415F98">
        <w:rPr>
          <w:szCs w:val="18"/>
        </w:rPr>
        <w:t xml:space="preserve"> degradation</w:t>
      </w:r>
      <w:r>
        <w:rPr>
          <w:szCs w:val="18"/>
        </w:rPr>
        <w:t>.</w:t>
      </w:r>
      <w:r w:rsidR="00415F98">
        <w:rPr>
          <w:szCs w:val="18"/>
        </w:rPr>
        <w:t xml:space="preserve"> </w:t>
      </w:r>
    </w:p>
    <w:p w14:paraId="4461101B" w14:textId="7A6CB8BF" w:rsidR="00601863" w:rsidRDefault="00627525" w:rsidP="00B6286C">
      <w:pPr>
        <w:pStyle w:val="Els-body-text"/>
        <w:rPr>
          <w:lang w:val="en-GB"/>
        </w:rPr>
      </w:pPr>
      <w:r>
        <w:rPr>
          <w:lang w:val="en-GB"/>
        </w:rPr>
        <w:t>Two energy input scenarios are simulated</w:t>
      </w:r>
      <w:r w:rsidR="00B40884">
        <w:rPr>
          <w:lang w:val="en-GB"/>
        </w:rPr>
        <w:t xml:space="preserve">, shown in Figure </w:t>
      </w:r>
      <w:r w:rsidR="00803BB2">
        <w:rPr>
          <w:lang w:val="en-GB"/>
        </w:rPr>
        <w:t>1</w:t>
      </w:r>
      <w:r>
        <w:rPr>
          <w:lang w:val="en-GB"/>
        </w:rPr>
        <w:t xml:space="preserve">. </w:t>
      </w:r>
      <w:r w:rsidR="00B11C96">
        <w:rPr>
          <w:lang w:val="en-GB"/>
        </w:rPr>
        <w:t xml:space="preserve">Scenario A </w:t>
      </w:r>
      <w:r w:rsidR="00B11C96" w:rsidRPr="00601863">
        <w:rPr>
          <w:lang w:val="en-GB"/>
        </w:rPr>
        <w:t xml:space="preserve">changes </w:t>
      </w:r>
      <w:r w:rsidR="00B11C96">
        <w:rPr>
          <w:lang w:val="en-GB"/>
        </w:rPr>
        <w:t xml:space="preserve">the input </w:t>
      </w:r>
      <w:r w:rsidR="00B11C96" w:rsidRPr="00601863">
        <w:rPr>
          <w:lang w:val="en-GB"/>
        </w:rPr>
        <w:t xml:space="preserve">in 15-minute steps in line with the </w:t>
      </w:r>
      <w:r w:rsidR="00B11C96">
        <w:rPr>
          <w:lang w:val="en-GB"/>
        </w:rPr>
        <w:t>re</w:t>
      </w:r>
      <w:r w:rsidR="00B11C96" w:rsidRPr="00601863">
        <w:rPr>
          <w:lang w:val="en-GB"/>
        </w:rPr>
        <w:t xml:space="preserve">solution of </w:t>
      </w:r>
      <w:r w:rsidR="00B11C96">
        <w:rPr>
          <w:lang w:val="en-GB"/>
        </w:rPr>
        <w:t xml:space="preserve">available energy in the </w:t>
      </w:r>
      <w:r w:rsidR="00B11C96" w:rsidRPr="00601863">
        <w:rPr>
          <w:lang w:val="en-GB"/>
        </w:rPr>
        <w:t>German energy market</w:t>
      </w:r>
      <w:r w:rsidR="00B11C96">
        <w:rPr>
          <w:lang w:val="en-GB"/>
        </w:rPr>
        <w:t xml:space="preserve"> </w:t>
      </w:r>
      <w:r w:rsidR="00B11C96">
        <w:rPr>
          <w:lang w:val="en-GB"/>
        </w:rPr>
        <w:fldChar w:fldCharType="begin"/>
      </w:r>
      <w:r w:rsidR="00B11C96">
        <w:rPr>
          <w:lang w:val="en-GB"/>
        </w:rPr>
        <w:instrText xml:space="preserve"> ADDIN ZOTERO_ITEM CSL_CITATION {"citationID":"erXlwNH5","properties":{"formattedCitation":"[8]","plainCitation":"[8]","noteIndex":0},"citationItems":[{"id":5897,"uris":["http://zotero.org/users/10316845/items/PVBN4HXU"],"itemData":{"id":5897,"type":"webpage","note":"publisher: Bundesnetzagentur","title":"Stromerzeugung und -verbrauch in Deutschland - SMARD Strommarktdaten","URL":"https://www.smard.de/home"}}],"schema":"https://github.com/citation-style-language/schema/raw/master/csl-citation.json"} </w:instrText>
      </w:r>
      <w:r w:rsidR="00B11C96">
        <w:rPr>
          <w:lang w:val="en-GB"/>
        </w:rPr>
        <w:fldChar w:fldCharType="separate"/>
      </w:r>
      <w:r w:rsidR="00B11C96" w:rsidRPr="00601863">
        <w:t>[8]</w:t>
      </w:r>
      <w:r w:rsidR="00B11C96">
        <w:rPr>
          <w:lang w:val="en-GB"/>
        </w:rPr>
        <w:fldChar w:fldCharType="end"/>
      </w:r>
      <w:r w:rsidR="00B11C96" w:rsidRPr="00601863">
        <w:rPr>
          <w:lang w:val="en-GB"/>
        </w:rPr>
        <w:t xml:space="preserve">. </w:t>
      </w:r>
      <w:r>
        <w:rPr>
          <w:lang w:val="en-GB"/>
        </w:rPr>
        <w:t>The power plateaus</w:t>
      </w:r>
      <w:r w:rsidR="00601863" w:rsidRPr="00601863">
        <w:rPr>
          <w:lang w:val="en-GB"/>
        </w:rPr>
        <w:t xml:space="preserve"> are selected in such a way that </w:t>
      </w:r>
      <w:r w:rsidR="00601863">
        <w:rPr>
          <w:lang w:val="en-GB"/>
        </w:rPr>
        <w:t xml:space="preserve">the following </w:t>
      </w:r>
      <w:r w:rsidR="00601863" w:rsidRPr="00601863">
        <w:rPr>
          <w:lang w:val="en-GB"/>
        </w:rPr>
        <w:t xml:space="preserve">scenarios </w:t>
      </w:r>
      <w:r w:rsidR="00374DD5">
        <w:rPr>
          <w:lang w:val="en-GB"/>
        </w:rPr>
        <w:t>during</w:t>
      </w:r>
      <w:r w:rsidR="00601863" w:rsidRPr="00601863">
        <w:rPr>
          <w:lang w:val="en-GB"/>
        </w:rPr>
        <w:t xml:space="preserve"> the </w:t>
      </w:r>
      <w:proofErr w:type="spellStart"/>
      <w:r w:rsidR="00601863">
        <w:rPr>
          <w:lang w:val="en-GB"/>
        </w:rPr>
        <w:t>electrolyzer</w:t>
      </w:r>
      <w:proofErr w:type="spellEnd"/>
      <w:r w:rsidR="00601863">
        <w:rPr>
          <w:lang w:val="en-GB"/>
        </w:rPr>
        <w:t xml:space="preserve"> </w:t>
      </w:r>
      <w:r w:rsidR="00601863" w:rsidRPr="00601863">
        <w:rPr>
          <w:lang w:val="en-GB"/>
        </w:rPr>
        <w:t xml:space="preserve">operation are </w:t>
      </w:r>
      <w:r w:rsidR="00286793" w:rsidRPr="00601863">
        <w:rPr>
          <w:lang w:val="en-GB"/>
        </w:rPr>
        <w:t>covered,</w:t>
      </w:r>
      <w:r>
        <w:rPr>
          <w:lang w:val="en-GB"/>
        </w:rPr>
        <w:t xml:space="preserve"> </w:t>
      </w:r>
      <w:r w:rsidR="00286793">
        <w:rPr>
          <w:lang w:val="en-GB"/>
        </w:rPr>
        <w:t>while</w:t>
      </w:r>
      <w:r>
        <w:rPr>
          <w:lang w:val="en-GB"/>
        </w:rPr>
        <w:t xml:space="preserve"> the results are still comparable</w:t>
      </w:r>
      <w:r w:rsidR="00601863">
        <w:rPr>
          <w:lang w:val="en-GB"/>
        </w:rPr>
        <w:t>:</w:t>
      </w:r>
    </w:p>
    <w:p w14:paraId="7DEA6177" w14:textId="720B21C8" w:rsidR="00803BB2" w:rsidRDefault="00F40DE6" w:rsidP="00F40DE6">
      <w:pPr>
        <w:pStyle w:val="Beschriftung"/>
        <w:keepNext/>
        <w:jc w:val="center"/>
        <w:rPr>
          <w:lang w:val="en-GB"/>
        </w:rPr>
      </w:pPr>
      <w:r w:rsidRPr="00F40DE6">
        <w:rPr>
          <w:noProof/>
          <w:lang w:val="en-GB"/>
        </w:rPr>
        <w:lastRenderedPageBreak/>
        <w:drawing>
          <wp:inline distT="0" distB="0" distL="0" distR="0" wp14:anchorId="6A52DBA5" wp14:editId="57DD6A85">
            <wp:extent cx="4507347" cy="2209190"/>
            <wp:effectExtent l="0" t="0" r="7620" b="635"/>
            <wp:docPr id="4794455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45516" name=""/>
                    <pic:cNvPicPr/>
                  </pic:nvPicPr>
                  <pic:blipFill rotWithShape="1">
                    <a:blip r:embed="rId8">
                      <a:extLst>
                        <a:ext uri="{96DAC541-7B7A-43D3-8B79-37D633B846F1}">
                          <asvg:svgBlip xmlns:asvg="http://schemas.microsoft.com/office/drawing/2016/SVG/main" r:embed="rId9"/>
                        </a:ext>
                      </a:extLst>
                    </a:blip>
                    <a:srcRect l="6539" r="8896"/>
                    <a:stretch/>
                  </pic:blipFill>
                  <pic:spPr bwMode="auto">
                    <a:xfrm>
                      <a:off x="0" y="0"/>
                      <a:ext cx="4629737" cy="2269177"/>
                    </a:xfrm>
                    <a:prstGeom prst="rect">
                      <a:avLst/>
                    </a:prstGeom>
                    <a:ln>
                      <a:noFill/>
                    </a:ln>
                    <a:extLst>
                      <a:ext uri="{53640926-AAD7-44D8-BBD7-CCE9431645EC}">
                        <a14:shadowObscured xmlns:a14="http://schemas.microsoft.com/office/drawing/2010/main"/>
                      </a:ext>
                    </a:extLst>
                  </pic:spPr>
                </pic:pic>
              </a:graphicData>
            </a:graphic>
          </wp:inline>
        </w:drawing>
      </w:r>
      <w:r w:rsidR="00B15E54">
        <w:br/>
      </w:r>
      <w:r>
        <w:t xml:space="preserve">Figure </w:t>
      </w:r>
      <w:r>
        <w:fldChar w:fldCharType="begin"/>
      </w:r>
      <w:r>
        <w:instrText xml:space="preserve"> SEQ Figure \* ARABIC </w:instrText>
      </w:r>
      <w:r>
        <w:fldChar w:fldCharType="separate"/>
      </w:r>
      <w:r>
        <w:t>1</w:t>
      </w:r>
      <w:r>
        <w:fldChar w:fldCharType="end"/>
      </w:r>
      <w:r>
        <w:t>: Simulated power input scenarios</w:t>
      </w:r>
    </w:p>
    <w:p w14:paraId="2FBF142A" w14:textId="77777777" w:rsidR="006B35B3" w:rsidRPr="004341F8" w:rsidRDefault="006B35B3" w:rsidP="006B35B3">
      <w:pPr>
        <w:pStyle w:val="Els-body-text"/>
        <w:numPr>
          <w:ilvl w:val="0"/>
          <w:numId w:val="21"/>
        </w:numPr>
        <w:spacing w:before="60" w:after="60"/>
        <w:ind w:left="714" w:hanging="357"/>
        <w:rPr>
          <w:lang w:val="en-GB"/>
        </w:rPr>
      </w:pPr>
      <w:r w:rsidRPr="00601863">
        <w:t>Ramp</w:t>
      </w:r>
      <w:r w:rsidRPr="00601863">
        <w:rPr>
          <w:lang w:val="en-GB"/>
        </w:rPr>
        <w:t xml:space="preserve">-up to full load </w:t>
      </w:r>
      <w:r>
        <w:rPr>
          <w:lang w:val="en-GB"/>
        </w:rPr>
        <w:t>&amp;</w:t>
      </w:r>
      <w:r w:rsidRPr="004341F8">
        <w:rPr>
          <w:lang w:val="en-GB"/>
        </w:rPr>
        <w:t xml:space="preserve"> to partial load</w:t>
      </w:r>
    </w:p>
    <w:p w14:paraId="50755158" w14:textId="77777777" w:rsidR="006B35B3" w:rsidRDefault="006B35B3" w:rsidP="006B35B3">
      <w:pPr>
        <w:pStyle w:val="Els-body-text"/>
        <w:numPr>
          <w:ilvl w:val="0"/>
          <w:numId w:val="21"/>
        </w:numPr>
        <w:spacing w:before="60" w:after="60"/>
        <w:ind w:left="714" w:hanging="357"/>
        <w:rPr>
          <w:lang w:val="en-GB"/>
        </w:rPr>
      </w:pPr>
      <w:r>
        <w:rPr>
          <w:lang w:val="en-GB"/>
        </w:rPr>
        <w:t>R</w:t>
      </w:r>
      <w:r w:rsidRPr="00601863">
        <w:rPr>
          <w:lang w:val="en-GB"/>
        </w:rPr>
        <w:t xml:space="preserve">amp-down to achievable partial load </w:t>
      </w:r>
      <w:r>
        <w:rPr>
          <w:lang w:val="en-GB"/>
        </w:rPr>
        <w:t xml:space="preserve">&amp; </w:t>
      </w:r>
      <w:r w:rsidRPr="004341F8">
        <w:rPr>
          <w:lang w:val="en-GB"/>
        </w:rPr>
        <w:t>to unachievable partial load</w:t>
      </w:r>
    </w:p>
    <w:p w14:paraId="44CAB643" w14:textId="0EE17691" w:rsidR="006B35B3" w:rsidRPr="006B35B3" w:rsidRDefault="006B35B3" w:rsidP="006B35B3">
      <w:pPr>
        <w:pStyle w:val="Els-body-text"/>
        <w:numPr>
          <w:ilvl w:val="0"/>
          <w:numId w:val="21"/>
        </w:numPr>
        <w:spacing w:before="60" w:after="60"/>
        <w:ind w:left="714" w:hanging="357"/>
        <w:rPr>
          <w:lang w:val="en-GB"/>
        </w:rPr>
      </w:pPr>
      <w:r>
        <w:rPr>
          <w:lang w:val="en-GB"/>
        </w:rPr>
        <w:t xml:space="preserve">Ramp-up and ramp-down at </w:t>
      </w:r>
      <w:r>
        <w:t>20 </w:t>
      </w:r>
      <m:oMath>
        <m:f>
          <m:fPr>
            <m:type m:val="lin"/>
            <m:ctrlPr>
              <w:rPr>
                <w:rFonts w:ascii="Cambria Math" w:hAnsi="Cambria Math"/>
                <w:i/>
              </w:rPr>
            </m:ctrlPr>
          </m:fPr>
          <m:num>
            <m:r>
              <w:rPr>
                <w:rFonts w:ascii="Cambria Math" w:hAnsi="Cambria Math"/>
              </w:rPr>
              <m:t>%</m:t>
            </m:r>
          </m:num>
          <m:den>
            <m:r>
              <w:rPr>
                <w:rFonts w:ascii="Cambria Math" w:hAnsi="Cambria Math"/>
              </w:rPr>
              <m:t>h</m:t>
            </m:r>
          </m:den>
        </m:f>
      </m:oMath>
      <w:r>
        <w:t>  to follow the load change rate of the ammonia synthesis loop (Scenario B)</w:t>
      </w:r>
    </w:p>
    <w:p w14:paraId="7E13E8E4" w14:textId="0916A528" w:rsidR="00B31D02" w:rsidRDefault="00530A8A" w:rsidP="00B31D02">
      <w:pPr>
        <w:pStyle w:val="Els-1storder-head"/>
        <w:spacing w:before="180" w:after="120"/>
        <w:rPr>
          <w:lang w:val="en-GB"/>
        </w:rPr>
      </w:pPr>
      <w:r>
        <w:rPr>
          <w:lang w:val="en-GB"/>
        </w:rPr>
        <w:t>Re</w:t>
      </w:r>
      <w:r w:rsidR="00E7192E">
        <w:rPr>
          <w:lang w:val="en-GB"/>
        </w:rPr>
        <w:t>sults</w:t>
      </w:r>
    </w:p>
    <w:p w14:paraId="328F6FA1" w14:textId="43341E45" w:rsidR="00415F98" w:rsidRDefault="00B31D02" w:rsidP="00B6286C">
      <w:pPr>
        <w:pStyle w:val="Els-body-text"/>
        <w:rPr>
          <w:lang w:val="en-GB"/>
        </w:rPr>
      </w:pPr>
      <w:r>
        <w:rPr>
          <w:lang w:val="en-GB"/>
        </w:rPr>
        <w:t xml:space="preserve">The achievable flexibility margins of the chosen scenarios are shown in Figure </w:t>
      </w:r>
      <w:r w:rsidR="00B11C96">
        <w:rPr>
          <w:lang w:val="en-GB"/>
        </w:rPr>
        <w:t>2</w:t>
      </w:r>
      <w:r>
        <w:rPr>
          <w:lang w:val="en-GB"/>
        </w:rPr>
        <w:t>.</w:t>
      </w:r>
      <w:r w:rsidR="00803BB2">
        <w:rPr>
          <w:lang w:val="en-GB"/>
        </w:rPr>
        <w:t xml:space="preserve"> The benchmark configuration and configuration 2 have limitations in their available power range due to the minimum load of the AEL and </w:t>
      </w:r>
      <w:r w:rsidR="006D23E7">
        <w:rPr>
          <w:lang w:val="en-GB"/>
        </w:rPr>
        <w:t>HTEL</w:t>
      </w:r>
      <w:r w:rsidR="00803BB2">
        <w:rPr>
          <w:lang w:val="en-GB"/>
        </w:rPr>
        <w:t xml:space="preserve"> technologies. Configurations 1</w:t>
      </w:r>
      <w:r w:rsidR="004450D6">
        <w:rPr>
          <w:lang w:val="en-GB"/>
        </w:rPr>
        <w:t> and </w:t>
      </w:r>
      <w:r w:rsidR="00803BB2">
        <w:rPr>
          <w:lang w:val="en-GB"/>
        </w:rPr>
        <w:t xml:space="preserve">3 can </w:t>
      </w:r>
      <w:r w:rsidR="00374DD5">
        <w:rPr>
          <w:lang w:val="en-GB"/>
        </w:rPr>
        <w:t>achieve</w:t>
      </w:r>
      <w:r w:rsidR="00803BB2">
        <w:rPr>
          <w:lang w:val="en-GB"/>
        </w:rPr>
        <w:t xml:space="preserve"> the entire </w:t>
      </w:r>
      <w:r w:rsidR="00374DD5">
        <w:rPr>
          <w:lang w:val="en-GB"/>
        </w:rPr>
        <w:t>necessary</w:t>
      </w:r>
      <w:r w:rsidR="00803BB2">
        <w:rPr>
          <w:lang w:val="en-GB"/>
        </w:rPr>
        <w:t xml:space="preserve"> load range and beyond due to the high range of the used PEM</w:t>
      </w:r>
      <w:r w:rsidR="006D23E7">
        <w:rPr>
          <w:lang w:val="en-GB"/>
        </w:rPr>
        <w:t>EL</w:t>
      </w:r>
      <w:r w:rsidR="00803BB2">
        <w:rPr>
          <w:lang w:val="en-GB"/>
        </w:rPr>
        <w:t>.</w:t>
      </w:r>
    </w:p>
    <w:p w14:paraId="77466CDB" w14:textId="2D72B82C" w:rsidR="00415F98" w:rsidRDefault="00A249F4" w:rsidP="0053286D">
      <w:pPr>
        <w:pStyle w:val="Beschriftung"/>
        <w:keepNext/>
        <w:spacing w:before="120"/>
        <w:jc w:val="center"/>
      </w:pPr>
      <w:r w:rsidRPr="001A7195">
        <w:rPr>
          <w:noProof/>
        </w:rPr>
        <w:drawing>
          <wp:inline distT="0" distB="0" distL="0" distR="0" wp14:anchorId="4BFFB345" wp14:editId="1620897A">
            <wp:extent cx="4469514" cy="2560320"/>
            <wp:effectExtent l="0" t="0" r="7620" b="0"/>
            <wp:docPr id="12023275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27527" name=""/>
                    <pic:cNvPicPr/>
                  </pic:nvPicPr>
                  <pic:blipFill rotWithShape="1">
                    <a:blip r:embed="rId10">
                      <a:extLst>
                        <a:ext uri="{96DAC541-7B7A-43D3-8B79-37D633B846F1}">
                          <asvg:svgBlip xmlns:asvg="http://schemas.microsoft.com/office/drawing/2016/SVG/main" r:embed="rId11"/>
                        </a:ext>
                      </a:extLst>
                    </a:blip>
                    <a:srcRect t="10134" b="2816"/>
                    <a:stretch/>
                  </pic:blipFill>
                  <pic:spPr bwMode="auto">
                    <a:xfrm>
                      <a:off x="0" y="0"/>
                      <a:ext cx="4525802" cy="2592564"/>
                    </a:xfrm>
                    <a:prstGeom prst="rect">
                      <a:avLst/>
                    </a:prstGeom>
                    <a:ln>
                      <a:noFill/>
                    </a:ln>
                    <a:extLst>
                      <a:ext uri="{53640926-AAD7-44D8-BBD7-CCE9431645EC}">
                        <a14:shadowObscured xmlns:a14="http://schemas.microsoft.com/office/drawing/2010/main"/>
                      </a:ext>
                    </a:extLst>
                  </pic:spPr>
                </pic:pic>
              </a:graphicData>
            </a:graphic>
          </wp:inline>
        </w:drawing>
      </w:r>
      <w:r w:rsidR="00B15E54">
        <w:br/>
      </w:r>
      <w:r w:rsidR="001A7195">
        <w:t xml:space="preserve">Figure </w:t>
      </w:r>
      <w:r w:rsidR="001A7195">
        <w:fldChar w:fldCharType="begin"/>
      </w:r>
      <w:r w:rsidR="001A7195">
        <w:instrText xml:space="preserve"> SEQ Figure \* ARABIC </w:instrText>
      </w:r>
      <w:r w:rsidR="001A7195">
        <w:fldChar w:fldCharType="separate"/>
      </w:r>
      <w:r w:rsidR="00F40DE6">
        <w:rPr>
          <w:noProof/>
        </w:rPr>
        <w:t>2</w:t>
      </w:r>
      <w:r w:rsidR="001A7195">
        <w:fldChar w:fldCharType="end"/>
      </w:r>
      <w:r w:rsidR="001A7195">
        <w:t>: Flexibility margins with achievable and unachievable power ranges</w:t>
      </w:r>
    </w:p>
    <w:p w14:paraId="6237FEFD" w14:textId="77777777" w:rsidR="006B35B3" w:rsidRDefault="006B35B3" w:rsidP="00B6286C">
      <w:pPr>
        <w:pStyle w:val="Els-body-text"/>
        <w:rPr>
          <w:lang w:val="en-GB"/>
        </w:rPr>
      </w:pPr>
    </w:p>
    <w:p w14:paraId="77606381" w14:textId="21AC4EF6" w:rsidR="00415F98" w:rsidRDefault="00B15E54" w:rsidP="00B6286C">
      <w:pPr>
        <w:pStyle w:val="Els-body-text"/>
        <w:rPr>
          <w:lang w:val="en-GB"/>
        </w:rPr>
      </w:pPr>
      <w:r>
        <w:rPr>
          <w:lang w:val="en-GB"/>
        </w:rPr>
        <w:lastRenderedPageBreak/>
        <w:t>The calculated efficiencies are co</w:t>
      </w:r>
      <w:r w:rsidR="00374DD5">
        <w:rPr>
          <w:lang w:val="en-GB"/>
        </w:rPr>
        <w:t>mpiled</w:t>
      </w:r>
      <w:r>
        <w:rPr>
          <w:lang w:val="en-GB"/>
        </w:rPr>
        <w:t xml:space="preserve"> in Table </w:t>
      </w:r>
      <w:r w:rsidR="00287682">
        <w:rPr>
          <w:lang w:val="en-GB"/>
        </w:rPr>
        <w:t>3</w:t>
      </w:r>
      <w:r>
        <w:rPr>
          <w:lang w:val="en-GB"/>
        </w:rPr>
        <w:t xml:space="preserve">, </w:t>
      </w:r>
      <w:r w:rsidR="00374DD5">
        <w:rPr>
          <w:lang w:val="en-GB"/>
        </w:rPr>
        <w:t>alongside</w:t>
      </w:r>
      <w:r>
        <w:rPr>
          <w:lang w:val="en-GB"/>
        </w:rPr>
        <w:t xml:space="preserve"> the EUFE values </w:t>
      </w:r>
      <w:r w:rsidR="00374DD5">
        <w:rPr>
          <w:lang w:val="en-GB"/>
        </w:rPr>
        <w:t>corresponding to</w:t>
      </w:r>
      <w:r>
        <w:rPr>
          <w:lang w:val="en-GB"/>
        </w:rPr>
        <w:t xml:space="preserve"> the simulated energy input scenarios. </w:t>
      </w:r>
      <w:r w:rsidR="002E152A">
        <w:rPr>
          <w:lang w:val="en-GB"/>
        </w:rPr>
        <w:t>C</w:t>
      </w:r>
      <w:r>
        <w:rPr>
          <w:lang w:val="en-GB"/>
        </w:rPr>
        <w:t xml:space="preserve">onfiguration 2 has the highest efficiency at 72,46 % vs. LHV, followed by </w:t>
      </w:r>
      <w:r w:rsidR="0036319E">
        <w:rPr>
          <w:lang w:val="en-GB"/>
        </w:rPr>
        <w:t>c</w:t>
      </w:r>
      <w:r>
        <w:rPr>
          <w:lang w:val="en-GB"/>
        </w:rPr>
        <w:t xml:space="preserve">onfiguration 3 with 71.43 % vs. LHV. This is </w:t>
      </w:r>
      <w:r w:rsidR="00374DD5">
        <w:rPr>
          <w:lang w:val="en-GB"/>
        </w:rPr>
        <w:t>primarily attributed</w:t>
      </w:r>
      <w:r>
        <w:rPr>
          <w:lang w:val="en-GB"/>
        </w:rPr>
        <w:t xml:space="preserve"> to </w:t>
      </w:r>
      <w:r w:rsidR="002E152A">
        <w:rPr>
          <w:lang w:val="en-GB"/>
        </w:rPr>
        <w:t>the u</w:t>
      </w:r>
      <w:r w:rsidR="00374DD5">
        <w:rPr>
          <w:lang w:val="en-GB"/>
        </w:rPr>
        <w:t>tilization</w:t>
      </w:r>
      <w:r w:rsidR="002E152A">
        <w:rPr>
          <w:lang w:val="en-GB"/>
        </w:rPr>
        <w:t xml:space="preserve"> of</w:t>
      </w:r>
      <w:r>
        <w:rPr>
          <w:lang w:val="en-GB"/>
        </w:rPr>
        <w:t xml:space="preserve"> </w:t>
      </w:r>
      <w:r w:rsidR="006D23E7">
        <w:rPr>
          <w:lang w:val="en-GB"/>
        </w:rPr>
        <w:t>HTEL</w:t>
      </w:r>
      <w:r>
        <w:rPr>
          <w:lang w:val="en-GB"/>
        </w:rPr>
        <w:t xml:space="preserve"> </w:t>
      </w:r>
      <w:proofErr w:type="spellStart"/>
      <w:r>
        <w:rPr>
          <w:lang w:val="en-GB"/>
        </w:rPr>
        <w:t>electrolyzers</w:t>
      </w:r>
      <w:proofErr w:type="spellEnd"/>
      <w:r>
        <w:rPr>
          <w:lang w:val="en-GB"/>
        </w:rPr>
        <w:t xml:space="preserve">, which have a comparably low specific energy consumption if </w:t>
      </w:r>
      <w:r w:rsidR="00374DD5">
        <w:rPr>
          <w:lang w:val="en-GB"/>
        </w:rPr>
        <w:t xml:space="preserve">a </w:t>
      </w:r>
      <w:r>
        <w:rPr>
          <w:lang w:val="en-GB"/>
        </w:rPr>
        <w:t xml:space="preserve">high temperature feed is available. The benchmark configuration and </w:t>
      </w:r>
      <w:r w:rsidR="0036319E">
        <w:rPr>
          <w:lang w:val="en-GB"/>
        </w:rPr>
        <w:t>c</w:t>
      </w:r>
      <w:r>
        <w:rPr>
          <w:lang w:val="en-GB"/>
        </w:rPr>
        <w:t xml:space="preserve">onfiguration 1 also </w:t>
      </w:r>
      <w:r w:rsidR="00374DD5">
        <w:rPr>
          <w:lang w:val="en-GB"/>
        </w:rPr>
        <w:t>exhibit</w:t>
      </w:r>
      <w:r>
        <w:rPr>
          <w:lang w:val="en-GB"/>
        </w:rPr>
        <w:t xml:space="preserve"> similar efficienc</w:t>
      </w:r>
      <w:r w:rsidR="00374DD5">
        <w:rPr>
          <w:lang w:val="en-GB"/>
        </w:rPr>
        <w:t>ies,</w:t>
      </w:r>
      <w:r>
        <w:rPr>
          <w:lang w:val="en-GB"/>
        </w:rPr>
        <w:t xml:space="preserve"> with 66,67 % vs. LHV for the benchmark an</w:t>
      </w:r>
      <w:r w:rsidR="00374DD5">
        <w:rPr>
          <w:lang w:val="en-GB"/>
        </w:rPr>
        <w:t>d</w:t>
      </w:r>
      <w:r>
        <w:rPr>
          <w:lang w:val="en-GB"/>
        </w:rPr>
        <w:t xml:space="preserve"> 65,8 % vs. LHV for configuration 1. </w:t>
      </w:r>
    </w:p>
    <w:p w14:paraId="100E4D86" w14:textId="1F869371" w:rsidR="00911F52" w:rsidRDefault="0036319E" w:rsidP="00B6286C">
      <w:pPr>
        <w:pStyle w:val="Els-body-text"/>
        <w:rPr>
          <w:lang w:val="en-GB"/>
        </w:rPr>
      </w:pPr>
      <w:r>
        <w:rPr>
          <w:lang w:val="en-GB"/>
        </w:rPr>
        <w:t>The EUFE</w:t>
      </w:r>
      <w:r w:rsidR="002E152A">
        <w:rPr>
          <w:lang w:val="en-GB"/>
        </w:rPr>
        <w:t xml:space="preserve"> values</w:t>
      </w:r>
      <w:r>
        <w:rPr>
          <w:lang w:val="en-GB"/>
        </w:rPr>
        <w:t xml:space="preserve"> for </w:t>
      </w:r>
      <w:r w:rsidR="00665F3D">
        <w:rPr>
          <w:lang w:val="en-GB"/>
        </w:rPr>
        <w:t>s</w:t>
      </w:r>
      <w:r>
        <w:rPr>
          <w:lang w:val="en-GB"/>
        </w:rPr>
        <w:t xml:space="preserve">cenario A </w:t>
      </w:r>
      <w:proofErr w:type="spellStart"/>
      <w:r>
        <w:rPr>
          <w:lang w:val="en-GB"/>
        </w:rPr>
        <w:t>vary</w:t>
      </w:r>
      <w:proofErr w:type="spellEnd"/>
      <w:r>
        <w:rPr>
          <w:lang w:val="en-GB"/>
        </w:rPr>
        <w:t xml:space="preserve"> strongly between the configurations. </w:t>
      </w:r>
      <w:r w:rsidR="00665F3D">
        <w:rPr>
          <w:lang w:val="en-GB"/>
        </w:rPr>
        <w:t>Configurations</w:t>
      </w:r>
      <w:r>
        <w:rPr>
          <w:lang w:val="en-GB"/>
        </w:rPr>
        <w:t xml:space="preserve"> 1 and 3 </w:t>
      </w:r>
      <w:r w:rsidR="004419DA">
        <w:rPr>
          <w:lang w:val="en-GB"/>
        </w:rPr>
        <w:t xml:space="preserve">show similar EUFE values at around 200 kWh, which are mainly contributed during initial start-up. </w:t>
      </w:r>
      <w:r w:rsidR="00665F3D">
        <w:rPr>
          <w:lang w:val="en-GB"/>
        </w:rPr>
        <w:t xml:space="preserve">The benchmark configuration and configuration 1 show much larger values. This is due to the unachievable partial load, which </w:t>
      </w:r>
      <w:r w:rsidR="00A73A34">
        <w:rPr>
          <w:lang w:val="en-GB"/>
        </w:rPr>
        <w:t>cannot</w:t>
      </w:r>
      <w:r w:rsidR="00665F3D">
        <w:rPr>
          <w:lang w:val="en-GB"/>
        </w:rPr>
        <w:t xml:space="preserve"> be reached and therefore adds to the </w:t>
      </w:r>
      <w:r w:rsidR="0053286D">
        <w:rPr>
          <w:lang w:val="en-GB"/>
        </w:rPr>
        <w:t>EUFE</w:t>
      </w:r>
      <w:r w:rsidR="00665F3D">
        <w:rPr>
          <w:lang w:val="en-GB"/>
        </w:rPr>
        <w:t>. Configuration 2 has the highest EUFE value at 5309 kWh, much larger</w:t>
      </w:r>
      <w:r w:rsidR="004B4598">
        <w:rPr>
          <w:lang w:val="en-GB"/>
        </w:rPr>
        <w:t xml:space="preserve"> </w:t>
      </w:r>
      <w:r w:rsidR="002E152A">
        <w:rPr>
          <w:lang w:val="en-GB"/>
        </w:rPr>
        <w:t>than</w:t>
      </w:r>
      <w:r w:rsidR="00665F3D">
        <w:rPr>
          <w:lang w:val="en-GB"/>
        </w:rPr>
        <w:t xml:space="preserve"> the rest. In comparison to the benchmark configuration, this happens because of the low ramp-up rate of the </w:t>
      </w:r>
      <w:r w:rsidR="006D23E7">
        <w:rPr>
          <w:lang w:val="en-GB"/>
        </w:rPr>
        <w:t>HTEL</w:t>
      </w:r>
      <w:r w:rsidR="00665F3D">
        <w:rPr>
          <w:lang w:val="en-GB"/>
        </w:rPr>
        <w:t xml:space="preserve">, which </w:t>
      </w:r>
      <w:r w:rsidR="00A73A34">
        <w:rPr>
          <w:lang w:val="en-GB"/>
        </w:rPr>
        <w:t>cannot</w:t>
      </w:r>
      <w:r w:rsidR="00665F3D">
        <w:rPr>
          <w:lang w:val="en-GB"/>
        </w:rPr>
        <w:t xml:space="preserve"> be counteracted by the AEL. Configuration 3, which also must deal with the slow ramp</w:t>
      </w:r>
      <w:r w:rsidR="00665F3D">
        <w:rPr>
          <w:lang w:val="en-GB"/>
        </w:rPr>
        <w:noBreakHyphen/>
        <w:t xml:space="preserve">up of the </w:t>
      </w:r>
      <w:r w:rsidR="006D23E7">
        <w:rPr>
          <w:lang w:val="en-GB"/>
        </w:rPr>
        <w:t>HTEL</w:t>
      </w:r>
      <w:r w:rsidR="00665F3D">
        <w:rPr>
          <w:lang w:val="en-GB"/>
        </w:rPr>
        <w:t>, can reduce the EUFE value by using the PEM</w:t>
      </w:r>
      <w:r w:rsidR="006D23E7">
        <w:rPr>
          <w:lang w:val="en-GB"/>
        </w:rPr>
        <w:t>EL</w:t>
      </w:r>
      <w:r w:rsidR="00665F3D">
        <w:rPr>
          <w:lang w:val="en-GB"/>
        </w:rPr>
        <w:t>s overload capacity to reach the necessary power quickly and reducing the input power of the PEM</w:t>
      </w:r>
      <w:r w:rsidR="006D23E7">
        <w:rPr>
          <w:lang w:val="en-GB"/>
        </w:rPr>
        <w:t>EL</w:t>
      </w:r>
      <w:r w:rsidR="00665F3D">
        <w:rPr>
          <w:lang w:val="en-GB"/>
        </w:rPr>
        <w:t xml:space="preserve"> gradually, while the </w:t>
      </w:r>
      <w:r w:rsidR="006D23E7">
        <w:rPr>
          <w:lang w:val="en-GB"/>
        </w:rPr>
        <w:t>HTEL</w:t>
      </w:r>
      <w:r w:rsidR="00665F3D">
        <w:rPr>
          <w:lang w:val="en-GB"/>
        </w:rPr>
        <w:t xml:space="preserve"> is still ramping up.</w:t>
      </w:r>
    </w:p>
    <w:p w14:paraId="20109206" w14:textId="21CB17ED" w:rsidR="00911F52" w:rsidRPr="002C7967" w:rsidRDefault="00665F3D" w:rsidP="00B6286C">
      <w:pPr>
        <w:pStyle w:val="Els-body-text"/>
        <w:rPr>
          <w:lang w:val="en-GB"/>
        </w:rPr>
      </w:pPr>
      <w:r>
        <w:rPr>
          <w:lang w:val="en-GB"/>
        </w:rPr>
        <w:t xml:space="preserve">Scenario B shows similar and much lower EUFE values along all configurations. </w:t>
      </w:r>
      <w:r w:rsidR="004B4598">
        <w:rPr>
          <w:lang w:val="en-GB"/>
        </w:rPr>
        <w:t xml:space="preserve">Configurations 2 and 3 share the same </w:t>
      </w:r>
      <w:r w:rsidR="002E152A">
        <w:rPr>
          <w:lang w:val="en-GB"/>
        </w:rPr>
        <w:t>value, because</w:t>
      </w:r>
      <w:r w:rsidR="004B4598">
        <w:rPr>
          <w:lang w:val="en-GB"/>
        </w:rPr>
        <w:t xml:space="preserve"> no overload capacity is needed for the ramp-up rate of the ammonia synthesis loop and the lower load limit is always reached. The benchmark configuration and configuration 1 show slightly higher EUFE values. This is identified as a slight overshooting of the power consumption due to the high load change rates, compared to </w:t>
      </w:r>
      <w:r w:rsidR="00D75CF8">
        <w:rPr>
          <w:lang w:val="en-GB"/>
        </w:rPr>
        <w:t xml:space="preserve">the </w:t>
      </w:r>
      <w:r w:rsidR="006D23E7">
        <w:rPr>
          <w:lang w:val="en-GB"/>
        </w:rPr>
        <w:t>HTEL</w:t>
      </w:r>
      <w:r w:rsidR="00D75CF8">
        <w:rPr>
          <w:lang w:val="en-GB"/>
        </w:rPr>
        <w:t xml:space="preserve"> in </w:t>
      </w:r>
      <w:r w:rsidR="004B4598">
        <w:rPr>
          <w:lang w:val="en-GB"/>
        </w:rPr>
        <w:t xml:space="preserve">configurations 2 and 3. If the simulation and the control strategies are operated at a higher resolution, this value </w:t>
      </w:r>
      <w:r w:rsidR="00703D46">
        <w:rPr>
          <w:lang w:val="en-GB"/>
        </w:rPr>
        <w:t>will</w:t>
      </w:r>
      <w:r w:rsidR="004B4598">
        <w:rPr>
          <w:lang w:val="en-GB"/>
        </w:rPr>
        <w:t xml:space="preserve"> further </w:t>
      </w:r>
      <w:r w:rsidR="00703D46">
        <w:rPr>
          <w:lang w:val="en-GB"/>
        </w:rPr>
        <w:t xml:space="preserve">be </w:t>
      </w:r>
      <w:r w:rsidR="004B4598">
        <w:rPr>
          <w:lang w:val="en-GB"/>
        </w:rPr>
        <w:t xml:space="preserve">reduced. </w:t>
      </w:r>
    </w:p>
    <w:p w14:paraId="3376AAA2" w14:textId="45E734FC" w:rsidR="008B2451" w:rsidRPr="003634BD" w:rsidRDefault="007005F9" w:rsidP="000C6555">
      <w:pPr>
        <w:pStyle w:val="Beschriftung"/>
        <w:spacing w:after="0"/>
        <w:rPr>
          <w:lang w:val="en-GB"/>
        </w:rPr>
      </w:pPr>
      <w:r>
        <w:t xml:space="preserve">Table </w:t>
      </w:r>
      <w:r>
        <w:fldChar w:fldCharType="begin"/>
      </w:r>
      <w:r>
        <w:instrText xml:space="preserve"> SEQ Table \* ARABIC </w:instrText>
      </w:r>
      <w:r>
        <w:fldChar w:fldCharType="separate"/>
      </w:r>
      <w:r w:rsidR="00090296">
        <w:rPr>
          <w:noProof/>
        </w:rPr>
        <w:t>3</w:t>
      </w:r>
      <w:r>
        <w:fldChar w:fldCharType="end"/>
      </w:r>
      <w:r>
        <w:t xml:space="preserve">: Resulting </w:t>
      </w:r>
      <w:r w:rsidR="00803BB2">
        <w:t xml:space="preserve">efficiency metrics for the configurations and EUFE for </w:t>
      </w:r>
      <w:r w:rsidR="003634BD">
        <w:t xml:space="preserve">input </w:t>
      </w:r>
      <w:r w:rsidR="00803BB2">
        <w:t xml:space="preserve">scenario </w:t>
      </w:r>
      <w:r w:rsidR="00B11C96">
        <w:t>A</w:t>
      </w:r>
      <w:r w:rsidR="00803BB2">
        <w:t> &amp; </w:t>
      </w:r>
      <w:r w:rsidR="00B11C96">
        <w:t>B</w:t>
      </w:r>
    </w:p>
    <w:tbl>
      <w:tblPr>
        <w:tblStyle w:val="Gitternetztabelle7farbig"/>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93"/>
        <w:gridCol w:w="1240"/>
        <w:gridCol w:w="1240"/>
        <w:gridCol w:w="1240"/>
        <w:gridCol w:w="1241"/>
      </w:tblGrid>
      <w:tr w:rsidR="0017349A" w14:paraId="2F3E95BF" w14:textId="77777777" w:rsidTr="0017349A">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1134" w:type="dxa"/>
            <w:tcBorders>
              <w:bottom w:val="single" w:sz="12" w:space="0" w:color="auto"/>
            </w:tcBorders>
          </w:tcPr>
          <w:p w14:paraId="40DE2000" w14:textId="77777777" w:rsidR="0017349A" w:rsidRDefault="0017349A" w:rsidP="002F1FB0">
            <w:pPr>
              <w:pStyle w:val="Els-body-text"/>
              <w:spacing w:before="80" w:after="80"/>
              <w:rPr>
                <w:lang w:val="en-GB"/>
              </w:rPr>
            </w:pPr>
          </w:p>
        </w:tc>
        <w:tc>
          <w:tcPr>
            <w:tcW w:w="993" w:type="dxa"/>
            <w:tcBorders>
              <w:bottom w:val="single" w:sz="12" w:space="0" w:color="auto"/>
            </w:tcBorders>
          </w:tcPr>
          <w:p w14:paraId="2E7684E3" w14:textId="723980AB" w:rsidR="0017349A" w:rsidRPr="0017349A" w:rsidRDefault="0017349A" w:rsidP="002F1FB0">
            <w:pPr>
              <w:pStyle w:val="Els-body-text"/>
              <w:spacing w:before="80" w:after="80"/>
              <w:jc w:val="left"/>
              <w:cnfStyle w:val="100000000000" w:firstRow="1" w:lastRow="0" w:firstColumn="0" w:lastColumn="0" w:oddVBand="0" w:evenVBand="0" w:oddHBand="0" w:evenHBand="0" w:firstRowFirstColumn="0" w:firstRowLastColumn="0" w:lastRowFirstColumn="0" w:lastRowLastColumn="0"/>
              <w:rPr>
                <w:b w:val="0"/>
                <w:bCs w:val="0"/>
                <w:i/>
                <w:iCs/>
                <w:lang w:val="en-GB"/>
              </w:rPr>
            </w:pPr>
            <w:r w:rsidRPr="0017349A">
              <w:rPr>
                <w:b w:val="0"/>
                <w:bCs w:val="0"/>
                <w:i/>
                <w:iCs/>
                <w:lang w:val="en-GB"/>
              </w:rPr>
              <w:t>Unit</w:t>
            </w:r>
          </w:p>
        </w:tc>
        <w:tc>
          <w:tcPr>
            <w:tcW w:w="1240" w:type="dxa"/>
            <w:tcBorders>
              <w:bottom w:val="single" w:sz="12" w:space="0" w:color="auto"/>
            </w:tcBorders>
          </w:tcPr>
          <w:p w14:paraId="5D66FFF6" w14:textId="415D2C3A" w:rsidR="0017349A" w:rsidRPr="00261EDB" w:rsidRDefault="0017349A" w:rsidP="002F1FB0">
            <w:pPr>
              <w:pStyle w:val="Els-body-text"/>
              <w:spacing w:before="80" w:after="80"/>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261EDB">
              <w:rPr>
                <w:b w:val="0"/>
                <w:bCs w:val="0"/>
                <w:lang w:val="en-GB"/>
              </w:rPr>
              <w:t>Benchmark</w:t>
            </w:r>
          </w:p>
        </w:tc>
        <w:tc>
          <w:tcPr>
            <w:tcW w:w="1240" w:type="dxa"/>
            <w:tcBorders>
              <w:bottom w:val="single" w:sz="12" w:space="0" w:color="auto"/>
            </w:tcBorders>
          </w:tcPr>
          <w:p w14:paraId="23FAF46F" w14:textId="5FBBCDA1" w:rsidR="0017349A" w:rsidRDefault="0017349A" w:rsidP="002F1FB0">
            <w:pPr>
              <w:pStyle w:val="Els-body-text"/>
              <w:spacing w:before="80" w:after="80"/>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Config. 1</w:t>
            </w:r>
          </w:p>
        </w:tc>
        <w:tc>
          <w:tcPr>
            <w:tcW w:w="1240" w:type="dxa"/>
            <w:tcBorders>
              <w:bottom w:val="single" w:sz="12" w:space="0" w:color="auto"/>
            </w:tcBorders>
          </w:tcPr>
          <w:p w14:paraId="6D8008EF" w14:textId="262CAF61" w:rsidR="0017349A" w:rsidRDefault="0017349A" w:rsidP="002F1FB0">
            <w:pPr>
              <w:pStyle w:val="Els-body-text"/>
              <w:spacing w:before="80" w:after="80"/>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Config. 2</w:t>
            </w:r>
          </w:p>
        </w:tc>
        <w:tc>
          <w:tcPr>
            <w:tcW w:w="1241" w:type="dxa"/>
            <w:tcBorders>
              <w:bottom w:val="single" w:sz="12" w:space="0" w:color="auto"/>
            </w:tcBorders>
          </w:tcPr>
          <w:p w14:paraId="63E3A505" w14:textId="0BB626CC" w:rsidR="0017349A" w:rsidRPr="001F39DA" w:rsidRDefault="0017349A" w:rsidP="002F1FB0">
            <w:pPr>
              <w:pStyle w:val="Els-body-text"/>
              <w:spacing w:before="80" w:after="80"/>
              <w:jc w:val="center"/>
              <w:cnfStyle w:val="100000000000" w:firstRow="1" w:lastRow="0" w:firstColumn="0" w:lastColumn="0" w:oddVBand="0" w:evenVBand="0" w:oddHBand="0" w:evenHBand="0" w:firstRowFirstColumn="0" w:firstRowLastColumn="0" w:lastRowFirstColumn="0" w:lastRowLastColumn="0"/>
              <w:rPr>
                <w:b w:val="0"/>
                <w:bCs w:val="0"/>
                <w:lang w:val="en-GB"/>
              </w:rPr>
            </w:pPr>
            <w:r>
              <w:rPr>
                <w:lang w:val="en-GB"/>
              </w:rPr>
              <w:t>Config. 3</w:t>
            </w:r>
          </w:p>
        </w:tc>
      </w:tr>
      <w:tr w:rsidR="0017349A" w14:paraId="2ADE2983" w14:textId="77777777" w:rsidTr="0017349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134" w:type="dxa"/>
            <w:tcBorders>
              <w:top w:val="single" w:sz="12" w:space="0" w:color="auto"/>
            </w:tcBorders>
            <w:vAlign w:val="center"/>
          </w:tcPr>
          <w:p w14:paraId="0F038D91" w14:textId="65C5F789" w:rsidR="0017349A" w:rsidRPr="00803BB2" w:rsidRDefault="00000000" w:rsidP="002F1FB0">
            <w:pPr>
              <w:pStyle w:val="Els-body-text"/>
              <w:spacing w:before="80" w:after="80"/>
              <w:jc w:val="left"/>
              <w:rPr>
                <w:i w:val="0"/>
                <w:iCs w:val="0"/>
                <w:lang w:val="en-GB"/>
              </w:rPr>
            </w:pPr>
            <m:oMathPara>
              <m:oMathParaPr>
                <m:jc m:val="left"/>
              </m:oMathParaPr>
              <m:oMath>
                <m:sSub>
                  <m:sSubPr>
                    <m:ctrlPr>
                      <w:rPr>
                        <w:rFonts w:ascii="Cambria Math" w:hAnsi="Cambria Math"/>
                      </w:rPr>
                    </m:ctrlPr>
                  </m:sSubPr>
                  <m:e>
                    <m:r>
                      <w:rPr>
                        <w:rFonts w:ascii="Cambria Math" w:hAnsi="Cambria Math"/>
                      </w:rPr>
                      <m:t>E</m:t>
                    </m:r>
                  </m:e>
                  <m:sub>
                    <m:r>
                      <w:rPr>
                        <w:rFonts w:ascii="Cambria Math" w:hAnsi="Cambria Math"/>
                      </w:rPr>
                      <m:t>spec,sys</m:t>
                    </m:r>
                  </m:sub>
                </m:sSub>
              </m:oMath>
            </m:oMathPara>
          </w:p>
        </w:tc>
        <w:tc>
          <w:tcPr>
            <w:tcW w:w="993" w:type="dxa"/>
            <w:tcBorders>
              <w:top w:val="single" w:sz="12" w:space="0" w:color="auto"/>
              <w:right w:val="single" w:sz="6" w:space="0" w:color="auto"/>
            </w:tcBorders>
          </w:tcPr>
          <w:p w14:paraId="65E853C4" w14:textId="7DF5096E" w:rsidR="0017349A" w:rsidRPr="0017349A" w:rsidRDefault="00000000" w:rsidP="002F1FB0">
            <w:pPr>
              <w:pStyle w:val="Els-body-text"/>
              <w:spacing w:before="80" w:after="80"/>
              <w:jc w:val="left"/>
              <w:cnfStyle w:val="000000100000" w:firstRow="0" w:lastRow="0" w:firstColumn="0" w:lastColumn="0" w:oddVBand="0" w:evenVBand="0" w:oddHBand="1" w:evenHBand="0" w:firstRowFirstColumn="0" w:firstRowLastColumn="0" w:lastRowFirstColumn="0" w:lastRowLastColumn="0"/>
              <w:rPr>
                <w:lang w:val="en-GB"/>
              </w:rPr>
            </w:pPr>
            <m:oMathPara>
              <m:oMathParaPr>
                <m:jc m:val="left"/>
              </m:oMathParaPr>
              <m:oMath>
                <m:f>
                  <m:fPr>
                    <m:ctrlPr>
                      <w:rPr>
                        <w:rFonts w:ascii="Cambria Math" w:hAnsi="Cambria Math"/>
                        <w:i/>
                        <w:lang w:val="en-GB"/>
                      </w:rPr>
                    </m:ctrlPr>
                  </m:fPr>
                  <m:num>
                    <m:r>
                      <w:rPr>
                        <w:rFonts w:ascii="Cambria Math" w:hAnsi="Cambria Math"/>
                        <w:lang w:val="en-GB"/>
                      </w:rPr>
                      <m:t>kWh</m:t>
                    </m:r>
                  </m:num>
                  <m:den>
                    <m:sSubSup>
                      <m:sSubSupPr>
                        <m:ctrlPr>
                          <w:rPr>
                            <w:rFonts w:ascii="Cambria Math" w:hAnsi="Cambria Math"/>
                            <w:i/>
                            <w:lang w:val="en-GB"/>
                          </w:rPr>
                        </m:ctrlPr>
                      </m:sSubSupPr>
                      <m:e>
                        <m:r>
                          <w:rPr>
                            <w:rFonts w:ascii="Cambria Math" w:hAnsi="Cambria Math"/>
                            <w:lang w:val="en-GB"/>
                          </w:rPr>
                          <m:t>Nm</m:t>
                        </m:r>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up>
                        <m:r>
                          <w:rPr>
                            <w:rFonts w:ascii="Cambria Math" w:hAnsi="Cambria Math"/>
                            <w:lang w:val="en-GB"/>
                          </w:rPr>
                          <m:t>3</m:t>
                        </m:r>
                      </m:sup>
                    </m:sSubSup>
                  </m:den>
                </m:f>
              </m:oMath>
            </m:oMathPara>
          </w:p>
        </w:tc>
        <w:tc>
          <w:tcPr>
            <w:tcW w:w="1240" w:type="dxa"/>
            <w:tcBorders>
              <w:top w:val="single" w:sz="12" w:space="0" w:color="auto"/>
              <w:left w:val="single" w:sz="6" w:space="0" w:color="auto"/>
            </w:tcBorders>
            <w:vAlign w:val="center"/>
          </w:tcPr>
          <w:p w14:paraId="7ED6F044" w14:textId="13D4CDD0" w:rsidR="0017349A" w:rsidRDefault="0017349A"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4,5</w:t>
            </w:r>
          </w:p>
        </w:tc>
        <w:tc>
          <w:tcPr>
            <w:tcW w:w="1240" w:type="dxa"/>
            <w:tcBorders>
              <w:top w:val="single" w:sz="12" w:space="0" w:color="auto"/>
            </w:tcBorders>
            <w:vAlign w:val="center"/>
          </w:tcPr>
          <w:p w14:paraId="2F4F8EE4" w14:textId="47E41BB1" w:rsidR="0017349A" w:rsidRDefault="0017349A"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4,56</w:t>
            </w:r>
          </w:p>
        </w:tc>
        <w:tc>
          <w:tcPr>
            <w:tcW w:w="1240" w:type="dxa"/>
            <w:tcBorders>
              <w:top w:val="single" w:sz="12" w:space="0" w:color="auto"/>
            </w:tcBorders>
            <w:vAlign w:val="center"/>
          </w:tcPr>
          <w:p w14:paraId="1A299C78" w14:textId="492333DB" w:rsidR="0017349A" w:rsidRDefault="0017349A"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4,14</w:t>
            </w:r>
          </w:p>
        </w:tc>
        <w:tc>
          <w:tcPr>
            <w:tcW w:w="1241" w:type="dxa"/>
            <w:tcBorders>
              <w:top w:val="single" w:sz="12" w:space="0" w:color="auto"/>
            </w:tcBorders>
            <w:vAlign w:val="center"/>
          </w:tcPr>
          <w:p w14:paraId="496460B0" w14:textId="703D6EC5" w:rsidR="0017349A" w:rsidRDefault="0017349A"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4,2</w:t>
            </w:r>
          </w:p>
        </w:tc>
      </w:tr>
      <w:tr w:rsidR="0017349A" w14:paraId="3FE0BCFC" w14:textId="77777777" w:rsidTr="0017349A">
        <w:trPr>
          <w:trHeight w:val="23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7EB5DCF" w14:textId="79F17F28" w:rsidR="0017349A" w:rsidRPr="00803BB2" w:rsidRDefault="00000000" w:rsidP="002F1FB0">
            <w:pPr>
              <w:pStyle w:val="Els-body-text"/>
              <w:spacing w:before="80" w:after="80"/>
              <w:jc w:val="left"/>
              <w:rPr>
                <w:lang w:val="en-GB"/>
              </w:rPr>
            </w:pPr>
            <m:oMathPara>
              <m:oMathParaPr>
                <m:jc m:val="left"/>
              </m:oMathParaPr>
              <m:oMath>
                <m:sSub>
                  <m:sSubPr>
                    <m:ctrlPr>
                      <w:rPr>
                        <w:rFonts w:ascii="Cambria Math" w:hAnsi="Cambria Math"/>
                      </w:rPr>
                    </m:ctrlPr>
                  </m:sSubPr>
                  <m:e>
                    <m:r>
                      <w:rPr>
                        <w:rFonts w:ascii="Cambria Math" w:hAnsi="Cambria Math"/>
                      </w:rPr>
                      <m:t>η</m:t>
                    </m:r>
                  </m:e>
                  <m:sub>
                    <m:r>
                      <w:rPr>
                        <w:rFonts w:ascii="Cambria Math" w:hAnsi="Cambria Math"/>
                      </w:rPr>
                      <m:t>sys</m:t>
                    </m:r>
                  </m:sub>
                </m:sSub>
              </m:oMath>
            </m:oMathPara>
          </w:p>
        </w:tc>
        <w:tc>
          <w:tcPr>
            <w:tcW w:w="993" w:type="dxa"/>
            <w:tcBorders>
              <w:right w:val="single" w:sz="6" w:space="0" w:color="auto"/>
            </w:tcBorders>
          </w:tcPr>
          <w:p w14:paraId="36097AF5" w14:textId="545A9C5B" w:rsidR="0017349A" w:rsidRPr="0017349A" w:rsidRDefault="0017349A" w:rsidP="002F1FB0">
            <w:pPr>
              <w:pStyle w:val="Els-body-text"/>
              <w:spacing w:before="80" w:after="80"/>
              <w:jc w:val="left"/>
              <w:cnfStyle w:val="000000000000" w:firstRow="0" w:lastRow="0" w:firstColumn="0" w:lastColumn="0" w:oddVBand="0" w:evenVBand="0" w:oddHBand="0" w:evenHBand="0" w:firstRowFirstColumn="0" w:firstRowLastColumn="0" w:lastRowFirstColumn="0" w:lastRowLastColumn="0"/>
              <w:rPr>
                <w:lang w:val="en-GB"/>
              </w:rPr>
            </w:pPr>
            <m:oMathPara>
              <m:oMathParaPr>
                <m:jc m:val="left"/>
              </m:oMathParaPr>
              <m:oMath>
                <m:r>
                  <w:rPr>
                    <w:rFonts w:ascii="Cambria Math" w:hAnsi="Cambria Math"/>
                    <w:lang w:val="en-GB"/>
                  </w:rPr>
                  <m:t>%</m:t>
                </m:r>
              </m:oMath>
            </m:oMathPara>
          </w:p>
        </w:tc>
        <w:tc>
          <w:tcPr>
            <w:tcW w:w="1240" w:type="dxa"/>
            <w:tcBorders>
              <w:left w:val="single" w:sz="6" w:space="0" w:color="auto"/>
            </w:tcBorders>
            <w:vAlign w:val="center"/>
          </w:tcPr>
          <w:p w14:paraId="3A60AE03" w14:textId="1CE270AE" w:rsidR="0017349A" w:rsidRDefault="0017349A" w:rsidP="002F1FB0">
            <w:pPr>
              <w:pStyle w:val="Els-body-text"/>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66,67</w:t>
            </w:r>
          </w:p>
        </w:tc>
        <w:tc>
          <w:tcPr>
            <w:tcW w:w="1240" w:type="dxa"/>
            <w:vAlign w:val="center"/>
          </w:tcPr>
          <w:p w14:paraId="7845FF11" w14:textId="175624B7" w:rsidR="0017349A" w:rsidRDefault="0017349A" w:rsidP="002F1FB0">
            <w:pPr>
              <w:pStyle w:val="Els-body-text"/>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65,8</w:t>
            </w:r>
          </w:p>
        </w:tc>
        <w:tc>
          <w:tcPr>
            <w:tcW w:w="1240" w:type="dxa"/>
            <w:vAlign w:val="center"/>
          </w:tcPr>
          <w:p w14:paraId="305716A7" w14:textId="44DC1335" w:rsidR="0017349A" w:rsidRDefault="0017349A" w:rsidP="002F1FB0">
            <w:pPr>
              <w:pStyle w:val="Els-body-text"/>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72,46</w:t>
            </w:r>
          </w:p>
        </w:tc>
        <w:tc>
          <w:tcPr>
            <w:tcW w:w="1241" w:type="dxa"/>
            <w:vAlign w:val="center"/>
          </w:tcPr>
          <w:p w14:paraId="180CD8AA" w14:textId="6F2A218B" w:rsidR="0017349A" w:rsidRDefault="0017349A" w:rsidP="002F1FB0">
            <w:pPr>
              <w:pStyle w:val="Els-body-text"/>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71,43</w:t>
            </w:r>
          </w:p>
        </w:tc>
      </w:tr>
      <w:tr w:rsidR="0017349A" w14:paraId="7FE1DC10" w14:textId="77777777" w:rsidTr="0017349A">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BBEF779" w14:textId="5E3848EE" w:rsidR="0017349A" w:rsidRPr="00803BB2" w:rsidRDefault="0017349A" w:rsidP="002F1FB0">
            <w:pPr>
              <w:pStyle w:val="Els-body-text"/>
              <w:spacing w:before="80" w:after="80"/>
              <w:jc w:val="left"/>
              <w:rPr>
                <w:i w:val="0"/>
                <w:iCs w:val="0"/>
                <w:lang w:val="en-GB"/>
              </w:rPr>
            </w:pPr>
            <m:oMathPara>
              <m:oMathParaPr>
                <m:jc m:val="left"/>
              </m:oMathParaPr>
              <m:oMath>
                <m:r>
                  <w:rPr>
                    <w:rFonts w:ascii="Cambria Math" w:hAnsi="Cambria Math"/>
                  </w:rPr>
                  <m:t>EUFE A</m:t>
                </m:r>
              </m:oMath>
            </m:oMathPara>
          </w:p>
        </w:tc>
        <w:tc>
          <w:tcPr>
            <w:tcW w:w="993" w:type="dxa"/>
            <w:tcBorders>
              <w:right w:val="single" w:sz="6" w:space="0" w:color="auto"/>
            </w:tcBorders>
          </w:tcPr>
          <w:p w14:paraId="4AE040D4" w14:textId="0060A420" w:rsidR="0017349A" w:rsidRPr="0017349A" w:rsidRDefault="0017349A" w:rsidP="002F1FB0">
            <w:pPr>
              <w:pStyle w:val="Els-body-text"/>
              <w:spacing w:before="80" w:after="80"/>
              <w:jc w:val="left"/>
              <w:cnfStyle w:val="000000100000" w:firstRow="0" w:lastRow="0" w:firstColumn="0" w:lastColumn="0" w:oddVBand="0" w:evenVBand="0" w:oddHBand="1" w:evenHBand="0" w:firstRowFirstColumn="0" w:firstRowLastColumn="0" w:lastRowFirstColumn="0" w:lastRowLastColumn="0"/>
              <w:rPr>
                <w:lang w:val="en-GB"/>
              </w:rPr>
            </w:pPr>
            <m:oMathPara>
              <m:oMathParaPr>
                <m:jc m:val="left"/>
              </m:oMathParaPr>
              <m:oMath>
                <m:r>
                  <w:rPr>
                    <w:rFonts w:ascii="Cambria Math" w:hAnsi="Cambria Math"/>
                    <w:lang w:val="en-GB"/>
                  </w:rPr>
                  <m:t>kWh</m:t>
                </m:r>
              </m:oMath>
            </m:oMathPara>
          </w:p>
        </w:tc>
        <w:tc>
          <w:tcPr>
            <w:tcW w:w="1240" w:type="dxa"/>
            <w:tcBorders>
              <w:left w:val="single" w:sz="6" w:space="0" w:color="auto"/>
            </w:tcBorders>
            <w:vAlign w:val="center"/>
          </w:tcPr>
          <w:p w14:paraId="6DDA3697" w14:textId="24BEE83D" w:rsidR="0017349A" w:rsidRDefault="0017349A"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1561</w:t>
            </w:r>
          </w:p>
        </w:tc>
        <w:tc>
          <w:tcPr>
            <w:tcW w:w="1240" w:type="dxa"/>
            <w:vAlign w:val="center"/>
          </w:tcPr>
          <w:p w14:paraId="2C9AA60D" w14:textId="1E8E936B" w:rsidR="0017349A" w:rsidRDefault="0017349A"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172</w:t>
            </w:r>
          </w:p>
        </w:tc>
        <w:tc>
          <w:tcPr>
            <w:tcW w:w="1240" w:type="dxa"/>
            <w:vAlign w:val="center"/>
          </w:tcPr>
          <w:p w14:paraId="43E108A7" w14:textId="057C2206" w:rsidR="0017349A" w:rsidRDefault="0017349A"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5309</w:t>
            </w:r>
          </w:p>
        </w:tc>
        <w:tc>
          <w:tcPr>
            <w:tcW w:w="1241" w:type="dxa"/>
            <w:vAlign w:val="center"/>
          </w:tcPr>
          <w:p w14:paraId="2B15D6E5" w14:textId="4DAD8011" w:rsidR="0017349A" w:rsidRDefault="0017349A" w:rsidP="002F1FB0">
            <w:pPr>
              <w:pStyle w:val="Els-body-text"/>
              <w:spacing w:before="80" w:after="8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243</w:t>
            </w:r>
          </w:p>
        </w:tc>
      </w:tr>
      <w:tr w:rsidR="0017349A" w14:paraId="493142A9" w14:textId="77777777" w:rsidTr="0017349A">
        <w:trPr>
          <w:trHeight w:val="23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auto"/>
            </w:tcBorders>
            <w:vAlign w:val="center"/>
          </w:tcPr>
          <w:p w14:paraId="7E22F6AF" w14:textId="6F9A4CC7" w:rsidR="0017349A" w:rsidRPr="00803BB2" w:rsidRDefault="0017349A" w:rsidP="002F1FB0">
            <w:pPr>
              <w:pStyle w:val="Els-body-text"/>
              <w:spacing w:before="80" w:after="80"/>
            </w:pPr>
            <m:oMathPara>
              <m:oMathParaPr>
                <m:jc m:val="left"/>
              </m:oMathParaPr>
              <m:oMath>
                <m:r>
                  <w:rPr>
                    <w:rFonts w:ascii="Cambria Math" w:hAnsi="Cambria Math"/>
                  </w:rPr>
                  <m:t>EUFE B</m:t>
                </m:r>
              </m:oMath>
            </m:oMathPara>
          </w:p>
        </w:tc>
        <w:tc>
          <w:tcPr>
            <w:tcW w:w="993" w:type="dxa"/>
            <w:tcBorders>
              <w:bottom w:val="single" w:sz="12" w:space="0" w:color="auto"/>
              <w:right w:val="single" w:sz="6" w:space="0" w:color="auto"/>
            </w:tcBorders>
          </w:tcPr>
          <w:p w14:paraId="349EF86B" w14:textId="1D5A2616" w:rsidR="0017349A" w:rsidRPr="0017349A" w:rsidRDefault="0017349A" w:rsidP="002F1FB0">
            <w:pPr>
              <w:pStyle w:val="Els-body-text"/>
              <w:spacing w:before="80" w:after="80"/>
              <w:jc w:val="left"/>
              <w:cnfStyle w:val="000000000000" w:firstRow="0" w:lastRow="0" w:firstColumn="0" w:lastColumn="0" w:oddVBand="0" w:evenVBand="0" w:oddHBand="0" w:evenHBand="0" w:firstRowFirstColumn="0" w:firstRowLastColumn="0" w:lastRowFirstColumn="0" w:lastRowLastColumn="0"/>
              <w:rPr>
                <w:lang w:val="en-GB"/>
              </w:rPr>
            </w:pPr>
            <m:oMathPara>
              <m:oMathParaPr>
                <m:jc m:val="left"/>
              </m:oMathParaPr>
              <m:oMath>
                <m:r>
                  <w:rPr>
                    <w:rFonts w:ascii="Cambria Math" w:hAnsi="Cambria Math"/>
                    <w:lang w:val="en-GB"/>
                  </w:rPr>
                  <m:t>kWh</m:t>
                </m:r>
              </m:oMath>
            </m:oMathPara>
          </w:p>
        </w:tc>
        <w:tc>
          <w:tcPr>
            <w:tcW w:w="1240" w:type="dxa"/>
            <w:tcBorders>
              <w:left w:val="single" w:sz="6" w:space="0" w:color="auto"/>
              <w:bottom w:val="single" w:sz="12" w:space="0" w:color="auto"/>
            </w:tcBorders>
            <w:vAlign w:val="center"/>
          </w:tcPr>
          <w:p w14:paraId="2C2E336C" w14:textId="1823E899" w:rsidR="0017349A" w:rsidRDefault="0017349A" w:rsidP="002F1FB0">
            <w:pPr>
              <w:pStyle w:val="Els-body-text"/>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172</w:t>
            </w:r>
          </w:p>
        </w:tc>
        <w:tc>
          <w:tcPr>
            <w:tcW w:w="1240" w:type="dxa"/>
            <w:tcBorders>
              <w:bottom w:val="single" w:sz="12" w:space="0" w:color="auto"/>
            </w:tcBorders>
            <w:vAlign w:val="center"/>
          </w:tcPr>
          <w:p w14:paraId="03777208" w14:textId="445F7AFC" w:rsidR="0017349A" w:rsidRDefault="0017349A" w:rsidP="002F1FB0">
            <w:pPr>
              <w:pStyle w:val="Els-body-text"/>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121</w:t>
            </w:r>
          </w:p>
        </w:tc>
        <w:tc>
          <w:tcPr>
            <w:tcW w:w="1240" w:type="dxa"/>
            <w:tcBorders>
              <w:bottom w:val="single" w:sz="12" w:space="0" w:color="auto"/>
            </w:tcBorders>
            <w:vAlign w:val="center"/>
          </w:tcPr>
          <w:p w14:paraId="185E4E70" w14:textId="57970223" w:rsidR="0017349A" w:rsidRDefault="0017349A" w:rsidP="002F1FB0">
            <w:pPr>
              <w:pStyle w:val="Els-body-text"/>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67</w:t>
            </w:r>
          </w:p>
        </w:tc>
        <w:tc>
          <w:tcPr>
            <w:tcW w:w="1241" w:type="dxa"/>
            <w:tcBorders>
              <w:bottom w:val="single" w:sz="12" w:space="0" w:color="auto"/>
            </w:tcBorders>
            <w:vAlign w:val="center"/>
          </w:tcPr>
          <w:p w14:paraId="74F3D4A2" w14:textId="67CB67FC" w:rsidR="0017349A" w:rsidRDefault="0017349A" w:rsidP="002F1FB0">
            <w:pPr>
              <w:pStyle w:val="Els-body-text"/>
              <w:spacing w:before="80" w:after="80"/>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67</w:t>
            </w:r>
          </w:p>
        </w:tc>
      </w:tr>
    </w:tbl>
    <w:p w14:paraId="4B72B7DE" w14:textId="36FFAED7" w:rsidR="004B4598" w:rsidRDefault="004B4598" w:rsidP="002F1FB0">
      <w:pPr>
        <w:pStyle w:val="Els-body-text"/>
        <w:spacing w:before="120"/>
        <w:rPr>
          <w:lang w:val="en-GB"/>
        </w:rPr>
      </w:pPr>
      <w:r>
        <w:rPr>
          <w:lang w:val="en-GB"/>
        </w:rPr>
        <w:t>In conclusion th</w:t>
      </w:r>
      <w:r w:rsidR="002E152A">
        <w:rPr>
          <w:lang w:val="en-GB"/>
        </w:rPr>
        <w:t xml:space="preserve">e combination of technologies can </w:t>
      </w:r>
      <w:r w:rsidR="00AF78FD">
        <w:rPr>
          <w:lang w:val="en-GB"/>
        </w:rPr>
        <w:t xml:space="preserve">enhance the efficiency of </w:t>
      </w:r>
      <w:proofErr w:type="spellStart"/>
      <w:r w:rsidR="00AF78FD">
        <w:rPr>
          <w:lang w:val="en-GB"/>
        </w:rPr>
        <w:t>electrolyzer</w:t>
      </w:r>
      <w:proofErr w:type="spellEnd"/>
      <w:r w:rsidR="00AF78FD">
        <w:rPr>
          <w:lang w:val="en-GB"/>
        </w:rPr>
        <w:t xml:space="preserve"> systems while also providing a high range of flexibility. The right choice of technology and power distribution strategy is particularly important if a flexible system with sudden changes in energy input and low load operation is needed. </w:t>
      </w:r>
    </w:p>
    <w:p w14:paraId="144DE6AE" w14:textId="3EA490DF" w:rsidR="008D2649" w:rsidRDefault="00066350" w:rsidP="008D2649">
      <w:pPr>
        <w:pStyle w:val="Els-1storder-head"/>
        <w:spacing w:after="120"/>
        <w:rPr>
          <w:lang w:val="en-GB"/>
        </w:rPr>
      </w:pPr>
      <w:r>
        <w:rPr>
          <w:lang w:val="en-GB"/>
        </w:rPr>
        <w:t>Discu</w:t>
      </w:r>
      <w:r w:rsidR="004A5A6D">
        <w:rPr>
          <w:lang w:val="en-GB"/>
        </w:rPr>
        <w:t>s</w:t>
      </w:r>
      <w:r>
        <w:rPr>
          <w:lang w:val="en-GB"/>
        </w:rPr>
        <w:t>sion</w:t>
      </w:r>
      <w:r w:rsidR="00E7192E">
        <w:rPr>
          <w:lang w:val="en-GB"/>
        </w:rPr>
        <w:t xml:space="preserve"> &amp; Outlook</w:t>
      </w:r>
    </w:p>
    <w:p w14:paraId="5FB9A960" w14:textId="022AE138" w:rsidR="005F5C3C" w:rsidRDefault="005F5C3C" w:rsidP="007005F9">
      <w:pPr>
        <w:pStyle w:val="Els-body-text"/>
        <w:rPr>
          <w:lang w:val="en-GB"/>
        </w:rPr>
      </w:pPr>
      <w:r w:rsidRPr="005F5C3C">
        <w:rPr>
          <w:lang w:val="en-GB"/>
        </w:rPr>
        <w:t xml:space="preserve">The </w:t>
      </w:r>
      <w:r>
        <w:rPr>
          <w:lang w:val="en-GB"/>
        </w:rPr>
        <w:t xml:space="preserve">presented </w:t>
      </w:r>
      <w:r w:rsidRPr="005F5C3C">
        <w:rPr>
          <w:lang w:val="en-GB"/>
        </w:rPr>
        <w:t>result</w:t>
      </w:r>
      <w:r>
        <w:rPr>
          <w:lang w:val="en-GB"/>
        </w:rPr>
        <w:t>s</w:t>
      </w:r>
      <w:r w:rsidRPr="005F5C3C">
        <w:rPr>
          <w:lang w:val="en-GB"/>
        </w:rPr>
        <w:t xml:space="preserve"> provide initial insights into the benefits of heterogeneous electrolysis systems</w:t>
      </w:r>
      <w:r>
        <w:rPr>
          <w:lang w:val="en-GB"/>
        </w:rPr>
        <w:t xml:space="preserve"> for efficiency and flexibility of </w:t>
      </w:r>
      <w:proofErr w:type="spellStart"/>
      <w:r>
        <w:rPr>
          <w:lang w:val="en-GB"/>
        </w:rPr>
        <w:t>PtX</w:t>
      </w:r>
      <w:proofErr w:type="spellEnd"/>
      <w:r>
        <w:rPr>
          <w:lang w:val="en-GB"/>
        </w:rPr>
        <w:t xml:space="preserve"> value chains</w:t>
      </w:r>
      <w:r w:rsidRPr="005F5C3C">
        <w:rPr>
          <w:lang w:val="en-GB"/>
        </w:rPr>
        <w:t xml:space="preserve">. However, further investigations are necessary to demonstrate the manageability of the overall system and the economic possibilities. </w:t>
      </w:r>
      <w:r>
        <w:rPr>
          <w:lang w:val="en-GB"/>
        </w:rPr>
        <w:t xml:space="preserve">Advanced metrics to </w:t>
      </w:r>
      <w:r w:rsidRPr="005F5C3C">
        <w:rPr>
          <w:lang w:val="en-GB"/>
        </w:rPr>
        <w:t xml:space="preserve">demonstrate the flexibility of the overall system beyond energy consumption </w:t>
      </w:r>
      <w:r w:rsidR="000C6555">
        <w:rPr>
          <w:lang w:val="en-GB"/>
        </w:rPr>
        <w:t>must</w:t>
      </w:r>
      <w:r w:rsidRPr="005F5C3C">
        <w:rPr>
          <w:lang w:val="en-GB"/>
        </w:rPr>
        <w:t xml:space="preserve"> be defined.</w:t>
      </w:r>
    </w:p>
    <w:p w14:paraId="6CCAF260" w14:textId="0FC048A4" w:rsidR="000C6555" w:rsidRDefault="005F5C3C" w:rsidP="007005F9">
      <w:pPr>
        <w:pStyle w:val="Els-body-text"/>
        <w:rPr>
          <w:lang w:val="en-GB"/>
        </w:rPr>
      </w:pPr>
      <w:r>
        <w:rPr>
          <w:lang w:val="en-GB"/>
        </w:rPr>
        <w:lastRenderedPageBreak/>
        <w:t xml:space="preserve">The </w:t>
      </w:r>
      <w:r w:rsidR="00B1013E">
        <w:rPr>
          <w:lang w:val="en-GB"/>
        </w:rPr>
        <w:t xml:space="preserve">defined scenarios and calculated </w:t>
      </w:r>
      <w:r>
        <w:rPr>
          <w:lang w:val="en-GB"/>
        </w:rPr>
        <w:t xml:space="preserve">flexibility margins in Figure 2 </w:t>
      </w:r>
      <w:r w:rsidR="00BB2CE9">
        <w:rPr>
          <w:lang w:val="en-GB"/>
        </w:rPr>
        <w:t>do not fully</w:t>
      </w:r>
      <w:r>
        <w:rPr>
          <w:lang w:val="en-GB"/>
        </w:rPr>
        <w:t xml:space="preserve"> grasp the technological limitations and possibilities in their entirety</w:t>
      </w:r>
      <w:r w:rsidR="00BB2CE9">
        <w:rPr>
          <w:lang w:val="en-GB"/>
        </w:rPr>
        <w:t xml:space="preserve"> yet</w:t>
      </w:r>
      <w:r>
        <w:rPr>
          <w:lang w:val="en-GB"/>
        </w:rPr>
        <w:t xml:space="preserve">. </w:t>
      </w:r>
      <w:r w:rsidR="00B1013E">
        <w:rPr>
          <w:lang w:val="en-GB"/>
        </w:rPr>
        <w:t xml:space="preserve">The use of </w:t>
      </w:r>
      <w:r w:rsidR="006D23E7">
        <w:rPr>
          <w:lang w:val="en-GB"/>
        </w:rPr>
        <w:t>HTEL</w:t>
      </w:r>
      <w:r w:rsidR="00B1013E">
        <w:rPr>
          <w:lang w:val="en-GB"/>
        </w:rPr>
        <w:t xml:space="preserve"> </w:t>
      </w:r>
      <w:proofErr w:type="spellStart"/>
      <w:r w:rsidR="00B1013E">
        <w:rPr>
          <w:lang w:val="en-GB"/>
        </w:rPr>
        <w:t>electrolyzers</w:t>
      </w:r>
      <w:proofErr w:type="spellEnd"/>
      <w:r w:rsidR="00B1013E">
        <w:rPr>
          <w:lang w:val="en-GB"/>
        </w:rPr>
        <w:t xml:space="preserve"> is only feasible, if </w:t>
      </w:r>
      <w:r w:rsidR="00703D46">
        <w:rPr>
          <w:lang w:val="en-GB"/>
        </w:rPr>
        <w:t xml:space="preserve">a </w:t>
      </w:r>
      <w:r w:rsidR="00B1013E">
        <w:rPr>
          <w:lang w:val="en-GB"/>
        </w:rPr>
        <w:t>high temperature feed is available.</w:t>
      </w:r>
      <w:r w:rsidR="00B6286C">
        <w:rPr>
          <w:lang w:val="en-GB"/>
        </w:rPr>
        <w:t xml:space="preserve"> In case of the </w:t>
      </w:r>
      <w:proofErr w:type="spellStart"/>
      <w:r w:rsidR="00B6286C">
        <w:rPr>
          <w:lang w:val="en-GB"/>
        </w:rPr>
        <w:t>PtA</w:t>
      </w:r>
      <w:proofErr w:type="spellEnd"/>
      <w:r w:rsidR="00B6286C">
        <w:rPr>
          <w:lang w:val="en-GB"/>
        </w:rPr>
        <w:t xml:space="preserve"> process chain, process energy is available</w:t>
      </w:r>
      <w:r w:rsidR="000C6555">
        <w:rPr>
          <w:lang w:val="en-GB"/>
        </w:rPr>
        <w:t xml:space="preserve"> but</w:t>
      </w:r>
      <w:r w:rsidR="00B6286C">
        <w:rPr>
          <w:lang w:val="en-GB"/>
        </w:rPr>
        <w:t xml:space="preserve"> the possible capacity of </w:t>
      </w:r>
      <w:r w:rsidR="006D23E7">
        <w:rPr>
          <w:lang w:val="en-GB"/>
        </w:rPr>
        <w:t>HTEL</w:t>
      </w:r>
      <w:r w:rsidR="00B6286C">
        <w:rPr>
          <w:lang w:val="en-GB"/>
        </w:rPr>
        <w:t xml:space="preserve"> must be adjusted </w:t>
      </w:r>
      <w:r w:rsidR="000C6555">
        <w:rPr>
          <w:lang w:val="en-GB"/>
        </w:rPr>
        <w:t>to the size of the ammonia synthesis loop</w:t>
      </w:r>
      <w:r w:rsidR="00B6286C">
        <w:rPr>
          <w:lang w:val="en-GB"/>
        </w:rPr>
        <w:t>.</w:t>
      </w:r>
    </w:p>
    <w:p w14:paraId="56717C5A" w14:textId="09C0B985" w:rsidR="00EF34FE" w:rsidRDefault="00B6286C" w:rsidP="007005F9">
      <w:pPr>
        <w:pStyle w:val="Els-body-text"/>
        <w:rPr>
          <w:lang w:val="en-GB"/>
        </w:rPr>
      </w:pPr>
      <w:r>
        <w:rPr>
          <w:lang w:val="en-GB"/>
        </w:rPr>
        <w:t>Furthermore,</w:t>
      </w:r>
      <w:r w:rsidR="00B1013E">
        <w:rPr>
          <w:lang w:val="en-GB"/>
        </w:rPr>
        <w:t xml:space="preserve"> o</w:t>
      </w:r>
      <w:r w:rsidR="005F5C3C">
        <w:rPr>
          <w:lang w:val="en-GB"/>
        </w:rPr>
        <w:t xml:space="preserve">verload capacity can be used in some </w:t>
      </w:r>
      <w:proofErr w:type="spellStart"/>
      <w:r w:rsidR="005F5C3C">
        <w:rPr>
          <w:lang w:val="en-GB"/>
        </w:rPr>
        <w:t>electrolyzer</w:t>
      </w:r>
      <w:proofErr w:type="spellEnd"/>
      <w:r w:rsidR="005F5C3C">
        <w:rPr>
          <w:lang w:val="en-GB"/>
        </w:rPr>
        <w:t xml:space="preserve"> </w:t>
      </w:r>
      <w:r w:rsidR="007F69B4">
        <w:rPr>
          <w:lang w:val="en-GB"/>
        </w:rPr>
        <w:t>systems but</w:t>
      </w:r>
      <w:r w:rsidR="005F5C3C">
        <w:rPr>
          <w:lang w:val="en-GB"/>
        </w:rPr>
        <w:t xml:space="preserve"> </w:t>
      </w:r>
      <w:r w:rsidR="007F69B4">
        <w:rPr>
          <w:lang w:val="en-GB"/>
        </w:rPr>
        <w:t>is</w:t>
      </w:r>
      <w:r w:rsidR="005F5C3C">
        <w:rPr>
          <w:lang w:val="en-GB"/>
        </w:rPr>
        <w:t xml:space="preserve"> often limited in frequency and duration</w:t>
      </w:r>
      <w:r w:rsidR="007F69B4">
        <w:rPr>
          <w:lang w:val="en-GB"/>
        </w:rPr>
        <w:t xml:space="preserve"> to prevent degradation</w:t>
      </w:r>
      <w:r w:rsidR="005F5C3C">
        <w:rPr>
          <w:lang w:val="en-GB"/>
        </w:rPr>
        <w:t>.</w:t>
      </w:r>
      <w:r w:rsidR="007F69B4">
        <w:rPr>
          <w:lang w:val="en-GB"/>
        </w:rPr>
        <w:t xml:space="preserve"> </w:t>
      </w:r>
      <w:r w:rsidR="00BB2CE9">
        <w:rPr>
          <w:lang w:val="en-GB"/>
        </w:rPr>
        <w:t>Additionally</w:t>
      </w:r>
      <w:r w:rsidR="000C6555">
        <w:rPr>
          <w:lang w:val="en-GB"/>
        </w:rPr>
        <w:t xml:space="preserve">, </w:t>
      </w:r>
      <w:r w:rsidR="007F69B4">
        <w:rPr>
          <w:lang w:val="en-GB"/>
        </w:rPr>
        <w:t xml:space="preserve">instead of controlling all </w:t>
      </w:r>
      <w:proofErr w:type="spellStart"/>
      <w:r w:rsidR="007F69B4">
        <w:rPr>
          <w:lang w:val="en-GB"/>
        </w:rPr>
        <w:t>electrolyzers</w:t>
      </w:r>
      <w:proofErr w:type="spellEnd"/>
      <w:r w:rsidR="007F69B4">
        <w:rPr>
          <w:lang w:val="en-GB"/>
        </w:rPr>
        <w:t xml:space="preserve"> in one technology with the same power input, </w:t>
      </w:r>
      <w:r w:rsidR="000C6555">
        <w:rPr>
          <w:lang w:val="en-GB"/>
        </w:rPr>
        <w:t xml:space="preserve">single stack control can </w:t>
      </w:r>
      <w:r w:rsidR="007F69B4">
        <w:rPr>
          <w:lang w:val="en-GB"/>
        </w:rPr>
        <w:t>reduce</w:t>
      </w:r>
      <w:r w:rsidR="000C6555">
        <w:rPr>
          <w:lang w:val="en-GB"/>
        </w:rPr>
        <w:t xml:space="preserve"> the load range, by shu</w:t>
      </w:r>
      <w:r w:rsidR="00703D46">
        <w:rPr>
          <w:lang w:val="en-GB"/>
        </w:rPr>
        <w:t>t</w:t>
      </w:r>
      <w:r w:rsidR="000C6555">
        <w:rPr>
          <w:lang w:val="en-GB"/>
        </w:rPr>
        <w:t xml:space="preserve">ting down single </w:t>
      </w:r>
      <w:proofErr w:type="spellStart"/>
      <w:r w:rsidR="000C6555">
        <w:rPr>
          <w:lang w:val="en-GB"/>
        </w:rPr>
        <w:t>electrolyzers</w:t>
      </w:r>
      <w:proofErr w:type="spellEnd"/>
      <w:r w:rsidR="000C6555">
        <w:rPr>
          <w:lang w:val="en-GB"/>
        </w:rPr>
        <w:t xml:space="preserve"> instead of </w:t>
      </w:r>
      <w:proofErr w:type="spellStart"/>
      <w:r w:rsidR="000C6555">
        <w:rPr>
          <w:lang w:val="en-GB"/>
        </w:rPr>
        <w:t>electrolyzer</w:t>
      </w:r>
      <w:proofErr w:type="spellEnd"/>
      <w:r w:rsidR="000C6555">
        <w:rPr>
          <w:lang w:val="en-GB"/>
        </w:rPr>
        <w:t xml:space="preserve"> groups</w:t>
      </w:r>
      <w:r w:rsidR="007F69B4">
        <w:rPr>
          <w:lang w:val="en-GB"/>
        </w:rPr>
        <w:t>.</w:t>
      </w:r>
    </w:p>
    <w:p w14:paraId="2219396E" w14:textId="126152D6" w:rsidR="00380CEE" w:rsidRDefault="007F69B4" w:rsidP="00E1230B">
      <w:pPr>
        <w:pStyle w:val="Els-body-text"/>
        <w:rPr>
          <w:lang w:val="en-GB"/>
        </w:rPr>
      </w:pPr>
      <w:r>
        <w:rPr>
          <w:lang w:val="en-GB"/>
        </w:rPr>
        <w:t xml:space="preserve">For upcoming work </w:t>
      </w:r>
      <w:r w:rsidR="00BB2CE9">
        <w:rPr>
          <w:lang w:val="en-GB"/>
        </w:rPr>
        <w:t xml:space="preserve">more sophisticated power control strategies and process control strategies of combined </w:t>
      </w:r>
      <w:proofErr w:type="spellStart"/>
      <w:r w:rsidR="00BB2CE9">
        <w:rPr>
          <w:lang w:val="en-GB"/>
        </w:rPr>
        <w:t>electrolyzer</w:t>
      </w:r>
      <w:proofErr w:type="spellEnd"/>
      <w:r w:rsidR="00BB2CE9">
        <w:rPr>
          <w:lang w:val="en-GB"/>
        </w:rPr>
        <w:t xml:space="preserve"> systems shall </w:t>
      </w:r>
      <w:r w:rsidR="00703D46">
        <w:rPr>
          <w:lang w:val="en-GB"/>
        </w:rPr>
        <w:t xml:space="preserve">be </w:t>
      </w:r>
      <w:r w:rsidR="000C6555">
        <w:rPr>
          <w:lang w:val="en-GB"/>
        </w:rPr>
        <w:t>developed,</w:t>
      </w:r>
      <w:r w:rsidR="00BB2CE9">
        <w:rPr>
          <w:lang w:val="en-GB"/>
        </w:rPr>
        <w:t xml:space="preserve"> </w:t>
      </w:r>
      <w:r w:rsidR="000C6555">
        <w:rPr>
          <w:lang w:val="en-GB"/>
        </w:rPr>
        <w:t>implemented,</w:t>
      </w:r>
      <w:r w:rsidR="00BB2CE9">
        <w:rPr>
          <w:lang w:val="en-GB"/>
        </w:rPr>
        <w:t xml:space="preserve"> and tested.</w:t>
      </w:r>
      <w:r w:rsidR="000C6555">
        <w:rPr>
          <w:lang w:val="en-GB"/>
        </w:rPr>
        <w:t xml:space="preserve"> The initial setup and power distribution of heterogenous </w:t>
      </w:r>
      <w:proofErr w:type="spellStart"/>
      <w:r w:rsidR="000C6555">
        <w:rPr>
          <w:lang w:val="en-GB"/>
        </w:rPr>
        <w:t>electrolyzer</w:t>
      </w:r>
      <w:proofErr w:type="spellEnd"/>
      <w:r w:rsidR="000C6555">
        <w:rPr>
          <w:lang w:val="en-GB"/>
        </w:rPr>
        <w:t xml:space="preserve"> plants shall be optimized and include the available high temperature feed of follow-up processes. Beyond that, economic optimizations of </w:t>
      </w:r>
      <w:proofErr w:type="spellStart"/>
      <w:r w:rsidR="000C6555">
        <w:rPr>
          <w:lang w:val="en-GB"/>
        </w:rPr>
        <w:t>electrolyzer</w:t>
      </w:r>
      <w:proofErr w:type="spellEnd"/>
      <w:r w:rsidR="000C6555">
        <w:rPr>
          <w:lang w:val="en-GB"/>
        </w:rPr>
        <w:t xml:space="preserve"> systems shall be considered.</w:t>
      </w:r>
    </w:p>
    <w:p w14:paraId="0996251D" w14:textId="28E7CA94" w:rsidR="0053286D" w:rsidRDefault="000C6555" w:rsidP="00E1230B">
      <w:pPr>
        <w:pStyle w:val="Els-body-text"/>
        <w:rPr>
          <w:lang w:val="en-GB"/>
        </w:rPr>
      </w:pPr>
      <w:r>
        <w:rPr>
          <w:lang w:val="en-GB"/>
        </w:rPr>
        <w:t xml:space="preserve">New methods and metrics to include the inherent dynamics of different </w:t>
      </w:r>
      <w:proofErr w:type="spellStart"/>
      <w:r>
        <w:rPr>
          <w:lang w:val="en-GB"/>
        </w:rPr>
        <w:t>electrolyzer</w:t>
      </w:r>
      <w:proofErr w:type="spellEnd"/>
      <w:r>
        <w:rPr>
          <w:lang w:val="en-GB"/>
        </w:rPr>
        <w:t xml:space="preserve"> technologies into the efficiency and flexibility calculation shall </w:t>
      </w:r>
      <w:r w:rsidR="00380CEE">
        <w:rPr>
          <w:lang w:val="en-GB"/>
        </w:rPr>
        <w:t xml:space="preserve">also </w:t>
      </w:r>
      <w:r>
        <w:rPr>
          <w:lang w:val="en-GB"/>
        </w:rPr>
        <w:t xml:space="preserve">be developed, </w:t>
      </w:r>
      <w:r w:rsidR="00380CEE">
        <w:rPr>
          <w:lang w:val="en-GB"/>
        </w:rPr>
        <w:t>implemented,</w:t>
      </w:r>
      <w:r>
        <w:rPr>
          <w:lang w:val="en-GB"/>
        </w:rPr>
        <w:t xml:space="preserve"> and tested</w:t>
      </w:r>
      <w:r w:rsidR="00380CEE">
        <w:rPr>
          <w:lang w:val="en-GB"/>
        </w:rPr>
        <w:t xml:space="preserve">. The first steps of developing the necessary dynamic process models for all </w:t>
      </w:r>
      <w:proofErr w:type="spellStart"/>
      <w:r w:rsidR="00380CEE">
        <w:rPr>
          <w:lang w:val="en-GB"/>
        </w:rPr>
        <w:t>electrolyzer</w:t>
      </w:r>
      <w:proofErr w:type="spellEnd"/>
      <w:r w:rsidR="00380CEE">
        <w:rPr>
          <w:lang w:val="en-GB"/>
        </w:rPr>
        <w:t xml:space="preserve"> technologies are already on</w:t>
      </w:r>
      <w:r w:rsidR="00703D46">
        <w:rPr>
          <w:lang w:val="en-GB"/>
        </w:rPr>
        <w:t>-</w:t>
      </w:r>
      <w:r w:rsidR="00380CEE">
        <w:rPr>
          <w:lang w:val="en-GB"/>
        </w:rPr>
        <w:t xml:space="preserve">going and suitable process control strategies for distributed electrolysis systems are in preparation. </w:t>
      </w:r>
    </w:p>
    <w:p w14:paraId="0BEC6D4E" w14:textId="70283D7A" w:rsidR="0053286D" w:rsidRPr="00EF402A" w:rsidRDefault="0053286D" w:rsidP="009B4608">
      <w:pPr>
        <w:pStyle w:val="Els-body-text"/>
        <w:spacing w:before="120" w:after="120"/>
        <w:rPr>
          <w:lang w:val="en-GB"/>
        </w:rPr>
      </w:pPr>
      <w:r>
        <w:rPr>
          <w:b/>
          <w:bCs/>
          <w:lang w:val="en-GB"/>
        </w:rPr>
        <w:t>Acknowledgments</w:t>
      </w:r>
      <w:r>
        <w:rPr>
          <w:lang w:val="en-GB"/>
        </w:rPr>
        <w:t>:</w:t>
      </w:r>
      <w:r>
        <w:rPr>
          <w:lang w:val="en-GB"/>
        </w:rPr>
        <w:br/>
      </w:r>
      <w:r w:rsidRPr="00E7192E">
        <w:rPr>
          <w:lang w:val="en-GB"/>
        </w:rPr>
        <w:t xml:space="preserve">We would like to thank the German Federal Ministry of Education and Research and the project management organization </w:t>
      </w:r>
      <w:proofErr w:type="spellStart"/>
      <w:r w:rsidRPr="00E7192E">
        <w:rPr>
          <w:lang w:val="en-GB"/>
        </w:rPr>
        <w:t>Jülich</w:t>
      </w:r>
      <w:proofErr w:type="spellEnd"/>
      <w:r w:rsidRPr="00E7192E">
        <w:rPr>
          <w:lang w:val="en-GB"/>
        </w:rPr>
        <w:t xml:space="preserve"> for their financial support within the framework of the </w:t>
      </w:r>
      <w:proofErr w:type="spellStart"/>
      <w:r w:rsidRPr="00E7192E">
        <w:rPr>
          <w:lang w:val="en-GB"/>
        </w:rPr>
        <w:t>eModule</w:t>
      </w:r>
      <w:proofErr w:type="spellEnd"/>
      <w:r w:rsidRPr="00E7192E">
        <w:rPr>
          <w:lang w:val="en-GB"/>
        </w:rPr>
        <w:t xml:space="preserve"> research project (FKZ 03HY116A) of the H2Giga lead platform. Furthermore, the P2O-Lab of the Technical University of Dresden is thanked for its support</w:t>
      </w:r>
      <w:r>
        <w:rPr>
          <w:lang w:val="en-GB"/>
        </w:rPr>
        <w:t>.</w:t>
      </w:r>
    </w:p>
    <w:p w14:paraId="144DE6BF" w14:textId="608D0AD6" w:rsidR="008D2649" w:rsidRDefault="008D2649" w:rsidP="006B35B3">
      <w:pPr>
        <w:pStyle w:val="Els-reference-head"/>
        <w:spacing w:before="120"/>
      </w:pPr>
      <w:r>
        <w:t>References</w:t>
      </w:r>
    </w:p>
    <w:p w14:paraId="0B13640E" w14:textId="77777777" w:rsidR="00C23F28" w:rsidRPr="00C23F28" w:rsidRDefault="00A03A47" w:rsidP="00C23F28">
      <w:pPr>
        <w:pStyle w:val="Literaturverzeichnis"/>
        <w:rPr>
          <w:sz w:val="18"/>
        </w:rPr>
      </w:pPr>
      <w:r>
        <w:rPr>
          <w:sz w:val="18"/>
        </w:rPr>
        <w:fldChar w:fldCharType="begin"/>
      </w:r>
      <w:r w:rsidR="007005F9">
        <w:rPr>
          <w:sz w:val="18"/>
        </w:rPr>
        <w:instrText xml:space="preserve"> ADDIN ZOTERO_BIBL {"uncited":[],"omitted":[],"custom":[]} CSL_BIBLIOGRAPHY </w:instrText>
      </w:r>
      <w:r>
        <w:rPr>
          <w:sz w:val="18"/>
        </w:rPr>
        <w:fldChar w:fldCharType="separate"/>
      </w:r>
      <w:r w:rsidR="00C23F28" w:rsidRPr="00C23F28">
        <w:rPr>
          <w:sz w:val="18"/>
        </w:rPr>
        <w:t>[1]</w:t>
      </w:r>
      <w:r w:rsidR="00C23F28" w:rsidRPr="00C23F28">
        <w:rPr>
          <w:sz w:val="18"/>
        </w:rPr>
        <w:tab/>
        <w:t xml:space="preserve">K. H. Rouwenhorst, A. G. Van der Ham, G. Mul, and S. R. Kersten, “Islanded ammonia power systems: Technology review &amp; conceptual process design,” </w:t>
      </w:r>
      <w:r w:rsidR="00C23F28" w:rsidRPr="00C23F28">
        <w:rPr>
          <w:i/>
          <w:iCs/>
          <w:sz w:val="18"/>
        </w:rPr>
        <w:t>Renew. Sustain. Energy Rev.</w:t>
      </w:r>
      <w:r w:rsidR="00C23F28" w:rsidRPr="00C23F28">
        <w:rPr>
          <w:sz w:val="18"/>
        </w:rPr>
        <w:t>, vol. 114, p. 109339, 2019.</w:t>
      </w:r>
    </w:p>
    <w:p w14:paraId="01F21135" w14:textId="77777777" w:rsidR="00C23F28" w:rsidRPr="00C23F28" w:rsidRDefault="00C23F28" w:rsidP="00C23F28">
      <w:pPr>
        <w:pStyle w:val="Literaturverzeichnis"/>
        <w:rPr>
          <w:sz w:val="18"/>
        </w:rPr>
      </w:pPr>
      <w:r w:rsidRPr="00C23F28">
        <w:rPr>
          <w:sz w:val="18"/>
        </w:rPr>
        <w:t>[2]</w:t>
      </w:r>
      <w:r w:rsidRPr="00C23F28">
        <w:rPr>
          <w:sz w:val="18"/>
        </w:rPr>
        <w:tab/>
        <w:t xml:space="preserve">H. Lange, A. Klose, W. Lippmann, and L. Urbas, “Technical evaluation of the flexibility of water electrolysis systems to increase energy flexibility: A review,” </w:t>
      </w:r>
      <w:r w:rsidRPr="00C23F28">
        <w:rPr>
          <w:i/>
          <w:iCs/>
          <w:sz w:val="18"/>
        </w:rPr>
        <w:t>Int. J. Hydrog. Energy</w:t>
      </w:r>
      <w:r w:rsidRPr="00C23F28">
        <w:rPr>
          <w:sz w:val="18"/>
        </w:rPr>
        <w:t>, vol. 48, no. 42, pp. 15771–15783, May 2023, doi: 10.1016/j.ijhydene.2023.01.044.</w:t>
      </w:r>
    </w:p>
    <w:p w14:paraId="3E8AC07F" w14:textId="77777777" w:rsidR="00C23F28" w:rsidRPr="00C23F28" w:rsidRDefault="00C23F28" w:rsidP="00C23F28">
      <w:pPr>
        <w:pStyle w:val="Literaturverzeichnis"/>
        <w:rPr>
          <w:sz w:val="18"/>
        </w:rPr>
      </w:pPr>
      <w:r w:rsidRPr="00C23F28">
        <w:rPr>
          <w:sz w:val="18"/>
        </w:rPr>
        <w:t>[3]</w:t>
      </w:r>
      <w:r w:rsidRPr="00C23F28">
        <w:rPr>
          <w:sz w:val="18"/>
        </w:rPr>
        <w:tab/>
        <w:t>I. International Energy Agency, “Global Hydrogen Review 2023,” 2023, doi: https://www.iea.org/reports/global-hydrogen-review-2023.</w:t>
      </w:r>
    </w:p>
    <w:p w14:paraId="6C07A25A" w14:textId="77777777" w:rsidR="00C23F28" w:rsidRPr="00C23F28" w:rsidRDefault="00C23F28" w:rsidP="00C23F28">
      <w:pPr>
        <w:pStyle w:val="Literaturverzeichnis"/>
        <w:rPr>
          <w:sz w:val="18"/>
        </w:rPr>
      </w:pPr>
      <w:r w:rsidRPr="00C23F28">
        <w:rPr>
          <w:sz w:val="18"/>
        </w:rPr>
        <w:t>[4]</w:t>
      </w:r>
      <w:r w:rsidRPr="00C23F28">
        <w:rPr>
          <w:sz w:val="18"/>
        </w:rPr>
        <w:tab/>
        <w:t xml:space="preserve">M. Mock, H. Lange, I. Viedt, K. R. Gopa, J. Mädler, and L. Urbas, “Dynamic operation for the effective use of green hydrogen in Power-to-X value chains,” in </w:t>
      </w:r>
      <w:r w:rsidRPr="00C23F28">
        <w:rPr>
          <w:i/>
          <w:iCs/>
          <w:sz w:val="18"/>
        </w:rPr>
        <w:t>33rd European Symposium on Computer Aided Process Engineering</w:t>
      </w:r>
      <w:r w:rsidRPr="00C23F28">
        <w:rPr>
          <w:sz w:val="18"/>
        </w:rPr>
        <w:t>, vol. 52, A. C. Kokossis, M. C. Georgiadis, and E. Pistikopoulos, Eds., in Computer Aided Chemical Engineering, vol. 52. , Elsevier, 2023, pp. 1267–1272. doi: https://doi.org/10.1016/B978-0-443-15274-0.50202-X.</w:t>
      </w:r>
    </w:p>
    <w:p w14:paraId="7BEC3BD8" w14:textId="77777777" w:rsidR="00C23F28" w:rsidRPr="00C23F28" w:rsidRDefault="00C23F28" w:rsidP="00C23F28">
      <w:pPr>
        <w:pStyle w:val="Literaturverzeichnis"/>
        <w:rPr>
          <w:sz w:val="18"/>
        </w:rPr>
      </w:pPr>
      <w:r w:rsidRPr="00C23F28">
        <w:rPr>
          <w:sz w:val="18"/>
        </w:rPr>
        <w:t>[5]</w:t>
      </w:r>
      <w:r w:rsidRPr="00C23F28">
        <w:rPr>
          <w:sz w:val="18"/>
        </w:rPr>
        <w:tab/>
        <w:t>Sunfire GmbH, “Hybrid Electrolysis for green steel production: Increasing efficiency in integrated steel works.” Mar. 2022. [Online]. Available: https://dwv-info.de/them enbroschueren/hybrid-electrolysis-for-green-steel-production/</w:t>
      </w:r>
    </w:p>
    <w:p w14:paraId="30C0D610" w14:textId="77777777" w:rsidR="00C23F28" w:rsidRPr="00C23F28" w:rsidRDefault="00C23F28" w:rsidP="00C23F28">
      <w:pPr>
        <w:pStyle w:val="Literaturverzeichnis"/>
        <w:rPr>
          <w:sz w:val="18"/>
        </w:rPr>
      </w:pPr>
      <w:r w:rsidRPr="00C23F28">
        <w:rPr>
          <w:sz w:val="18"/>
        </w:rPr>
        <w:t>[6]</w:t>
      </w:r>
      <w:r w:rsidRPr="00C23F28">
        <w:rPr>
          <w:sz w:val="18"/>
        </w:rPr>
        <w:tab/>
        <w:t xml:space="preserve">D. Gusain, M. Cvetković, and P. Palensky, “Quantification of operational flexibility from a portfolio of flexible energy resources,” </w:t>
      </w:r>
      <w:r w:rsidRPr="00C23F28">
        <w:rPr>
          <w:i/>
          <w:iCs/>
          <w:sz w:val="18"/>
        </w:rPr>
        <w:t>Int. J. Electr. Power Energy Syst.</w:t>
      </w:r>
      <w:r w:rsidRPr="00C23F28">
        <w:rPr>
          <w:sz w:val="18"/>
        </w:rPr>
        <w:t>, vol. 141, p. 107466, Oct. 2022, doi: 10.1016/j.ijepes.2021.107466.</w:t>
      </w:r>
    </w:p>
    <w:p w14:paraId="70E102BE" w14:textId="77777777" w:rsidR="00C23F28" w:rsidRPr="002F1FB0" w:rsidRDefault="00C23F28" w:rsidP="00C23F28">
      <w:pPr>
        <w:pStyle w:val="Literaturverzeichnis"/>
        <w:rPr>
          <w:sz w:val="18"/>
          <w:lang w:val="de-DE"/>
        </w:rPr>
      </w:pPr>
      <w:r w:rsidRPr="00C23F28">
        <w:rPr>
          <w:sz w:val="18"/>
        </w:rPr>
        <w:t>[7]</w:t>
      </w:r>
      <w:r w:rsidRPr="00C23F28">
        <w:rPr>
          <w:sz w:val="18"/>
        </w:rPr>
        <w:tab/>
        <w:t xml:space="preserve">O. Posdziech, K. Schwarze, and J. Brabandt, “Efficient hydrogen production for industry and electricity storage via high-temperature electrolysis,” </w:t>
      </w:r>
      <w:r w:rsidRPr="00C23F28">
        <w:rPr>
          <w:i/>
          <w:iCs/>
          <w:sz w:val="18"/>
        </w:rPr>
        <w:t xml:space="preserve">Int. J. Hydrog. </w:t>
      </w:r>
      <w:r w:rsidRPr="002F1FB0">
        <w:rPr>
          <w:i/>
          <w:iCs/>
          <w:sz w:val="18"/>
          <w:lang w:val="de-DE"/>
        </w:rPr>
        <w:t>Energy</w:t>
      </w:r>
      <w:r w:rsidRPr="002F1FB0">
        <w:rPr>
          <w:sz w:val="18"/>
          <w:lang w:val="de-DE"/>
        </w:rPr>
        <w:t>, vol. 44, no. 35, pp. 19089–19101, Jul. 2019, doi: 10.1016/j.ijhydene.2018.05.169.</w:t>
      </w:r>
    </w:p>
    <w:p w14:paraId="651B998C" w14:textId="18D50E8A" w:rsidR="00B13B0C" w:rsidRDefault="00C23F28" w:rsidP="007F69B4">
      <w:pPr>
        <w:pStyle w:val="Literaturverzeichnis"/>
        <w:rPr>
          <w:lang w:val="en-US"/>
        </w:rPr>
      </w:pPr>
      <w:r w:rsidRPr="002F1FB0">
        <w:rPr>
          <w:sz w:val="18"/>
          <w:lang w:val="de-DE"/>
        </w:rPr>
        <w:t>[8]</w:t>
      </w:r>
      <w:r w:rsidRPr="002F1FB0">
        <w:rPr>
          <w:sz w:val="18"/>
          <w:lang w:val="de-DE"/>
        </w:rPr>
        <w:tab/>
        <w:t xml:space="preserve">“Stromerzeugung und -verbrauch in Deutschland - SMARD Strommarktdaten.” </w:t>
      </w:r>
      <w:r w:rsidRPr="00C23F28">
        <w:rPr>
          <w:sz w:val="18"/>
        </w:rPr>
        <w:t>[Online]. Available: https://www.smard.de/home</w:t>
      </w:r>
      <w:r w:rsidR="00A03A47">
        <w:rPr>
          <w:sz w:val="18"/>
        </w:rPr>
        <w:fldChar w:fldCharType="end"/>
      </w:r>
    </w:p>
    <w:sectPr w:rsidR="00B13B0C"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2C36" w14:textId="77777777" w:rsidR="00190558" w:rsidRDefault="00190558">
      <w:r>
        <w:separator/>
      </w:r>
    </w:p>
  </w:endnote>
  <w:endnote w:type="continuationSeparator" w:id="0">
    <w:p w14:paraId="1AAF8C11" w14:textId="77777777" w:rsidR="00190558" w:rsidRDefault="0019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6722" w14:textId="77777777" w:rsidR="00190558" w:rsidRDefault="00190558">
      <w:r>
        <w:separator/>
      </w:r>
    </w:p>
  </w:footnote>
  <w:footnote w:type="continuationSeparator" w:id="0">
    <w:p w14:paraId="286AA2A4" w14:textId="77777777" w:rsidR="00190558" w:rsidRDefault="0019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8F081C3" w:rsidR="00DD3D9E" w:rsidRDefault="00DD3D9E">
    <w:pPr>
      <w:pStyle w:val="Kopfzeile"/>
      <w:tabs>
        <w:tab w:val="clear" w:pos="7200"/>
        <w:tab w:val="right" w:pos="7088"/>
      </w:tabs>
    </w:pPr>
    <w:r>
      <w:rPr>
        <w:rStyle w:val="Seitenzahl"/>
      </w:rPr>
      <w:tab/>
    </w:r>
    <w:r>
      <w:rPr>
        <w:rStyle w:val="Seitenzahl"/>
        <w:i/>
      </w:rPr>
      <w:tab/>
    </w:r>
    <w:r w:rsidR="00D87159">
      <w:rPr>
        <w:i/>
      </w:rPr>
      <w:t>M. Mock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BF9AB89" w:rsidR="00DD3D9E" w:rsidRDefault="00D87159" w:rsidP="00D87159">
    <w:pPr>
      <w:pStyle w:val="Kopfzeile"/>
      <w:tabs>
        <w:tab w:val="clear" w:pos="7200"/>
        <w:tab w:val="right" w:pos="7088"/>
      </w:tabs>
      <w:rPr>
        <w:sz w:val="24"/>
      </w:rPr>
    </w:pPr>
    <w:r w:rsidRPr="00D87159">
      <w:rPr>
        <w:i/>
      </w:rPr>
      <w:t>Heterogenous electrolysis plants as enabler of efficient and flexible Power</w:t>
    </w:r>
    <w:r>
      <w:rPr>
        <w:i/>
      </w:rPr>
      <w:noBreakHyphen/>
    </w:r>
    <w:r w:rsidRPr="00D87159">
      <w:rPr>
        <w:i/>
      </w:rPr>
      <w:t>t</w:t>
    </w:r>
    <w:r>
      <w:rPr>
        <w:i/>
      </w:rPr>
      <w:t>o</w:t>
    </w:r>
    <w:r>
      <w:rPr>
        <w:i/>
      </w:rPr>
      <w:noBreakHyphen/>
    </w:r>
    <w:r w:rsidRPr="00D87159">
      <w:rPr>
        <w:i/>
      </w:rPr>
      <w:t>X</w:t>
    </w:r>
    <w:r>
      <w:rPr>
        <w:i/>
      </w:rPr>
      <w:t xml:space="preserve"> </w:t>
    </w:r>
    <w:r w:rsidRPr="00D87159">
      <w:rPr>
        <w:i/>
      </w:rPr>
      <w:t>value</w:t>
    </w:r>
    <w:r>
      <w:rPr>
        <w:i/>
      </w:rPr>
      <w:t> </w:t>
    </w:r>
    <w:r w:rsidRPr="00D87159">
      <w:rPr>
        <w:i/>
      </w:rPr>
      <w:t>chains</w:t>
    </w:r>
    <w:r w:rsidR="00DD3D9E">
      <w:rPr>
        <w:rStyle w:val="Seitenzahl"/>
        <w:i/>
        <w:sz w:val="24"/>
      </w:rPr>
      <w:tab/>
    </w:r>
    <w:r w:rsidR="00DD3D9E">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65pt;height:11.65pt" o:bullet="t">
        <v:imagedata r:id="rId1" o:title="mso6039"/>
      </v:shape>
    </w:pict>
  </w:numPicBullet>
  <w:abstractNum w:abstractNumId="0" w15:restartNumberingAfterBreak="0">
    <w:nsid w:val="03C009F2"/>
    <w:multiLevelType w:val="hybridMultilevel"/>
    <w:tmpl w:val="7BD88C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29E6B03"/>
    <w:multiLevelType w:val="hybridMultilevel"/>
    <w:tmpl w:val="20907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B169B7"/>
    <w:multiLevelType w:val="hybridMultilevel"/>
    <w:tmpl w:val="B246B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6" w15:restartNumberingAfterBreak="0">
    <w:nsid w:val="217C4FC1"/>
    <w:multiLevelType w:val="hybridMultilevel"/>
    <w:tmpl w:val="C122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0"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0DD28CA"/>
    <w:multiLevelType w:val="hybridMultilevel"/>
    <w:tmpl w:val="3370C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6270D0"/>
    <w:multiLevelType w:val="hybridMultilevel"/>
    <w:tmpl w:val="5C6AA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F622D70"/>
    <w:multiLevelType w:val="hybridMultilevel"/>
    <w:tmpl w:val="F46EB010"/>
    <w:lvl w:ilvl="0" w:tplc="04070009">
      <w:start w:val="1"/>
      <w:numFmt w:val="bullet"/>
      <w:lvlText w:val=""/>
      <w:lvlJc w:val="left"/>
      <w:pPr>
        <w:ind w:left="2345" w:hanging="360"/>
      </w:pPr>
      <w:rPr>
        <w:rFonts w:ascii="Wingdings" w:hAnsi="Wingdings"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16cid:durableId="1565873455">
    <w:abstractNumId w:val="15"/>
  </w:num>
  <w:num w:numId="2" w16cid:durableId="1043403086">
    <w:abstractNumId w:val="15"/>
  </w:num>
  <w:num w:numId="3" w16cid:durableId="2088110262">
    <w:abstractNumId w:val="15"/>
  </w:num>
  <w:num w:numId="4" w16cid:durableId="2110463161">
    <w:abstractNumId w:val="15"/>
  </w:num>
  <w:num w:numId="5" w16cid:durableId="1595941872">
    <w:abstractNumId w:val="1"/>
  </w:num>
  <w:num w:numId="6" w16cid:durableId="666713490">
    <w:abstractNumId w:val="10"/>
  </w:num>
  <w:num w:numId="7" w16cid:durableId="800422233">
    <w:abstractNumId w:val="16"/>
  </w:num>
  <w:num w:numId="8" w16cid:durableId="567419890">
    <w:abstractNumId w:val="4"/>
  </w:num>
  <w:num w:numId="9" w16cid:durableId="1514998170">
    <w:abstractNumId w:val="14"/>
  </w:num>
  <w:num w:numId="10" w16cid:durableId="536164713">
    <w:abstractNumId w:val="19"/>
  </w:num>
  <w:num w:numId="11" w16cid:durableId="1283851154">
    <w:abstractNumId w:val="17"/>
  </w:num>
  <w:num w:numId="12" w16cid:durableId="1484154028">
    <w:abstractNumId w:val="9"/>
  </w:num>
  <w:num w:numId="13" w16cid:durableId="372534294">
    <w:abstractNumId w:val="12"/>
  </w:num>
  <w:num w:numId="14" w16cid:durableId="592474881">
    <w:abstractNumId w:val="5"/>
  </w:num>
  <w:num w:numId="15" w16cid:durableId="1474522665">
    <w:abstractNumId w:val="11"/>
  </w:num>
  <w:num w:numId="16" w16cid:durableId="1766417973">
    <w:abstractNumId w:val="7"/>
  </w:num>
  <w:num w:numId="17" w16cid:durableId="1075515268">
    <w:abstractNumId w:val="8"/>
  </w:num>
  <w:num w:numId="18" w16cid:durableId="1781953371">
    <w:abstractNumId w:val="13"/>
  </w:num>
  <w:num w:numId="19" w16cid:durableId="1395396725">
    <w:abstractNumId w:val="0"/>
  </w:num>
  <w:num w:numId="20" w16cid:durableId="1111166315">
    <w:abstractNumId w:val="3"/>
  </w:num>
  <w:num w:numId="21" w16cid:durableId="2053074075">
    <w:abstractNumId w:val="21"/>
  </w:num>
  <w:num w:numId="22" w16cid:durableId="334572681">
    <w:abstractNumId w:val="20"/>
  </w:num>
  <w:num w:numId="23" w16cid:durableId="1656252458">
    <w:abstractNumId w:val="2"/>
  </w:num>
  <w:num w:numId="24" w16cid:durableId="927471211">
    <w:abstractNumId w:val="8"/>
  </w:num>
  <w:num w:numId="25" w16cid:durableId="1580945791">
    <w:abstractNumId w:val="8"/>
  </w:num>
  <w:num w:numId="26" w16cid:durableId="350643998">
    <w:abstractNumId w:val="8"/>
  </w:num>
  <w:num w:numId="27" w16cid:durableId="610208026">
    <w:abstractNumId w:val="8"/>
  </w:num>
  <w:num w:numId="28" w16cid:durableId="316610516">
    <w:abstractNumId w:val="18"/>
  </w:num>
  <w:num w:numId="29" w16cid:durableId="1412507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937"/>
    <w:rsid w:val="00066350"/>
    <w:rsid w:val="00090296"/>
    <w:rsid w:val="000B6C30"/>
    <w:rsid w:val="000B76CC"/>
    <w:rsid w:val="000C6555"/>
    <w:rsid w:val="000D3D9B"/>
    <w:rsid w:val="000D4BA4"/>
    <w:rsid w:val="000F2768"/>
    <w:rsid w:val="001111BD"/>
    <w:rsid w:val="00111EC8"/>
    <w:rsid w:val="00116797"/>
    <w:rsid w:val="00123BE2"/>
    <w:rsid w:val="0013393A"/>
    <w:rsid w:val="00133D2D"/>
    <w:rsid w:val="0015566D"/>
    <w:rsid w:val="0016032F"/>
    <w:rsid w:val="0017349A"/>
    <w:rsid w:val="001842F4"/>
    <w:rsid w:val="001879F6"/>
    <w:rsid w:val="00190558"/>
    <w:rsid w:val="001908AE"/>
    <w:rsid w:val="001958B1"/>
    <w:rsid w:val="001A7195"/>
    <w:rsid w:val="001B2383"/>
    <w:rsid w:val="001C0148"/>
    <w:rsid w:val="001C25DC"/>
    <w:rsid w:val="001C757E"/>
    <w:rsid w:val="001F39DA"/>
    <w:rsid w:val="0020390F"/>
    <w:rsid w:val="00222010"/>
    <w:rsid w:val="00226510"/>
    <w:rsid w:val="002346D8"/>
    <w:rsid w:val="00235E0A"/>
    <w:rsid w:val="00236A39"/>
    <w:rsid w:val="0025407D"/>
    <w:rsid w:val="00261EDB"/>
    <w:rsid w:val="00261F02"/>
    <w:rsid w:val="00264926"/>
    <w:rsid w:val="002832D6"/>
    <w:rsid w:val="00286793"/>
    <w:rsid w:val="00287682"/>
    <w:rsid w:val="002878EB"/>
    <w:rsid w:val="002B27AD"/>
    <w:rsid w:val="002B5E37"/>
    <w:rsid w:val="002C7967"/>
    <w:rsid w:val="002E0E01"/>
    <w:rsid w:val="002E152A"/>
    <w:rsid w:val="002F1FB0"/>
    <w:rsid w:val="00302ACA"/>
    <w:rsid w:val="00306177"/>
    <w:rsid w:val="00316E29"/>
    <w:rsid w:val="00322461"/>
    <w:rsid w:val="0036319E"/>
    <w:rsid w:val="003634BD"/>
    <w:rsid w:val="00374DD5"/>
    <w:rsid w:val="00380CEE"/>
    <w:rsid w:val="00385E72"/>
    <w:rsid w:val="003D1582"/>
    <w:rsid w:val="003D52C6"/>
    <w:rsid w:val="003D7E4C"/>
    <w:rsid w:val="003E41C2"/>
    <w:rsid w:val="00415F98"/>
    <w:rsid w:val="00416B50"/>
    <w:rsid w:val="004205FE"/>
    <w:rsid w:val="004341F8"/>
    <w:rsid w:val="004419DA"/>
    <w:rsid w:val="004450D6"/>
    <w:rsid w:val="0045249A"/>
    <w:rsid w:val="004577AC"/>
    <w:rsid w:val="004711F6"/>
    <w:rsid w:val="00471EFE"/>
    <w:rsid w:val="00474629"/>
    <w:rsid w:val="00482A02"/>
    <w:rsid w:val="00484040"/>
    <w:rsid w:val="0049772C"/>
    <w:rsid w:val="004A4642"/>
    <w:rsid w:val="004A5A6D"/>
    <w:rsid w:val="004B4598"/>
    <w:rsid w:val="004B76B9"/>
    <w:rsid w:val="004C6E69"/>
    <w:rsid w:val="00507B17"/>
    <w:rsid w:val="00522672"/>
    <w:rsid w:val="00530A8A"/>
    <w:rsid w:val="0053286D"/>
    <w:rsid w:val="00541FA8"/>
    <w:rsid w:val="00545459"/>
    <w:rsid w:val="00552EEB"/>
    <w:rsid w:val="005722BE"/>
    <w:rsid w:val="005B1897"/>
    <w:rsid w:val="005D0C29"/>
    <w:rsid w:val="005E4710"/>
    <w:rsid w:val="005F5C3C"/>
    <w:rsid w:val="00601863"/>
    <w:rsid w:val="00627525"/>
    <w:rsid w:val="0065544A"/>
    <w:rsid w:val="00656C16"/>
    <w:rsid w:val="00661CB0"/>
    <w:rsid w:val="00661D97"/>
    <w:rsid w:val="00665F3D"/>
    <w:rsid w:val="00671EE8"/>
    <w:rsid w:val="00681A7E"/>
    <w:rsid w:val="00695610"/>
    <w:rsid w:val="006A69BF"/>
    <w:rsid w:val="006B02A3"/>
    <w:rsid w:val="006B2612"/>
    <w:rsid w:val="006B35B3"/>
    <w:rsid w:val="006C47BC"/>
    <w:rsid w:val="006D23E7"/>
    <w:rsid w:val="006E0079"/>
    <w:rsid w:val="007005F9"/>
    <w:rsid w:val="007030B8"/>
    <w:rsid w:val="00703D46"/>
    <w:rsid w:val="00705166"/>
    <w:rsid w:val="00711DF4"/>
    <w:rsid w:val="007130C0"/>
    <w:rsid w:val="00731EF1"/>
    <w:rsid w:val="00756CA1"/>
    <w:rsid w:val="007674FC"/>
    <w:rsid w:val="00785AF3"/>
    <w:rsid w:val="00795208"/>
    <w:rsid w:val="007A0598"/>
    <w:rsid w:val="007A76C3"/>
    <w:rsid w:val="007D4814"/>
    <w:rsid w:val="007D70A1"/>
    <w:rsid w:val="007F1E51"/>
    <w:rsid w:val="007F69B4"/>
    <w:rsid w:val="00803BB2"/>
    <w:rsid w:val="00806F82"/>
    <w:rsid w:val="008132E8"/>
    <w:rsid w:val="00823407"/>
    <w:rsid w:val="00824302"/>
    <w:rsid w:val="008341FD"/>
    <w:rsid w:val="0084047C"/>
    <w:rsid w:val="008465C3"/>
    <w:rsid w:val="0085474E"/>
    <w:rsid w:val="00873BB5"/>
    <w:rsid w:val="00881FD6"/>
    <w:rsid w:val="008A46F5"/>
    <w:rsid w:val="008B0184"/>
    <w:rsid w:val="008B2451"/>
    <w:rsid w:val="008C5D02"/>
    <w:rsid w:val="008D2649"/>
    <w:rsid w:val="008D4363"/>
    <w:rsid w:val="008E334B"/>
    <w:rsid w:val="008F18CE"/>
    <w:rsid w:val="0090568D"/>
    <w:rsid w:val="00911F52"/>
    <w:rsid w:val="009125C9"/>
    <w:rsid w:val="00913879"/>
    <w:rsid w:val="00917661"/>
    <w:rsid w:val="0093344F"/>
    <w:rsid w:val="009512B5"/>
    <w:rsid w:val="00970D70"/>
    <w:rsid w:val="00970E5D"/>
    <w:rsid w:val="0097701C"/>
    <w:rsid w:val="00980A65"/>
    <w:rsid w:val="009A69B8"/>
    <w:rsid w:val="009A7B1F"/>
    <w:rsid w:val="009B4608"/>
    <w:rsid w:val="009F2229"/>
    <w:rsid w:val="00A03A47"/>
    <w:rsid w:val="00A215D9"/>
    <w:rsid w:val="00A249F4"/>
    <w:rsid w:val="00A25E70"/>
    <w:rsid w:val="00A33765"/>
    <w:rsid w:val="00A4566C"/>
    <w:rsid w:val="00A6194D"/>
    <w:rsid w:val="00A62598"/>
    <w:rsid w:val="00A63269"/>
    <w:rsid w:val="00A73A34"/>
    <w:rsid w:val="00A92377"/>
    <w:rsid w:val="00A92A68"/>
    <w:rsid w:val="00AB29ED"/>
    <w:rsid w:val="00AE4BD8"/>
    <w:rsid w:val="00AF78FD"/>
    <w:rsid w:val="00B0721A"/>
    <w:rsid w:val="00B1013E"/>
    <w:rsid w:val="00B11C96"/>
    <w:rsid w:val="00B12057"/>
    <w:rsid w:val="00B13B0C"/>
    <w:rsid w:val="00B15A45"/>
    <w:rsid w:val="00B15E54"/>
    <w:rsid w:val="00B21A2D"/>
    <w:rsid w:val="00B27CC7"/>
    <w:rsid w:val="00B31D02"/>
    <w:rsid w:val="00B37C21"/>
    <w:rsid w:val="00B40884"/>
    <w:rsid w:val="00B4388F"/>
    <w:rsid w:val="00B6286C"/>
    <w:rsid w:val="00B63237"/>
    <w:rsid w:val="00B71C94"/>
    <w:rsid w:val="00BA2BF9"/>
    <w:rsid w:val="00BB2CE9"/>
    <w:rsid w:val="00BF1F6E"/>
    <w:rsid w:val="00BF567C"/>
    <w:rsid w:val="00C026A7"/>
    <w:rsid w:val="00C034E2"/>
    <w:rsid w:val="00C10422"/>
    <w:rsid w:val="00C23F28"/>
    <w:rsid w:val="00C31D2A"/>
    <w:rsid w:val="00C4686D"/>
    <w:rsid w:val="00C57DA3"/>
    <w:rsid w:val="00C63BDE"/>
    <w:rsid w:val="00C64AFC"/>
    <w:rsid w:val="00C70C4C"/>
    <w:rsid w:val="00C71EF5"/>
    <w:rsid w:val="00C76178"/>
    <w:rsid w:val="00C77F66"/>
    <w:rsid w:val="00C91E71"/>
    <w:rsid w:val="00C960DC"/>
    <w:rsid w:val="00CA7734"/>
    <w:rsid w:val="00CC6766"/>
    <w:rsid w:val="00CE4A67"/>
    <w:rsid w:val="00D02C75"/>
    <w:rsid w:val="00D10E22"/>
    <w:rsid w:val="00D13009"/>
    <w:rsid w:val="00D13D2C"/>
    <w:rsid w:val="00D66E02"/>
    <w:rsid w:val="00D71DBA"/>
    <w:rsid w:val="00D75CF8"/>
    <w:rsid w:val="00D77696"/>
    <w:rsid w:val="00D80174"/>
    <w:rsid w:val="00D87159"/>
    <w:rsid w:val="00D96D2B"/>
    <w:rsid w:val="00D97ACE"/>
    <w:rsid w:val="00DC2F94"/>
    <w:rsid w:val="00DD3D9E"/>
    <w:rsid w:val="00DD661C"/>
    <w:rsid w:val="00DD7908"/>
    <w:rsid w:val="00E1230B"/>
    <w:rsid w:val="00E36BD2"/>
    <w:rsid w:val="00E54027"/>
    <w:rsid w:val="00E61F5B"/>
    <w:rsid w:val="00E7192E"/>
    <w:rsid w:val="00E74A39"/>
    <w:rsid w:val="00E82297"/>
    <w:rsid w:val="00EA5174"/>
    <w:rsid w:val="00EA5A42"/>
    <w:rsid w:val="00EC047A"/>
    <w:rsid w:val="00EC3274"/>
    <w:rsid w:val="00ED260D"/>
    <w:rsid w:val="00EE0577"/>
    <w:rsid w:val="00EE4ACC"/>
    <w:rsid w:val="00EF34FE"/>
    <w:rsid w:val="00EF39FD"/>
    <w:rsid w:val="00EF402A"/>
    <w:rsid w:val="00F06842"/>
    <w:rsid w:val="00F107FD"/>
    <w:rsid w:val="00F17A87"/>
    <w:rsid w:val="00F21DFB"/>
    <w:rsid w:val="00F26089"/>
    <w:rsid w:val="00F40DE6"/>
    <w:rsid w:val="00F56B66"/>
    <w:rsid w:val="00F9319F"/>
    <w:rsid w:val="00FA44C4"/>
    <w:rsid w:val="00FB64A8"/>
    <w:rsid w:val="00FC06E6"/>
    <w:rsid w:val="00FC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paragraph" w:styleId="Literaturverzeichnis">
    <w:name w:val="Bibliography"/>
    <w:basedOn w:val="Standard"/>
    <w:next w:val="Standard"/>
    <w:uiPriority w:val="37"/>
    <w:unhideWhenUsed/>
    <w:rsid w:val="00B13B0C"/>
    <w:pPr>
      <w:tabs>
        <w:tab w:val="left" w:pos="384"/>
      </w:tabs>
      <w:ind w:left="384" w:hanging="384"/>
    </w:pPr>
  </w:style>
  <w:style w:type="character" w:styleId="Fett">
    <w:name w:val="Strong"/>
    <w:basedOn w:val="Absatz-Standardschriftart"/>
    <w:qFormat/>
    <w:rsid w:val="001111BD"/>
    <w:rPr>
      <w:b/>
      <w:bCs/>
    </w:rPr>
  </w:style>
  <w:style w:type="table" w:styleId="Tabellenraster">
    <w:name w:val="Table Grid"/>
    <w:basedOn w:val="NormaleTabelle"/>
    <w:rsid w:val="00D71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7farbig">
    <w:name w:val="Grid Table 7 Colorful"/>
    <w:basedOn w:val="NormaleTabelle"/>
    <w:uiPriority w:val="52"/>
    <w:rsid w:val="004205F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Platzhaltertext">
    <w:name w:val="Placeholder Text"/>
    <w:basedOn w:val="Absatz-Standardschriftart"/>
    <w:uiPriority w:val="99"/>
    <w:semiHidden/>
    <w:rsid w:val="00CA7734"/>
    <w:rPr>
      <w:color w:val="666666"/>
    </w:rPr>
  </w:style>
  <w:style w:type="paragraph" w:styleId="berarbeitung">
    <w:name w:val="Revision"/>
    <w:hidden/>
    <w:uiPriority w:val="99"/>
    <w:semiHidden/>
    <w:rsid w:val="00A73A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4450</Words>
  <Characters>28038</Characters>
  <Application>Microsoft Office Word</Application>
  <DocSecurity>0</DocSecurity>
  <Lines>233</Lines>
  <Paragraphs>64</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Mock, Michael</cp:lastModifiedBy>
  <cp:revision>3</cp:revision>
  <cp:lastPrinted>2004-12-17T09:20:00Z</cp:lastPrinted>
  <dcterms:created xsi:type="dcterms:W3CDTF">2023-11-30T10:17:00Z</dcterms:created>
  <dcterms:modified xsi:type="dcterms:W3CDTF">2023-11-30T10:27:00Z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zotero-version="6.0.16"&gt;&lt;session id="8z5ccRp1"/&gt;&lt;style id="http://www.zotero.org/styles/ieee" locale="en-US" hasBibliography="1" bibliographyStyleHasBeenSet="1"/&gt;&lt;prefs&gt;&lt;pref name="fieldType" value="Field"/&gt;&lt;pref name="automaticJour</vt:lpwstr>
  </property>
  <property fmtid="{D5CDD505-2E9C-101B-9397-08002B2CF9AE}" pid="11" name="ZOTERO_PREF_2">
    <vt:lpwstr>nalAbbreviations" value="true"/&gt;&lt;/prefs&gt;&lt;/data&gt;</vt:lpwstr>
  </property>
</Properties>
</file>